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7EB2" w:rsidRPr="00E87DC1" w:rsidRDefault="005F7EB2" w:rsidP="00A4038B">
      <w:pPr>
        <w:spacing w:line="360" w:lineRule="auto"/>
        <w:jc w:val="both"/>
        <w:rPr>
          <w:b/>
          <w:lang w:val="en-US"/>
        </w:rPr>
      </w:pPr>
      <w:r w:rsidRPr="00E87DC1">
        <w:rPr>
          <w:b/>
          <w:lang w:val="en-US"/>
        </w:rPr>
        <w:t xml:space="preserve">Phenotyping occupational asthma caused by acrylates in a </w:t>
      </w:r>
      <w:proofErr w:type="spellStart"/>
      <w:r w:rsidRPr="00E87DC1">
        <w:rPr>
          <w:b/>
          <w:lang w:val="en-US"/>
        </w:rPr>
        <w:t>multicentre</w:t>
      </w:r>
      <w:proofErr w:type="spellEnd"/>
      <w:r w:rsidRPr="00E87DC1">
        <w:rPr>
          <w:b/>
          <w:lang w:val="en-US"/>
        </w:rPr>
        <w:t xml:space="preserve"> cohort study</w:t>
      </w:r>
    </w:p>
    <w:p w:rsidR="005F7EB2" w:rsidRPr="00E87DC1" w:rsidRDefault="005F7EB2" w:rsidP="00A4038B">
      <w:pPr>
        <w:spacing w:line="360" w:lineRule="auto"/>
        <w:jc w:val="both"/>
        <w:rPr>
          <w:lang w:val="en-US"/>
        </w:rPr>
      </w:pPr>
      <w:r w:rsidRPr="00E87DC1">
        <w:rPr>
          <w:lang w:val="en-US"/>
        </w:rPr>
        <w:t>Hille Suojalehto, MD, PhD</w:t>
      </w:r>
      <w:r w:rsidR="00A42D5B" w:rsidRPr="00E87DC1">
        <w:rPr>
          <w:lang w:val="en-US"/>
        </w:rPr>
        <w:t>,</w:t>
      </w:r>
      <w:r w:rsidRPr="00E87DC1">
        <w:rPr>
          <w:lang w:val="en-US"/>
        </w:rPr>
        <w:t xml:space="preserve"> Katri Suuronen, PhD, Paul Cullinan, MD, Irmeli Lindström, MD, PhD, Joaquin </w:t>
      </w:r>
      <w:proofErr w:type="spellStart"/>
      <w:r w:rsidRPr="00E87DC1">
        <w:rPr>
          <w:lang w:val="en-US"/>
        </w:rPr>
        <w:t>Sastre</w:t>
      </w:r>
      <w:proofErr w:type="spellEnd"/>
      <w:r w:rsidRPr="00E87DC1">
        <w:rPr>
          <w:lang w:val="en-US"/>
        </w:rPr>
        <w:t>, MD</w:t>
      </w:r>
      <w:bookmarkStart w:id="0" w:name="_Hlk17792714"/>
      <w:r w:rsidRPr="00E87DC1">
        <w:rPr>
          <w:lang w:val="en-US"/>
        </w:rPr>
        <w:t xml:space="preserve">, Jolanta </w:t>
      </w:r>
      <w:proofErr w:type="spellStart"/>
      <w:r w:rsidRPr="00E87DC1">
        <w:rPr>
          <w:lang w:val="en-US"/>
        </w:rPr>
        <w:t>Walusiak-Skorupa</w:t>
      </w:r>
      <w:proofErr w:type="spellEnd"/>
      <w:r w:rsidRPr="00E87DC1">
        <w:rPr>
          <w:lang w:val="en-US"/>
        </w:rPr>
        <w:t>, MD</w:t>
      </w:r>
      <w:bookmarkEnd w:id="0"/>
      <w:r w:rsidRPr="00E87DC1">
        <w:rPr>
          <w:lang w:val="en-US"/>
        </w:rPr>
        <w:t xml:space="preserve">, Xavier Munoz, MD, Donatella </w:t>
      </w:r>
      <w:proofErr w:type="spellStart"/>
      <w:r w:rsidRPr="00E87DC1">
        <w:rPr>
          <w:lang w:val="en-US"/>
        </w:rPr>
        <w:t>Talini</w:t>
      </w:r>
      <w:proofErr w:type="spellEnd"/>
      <w:r w:rsidRPr="00E87DC1">
        <w:rPr>
          <w:lang w:val="en-US"/>
        </w:rPr>
        <w:t xml:space="preserve">, MD, </w:t>
      </w:r>
      <w:r w:rsidRPr="00E87DC1">
        <w:rPr>
          <w:rFonts w:ascii="Calibri" w:eastAsia="Calibri" w:hAnsi="Calibri" w:cs="Arial"/>
          <w:lang w:val="en-US"/>
        </w:rPr>
        <w:t xml:space="preserve">Pavlina </w:t>
      </w:r>
      <w:proofErr w:type="spellStart"/>
      <w:r w:rsidRPr="00E87DC1">
        <w:rPr>
          <w:rFonts w:ascii="Calibri" w:eastAsia="Calibri" w:hAnsi="Calibri" w:cs="Arial"/>
          <w:lang w:val="en-US"/>
        </w:rPr>
        <w:t>Klusackova</w:t>
      </w:r>
      <w:proofErr w:type="spellEnd"/>
      <w:r w:rsidRPr="00E87DC1">
        <w:rPr>
          <w:rFonts w:ascii="Calibri" w:eastAsia="Calibri" w:hAnsi="Calibri" w:cs="Arial"/>
          <w:lang w:val="en-US"/>
        </w:rPr>
        <w:t xml:space="preserve">, MD, Vicky Moore, PhD, Rolf </w:t>
      </w:r>
      <w:proofErr w:type="spellStart"/>
      <w:r w:rsidRPr="00E87DC1">
        <w:rPr>
          <w:rFonts w:ascii="Calibri" w:eastAsia="Calibri" w:hAnsi="Calibri" w:cs="Arial"/>
          <w:lang w:val="en-US"/>
        </w:rPr>
        <w:t>Merget</w:t>
      </w:r>
      <w:proofErr w:type="spellEnd"/>
      <w:r w:rsidRPr="00E87DC1">
        <w:rPr>
          <w:rFonts w:ascii="Calibri" w:eastAsia="Calibri" w:hAnsi="Calibri" w:cs="Arial"/>
          <w:lang w:val="en-US"/>
        </w:rPr>
        <w:t xml:space="preserve">, MD, </w:t>
      </w:r>
      <w:proofErr w:type="spellStart"/>
      <w:r w:rsidRPr="00E87DC1">
        <w:rPr>
          <w:rFonts w:ascii="Calibri" w:eastAsia="Calibri" w:hAnsi="Calibri" w:cs="Arial"/>
          <w:lang w:val="en-US"/>
        </w:rPr>
        <w:t>Cecilie</w:t>
      </w:r>
      <w:proofErr w:type="spellEnd"/>
      <w:r w:rsidRPr="00E87DC1">
        <w:rPr>
          <w:rFonts w:ascii="Calibri" w:eastAsia="Calibri" w:hAnsi="Calibri" w:cs="Arial"/>
          <w:lang w:val="en-US"/>
        </w:rPr>
        <w:t xml:space="preserve"> </w:t>
      </w:r>
      <w:proofErr w:type="spellStart"/>
      <w:r w:rsidRPr="00E87DC1">
        <w:rPr>
          <w:rFonts w:ascii="Calibri" w:eastAsia="Calibri" w:hAnsi="Calibri" w:cs="Arial"/>
          <w:lang w:val="en-US"/>
        </w:rPr>
        <w:t>Svanes</w:t>
      </w:r>
      <w:proofErr w:type="spellEnd"/>
      <w:r w:rsidRPr="00E87DC1">
        <w:rPr>
          <w:rFonts w:ascii="Calibri" w:eastAsia="Calibri" w:hAnsi="Calibri" w:cs="Arial"/>
          <w:lang w:val="en-US"/>
        </w:rPr>
        <w:t>, MD, Paola Mason, MD</w:t>
      </w:r>
      <w:r w:rsidRPr="00E87DC1">
        <w:rPr>
          <w:lang w:val="en-US"/>
        </w:rPr>
        <w:t xml:space="preserve">, Marco </w:t>
      </w:r>
      <w:proofErr w:type="spellStart"/>
      <w:r w:rsidRPr="00E87DC1">
        <w:rPr>
          <w:lang w:val="en-US"/>
        </w:rPr>
        <w:t>dell’Omo</w:t>
      </w:r>
      <w:proofErr w:type="spellEnd"/>
      <w:r w:rsidRPr="00E87DC1">
        <w:rPr>
          <w:rFonts w:ascii="Calibri" w:eastAsia="Calibri" w:hAnsi="Calibri" w:cs="Arial"/>
          <w:lang w:val="en-US"/>
        </w:rPr>
        <w:t xml:space="preserve">, MD, Gianna Moscato, MD, Santiago </w:t>
      </w:r>
      <w:proofErr w:type="spellStart"/>
      <w:r w:rsidRPr="00E87DC1">
        <w:rPr>
          <w:rFonts w:ascii="Calibri" w:eastAsia="Calibri" w:hAnsi="Calibri" w:cs="Arial"/>
          <w:lang w:val="en-US"/>
        </w:rPr>
        <w:t>Quirce</w:t>
      </w:r>
      <w:proofErr w:type="spellEnd"/>
      <w:r w:rsidRPr="00E87DC1">
        <w:rPr>
          <w:rFonts w:ascii="Calibri" w:eastAsia="Calibri" w:hAnsi="Calibri" w:cs="Arial"/>
          <w:lang w:val="en-US"/>
        </w:rPr>
        <w:t xml:space="preserve">, MD, Jennifer Hoyle, MD, David Sherson, MD, Alexandra </w:t>
      </w:r>
      <w:proofErr w:type="spellStart"/>
      <w:r w:rsidRPr="00E87DC1">
        <w:rPr>
          <w:rFonts w:ascii="Calibri" w:eastAsia="Calibri" w:hAnsi="Calibri" w:cs="Arial"/>
          <w:lang w:val="en-US"/>
        </w:rPr>
        <w:t>Preisser</w:t>
      </w:r>
      <w:proofErr w:type="spellEnd"/>
      <w:r w:rsidRPr="00E87DC1">
        <w:rPr>
          <w:rFonts w:ascii="Calibri" w:eastAsia="Calibri" w:hAnsi="Calibri" w:cs="Arial"/>
          <w:lang w:val="en-US"/>
        </w:rPr>
        <w:t>, MD</w:t>
      </w:r>
      <w:r w:rsidRPr="00E87DC1">
        <w:rPr>
          <w:lang w:val="en-US"/>
        </w:rPr>
        <w:t>, Martin Seed, MD</w:t>
      </w:r>
      <w:r w:rsidRPr="00E87DC1">
        <w:rPr>
          <w:rFonts w:ascii="Calibri" w:eastAsia="Calibri" w:hAnsi="Calibri" w:cs="Arial"/>
          <w:lang w:val="en-US"/>
        </w:rPr>
        <w:t xml:space="preserve">, </w:t>
      </w:r>
      <w:r w:rsidRPr="00E87DC1">
        <w:rPr>
          <w:lang w:val="en-US"/>
        </w:rPr>
        <w:t xml:space="preserve">Catherine </w:t>
      </w:r>
      <w:proofErr w:type="spellStart"/>
      <w:r w:rsidRPr="00E87DC1">
        <w:rPr>
          <w:lang w:val="en-US"/>
        </w:rPr>
        <w:t>Rifflart</w:t>
      </w:r>
      <w:proofErr w:type="spellEnd"/>
      <w:r w:rsidRPr="00E87DC1">
        <w:rPr>
          <w:lang w:val="en-US"/>
        </w:rPr>
        <w:t>, MSc,</w:t>
      </w:r>
      <w:r w:rsidRPr="00E87DC1">
        <w:rPr>
          <w:vertAlign w:val="superscript"/>
          <w:lang w:val="en-US"/>
        </w:rPr>
        <w:t xml:space="preserve"> </w:t>
      </w:r>
      <w:r w:rsidRPr="00E87DC1">
        <w:rPr>
          <w:lang w:val="en-US"/>
        </w:rPr>
        <w:t xml:space="preserve">Julien Godet, PharmD, PhD, Frédéric de </w:t>
      </w:r>
      <w:proofErr w:type="spellStart"/>
      <w:r w:rsidRPr="00E87DC1">
        <w:rPr>
          <w:lang w:val="en-US"/>
        </w:rPr>
        <w:t>Blay</w:t>
      </w:r>
      <w:proofErr w:type="spellEnd"/>
      <w:r w:rsidRPr="00E87DC1">
        <w:rPr>
          <w:lang w:val="en-US"/>
        </w:rPr>
        <w:t xml:space="preserve">, MD, Olivier </w:t>
      </w:r>
      <w:proofErr w:type="spellStart"/>
      <w:r w:rsidRPr="00E87DC1">
        <w:rPr>
          <w:lang w:val="en-US"/>
        </w:rPr>
        <w:t>Vandenplas</w:t>
      </w:r>
      <w:proofErr w:type="spellEnd"/>
      <w:r w:rsidRPr="00E87DC1">
        <w:rPr>
          <w:lang w:val="en-US"/>
        </w:rPr>
        <w:t xml:space="preserve">, MD, PhD, on behalf of the European network for the </w:t>
      </w:r>
      <w:proofErr w:type="spellStart"/>
      <w:r w:rsidRPr="00E87DC1">
        <w:rPr>
          <w:lang w:val="en-US"/>
        </w:rPr>
        <w:t>PHenotyping</w:t>
      </w:r>
      <w:proofErr w:type="spellEnd"/>
      <w:r w:rsidRPr="00E87DC1">
        <w:rPr>
          <w:lang w:val="en-US"/>
        </w:rPr>
        <w:t xml:space="preserve"> of </w:t>
      </w:r>
      <w:proofErr w:type="spellStart"/>
      <w:r w:rsidRPr="00E87DC1">
        <w:rPr>
          <w:lang w:val="en-US"/>
        </w:rPr>
        <w:t>OCcupational</w:t>
      </w:r>
      <w:proofErr w:type="spellEnd"/>
      <w:r w:rsidRPr="00E87DC1">
        <w:rPr>
          <w:lang w:val="en-US"/>
        </w:rPr>
        <w:t xml:space="preserve"> </w:t>
      </w:r>
      <w:proofErr w:type="spellStart"/>
      <w:r w:rsidRPr="00E87DC1">
        <w:rPr>
          <w:lang w:val="en-US"/>
        </w:rPr>
        <w:t>ASthma</w:t>
      </w:r>
      <w:proofErr w:type="spellEnd"/>
      <w:r w:rsidRPr="00E87DC1">
        <w:rPr>
          <w:lang w:val="en-US"/>
        </w:rPr>
        <w:t xml:space="preserve"> (E-PHOCAS) investigators.</w:t>
      </w:r>
    </w:p>
    <w:p w:rsidR="005F7EB2" w:rsidRPr="00E87DC1" w:rsidRDefault="005F7EB2" w:rsidP="00A4038B">
      <w:pPr>
        <w:spacing w:line="360" w:lineRule="auto"/>
        <w:jc w:val="both"/>
        <w:rPr>
          <w:b/>
          <w:lang w:val="en-US"/>
        </w:rPr>
      </w:pPr>
      <w:r w:rsidRPr="00E87DC1">
        <w:rPr>
          <w:b/>
          <w:lang w:val="en-US"/>
        </w:rPr>
        <w:t>Authors’ affiliations:</w:t>
      </w:r>
    </w:p>
    <w:p w:rsidR="005F7EB2" w:rsidRPr="00E87DC1" w:rsidRDefault="00936C72" w:rsidP="00A4038B">
      <w:pPr>
        <w:spacing w:after="0" w:line="240" w:lineRule="auto"/>
        <w:ind w:left="567" w:hanging="567"/>
        <w:jc w:val="both"/>
        <w:rPr>
          <w:lang w:val="en-US"/>
        </w:rPr>
      </w:pPr>
      <w:r w:rsidRPr="00E87DC1">
        <w:rPr>
          <w:lang w:val="en-US"/>
        </w:rPr>
        <w:t>Hille Suojalehto</w:t>
      </w:r>
      <w:r w:rsidRPr="00E87DC1">
        <w:rPr>
          <w:rFonts w:ascii="Calibri" w:hAnsi="Calibri"/>
          <w:lang w:val="en-US"/>
        </w:rPr>
        <w:t xml:space="preserve">, </w:t>
      </w:r>
      <w:r w:rsidR="00B77128" w:rsidRPr="00E87DC1">
        <w:rPr>
          <w:lang w:val="en-US"/>
        </w:rPr>
        <w:t xml:space="preserve">MD, </w:t>
      </w:r>
      <w:r w:rsidR="005F7EB2" w:rsidRPr="00E87DC1">
        <w:rPr>
          <w:rFonts w:ascii="Calibri" w:hAnsi="Calibri"/>
          <w:lang w:val="en-US"/>
        </w:rPr>
        <w:t>Occupational Medicine, Finnish Institute of Occupat</w:t>
      </w:r>
      <w:r w:rsidRPr="00E87DC1">
        <w:rPr>
          <w:rFonts w:ascii="Calibri" w:hAnsi="Calibri"/>
          <w:lang w:val="en-US"/>
        </w:rPr>
        <w:t>ional Health, Helsinki, Finland, hille.suojalehto</w:t>
      </w:r>
      <w:r w:rsidRPr="00E87DC1">
        <w:rPr>
          <w:lang w:val="en-US"/>
        </w:rPr>
        <w:t>@ttl.fi</w:t>
      </w:r>
    </w:p>
    <w:p w:rsidR="00936C72" w:rsidRPr="00E87DC1" w:rsidRDefault="00936C72" w:rsidP="00A4038B">
      <w:pPr>
        <w:spacing w:after="0" w:line="240" w:lineRule="auto"/>
        <w:ind w:left="567" w:hanging="567"/>
        <w:jc w:val="both"/>
        <w:rPr>
          <w:rFonts w:ascii="Calibri" w:hAnsi="Calibri"/>
          <w:lang w:val="en-US"/>
        </w:rPr>
      </w:pPr>
      <w:r w:rsidRPr="00E87DC1">
        <w:rPr>
          <w:lang w:val="en-US"/>
        </w:rPr>
        <w:t>Katri Suuronen,</w:t>
      </w:r>
      <w:r w:rsidR="00B77128" w:rsidRPr="00E87DC1">
        <w:rPr>
          <w:lang w:val="en-US"/>
        </w:rPr>
        <w:t xml:space="preserve"> PhD,</w:t>
      </w:r>
      <w:r w:rsidRPr="00E87DC1">
        <w:rPr>
          <w:lang w:val="en-US"/>
        </w:rPr>
        <w:t xml:space="preserve"> </w:t>
      </w:r>
      <w:r w:rsidRPr="00E87DC1">
        <w:rPr>
          <w:rFonts w:ascii="Calibri" w:hAnsi="Calibri"/>
          <w:lang w:val="en-US"/>
        </w:rPr>
        <w:t>Occupational Medicine, Finnish Institute of Occupational Health, Helsinki, Finland, katri.suuronen</w:t>
      </w:r>
      <w:r w:rsidRPr="00E87DC1">
        <w:rPr>
          <w:lang w:val="en-US"/>
        </w:rPr>
        <w:t>@ttl.fi</w:t>
      </w:r>
    </w:p>
    <w:p w:rsidR="005F7EB2" w:rsidRPr="00E87DC1" w:rsidRDefault="00936C72" w:rsidP="00A4038B">
      <w:pPr>
        <w:spacing w:after="0" w:line="240" w:lineRule="auto"/>
        <w:ind w:left="567" w:hanging="567"/>
        <w:jc w:val="both"/>
        <w:rPr>
          <w:lang w:val="en-US"/>
        </w:rPr>
      </w:pPr>
      <w:r w:rsidRPr="00E87DC1">
        <w:rPr>
          <w:lang w:val="en-US"/>
        </w:rPr>
        <w:t>Paul Cullinan,</w:t>
      </w:r>
      <w:r w:rsidR="00B77128" w:rsidRPr="00E87DC1">
        <w:rPr>
          <w:lang w:val="en-US"/>
        </w:rPr>
        <w:t xml:space="preserve"> MD, </w:t>
      </w:r>
      <w:r w:rsidR="005F7EB2" w:rsidRPr="00E87DC1">
        <w:rPr>
          <w:rFonts w:ascii="Calibri" w:hAnsi="Calibri"/>
          <w:lang w:val="en-US"/>
        </w:rPr>
        <w:t xml:space="preserve">Department of Occupational and Environmental Medicine, Royal </w:t>
      </w:r>
      <w:proofErr w:type="spellStart"/>
      <w:r w:rsidR="005F7EB2" w:rsidRPr="00E87DC1">
        <w:rPr>
          <w:rFonts w:ascii="Calibri" w:hAnsi="Calibri"/>
          <w:lang w:val="en-US"/>
        </w:rPr>
        <w:t>Brompton</w:t>
      </w:r>
      <w:proofErr w:type="spellEnd"/>
      <w:r w:rsidR="005F7EB2" w:rsidRPr="00E87DC1">
        <w:rPr>
          <w:rFonts w:ascii="Calibri" w:hAnsi="Calibri"/>
          <w:lang w:val="en-US"/>
        </w:rPr>
        <w:t xml:space="preserve"> Hospital and Impe</w:t>
      </w:r>
      <w:r w:rsidRPr="00E87DC1">
        <w:rPr>
          <w:rFonts w:ascii="Calibri" w:hAnsi="Calibri"/>
          <w:lang w:val="en-US"/>
        </w:rPr>
        <w:t>rial College (NHLI), London, UK,</w:t>
      </w:r>
      <w:r w:rsidRPr="00E87DC1">
        <w:rPr>
          <w:lang w:val="en-US"/>
        </w:rPr>
        <w:t xml:space="preserve"> p.cullinan@imperial.ac.uk</w:t>
      </w:r>
    </w:p>
    <w:p w:rsidR="00936C72" w:rsidRPr="00E87DC1" w:rsidRDefault="00F00B70" w:rsidP="006D6584">
      <w:pPr>
        <w:spacing w:after="0" w:line="240" w:lineRule="auto"/>
        <w:jc w:val="both"/>
        <w:rPr>
          <w:rFonts w:ascii="Calibri" w:hAnsi="Calibri"/>
          <w:lang w:val="en-US"/>
        </w:rPr>
      </w:pPr>
      <w:r w:rsidRPr="00E87DC1">
        <w:rPr>
          <w:rFonts w:ascii="Calibri" w:hAnsi="Calibri"/>
          <w:lang w:val="en-US"/>
        </w:rPr>
        <w:t>Irmeli Lindström</w:t>
      </w:r>
      <w:r w:rsidR="00936C72" w:rsidRPr="00E87DC1">
        <w:rPr>
          <w:rFonts w:ascii="Calibri" w:hAnsi="Calibri"/>
          <w:lang w:val="en-US"/>
        </w:rPr>
        <w:t xml:space="preserve">, </w:t>
      </w:r>
      <w:r w:rsidR="00B77128" w:rsidRPr="00E87DC1">
        <w:rPr>
          <w:lang w:val="en-US"/>
        </w:rPr>
        <w:t xml:space="preserve">MD, </w:t>
      </w:r>
      <w:r w:rsidR="00936C72" w:rsidRPr="00E87DC1">
        <w:rPr>
          <w:rFonts w:ascii="Calibri" w:hAnsi="Calibri"/>
          <w:lang w:val="en-US"/>
        </w:rPr>
        <w:t xml:space="preserve">Occupational Medicine, Finnish Institute of Occupational </w:t>
      </w:r>
      <w:r w:rsidRPr="00E87DC1">
        <w:rPr>
          <w:rFonts w:ascii="Calibri" w:hAnsi="Calibri"/>
          <w:lang w:val="en-US"/>
        </w:rPr>
        <w:t>Health, Helsinki, Finland, irmeli.lindstrom</w:t>
      </w:r>
      <w:r w:rsidR="00936C72" w:rsidRPr="00E87DC1">
        <w:rPr>
          <w:lang w:val="en-US"/>
        </w:rPr>
        <w:t>@ttl.fi</w:t>
      </w:r>
    </w:p>
    <w:p w:rsidR="005F7EB2" w:rsidRPr="00E87DC1" w:rsidRDefault="006D6584" w:rsidP="00A4038B">
      <w:pPr>
        <w:spacing w:after="0" w:line="240" w:lineRule="auto"/>
        <w:ind w:left="567" w:hanging="567"/>
        <w:jc w:val="both"/>
        <w:rPr>
          <w:rFonts w:ascii="Calibri" w:hAnsi="Calibri"/>
          <w:lang w:val="en-US"/>
        </w:rPr>
      </w:pPr>
      <w:r w:rsidRPr="00E87DC1">
        <w:rPr>
          <w:lang w:val="en-US"/>
        </w:rPr>
        <w:t xml:space="preserve">Joaquin </w:t>
      </w:r>
      <w:proofErr w:type="spellStart"/>
      <w:r w:rsidRPr="00E87DC1">
        <w:rPr>
          <w:lang w:val="en-US"/>
        </w:rPr>
        <w:t>Sastre</w:t>
      </w:r>
      <w:proofErr w:type="spellEnd"/>
      <w:r w:rsidRPr="00E87DC1">
        <w:rPr>
          <w:lang w:val="en-US"/>
        </w:rPr>
        <w:t>,</w:t>
      </w:r>
      <w:r w:rsidR="00B77128" w:rsidRPr="00E87DC1">
        <w:rPr>
          <w:lang w:val="en-US"/>
        </w:rPr>
        <w:t xml:space="preserve"> MD, </w:t>
      </w:r>
      <w:r w:rsidR="005F7EB2" w:rsidRPr="00E87DC1">
        <w:rPr>
          <w:rFonts w:ascii="Calibri" w:hAnsi="Calibri"/>
          <w:lang w:val="en-US"/>
        </w:rPr>
        <w:t xml:space="preserve">Department of Allergy, </w:t>
      </w:r>
      <w:proofErr w:type="spellStart"/>
      <w:r w:rsidR="005F7EB2" w:rsidRPr="00E87DC1">
        <w:rPr>
          <w:rFonts w:ascii="Calibri" w:hAnsi="Calibri"/>
          <w:lang w:val="en-US"/>
        </w:rPr>
        <w:t>Fundacion</w:t>
      </w:r>
      <w:proofErr w:type="spellEnd"/>
      <w:r w:rsidR="005F7EB2" w:rsidRPr="00E87DC1">
        <w:rPr>
          <w:rFonts w:ascii="Calibri" w:hAnsi="Calibri"/>
          <w:lang w:val="en-US"/>
        </w:rPr>
        <w:t xml:space="preserve"> Jimenez </w:t>
      </w:r>
      <w:proofErr w:type="spellStart"/>
      <w:r w:rsidR="005F7EB2" w:rsidRPr="00E87DC1">
        <w:rPr>
          <w:rFonts w:ascii="Calibri" w:hAnsi="Calibri"/>
          <w:lang w:val="en-US"/>
        </w:rPr>
        <w:t>Dıaz</w:t>
      </w:r>
      <w:proofErr w:type="spellEnd"/>
      <w:r w:rsidR="005F7EB2" w:rsidRPr="00E87DC1">
        <w:rPr>
          <w:rFonts w:ascii="Calibri" w:hAnsi="Calibri"/>
          <w:lang w:val="en-US"/>
        </w:rPr>
        <w:t xml:space="preserve"> and CIBER de </w:t>
      </w:r>
      <w:proofErr w:type="spellStart"/>
      <w:r w:rsidR="005F7EB2" w:rsidRPr="00E87DC1">
        <w:rPr>
          <w:rFonts w:ascii="Calibri" w:hAnsi="Calibri"/>
          <w:lang w:val="en-US"/>
        </w:rPr>
        <w:t>Enfermedades</w:t>
      </w:r>
      <w:proofErr w:type="spellEnd"/>
      <w:r w:rsidR="005F7EB2" w:rsidRPr="00E87DC1">
        <w:rPr>
          <w:rFonts w:ascii="Calibri" w:hAnsi="Calibri"/>
          <w:lang w:val="en-US"/>
        </w:rPr>
        <w:t xml:space="preserve"> </w:t>
      </w:r>
      <w:proofErr w:type="spellStart"/>
      <w:r w:rsidR="005F7EB2" w:rsidRPr="00E87DC1">
        <w:rPr>
          <w:rFonts w:ascii="Calibri" w:hAnsi="Calibri"/>
          <w:lang w:val="en-US"/>
        </w:rPr>
        <w:t>Respiratorias</w:t>
      </w:r>
      <w:proofErr w:type="spellEnd"/>
      <w:r w:rsidR="005F7EB2" w:rsidRPr="00E87DC1">
        <w:rPr>
          <w:rFonts w:ascii="Calibri" w:hAnsi="Calibri"/>
          <w:lang w:val="en-US"/>
        </w:rPr>
        <w:t xml:space="preserve"> (CIBERES), Madrid, Spain</w:t>
      </w:r>
      <w:r w:rsidRPr="00E87DC1">
        <w:rPr>
          <w:rFonts w:ascii="Calibri" w:hAnsi="Calibri"/>
          <w:lang w:val="en-US"/>
        </w:rPr>
        <w:t xml:space="preserve">, </w:t>
      </w:r>
      <w:r w:rsidRPr="00E87DC1">
        <w:rPr>
          <w:lang w:val="en-US"/>
        </w:rPr>
        <w:t>jsastre@fjd.es</w:t>
      </w:r>
    </w:p>
    <w:p w:rsidR="005F7EB2" w:rsidRPr="00E87DC1" w:rsidRDefault="006D6584" w:rsidP="00A4038B">
      <w:pPr>
        <w:spacing w:after="0" w:line="240" w:lineRule="auto"/>
        <w:ind w:left="567" w:hanging="567"/>
        <w:jc w:val="both"/>
        <w:rPr>
          <w:rFonts w:ascii="Calibri" w:hAnsi="Calibri"/>
          <w:lang w:val="en-US"/>
        </w:rPr>
      </w:pPr>
      <w:r w:rsidRPr="00E87DC1">
        <w:rPr>
          <w:lang w:val="en-US"/>
        </w:rPr>
        <w:t xml:space="preserve">Jolanta </w:t>
      </w:r>
      <w:proofErr w:type="spellStart"/>
      <w:r w:rsidRPr="00E87DC1">
        <w:rPr>
          <w:lang w:val="en-US"/>
        </w:rPr>
        <w:t>Walusiak-Skorupa</w:t>
      </w:r>
      <w:proofErr w:type="spellEnd"/>
      <w:r w:rsidRPr="00E87DC1">
        <w:rPr>
          <w:lang w:val="en-US"/>
        </w:rPr>
        <w:t xml:space="preserve">, </w:t>
      </w:r>
      <w:r w:rsidR="0049029D" w:rsidRPr="00E87DC1">
        <w:rPr>
          <w:lang w:val="en-US"/>
        </w:rPr>
        <w:t xml:space="preserve">MD, </w:t>
      </w:r>
      <w:r w:rsidR="005F7EB2" w:rsidRPr="00E87DC1">
        <w:rPr>
          <w:rFonts w:ascii="Calibri" w:hAnsi="Calibri"/>
          <w:lang w:val="en-US"/>
        </w:rPr>
        <w:t xml:space="preserve">Department of Occupational Diseases and Environmental Health, </w:t>
      </w:r>
      <w:proofErr w:type="spellStart"/>
      <w:r w:rsidR="005F7EB2" w:rsidRPr="00E87DC1">
        <w:rPr>
          <w:rFonts w:ascii="Calibri" w:hAnsi="Calibri"/>
          <w:lang w:val="en-US"/>
        </w:rPr>
        <w:t>Nofer</w:t>
      </w:r>
      <w:proofErr w:type="spellEnd"/>
      <w:r w:rsidR="005F7EB2" w:rsidRPr="00E87DC1">
        <w:rPr>
          <w:rFonts w:ascii="Calibri" w:hAnsi="Calibri"/>
          <w:lang w:val="en-US"/>
        </w:rPr>
        <w:t xml:space="preserve"> Institute of Occu</w:t>
      </w:r>
      <w:r w:rsidRPr="00E87DC1">
        <w:rPr>
          <w:rFonts w:ascii="Calibri" w:hAnsi="Calibri"/>
          <w:lang w:val="en-US"/>
        </w:rPr>
        <w:t xml:space="preserve">pational Medicine, Lodz, Poland, </w:t>
      </w:r>
      <w:r w:rsidRPr="00E87DC1">
        <w:rPr>
          <w:lang w:val="en-US"/>
        </w:rPr>
        <w:t>Jolanta.Walusiak-Skorupa@imp.lodz.pl</w:t>
      </w:r>
    </w:p>
    <w:p w:rsidR="005F7EB2" w:rsidRPr="00E87DC1" w:rsidRDefault="006D6584" w:rsidP="00A4038B">
      <w:pPr>
        <w:spacing w:after="0" w:line="240" w:lineRule="auto"/>
        <w:ind w:left="567" w:hanging="567"/>
        <w:jc w:val="both"/>
        <w:rPr>
          <w:rFonts w:ascii="Calibri" w:hAnsi="Calibri"/>
          <w:lang w:val="en-US"/>
        </w:rPr>
      </w:pPr>
      <w:r w:rsidRPr="00E87DC1">
        <w:rPr>
          <w:lang w:val="en-US"/>
        </w:rPr>
        <w:t xml:space="preserve">Xavier Munoz, </w:t>
      </w:r>
      <w:proofErr w:type="spellStart"/>
      <w:r w:rsidR="005F7EB2" w:rsidRPr="00E87DC1">
        <w:rPr>
          <w:rFonts w:ascii="Calibri" w:hAnsi="Calibri"/>
          <w:lang w:val="en-US"/>
        </w:rPr>
        <w:t>Servei</w:t>
      </w:r>
      <w:proofErr w:type="spellEnd"/>
      <w:r w:rsidR="005F7EB2" w:rsidRPr="00E87DC1">
        <w:rPr>
          <w:rFonts w:ascii="Calibri" w:hAnsi="Calibri"/>
          <w:lang w:val="en-US"/>
        </w:rPr>
        <w:t xml:space="preserve"> </w:t>
      </w:r>
      <w:proofErr w:type="spellStart"/>
      <w:r w:rsidR="005F7EB2" w:rsidRPr="00E87DC1">
        <w:rPr>
          <w:rFonts w:ascii="Calibri" w:hAnsi="Calibri"/>
          <w:lang w:val="en-US"/>
        </w:rPr>
        <w:t>Pneumologia</w:t>
      </w:r>
      <w:proofErr w:type="spellEnd"/>
      <w:r w:rsidR="005F7EB2" w:rsidRPr="00E87DC1">
        <w:rPr>
          <w:rFonts w:ascii="Calibri" w:hAnsi="Calibri"/>
          <w:lang w:val="en-US"/>
        </w:rPr>
        <w:t xml:space="preserve">, </w:t>
      </w:r>
      <w:r w:rsidR="0049029D" w:rsidRPr="00E87DC1">
        <w:rPr>
          <w:lang w:val="en-US"/>
        </w:rPr>
        <w:t xml:space="preserve">MD, </w:t>
      </w:r>
      <w:r w:rsidR="005F7EB2" w:rsidRPr="00E87DC1">
        <w:rPr>
          <w:rFonts w:ascii="Calibri" w:hAnsi="Calibri"/>
          <w:lang w:val="en-US"/>
        </w:rPr>
        <w:t xml:space="preserve">Hospital </w:t>
      </w:r>
      <w:proofErr w:type="spellStart"/>
      <w:r w:rsidR="005F7EB2" w:rsidRPr="00E87DC1">
        <w:rPr>
          <w:rFonts w:ascii="Calibri" w:hAnsi="Calibri"/>
          <w:lang w:val="en-US"/>
        </w:rPr>
        <w:t>Vall</w:t>
      </w:r>
      <w:proofErr w:type="spellEnd"/>
      <w:r w:rsidR="005F7EB2" w:rsidRPr="00E87DC1">
        <w:rPr>
          <w:rFonts w:ascii="Calibri" w:hAnsi="Calibri"/>
          <w:lang w:val="en-US"/>
        </w:rPr>
        <w:t xml:space="preserve"> </w:t>
      </w:r>
      <w:proofErr w:type="spellStart"/>
      <w:r w:rsidR="005F7EB2" w:rsidRPr="00E87DC1">
        <w:rPr>
          <w:rFonts w:ascii="Calibri" w:hAnsi="Calibri"/>
          <w:lang w:val="en-US"/>
        </w:rPr>
        <w:t>d’Hebron</w:t>
      </w:r>
      <w:proofErr w:type="spellEnd"/>
      <w:r w:rsidR="005F7EB2" w:rsidRPr="00E87DC1">
        <w:rPr>
          <w:rFonts w:ascii="Calibri" w:hAnsi="Calibri"/>
          <w:lang w:val="en-US"/>
        </w:rPr>
        <w:t xml:space="preserve">, </w:t>
      </w:r>
      <w:proofErr w:type="spellStart"/>
      <w:r w:rsidR="005F7EB2" w:rsidRPr="00E87DC1">
        <w:rPr>
          <w:rFonts w:ascii="Calibri" w:hAnsi="Calibri"/>
          <w:lang w:val="en-US"/>
        </w:rPr>
        <w:t>Universitat</w:t>
      </w:r>
      <w:proofErr w:type="spellEnd"/>
      <w:r w:rsidR="005F7EB2" w:rsidRPr="00E87DC1">
        <w:rPr>
          <w:rFonts w:ascii="Calibri" w:hAnsi="Calibri"/>
          <w:lang w:val="en-US"/>
        </w:rPr>
        <w:t xml:space="preserve"> </w:t>
      </w:r>
      <w:proofErr w:type="spellStart"/>
      <w:r w:rsidR="005F7EB2" w:rsidRPr="00E87DC1">
        <w:rPr>
          <w:rFonts w:ascii="Calibri" w:hAnsi="Calibri"/>
          <w:lang w:val="en-US"/>
        </w:rPr>
        <w:t>Autonoma</w:t>
      </w:r>
      <w:proofErr w:type="spellEnd"/>
      <w:r w:rsidR="005F7EB2" w:rsidRPr="00E87DC1">
        <w:rPr>
          <w:rFonts w:ascii="Calibri" w:hAnsi="Calibri"/>
          <w:lang w:val="en-US"/>
        </w:rPr>
        <w:t xml:space="preserve"> de Barcelona and CIBER de </w:t>
      </w:r>
      <w:proofErr w:type="spellStart"/>
      <w:r w:rsidR="005F7EB2" w:rsidRPr="00E87DC1">
        <w:rPr>
          <w:rFonts w:ascii="Calibri" w:hAnsi="Calibri"/>
          <w:lang w:val="en-US"/>
        </w:rPr>
        <w:t>Enfermedades</w:t>
      </w:r>
      <w:proofErr w:type="spellEnd"/>
      <w:r w:rsidR="005F7EB2" w:rsidRPr="00E87DC1">
        <w:rPr>
          <w:rFonts w:ascii="Calibri" w:hAnsi="Calibri"/>
          <w:lang w:val="en-US"/>
        </w:rPr>
        <w:t xml:space="preserve"> </w:t>
      </w:r>
      <w:proofErr w:type="spellStart"/>
      <w:r w:rsidR="005F7EB2" w:rsidRPr="00E87DC1">
        <w:rPr>
          <w:rFonts w:ascii="Calibri" w:hAnsi="Calibri"/>
          <w:lang w:val="en-US"/>
        </w:rPr>
        <w:t>Respirator</w:t>
      </w:r>
      <w:r w:rsidRPr="00E87DC1">
        <w:rPr>
          <w:rFonts w:ascii="Calibri" w:hAnsi="Calibri"/>
          <w:lang w:val="en-US"/>
        </w:rPr>
        <w:t>ias</w:t>
      </w:r>
      <w:proofErr w:type="spellEnd"/>
      <w:r w:rsidRPr="00E87DC1">
        <w:rPr>
          <w:rFonts w:ascii="Calibri" w:hAnsi="Calibri"/>
          <w:lang w:val="en-US"/>
        </w:rPr>
        <w:t xml:space="preserve"> (CIBERES), Barcelona, Spain,</w:t>
      </w:r>
      <w:r w:rsidRPr="00E87DC1">
        <w:rPr>
          <w:lang w:val="en-US"/>
        </w:rPr>
        <w:t xml:space="preserve"> xmunoz@vhebron.net</w:t>
      </w:r>
    </w:p>
    <w:p w:rsidR="005F7EB2" w:rsidRPr="00E87DC1" w:rsidRDefault="006D6584" w:rsidP="00A4038B">
      <w:pPr>
        <w:spacing w:after="0" w:line="240" w:lineRule="auto"/>
        <w:ind w:left="567" w:hanging="567"/>
        <w:jc w:val="both"/>
        <w:rPr>
          <w:rFonts w:ascii="Calibri" w:hAnsi="Calibri"/>
          <w:lang w:val="en-US"/>
        </w:rPr>
      </w:pPr>
      <w:r w:rsidRPr="00E87DC1">
        <w:rPr>
          <w:lang w:val="en-US"/>
        </w:rPr>
        <w:t xml:space="preserve">Donatella </w:t>
      </w:r>
      <w:proofErr w:type="spellStart"/>
      <w:r w:rsidRPr="00E87DC1">
        <w:rPr>
          <w:lang w:val="en-US"/>
        </w:rPr>
        <w:t>Talini</w:t>
      </w:r>
      <w:proofErr w:type="spellEnd"/>
      <w:r w:rsidRPr="00E87DC1">
        <w:rPr>
          <w:rFonts w:ascii="Calibri" w:hAnsi="Calibri"/>
          <w:lang w:val="en-US"/>
        </w:rPr>
        <w:t xml:space="preserve">, </w:t>
      </w:r>
      <w:r w:rsidR="0049029D" w:rsidRPr="00E87DC1">
        <w:rPr>
          <w:lang w:val="en-US"/>
        </w:rPr>
        <w:t xml:space="preserve">MD, </w:t>
      </w:r>
      <w:r w:rsidR="005F7EB2" w:rsidRPr="00E87DC1">
        <w:rPr>
          <w:rFonts w:ascii="Calibri" w:hAnsi="Calibri"/>
          <w:lang w:val="en-US"/>
        </w:rPr>
        <w:t xml:space="preserve">Cardio-Thoracic and Vascular Department, </w:t>
      </w:r>
      <w:r w:rsidRPr="00E87DC1">
        <w:rPr>
          <w:rFonts w:ascii="Calibri" w:hAnsi="Calibri"/>
          <w:lang w:val="en-US"/>
        </w:rPr>
        <w:t>University of Pisa, Pisa, Italy,</w:t>
      </w:r>
      <w:r w:rsidRPr="00E87DC1">
        <w:rPr>
          <w:lang w:val="en-US"/>
        </w:rPr>
        <w:t xml:space="preserve"> donatella.talini@uslnordovest.toscana.it</w:t>
      </w:r>
    </w:p>
    <w:p w:rsidR="005F7EB2" w:rsidRPr="00E87DC1" w:rsidRDefault="006D6584" w:rsidP="00A4038B">
      <w:pPr>
        <w:spacing w:after="0" w:line="240" w:lineRule="auto"/>
        <w:ind w:left="567" w:hanging="567"/>
        <w:jc w:val="both"/>
        <w:rPr>
          <w:rFonts w:ascii="Calibri" w:hAnsi="Calibri"/>
          <w:lang w:val="en-US"/>
        </w:rPr>
      </w:pPr>
      <w:r w:rsidRPr="00E87DC1">
        <w:rPr>
          <w:rFonts w:ascii="Calibri" w:eastAsia="Calibri" w:hAnsi="Calibri" w:cs="Arial"/>
          <w:lang w:val="en-US"/>
        </w:rPr>
        <w:t xml:space="preserve">Pavlina </w:t>
      </w:r>
      <w:proofErr w:type="spellStart"/>
      <w:r w:rsidRPr="00E87DC1">
        <w:rPr>
          <w:rFonts w:ascii="Calibri" w:eastAsia="Calibri" w:hAnsi="Calibri" w:cs="Arial"/>
          <w:lang w:val="en-US"/>
        </w:rPr>
        <w:t>Klusackova</w:t>
      </w:r>
      <w:proofErr w:type="spellEnd"/>
      <w:r w:rsidRPr="00E87DC1">
        <w:rPr>
          <w:rFonts w:ascii="Calibri" w:eastAsia="Calibri" w:hAnsi="Calibri" w:cs="Arial"/>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Department of Occupational Medicine, 1st Faculty of Medicine, Charles Uni</w:t>
      </w:r>
      <w:r w:rsidRPr="00E87DC1">
        <w:rPr>
          <w:rFonts w:ascii="Calibri" w:hAnsi="Calibri"/>
          <w:lang w:val="en-US"/>
        </w:rPr>
        <w:t xml:space="preserve">versity, Prague, Czech Republic, </w:t>
      </w:r>
      <w:r w:rsidRPr="00E87DC1">
        <w:rPr>
          <w:lang w:val="en-US"/>
        </w:rPr>
        <w:t>Pavlina.Klusackova@lf1.cuni.cz</w:t>
      </w:r>
    </w:p>
    <w:p w:rsidR="005F7EB2" w:rsidRPr="00E87DC1" w:rsidRDefault="006D6584" w:rsidP="00A4038B">
      <w:pPr>
        <w:spacing w:after="0" w:line="240" w:lineRule="auto"/>
        <w:ind w:left="567" w:hanging="567"/>
        <w:jc w:val="both"/>
        <w:rPr>
          <w:rFonts w:ascii="Calibri" w:hAnsi="Calibri"/>
          <w:lang w:val="en-US"/>
        </w:rPr>
      </w:pPr>
      <w:r w:rsidRPr="00E87DC1">
        <w:rPr>
          <w:rFonts w:ascii="Calibri" w:eastAsia="Calibri" w:hAnsi="Calibri" w:cs="Arial"/>
          <w:lang w:val="en-US"/>
        </w:rPr>
        <w:t>Vicky Moore</w:t>
      </w:r>
      <w:r w:rsidRPr="00E87DC1">
        <w:rPr>
          <w:rFonts w:ascii="Calibri" w:hAnsi="Calibri"/>
          <w:lang w:val="en-US"/>
        </w:rPr>
        <w:t xml:space="preserve">, </w:t>
      </w:r>
      <w:r w:rsidR="0049029D" w:rsidRPr="00E87DC1">
        <w:rPr>
          <w:rFonts w:ascii="Calibri" w:eastAsia="Calibri" w:hAnsi="Calibri" w:cs="Arial"/>
          <w:lang w:val="en-US"/>
        </w:rPr>
        <w:t xml:space="preserve">PhD, </w:t>
      </w:r>
      <w:r w:rsidR="005F7EB2" w:rsidRPr="00E87DC1">
        <w:rPr>
          <w:rFonts w:ascii="Calibri" w:hAnsi="Calibri"/>
          <w:lang w:val="en-US"/>
        </w:rPr>
        <w:t>Occupational Lung Disease Unit, Birmingham Hear</w:t>
      </w:r>
      <w:r w:rsidRPr="00E87DC1">
        <w:rPr>
          <w:rFonts w:ascii="Calibri" w:hAnsi="Calibri"/>
          <w:lang w:val="en-US"/>
        </w:rPr>
        <w:t xml:space="preserve">tlands Hospital, Birmingham, UK, </w:t>
      </w:r>
      <w:r w:rsidRPr="00E87DC1">
        <w:rPr>
          <w:lang w:val="en-US"/>
        </w:rPr>
        <w:t>vicky.c.moore@heartofengland.nhs.uk</w:t>
      </w:r>
    </w:p>
    <w:p w:rsidR="005F7EB2" w:rsidRPr="00E87DC1" w:rsidRDefault="006D6584" w:rsidP="00A4038B">
      <w:pPr>
        <w:spacing w:after="0" w:line="240" w:lineRule="auto"/>
        <w:ind w:left="567" w:hanging="567"/>
        <w:jc w:val="both"/>
        <w:rPr>
          <w:rFonts w:ascii="Calibri" w:hAnsi="Calibri"/>
          <w:lang w:val="en-US"/>
        </w:rPr>
      </w:pPr>
      <w:r w:rsidRPr="00E87DC1">
        <w:rPr>
          <w:rFonts w:ascii="Calibri" w:eastAsia="Calibri" w:hAnsi="Calibri" w:cs="Arial"/>
          <w:lang w:val="en-US"/>
        </w:rPr>
        <w:t xml:space="preserve">Rolf </w:t>
      </w:r>
      <w:proofErr w:type="spellStart"/>
      <w:r w:rsidRPr="00E87DC1">
        <w:rPr>
          <w:rFonts w:ascii="Calibri" w:eastAsia="Calibri" w:hAnsi="Calibri" w:cs="Arial"/>
          <w:lang w:val="en-US"/>
        </w:rPr>
        <w:t>Merget</w:t>
      </w:r>
      <w:proofErr w:type="spellEnd"/>
      <w:r w:rsidRPr="00E87DC1">
        <w:rPr>
          <w:rFonts w:ascii="Calibri" w:hAnsi="Calibri"/>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Institute for Prevention and Occupational Medicine of the German Social Accident Insurance (IPA), Ruhr University, Bochu</w:t>
      </w:r>
      <w:r w:rsidRPr="00E87DC1">
        <w:rPr>
          <w:rFonts w:ascii="Calibri" w:hAnsi="Calibri"/>
          <w:lang w:val="en-US"/>
        </w:rPr>
        <w:t xml:space="preserve">m, Germany, </w:t>
      </w:r>
      <w:r w:rsidRPr="00E87DC1">
        <w:rPr>
          <w:lang w:val="en-US"/>
        </w:rPr>
        <w:t>merget@ipa-dguv.de</w:t>
      </w:r>
    </w:p>
    <w:p w:rsidR="005F7EB2" w:rsidRPr="00E87DC1" w:rsidRDefault="000E63AC" w:rsidP="00A4038B">
      <w:pPr>
        <w:widowControl w:val="0"/>
        <w:autoSpaceDE w:val="0"/>
        <w:autoSpaceDN w:val="0"/>
        <w:adjustRightInd w:val="0"/>
        <w:spacing w:after="0" w:line="240" w:lineRule="auto"/>
        <w:ind w:left="567" w:hanging="567"/>
        <w:contextualSpacing/>
        <w:jc w:val="both"/>
        <w:rPr>
          <w:rFonts w:ascii="Calibri" w:hAnsi="Calibri"/>
          <w:lang w:val="en-US"/>
        </w:rPr>
      </w:pPr>
      <w:proofErr w:type="spellStart"/>
      <w:r w:rsidRPr="00E87DC1">
        <w:rPr>
          <w:rFonts w:ascii="Calibri" w:eastAsia="Calibri" w:hAnsi="Calibri" w:cs="Arial"/>
          <w:lang w:val="en-US"/>
        </w:rPr>
        <w:t>Cecilie</w:t>
      </w:r>
      <w:proofErr w:type="spellEnd"/>
      <w:r w:rsidRPr="00E87DC1">
        <w:rPr>
          <w:rFonts w:ascii="Calibri" w:eastAsia="Calibri" w:hAnsi="Calibri" w:cs="Arial"/>
          <w:lang w:val="en-US"/>
        </w:rPr>
        <w:t xml:space="preserve"> </w:t>
      </w:r>
      <w:proofErr w:type="spellStart"/>
      <w:r w:rsidRPr="00E87DC1">
        <w:rPr>
          <w:rFonts w:ascii="Calibri" w:eastAsia="Calibri" w:hAnsi="Calibri" w:cs="Arial"/>
          <w:lang w:val="en-US"/>
        </w:rPr>
        <w:t>Svanes</w:t>
      </w:r>
      <w:proofErr w:type="spellEnd"/>
      <w:r w:rsidRPr="00E87DC1">
        <w:rPr>
          <w:rFonts w:ascii="Calibri" w:hAnsi="Calibri"/>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 xml:space="preserve">Department of Occupational Medicine, </w:t>
      </w:r>
      <w:proofErr w:type="spellStart"/>
      <w:r w:rsidR="005F7EB2" w:rsidRPr="00E87DC1">
        <w:rPr>
          <w:rFonts w:ascii="Calibri" w:hAnsi="Calibri"/>
          <w:lang w:val="en-US"/>
        </w:rPr>
        <w:t>Haukeland</w:t>
      </w:r>
      <w:proofErr w:type="spellEnd"/>
      <w:r w:rsidR="005F7EB2" w:rsidRPr="00E87DC1">
        <w:rPr>
          <w:rFonts w:ascii="Calibri" w:hAnsi="Calibri"/>
          <w:lang w:val="en-US"/>
        </w:rPr>
        <w:t xml:space="preserve"> Univ</w:t>
      </w:r>
      <w:r w:rsidRPr="00E87DC1">
        <w:rPr>
          <w:rFonts w:ascii="Calibri" w:hAnsi="Calibri"/>
          <w:lang w:val="en-US"/>
        </w:rPr>
        <w:t xml:space="preserve">ersity Hospital, Bergen, Norway, </w:t>
      </w:r>
      <w:r w:rsidRPr="00E87DC1">
        <w:rPr>
          <w:lang w:val="en-US"/>
        </w:rPr>
        <w:t>cecilie.svanes@helse-bergen.no</w:t>
      </w:r>
    </w:p>
    <w:p w:rsidR="005F7EB2" w:rsidRPr="00E87DC1" w:rsidRDefault="00EE6524" w:rsidP="00A4038B">
      <w:pPr>
        <w:widowControl w:val="0"/>
        <w:autoSpaceDE w:val="0"/>
        <w:autoSpaceDN w:val="0"/>
        <w:adjustRightInd w:val="0"/>
        <w:spacing w:after="0" w:line="240" w:lineRule="auto"/>
        <w:ind w:left="567" w:hanging="567"/>
        <w:contextualSpacing/>
        <w:jc w:val="both"/>
        <w:rPr>
          <w:rFonts w:ascii="Calibri" w:hAnsi="Calibri"/>
          <w:lang w:val="en-US"/>
        </w:rPr>
      </w:pPr>
      <w:r w:rsidRPr="00E87DC1">
        <w:rPr>
          <w:rFonts w:ascii="Calibri" w:eastAsia="Calibri" w:hAnsi="Calibri" w:cs="Arial"/>
          <w:lang w:val="en-US"/>
        </w:rPr>
        <w:t>Paola Mason</w:t>
      </w:r>
      <w:r w:rsidRPr="00E87DC1">
        <w:rPr>
          <w:rFonts w:ascii="Calibri" w:hAnsi="Calibri"/>
          <w:lang w:val="en-US"/>
        </w:rPr>
        <w:t xml:space="preserve">, </w:t>
      </w:r>
      <w:r w:rsidR="0049029D" w:rsidRPr="00E87DC1">
        <w:rPr>
          <w:rFonts w:ascii="Calibri" w:eastAsia="Calibri" w:hAnsi="Calibri" w:cs="Arial"/>
          <w:lang w:val="en-US"/>
        </w:rPr>
        <w:t>MD</w:t>
      </w:r>
      <w:r w:rsidR="0049029D" w:rsidRPr="00E87DC1">
        <w:rPr>
          <w:lang w:val="en-US"/>
        </w:rPr>
        <w:t xml:space="preserve">, </w:t>
      </w:r>
      <w:r w:rsidR="005F7EB2" w:rsidRPr="00E87DC1">
        <w:rPr>
          <w:rFonts w:ascii="Calibri" w:hAnsi="Calibri"/>
          <w:lang w:val="en-US"/>
        </w:rPr>
        <w:t>Department of Cardiac-Thoracic-Vascular Sciences and Public Health, Unive</w:t>
      </w:r>
      <w:r w:rsidRPr="00E87DC1">
        <w:rPr>
          <w:rFonts w:ascii="Calibri" w:hAnsi="Calibri"/>
          <w:lang w:val="en-US"/>
        </w:rPr>
        <w:t xml:space="preserve">rsity of Padova, Padova, Italy, </w:t>
      </w:r>
      <w:r w:rsidRPr="00E87DC1">
        <w:rPr>
          <w:lang w:val="en-US"/>
        </w:rPr>
        <w:t>paola.mason.1@unipd.it</w:t>
      </w:r>
    </w:p>
    <w:p w:rsidR="005F7EB2" w:rsidRPr="00E87DC1" w:rsidRDefault="00EE6524" w:rsidP="00A4038B">
      <w:pPr>
        <w:widowControl w:val="0"/>
        <w:autoSpaceDE w:val="0"/>
        <w:autoSpaceDN w:val="0"/>
        <w:adjustRightInd w:val="0"/>
        <w:spacing w:after="0" w:line="240" w:lineRule="auto"/>
        <w:ind w:left="567" w:hanging="567"/>
        <w:contextualSpacing/>
        <w:jc w:val="both"/>
        <w:rPr>
          <w:rFonts w:ascii="Calibri" w:hAnsi="Calibri"/>
          <w:lang w:val="en-US"/>
        </w:rPr>
      </w:pPr>
      <w:r w:rsidRPr="00E87DC1">
        <w:rPr>
          <w:lang w:val="en-US"/>
        </w:rPr>
        <w:t xml:space="preserve">Marco </w:t>
      </w:r>
      <w:proofErr w:type="spellStart"/>
      <w:r w:rsidRPr="00E87DC1">
        <w:rPr>
          <w:lang w:val="en-US"/>
        </w:rPr>
        <w:t>dell’Omo</w:t>
      </w:r>
      <w:proofErr w:type="spellEnd"/>
      <w:r w:rsidRPr="00E87DC1">
        <w:rPr>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Department of Medicine, Section of Occupational Medicine, Respiratory Diseases and Occupational and Environmental Toxicolog</w:t>
      </w:r>
      <w:r w:rsidRPr="00E87DC1">
        <w:rPr>
          <w:rFonts w:ascii="Calibri" w:hAnsi="Calibri"/>
          <w:lang w:val="en-US"/>
        </w:rPr>
        <w:t xml:space="preserve">y, University of Perugia, Italy, </w:t>
      </w:r>
      <w:r w:rsidRPr="00E87DC1">
        <w:rPr>
          <w:lang w:val="en-US"/>
        </w:rPr>
        <w:t>marco.dellomo@unipg.it</w:t>
      </w:r>
    </w:p>
    <w:p w:rsidR="005F7EB2" w:rsidRPr="00E87DC1" w:rsidRDefault="00A4038B" w:rsidP="00A4038B">
      <w:pPr>
        <w:widowControl w:val="0"/>
        <w:autoSpaceDE w:val="0"/>
        <w:autoSpaceDN w:val="0"/>
        <w:adjustRightInd w:val="0"/>
        <w:spacing w:after="0" w:line="240" w:lineRule="auto"/>
        <w:ind w:left="567" w:hanging="567"/>
        <w:contextualSpacing/>
        <w:jc w:val="both"/>
        <w:rPr>
          <w:rFonts w:ascii="Calibri" w:hAnsi="Calibri"/>
          <w:lang w:val="en-US"/>
        </w:rPr>
      </w:pPr>
      <w:r w:rsidRPr="00E87DC1">
        <w:rPr>
          <w:rFonts w:ascii="Calibri" w:eastAsia="Calibri" w:hAnsi="Calibri" w:cs="Arial"/>
          <w:lang w:val="en-US"/>
        </w:rPr>
        <w:t>Gianna Moscato</w:t>
      </w:r>
      <w:r w:rsidRPr="00E87DC1">
        <w:rPr>
          <w:rFonts w:ascii="Calibri" w:hAnsi="Calibri"/>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 xml:space="preserve">Department of Public Health, Experimental and Forensic Medicine, </w:t>
      </w:r>
      <w:bookmarkStart w:id="1" w:name="_Hlk19008854"/>
      <w:r w:rsidR="005F7EB2" w:rsidRPr="00E87DC1">
        <w:rPr>
          <w:rFonts w:ascii="Calibri" w:hAnsi="Calibri"/>
          <w:lang w:val="en-US"/>
        </w:rPr>
        <w:t>Specialization School in Occupational Medicine,</w:t>
      </w:r>
      <w:bookmarkEnd w:id="1"/>
      <w:r w:rsidR="005F7EB2" w:rsidRPr="00E87DC1">
        <w:rPr>
          <w:rFonts w:ascii="Calibri" w:hAnsi="Calibri"/>
          <w:lang w:val="en-US"/>
        </w:rPr>
        <w:t xml:space="preserve"> University of Pavia</w:t>
      </w:r>
      <w:r w:rsidRPr="00E87DC1">
        <w:rPr>
          <w:rFonts w:ascii="Calibri" w:hAnsi="Calibri"/>
          <w:lang w:val="en-US"/>
        </w:rPr>
        <w:t>, Pavia, Italy,</w:t>
      </w:r>
      <w:r w:rsidR="00D17328" w:rsidRPr="00E87DC1">
        <w:rPr>
          <w:rFonts w:ascii="Calibri" w:hAnsi="Calibri"/>
          <w:lang w:val="en-US"/>
        </w:rPr>
        <w:t xml:space="preserve"> </w:t>
      </w:r>
      <w:r w:rsidR="00D17328" w:rsidRPr="00E87DC1">
        <w:rPr>
          <w:lang w:val="en-US"/>
        </w:rPr>
        <w:t>giannamoscato12@gmail.com</w:t>
      </w:r>
    </w:p>
    <w:p w:rsidR="005F7EB2" w:rsidRPr="00E87DC1" w:rsidRDefault="00D17328" w:rsidP="00A4038B">
      <w:pPr>
        <w:widowControl w:val="0"/>
        <w:autoSpaceDE w:val="0"/>
        <w:autoSpaceDN w:val="0"/>
        <w:adjustRightInd w:val="0"/>
        <w:spacing w:after="0" w:line="240" w:lineRule="auto"/>
        <w:ind w:left="567" w:hanging="567"/>
        <w:contextualSpacing/>
        <w:jc w:val="both"/>
        <w:rPr>
          <w:rFonts w:ascii="Calibri" w:hAnsi="Calibri"/>
          <w:lang w:val="en-US"/>
        </w:rPr>
      </w:pPr>
      <w:r w:rsidRPr="00E87DC1">
        <w:rPr>
          <w:rFonts w:ascii="Calibri" w:eastAsia="Calibri" w:hAnsi="Calibri" w:cs="Arial"/>
          <w:lang w:val="en-US"/>
        </w:rPr>
        <w:t xml:space="preserve">Santiago </w:t>
      </w:r>
      <w:proofErr w:type="spellStart"/>
      <w:r w:rsidRPr="00E87DC1">
        <w:rPr>
          <w:rFonts w:ascii="Calibri" w:eastAsia="Calibri" w:hAnsi="Calibri" w:cs="Arial"/>
          <w:lang w:val="en-US"/>
        </w:rPr>
        <w:t>Quirce</w:t>
      </w:r>
      <w:proofErr w:type="spellEnd"/>
      <w:r w:rsidRPr="00E87DC1">
        <w:rPr>
          <w:rFonts w:ascii="Calibri" w:eastAsia="Calibri" w:hAnsi="Calibri" w:cs="Arial"/>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Department of Allergy, Hospital La Paz Institute for Health Research (</w:t>
      </w:r>
      <w:proofErr w:type="spellStart"/>
      <w:r w:rsidR="005F7EB2" w:rsidRPr="00E87DC1">
        <w:rPr>
          <w:rFonts w:ascii="Calibri" w:hAnsi="Calibri"/>
          <w:lang w:val="en-US"/>
        </w:rPr>
        <w:t>IdiPAZ</w:t>
      </w:r>
      <w:proofErr w:type="spellEnd"/>
      <w:r w:rsidR="005F7EB2" w:rsidRPr="00E87DC1">
        <w:rPr>
          <w:rFonts w:ascii="Calibri" w:hAnsi="Calibri"/>
          <w:lang w:val="en-US"/>
        </w:rPr>
        <w:t xml:space="preserve">) and CIBER de </w:t>
      </w:r>
      <w:proofErr w:type="spellStart"/>
      <w:r w:rsidR="005F7EB2" w:rsidRPr="00E87DC1">
        <w:rPr>
          <w:rFonts w:ascii="Calibri" w:hAnsi="Calibri"/>
          <w:lang w:val="en-US"/>
        </w:rPr>
        <w:t>Enfermedades</w:t>
      </w:r>
      <w:proofErr w:type="spellEnd"/>
      <w:r w:rsidR="005F7EB2" w:rsidRPr="00E87DC1">
        <w:rPr>
          <w:rFonts w:ascii="Calibri" w:hAnsi="Calibri"/>
          <w:lang w:val="en-US"/>
        </w:rPr>
        <w:t xml:space="preserve"> </w:t>
      </w:r>
      <w:proofErr w:type="spellStart"/>
      <w:r w:rsidR="005F7EB2" w:rsidRPr="00E87DC1">
        <w:rPr>
          <w:rFonts w:ascii="Calibri" w:hAnsi="Calibri"/>
          <w:lang w:val="en-US"/>
        </w:rPr>
        <w:t>Respira</w:t>
      </w:r>
      <w:r w:rsidRPr="00E87DC1">
        <w:rPr>
          <w:rFonts w:ascii="Calibri" w:hAnsi="Calibri"/>
          <w:lang w:val="en-US"/>
        </w:rPr>
        <w:t>torias</w:t>
      </w:r>
      <w:proofErr w:type="spellEnd"/>
      <w:r w:rsidRPr="00E87DC1">
        <w:rPr>
          <w:rFonts w:ascii="Calibri" w:hAnsi="Calibri"/>
          <w:lang w:val="en-US"/>
        </w:rPr>
        <w:t xml:space="preserve"> (CIBERES), Madrid, Spain, </w:t>
      </w:r>
      <w:r w:rsidRPr="00E87DC1">
        <w:rPr>
          <w:lang w:val="en-US"/>
        </w:rPr>
        <w:t>squirce@gmail.com</w:t>
      </w:r>
    </w:p>
    <w:p w:rsidR="005F7EB2" w:rsidRPr="00E87DC1" w:rsidRDefault="00D17328" w:rsidP="00A4038B">
      <w:pPr>
        <w:widowControl w:val="0"/>
        <w:autoSpaceDE w:val="0"/>
        <w:autoSpaceDN w:val="0"/>
        <w:adjustRightInd w:val="0"/>
        <w:spacing w:after="0" w:line="240" w:lineRule="auto"/>
        <w:ind w:left="567" w:hanging="567"/>
        <w:contextualSpacing/>
        <w:jc w:val="both"/>
        <w:rPr>
          <w:rFonts w:ascii="Calibri" w:hAnsi="Calibri"/>
          <w:lang w:val="en-US"/>
        </w:rPr>
      </w:pPr>
      <w:r w:rsidRPr="00E87DC1">
        <w:rPr>
          <w:rFonts w:ascii="Calibri" w:eastAsia="Calibri" w:hAnsi="Calibri" w:cs="Arial"/>
          <w:lang w:val="en-US"/>
        </w:rPr>
        <w:t>Jennifer Hoyle</w:t>
      </w:r>
      <w:r w:rsidRPr="00E87DC1">
        <w:rPr>
          <w:rFonts w:ascii="Calibri" w:hAnsi="Calibri"/>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Department of Respiratory Medicine, North Manchester G</w:t>
      </w:r>
      <w:r w:rsidRPr="00E87DC1">
        <w:rPr>
          <w:rFonts w:ascii="Calibri" w:hAnsi="Calibri"/>
          <w:lang w:val="en-US"/>
        </w:rPr>
        <w:t xml:space="preserve">eneral Hospital, Manchester, UK, </w:t>
      </w:r>
      <w:r w:rsidRPr="00E87DC1">
        <w:rPr>
          <w:lang w:val="en-US"/>
        </w:rPr>
        <w:t>Jennifer.Hoyle@pat.nhs.uk</w:t>
      </w:r>
    </w:p>
    <w:p w:rsidR="005F7EB2" w:rsidRPr="00E87DC1" w:rsidRDefault="00D17328" w:rsidP="00A4038B">
      <w:pPr>
        <w:widowControl w:val="0"/>
        <w:autoSpaceDE w:val="0"/>
        <w:autoSpaceDN w:val="0"/>
        <w:adjustRightInd w:val="0"/>
        <w:spacing w:after="0" w:line="240" w:lineRule="auto"/>
        <w:ind w:left="567" w:hanging="567"/>
        <w:contextualSpacing/>
        <w:jc w:val="both"/>
        <w:rPr>
          <w:rFonts w:ascii="Calibri" w:hAnsi="Calibri"/>
          <w:lang w:val="en-US"/>
        </w:rPr>
      </w:pPr>
      <w:r w:rsidRPr="00E87DC1">
        <w:rPr>
          <w:rFonts w:ascii="Calibri" w:eastAsia="Calibri" w:hAnsi="Calibri" w:cs="Arial"/>
          <w:lang w:val="en-US"/>
        </w:rPr>
        <w:lastRenderedPageBreak/>
        <w:t>David Sherson</w:t>
      </w:r>
      <w:r w:rsidRPr="00E87DC1">
        <w:rPr>
          <w:rFonts w:ascii="Calibri" w:hAnsi="Calibri"/>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Department of Pulmonary Medicine and Occupational Medicine, Odense University Hospital, Odense, Denmark;</w:t>
      </w:r>
      <w:r w:rsidRPr="00E87DC1">
        <w:rPr>
          <w:rFonts w:ascii="Calibri" w:hAnsi="Calibri"/>
          <w:lang w:val="en-US"/>
        </w:rPr>
        <w:t xml:space="preserve"> </w:t>
      </w:r>
      <w:r w:rsidRPr="00E87DC1">
        <w:rPr>
          <w:lang w:val="en-US"/>
        </w:rPr>
        <w:t>david.sherson@rsyd.dk</w:t>
      </w:r>
      <w:r w:rsidR="005F7EB2" w:rsidRPr="00E87DC1">
        <w:rPr>
          <w:rFonts w:ascii="Calibri" w:hAnsi="Calibri"/>
          <w:lang w:val="en-US"/>
        </w:rPr>
        <w:tab/>
      </w:r>
    </w:p>
    <w:p w:rsidR="005F7EB2" w:rsidRPr="00E87DC1" w:rsidRDefault="00D17328" w:rsidP="00A4038B">
      <w:pPr>
        <w:widowControl w:val="0"/>
        <w:autoSpaceDE w:val="0"/>
        <w:autoSpaceDN w:val="0"/>
        <w:adjustRightInd w:val="0"/>
        <w:spacing w:after="0" w:line="240" w:lineRule="auto"/>
        <w:ind w:left="567" w:hanging="567"/>
        <w:contextualSpacing/>
        <w:jc w:val="both"/>
        <w:rPr>
          <w:rFonts w:ascii="Calibri" w:eastAsia="Times New Roman" w:hAnsi="Calibri" w:cs="Arial"/>
          <w:bCs/>
          <w:spacing w:val="-14"/>
          <w:lang w:val="en-US" w:eastAsia="fr-FR"/>
        </w:rPr>
      </w:pPr>
      <w:r w:rsidRPr="00E87DC1">
        <w:rPr>
          <w:rFonts w:ascii="Calibri" w:eastAsia="Calibri" w:hAnsi="Calibri" w:cs="Arial"/>
          <w:lang w:val="en-US"/>
        </w:rPr>
        <w:t xml:space="preserve">Alexandra </w:t>
      </w:r>
      <w:proofErr w:type="spellStart"/>
      <w:r w:rsidRPr="00E87DC1">
        <w:rPr>
          <w:rFonts w:ascii="Calibri" w:eastAsia="Calibri" w:hAnsi="Calibri" w:cs="Arial"/>
          <w:lang w:val="en-US"/>
        </w:rPr>
        <w:t>Preisser</w:t>
      </w:r>
      <w:proofErr w:type="spellEnd"/>
      <w:r w:rsidRPr="00E87DC1">
        <w:rPr>
          <w:rFonts w:ascii="Calibri" w:eastAsia="Times New Roman" w:hAnsi="Calibri" w:cs="Arial"/>
          <w:bCs/>
          <w:spacing w:val="-14"/>
          <w:lang w:val="en-US" w:eastAsia="fr-FR"/>
        </w:rPr>
        <w:t xml:space="preserve">, </w:t>
      </w:r>
      <w:r w:rsidR="0049029D" w:rsidRPr="00E87DC1">
        <w:rPr>
          <w:rFonts w:ascii="Calibri" w:eastAsia="Calibri" w:hAnsi="Calibri" w:cs="Arial"/>
          <w:lang w:val="en-US"/>
        </w:rPr>
        <w:t xml:space="preserve">MD, </w:t>
      </w:r>
      <w:r w:rsidR="005F7EB2" w:rsidRPr="00E87DC1">
        <w:rPr>
          <w:rFonts w:ascii="Calibri" w:eastAsia="Times New Roman" w:hAnsi="Calibri" w:cs="Arial"/>
          <w:bCs/>
          <w:spacing w:val="-14"/>
          <w:lang w:val="en-US" w:eastAsia="fr-FR"/>
        </w:rPr>
        <w:t>Institute for Occupational and Maritime Medicine, University Medical Center Hamb</w:t>
      </w:r>
      <w:r w:rsidRPr="00E87DC1">
        <w:rPr>
          <w:rFonts w:ascii="Calibri" w:eastAsia="Times New Roman" w:hAnsi="Calibri" w:cs="Arial"/>
          <w:bCs/>
          <w:spacing w:val="-14"/>
          <w:lang w:val="en-US" w:eastAsia="fr-FR"/>
        </w:rPr>
        <w:t xml:space="preserve">urg-Eppendorf, Hamburg, Germany, </w:t>
      </w:r>
      <w:r w:rsidRPr="00E87DC1">
        <w:rPr>
          <w:lang w:val="en-US"/>
        </w:rPr>
        <w:t>alexandra.preisser@bgv.hamburg.de</w:t>
      </w:r>
    </w:p>
    <w:p w:rsidR="005F7EB2" w:rsidRPr="00E87DC1" w:rsidRDefault="003E1A91" w:rsidP="00A4038B">
      <w:pPr>
        <w:spacing w:after="0" w:line="240" w:lineRule="auto"/>
        <w:ind w:left="567" w:hanging="567"/>
        <w:jc w:val="both"/>
        <w:rPr>
          <w:rFonts w:ascii="Calibri" w:hAnsi="Calibri"/>
          <w:lang w:val="en-US"/>
        </w:rPr>
      </w:pPr>
      <w:r w:rsidRPr="00E87DC1">
        <w:rPr>
          <w:lang w:val="en-US"/>
        </w:rPr>
        <w:t>Martin Seed</w:t>
      </w:r>
      <w:r w:rsidRPr="00E87DC1">
        <w:rPr>
          <w:rFonts w:ascii="Calibri" w:hAnsi="Calibri"/>
          <w:lang w:val="en-US"/>
        </w:rPr>
        <w:t xml:space="preserve">, </w:t>
      </w:r>
      <w:r w:rsidR="0049029D" w:rsidRPr="00E87DC1">
        <w:rPr>
          <w:rFonts w:ascii="Calibri" w:eastAsia="Calibri" w:hAnsi="Calibri" w:cs="Arial"/>
          <w:lang w:val="en-US"/>
        </w:rPr>
        <w:t xml:space="preserve">MD, </w:t>
      </w:r>
      <w:r w:rsidR="005F7EB2" w:rsidRPr="00E87DC1">
        <w:rPr>
          <w:rFonts w:ascii="Calibri" w:hAnsi="Calibri"/>
          <w:lang w:val="en-US"/>
        </w:rPr>
        <w:t>Centre for Occupational and Environmental Health, The University of Manchester, Manchester, UK</w:t>
      </w:r>
      <w:r w:rsidRPr="00E87DC1">
        <w:rPr>
          <w:rFonts w:ascii="Calibri" w:hAnsi="Calibri"/>
          <w:lang w:val="en-US"/>
        </w:rPr>
        <w:t>,</w:t>
      </w:r>
      <w:r w:rsidRPr="00E87DC1">
        <w:rPr>
          <w:lang w:val="en-US"/>
        </w:rPr>
        <w:t xml:space="preserve"> Martin.Seed@manchester.ac.uk</w:t>
      </w:r>
    </w:p>
    <w:p w:rsidR="005F7EB2" w:rsidRPr="00E87DC1" w:rsidRDefault="003E1A91" w:rsidP="00A4038B">
      <w:pPr>
        <w:spacing w:after="0" w:line="240" w:lineRule="auto"/>
        <w:ind w:left="567" w:hanging="567"/>
        <w:jc w:val="both"/>
        <w:rPr>
          <w:rFonts w:ascii="Calibri" w:hAnsi="Calibri"/>
          <w:lang w:val="en-US"/>
        </w:rPr>
      </w:pPr>
      <w:r w:rsidRPr="00E87DC1">
        <w:rPr>
          <w:lang w:val="en-US"/>
        </w:rPr>
        <w:t xml:space="preserve">Catherine </w:t>
      </w:r>
      <w:proofErr w:type="spellStart"/>
      <w:r w:rsidRPr="00E87DC1">
        <w:rPr>
          <w:lang w:val="en-US"/>
        </w:rPr>
        <w:t>Rifflart</w:t>
      </w:r>
      <w:proofErr w:type="spellEnd"/>
      <w:r w:rsidRPr="00E87DC1">
        <w:rPr>
          <w:rFonts w:ascii="Calibri" w:hAnsi="Calibri"/>
          <w:lang w:val="en-US"/>
        </w:rPr>
        <w:t xml:space="preserve">, </w:t>
      </w:r>
      <w:r w:rsidR="0049029D" w:rsidRPr="00E87DC1">
        <w:rPr>
          <w:lang w:val="en-US"/>
        </w:rPr>
        <w:t>MSc,</w:t>
      </w:r>
      <w:r w:rsidR="0049029D" w:rsidRPr="00E87DC1">
        <w:rPr>
          <w:vertAlign w:val="superscript"/>
          <w:lang w:val="en-US"/>
        </w:rPr>
        <w:t xml:space="preserve"> </w:t>
      </w:r>
      <w:r w:rsidR="005F7EB2" w:rsidRPr="00E87DC1">
        <w:rPr>
          <w:rFonts w:ascii="Calibri" w:hAnsi="Calibri"/>
          <w:lang w:val="en-US"/>
        </w:rPr>
        <w:t xml:space="preserve">Department of Chest Medicine, Centre </w:t>
      </w:r>
      <w:proofErr w:type="spellStart"/>
      <w:r w:rsidR="005F7EB2" w:rsidRPr="00E87DC1">
        <w:rPr>
          <w:rFonts w:ascii="Calibri" w:hAnsi="Calibri"/>
          <w:lang w:val="en-US"/>
        </w:rPr>
        <w:t>Hospitalier</w:t>
      </w:r>
      <w:proofErr w:type="spellEnd"/>
      <w:r w:rsidR="005F7EB2" w:rsidRPr="00E87DC1">
        <w:rPr>
          <w:rFonts w:ascii="Calibri" w:hAnsi="Calibri"/>
          <w:lang w:val="en-US"/>
        </w:rPr>
        <w:t xml:space="preserve"> </w:t>
      </w:r>
      <w:proofErr w:type="spellStart"/>
      <w:r w:rsidR="005F7EB2" w:rsidRPr="00E87DC1">
        <w:rPr>
          <w:rFonts w:ascii="Calibri" w:hAnsi="Calibri"/>
          <w:lang w:val="en-US"/>
        </w:rPr>
        <w:t>Universitaire</w:t>
      </w:r>
      <w:proofErr w:type="spellEnd"/>
      <w:r w:rsidR="005F7EB2" w:rsidRPr="00E87DC1">
        <w:rPr>
          <w:rFonts w:ascii="Calibri" w:hAnsi="Calibri"/>
          <w:lang w:val="en-US"/>
        </w:rPr>
        <w:t xml:space="preserve"> UCL Namur, </w:t>
      </w:r>
      <w:proofErr w:type="spellStart"/>
      <w:r w:rsidR="005F7EB2" w:rsidRPr="00E87DC1">
        <w:rPr>
          <w:rFonts w:ascii="Calibri" w:hAnsi="Calibri"/>
          <w:lang w:val="en-US"/>
        </w:rPr>
        <w:t>Université</w:t>
      </w:r>
      <w:proofErr w:type="spellEnd"/>
      <w:r w:rsidR="005F7EB2" w:rsidRPr="00E87DC1">
        <w:rPr>
          <w:rFonts w:ascii="Calibri" w:hAnsi="Calibri"/>
          <w:lang w:val="en-US"/>
        </w:rPr>
        <w:t xml:space="preserve"> </w:t>
      </w:r>
      <w:proofErr w:type="spellStart"/>
      <w:r w:rsidR="005F7EB2" w:rsidRPr="00E87DC1">
        <w:rPr>
          <w:rFonts w:ascii="Calibri" w:hAnsi="Calibri"/>
          <w:lang w:val="en-US"/>
        </w:rPr>
        <w:t>Cathol</w:t>
      </w:r>
      <w:r w:rsidRPr="00E87DC1">
        <w:rPr>
          <w:rFonts w:ascii="Calibri" w:hAnsi="Calibri"/>
          <w:lang w:val="en-US"/>
        </w:rPr>
        <w:t>ique</w:t>
      </w:r>
      <w:proofErr w:type="spellEnd"/>
      <w:r w:rsidRPr="00E87DC1">
        <w:rPr>
          <w:rFonts w:ascii="Calibri" w:hAnsi="Calibri"/>
          <w:lang w:val="en-US"/>
        </w:rPr>
        <w:t xml:space="preserve"> de Louvain, </w:t>
      </w:r>
      <w:proofErr w:type="spellStart"/>
      <w:r w:rsidRPr="00E87DC1">
        <w:rPr>
          <w:rFonts w:ascii="Calibri" w:hAnsi="Calibri"/>
          <w:lang w:val="en-US"/>
        </w:rPr>
        <w:t>Yvoir</w:t>
      </w:r>
      <w:proofErr w:type="spellEnd"/>
      <w:r w:rsidRPr="00E87DC1">
        <w:rPr>
          <w:rFonts w:ascii="Calibri" w:hAnsi="Calibri"/>
          <w:lang w:val="en-US"/>
        </w:rPr>
        <w:t xml:space="preserve">, Belgium, </w:t>
      </w:r>
      <w:r w:rsidRPr="00E87DC1">
        <w:rPr>
          <w:lang w:val="en-US"/>
        </w:rPr>
        <w:t>catherine.rifflart@uclouvain.be</w:t>
      </w:r>
    </w:p>
    <w:p w:rsidR="005F7EB2" w:rsidRPr="00E87DC1" w:rsidRDefault="003E1A91" w:rsidP="00A4038B">
      <w:pPr>
        <w:spacing w:after="0" w:line="240" w:lineRule="auto"/>
        <w:ind w:left="567" w:hanging="567"/>
        <w:jc w:val="both"/>
        <w:rPr>
          <w:rFonts w:ascii="Calibri" w:hAnsi="Calibri"/>
          <w:lang w:val="en-US"/>
        </w:rPr>
      </w:pPr>
      <w:r w:rsidRPr="00E87DC1">
        <w:rPr>
          <w:lang w:val="en-US"/>
        </w:rPr>
        <w:t>Julien Godet</w:t>
      </w:r>
      <w:r w:rsidRPr="00E87DC1">
        <w:rPr>
          <w:rFonts w:ascii="Calibri" w:hAnsi="Calibri"/>
          <w:lang w:val="en-US"/>
        </w:rPr>
        <w:t xml:space="preserve">, </w:t>
      </w:r>
      <w:r w:rsidR="0049029D" w:rsidRPr="00E87DC1">
        <w:rPr>
          <w:lang w:val="en-US"/>
        </w:rPr>
        <w:t xml:space="preserve">PharmD, </w:t>
      </w:r>
      <w:r w:rsidR="005F7EB2" w:rsidRPr="00E87DC1">
        <w:rPr>
          <w:rFonts w:ascii="Calibri" w:hAnsi="Calibri"/>
          <w:lang w:val="en-US"/>
        </w:rPr>
        <w:t xml:space="preserve">Groupe </w:t>
      </w:r>
      <w:proofErr w:type="spellStart"/>
      <w:r w:rsidR="005F7EB2" w:rsidRPr="00E87DC1">
        <w:rPr>
          <w:rFonts w:ascii="Calibri" w:hAnsi="Calibri"/>
          <w:lang w:val="en-US"/>
        </w:rPr>
        <w:t>Méthode</w:t>
      </w:r>
      <w:proofErr w:type="spellEnd"/>
      <w:r w:rsidR="005F7EB2" w:rsidRPr="00E87DC1">
        <w:rPr>
          <w:rFonts w:ascii="Calibri" w:hAnsi="Calibri"/>
          <w:lang w:val="en-US"/>
        </w:rPr>
        <w:t xml:space="preserve"> Recherche Clinique, </w:t>
      </w:r>
      <w:proofErr w:type="spellStart"/>
      <w:r w:rsidR="005F7EB2" w:rsidRPr="00E87DC1">
        <w:rPr>
          <w:rFonts w:ascii="Calibri" w:hAnsi="Calibri"/>
          <w:lang w:val="en-US"/>
        </w:rPr>
        <w:t>Pôle</w:t>
      </w:r>
      <w:proofErr w:type="spellEnd"/>
      <w:r w:rsidR="005F7EB2" w:rsidRPr="00E87DC1">
        <w:rPr>
          <w:rFonts w:ascii="Calibri" w:hAnsi="Calibri"/>
          <w:lang w:val="en-US"/>
        </w:rPr>
        <w:t xml:space="preserve"> de Santé </w:t>
      </w:r>
      <w:proofErr w:type="spellStart"/>
      <w:r w:rsidR="005F7EB2" w:rsidRPr="00E87DC1">
        <w:rPr>
          <w:rFonts w:ascii="Calibri" w:hAnsi="Calibri"/>
          <w:lang w:val="en-US"/>
        </w:rPr>
        <w:t>Publique</w:t>
      </w:r>
      <w:proofErr w:type="spellEnd"/>
      <w:r w:rsidR="005F7EB2" w:rsidRPr="00E87DC1">
        <w:rPr>
          <w:rFonts w:ascii="Calibri" w:hAnsi="Calibri"/>
          <w:lang w:val="en-US"/>
        </w:rPr>
        <w:t>, Strasbourg</w:t>
      </w:r>
      <w:r w:rsidRPr="00E87DC1">
        <w:rPr>
          <w:rFonts w:ascii="Calibri" w:hAnsi="Calibri"/>
          <w:lang w:val="en-US"/>
        </w:rPr>
        <w:t xml:space="preserve"> University, Strasbourg, France, </w:t>
      </w:r>
      <w:r w:rsidRPr="00E87DC1">
        <w:rPr>
          <w:lang w:val="en-US"/>
        </w:rPr>
        <w:t>julien.godet@unistra.fr</w:t>
      </w:r>
    </w:p>
    <w:p w:rsidR="005F7EB2" w:rsidRPr="00E87DC1" w:rsidRDefault="003E1A91" w:rsidP="00A4038B">
      <w:pPr>
        <w:spacing w:after="0" w:line="240" w:lineRule="auto"/>
        <w:ind w:left="567" w:hanging="567"/>
        <w:jc w:val="both"/>
        <w:rPr>
          <w:rFonts w:ascii="Calibri" w:hAnsi="Calibri"/>
          <w:lang w:val="en-US"/>
        </w:rPr>
      </w:pPr>
      <w:r w:rsidRPr="00E87DC1">
        <w:rPr>
          <w:lang w:val="en-US"/>
        </w:rPr>
        <w:t xml:space="preserve">Frédéric de </w:t>
      </w:r>
      <w:proofErr w:type="spellStart"/>
      <w:r w:rsidRPr="00E87DC1">
        <w:rPr>
          <w:lang w:val="en-US"/>
        </w:rPr>
        <w:t>Blay</w:t>
      </w:r>
      <w:proofErr w:type="spellEnd"/>
      <w:r w:rsidRPr="00E87DC1">
        <w:rPr>
          <w:rFonts w:ascii="Calibri" w:hAnsi="Calibri"/>
          <w:lang w:val="en-US"/>
        </w:rPr>
        <w:t xml:space="preserve">, </w:t>
      </w:r>
      <w:r w:rsidR="0049029D" w:rsidRPr="00E87DC1">
        <w:rPr>
          <w:lang w:val="en-US"/>
        </w:rPr>
        <w:t xml:space="preserve">MD, </w:t>
      </w:r>
      <w:r w:rsidR="005F7EB2" w:rsidRPr="00E87DC1">
        <w:rPr>
          <w:rFonts w:ascii="Calibri" w:hAnsi="Calibri"/>
          <w:lang w:val="en-US"/>
        </w:rPr>
        <w:t xml:space="preserve">Division of Asthma and Allergy, Department of Chest Diseases, University Hospital of Strasbourg and Fédération de </w:t>
      </w:r>
      <w:proofErr w:type="spellStart"/>
      <w:r w:rsidR="005F7EB2" w:rsidRPr="00E87DC1">
        <w:rPr>
          <w:rFonts w:ascii="Calibri" w:hAnsi="Calibri"/>
          <w:lang w:val="en-US"/>
        </w:rPr>
        <w:t>Médecine</w:t>
      </w:r>
      <w:proofErr w:type="spellEnd"/>
      <w:r w:rsidR="005F7EB2" w:rsidRPr="00E87DC1">
        <w:rPr>
          <w:rFonts w:ascii="Calibri" w:hAnsi="Calibri"/>
          <w:lang w:val="en-US"/>
        </w:rPr>
        <w:t xml:space="preserve"> </w:t>
      </w:r>
      <w:proofErr w:type="spellStart"/>
      <w:r w:rsidR="005F7EB2" w:rsidRPr="00E87DC1">
        <w:rPr>
          <w:rFonts w:ascii="Calibri" w:hAnsi="Calibri"/>
          <w:lang w:val="en-US"/>
        </w:rPr>
        <w:t>translationnelle</w:t>
      </w:r>
      <w:proofErr w:type="spellEnd"/>
      <w:r w:rsidR="005F7EB2" w:rsidRPr="00E87DC1">
        <w:rPr>
          <w:rFonts w:ascii="Calibri" w:hAnsi="Calibri"/>
          <w:lang w:val="en-US"/>
        </w:rPr>
        <w:t>, Strasbourg</w:t>
      </w:r>
      <w:r w:rsidRPr="00E87DC1">
        <w:rPr>
          <w:rFonts w:ascii="Calibri" w:hAnsi="Calibri"/>
          <w:lang w:val="en-US"/>
        </w:rPr>
        <w:t xml:space="preserve"> University, Strasbourg, France, </w:t>
      </w:r>
      <w:r w:rsidRPr="00E87DC1">
        <w:rPr>
          <w:lang w:val="en-US"/>
        </w:rPr>
        <w:t>frederic.deblay@chru-strasbourg.fr</w:t>
      </w:r>
    </w:p>
    <w:p w:rsidR="005F7EB2" w:rsidRPr="00E87DC1" w:rsidRDefault="003E1A91" w:rsidP="00A4038B">
      <w:pPr>
        <w:spacing w:after="0" w:line="240" w:lineRule="auto"/>
        <w:rPr>
          <w:lang w:val="en-US"/>
        </w:rPr>
      </w:pPr>
      <w:r w:rsidRPr="00E87DC1">
        <w:rPr>
          <w:lang w:val="en-US"/>
        </w:rPr>
        <w:t xml:space="preserve">Olivier </w:t>
      </w:r>
      <w:proofErr w:type="spellStart"/>
      <w:r w:rsidRPr="00E87DC1">
        <w:rPr>
          <w:lang w:val="en-US"/>
        </w:rPr>
        <w:t>Vandenplas</w:t>
      </w:r>
      <w:proofErr w:type="spellEnd"/>
      <w:r w:rsidRPr="00E87DC1">
        <w:rPr>
          <w:lang w:val="en-US"/>
        </w:rPr>
        <w:t xml:space="preserve">, </w:t>
      </w:r>
      <w:r w:rsidR="0049029D" w:rsidRPr="00E87DC1">
        <w:rPr>
          <w:lang w:val="en-US"/>
        </w:rPr>
        <w:t xml:space="preserve">MD, </w:t>
      </w:r>
      <w:r w:rsidRPr="00E87DC1">
        <w:rPr>
          <w:rFonts w:ascii="Calibri" w:hAnsi="Calibri"/>
          <w:lang w:val="en-US"/>
        </w:rPr>
        <w:t xml:space="preserve">Department of Chest Medicine, Centre </w:t>
      </w:r>
      <w:proofErr w:type="spellStart"/>
      <w:r w:rsidRPr="00E87DC1">
        <w:rPr>
          <w:rFonts w:ascii="Calibri" w:hAnsi="Calibri"/>
          <w:lang w:val="en-US"/>
        </w:rPr>
        <w:t>Hospitalier</w:t>
      </w:r>
      <w:proofErr w:type="spellEnd"/>
      <w:r w:rsidRPr="00E87DC1">
        <w:rPr>
          <w:rFonts w:ascii="Calibri" w:hAnsi="Calibri"/>
          <w:lang w:val="en-US"/>
        </w:rPr>
        <w:t xml:space="preserve"> </w:t>
      </w:r>
      <w:proofErr w:type="spellStart"/>
      <w:r w:rsidRPr="00E87DC1">
        <w:rPr>
          <w:rFonts w:ascii="Calibri" w:hAnsi="Calibri"/>
          <w:lang w:val="en-US"/>
        </w:rPr>
        <w:t>Universitaire</w:t>
      </w:r>
      <w:proofErr w:type="spellEnd"/>
      <w:r w:rsidRPr="00E87DC1">
        <w:rPr>
          <w:rFonts w:ascii="Calibri" w:hAnsi="Calibri"/>
          <w:lang w:val="en-US"/>
        </w:rPr>
        <w:t xml:space="preserve"> UCL Namur,</w:t>
      </w:r>
      <w:r w:rsidR="00C566C8" w:rsidRPr="00E87DC1">
        <w:rPr>
          <w:rFonts w:ascii="Calibri" w:hAnsi="Calibri"/>
          <w:lang w:val="en-US"/>
        </w:rPr>
        <w:br/>
        <w:t xml:space="preserve">          </w:t>
      </w:r>
      <w:r w:rsidRPr="00E87DC1">
        <w:rPr>
          <w:rFonts w:ascii="Calibri" w:hAnsi="Calibri"/>
          <w:lang w:val="en-US"/>
        </w:rPr>
        <w:t xml:space="preserve"> </w:t>
      </w:r>
      <w:proofErr w:type="spellStart"/>
      <w:r w:rsidRPr="00E87DC1">
        <w:rPr>
          <w:rFonts w:ascii="Calibri" w:hAnsi="Calibri"/>
          <w:lang w:val="en-US"/>
        </w:rPr>
        <w:t>Université</w:t>
      </w:r>
      <w:proofErr w:type="spellEnd"/>
      <w:r w:rsidRPr="00E87DC1">
        <w:rPr>
          <w:rFonts w:ascii="Calibri" w:hAnsi="Calibri"/>
          <w:lang w:val="en-US"/>
        </w:rPr>
        <w:t xml:space="preserve"> </w:t>
      </w:r>
      <w:proofErr w:type="spellStart"/>
      <w:r w:rsidRPr="00E87DC1">
        <w:rPr>
          <w:rFonts w:ascii="Calibri" w:hAnsi="Calibri"/>
          <w:lang w:val="en-US"/>
        </w:rPr>
        <w:t>Catholique</w:t>
      </w:r>
      <w:proofErr w:type="spellEnd"/>
      <w:r w:rsidRPr="00E87DC1">
        <w:rPr>
          <w:rFonts w:ascii="Calibri" w:hAnsi="Calibri"/>
          <w:lang w:val="en-US"/>
        </w:rPr>
        <w:t xml:space="preserve"> de Louvain, </w:t>
      </w:r>
      <w:proofErr w:type="spellStart"/>
      <w:r w:rsidRPr="00E87DC1">
        <w:rPr>
          <w:rFonts w:ascii="Calibri" w:hAnsi="Calibri"/>
          <w:lang w:val="en-US"/>
        </w:rPr>
        <w:t>Yvoir</w:t>
      </w:r>
      <w:proofErr w:type="spellEnd"/>
      <w:r w:rsidRPr="00E87DC1">
        <w:rPr>
          <w:rFonts w:ascii="Calibri" w:hAnsi="Calibri"/>
          <w:lang w:val="en-US"/>
        </w:rPr>
        <w:t xml:space="preserve">, Belgium, </w:t>
      </w:r>
      <w:r w:rsidRPr="00E87DC1">
        <w:rPr>
          <w:lang w:val="en-US"/>
        </w:rPr>
        <w:t>olivier.vandenplas@uclouvain.be</w:t>
      </w:r>
    </w:p>
    <w:p w:rsidR="007B6D10" w:rsidRPr="00E87DC1" w:rsidRDefault="007B6D10" w:rsidP="00A4038B">
      <w:pPr>
        <w:spacing w:after="0" w:line="240" w:lineRule="auto"/>
        <w:rPr>
          <w:b/>
          <w:lang w:val="en-US"/>
        </w:rPr>
      </w:pPr>
    </w:p>
    <w:p w:rsidR="00A42D5B" w:rsidRPr="00E87DC1" w:rsidRDefault="005F7EB2" w:rsidP="00A4038B">
      <w:pPr>
        <w:spacing w:line="360" w:lineRule="auto"/>
        <w:jc w:val="both"/>
        <w:rPr>
          <w:lang w:val="en-US"/>
        </w:rPr>
      </w:pPr>
      <w:r w:rsidRPr="00E87DC1">
        <w:rPr>
          <w:b/>
          <w:lang w:val="en-US"/>
        </w:rPr>
        <w:t>Corresponding author:</w:t>
      </w:r>
      <w:r w:rsidRPr="00E87DC1">
        <w:rPr>
          <w:lang w:val="en-US"/>
        </w:rPr>
        <w:t xml:space="preserve"> </w:t>
      </w:r>
    </w:p>
    <w:p w:rsidR="005F7EB2" w:rsidRPr="00E87DC1" w:rsidRDefault="005F7EB2" w:rsidP="00A4038B">
      <w:pPr>
        <w:spacing w:line="360" w:lineRule="auto"/>
        <w:jc w:val="both"/>
        <w:rPr>
          <w:lang w:val="en-US"/>
        </w:rPr>
      </w:pPr>
      <w:r w:rsidRPr="00E87DC1">
        <w:rPr>
          <w:lang w:val="en-US"/>
        </w:rPr>
        <w:t xml:space="preserve">Paul Cullinan, Department of Occupational and Environmental Medicine, Royal </w:t>
      </w:r>
      <w:proofErr w:type="spellStart"/>
      <w:r w:rsidRPr="00E87DC1">
        <w:rPr>
          <w:lang w:val="en-US"/>
        </w:rPr>
        <w:t>Brompton</w:t>
      </w:r>
      <w:proofErr w:type="spellEnd"/>
      <w:r w:rsidRPr="00E87DC1">
        <w:rPr>
          <w:lang w:val="en-US"/>
        </w:rPr>
        <w:t xml:space="preserve"> Hospital and Imperial College (NHLI), London, UK, e-mail p.cullinan@imperial.ac.uk, </w:t>
      </w:r>
      <w:proofErr w:type="spellStart"/>
      <w:r w:rsidRPr="00E87DC1">
        <w:rPr>
          <w:lang w:val="en-US"/>
        </w:rPr>
        <w:t>tel</w:t>
      </w:r>
      <w:proofErr w:type="spellEnd"/>
      <w:r w:rsidRPr="00E87DC1">
        <w:rPr>
          <w:lang w:val="en-US"/>
        </w:rPr>
        <w:t xml:space="preserve"> +442075947989.</w:t>
      </w:r>
    </w:p>
    <w:p w:rsidR="00A42D5B" w:rsidRPr="00E87DC1" w:rsidRDefault="00FF7208" w:rsidP="00A4038B">
      <w:pPr>
        <w:spacing w:line="360" w:lineRule="auto"/>
        <w:jc w:val="both"/>
        <w:rPr>
          <w:b/>
          <w:lang w:val="en-US"/>
        </w:rPr>
      </w:pPr>
      <w:r w:rsidRPr="00E87DC1">
        <w:rPr>
          <w:b/>
          <w:lang w:val="en-US"/>
        </w:rPr>
        <w:t>Funding</w:t>
      </w:r>
      <w:r w:rsidR="002A6CCB" w:rsidRPr="00E87DC1">
        <w:rPr>
          <w:b/>
          <w:lang w:val="en-US"/>
        </w:rPr>
        <w:t>:</w:t>
      </w:r>
      <w:r w:rsidRPr="00E87DC1">
        <w:rPr>
          <w:b/>
          <w:lang w:val="en-US"/>
        </w:rPr>
        <w:t xml:space="preserve"> </w:t>
      </w:r>
    </w:p>
    <w:p w:rsidR="00936C72" w:rsidRPr="00E87DC1" w:rsidRDefault="00FF7208" w:rsidP="00A4038B">
      <w:pPr>
        <w:spacing w:line="360" w:lineRule="auto"/>
        <w:jc w:val="both"/>
        <w:rPr>
          <w:lang w:val="en-US"/>
        </w:rPr>
      </w:pPr>
      <w:r w:rsidRPr="00E87DC1">
        <w:rPr>
          <w:lang w:val="en-US"/>
        </w:rPr>
        <w:t xml:space="preserve">This work was funded in part by a Task Force of the European Academy of Allergy and Clinical Immunology. OV and CR were supported by a grant from the </w:t>
      </w:r>
      <w:proofErr w:type="spellStart"/>
      <w:r w:rsidRPr="00E87DC1">
        <w:rPr>
          <w:lang w:val="en-US"/>
        </w:rPr>
        <w:t>Fondation</w:t>
      </w:r>
      <w:proofErr w:type="spellEnd"/>
      <w:r w:rsidRPr="00E87DC1">
        <w:rPr>
          <w:lang w:val="en-US"/>
        </w:rPr>
        <w:t xml:space="preserve"> Mont-</w:t>
      </w:r>
      <w:proofErr w:type="spellStart"/>
      <w:r w:rsidRPr="00E87DC1">
        <w:rPr>
          <w:lang w:val="en-US"/>
        </w:rPr>
        <w:t>Godinne</w:t>
      </w:r>
      <w:proofErr w:type="spellEnd"/>
      <w:r w:rsidRPr="00E87DC1">
        <w:rPr>
          <w:lang w:val="en-US"/>
        </w:rPr>
        <w:t xml:space="preserve">. JS was supported in part by CIBER de </w:t>
      </w:r>
      <w:proofErr w:type="spellStart"/>
      <w:r w:rsidRPr="00E87DC1">
        <w:rPr>
          <w:lang w:val="en-US"/>
        </w:rPr>
        <w:t>Enfermedades</w:t>
      </w:r>
      <w:proofErr w:type="spellEnd"/>
      <w:r w:rsidRPr="00E87DC1">
        <w:rPr>
          <w:lang w:val="en-US"/>
        </w:rPr>
        <w:t xml:space="preserve"> </w:t>
      </w:r>
      <w:proofErr w:type="spellStart"/>
      <w:r w:rsidRPr="00E87DC1">
        <w:rPr>
          <w:lang w:val="en-US"/>
        </w:rPr>
        <w:t>Respiratorias</w:t>
      </w:r>
      <w:proofErr w:type="spellEnd"/>
      <w:r w:rsidRPr="00E87DC1">
        <w:rPr>
          <w:lang w:val="en-US"/>
        </w:rPr>
        <w:t xml:space="preserve"> [CIBERES], Instituto de </w:t>
      </w:r>
      <w:proofErr w:type="spellStart"/>
      <w:r w:rsidRPr="00E87DC1">
        <w:rPr>
          <w:lang w:val="en-US"/>
        </w:rPr>
        <w:t>Salud</w:t>
      </w:r>
      <w:proofErr w:type="spellEnd"/>
      <w:r w:rsidRPr="00E87DC1">
        <w:rPr>
          <w:lang w:val="en-US"/>
        </w:rPr>
        <w:t xml:space="preserve"> Carlos III, Ministry of Economy and Competitiveness, Spain</w:t>
      </w:r>
      <w:r w:rsidR="004D7996" w:rsidRPr="00E87DC1">
        <w:rPr>
          <w:lang w:val="en-US"/>
        </w:rPr>
        <w:t>. HS and KS were supported by a grant from by the Finnish Work Environment Fund.</w:t>
      </w:r>
    </w:p>
    <w:p w:rsidR="00A42D5B" w:rsidRPr="00E87DC1" w:rsidRDefault="002A6CCB" w:rsidP="00A4038B">
      <w:pPr>
        <w:spacing w:line="360" w:lineRule="auto"/>
        <w:jc w:val="both"/>
        <w:rPr>
          <w:lang w:val="en-GB"/>
        </w:rPr>
      </w:pPr>
      <w:r w:rsidRPr="00E87DC1">
        <w:rPr>
          <w:b/>
          <w:lang w:val="en-GB"/>
        </w:rPr>
        <w:t>Conflict of Interest:</w:t>
      </w:r>
      <w:r w:rsidRPr="00E87DC1">
        <w:rPr>
          <w:lang w:val="en-GB"/>
        </w:rPr>
        <w:t xml:space="preserve"> </w:t>
      </w:r>
      <w:bookmarkStart w:id="2" w:name="_GoBack"/>
      <w:bookmarkEnd w:id="2"/>
    </w:p>
    <w:p w:rsidR="00F80FD1" w:rsidRPr="00E87DC1" w:rsidRDefault="00F80FD1" w:rsidP="00A4038B">
      <w:pPr>
        <w:spacing w:line="360" w:lineRule="auto"/>
        <w:jc w:val="both"/>
        <w:rPr>
          <w:lang w:val="en-GB"/>
        </w:rPr>
      </w:pPr>
      <w:r w:rsidRPr="00E87DC1">
        <w:rPr>
          <w:lang w:val="en-GB"/>
        </w:rPr>
        <w:t>The authors declare no conflict of interest related to this study.</w:t>
      </w:r>
    </w:p>
    <w:p w:rsidR="00FF7208" w:rsidRPr="00E87DC1" w:rsidRDefault="00FF7208" w:rsidP="00A4038B">
      <w:pPr>
        <w:spacing w:line="360" w:lineRule="auto"/>
        <w:jc w:val="both"/>
        <w:rPr>
          <w:lang w:val="en-US"/>
        </w:rPr>
      </w:pPr>
    </w:p>
    <w:p w:rsidR="00936C72" w:rsidRPr="00E87DC1" w:rsidRDefault="00936C72" w:rsidP="00936C72">
      <w:pPr>
        <w:spacing w:line="240" w:lineRule="auto"/>
        <w:jc w:val="both"/>
        <w:rPr>
          <w:rFonts w:eastAsia="Times New Roman" w:cstheme="minorHAnsi"/>
          <w:lang w:val="en-US" w:eastAsia="fr-FR"/>
        </w:rPr>
      </w:pPr>
      <w:r w:rsidRPr="00E87DC1">
        <w:rPr>
          <w:lang w:val="en-US"/>
        </w:rPr>
        <w:t xml:space="preserve">Abstract </w:t>
      </w:r>
      <w:r w:rsidR="00A42D5B" w:rsidRPr="00E87DC1">
        <w:rPr>
          <w:rFonts w:eastAsia="Times New Roman" w:cstheme="minorHAnsi"/>
          <w:lang w:val="en-US" w:eastAsia="fr-FR"/>
        </w:rPr>
        <w:t>word count 24</w:t>
      </w:r>
      <w:r w:rsidR="00211E94" w:rsidRPr="00E87DC1">
        <w:rPr>
          <w:rFonts w:eastAsia="Times New Roman" w:cstheme="minorHAnsi"/>
          <w:lang w:val="en-US" w:eastAsia="fr-FR"/>
        </w:rPr>
        <w:t>3</w:t>
      </w:r>
    </w:p>
    <w:p w:rsidR="005F7EB2" w:rsidRPr="00E87DC1" w:rsidRDefault="00936C72" w:rsidP="00936C72">
      <w:pPr>
        <w:spacing w:line="240" w:lineRule="auto"/>
        <w:jc w:val="both"/>
        <w:rPr>
          <w:lang w:val="en-US"/>
        </w:rPr>
      </w:pPr>
      <w:r w:rsidRPr="00E87DC1">
        <w:rPr>
          <w:lang w:val="en-US"/>
        </w:rPr>
        <w:t xml:space="preserve">Text word count </w:t>
      </w:r>
      <w:r w:rsidR="00A32971" w:rsidRPr="00E87DC1">
        <w:rPr>
          <w:lang w:val="en-US"/>
        </w:rPr>
        <w:t>3016</w:t>
      </w:r>
    </w:p>
    <w:p w:rsidR="002A6CCB" w:rsidRPr="00E87DC1" w:rsidRDefault="002A6CCB">
      <w:pPr>
        <w:rPr>
          <w:lang w:val="en-US"/>
        </w:rPr>
      </w:pPr>
      <w:r w:rsidRPr="00E87DC1">
        <w:rPr>
          <w:lang w:val="en-US"/>
        </w:rPr>
        <w:br w:type="page"/>
      </w:r>
    </w:p>
    <w:p w:rsidR="005F7EB2" w:rsidRPr="00E87DC1" w:rsidRDefault="005F7EB2" w:rsidP="00A4038B">
      <w:pPr>
        <w:spacing w:line="360" w:lineRule="auto"/>
        <w:jc w:val="both"/>
        <w:rPr>
          <w:b/>
          <w:lang w:val="en-US"/>
        </w:rPr>
      </w:pPr>
      <w:r w:rsidRPr="00E87DC1">
        <w:rPr>
          <w:b/>
          <w:lang w:val="en-US"/>
        </w:rPr>
        <w:lastRenderedPageBreak/>
        <w:t>List of E-PHOCAS investigators:</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Olivier </w:t>
      </w:r>
      <w:proofErr w:type="spellStart"/>
      <w:r w:rsidRPr="00E87DC1">
        <w:rPr>
          <w:lang w:val="en-US"/>
        </w:rPr>
        <w:t>Vandenplas</w:t>
      </w:r>
      <w:proofErr w:type="spellEnd"/>
      <w:r w:rsidRPr="00E87DC1">
        <w:rPr>
          <w:lang w:val="en-US"/>
        </w:rPr>
        <w:t xml:space="preserve">, Catherine </w:t>
      </w:r>
      <w:proofErr w:type="spellStart"/>
      <w:r w:rsidRPr="00E87DC1">
        <w:rPr>
          <w:lang w:val="en-US"/>
        </w:rPr>
        <w:t>Rifflart</w:t>
      </w:r>
      <w:proofErr w:type="spellEnd"/>
      <w:r w:rsidRPr="00E87DC1">
        <w:rPr>
          <w:lang w:val="en-US"/>
        </w:rPr>
        <w:t xml:space="preserve"> (Department of Chest Medicine, Centre </w:t>
      </w:r>
      <w:proofErr w:type="spellStart"/>
      <w:r w:rsidRPr="00E87DC1">
        <w:rPr>
          <w:lang w:val="en-US"/>
        </w:rPr>
        <w:t>Hospitalier</w:t>
      </w:r>
      <w:proofErr w:type="spellEnd"/>
      <w:r w:rsidRPr="00E87DC1">
        <w:rPr>
          <w:lang w:val="en-US"/>
        </w:rPr>
        <w:t xml:space="preserve"> </w:t>
      </w:r>
      <w:proofErr w:type="spellStart"/>
      <w:r w:rsidRPr="00E87DC1">
        <w:rPr>
          <w:lang w:val="en-US"/>
        </w:rPr>
        <w:t>Universitaire</w:t>
      </w:r>
      <w:proofErr w:type="spellEnd"/>
      <w:r w:rsidRPr="00E87DC1">
        <w:rPr>
          <w:lang w:val="en-US"/>
        </w:rPr>
        <w:t xml:space="preserve"> UCL Namur, </w:t>
      </w:r>
      <w:proofErr w:type="spellStart"/>
      <w:r w:rsidRPr="00E87DC1">
        <w:rPr>
          <w:lang w:val="en-US"/>
        </w:rPr>
        <w:t>Université</w:t>
      </w:r>
      <w:proofErr w:type="spellEnd"/>
      <w:r w:rsidRPr="00E87DC1">
        <w:rPr>
          <w:lang w:val="en-US"/>
        </w:rPr>
        <w:t xml:space="preserve"> </w:t>
      </w:r>
      <w:proofErr w:type="spellStart"/>
      <w:r w:rsidRPr="00E87DC1">
        <w:rPr>
          <w:lang w:val="en-US"/>
        </w:rPr>
        <w:t>Catholique</w:t>
      </w:r>
      <w:proofErr w:type="spellEnd"/>
      <w:r w:rsidRPr="00E87DC1">
        <w:rPr>
          <w:lang w:val="en-US"/>
        </w:rPr>
        <w:t xml:space="preserve"> de Louvain, </w:t>
      </w:r>
      <w:proofErr w:type="spellStart"/>
      <w:r w:rsidRPr="00E87DC1">
        <w:rPr>
          <w:lang w:val="en-US"/>
        </w:rPr>
        <w:t>Yvoir</w:t>
      </w:r>
      <w:proofErr w:type="spellEnd"/>
      <w:r w:rsidRPr="00E87DC1">
        <w:rPr>
          <w:lang w:val="en-US"/>
        </w:rPr>
        <w:t>, Belgium);</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Pavlina </w:t>
      </w:r>
      <w:proofErr w:type="spellStart"/>
      <w:r w:rsidRPr="00E87DC1">
        <w:rPr>
          <w:lang w:val="en-US"/>
        </w:rPr>
        <w:t>Klusackova</w:t>
      </w:r>
      <w:proofErr w:type="spellEnd"/>
      <w:r w:rsidRPr="00E87DC1">
        <w:rPr>
          <w:lang w:val="en-US"/>
        </w:rPr>
        <w:t xml:space="preserve"> (Department of Occupational Medicine, General University Hospital, 1st Faculty of Medicine, Charles University, Prague, Czech Republic);</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David Sherson (Department of Pulmonary Medicine and Occupational Medicine, Odense University Hospital, Odense, Denmark);</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Hille Suojalehto, Irmeli Lindström, </w:t>
      </w:r>
      <w:proofErr w:type="spellStart"/>
      <w:r w:rsidRPr="00E87DC1">
        <w:rPr>
          <w:lang w:val="en-US"/>
        </w:rPr>
        <w:t>Pirjo</w:t>
      </w:r>
      <w:proofErr w:type="spellEnd"/>
      <w:r w:rsidRPr="00E87DC1">
        <w:rPr>
          <w:lang w:val="en-US"/>
        </w:rPr>
        <w:t xml:space="preserve"> </w:t>
      </w:r>
      <w:proofErr w:type="spellStart"/>
      <w:r w:rsidRPr="00E87DC1">
        <w:rPr>
          <w:lang w:val="en-US"/>
        </w:rPr>
        <w:t>Hölttä</w:t>
      </w:r>
      <w:proofErr w:type="spellEnd"/>
      <w:r w:rsidRPr="00E87DC1">
        <w:rPr>
          <w:lang w:val="en-US"/>
        </w:rPr>
        <w:t xml:space="preserve"> (</w:t>
      </w:r>
      <w:proofErr w:type="spellStart"/>
      <w:r w:rsidRPr="00E87DC1">
        <w:rPr>
          <w:lang w:val="en-US"/>
        </w:rPr>
        <w:t>Occcupational</w:t>
      </w:r>
      <w:proofErr w:type="spellEnd"/>
      <w:r w:rsidRPr="00E87DC1">
        <w:rPr>
          <w:lang w:val="en-US"/>
        </w:rPr>
        <w:t xml:space="preserve"> Medicine, Finnish Institute of Occupational Health, Helsinki, Finland);</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Paula Kauppi (Department of Allergy, Skin and Allergy Hospital, Helsinki University Central Hospital, Helsinki, Helsinki, Finland); </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Frédéric de </w:t>
      </w:r>
      <w:proofErr w:type="spellStart"/>
      <w:r w:rsidRPr="00E87DC1">
        <w:rPr>
          <w:lang w:val="en-US"/>
        </w:rPr>
        <w:t>Blay</w:t>
      </w:r>
      <w:proofErr w:type="spellEnd"/>
      <w:r w:rsidRPr="00E87DC1">
        <w:rPr>
          <w:lang w:val="en-US"/>
        </w:rPr>
        <w:t xml:space="preserve">, Laura </w:t>
      </w:r>
      <w:proofErr w:type="spellStart"/>
      <w:r w:rsidRPr="00E87DC1">
        <w:rPr>
          <w:lang w:val="en-US"/>
        </w:rPr>
        <w:t>Hurdubaea</w:t>
      </w:r>
      <w:proofErr w:type="spellEnd"/>
      <w:r w:rsidRPr="00E87DC1">
        <w:rPr>
          <w:lang w:val="en-US"/>
        </w:rPr>
        <w:t xml:space="preserve"> (Division of Asthma and Allergy, Department of Chest Diseases, University Hospital of Strasbourg, Fédération de </w:t>
      </w:r>
      <w:proofErr w:type="spellStart"/>
      <w:r w:rsidRPr="00E87DC1">
        <w:rPr>
          <w:lang w:val="en-US"/>
        </w:rPr>
        <w:t>Médecine</w:t>
      </w:r>
      <w:proofErr w:type="spellEnd"/>
      <w:r w:rsidRPr="00E87DC1">
        <w:rPr>
          <w:lang w:val="en-US"/>
        </w:rPr>
        <w:t xml:space="preserve"> </w:t>
      </w:r>
      <w:proofErr w:type="spellStart"/>
      <w:r w:rsidRPr="00E87DC1">
        <w:rPr>
          <w:lang w:val="en-US"/>
        </w:rPr>
        <w:t>translationnelle</w:t>
      </w:r>
      <w:proofErr w:type="spellEnd"/>
      <w:r w:rsidRPr="00E87DC1">
        <w:rPr>
          <w:lang w:val="en-US"/>
        </w:rPr>
        <w:t xml:space="preserve">, Strasbourg University Strasbourg, France); </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Rolf </w:t>
      </w:r>
      <w:proofErr w:type="spellStart"/>
      <w:r w:rsidRPr="00E87DC1">
        <w:rPr>
          <w:lang w:val="en-US"/>
        </w:rPr>
        <w:t>Merget</w:t>
      </w:r>
      <w:proofErr w:type="spellEnd"/>
      <w:r w:rsidRPr="00E87DC1">
        <w:rPr>
          <w:lang w:val="en-US"/>
        </w:rPr>
        <w:t xml:space="preserve"> (Institute for Prevention and Occupational Medicine of the German Social Accident Insurance [IPA], Ruhr University, Bochum, Germany);</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Alexandra M </w:t>
      </w:r>
      <w:proofErr w:type="spellStart"/>
      <w:r w:rsidRPr="00E87DC1">
        <w:rPr>
          <w:lang w:val="en-US"/>
        </w:rPr>
        <w:t>Preisser</w:t>
      </w:r>
      <w:proofErr w:type="spellEnd"/>
      <w:r w:rsidRPr="00E87DC1">
        <w:rPr>
          <w:lang w:val="en-US"/>
        </w:rPr>
        <w:t xml:space="preserve">, Volker </w:t>
      </w:r>
      <w:proofErr w:type="spellStart"/>
      <w:r w:rsidRPr="00E87DC1">
        <w:rPr>
          <w:lang w:val="en-US"/>
        </w:rPr>
        <w:t>Harth</w:t>
      </w:r>
      <w:proofErr w:type="spellEnd"/>
      <w:r w:rsidRPr="00E87DC1">
        <w:rPr>
          <w:lang w:val="en-US"/>
        </w:rPr>
        <w:t xml:space="preserve"> (Institute for Occupational and Maritime Medicine, University Medical Center Hamburg-Eppendorf, Hamburg, Germany);</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Piero </w:t>
      </w:r>
      <w:proofErr w:type="spellStart"/>
      <w:r w:rsidRPr="00E87DC1">
        <w:rPr>
          <w:lang w:val="en-US"/>
        </w:rPr>
        <w:t>Maestrelli</w:t>
      </w:r>
      <w:proofErr w:type="spellEnd"/>
      <w:r w:rsidRPr="00E87DC1">
        <w:rPr>
          <w:lang w:val="en-US"/>
        </w:rPr>
        <w:t>, Paola Mason (</w:t>
      </w:r>
      <w:r w:rsidRPr="00E87DC1">
        <w:rPr>
          <w:rFonts w:ascii="Calibri" w:eastAsia="Times New Roman" w:hAnsi="Calibri" w:cs="Arial"/>
          <w:bCs/>
          <w:spacing w:val="-14"/>
          <w:lang w:val="en-US" w:eastAsia="fr-FR"/>
        </w:rPr>
        <w:t>Department of Cardiac-Thoracic-Vascular Sciences and Public Health</w:t>
      </w:r>
      <w:r w:rsidRPr="00E87DC1">
        <w:rPr>
          <w:lang w:val="en-US"/>
        </w:rPr>
        <w:t xml:space="preserve">, University of Padova, Padova, Italy); </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Gianna Moscato, Patrizia Pignatti (Department of Public Health, Experimental and Forensic Medicine, </w:t>
      </w:r>
      <w:r w:rsidRPr="00E87DC1">
        <w:rPr>
          <w:rFonts w:ascii="Calibri" w:eastAsia="Times New Roman" w:hAnsi="Calibri" w:cs="Arial"/>
          <w:bCs/>
          <w:spacing w:val="-14"/>
          <w:lang w:val="en-US" w:eastAsia="fr-FR"/>
        </w:rPr>
        <w:t xml:space="preserve">Specialization School in Occupational Medicine, </w:t>
      </w:r>
      <w:r w:rsidRPr="00E87DC1">
        <w:rPr>
          <w:lang w:val="en-US"/>
        </w:rPr>
        <w:t>University of Pavia, Pavia, Italy);</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Pierluigi </w:t>
      </w:r>
      <w:proofErr w:type="spellStart"/>
      <w:r w:rsidRPr="00E87DC1">
        <w:rPr>
          <w:lang w:val="en-US"/>
        </w:rPr>
        <w:t>Paggiaro</w:t>
      </w:r>
      <w:proofErr w:type="spellEnd"/>
      <w:r w:rsidRPr="00E87DC1">
        <w:rPr>
          <w:lang w:val="en-US"/>
        </w:rPr>
        <w:t xml:space="preserve">, Donatella </w:t>
      </w:r>
      <w:proofErr w:type="spellStart"/>
      <w:r w:rsidRPr="00E87DC1">
        <w:rPr>
          <w:lang w:val="en-US"/>
        </w:rPr>
        <w:t>Talini</w:t>
      </w:r>
      <w:proofErr w:type="spellEnd"/>
      <w:r w:rsidRPr="00E87DC1">
        <w:rPr>
          <w:lang w:val="en-US"/>
        </w:rPr>
        <w:t xml:space="preserve"> (Cardio-Thoracic and Vascular Department, University of Pisa, Pisa, Italy);</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Marco </w:t>
      </w:r>
      <w:proofErr w:type="spellStart"/>
      <w:r w:rsidRPr="00E87DC1">
        <w:rPr>
          <w:lang w:val="en-US"/>
        </w:rPr>
        <w:t>dell’Omo</w:t>
      </w:r>
      <w:proofErr w:type="spellEnd"/>
      <w:r w:rsidRPr="00E87DC1">
        <w:rPr>
          <w:lang w:val="en-US"/>
        </w:rPr>
        <w:t xml:space="preserve">, Ilenia </w:t>
      </w:r>
      <w:proofErr w:type="spellStart"/>
      <w:r w:rsidRPr="00E87DC1">
        <w:rPr>
          <w:lang w:val="en-US"/>
        </w:rPr>
        <w:t>Foletti</w:t>
      </w:r>
      <w:proofErr w:type="spellEnd"/>
      <w:r w:rsidRPr="00E87DC1">
        <w:rPr>
          <w:lang w:val="en-US"/>
        </w:rPr>
        <w:t xml:space="preserve"> (Department of Medicine, Section of Occupational Medicine, Respiratory Diseases and Occupational and Environmental Toxicology, University of Perugia, Italy);</w:t>
      </w:r>
    </w:p>
    <w:p w:rsidR="005F7EB2" w:rsidRPr="00E87DC1" w:rsidRDefault="005F7EB2" w:rsidP="00A4038B">
      <w:pPr>
        <w:pStyle w:val="ListParagraph"/>
        <w:numPr>
          <w:ilvl w:val="0"/>
          <w:numId w:val="10"/>
        </w:numPr>
        <w:spacing w:after="0" w:line="240" w:lineRule="auto"/>
        <w:ind w:left="567" w:hanging="207"/>
        <w:jc w:val="both"/>
        <w:rPr>
          <w:lang w:val="en-US"/>
        </w:rPr>
      </w:pPr>
      <w:proofErr w:type="spellStart"/>
      <w:r w:rsidRPr="00E87DC1">
        <w:rPr>
          <w:lang w:val="en-US"/>
        </w:rPr>
        <w:t>Cecilie</w:t>
      </w:r>
      <w:proofErr w:type="spellEnd"/>
      <w:r w:rsidRPr="00E87DC1">
        <w:rPr>
          <w:lang w:val="en-US"/>
        </w:rPr>
        <w:t xml:space="preserve"> </w:t>
      </w:r>
      <w:proofErr w:type="spellStart"/>
      <w:r w:rsidRPr="00E87DC1">
        <w:rPr>
          <w:lang w:val="en-US"/>
        </w:rPr>
        <w:t>Svanes</w:t>
      </w:r>
      <w:proofErr w:type="spellEnd"/>
      <w:r w:rsidRPr="00E87DC1">
        <w:rPr>
          <w:lang w:val="en-US"/>
        </w:rPr>
        <w:t xml:space="preserve">, </w:t>
      </w:r>
      <w:proofErr w:type="spellStart"/>
      <w:r w:rsidRPr="00E87DC1">
        <w:rPr>
          <w:lang w:val="en-US"/>
        </w:rPr>
        <w:t>Jorunn</w:t>
      </w:r>
      <w:proofErr w:type="spellEnd"/>
      <w:r w:rsidRPr="00E87DC1">
        <w:rPr>
          <w:lang w:val="en-US"/>
        </w:rPr>
        <w:t xml:space="preserve"> </w:t>
      </w:r>
      <w:proofErr w:type="spellStart"/>
      <w:r w:rsidRPr="00E87DC1">
        <w:rPr>
          <w:lang w:val="en-US"/>
        </w:rPr>
        <w:t>Kirkeleit</w:t>
      </w:r>
      <w:proofErr w:type="spellEnd"/>
      <w:r w:rsidRPr="00E87DC1">
        <w:rPr>
          <w:lang w:val="en-US"/>
        </w:rPr>
        <w:t xml:space="preserve"> (Department of Occupational Medicine, </w:t>
      </w:r>
      <w:proofErr w:type="spellStart"/>
      <w:r w:rsidRPr="00E87DC1">
        <w:rPr>
          <w:lang w:val="en-US"/>
        </w:rPr>
        <w:t>Haukeland</w:t>
      </w:r>
      <w:proofErr w:type="spellEnd"/>
      <w:r w:rsidRPr="00E87DC1">
        <w:rPr>
          <w:lang w:val="en-US"/>
        </w:rPr>
        <w:t xml:space="preserve"> University Hospital, Bergen, Norway);</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Jolanta </w:t>
      </w:r>
      <w:proofErr w:type="spellStart"/>
      <w:r w:rsidRPr="00E87DC1">
        <w:rPr>
          <w:lang w:val="en-US"/>
        </w:rPr>
        <w:t>Walusiak-Skorupa</w:t>
      </w:r>
      <w:proofErr w:type="spellEnd"/>
      <w:r w:rsidRPr="00E87DC1">
        <w:rPr>
          <w:lang w:val="en-US"/>
        </w:rPr>
        <w:t xml:space="preserve">, Marta Wiszniewska (Department of Occupational Diseases and Environmental Health, </w:t>
      </w:r>
      <w:proofErr w:type="spellStart"/>
      <w:r w:rsidRPr="00E87DC1">
        <w:rPr>
          <w:lang w:val="en-US"/>
        </w:rPr>
        <w:t>Nofer</w:t>
      </w:r>
      <w:proofErr w:type="spellEnd"/>
      <w:r w:rsidRPr="00E87DC1">
        <w:rPr>
          <w:lang w:val="en-US"/>
        </w:rPr>
        <w:t xml:space="preserve"> Institute of Occupational Medicine, Lodz, Poland);</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Xavier Munoz, Christian Romero-</w:t>
      </w:r>
      <w:proofErr w:type="spellStart"/>
      <w:r w:rsidRPr="00E87DC1">
        <w:rPr>
          <w:lang w:val="en-US"/>
        </w:rPr>
        <w:t>Mesones</w:t>
      </w:r>
      <w:proofErr w:type="spellEnd"/>
      <w:r w:rsidRPr="00E87DC1">
        <w:rPr>
          <w:lang w:val="en-US"/>
        </w:rPr>
        <w:t xml:space="preserve"> (</w:t>
      </w:r>
      <w:proofErr w:type="spellStart"/>
      <w:r w:rsidRPr="00E87DC1">
        <w:rPr>
          <w:lang w:val="en-US"/>
        </w:rPr>
        <w:t>Servei</w:t>
      </w:r>
      <w:proofErr w:type="spellEnd"/>
      <w:r w:rsidRPr="00E87DC1">
        <w:rPr>
          <w:lang w:val="en-US"/>
        </w:rPr>
        <w:t xml:space="preserve"> </w:t>
      </w:r>
      <w:proofErr w:type="spellStart"/>
      <w:r w:rsidRPr="00E87DC1">
        <w:rPr>
          <w:lang w:val="en-US"/>
        </w:rPr>
        <w:t>Pneumologia</w:t>
      </w:r>
      <w:proofErr w:type="spellEnd"/>
      <w:r w:rsidRPr="00E87DC1">
        <w:rPr>
          <w:lang w:val="en-US"/>
        </w:rPr>
        <w:t xml:space="preserve">, Hospital </w:t>
      </w:r>
      <w:proofErr w:type="spellStart"/>
      <w:r w:rsidRPr="00E87DC1">
        <w:rPr>
          <w:lang w:val="en-US"/>
        </w:rPr>
        <w:t>Vall</w:t>
      </w:r>
      <w:proofErr w:type="spellEnd"/>
      <w:r w:rsidRPr="00E87DC1">
        <w:rPr>
          <w:lang w:val="en-US"/>
        </w:rPr>
        <w:t xml:space="preserve"> </w:t>
      </w:r>
      <w:proofErr w:type="spellStart"/>
      <w:r w:rsidRPr="00E87DC1">
        <w:rPr>
          <w:lang w:val="en-US"/>
        </w:rPr>
        <w:t>d’Hebron</w:t>
      </w:r>
      <w:proofErr w:type="spellEnd"/>
      <w:r w:rsidRPr="00E87DC1">
        <w:rPr>
          <w:lang w:val="en-US"/>
        </w:rPr>
        <w:t xml:space="preserve">, </w:t>
      </w:r>
      <w:proofErr w:type="spellStart"/>
      <w:r w:rsidRPr="00E87DC1">
        <w:rPr>
          <w:lang w:val="en-US"/>
        </w:rPr>
        <w:t>Universitat</w:t>
      </w:r>
      <w:proofErr w:type="spellEnd"/>
      <w:r w:rsidRPr="00E87DC1">
        <w:rPr>
          <w:lang w:val="en-US"/>
        </w:rPr>
        <w:t xml:space="preserve"> </w:t>
      </w:r>
      <w:proofErr w:type="spellStart"/>
      <w:r w:rsidRPr="00E87DC1">
        <w:rPr>
          <w:lang w:val="en-US"/>
        </w:rPr>
        <w:t>Autonoma</w:t>
      </w:r>
      <w:proofErr w:type="spellEnd"/>
      <w:r w:rsidRPr="00E87DC1">
        <w:rPr>
          <w:lang w:val="en-US"/>
        </w:rPr>
        <w:t xml:space="preserve"> de Barcelona and CIBER de </w:t>
      </w:r>
      <w:proofErr w:type="spellStart"/>
      <w:r w:rsidRPr="00E87DC1">
        <w:rPr>
          <w:lang w:val="en-US"/>
        </w:rPr>
        <w:t>Enfermedades</w:t>
      </w:r>
      <w:proofErr w:type="spellEnd"/>
      <w:r w:rsidRPr="00E87DC1">
        <w:rPr>
          <w:lang w:val="en-US"/>
        </w:rPr>
        <w:t xml:space="preserve"> </w:t>
      </w:r>
      <w:proofErr w:type="spellStart"/>
      <w:r w:rsidRPr="00E87DC1">
        <w:rPr>
          <w:lang w:val="en-US"/>
        </w:rPr>
        <w:t>Respiratorias</w:t>
      </w:r>
      <w:proofErr w:type="spellEnd"/>
      <w:r w:rsidRPr="00E87DC1">
        <w:rPr>
          <w:lang w:val="en-US"/>
        </w:rPr>
        <w:t xml:space="preserve"> [CIBERES[, Barcelona, Spain);</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Joaquin </w:t>
      </w:r>
      <w:proofErr w:type="spellStart"/>
      <w:r w:rsidRPr="00E87DC1">
        <w:rPr>
          <w:lang w:val="en-US"/>
        </w:rPr>
        <w:t>Sastre</w:t>
      </w:r>
      <w:proofErr w:type="spellEnd"/>
      <w:r w:rsidRPr="00E87DC1">
        <w:rPr>
          <w:lang w:val="en-US"/>
        </w:rPr>
        <w:t xml:space="preserve">, Mar Fernandez-Nieto (Department of Allergy, </w:t>
      </w:r>
      <w:proofErr w:type="spellStart"/>
      <w:r w:rsidRPr="00E87DC1">
        <w:rPr>
          <w:lang w:val="en-US"/>
        </w:rPr>
        <w:t>Fundacion</w:t>
      </w:r>
      <w:proofErr w:type="spellEnd"/>
      <w:r w:rsidRPr="00E87DC1">
        <w:rPr>
          <w:lang w:val="en-US"/>
        </w:rPr>
        <w:t xml:space="preserve"> Jimenez </w:t>
      </w:r>
      <w:proofErr w:type="spellStart"/>
      <w:r w:rsidRPr="00E87DC1">
        <w:rPr>
          <w:lang w:val="en-US"/>
        </w:rPr>
        <w:t>Dıaz</w:t>
      </w:r>
      <w:proofErr w:type="spellEnd"/>
      <w:r w:rsidRPr="00E87DC1">
        <w:rPr>
          <w:lang w:val="en-US"/>
        </w:rPr>
        <w:t xml:space="preserve"> and CIBER de </w:t>
      </w:r>
      <w:proofErr w:type="spellStart"/>
      <w:r w:rsidRPr="00E87DC1">
        <w:rPr>
          <w:lang w:val="en-US"/>
        </w:rPr>
        <w:t>Enfermedades</w:t>
      </w:r>
      <w:proofErr w:type="spellEnd"/>
      <w:r w:rsidRPr="00E87DC1">
        <w:rPr>
          <w:lang w:val="en-US"/>
        </w:rPr>
        <w:t xml:space="preserve"> </w:t>
      </w:r>
      <w:proofErr w:type="spellStart"/>
      <w:r w:rsidRPr="00E87DC1">
        <w:rPr>
          <w:lang w:val="en-US"/>
        </w:rPr>
        <w:t>Respiratorias</w:t>
      </w:r>
      <w:proofErr w:type="spellEnd"/>
      <w:r w:rsidRPr="00E87DC1">
        <w:rPr>
          <w:lang w:val="en-US"/>
        </w:rPr>
        <w:t xml:space="preserve"> [CIBERES], Madrid, Spain);</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Santiago </w:t>
      </w:r>
      <w:proofErr w:type="spellStart"/>
      <w:r w:rsidRPr="00E87DC1">
        <w:rPr>
          <w:lang w:val="en-US"/>
        </w:rPr>
        <w:t>Quirce</w:t>
      </w:r>
      <w:proofErr w:type="spellEnd"/>
      <w:r w:rsidRPr="00E87DC1">
        <w:rPr>
          <w:lang w:val="en-US"/>
        </w:rPr>
        <w:t>, Marta Sanchez-</w:t>
      </w:r>
      <w:proofErr w:type="spellStart"/>
      <w:r w:rsidRPr="00E87DC1">
        <w:rPr>
          <w:lang w:val="en-US"/>
        </w:rPr>
        <w:t>Jareno</w:t>
      </w:r>
      <w:proofErr w:type="spellEnd"/>
      <w:r w:rsidRPr="00E87DC1">
        <w:rPr>
          <w:lang w:val="en-US"/>
        </w:rPr>
        <w:t xml:space="preserve"> (Department of Allergy, Hospital La Paz, Institute for Health Research [</w:t>
      </w:r>
      <w:proofErr w:type="spellStart"/>
      <w:r w:rsidRPr="00E87DC1">
        <w:rPr>
          <w:lang w:val="en-US"/>
        </w:rPr>
        <w:t>IdiPAZ</w:t>
      </w:r>
      <w:proofErr w:type="spellEnd"/>
      <w:r w:rsidRPr="00E87DC1">
        <w:rPr>
          <w:lang w:val="en-US"/>
        </w:rPr>
        <w:t xml:space="preserve">] and CIBER de </w:t>
      </w:r>
      <w:proofErr w:type="spellStart"/>
      <w:r w:rsidRPr="00E87DC1">
        <w:rPr>
          <w:lang w:val="en-US"/>
        </w:rPr>
        <w:t>Enfermedades</w:t>
      </w:r>
      <w:proofErr w:type="spellEnd"/>
      <w:r w:rsidRPr="00E87DC1">
        <w:rPr>
          <w:lang w:val="en-US"/>
        </w:rPr>
        <w:t xml:space="preserve"> </w:t>
      </w:r>
      <w:proofErr w:type="spellStart"/>
      <w:r w:rsidRPr="00E87DC1">
        <w:rPr>
          <w:lang w:val="en-US"/>
        </w:rPr>
        <w:t>Respiratorias</w:t>
      </w:r>
      <w:proofErr w:type="spellEnd"/>
      <w:r w:rsidRPr="00E87DC1">
        <w:rPr>
          <w:lang w:val="en-US"/>
        </w:rPr>
        <w:t xml:space="preserve"> [CIBERES], Madrid, Spain);</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 xml:space="preserve">Paul Cullinan, Julie Cannon (Department of Occupational and Environmental Medicine, Royal </w:t>
      </w:r>
      <w:proofErr w:type="spellStart"/>
      <w:r w:rsidRPr="00E87DC1">
        <w:rPr>
          <w:lang w:val="en-US"/>
        </w:rPr>
        <w:t>Brompton</w:t>
      </w:r>
      <w:proofErr w:type="spellEnd"/>
      <w:r w:rsidRPr="00E87DC1">
        <w:rPr>
          <w:lang w:val="en-US"/>
        </w:rPr>
        <w:t xml:space="preserve"> Hospital and Imperial College [NHLI], Royal </w:t>
      </w:r>
      <w:proofErr w:type="spellStart"/>
      <w:r w:rsidRPr="00E87DC1">
        <w:rPr>
          <w:lang w:val="en-US"/>
        </w:rPr>
        <w:t>Brompton</w:t>
      </w:r>
      <w:proofErr w:type="spellEnd"/>
      <w:r w:rsidRPr="00E87DC1">
        <w:rPr>
          <w:lang w:val="en-US"/>
        </w:rPr>
        <w:t xml:space="preserve"> and Harefield NHS Foundation Trust, London, UK);</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Sherwood Burge, Vicky Moore (Occupational Lung Disease Unit, Birmingham Heartlands Hospital, Birmingham, UK);</w:t>
      </w:r>
    </w:p>
    <w:p w:rsidR="005F7EB2" w:rsidRPr="00E87DC1" w:rsidRDefault="005F7EB2" w:rsidP="00A4038B">
      <w:pPr>
        <w:pStyle w:val="ListParagraph"/>
        <w:numPr>
          <w:ilvl w:val="0"/>
          <w:numId w:val="10"/>
        </w:numPr>
        <w:spacing w:after="0" w:line="240" w:lineRule="auto"/>
        <w:ind w:left="567" w:hanging="207"/>
        <w:jc w:val="both"/>
        <w:rPr>
          <w:lang w:val="en-US"/>
        </w:rPr>
      </w:pPr>
      <w:r w:rsidRPr="00E87DC1">
        <w:rPr>
          <w:lang w:val="en-US"/>
        </w:rPr>
        <w:t>Jennifer Hoyle (Department of Respiratory Medicine, North Manchester General Hospital, Manchester, UK).</w:t>
      </w:r>
    </w:p>
    <w:p w:rsidR="005F7EB2" w:rsidRPr="00E87DC1" w:rsidRDefault="005F7EB2" w:rsidP="00A4038B">
      <w:pPr>
        <w:spacing w:line="360" w:lineRule="auto"/>
        <w:jc w:val="both"/>
        <w:rPr>
          <w:rFonts w:eastAsia="Times New Roman" w:cstheme="minorHAnsi"/>
          <w:b/>
          <w:lang w:val="en-US" w:eastAsia="fr-FR"/>
        </w:rPr>
      </w:pPr>
    </w:p>
    <w:p w:rsidR="005F7EB2" w:rsidRPr="00E87DC1" w:rsidRDefault="005F7EB2">
      <w:pPr>
        <w:rPr>
          <w:rFonts w:eastAsia="Times New Roman" w:cstheme="minorHAnsi"/>
          <w:b/>
          <w:lang w:val="en-US" w:eastAsia="fr-FR"/>
        </w:rPr>
      </w:pPr>
      <w:r w:rsidRPr="00E87DC1">
        <w:rPr>
          <w:rFonts w:eastAsia="Times New Roman" w:cstheme="minorHAnsi"/>
          <w:b/>
          <w:lang w:val="en-US" w:eastAsia="fr-FR"/>
        </w:rPr>
        <w:br w:type="page"/>
      </w:r>
    </w:p>
    <w:p w:rsidR="005F7EB2" w:rsidRPr="00E87DC1" w:rsidRDefault="005F7EB2" w:rsidP="00A4038B">
      <w:pPr>
        <w:widowControl w:val="0"/>
        <w:shd w:val="clear" w:color="auto" w:fill="FFFFFF"/>
        <w:autoSpaceDE w:val="0"/>
        <w:autoSpaceDN w:val="0"/>
        <w:adjustRightInd w:val="0"/>
        <w:spacing w:after="240" w:line="480" w:lineRule="auto"/>
        <w:jc w:val="both"/>
        <w:rPr>
          <w:rFonts w:eastAsia="Times New Roman" w:cstheme="minorHAnsi"/>
          <w:b/>
          <w:lang w:val="en-US" w:eastAsia="fr-FR"/>
        </w:rPr>
      </w:pPr>
      <w:r w:rsidRPr="00E87DC1">
        <w:rPr>
          <w:rFonts w:eastAsia="Times New Roman" w:cstheme="minorHAnsi"/>
          <w:b/>
          <w:lang w:val="en-US" w:eastAsia="fr-FR"/>
        </w:rPr>
        <w:lastRenderedPageBreak/>
        <w:t xml:space="preserve">ABSTRACT </w:t>
      </w:r>
    </w:p>
    <w:p w:rsidR="00403D85" w:rsidRPr="00E87DC1" w:rsidRDefault="005F7EB2" w:rsidP="00A4038B">
      <w:pPr>
        <w:widowControl w:val="0"/>
        <w:shd w:val="clear" w:color="auto" w:fill="FFFFFF"/>
        <w:autoSpaceDE w:val="0"/>
        <w:autoSpaceDN w:val="0"/>
        <w:adjustRightInd w:val="0"/>
        <w:spacing w:after="240" w:line="480" w:lineRule="auto"/>
        <w:jc w:val="both"/>
        <w:rPr>
          <w:rFonts w:eastAsia="Times New Roman" w:cstheme="minorHAnsi"/>
          <w:lang w:val="en-US" w:eastAsia="fr-FR"/>
        </w:rPr>
      </w:pPr>
      <w:r w:rsidRPr="00E87DC1">
        <w:rPr>
          <w:rFonts w:eastAsia="Times New Roman" w:cstheme="minorHAnsi"/>
          <w:b/>
          <w:lang w:val="en-US" w:eastAsia="fr-FR"/>
        </w:rPr>
        <w:t>Background</w:t>
      </w:r>
      <w:r w:rsidRPr="00E87DC1">
        <w:rPr>
          <w:rFonts w:eastAsia="Times New Roman" w:cstheme="minorHAnsi"/>
          <w:lang w:val="en-US" w:eastAsia="fr-FR"/>
        </w:rPr>
        <w:t xml:space="preserve"> While acrylates are well-known skin </w:t>
      </w:r>
      <w:proofErr w:type="spellStart"/>
      <w:r w:rsidRPr="00E87DC1">
        <w:rPr>
          <w:rFonts w:eastAsia="Times New Roman" w:cstheme="minorHAnsi"/>
          <w:lang w:val="en-US" w:eastAsia="fr-FR"/>
        </w:rPr>
        <w:t>sensitisers</w:t>
      </w:r>
      <w:proofErr w:type="spellEnd"/>
      <w:r w:rsidRPr="00E87DC1">
        <w:rPr>
          <w:rFonts w:eastAsia="Times New Roman" w:cstheme="minorHAnsi"/>
          <w:lang w:val="en-US" w:eastAsia="fr-FR"/>
        </w:rPr>
        <w:t xml:space="preserve">, they are not classified as respiratory </w:t>
      </w:r>
      <w:proofErr w:type="spellStart"/>
      <w:r w:rsidRPr="00E87DC1">
        <w:rPr>
          <w:rFonts w:eastAsia="Times New Roman" w:cstheme="minorHAnsi"/>
          <w:lang w:val="en-US" w:eastAsia="fr-FR"/>
        </w:rPr>
        <w:t>sensitisers</w:t>
      </w:r>
      <w:proofErr w:type="spellEnd"/>
      <w:r w:rsidRPr="00E87DC1">
        <w:rPr>
          <w:rFonts w:eastAsia="Times New Roman" w:cstheme="minorHAnsi"/>
          <w:lang w:val="en-US" w:eastAsia="fr-FR"/>
        </w:rPr>
        <w:t xml:space="preserve"> although several cases of acrylate-induced occupational asthma (OA) have been reported. </w:t>
      </w:r>
    </w:p>
    <w:p w:rsidR="005F7EB2" w:rsidRPr="00E87DC1" w:rsidRDefault="00403D85" w:rsidP="00A4038B">
      <w:pPr>
        <w:widowControl w:val="0"/>
        <w:shd w:val="clear" w:color="auto" w:fill="FFFFFF"/>
        <w:autoSpaceDE w:val="0"/>
        <w:autoSpaceDN w:val="0"/>
        <w:adjustRightInd w:val="0"/>
        <w:spacing w:after="240" w:line="480" w:lineRule="auto"/>
        <w:jc w:val="both"/>
        <w:rPr>
          <w:rFonts w:eastAsia="Times New Roman" w:cstheme="minorHAnsi"/>
          <w:lang w:val="en-US" w:eastAsia="fr-FR"/>
        </w:rPr>
      </w:pPr>
      <w:r w:rsidRPr="00E87DC1">
        <w:rPr>
          <w:rFonts w:eastAsia="Times New Roman" w:cstheme="minorHAnsi"/>
          <w:b/>
          <w:lang w:val="en-US" w:eastAsia="fr-FR"/>
        </w:rPr>
        <w:t>Objectives</w:t>
      </w:r>
      <w:r w:rsidRPr="00E87DC1">
        <w:rPr>
          <w:rFonts w:eastAsia="Times New Roman" w:cstheme="minorHAnsi"/>
          <w:lang w:val="en-US" w:eastAsia="fr-FR"/>
        </w:rPr>
        <w:t xml:space="preserve"> </w:t>
      </w:r>
      <w:r w:rsidR="005F7EB2" w:rsidRPr="00E87DC1">
        <w:rPr>
          <w:rFonts w:eastAsia="Times New Roman" w:cstheme="minorHAnsi"/>
          <w:lang w:val="en-US" w:eastAsia="fr-FR"/>
        </w:rPr>
        <w:t xml:space="preserve">The aim of this study was to evaluate the characteristics of acrylate-induced OA in a large series of cases and compare those with OA induced by other low-molecular-weight (LMW) agents. </w:t>
      </w:r>
    </w:p>
    <w:p w:rsidR="005F7EB2" w:rsidRPr="00E87DC1" w:rsidRDefault="005F7EB2" w:rsidP="00A4038B">
      <w:pPr>
        <w:widowControl w:val="0"/>
        <w:shd w:val="clear" w:color="auto" w:fill="FFFFFF"/>
        <w:autoSpaceDE w:val="0"/>
        <w:autoSpaceDN w:val="0"/>
        <w:adjustRightInd w:val="0"/>
        <w:spacing w:after="240" w:line="480" w:lineRule="auto"/>
        <w:jc w:val="both"/>
        <w:rPr>
          <w:rFonts w:eastAsia="Times New Roman" w:cstheme="minorHAnsi"/>
          <w:lang w:val="en-US" w:eastAsia="fr-FR"/>
        </w:rPr>
      </w:pPr>
      <w:r w:rsidRPr="00E87DC1">
        <w:rPr>
          <w:rFonts w:eastAsia="Times New Roman" w:cstheme="minorHAnsi"/>
          <w:b/>
          <w:lang w:val="en-US" w:eastAsia="fr-FR"/>
        </w:rPr>
        <w:t>Methods</w:t>
      </w:r>
      <w:r w:rsidRPr="00E87DC1">
        <w:rPr>
          <w:rFonts w:eastAsia="Times New Roman" w:cstheme="minorHAnsi"/>
          <w:lang w:val="en-US" w:eastAsia="fr-FR"/>
        </w:rPr>
        <w:t xml:space="preserve"> Jobs and exposures, clinical and functional characteristics, and markers of airway inflammation were </w:t>
      </w:r>
      <w:proofErr w:type="spellStart"/>
      <w:r w:rsidRPr="00E87DC1">
        <w:rPr>
          <w:rFonts w:eastAsia="Times New Roman" w:cstheme="minorHAnsi"/>
          <w:lang w:val="en-US" w:eastAsia="fr-FR"/>
        </w:rPr>
        <w:t>analysed</w:t>
      </w:r>
      <w:proofErr w:type="spellEnd"/>
      <w:r w:rsidRPr="00E87DC1">
        <w:rPr>
          <w:rFonts w:eastAsia="Times New Roman" w:cstheme="minorHAnsi"/>
          <w:lang w:val="en-US" w:eastAsia="fr-FR"/>
        </w:rPr>
        <w:t xml:space="preserve"> in an international, </w:t>
      </w:r>
      <w:proofErr w:type="spellStart"/>
      <w:r w:rsidRPr="00E87DC1">
        <w:rPr>
          <w:rFonts w:eastAsia="Times New Roman" w:cstheme="minorHAnsi"/>
          <w:lang w:val="en-US" w:eastAsia="fr-FR"/>
        </w:rPr>
        <w:t>multicentre</w:t>
      </w:r>
      <w:proofErr w:type="spellEnd"/>
      <w:r w:rsidRPr="00E87DC1">
        <w:rPr>
          <w:rFonts w:eastAsia="Times New Roman" w:cstheme="minorHAnsi"/>
          <w:lang w:val="en-US" w:eastAsia="fr-FR"/>
        </w:rPr>
        <w:t>, retrospective cohort of subjects with OA ascertained by a positive inhalation challenge to acrylates (n= 55) or other LMW agents (n=418) including isocyanates (n=125).</w:t>
      </w:r>
    </w:p>
    <w:p w:rsidR="005F7EB2" w:rsidRPr="00E87DC1" w:rsidRDefault="005F7EB2" w:rsidP="00A4038B">
      <w:pPr>
        <w:widowControl w:val="0"/>
        <w:shd w:val="clear" w:color="auto" w:fill="FFFFFF"/>
        <w:autoSpaceDE w:val="0"/>
        <w:autoSpaceDN w:val="0"/>
        <w:adjustRightInd w:val="0"/>
        <w:spacing w:after="240" w:line="480" w:lineRule="auto"/>
        <w:jc w:val="both"/>
        <w:rPr>
          <w:rFonts w:eastAsia="Times New Roman" w:cstheme="minorHAnsi"/>
          <w:b/>
          <w:lang w:val="en-US" w:eastAsia="fr-FR"/>
        </w:rPr>
      </w:pPr>
      <w:r w:rsidRPr="00E87DC1">
        <w:rPr>
          <w:rFonts w:eastAsia="Times New Roman" w:cstheme="minorHAnsi"/>
          <w:b/>
          <w:lang w:val="en-US" w:eastAsia="fr-FR"/>
        </w:rPr>
        <w:t xml:space="preserve">Results </w:t>
      </w:r>
      <w:r w:rsidRPr="00E87DC1">
        <w:rPr>
          <w:rFonts w:eastAsia="Times New Roman" w:cstheme="minorHAnsi"/>
          <w:lang w:val="en-US" w:eastAsia="fr-FR"/>
        </w:rPr>
        <w:t>Acrylate-containing glues were the most prevalent products and industrial manufacturing, dental work and beauty care</w:t>
      </w:r>
      <w:r w:rsidR="00E32CC6" w:rsidRPr="00E87DC1">
        <w:rPr>
          <w:rFonts w:eastAsia="Times New Roman" w:cstheme="minorHAnsi"/>
          <w:lang w:val="en-US" w:eastAsia="fr-FR"/>
        </w:rPr>
        <w:t xml:space="preserve"> were</w:t>
      </w:r>
      <w:r w:rsidRPr="00E87DC1">
        <w:rPr>
          <w:rFonts w:eastAsia="Times New Roman" w:cstheme="minorHAnsi"/>
          <w:lang w:val="en-US" w:eastAsia="fr-FR"/>
        </w:rPr>
        <w:t xml:space="preserve"> typical occupations causing OA. Work related rhinitis was more common in acrylate than isocyanate-induced asthma (p&lt;0.001). The increase in post-challenge fractional exhaled nitric oxide (</w:t>
      </w:r>
      <w:proofErr w:type="spellStart"/>
      <w:r w:rsidRPr="00E87DC1">
        <w:rPr>
          <w:rFonts w:eastAsia="Times New Roman" w:cstheme="minorHAnsi"/>
          <w:lang w:val="en-US" w:eastAsia="fr-FR"/>
        </w:rPr>
        <w:t>FeNO</w:t>
      </w:r>
      <w:proofErr w:type="spellEnd"/>
      <w:r w:rsidRPr="00E87DC1">
        <w:rPr>
          <w:rFonts w:eastAsia="Times New Roman" w:cstheme="minorHAnsi"/>
          <w:lang w:val="en-US" w:eastAsia="fr-FR"/>
        </w:rPr>
        <w:t xml:space="preserve">) was significantly greater in acrylate-induced OA (26.0, 8.2-38.0 ppb) than in OA induced by other LMW agents (3.0, -1.0-10.0 ppb, p&lt;0.001) or isocyanates (5.0, 2.0-16.0 ppb, p=0.010). Multivariable models confirmed that OA induced by acrylates was significantly and independently associated with a post-challenge increase in </w:t>
      </w:r>
      <w:proofErr w:type="spellStart"/>
      <w:r w:rsidRPr="00E87DC1">
        <w:rPr>
          <w:rFonts w:eastAsia="Times New Roman" w:cstheme="minorHAnsi"/>
          <w:lang w:val="en-US" w:eastAsia="fr-FR"/>
        </w:rPr>
        <w:t>FeNO</w:t>
      </w:r>
      <w:proofErr w:type="spellEnd"/>
      <w:r w:rsidRPr="00E87DC1">
        <w:rPr>
          <w:rFonts w:eastAsia="Times New Roman" w:cstheme="minorHAnsi"/>
          <w:lang w:val="en-US" w:eastAsia="fr-FR"/>
        </w:rPr>
        <w:t xml:space="preserve"> (≥17.5 ppb).</w:t>
      </w:r>
    </w:p>
    <w:p w:rsidR="005F7EB2" w:rsidRPr="00E87DC1" w:rsidRDefault="005F7EB2" w:rsidP="00A4038B">
      <w:pPr>
        <w:spacing w:line="480" w:lineRule="auto"/>
        <w:jc w:val="both"/>
        <w:rPr>
          <w:rFonts w:eastAsia="Times New Roman" w:cstheme="minorHAnsi"/>
          <w:lang w:val="en-US" w:eastAsia="fr-FR"/>
        </w:rPr>
      </w:pPr>
      <w:r w:rsidRPr="00E87DC1">
        <w:rPr>
          <w:rFonts w:eastAsia="Times New Roman" w:cstheme="minorHAnsi"/>
          <w:b/>
          <w:lang w:val="en-US" w:eastAsia="fr-FR"/>
        </w:rPr>
        <w:t>Conclusions</w:t>
      </w:r>
      <w:r w:rsidRPr="00E87DC1">
        <w:rPr>
          <w:rFonts w:eastAsia="Times New Roman" w:cstheme="minorHAnsi"/>
          <w:lang w:val="en-US" w:eastAsia="fr-FR"/>
        </w:rPr>
        <w:t xml:space="preserve"> Acrylate-induced OA shows </w:t>
      </w:r>
      <w:r w:rsidR="00E45692" w:rsidRPr="00E87DC1">
        <w:rPr>
          <w:rFonts w:eastAsia="Times New Roman" w:cstheme="minorHAnsi"/>
          <w:lang w:val="en-US" w:eastAsia="fr-FR"/>
        </w:rPr>
        <w:t xml:space="preserve">specific </w:t>
      </w:r>
      <w:r w:rsidRPr="00E87DC1">
        <w:rPr>
          <w:rFonts w:eastAsia="Times New Roman" w:cstheme="minorHAnsi"/>
          <w:lang w:val="en-US" w:eastAsia="fr-FR"/>
        </w:rPr>
        <w:t xml:space="preserve">characteristics, concomitant work-related rhinitis and exposure-related increases in </w:t>
      </w:r>
      <w:proofErr w:type="spellStart"/>
      <w:r w:rsidRPr="00E87DC1">
        <w:rPr>
          <w:rFonts w:eastAsia="Times New Roman" w:cstheme="minorHAnsi"/>
          <w:lang w:val="en-US" w:eastAsia="fr-FR"/>
        </w:rPr>
        <w:t>FeNO</w:t>
      </w:r>
      <w:proofErr w:type="spellEnd"/>
      <w:r w:rsidRPr="00E87DC1">
        <w:rPr>
          <w:rFonts w:eastAsia="Times New Roman" w:cstheme="minorHAnsi"/>
          <w:lang w:val="en-US" w:eastAsia="fr-FR"/>
        </w:rPr>
        <w:t xml:space="preserve">, suggesting that acrylates may induce asthma through different immunological mechanisms than other LMW agents. </w:t>
      </w:r>
      <w:bookmarkStart w:id="3" w:name="_Hlk19012383"/>
      <w:r w:rsidRPr="00E87DC1">
        <w:rPr>
          <w:rFonts w:eastAsia="Times New Roman" w:cstheme="minorHAnsi"/>
          <w:lang w:val="en-US" w:eastAsia="fr-FR"/>
        </w:rPr>
        <w:t>Our findings reinforce the need for a re-evaluation of the hazard classification of acrylates</w:t>
      </w:r>
      <w:bookmarkEnd w:id="3"/>
      <w:r w:rsidRPr="00E87DC1">
        <w:rPr>
          <w:rFonts w:eastAsia="Times New Roman" w:cstheme="minorHAnsi"/>
          <w:lang w:val="en-US" w:eastAsia="fr-FR"/>
        </w:rPr>
        <w:t xml:space="preserve">, and further investigation of the pathophysiological mechanisms underlying their respiratory sensitizing potential. </w:t>
      </w:r>
    </w:p>
    <w:p w:rsidR="005F7EB2" w:rsidRPr="00E87DC1" w:rsidRDefault="005F7EB2">
      <w:pPr>
        <w:rPr>
          <w:rFonts w:eastAsia="Times New Roman" w:cstheme="minorHAnsi"/>
          <w:lang w:val="en-US" w:eastAsia="fr-FR"/>
        </w:rPr>
      </w:pPr>
      <w:r w:rsidRPr="00E87DC1">
        <w:rPr>
          <w:rFonts w:eastAsia="Times New Roman" w:cstheme="minorHAnsi"/>
          <w:lang w:val="en-US" w:eastAsia="fr-FR"/>
        </w:rPr>
        <w:br w:type="page"/>
      </w:r>
    </w:p>
    <w:p w:rsidR="006E3011" w:rsidRPr="00E87DC1" w:rsidRDefault="00403D85" w:rsidP="00A4038B">
      <w:pPr>
        <w:spacing w:line="360" w:lineRule="auto"/>
        <w:jc w:val="both"/>
        <w:rPr>
          <w:rFonts w:eastAsia="Times New Roman" w:cstheme="minorHAnsi"/>
          <w:b/>
          <w:lang w:val="en-US" w:eastAsia="fr-FR"/>
        </w:rPr>
      </w:pPr>
      <w:r w:rsidRPr="00E87DC1">
        <w:rPr>
          <w:rFonts w:eastAsia="Times New Roman" w:cstheme="minorHAnsi"/>
          <w:b/>
          <w:lang w:val="en-US" w:eastAsia="fr-FR"/>
        </w:rPr>
        <w:lastRenderedPageBreak/>
        <w:t>Highlights</w:t>
      </w:r>
      <w:r w:rsidR="006E3011" w:rsidRPr="00E87DC1">
        <w:rPr>
          <w:rFonts w:eastAsia="Times New Roman" w:cstheme="minorHAnsi"/>
          <w:b/>
          <w:lang w:val="en-US" w:eastAsia="fr-FR"/>
        </w:rPr>
        <w:t xml:space="preserve"> box</w:t>
      </w:r>
    </w:p>
    <w:p w:rsidR="006E3011" w:rsidRPr="00E87DC1" w:rsidRDefault="006E3011" w:rsidP="00A4038B">
      <w:pPr>
        <w:spacing w:line="360" w:lineRule="auto"/>
        <w:jc w:val="both"/>
        <w:rPr>
          <w:rFonts w:eastAsia="Times New Roman" w:cstheme="minorHAnsi"/>
          <w:b/>
          <w:lang w:val="en-US" w:eastAsia="fr-FR"/>
        </w:rPr>
      </w:pPr>
      <w:r w:rsidRPr="00E87DC1">
        <w:rPr>
          <w:rFonts w:eastAsia="Times New Roman" w:cstheme="minorHAnsi"/>
          <w:b/>
          <w:lang w:val="en-US" w:eastAsia="fr-FR"/>
        </w:rPr>
        <w:t>What is already known about this topic?</w:t>
      </w:r>
    </w:p>
    <w:p w:rsidR="005F7EB2" w:rsidRPr="00E87DC1" w:rsidRDefault="00403D85" w:rsidP="00A4038B">
      <w:pPr>
        <w:spacing w:line="360" w:lineRule="auto"/>
        <w:jc w:val="both"/>
        <w:rPr>
          <w:rFonts w:eastAsia="Times New Roman" w:cstheme="minorHAnsi"/>
          <w:lang w:val="en-US" w:eastAsia="fr-FR"/>
        </w:rPr>
      </w:pPr>
      <w:r w:rsidRPr="00E87DC1">
        <w:rPr>
          <w:rFonts w:eastAsia="Times New Roman" w:cstheme="minorHAnsi"/>
          <w:lang w:val="en-US" w:eastAsia="fr-FR"/>
        </w:rPr>
        <w:t>Although several cases of acrylate-induced occupational asthma have been reported, the characteristics of this</w:t>
      </w:r>
      <w:r w:rsidR="00117439" w:rsidRPr="00E87DC1">
        <w:rPr>
          <w:rFonts w:eastAsia="Times New Roman" w:cstheme="minorHAnsi"/>
          <w:lang w:val="en-US" w:eastAsia="fr-FR"/>
        </w:rPr>
        <w:t xml:space="preserve"> disease are not</w:t>
      </w:r>
      <w:r w:rsidRPr="00E87DC1">
        <w:rPr>
          <w:rFonts w:eastAsia="Times New Roman" w:cstheme="minorHAnsi"/>
          <w:lang w:val="en-US" w:eastAsia="fr-FR"/>
        </w:rPr>
        <w:t xml:space="preserve"> known and acrylates are not classified as respiratory </w:t>
      </w:r>
      <w:proofErr w:type="spellStart"/>
      <w:r w:rsidRPr="00E87DC1">
        <w:rPr>
          <w:rFonts w:eastAsia="Times New Roman" w:cstheme="minorHAnsi"/>
          <w:lang w:val="en-US" w:eastAsia="fr-FR"/>
        </w:rPr>
        <w:t>sensitisers</w:t>
      </w:r>
      <w:proofErr w:type="spellEnd"/>
      <w:r w:rsidRPr="00E87DC1">
        <w:rPr>
          <w:rFonts w:eastAsia="Times New Roman" w:cstheme="minorHAnsi"/>
          <w:lang w:val="en-US" w:eastAsia="fr-FR"/>
        </w:rPr>
        <w:t>.</w:t>
      </w:r>
    </w:p>
    <w:p w:rsidR="006E3011" w:rsidRPr="00E87DC1" w:rsidRDefault="006E3011" w:rsidP="00A4038B">
      <w:pPr>
        <w:spacing w:line="360" w:lineRule="auto"/>
        <w:jc w:val="both"/>
        <w:rPr>
          <w:rFonts w:eastAsia="Times New Roman" w:cstheme="minorHAnsi"/>
          <w:b/>
          <w:lang w:val="en-US" w:eastAsia="fr-FR"/>
        </w:rPr>
      </w:pPr>
      <w:r w:rsidRPr="00E87DC1">
        <w:rPr>
          <w:rFonts w:eastAsia="Times New Roman" w:cstheme="minorHAnsi"/>
          <w:b/>
          <w:lang w:val="en-US" w:eastAsia="fr-FR"/>
        </w:rPr>
        <w:t>What does this article add to our knowledge?</w:t>
      </w:r>
    </w:p>
    <w:p w:rsidR="005F7EB2" w:rsidRPr="00E87DC1" w:rsidRDefault="003E326E" w:rsidP="006E3011">
      <w:pPr>
        <w:spacing w:line="360" w:lineRule="auto"/>
        <w:jc w:val="both"/>
        <w:rPr>
          <w:rFonts w:eastAsia="Times New Roman" w:cstheme="minorHAnsi"/>
          <w:lang w:val="en-US" w:eastAsia="fr-FR"/>
        </w:rPr>
      </w:pPr>
      <w:r w:rsidRPr="00E87DC1">
        <w:rPr>
          <w:rFonts w:eastAsia="Times New Roman" w:cstheme="minorHAnsi"/>
          <w:lang w:val="en-US" w:eastAsia="fr-FR"/>
        </w:rPr>
        <w:t>W</w:t>
      </w:r>
      <w:r w:rsidR="005F7EB2" w:rsidRPr="00E87DC1">
        <w:rPr>
          <w:rFonts w:eastAsia="Times New Roman" w:cstheme="minorHAnsi"/>
          <w:lang w:val="en-US" w:eastAsia="fr-FR"/>
        </w:rPr>
        <w:t>ork</w:t>
      </w:r>
      <w:r w:rsidR="00117439" w:rsidRPr="00E87DC1">
        <w:rPr>
          <w:rFonts w:eastAsia="Times New Roman" w:cstheme="minorHAnsi"/>
          <w:lang w:val="en-US" w:eastAsia="fr-FR"/>
        </w:rPr>
        <w:t>-</w:t>
      </w:r>
      <w:r w:rsidR="005F7EB2" w:rsidRPr="00E87DC1">
        <w:rPr>
          <w:rFonts w:eastAsia="Times New Roman" w:cstheme="minorHAnsi"/>
          <w:lang w:val="en-US" w:eastAsia="fr-FR"/>
        </w:rPr>
        <w:t>related rhinitis was more f</w:t>
      </w:r>
      <w:r w:rsidRPr="00E87DC1">
        <w:rPr>
          <w:rFonts w:eastAsia="Times New Roman" w:cstheme="minorHAnsi"/>
          <w:lang w:val="en-US" w:eastAsia="fr-FR"/>
        </w:rPr>
        <w:t>requent in acrylate-induced than isocyanate-induced occupational asthma</w:t>
      </w:r>
      <w:r w:rsidR="008C3EC8" w:rsidRPr="00E87DC1">
        <w:rPr>
          <w:rFonts w:eastAsia="Times New Roman" w:cstheme="minorHAnsi"/>
          <w:lang w:val="en-US" w:eastAsia="fr-FR"/>
        </w:rPr>
        <w:t xml:space="preserve"> and t</w:t>
      </w:r>
      <w:r w:rsidR="005F7EB2" w:rsidRPr="00E87DC1">
        <w:rPr>
          <w:rFonts w:eastAsia="Times New Roman" w:cstheme="minorHAnsi"/>
          <w:lang w:val="en-US" w:eastAsia="fr-FR"/>
        </w:rPr>
        <w:t>he increase in post-challenge fractional exhaled nitric oxide was greater than in occupational asthma induced by other low-molecular-weight agents or isocyanates.</w:t>
      </w:r>
    </w:p>
    <w:p w:rsidR="006E3011" w:rsidRPr="00E87DC1" w:rsidRDefault="006E3011" w:rsidP="00A4038B">
      <w:pPr>
        <w:spacing w:line="360" w:lineRule="auto"/>
        <w:jc w:val="both"/>
        <w:rPr>
          <w:rFonts w:eastAsia="Times New Roman" w:cstheme="minorHAnsi"/>
          <w:b/>
          <w:lang w:val="en-US" w:eastAsia="fr-FR"/>
        </w:rPr>
      </w:pPr>
      <w:r w:rsidRPr="00E87DC1">
        <w:rPr>
          <w:rFonts w:eastAsia="Times New Roman" w:cstheme="minorHAnsi"/>
          <w:b/>
          <w:lang w:val="en-US" w:eastAsia="fr-FR"/>
        </w:rPr>
        <w:t>How does this study impact current management guidelines?</w:t>
      </w:r>
    </w:p>
    <w:p w:rsidR="005F7EB2" w:rsidRPr="00E87DC1" w:rsidRDefault="005F7EB2" w:rsidP="006E3011">
      <w:pPr>
        <w:spacing w:line="360" w:lineRule="auto"/>
        <w:jc w:val="both"/>
        <w:rPr>
          <w:rFonts w:eastAsia="Times New Roman" w:cstheme="minorHAnsi"/>
          <w:lang w:val="en-US" w:eastAsia="fr-FR"/>
        </w:rPr>
      </w:pPr>
      <w:r w:rsidRPr="00E87DC1">
        <w:rPr>
          <w:rFonts w:eastAsia="Times New Roman" w:cstheme="minorHAnsi"/>
          <w:lang w:val="en-US" w:eastAsia="fr-FR"/>
        </w:rPr>
        <w:t>Our study shows that acrylate-induced occupational asthma has phenotypic characteristics suggesting that acrylates may induce occupational asthma through different immunological mechanisms than other LMW agents.</w:t>
      </w:r>
    </w:p>
    <w:p w:rsidR="003E326E" w:rsidRPr="00E87DC1" w:rsidRDefault="003E326E" w:rsidP="00A4038B">
      <w:pPr>
        <w:spacing w:line="480" w:lineRule="auto"/>
        <w:jc w:val="both"/>
        <w:rPr>
          <w:b/>
          <w:lang w:val="en-US"/>
        </w:rPr>
      </w:pPr>
      <w:r w:rsidRPr="00E87DC1">
        <w:rPr>
          <w:b/>
          <w:lang w:val="en-US"/>
        </w:rPr>
        <w:t>Key words</w:t>
      </w:r>
      <w:r w:rsidR="006E3011" w:rsidRPr="00E87DC1">
        <w:rPr>
          <w:b/>
          <w:lang w:val="en-US"/>
        </w:rPr>
        <w:t>:</w:t>
      </w:r>
      <w:r w:rsidRPr="00E87DC1">
        <w:rPr>
          <w:lang w:val="en-US"/>
        </w:rPr>
        <w:t xml:space="preserve"> Acrylate, cyanoacrylate, methacrylate, fractional exhaled nitric oxide, low-molecular-weight agent, occupational asthma</w:t>
      </w:r>
      <w:r w:rsidRPr="00E87DC1">
        <w:rPr>
          <w:b/>
          <w:lang w:val="en-US"/>
        </w:rPr>
        <w:t xml:space="preserve"> </w:t>
      </w:r>
    </w:p>
    <w:p w:rsidR="003E326E" w:rsidRPr="00E87DC1" w:rsidRDefault="003E326E" w:rsidP="003E326E">
      <w:pPr>
        <w:spacing w:line="360" w:lineRule="auto"/>
        <w:jc w:val="both"/>
        <w:rPr>
          <w:rFonts w:eastAsia="Times New Roman" w:cstheme="minorHAnsi"/>
          <w:b/>
          <w:lang w:val="en-US" w:eastAsia="fr-FR"/>
        </w:rPr>
      </w:pPr>
      <w:r w:rsidRPr="00E87DC1">
        <w:rPr>
          <w:rFonts w:eastAsia="Times New Roman" w:cstheme="minorHAnsi"/>
          <w:b/>
          <w:lang w:val="en-US" w:eastAsia="fr-FR"/>
        </w:rPr>
        <w:t>List of abbreviations</w:t>
      </w:r>
      <w:r w:rsidR="00FB6C9A" w:rsidRPr="00E87DC1">
        <w:rPr>
          <w:rFonts w:eastAsia="Times New Roman" w:cstheme="minorHAnsi"/>
          <w:b/>
          <w:lang w:val="en-US" w:eastAsia="fr-FR"/>
        </w:rPr>
        <w:t>:</w:t>
      </w:r>
    </w:p>
    <w:p w:rsidR="003E326E" w:rsidRPr="00E87DC1" w:rsidRDefault="003E326E" w:rsidP="003E326E">
      <w:pPr>
        <w:tabs>
          <w:tab w:val="left" w:pos="1418"/>
        </w:tabs>
        <w:spacing w:after="0" w:line="240" w:lineRule="auto"/>
        <w:ind w:left="1418" w:hanging="1418"/>
        <w:rPr>
          <w:lang w:val="en-GB"/>
        </w:rPr>
      </w:pPr>
      <w:r w:rsidRPr="00E87DC1">
        <w:rPr>
          <w:lang w:val="en-GB"/>
        </w:rPr>
        <w:t>E-PHOCAS:</w:t>
      </w:r>
      <w:r w:rsidRPr="00E87DC1">
        <w:rPr>
          <w:lang w:val="en-GB"/>
        </w:rPr>
        <w:tab/>
        <w:t xml:space="preserve">European network for the </w:t>
      </w:r>
      <w:proofErr w:type="spellStart"/>
      <w:r w:rsidRPr="00E87DC1">
        <w:rPr>
          <w:lang w:val="en-GB"/>
        </w:rPr>
        <w:t>PHenotyping</w:t>
      </w:r>
      <w:proofErr w:type="spellEnd"/>
      <w:r w:rsidRPr="00E87DC1">
        <w:rPr>
          <w:lang w:val="en-GB"/>
        </w:rPr>
        <w:t xml:space="preserve"> of </w:t>
      </w:r>
      <w:proofErr w:type="spellStart"/>
      <w:r w:rsidRPr="00E87DC1">
        <w:rPr>
          <w:lang w:val="en-GB"/>
        </w:rPr>
        <w:t>OCcupational</w:t>
      </w:r>
      <w:proofErr w:type="spellEnd"/>
      <w:r w:rsidRPr="00E87DC1">
        <w:rPr>
          <w:lang w:val="en-GB"/>
        </w:rPr>
        <w:t xml:space="preserve"> </w:t>
      </w:r>
      <w:proofErr w:type="spellStart"/>
      <w:r w:rsidRPr="00E87DC1">
        <w:rPr>
          <w:lang w:val="en-GB"/>
        </w:rPr>
        <w:t>ASthma</w:t>
      </w:r>
      <w:proofErr w:type="spellEnd"/>
      <w:r w:rsidRPr="00E87DC1">
        <w:rPr>
          <w:lang w:val="en-GB"/>
        </w:rPr>
        <w:t xml:space="preserve"> </w:t>
      </w:r>
    </w:p>
    <w:p w:rsidR="003E326E" w:rsidRPr="00E87DC1" w:rsidRDefault="003E326E" w:rsidP="003E326E">
      <w:pPr>
        <w:tabs>
          <w:tab w:val="left" w:pos="1418"/>
        </w:tabs>
        <w:spacing w:after="0" w:line="240" w:lineRule="auto"/>
        <w:ind w:left="1418" w:hanging="1418"/>
        <w:rPr>
          <w:lang w:val="en-GB"/>
        </w:rPr>
      </w:pPr>
      <w:proofErr w:type="spellStart"/>
      <w:r w:rsidRPr="00E87DC1">
        <w:rPr>
          <w:lang w:val="en-GB"/>
        </w:rPr>
        <w:t>FeNO</w:t>
      </w:r>
      <w:proofErr w:type="spellEnd"/>
      <w:r w:rsidRPr="00E87DC1">
        <w:rPr>
          <w:lang w:val="en-GB"/>
        </w:rPr>
        <w:t>:</w:t>
      </w:r>
      <w:r w:rsidRPr="00E87DC1">
        <w:rPr>
          <w:lang w:val="en-GB"/>
        </w:rPr>
        <w:tab/>
        <w:t>Fractional exhaled nitric oxide</w:t>
      </w:r>
    </w:p>
    <w:p w:rsidR="003E326E" w:rsidRPr="00E87DC1" w:rsidRDefault="003E326E" w:rsidP="003E326E">
      <w:pPr>
        <w:tabs>
          <w:tab w:val="left" w:pos="1418"/>
        </w:tabs>
        <w:spacing w:after="0" w:line="240" w:lineRule="auto"/>
        <w:ind w:left="1418" w:hanging="1418"/>
        <w:rPr>
          <w:lang w:val="en-GB"/>
        </w:rPr>
      </w:pPr>
      <w:r w:rsidRPr="00E87DC1">
        <w:rPr>
          <w:lang w:val="en-GB"/>
        </w:rPr>
        <w:t>FEV</w:t>
      </w:r>
      <w:r w:rsidRPr="00E87DC1">
        <w:rPr>
          <w:vertAlign w:val="subscript"/>
          <w:lang w:val="en-GB"/>
        </w:rPr>
        <w:t>1</w:t>
      </w:r>
      <w:r w:rsidRPr="00E87DC1">
        <w:rPr>
          <w:lang w:val="en-GB"/>
        </w:rPr>
        <w:t>:</w:t>
      </w:r>
      <w:r w:rsidRPr="00E87DC1">
        <w:rPr>
          <w:vertAlign w:val="subscript"/>
          <w:lang w:val="en-GB"/>
        </w:rPr>
        <w:t xml:space="preserve"> </w:t>
      </w:r>
      <w:r w:rsidRPr="00E87DC1">
        <w:rPr>
          <w:vertAlign w:val="subscript"/>
          <w:lang w:val="en-GB"/>
        </w:rPr>
        <w:tab/>
      </w:r>
      <w:r w:rsidRPr="00E87DC1">
        <w:rPr>
          <w:lang w:val="en-GB"/>
        </w:rPr>
        <w:t>Forced expiratory volume in one second</w:t>
      </w:r>
    </w:p>
    <w:p w:rsidR="003E326E" w:rsidRPr="00E87DC1" w:rsidRDefault="003E326E" w:rsidP="003E326E">
      <w:pPr>
        <w:tabs>
          <w:tab w:val="left" w:pos="1418"/>
        </w:tabs>
        <w:spacing w:after="0" w:line="240" w:lineRule="auto"/>
        <w:ind w:left="1418" w:hanging="1418"/>
        <w:rPr>
          <w:lang w:val="en-GB"/>
        </w:rPr>
      </w:pPr>
      <w:r w:rsidRPr="00E87DC1">
        <w:rPr>
          <w:lang w:val="en-GB"/>
        </w:rPr>
        <w:t>FVC:</w:t>
      </w:r>
      <w:r w:rsidRPr="00E87DC1">
        <w:rPr>
          <w:lang w:val="en-GB"/>
        </w:rPr>
        <w:tab/>
        <w:t>Forced vital capacity</w:t>
      </w:r>
    </w:p>
    <w:p w:rsidR="003E326E" w:rsidRPr="00E87DC1" w:rsidRDefault="003E326E" w:rsidP="003E326E">
      <w:pPr>
        <w:tabs>
          <w:tab w:val="left" w:pos="1418"/>
        </w:tabs>
        <w:spacing w:after="0" w:line="240" w:lineRule="auto"/>
        <w:ind w:left="1418" w:hanging="1418"/>
        <w:rPr>
          <w:lang w:val="en-GB"/>
        </w:rPr>
      </w:pPr>
      <w:bookmarkStart w:id="4" w:name="_Hlk17189815"/>
      <w:r w:rsidRPr="00E87DC1">
        <w:rPr>
          <w:lang w:val="en-GB"/>
        </w:rPr>
        <w:t xml:space="preserve">HEMA: </w:t>
      </w:r>
      <w:r w:rsidRPr="00E87DC1">
        <w:rPr>
          <w:lang w:val="en-GB"/>
        </w:rPr>
        <w:tab/>
        <w:t>hydroxyethyl methacrylate</w:t>
      </w:r>
    </w:p>
    <w:bookmarkEnd w:id="4"/>
    <w:p w:rsidR="003E326E" w:rsidRPr="00E87DC1" w:rsidRDefault="003E326E" w:rsidP="003E326E">
      <w:pPr>
        <w:tabs>
          <w:tab w:val="left" w:pos="1418"/>
        </w:tabs>
        <w:spacing w:after="0" w:line="240" w:lineRule="auto"/>
        <w:ind w:left="1418" w:hanging="1418"/>
        <w:rPr>
          <w:lang w:val="en-GB"/>
        </w:rPr>
      </w:pPr>
      <w:r w:rsidRPr="00E87DC1">
        <w:rPr>
          <w:lang w:val="en-GB"/>
        </w:rPr>
        <w:t>HMW:</w:t>
      </w:r>
      <w:r w:rsidRPr="00E87DC1">
        <w:rPr>
          <w:lang w:val="en-GB"/>
        </w:rPr>
        <w:tab/>
        <w:t>High-molecular-weight</w:t>
      </w:r>
    </w:p>
    <w:p w:rsidR="003E326E" w:rsidRPr="00E87DC1" w:rsidRDefault="003E326E" w:rsidP="003E326E">
      <w:pPr>
        <w:tabs>
          <w:tab w:val="left" w:pos="1418"/>
        </w:tabs>
        <w:spacing w:after="0" w:line="240" w:lineRule="auto"/>
        <w:ind w:left="1418" w:hanging="1418"/>
        <w:rPr>
          <w:bCs/>
          <w:lang w:val="en-GB"/>
        </w:rPr>
      </w:pPr>
      <w:r w:rsidRPr="00E87DC1">
        <w:rPr>
          <w:bCs/>
          <w:lang w:val="en-GB"/>
        </w:rPr>
        <w:t>IQR:</w:t>
      </w:r>
      <w:r w:rsidRPr="00E87DC1">
        <w:rPr>
          <w:bCs/>
          <w:lang w:val="en-GB"/>
        </w:rPr>
        <w:tab/>
        <w:t>Interquartile range</w:t>
      </w:r>
    </w:p>
    <w:p w:rsidR="003E326E" w:rsidRPr="00E87DC1" w:rsidRDefault="003E326E" w:rsidP="003E326E">
      <w:pPr>
        <w:tabs>
          <w:tab w:val="left" w:pos="1418"/>
        </w:tabs>
        <w:spacing w:after="0" w:line="240" w:lineRule="auto"/>
        <w:ind w:left="1418" w:hanging="1418"/>
        <w:rPr>
          <w:bCs/>
          <w:lang w:val="en-GB"/>
        </w:rPr>
      </w:pPr>
      <w:r w:rsidRPr="00E87DC1">
        <w:rPr>
          <w:bCs/>
          <w:lang w:val="en-GB"/>
        </w:rPr>
        <w:t>LMW:</w:t>
      </w:r>
      <w:r w:rsidRPr="00E87DC1">
        <w:rPr>
          <w:bCs/>
          <w:lang w:val="en-GB"/>
        </w:rPr>
        <w:tab/>
        <w:t>Low-molecular-weight</w:t>
      </w:r>
    </w:p>
    <w:p w:rsidR="003E326E" w:rsidRPr="00E87DC1" w:rsidRDefault="003E326E" w:rsidP="003E326E">
      <w:pPr>
        <w:tabs>
          <w:tab w:val="left" w:pos="1418"/>
        </w:tabs>
        <w:spacing w:after="0" w:line="240" w:lineRule="auto"/>
        <w:ind w:left="1418" w:hanging="1418"/>
        <w:rPr>
          <w:lang w:val="en-GB"/>
        </w:rPr>
      </w:pPr>
      <w:r w:rsidRPr="00E87DC1">
        <w:rPr>
          <w:lang w:val="en-GB"/>
        </w:rPr>
        <w:t xml:space="preserve">MMA: </w:t>
      </w:r>
      <w:r w:rsidRPr="00E87DC1">
        <w:rPr>
          <w:lang w:val="en-GB"/>
        </w:rPr>
        <w:tab/>
        <w:t>methyl methacrylate</w:t>
      </w:r>
    </w:p>
    <w:p w:rsidR="003E326E" w:rsidRPr="00E87DC1" w:rsidRDefault="003E326E" w:rsidP="003E326E">
      <w:pPr>
        <w:tabs>
          <w:tab w:val="left" w:pos="1418"/>
        </w:tabs>
        <w:spacing w:after="0" w:line="240" w:lineRule="auto"/>
        <w:ind w:left="1418" w:hanging="1418"/>
        <w:rPr>
          <w:lang w:val="en-US"/>
        </w:rPr>
      </w:pPr>
      <w:r w:rsidRPr="00E87DC1">
        <w:rPr>
          <w:lang w:val="en-US"/>
        </w:rPr>
        <w:t>NSBH:</w:t>
      </w:r>
      <w:r w:rsidRPr="00E87DC1">
        <w:rPr>
          <w:lang w:val="en-US"/>
        </w:rPr>
        <w:tab/>
        <w:t>Nonspecific bronchial hyperresponsiveness</w:t>
      </w:r>
    </w:p>
    <w:p w:rsidR="003E326E" w:rsidRPr="00E87DC1" w:rsidRDefault="003E326E" w:rsidP="003E326E">
      <w:pPr>
        <w:tabs>
          <w:tab w:val="left" w:pos="1418"/>
        </w:tabs>
        <w:spacing w:after="0" w:line="240" w:lineRule="auto"/>
        <w:ind w:left="1418" w:hanging="1418"/>
        <w:rPr>
          <w:bCs/>
          <w:lang w:val="en-GB"/>
        </w:rPr>
      </w:pPr>
      <w:r w:rsidRPr="00E87DC1">
        <w:rPr>
          <w:lang w:val="en-US"/>
        </w:rPr>
        <w:t>OA:</w:t>
      </w:r>
      <w:r w:rsidRPr="00E87DC1">
        <w:rPr>
          <w:lang w:val="en-US"/>
        </w:rPr>
        <w:tab/>
        <w:t>Occupational asthma</w:t>
      </w:r>
    </w:p>
    <w:p w:rsidR="003E326E" w:rsidRPr="00E87DC1" w:rsidRDefault="003E326E" w:rsidP="003E326E">
      <w:pPr>
        <w:tabs>
          <w:tab w:val="left" w:pos="1418"/>
        </w:tabs>
        <w:spacing w:after="0" w:line="240" w:lineRule="auto"/>
        <w:ind w:left="1418" w:hanging="1418"/>
        <w:rPr>
          <w:lang w:val="en-GB"/>
        </w:rPr>
      </w:pPr>
      <w:r w:rsidRPr="00E87DC1">
        <w:rPr>
          <w:lang w:val="en-GB"/>
        </w:rPr>
        <w:t>ppb:</w:t>
      </w:r>
      <w:r w:rsidRPr="00E87DC1">
        <w:rPr>
          <w:lang w:val="en-GB"/>
        </w:rPr>
        <w:tab/>
        <w:t>Parts per billion</w:t>
      </w:r>
    </w:p>
    <w:p w:rsidR="003E326E" w:rsidRPr="00E87DC1" w:rsidRDefault="003E326E" w:rsidP="003E326E">
      <w:pPr>
        <w:tabs>
          <w:tab w:val="left" w:pos="1418"/>
        </w:tabs>
        <w:spacing w:after="0" w:line="240" w:lineRule="auto"/>
        <w:ind w:left="1418" w:hanging="1418"/>
        <w:rPr>
          <w:lang w:val="en-GB"/>
        </w:rPr>
      </w:pPr>
      <w:r w:rsidRPr="00E87DC1">
        <w:rPr>
          <w:lang w:val="en-GB"/>
        </w:rPr>
        <w:t>QSAR:</w:t>
      </w:r>
      <w:r w:rsidRPr="00E87DC1">
        <w:rPr>
          <w:lang w:val="en-GB"/>
        </w:rPr>
        <w:tab/>
      </w:r>
      <w:r w:rsidRPr="00E87DC1">
        <w:rPr>
          <w:lang w:val="en-US"/>
        </w:rPr>
        <w:t>Quantitative structure activity relationship</w:t>
      </w:r>
    </w:p>
    <w:p w:rsidR="003E326E" w:rsidRPr="00E87DC1" w:rsidRDefault="003E326E" w:rsidP="003E326E">
      <w:pPr>
        <w:tabs>
          <w:tab w:val="left" w:pos="1418"/>
        </w:tabs>
        <w:spacing w:after="0" w:line="240" w:lineRule="auto"/>
        <w:ind w:left="1418" w:hanging="1418"/>
        <w:rPr>
          <w:lang w:val="en-GB"/>
        </w:rPr>
      </w:pPr>
      <w:r w:rsidRPr="00E87DC1">
        <w:rPr>
          <w:lang w:val="en-GB"/>
        </w:rPr>
        <w:t xml:space="preserve">SIC: </w:t>
      </w:r>
      <w:r w:rsidRPr="00E87DC1">
        <w:rPr>
          <w:lang w:val="en-GB"/>
        </w:rPr>
        <w:tab/>
        <w:t>Specific inhalation challenge</w:t>
      </w:r>
    </w:p>
    <w:p w:rsidR="005F7EB2" w:rsidRPr="00E87DC1" w:rsidRDefault="005F7EB2" w:rsidP="00A4038B">
      <w:pPr>
        <w:spacing w:line="480" w:lineRule="auto"/>
        <w:jc w:val="both"/>
        <w:rPr>
          <w:b/>
          <w:lang w:val="en-US"/>
        </w:rPr>
      </w:pPr>
      <w:r w:rsidRPr="00E87DC1">
        <w:rPr>
          <w:b/>
          <w:lang w:val="en-US"/>
        </w:rPr>
        <w:br w:type="page"/>
      </w:r>
    </w:p>
    <w:p w:rsidR="005F7EB2" w:rsidRPr="00E87DC1" w:rsidRDefault="00A334DD" w:rsidP="00A4038B">
      <w:pPr>
        <w:spacing w:line="360" w:lineRule="auto"/>
        <w:jc w:val="both"/>
        <w:rPr>
          <w:b/>
          <w:lang w:val="en-US"/>
        </w:rPr>
      </w:pPr>
      <w:r w:rsidRPr="00E87DC1">
        <w:rPr>
          <w:b/>
          <w:lang w:val="en-US"/>
        </w:rPr>
        <w:lastRenderedPageBreak/>
        <w:t>Introduction</w:t>
      </w:r>
    </w:p>
    <w:p w:rsidR="005F7EB2" w:rsidRPr="00E87DC1" w:rsidRDefault="005F7EB2" w:rsidP="00A4038B">
      <w:pPr>
        <w:spacing w:line="360" w:lineRule="auto"/>
        <w:jc w:val="both"/>
        <w:rPr>
          <w:lang w:val="en-US"/>
        </w:rPr>
      </w:pPr>
      <w:r w:rsidRPr="00E87DC1">
        <w:rPr>
          <w:lang w:val="en-US"/>
        </w:rPr>
        <w:t xml:space="preserve">The terms “acrylic” or “acryl plastic” refer to synthetic polymers produced from acrylate resins. These resins may be composed of a number of different primary cyanoacrylates, </w:t>
      </w:r>
      <w:proofErr w:type="spellStart"/>
      <w:r w:rsidRPr="00E87DC1">
        <w:rPr>
          <w:lang w:val="en-US"/>
        </w:rPr>
        <w:t>methacrylates</w:t>
      </w:r>
      <w:proofErr w:type="spellEnd"/>
      <w:r w:rsidRPr="00E87DC1">
        <w:rPr>
          <w:lang w:val="en-US"/>
        </w:rPr>
        <w:t xml:space="preserve"> and plain acrylates although the generic term “acrylates” is oft</w:t>
      </w:r>
      <w:r w:rsidR="008F584C" w:rsidRPr="00E87DC1">
        <w:rPr>
          <w:lang w:val="en-US"/>
        </w:rPr>
        <w:t>en used for all of them. Table I</w:t>
      </w:r>
      <w:r w:rsidRPr="00E87DC1">
        <w:rPr>
          <w:lang w:val="en-US"/>
        </w:rPr>
        <w:t xml:space="preserve"> presents some common acrylate compounds and their uses. The harmful effects of acrylates are coupled to liquid-phase resins containing reactive monomers and/or prepolymers while fully cured acrylic plastics are generally not hazardous to health. Several acrylates are well known potent skin sensitizers and their increasing use in nail and lash cosmetics has, in the last decade, resulted in an epidemic of allergic contact dermatitis in beauticians and their customers </w:t>
      </w:r>
      <w:r w:rsidRPr="00E87DC1">
        <w:rPr>
          <w:noProof/>
          <w:lang w:val="en-US"/>
        </w:rPr>
        <w:t>(1)</w:t>
      </w:r>
      <w:r w:rsidRPr="00E87DC1">
        <w:rPr>
          <w:lang w:val="en-US"/>
        </w:rPr>
        <w:t>.</w:t>
      </w:r>
    </w:p>
    <w:p w:rsidR="005F7EB2" w:rsidRPr="00E87DC1" w:rsidRDefault="005F7EB2">
      <w:pPr>
        <w:spacing w:line="360" w:lineRule="auto"/>
        <w:jc w:val="both"/>
        <w:rPr>
          <w:lang w:val="en-US"/>
        </w:rPr>
      </w:pPr>
      <w:r w:rsidRPr="00E87DC1">
        <w:rPr>
          <w:lang w:val="en-US"/>
        </w:rPr>
        <w:t xml:space="preserve">No acrylates are yet classified as a respiratory sensitizer </w:t>
      </w:r>
      <w:r w:rsidRPr="00E87DC1">
        <w:rPr>
          <w:noProof/>
          <w:lang w:val="en-US"/>
        </w:rPr>
        <w:t>(2) and there remains some controversy about their respiratory sensitizing potential (3).</w:t>
      </w:r>
      <w:r w:rsidRPr="00E87DC1">
        <w:rPr>
          <w:b/>
          <w:color w:val="00B050"/>
          <w:lang w:val="en-US"/>
        </w:rPr>
        <w:t xml:space="preserve"> </w:t>
      </w:r>
      <w:r w:rsidRPr="00E87DC1">
        <w:rPr>
          <w:lang w:val="en-US"/>
        </w:rPr>
        <w:t xml:space="preserve">Notwithstanding, epidemiological studies have shown increased risks of asthma in populations exposed to cyanoacrylates </w:t>
      </w:r>
      <w:r w:rsidRPr="00E87DC1">
        <w:rPr>
          <w:noProof/>
          <w:lang w:val="en-US"/>
        </w:rPr>
        <w:t>(4)</w:t>
      </w:r>
      <w:r w:rsidRPr="00E87DC1">
        <w:rPr>
          <w:lang w:val="en-US"/>
        </w:rPr>
        <w:t xml:space="preserve">, </w:t>
      </w:r>
      <w:proofErr w:type="spellStart"/>
      <w:r w:rsidRPr="00E87DC1">
        <w:rPr>
          <w:lang w:val="en-US"/>
        </w:rPr>
        <w:t>methacrylates</w:t>
      </w:r>
      <w:proofErr w:type="spellEnd"/>
      <w:r w:rsidRPr="00E87DC1">
        <w:rPr>
          <w:lang w:val="en-US"/>
        </w:rPr>
        <w:t xml:space="preserve"> </w:t>
      </w:r>
      <w:r w:rsidRPr="00E87DC1">
        <w:rPr>
          <w:noProof/>
          <w:lang w:val="en-US"/>
        </w:rPr>
        <w:t>(5)</w:t>
      </w:r>
      <w:r w:rsidRPr="00E87DC1">
        <w:rPr>
          <w:lang w:val="en-US"/>
        </w:rPr>
        <w:t xml:space="preserve">, and other acrylates </w:t>
      </w:r>
      <w:r w:rsidRPr="00E87DC1">
        <w:rPr>
          <w:noProof/>
          <w:lang w:val="en-US"/>
        </w:rPr>
        <w:t>(6)</w:t>
      </w:r>
      <w:r w:rsidRPr="00E87DC1">
        <w:rPr>
          <w:lang w:val="en-US"/>
        </w:rPr>
        <w:t xml:space="preserve">. Cases of occupational asthma (OA) confirmed by specific inhalation challenge (SIC) have been reported from various acrylate compounds </w:t>
      </w:r>
      <w:r w:rsidRPr="00E87DC1">
        <w:rPr>
          <w:noProof/>
          <w:lang w:val="en-US"/>
        </w:rPr>
        <w:t>(7, 8),</w:t>
      </w:r>
      <w:r w:rsidRPr="00E87DC1">
        <w:rPr>
          <w:lang w:val="en-US"/>
        </w:rPr>
        <w:t xml:space="preserve"> including cyanoacrylates </w:t>
      </w:r>
      <w:r w:rsidRPr="00E87DC1">
        <w:rPr>
          <w:noProof/>
          <w:lang w:val="en-US"/>
        </w:rPr>
        <w:t>(9-11)</w:t>
      </w:r>
      <w:r w:rsidRPr="00E87DC1">
        <w:rPr>
          <w:lang w:val="en-US"/>
        </w:rPr>
        <w:t xml:space="preserve">, </w:t>
      </w:r>
      <w:proofErr w:type="spellStart"/>
      <w:r w:rsidRPr="00E87DC1">
        <w:rPr>
          <w:lang w:val="en-US"/>
        </w:rPr>
        <w:t>methacrylates</w:t>
      </w:r>
      <w:proofErr w:type="spellEnd"/>
      <w:r w:rsidRPr="00E87DC1">
        <w:rPr>
          <w:lang w:val="en-US"/>
        </w:rPr>
        <w:t xml:space="preserve"> </w:t>
      </w:r>
      <w:r w:rsidRPr="00E87DC1">
        <w:rPr>
          <w:noProof/>
          <w:lang w:val="en-US"/>
        </w:rPr>
        <w:t>(12-17)</w:t>
      </w:r>
      <w:r w:rsidRPr="00E87DC1">
        <w:rPr>
          <w:lang w:val="en-US"/>
        </w:rPr>
        <w:t xml:space="preserve"> and plain acrylates </w:t>
      </w:r>
      <w:r w:rsidRPr="00E87DC1">
        <w:rPr>
          <w:noProof/>
          <w:lang w:val="en-US"/>
        </w:rPr>
        <w:t>(7, 18-20)</w:t>
      </w:r>
      <w:r w:rsidRPr="00E87DC1">
        <w:rPr>
          <w:lang w:val="en-US"/>
        </w:rPr>
        <w:t xml:space="preserve">. As with many other low-molecular-weight (LMW) agents that cause OA, </w:t>
      </w:r>
      <w:proofErr w:type="spellStart"/>
      <w:r w:rsidRPr="00E87DC1">
        <w:rPr>
          <w:lang w:val="en-US"/>
        </w:rPr>
        <w:t>IgE</w:t>
      </w:r>
      <w:proofErr w:type="spellEnd"/>
      <w:r w:rsidRPr="00E87DC1">
        <w:rPr>
          <w:lang w:val="en-US"/>
        </w:rPr>
        <w:t xml:space="preserve">-associated sensitization to acrylates has not been identified </w:t>
      </w:r>
      <w:r w:rsidRPr="00E87DC1">
        <w:rPr>
          <w:noProof/>
          <w:lang w:val="en-US"/>
        </w:rPr>
        <w:t>(7, 21)</w:t>
      </w:r>
      <w:r w:rsidRPr="00E87DC1">
        <w:rPr>
          <w:lang w:val="en-US"/>
        </w:rPr>
        <w:t>.</w:t>
      </w:r>
    </w:p>
    <w:p w:rsidR="005F7EB2" w:rsidRPr="00E87DC1" w:rsidRDefault="005F7EB2">
      <w:pPr>
        <w:spacing w:line="360" w:lineRule="auto"/>
        <w:jc w:val="both"/>
        <w:rPr>
          <w:lang w:val="en-US"/>
        </w:rPr>
      </w:pPr>
      <w:r w:rsidRPr="00E87DC1">
        <w:rPr>
          <w:lang w:val="en-US"/>
        </w:rPr>
        <w:t>We aimed to evaluate the jobs, exposures and clinical, functional and inflammatory characteristics of workers with a diagnosis of acrylate-induced OA ascertained by a SIC. By comparing them with cases of OA caused by other LMW agents and a well-defined subgroup, isocyanate-induced OA, we hoped to identify a distinct phenotypic profile of acrylate induced OA.</w:t>
      </w:r>
    </w:p>
    <w:p w:rsidR="003E326E" w:rsidRPr="00E87DC1" w:rsidRDefault="003E326E">
      <w:pPr>
        <w:rPr>
          <w:b/>
          <w:lang w:val="en-US"/>
        </w:rPr>
      </w:pPr>
      <w:r w:rsidRPr="00E87DC1">
        <w:rPr>
          <w:b/>
          <w:lang w:val="en-US"/>
        </w:rPr>
        <w:br w:type="page"/>
      </w:r>
    </w:p>
    <w:p w:rsidR="005F7EB2" w:rsidRPr="00E87DC1" w:rsidRDefault="005F7EB2">
      <w:pPr>
        <w:spacing w:line="360" w:lineRule="auto"/>
        <w:jc w:val="both"/>
        <w:rPr>
          <w:b/>
          <w:lang w:val="en-US"/>
        </w:rPr>
      </w:pPr>
      <w:r w:rsidRPr="00E87DC1">
        <w:rPr>
          <w:b/>
          <w:lang w:val="en-US"/>
        </w:rPr>
        <w:lastRenderedPageBreak/>
        <w:t>M</w:t>
      </w:r>
      <w:r w:rsidR="00A334DD" w:rsidRPr="00E87DC1">
        <w:rPr>
          <w:b/>
          <w:lang w:val="en-US"/>
        </w:rPr>
        <w:t>ethods</w:t>
      </w:r>
    </w:p>
    <w:p w:rsidR="005F7EB2" w:rsidRPr="00E87DC1" w:rsidRDefault="005F7EB2">
      <w:pPr>
        <w:spacing w:line="360" w:lineRule="auto"/>
        <w:jc w:val="both"/>
        <w:rPr>
          <w:i/>
          <w:lang w:val="en-US"/>
        </w:rPr>
      </w:pPr>
      <w:r w:rsidRPr="00E87DC1">
        <w:rPr>
          <w:i/>
          <w:lang w:val="en-US"/>
        </w:rPr>
        <w:t>Study design and population</w:t>
      </w:r>
    </w:p>
    <w:p w:rsidR="005F7EB2" w:rsidRPr="00E87DC1" w:rsidRDefault="005F7EB2">
      <w:pPr>
        <w:spacing w:line="360" w:lineRule="auto"/>
        <w:jc w:val="both"/>
        <w:rPr>
          <w:lang w:val="en-US"/>
        </w:rPr>
      </w:pPr>
      <w:r w:rsidRPr="00E87DC1">
        <w:rPr>
          <w:lang w:val="en-US"/>
        </w:rPr>
        <w:t xml:space="preserve">This retrospective, observational study included subjects with acrylate-induced OA who were recruited from 20 tertiary centers participating in the European network for the </w:t>
      </w:r>
      <w:proofErr w:type="spellStart"/>
      <w:r w:rsidRPr="00E87DC1">
        <w:rPr>
          <w:lang w:val="en-US"/>
        </w:rPr>
        <w:t>PHenotyping</w:t>
      </w:r>
      <w:proofErr w:type="spellEnd"/>
      <w:r w:rsidRPr="00E87DC1">
        <w:rPr>
          <w:lang w:val="en-US"/>
        </w:rPr>
        <w:t xml:space="preserve"> of </w:t>
      </w:r>
      <w:proofErr w:type="spellStart"/>
      <w:r w:rsidRPr="00E87DC1">
        <w:rPr>
          <w:lang w:val="en-US"/>
        </w:rPr>
        <w:t>OCcupational</w:t>
      </w:r>
      <w:proofErr w:type="spellEnd"/>
      <w:r w:rsidRPr="00E87DC1">
        <w:rPr>
          <w:lang w:val="en-US"/>
        </w:rPr>
        <w:t xml:space="preserve"> </w:t>
      </w:r>
      <w:proofErr w:type="spellStart"/>
      <w:r w:rsidRPr="00E87DC1">
        <w:rPr>
          <w:lang w:val="en-US"/>
        </w:rPr>
        <w:t>ASthma</w:t>
      </w:r>
      <w:proofErr w:type="spellEnd"/>
      <w:r w:rsidRPr="00E87DC1">
        <w:rPr>
          <w:lang w:val="en-US"/>
        </w:rPr>
        <w:t xml:space="preserve"> (E-PHOCAS) </w:t>
      </w:r>
      <w:r w:rsidRPr="00E87DC1">
        <w:rPr>
          <w:noProof/>
          <w:lang w:val="en-US"/>
        </w:rPr>
        <w:t>(22, 23)</w:t>
      </w:r>
      <w:r w:rsidRPr="00E87DC1">
        <w:rPr>
          <w:lang w:val="en-US"/>
        </w:rPr>
        <w:t>. The E-PHOCAS cohort recruited all subjects with a diagnosis of OA ascertained by a positive SIC between January 2006 and December 2015. This resulted in 446 patients with OA to LMW agents and complete data on important covariables.</w:t>
      </w:r>
      <w:r w:rsidRPr="00E87DC1">
        <w:rPr>
          <w:b/>
          <w:color w:val="538135" w:themeColor="accent6" w:themeShade="BF"/>
          <w:lang w:val="en-US"/>
        </w:rPr>
        <w:t xml:space="preserve"> </w:t>
      </w:r>
      <w:r w:rsidRPr="00E87DC1">
        <w:rPr>
          <w:lang w:val="en-US"/>
        </w:rPr>
        <w:t xml:space="preserve">Eight of the participating </w:t>
      </w:r>
      <w:proofErr w:type="spellStart"/>
      <w:r w:rsidRPr="00E87DC1">
        <w:rPr>
          <w:lang w:val="en-US"/>
        </w:rPr>
        <w:t>centres</w:t>
      </w:r>
      <w:proofErr w:type="spellEnd"/>
      <w:r w:rsidRPr="00E87DC1">
        <w:rPr>
          <w:lang w:val="en-US"/>
        </w:rPr>
        <w:t xml:space="preserve"> reported a total of 28 subjects with OA caused by acrylates (6.3% of all reported cases of OA to LMW agents and 2.9% of all cases) and were asked to enter additional cases identified outside of the 2006-2015 period if available, resulting in 31 additional subjects. Of the 59 reported subjects, one was excluded because the acrylate was not precisely identified, and three due to missing information on key clinical outcomes. The 55 subjects with documented acrylate-induced OA who fulfilled the inclusion criteria were compared to subjects with OA due to 1) other LMW agents including isocyanates (n=418) and 2) isocyanates (n=125) who fulfilled the same eligibility criteria in the E-PHOCAS database.</w:t>
      </w:r>
    </w:p>
    <w:p w:rsidR="003E326E" w:rsidRPr="00E87DC1" w:rsidRDefault="003E326E">
      <w:pPr>
        <w:spacing w:line="360" w:lineRule="auto"/>
        <w:jc w:val="both"/>
        <w:rPr>
          <w:i/>
          <w:lang w:val="en-US"/>
        </w:rPr>
      </w:pPr>
      <w:r w:rsidRPr="00E87DC1">
        <w:rPr>
          <w:i/>
          <w:lang w:val="en-US"/>
        </w:rPr>
        <w:t xml:space="preserve">Ethics approval </w:t>
      </w:r>
    </w:p>
    <w:p w:rsidR="003E326E" w:rsidRPr="00E87DC1" w:rsidRDefault="003E326E">
      <w:pPr>
        <w:spacing w:line="360" w:lineRule="auto"/>
        <w:jc w:val="both"/>
        <w:rPr>
          <w:lang w:val="en-US"/>
        </w:rPr>
      </w:pPr>
      <w:r w:rsidRPr="00E87DC1">
        <w:rPr>
          <w:lang w:val="en-US"/>
        </w:rPr>
        <w:t xml:space="preserve">Each participating </w:t>
      </w:r>
      <w:proofErr w:type="spellStart"/>
      <w:r w:rsidRPr="00E87DC1">
        <w:rPr>
          <w:lang w:val="en-US"/>
        </w:rPr>
        <w:t>centre</w:t>
      </w:r>
      <w:proofErr w:type="spellEnd"/>
      <w:r w:rsidRPr="00E87DC1">
        <w:rPr>
          <w:lang w:val="en-US"/>
        </w:rPr>
        <w:t xml:space="preserve"> obtained approval from its local Institutional Review Board. The central database at the Strasbourg University was approved by the “</w:t>
      </w:r>
      <w:proofErr w:type="spellStart"/>
      <w:r w:rsidRPr="00E87DC1">
        <w:rPr>
          <w:lang w:val="en-US"/>
        </w:rPr>
        <w:t>Comité</w:t>
      </w:r>
      <w:proofErr w:type="spellEnd"/>
      <w:r w:rsidRPr="00E87DC1">
        <w:rPr>
          <w:lang w:val="en-US"/>
        </w:rPr>
        <w:t xml:space="preserve"> </w:t>
      </w:r>
      <w:proofErr w:type="spellStart"/>
      <w:r w:rsidRPr="00E87DC1">
        <w:rPr>
          <w:lang w:val="en-US"/>
        </w:rPr>
        <w:t>Consultatif</w:t>
      </w:r>
      <w:proofErr w:type="spellEnd"/>
      <w:r w:rsidRPr="00E87DC1">
        <w:rPr>
          <w:lang w:val="en-US"/>
        </w:rPr>
        <w:t xml:space="preserve"> sur le </w:t>
      </w:r>
      <w:proofErr w:type="spellStart"/>
      <w:r w:rsidRPr="00E87DC1">
        <w:rPr>
          <w:lang w:val="en-US"/>
        </w:rPr>
        <w:t>Traitement</w:t>
      </w:r>
      <w:proofErr w:type="spellEnd"/>
      <w:r w:rsidRPr="00E87DC1">
        <w:rPr>
          <w:lang w:val="en-US"/>
        </w:rPr>
        <w:t xml:space="preserve"> de </w:t>
      </w:r>
      <w:proofErr w:type="spellStart"/>
      <w:r w:rsidRPr="00E87DC1">
        <w:rPr>
          <w:lang w:val="en-US"/>
        </w:rPr>
        <w:t>l’Information</w:t>
      </w:r>
      <w:proofErr w:type="spellEnd"/>
      <w:r w:rsidRPr="00E87DC1">
        <w:rPr>
          <w:lang w:val="en-US"/>
        </w:rPr>
        <w:t xml:space="preserve"> </w:t>
      </w:r>
      <w:proofErr w:type="spellStart"/>
      <w:r w:rsidRPr="00E87DC1">
        <w:rPr>
          <w:lang w:val="en-US"/>
        </w:rPr>
        <w:t>en</w:t>
      </w:r>
      <w:proofErr w:type="spellEnd"/>
      <w:r w:rsidRPr="00E87DC1">
        <w:rPr>
          <w:lang w:val="en-US"/>
        </w:rPr>
        <w:t xml:space="preserve"> Matière de Recherche dans le Domaine de la Santé” and the “Commission </w:t>
      </w:r>
      <w:proofErr w:type="spellStart"/>
      <w:r w:rsidRPr="00E87DC1">
        <w:rPr>
          <w:lang w:val="en-US"/>
        </w:rPr>
        <w:t>Nationale</w:t>
      </w:r>
      <w:proofErr w:type="spellEnd"/>
      <w:r w:rsidRPr="00E87DC1">
        <w:rPr>
          <w:lang w:val="en-US"/>
        </w:rPr>
        <w:t xml:space="preserve"> de </w:t>
      </w:r>
      <w:proofErr w:type="spellStart"/>
      <w:r w:rsidRPr="00E87DC1">
        <w:rPr>
          <w:lang w:val="en-US"/>
        </w:rPr>
        <w:t>l’Informatique</w:t>
      </w:r>
      <w:proofErr w:type="spellEnd"/>
      <w:r w:rsidRPr="00E87DC1">
        <w:rPr>
          <w:lang w:val="en-US"/>
        </w:rPr>
        <w:t xml:space="preserve"> et des </w:t>
      </w:r>
      <w:proofErr w:type="spellStart"/>
      <w:r w:rsidRPr="00E87DC1">
        <w:rPr>
          <w:lang w:val="en-US"/>
        </w:rPr>
        <w:t>Libertés</w:t>
      </w:r>
      <w:proofErr w:type="spellEnd"/>
      <w:r w:rsidRPr="00E87DC1">
        <w:rPr>
          <w:lang w:val="en-US"/>
        </w:rPr>
        <w:t>”.</w:t>
      </w:r>
    </w:p>
    <w:p w:rsidR="005F7EB2" w:rsidRPr="00E87DC1" w:rsidRDefault="005F7EB2">
      <w:pPr>
        <w:spacing w:line="360" w:lineRule="auto"/>
        <w:jc w:val="both"/>
        <w:rPr>
          <w:i/>
          <w:lang w:val="en-US"/>
        </w:rPr>
      </w:pPr>
      <w:r w:rsidRPr="00E87DC1">
        <w:rPr>
          <w:i/>
          <w:lang w:val="en-US"/>
        </w:rPr>
        <w:t xml:space="preserve">SIC procedure </w:t>
      </w:r>
    </w:p>
    <w:p w:rsidR="005F7EB2" w:rsidRPr="00E87DC1" w:rsidRDefault="005F7EB2">
      <w:pPr>
        <w:spacing w:line="360" w:lineRule="auto"/>
        <w:jc w:val="both"/>
        <w:rPr>
          <w:b/>
          <w:lang w:val="en-US"/>
        </w:rPr>
      </w:pPr>
      <w:r w:rsidRPr="00E87DC1">
        <w:rPr>
          <w:lang w:val="en-US"/>
        </w:rPr>
        <w:t>The SIC aimed to recreate an exposure comparable to the patients’ work. Most SICs (49/55) were performed by stirring or spreading liquid glues or related materials. Four were done by mixing a two-pack methacrylate prosthetics kit, and two by grinding recently hardened acrylate products (1 case artificial nails and 1 case dental prothesis). The methodology of SIC conformed with international recommendations in terms of safety precautions, “placebo” challenge, and duration of functional monitoring</w:t>
      </w:r>
      <w:r w:rsidR="00D64E24" w:rsidRPr="00E87DC1">
        <w:rPr>
          <w:lang w:val="en-US"/>
        </w:rPr>
        <w:t xml:space="preserve"> </w:t>
      </w:r>
      <w:r w:rsidRPr="00E87DC1">
        <w:rPr>
          <w:noProof/>
          <w:lang w:val="en-US"/>
        </w:rPr>
        <w:t>(23, 24)</w:t>
      </w:r>
      <w:r w:rsidR="00D64E24" w:rsidRPr="00E87DC1">
        <w:rPr>
          <w:noProof/>
          <w:lang w:val="en-US"/>
        </w:rPr>
        <w:t>.</w:t>
      </w:r>
      <w:r w:rsidRPr="00E87DC1">
        <w:rPr>
          <w:lang w:val="en-US"/>
        </w:rPr>
        <w:t xml:space="preserve"> The cumulative duration of SIC exposure, comprising one or more challenges, was 1-240 minutes (median 30 min). The placebo control challenges were performed on a separate day using materials without acrylate ingredients, such as glues without acrylates, organic solvents or saline.</w:t>
      </w:r>
    </w:p>
    <w:p w:rsidR="005F7EB2" w:rsidRPr="00E87DC1" w:rsidRDefault="005F7EB2">
      <w:pPr>
        <w:spacing w:line="360" w:lineRule="auto"/>
        <w:jc w:val="both"/>
        <w:rPr>
          <w:i/>
          <w:iCs/>
          <w:lang w:val="en-US"/>
        </w:rPr>
      </w:pPr>
      <w:r w:rsidRPr="00E87DC1">
        <w:rPr>
          <w:i/>
          <w:iCs/>
          <w:lang w:val="en-US"/>
        </w:rPr>
        <w:t>Acrylate categorization and prediction of respiratory sensitization potential from chemical structure</w:t>
      </w:r>
    </w:p>
    <w:p w:rsidR="005F7EB2" w:rsidRPr="00E87DC1" w:rsidRDefault="005F7EB2" w:rsidP="00A4038B">
      <w:pPr>
        <w:spacing w:line="360" w:lineRule="auto"/>
        <w:jc w:val="both"/>
        <w:rPr>
          <w:lang w:val="en-US"/>
        </w:rPr>
      </w:pPr>
      <w:r w:rsidRPr="00E87DC1">
        <w:rPr>
          <w:lang w:val="en-US"/>
        </w:rPr>
        <w:lastRenderedPageBreak/>
        <w:t xml:space="preserve">After review of available safety data sheets of involved products, we </w:t>
      </w:r>
      <w:proofErr w:type="spellStart"/>
      <w:r w:rsidRPr="00E87DC1">
        <w:rPr>
          <w:lang w:val="en-US"/>
        </w:rPr>
        <w:t>categorised</w:t>
      </w:r>
      <w:proofErr w:type="spellEnd"/>
      <w:r w:rsidRPr="00E87DC1">
        <w:rPr>
          <w:lang w:val="en-US"/>
        </w:rPr>
        <w:t xml:space="preserve"> the causative acrylate compounds into three subgroups based on their chemical structure: </w:t>
      </w:r>
      <w:proofErr w:type="spellStart"/>
      <w:r w:rsidRPr="00E87DC1">
        <w:rPr>
          <w:lang w:val="en-US"/>
        </w:rPr>
        <w:t>methacrylates</w:t>
      </w:r>
      <w:proofErr w:type="spellEnd"/>
      <w:r w:rsidRPr="00E87DC1">
        <w:rPr>
          <w:lang w:val="en-US"/>
        </w:rPr>
        <w:t>, cyanoacrylates and plain acrylates.</w:t>
      </w:r>
    </w:p>
    <w:p w:rsidR="005F7EB2" w:rsidRPr="00E87DC1" w:rsidRDefault="005F7EB2">
      <w:pPr>
        <w:spacing w:line="360" w:lineRule="auto"/>
        <w:jc w:val="both"/>
        <w:rPr>
          <w:lang w:val="en-US"/>
        </w:rPr>
      </w:pPr>
      <w:r w:rsidRPr="00E87DC1">
        <w:rPr>
          <w:lang w:val="en-US"/>
        </w:rPr>
        <w:t>We obtained the chemical structures of specific acrylate compounds from the on-line chemical database, PubChem (PubChem: (</w:t>
      </w:r>
      <w:hyperlink r:id="rId8" w:history="1">
        <w:r w:rsidRPr="00E87DC1">
          <w:rPr>
            <w:rStyle w:val="Hyperlink"/>
            <w:color w:val="auto"/>
            <w:u w:val="none"/>
            <w:lang w:val="en-US"/>
          </w:rPr>
          <w:t>https://pubchem.ncbi.nlm.nih.gov/</w:t>
        </w:r>
      </w:hyperlink>
      <w:r w:rsidRPr="00E87DC1">
        <w:rPr>
          <w:lang w:val="en-US"/>
        </w:rPr>
        <w:t xml:space="preserve">) and converted structures to </w:t>
      </w:r>
      <w:proofErr w:type="spellStart"/>
      <w:r w:rsidRPr="00E87DC1">
        <w:rPr>
          <w:lang w:val="en-US"/>
        </w:rPr>
        <w:t>molfiles</w:t>
      </w:r>
      <w:proofErr w:type="spellEnd"/>
      <w:r w:rsidRPr="00E87DC1">
        <w:rPr>
          <w:lang w:val="en-US"/>
        </w:rPr>
        <w:t xml:space="preserve"> using </w:t>
      </w:r>
      <w:proofErr w:type="spellStart"/>
      <w:r w:rsidRPr="00E87DC1">
        <w:rPr>
          <w:lang w:val="en-US"/>
        </w:rPr>
        <w:t>ChemDraw</w:t>
      </w:r>
      <w:proofErr w:type="spellEnd"/>
      <w:r w:rsidRPr="00E87DC1">
        <w:rPr>
          <w:lang w:val="en-US"/>
        </w:rPr>
        <w:t xml:space="preserve"> (Professional v.15.1) software. We then entered the </w:t>
      </w:r>
      <w:proofErr w:type="spellStart"/>
      <w:r w:rsidRPr="00E87DC1">
        <w:rPr>
          <w:lang w:val="en-US"/>
        </w:rPr>
        <w:t>molfile</w:t>
      </w:r>
      <w:proofErr w:type="spellEnd"/>
      <w:r w:rsidRPr="00E87DC1">
        <w:rPr>
          <w:lang w:val="en-US"/>
        </w:rPr>
        <w:t xml:space="preserve"> for each compound into the most recent iteration of a quantitative structure activity relationship (QSAR) model</w:t>
      </w:r>
      <w:r w:rsidR="00D64E24" w:rsidRPr="00E87DC1">
        <w:rPr>
          <w:lang w:val="en-US"/>
        </w:rPr>
        <w:t xml:space="preserve"> </w:t>
      </w:r>
      <w:r w:rsidRPr="00E87DC1">
        <w:rPr>
          <w:noProof/>
          <w:lang w:val="en-US"/>
        </w:rPr>
        <w:t>(25)</w:t>
      </w:r>
      <w:r w:rsidRPr="00E87DC1">
        <w:rPr>
          <w:lang w:val="en-US"/>
        </w:rPr>
        <w:t xml:space="preserve"> to generate an ’asthma hazard index’ (HI). The HI for a given compound is the QSAR model’s estimate of the probability that the compound has respiratory </w:t>
      </w:r>
      <w:proofErr w:type="spellStart"/>
      <w:r w:rsidRPr="00E87DC1">
        <w:rPr>
          <w:lang w:val="en-US"/>
        </w:rPr>
        <w:t>sensitisation</w:t>
      </w:r>
      <w:proofErr w:type="spellEnd"/>
      <w:r w:rsidRPr="00E87DC1">
        <w:rPr>
          <w:lang w:val="en-US"/>
        </w:rPr>
        <w:t xml:space="preserve"> potential based on its chemical structure.</w:t>
      </w:r>
    </w:p>
    <w:p w:rsidR="005F7EB2" w:rsidRPr="00E87DC1" w:rsidRDefault="005F7EB2">
      <w:pPr>
        <w:spacing w:line="360" w:lineRule="auto"/>
        <w:jc w:val="both"/>
        <w:rPr>
          <w:i/>
          <w:lang w:val="en-US"/>
        </w:rPr>
      </w:pPr>
      <w:r w:rsidRPr="00E87DC1">
        <w:rPr>
          <w:i/>
          <w:lang w:val="en-US"/>
        </w:rPr>
        <w:t>Demographic and Clinical Characteristics</w:t>
      </w:r>
    </w:p>
    <w:p w:rsidR="005F7EB2" w:rsidRPr="00E87DC1" w:rsidRDefault="005F7EB2">
      <w:pPr>
        <w:spacing w:line="360" w:lineRule="auto"/>
        <w:jc w:val="both"/>
        <w:rPr>
          <w:lang w:val="en-US"/>
        </w:rPr>
      </w:pPr>
      <w:r w:rsidRPr="00E87DC1">
        <w:rPr>
          <w:lang w:val="en-US"/>
        </w:rPr>
        <w:t xml:space="preserve">We used a standardized Excel database to gather information on the following: 1) causative agent and job; 2) demographic and clinical characteristics; 3) nature and timing of exposure to the causal agent and work-related respiratory symptoms; 5) co-existing disorders; 6) detailed asthma medications; and 8) technique and materials for SIC </w:t>
      </w:r>
      <w:r w:rsidRPr="00E87DC1">
        <w:rPr>
          <w:noProof/>
          <w:lang w:val="en-US"/>
        </w:rPr>
        <w:t>(23)</w:t>
      </w:r>
      <w:r w:rsidRPr="00E87DC1">
        <w:rPr>
          <w:lang w:val="en-US"/>
        </w:rPr>
        <w:t xml:space="preserve">. We graded the intensity of asthma treatment, </w:t>
      </w:r>
      <w:r w:rsidRPr="00E87DC1">
        <w:rPr>
          <w:i/>
          <w:lang w:val="en-US"/>
        </w:rPr>
        <w:t>a posteriori</w:t>
      </w:r>
      <w:r w:rsidRPr="00E87DC1">
        <w:rPr>
          <w:lang w:val="en-US"/>
        </w:rPr>
        <w:t>, according to the steps proposed by the Global Initiative for Asthma (GINA)</w:t>
      </w:r>
      <w:r w:rsidR="00D64E24" w:rsidRPr="00E87DC1">
        <w:rPr>
          <w:lang w:val="en-US"/>
        </w:rPr>
        <w:t xml:space="preserve"> </w:t>
      </w:r>
      <w:r w:rsidRPr="00E87DC1">
        <w:rPr>
          <w:noProof/>
          <w:lang w:val="en-US"/>
        </w:rPr>
        <w:t>(26)</w:t>
      </w:r>
      <w:r w:rsidR="00D64E24" w:rsidRPr="00E87DC1">
        <w:rPr>
          <w:noProof/>
          <w:lang w:val="en-US"/>
        </w:rPr>
        <w:t>.</w:t>
      </w:r>
      <w:r w:rsidRPr="00E87DC1">
        <w:rPr>
          <w:lang w:val="en-US"/>
        </w:rPr>
        <w:t xml:space="preserve"> Severe exacerbations were defined as those requiring oral corticosteroids for at least three consecutive days or emergency room visit or hospitalization </w:t>
      </w:r>
      <w:r w:rsidRPr="00E87DC1">
        <w:rPr>
          <w:noProof/>
          <w:lang w:val="en-US"/>
        </w:rPr>
        <w:t>(27, 28)</w:t>
      </w:r>
      <w:r w:rsidRPr="00E87DC1">
        <w:rPr>
          <w:lang w:val="en-US"/>
        </w:rPr>
        <w:t>.</w:t>
      </w:r>
    </w:p>
    <w:p w:rsidR="005F7EB2" w:rsidRPr="00E87DC1" w:rsidRDefault="005F7EB2">
      <w:pPr>
        <w:spacing w:line="360" w:lineRule="auto"/>
        <w:jc w:val="both"/>
        <w:rPr>
          <w:i/>
          <w:lang w:val="en-US"/>
        </w:rPr>
      </w:pPr>
      <w:r w:rsidRPr="00E87DC1">
        <w:rPr>
          <w:i/>
          <w:lang w:val="en-US"/>
        </w:rPr>
        <w:t>Lung Function Assessments</w:t>
      </w:r>
    </w:p>
    <w:p w:rsidR="005F7EB2" w:rsidRPr="00E87DC1" w:rsidRDefault="005F7EB2">
      <w:pPr>
        <w:spacing w:line="360" w:lineRule="auto"/>
        <w:jc w:val="both"/>
        <w:rPr>
          <w:lang w:val="en-US"/>
        </w:rPr>
      </w:pPr>
      <w:r w:rsidRPr="00E87DC1">
        <w:rPr>
          <w:lang w:val="en-US"/>
        </w:rPr>
        <w:t>We collected the forced vital capacity (FVC) and forced expiratory volume in 1 sec (FEV</w:t>
      </w:r>
      <w:r w:rsidRPr="00E87DC1">
        <w:rPr>
          <w:vertAlign w:val="subscript"/>
          <w:lang w:val="en-US"/>
        </w:rPr>
        <w:t>1</w:t>
      </w:r>
      <w:r w:rsidRPr="00E87DC1">
        <w:rPr>
          <w:lang w:val="en-US"/>
        </w:rPr>
        <w:t>) measured at the time of the SIC, before challenge exposure to the causal agent. The levels of nonspecific bronchial hyperresponsiveness (NSBH) at baseline and 24 hours after challenge were expressed as the concentration or dose of the pharmacological agent inducing a 15% or 20% fall in FEV</w:t>
      </w:r>
      <w:r w:rsidRPr="00E87DC1">
        <w:rPr>
          <w:vertAlign w:val="subscript"/>
          <w:lang w:val="en-US"/>
        </w:rPr>
        <w:t>1</w:t>
      </w:r>
      <w:r w:rsidRPr="00E87DC1">
        <w:rPr>
          <w:lang w:val="en-US"/>
        </w:rPr>
        <w:t xml:space="preserve"> according to the bronchoprovocation method used in each center </w:t>
      </w:r>
      <w:r w:rsidRPr="00E87DC1">
        <w:rPr>
          <w:noProof/>
          <w:lang w:val="en-US"/>
        </w:rPr>
        <w:t>(23)</w:t>
      </w:r>
      <w:r w:rsidRPr="00E87DC1">
        <w:rPr>
          <w:lang w:val="en-US"/>
        </w:rPr>
        <w:t xml:space="preserve">. </w:t>
      </w:r>
    </w:p>
    <w:p w:rsidR="005F7EB2" w:rsidRPr="00E87DC1" w:rsidRDefault="005F7EB2">
      <w:pPr>
        <w:spacing w:line="360" w:lineRule="auto"/>
        <w:jc w:val="both"/>
        <w:rPr>
          <w:i/>
          <w:lang w:val="en-US"/>
        </w:rPr>
      </w:pPr>
      <w:r w:rsidRPr="00E87DC1">
        <w:rPr>
          <w:i/>
          <w:lang w:val="en-US"/>
        </w:rPr>
        <w:t>Markers of airway inflammation</w:t>
      </w:r>
    </w:p>
    <w:p w:rsidR="005F7EB2" w:rsidRPr="00E87DC1" w:rsidRDefault="005F7EB2">
      <w:pPr>
        <w:spacing w:line="360" w:lineRule="auto"/>
        <w:jc w:val="both"/>
        <w:rPr>
          <w:lang w:val="en-US"/>
        </w:rPr>
      </w:pPr>
      <w:r w:rsidRPr="00E87DC1">
        <w:rPr>
          <w:lang w:val="en-US"/>
        </w:rPr>
        <w:t>Data pertaining to markers of airway inflammation were included, whenever available: 1) blood eosinophils (within one month of the SIC procedure); 2) fractional exhaled nitric oxide concentration (</w:t>
      </w:r>
      <w:proofErr w:type="spellStart"/>
      <w:r w:rsidRPr="00E87DC1">
        <w:rPr>
          <w:lang w:val="en-US"/>
        </w:rPr>
        <w:t>FeNO</w:t>
      </w:r>
      <w:proofErr w:type="spellEnd"/>
      <w:r w:rsidRPr="00E87DC1">
        <w:rPr>
          <w:lang w:val="en-US"/>
        </w:rPr>
        <w:t xml:space="preserve">) at baseline and 24 hours after the SIC; and 3) sputum eosinophils and neutrophils expressed as a percentage of total cell count at baseline and 24 hours post-challenge. Pre-post challenge increases in sputum eosinophil count ≥3% and in </w:t>
      </w:r>
      <w:proofErr w:type="spellStart"/>
      <w:r w:rsidRPr="00E87DC1">
        <w:rPr>
          <w:lang w:val="en-US"/>
        </w:rPr>
        <w:t>FeNO</w:t>
      </w:r>
      <w:proofErr w:type="spellEnd"/>
      <w:r w:rsidRPr="00E87DC1">
        <w:rPr>
          <w:lang w:val="en-US"/>
        </w:rPr>
        <w:t xml:space="preserve"> level ≥17.5 ppb were considered significant </w:t>
      </w:r>
      <w:r w:rsidRPr="00E87DC1">
        <w:rPr>
          <w:noProof/>
          <w:lang w:val="en-US"/>
        </w:rPr>
        <w:t>(29)</w:t>
      </w:r>
      <w:r w:rsidRPr="00E87DC1">
        <w:rPr>
          <w:lang w:val="en-US"/>
        </w:rPr>
        <w:t>.</w:t>
      </w:r>
    </w:p>
    <w:p w:rsidR="005F7EB2" w:rsidRPr="00E87DC1" w:rsidRDefault="005F7EB2">
      <w:pPr>
        <w:spacing w:line="360" w:lineRule="auto"/>
        <w:jc w:val="both"/>
        <w:rPr>
          <w:i/>
          <w:lang w:val="en-US"/>
        </w:rPr>
      </w:pPr>
      <w:r w:rsidRPr="00E87DC1">
        <w:rPr>
          <w:i/>
          <w:lang w:val="en-US"/>
        </w:rPr>
        <w:lastRenderedPageBreak/>
        <w:t xml:space="preserve">Data analysis </w:t>
      </w:r>
    </w:p>
    <w:p w:rsidR="00992316" w:rsidRPr="00E87DC1" w:rsidRDefault="005F7EB2" w:rsidP="006E6913">
      <w:pPr>
        <w:spacing w:line="360" w:lineRule="auto"/>
        <w:rPr>
          <w:lang w:val="en-US"/>
        </w:rPr>
      </w:pPr>
      <w:r w:rsidRPr="00E87DC1">
        <w:rPr>
          <w:lang w:val="en-US"/>
        </w:rPr>
        <w:t xml:space="preserve">We summarized continuous measures by medians and interquartile ranges (IQR) and categorical variables by their frequencies and proportions. We tested comparisons between subjects with acrylate-induced OA and those with OA due to other LMW agents using Fisher’s exact or chi-squared tests for categorical variables and the Wilcoxon rank-sum test for numerical variables. In order to verify whether post-SIC </w:t>
      </w:r>
      <w:proofErr w:type="spellStart"/>
      <w:r w:rsidRPr="00E87DC1">
        <w:rPr>
          <w:lang w:val="en-US"/>
        </w:rPr>
        <w:t>FeNO</w:t>
      </w:r>
      <w:proofErr w:type="spellEnd"/>
      <w:r w:rsidRPr="00E87DC1">
        <w:rPr>
          <w:lang w:val="en-US"/>
        </w:rPr>
        <w:t xml:space="preserve"> increase ≥17.5 ppb was independently related to acrylates, we used multivariable logistic regression analyses with a binomial generalized linear model and a stepwise procedure based on the Akaike information criterion to select the most parsimonious models. </w:t>
      </w:r>
      <w:r w:rsidR="00992316" w:rsidRPr="00E87DC1">
        <w:rPr>
          <w:lang w:val="en-US"/>
        </w:rPr>
        <w:t>The potential confounding variables included in this regression were selected based on univariable analyses where p&lt;0.10 (</w:t>
      </w:r>
      <w:r w:rsidR="005F058E" w:rsidRPr="00E87DC1">
        <w:rPr>
          <w:lang w:val="en-US"/>
        </w:rPr>
        <w:t>t</w:t>
      </w:r>
      <w:r w:rsidR="00992316" w:rsidRPr="00E87DC1">
        <w:rPr>
          <w:lang w:val="en-US"/>
        </w:rPr>
        <w:t>able E1 in the Online Supplement).</w:t>
      </w:r>
    </w:p>
    <w:p w:rsidR="005F7EB2" w:rsidRPr="00E87DC1" w:rsidRDefault="005F7EB2" w:rsidP="00A4038B">
      <w:pPr>
        <w:widowControl w:val="0"/>
        <w:shd w:val="clear" w:color="auto" w:fill="FFFFFF"/>
        <w:autoSpaceDE w:val="0"/>
        <w:autoSpaceDN w:val="0"/>
        <w:adjustRightInd w:val="0"/>
        <w:spacing w:after="240" w:line="360" w:lineRule="auto"/>
        <w:jc w:val="both"/>
        <w:rPr>
          <w:b/>
          <w:lang w:val="en-US"/>
        </w:rPr>
      </w:pPr>
      <w:r w:rsidRPr="00E87DC1">
        <w:rPr>
          <w:lang w:val="en-US"/>
        </w:rPr>
        <w:t>The potential confounding variables included in this regression were selected based on univariable analyses where p&lt;0.10. Statistical analysis was performed using R software version 3.4.4 (https://cran.r-project.org). A p value &lt;0.05 was considered statistically significant.</w:t>
      </w:r>
    </w:p>
    <w:p w:rsidR="003E326E" w:rsidRPr="00E87DC1" w:rsidRDefault="003E326E">
      <w:pPr>
        <w:rPr>
          <w:b/>
          <w:lang w:val="en-US"/>
        </w:rPr>
      </w:pPr>
      <w:r w:rsidRPr="00E87DC1">
        <w:rPr>
          <w:b/>
          <w:lang w:val="en-US"/>
        </w:rPr>
        <w:br w:type="page"/>
      </w:r>
    </w:p>
    <w:p w:rsidR="005F7EB2" w:rsidRPr="00E87DC1" w:rsidRDefault="005F7EB2">
      <w:pPr>
        <w:widowControl w:val="0"/>
        <w:shd w:val="clear" w:color="auto" w:fill="FFFFFF"/>
        <w:autoSpaceDE w:val="0"/>
        <w:autoSpaceDN w:val="0"/>
        <w:adjustRightInd w:val="0"/>
        <w:spacing w:after="240" w:line="360" w:lineRule="auto"/>
        <w:jc w:val="both"/>
        <w:rPr>
          <w:b/>
          <w:lang w:val="en-US"/>
        </w:rPr>
      </w:pPr>
      <w:r w:rsidRPr="00E87DC1">
        <w:rPr>
          <w:b/>
          <w:lang w:val="en-US"/>
        </w:rPr>
        <w:lastRenderedPageBreak/>
        <w:t>R</w:t>
      </w:r>
      <w:r w:rsidR="00A334DD" w:rsidRPr="00E87DC1">
        <w:rPr>
          <w:b/>
          <w:lang w:val="en-US"/>
        </w:rPr>
        <w:t>esults</w:t>
      </w:r>
      <w:r w:rsidRPr="00E87DC1">
        <w:rPr>
          <w:b/>
          <w:lang w:val="en-US"/>
        </w:rPr>
        <w:t xml:space="preserve"> </w:t>
      </w:r>
    </w:p>
    <w:p w:rsidR="005F7EB2" w:rsidRPr="00E87DC1" w:rsidRDefault="005F7EB2">
      <w:pPr>
        <w:widowControl w:val="0"/>
        <w:shd w:val="clear" w:color="auto" w:fill="FFFFFF"/>
        <w:autoSpaceDE w:val="0"/>
        <w:autoSpaceDN w:val="0"/>
        <w:adjustRightInd w:val="0"/>
        <w:spacing w:after="240" w:line="360" w:lineRule="auto"/>
        <w:jc w:val="both"/>
        <w:rPr>
          <w:i/>
          <w:lang w:val="en-US"/>
        </w:rPr>
      </w:pPr>
      <w:r w:rsidRPr="00E87DC1">
        <w:rPr>
          <w:i/>
          <w:lang w:val="en-US"/>
        </w:rPr>
        <w:t>Hazard indexes of acrylates</w:t>
      </w:r>
    </w:p>
    <w:p w:rsidR="005F7EB2" w:rsidRPr="00E87DC1" w:rsidRDefault="005F7EB2">
      <w:pPr>
        <w:widowControl w:val="0"/>
        <w:shd w:val="clear" w:color="auto" w:fill="FFFFFF"/>
        <w:autoSpaceDE w:val="0"/>
        <w:autoSpaceDN w:val="0"/>
        <w:adjustRightInd w:val="0"/>
        <w:spacing w:after="240" w:line="360" w:lineRule="auto"/>
        <w:jc w:val="both"/>
        <w:rPr>
          <w:i/>
          <w:lang w:val="en-US"/>
        </w:rPr>
      </w:pPr>
      <w:r w:rsidRPr="00E87DC1">
        <w:rPr>
          <w:lang w:val="en-US"/>
        </w:rPr>
        <w:t xml:space="preserve">The HIs generated by the QSAR model </w:t>
      </w:r>
      <w:r w:rsidRPr="00E87DC1">
        <w:rPr>
          <w:noProof/>
          <w:lang w:val="en-US"/>
        </w:rPr>
        <w:t>(25)</w:t>
      </w:r>
      <w:r w:rsidR="008F584C" w:rsidRPr="00E87DC1">
        <w:rPr>
          <w:lang w:val="en-US"/>
        </w:rPr>
        <w:t xml:space="preserve"> are shown in table I</w:t>
      </w:r>
      <w:r w:rsidRPr="00E87DC1">
        <w:rPr>
          <w:lang w:val="en-US"/>
        </w:rPr>
        <w:t xml:space="preserve"> for specific examples of each of the three acrylate subgroups. The HI was 1 for all the examples shown of cyanoacrylates and </w:t>
      </w:r>
      <w:proofErr w:type="spellStart"/>
      <w:r w:rsidRPr="00E87DC1">
        <w:rPr>
          <w:lang w:val="en-US"/>
        </w:rPr>
        <w:t>methacrylates</w:t>
      </w:r>
      <w:proofErr w:type="spellEnd"/>
      <w:r w:rsidRPr="00E87DC1">
        <w:rPr>
          <w:lang w:val="en-US"/>
        </w:rPr>
        <w:t>. The HIs for the plain acrylate examples were much lower but the</w:t>
      </w:r>
      <w:r w:rsidRPr="00E87DC1">
        <w:rPr>
          <w:i/>
          <w:lang w:val="en-US"/>
        </w:rPr>
        <w:t xml:space="preserve"> di</w:t>
      </w:r>
      <w:r w:rsidRPr="00E87DC1">
        <w:rPr>
          <w:lang w:val="en-US"/>
        </w:rPr>
        <w:t xml:space="preserve">-(plain)acrylate has a higher HI (0.26) than the </w:t>
      </w:r>
      <w:r w:rsidRPr="00E87DC1">
        <w:rPr>
          <w:i/>
          <w:lang w:val="en-US"/>
        </w:rPr>
        <w:t>mono</w:t>
      </w:r>
      <w:r w:rsidRPr="00E87DC1">
        <w:rPr>
          <w:lang w:val="en-US"/>
        </w:rPr>
        <w:t>-(plain)acrylates (0.11)</w:t>
      </w:r>
      <w:r w:rsidRPr="00E87DC1">
        <w:rPr>
          <w:i/>
          <w:lang w:val="en-US"/>
        </w:rPr>
        <w:t>.</w:t>
      </w:r>
    </w:p>
    <w:p w:rsidR="005F7EB2" w:rsidRPr="00E87DC1" w:rsidRDefault="005F7EB2">
      <w:pPr>
        <w:widowControl w:val="0"/>
        <w:shd w:val="clear" w:color="auto" w:fill="FFFFFF"/>
        <w:autoSpaceDE w:val="0"/>
        <w:autoSpaceDN w:val="0"/>
        <w:adjustRightInd w:val="0"/>
        <w:spacing w:after="240" w:line="360" w:lineRule="auto"/>
        <w:jc w:val="both"/>
        <w:rPr>
          <w:i/>
          <w:lang w:val="en-US"/>
        </w:rPr>
      </w:pPr>
      <w:r w:rsidRPr="00E87DC1">
        <w:rPr>
          <w:i/>
          <w:lang w:val="en-US"/>
        </w:rPr>
        <w:t>Exposure and work tasks</w:t>
      </w:r>
    </w:p>
    <w:p w:rsidR="005F7EB2" w:rsidRPr="00E87DC1" w:rsidRDefault="008F584C">
      <w:pPr>
        <w:widowControl w:val="0"/>
        <w:shd w:val="clear" w:color="auto" w:fill="FFFFFF"/>
        <w:autoSpaceDE w:val="0"/>
        <w:autoSpaceDN w:val="0"/>
        <w:adjustRightInd w:val="0"/>
        <w:spacing w:after="240" w:line="360" w:lineRule="auto"/>
        <w:jc w:val="both"/>
        <w:rPr>
          <w:lang w:val="en-US"/>
        </w:rPr>
      </w:pPr>
      <w:r w:rsidRPr="00E87DC1">
        <w:rPr>
          <w:lang w:val="en-US"/>
        </w:rPr>
        <w:t>Table II</w:t>
      </w:r>
      <w:r w:rsidR="005F7EB2" w:rsidRPr="00E87DC1">
        <w:rPr>
          <w:lang w:val="en-US"/>
        </w:rPr>
        <w:t xml:space="preserve"> lists the work tasks and products used by the 55 patients with acrylate-OA. Exposure to acrylates was most common in industrial production in various forms, followed by dental work and beauty care. The commonest products were glues. Most patients had used acrylate products on a daily basis.</w:t>
      </w:r>
    </w:p>
    <w:p w:rsidR="005F7EB2" w:rsidRPr="00E87DC1" w:rsidRDefault="005F7EB2">
      <w:pPr>
        <w:widowControl w:val="0"/>
        <w:shd w:val="clear" w:color="auto" w:fill="FFFFFF"/>
        <w:autoSpaceDE w:val="0"/>
        <w:autoSpaceDN w:val="0"/>
        <w:adjustRightInd w:val="0"/>
        <w:spacing w:after="240" w:line="360" w:lineRule="auto"/>
        <w:jc w:val="both"/>
        <w:rPr>
          <w:i/>
          <w:lang w:val="en-US"/>
        </w:rPr>
      </w:pPr>
      <w:r w:rsidRPr="00E87DC1">
        <w:rPr>
          <w:i/>
          <w:lang w:val="en-US"/>
        </w:rPr>
        <w:t>Clinical characteristics</w:t>
      </w:r>
    </w:p>
    <w:p w:rsidR="005F7EB2" w:rsidRPr="00E87DC1" w:rsidRDefault="005F7EB2">
      <w:pPr>
        <w:widowControl w:val="0"/>
        <w:shd w:val="clear" w:color="auto" w:fill="FFFFFF"/>
        <w:autoSpaceDE w:val="0"/>
        <w:autoSpaceDN w:val="0"/>
        <w:adjustRightInd w:val="0"/>
        <w:spacing w:after="240" w:line="360" w:lineRule="auto"/>
        <w:jc w:val="both"/>
        <w:rPr>
          <w:lang w:val="en-US"/>
        </w:rPr>
      </w:pPr>
      <w:r w:rsidRPr="00E87DC1">
        <w:rPr>
          <w:lang w:val="en-US"/>
        </w:rPr>
        <w:t>In comparison with OA caused by other LMW agents and isocyanates, acrylate-induced OA was associated with younger age, female gender, lower body mass index, higher level of education, more frequent work-related urticaria and a lower treatment level</w:t>
      </w:r>
      <w:r w:rsidRPr="00E87DC1">
        <w:rPr>
          <w:color w:val="538135" w:themeColor="accent6" w:themeShade="BF"/>
          <w:lang w:val="en-US"/>
        </w:rPr>
        <w:t xml:space="preserve"> </w:t>
      </w:r>
      <w:r w:rsidR="008F584C" w:rsidRPr="00E87DC1">
        <w:rPr>
          <w:lang w:val="en-US"/>
        </w:rPr>
        <w:t>(table III</w:t>
      </w:r>
      <w:r w:rsidRPr="00E87DC1">
        <w:rPr>
          <w:lang w:val="en-US"/>
        </w:rPr>
        <w:t>). When compared to isocyanate-induced OA, acrylate-induced cases more frequently reported work-related rhinitis, conjunctivitis, urticaria and use of oral antihistamine medication. Skin prick tests with the causal acrylate compounds were performed in 22 subjects and were negative in all cases.</w:t>
      </w:r>
    </w:p>
    <w:p w:rsidR="005F7EB2" w:rsidRPr="00E87DC1" w:rsidRDefault="005F7EB2" w:rsidP="00A4038B">
      <w:pPr>
        <w:rPr>
          <w:i/>
          <w:lang w:val="en-US"/>
        </w:rPr>
      </w:pPr>
      <w:r w:rsidRPr="00E87DC1">
        <w:rPr>
          <w:i/>
          <w:lang w:val="en-US"/>
        </w:rPr>
        <w:t>Lung function parameters</w:t>
      </w:r>
    </w:p>
    <w:p w:rsidR="005F7EB2" w:rsidRPr="00E87DC1" w:rsidRDefault="008F584C">
      <w:pPr>
        <w:widowControl w:val="0"/>
        <w:shd w:val="clear" w:color="auto" w:fill="FFFFFF"/>
        <w:autoSpaceDE w:val="0"/>
        <w:autoSpaceDN w:val="0"/>
        <w:adjustRightInd w:val="0"/>
        <w:spacing w:after="240" w:line="360" w:lineRule="auto"/>
        <w:jc w:val="both"/>
        <w:rPr>
          <w:lang w:val="en-US"/>
        </w:rPr>
      </w:pPr>
      <w:r w:rsidRPr="00E87DC1">
        <w:rPr>
          <w:lang w:val="en-US"/>
        </w:rPr>
        <w:t>Baseline spirometry (table IV</w:t>
      </w:r>
      <w:r w:rsidR="005F7EB2" w:rsidRPr="00E87DC1">
        <w:rPr>
          <w:lang w:val="en-US"/>
        </w:rPr>
        <w:t>) showed higher FEV</w:t>
      </w:r>
      <w:r w:rsidR="005F7EB2" w:rsidRPr="00E87DC1">
        <w:rPr>
          <w:vertAlign w:val="subscript"/>
          <w:lang w:val="en-US"/>
        </w:rPr>
        <w:t>1</w:t>
      </w:r>
      <w:r w:rsidR="005F7EB2" w:rsidRPr="00E87DC1">
        <w:rPr>
          <w:lang w:val="en-US"/>
        </w:rPr>
        <w:t>/FVC ratios in acrylate induced OA than OA to other LMW agents or isocyanates, but no significant differences in the number of cases with concomitant FEV</w:t>
      </w:r>
      <w:r w:rsidR="005F7EB2" w:rsidRPr="00E87DC1">
        <w:rPr>
          <w:vertAlign w:val="subscript"/>
          <w:lang w:val="en-US"/>
        </w:rPr>
        <w:t>1</w:t>
      </w:r>
      <w:r w:rsidR="005F7EB2" w:rsidRPr="00E87DC1">
        <w:rPr>
          <w:lang w:val="en-US"/>
        </w:rPr>
        <w:t xml:space="preserve"> &lt;80% predicted value. There were no significant differences between the groups as regards the pattern of asthmatic reactions, the level of baseline NSBH or change in NSBH after SIC. </w:t>
      </w:r>
    </w:p>
    <w:p w:rsidR="005F7EB2" w:rsidRPr="00E87DC1" w:rsidRDefault="005F7EB2">
      <w:pPr>
        <w:widowControl w:val="0"/>
        <w:shd w:val="clear" w:color="auto" w:fill="FFFFFF"/>
        <w:autoSpaceDE w:val="0"/>
        <w:autoSpaceDN w:val="0"/>
        <w:adjustRightInd w:val="0"/>
        <w:spacing w:after="240" w:line="360" w:lineRule="auto"/>
        <w:jc w:val="both"/>
        <w:rPr>
          <w:i/>
          <w:lang w:val="en-US"/>
        </w:rPr>
      </w:pPr>
      <w:r w:rsidRPr="00E87DC1">
        <w:rPr>
          <w:i/>
          <w:lang w:val="en-US"/>
        </w:rPr>
        <w:t>Markers of airway inflammation</w:t>
      </w:r>
    </w:p>
    <w:p w:rsidR="005F7EB2" w:rsidRPr="00E87DC1" w:rsidRDefault="005F7EB2">
      <w:pPr>
        <w:widowControl w:val="0"/>
        <w:shd w:val="clear" w:color="auto" w:fill="FFFFFF"/>
        <w:autoSpaceDE w:val="0"/>
        <w:autoSpaceDN w:val="0"/>
        <w:adjustRightInd w:val="0"/>
        <w:spacing w:after="240" w:line="360" w:lineRule="auto"/>
        <w:jc w:val="both"/>
        <w:rPr>
          <w:lang w:val="en-US"/>
        </w:rPr>
      </w:pPr>
      <w:r w:rsidRPr="00E87DC1">
        <w:rPr>
          <w:lang w:val="en-US"/>
        </w:rPr>
        <w:t xml:space="preserve">Peripheral blood eosinophilia or baseline </w:t>
      </w:r>
      <w:proofErr w:type="spellStart"/>
      <w:r w:rsidRPr="00E87DC1">
        <w:rPr>
          <w:lang w:val="en-US"/>
        </w:rPr>
        <w:t>FeNO</w:t>
      </w:r>
      <w:proofErr w:type="spellEnd"/>
      <w:r w:rsidRPr="00E87DC1">
        <w:rPr>
          <w:lang w:val="en-US"/>
        </w:rPr>
        <w:t xml:space="preserve"> did not significantly differ between OA to acrylates and other LM</w:t>
      </w:r>
      <w:r w:rsidR="008F584C" w:rsidRPr="00E87DC1">
        <w:rPr>
          <w:lang w:val="en-US"/>
        </w:rPr>
        <w:t>W agents or isocyanates (table V</w:t>
      </w:r>
      <w:r w:rsidRPr="00E87DC1">
        <w:rPr>
          <w:lang w:val="en-US"/>
        </w:rPr>
        <w:t xml:space="preserve">). In contrast, subjects with acrylate-induced OA had a significantly greater increase in post-SIC </w:t>
      </w:r>
      <w:proofErr w:type="spellStart"/>
      <w:r w:rsidRPr="00E87DC1">
        <w:rPr>
          <w:lang w:val="en-US"/>
        </w:rPr>
        <w:t>FeNO</w:t>
      </w:r>
      <w:proofErr w:type="spellEnd"/>
      <w:r w:rsidRPr="00E87DC1">
        <w:rPr>
          <w:lang w:val="en-US"/>
        </w:rPr>
        <w:t xml:space="preserve"> (26.0 ppb) compared to both other LMW agent (3.0 ppb) and isocyanate induced OA (5.0 ppb). Further, the proportion of subjects with a significant increase in </w:t>
      </w:r>
      <w:proofErr w:type="spellStart"/>
      <w:r w:rsidRPr="00E87DC1">
        <w:rPr>
          <w:lang w:val="en-US"/>
        </w:rPr>
        <w:t>FeNO</w:t>
      </w:r>
      <w:proofErr w:type="spellEnd"/>
      <w:r w:rsidRPr="00E87DC1">
        <w:rPr>
          <w:lang w:val="en-US"/>
        </w:rPr>
        <w:t xml:space="preserve"> (≥17.5 ppb) was significantly higher in the acrylate induced asthma group (56%) </w:t>
      </w:r>
      <w:r w:rsidRPr="00E87DC1">
        <w:rPr>
          <w:lang w:val="en-US"/>
        </w:rPr>
        <w:lastRenderedPageBreak/>
        <w:t xml:space="preserve">compared to other LMW agent (20%, p=0.002) and isocyanate induced asthma (24%, p=0.03) groups. Multivariate analysis showed that OA induced by acrylates was significantly and independently associated with a significant post-SIC increase in </w:t>
      </w:r>
      <w:proofErr w:type="spellStart"/>
      <w:r w:rsidRPr="00E87DC1">
        <w:rPr>
          <w:lang w:val="en-US"/>
        </w:rPr>
        <w:t>FeNO</w:t>
      </w:r>
      <w:proofErr w:type="spellEnd"/>
      <w:r w:rsidRPr="00E87DC1">
        <w:rPr>
          <w:lang w:val="en-US"/>
        </w:rPr>
        <w:t xml:space="preserve"> (OR: 5.59; 95% CI: 1.87-17.58; p=0.002)</w:t>
      </w:r>
      <w:r w:rsidR="008F584C" w:rsidRPr="00E87DC1">
        <w:rPr>
          <w:rFonts w:eastAsia="Times New Roman" w:cstheme="minorHAnsi"/>
          <w:lang w:val="en-US" w:eastAsia="fr-FR"/>
        </w:rPr>
        <w:t xml:space="preserve"> (table E1</w:t>
      </w:r>
      <w:r w:rsidRPr="00E87DC1">
        <w:rPr>
          <w:rFonts w:eastAsia="Times New Roman" w:cstheme="minorHAnsi"/>
          <w:lang w:val="en-US" w:eastAsia="fr-FR"/>
        </w:rPr>
        <w:t xml:space="preserve"> in the Online Supplement)</w:t>
      </w:r>
      <w:r w:rsidRPr="00E87DC1">
        <w:rPr>
          <w:lang w:val="en-US"/>
        </w:rPr>
        <w:t>.</w:t>
      </w:r>
    </w:p>
    <w:p w:rsidR="005F7EB2" w:rsidRPr="00E87DC1" w:rsidRDefault="005F7EB2" w:rsidP="006E6913">
      <w:pPr>
        <w:spacing w:after="0" w:line="360" w:lineRule="auto"/>
        <w:jc w:val="both"/>
        <w:rPr>
          <w:b/>
          <w:lang w:val="en-US"/>
        </w:rPr>
      </w:pPr>
      <w:r w:rsidRPr="00E87DC1">
        <w:rPr>
          <w:lang w:val="en-US"/>
        </w:rPr>
        <w:t xml:space="preserve">The number of acrylate-induced OA cases with available sputum samples before and after SIC was small (n=9). </w:t>
      </w:r>
      <w:r w:rsidR="0058568C" w:rsidRPr="00E87DC1">
        <w:rPr>
          <w:lang w:val="en-US"/>
        </w:rPr>
        <w:t>The propo</w:t>
      </w:r>
      <w:r w:rsidR="00521532" w:rsidRPr="00E87DC1">
        <w:rPr>
          <w:lang w:val="en-US"/>
        </w:rPr>
        <w:t>r</w:t>
      </w:r>
      <w:r w:rsidR="0058568C" w:rsidRPr="00E87DC1">
        <w:rPr>
          <w:lang w:val="en-US"/>
        </w:rPr>
        <w:t xml:space="preserve">tion of subjects who demonstrated a ≥3% post-challenge increase in sputum eosinophils </w:t>
      </w:r>
      <w:r w:rsidR="00A71245" w:rsidRPr="00E87DC1">
        <w:rPr>
          <w:lang w:val="en-US"/>
        </w:rPr>
        <w:t xml:space="preserve">was higher </w:t>
      </w:r>
      <w:r w:rsidR="00521532" w:rsidRPr="00E87DC1">
        <w:rPr>
          <w:lang w:val="en-US"/>
        </w:rPr>
        <w:t>among</w:t>
      </w:r>
      <w:r w:rsidR="0058568C" w:rsidRPr="00E87DC1">
        <w:rPr>
          <w:lang w:val="en-US"/>
        </w:rPr>
        <w:t xml:space="preserve"> those with acrylate-induced OA </w:t>
      </w:r>
      <w:r w:rsidR="00A71245" w:rsidRPr="00E87DC1">
        <w:rPr>
          <w:lang w:val="en-US"/>
        </w:rPr>
        <w:t xml:space="preserve">(88%) than among those with OA caused </w:t>
      </w:r>
      <w:r w:rsidR="0058568C" w:rsidRPr="00E87DC1">
        <w:rPr>
          <w:lang w:val="en-US"/>
        </w:rPr>
        <w:t>by the other LMW agents</w:t>
      </w:r>
      <w:r w:rsidR="00A71245" w:rsidRPr="00E87DC1">
        <w:rPr>
          <w:lang w:val="en-US"/>
        </w:rPr>
        <w:t xml:space="preserve"> (48%; p=0.060)</w:t>
      </w:r>
      <w:r w:rsidR="0058568C" w:rsidRPr="00E87DC1">
        <w:rPr>
          <w:lang w:val="en-US"/>
        </w:rPr>
        <w:t xml:space="preserve">. </w:t>
      </w:r>
      <w:r w:rsidR="00A71245" w:rsidRPr="00E87DC1">
        <w:rPr>
          <w:lang w:val="en-US"/>
        </w:rPr>
        <w:t>A</w:t>
      </w:r>
      <w:r w:rsidR="0058568C" w:rsidRPr="00E87DC1">
        <w:rPr>
          <w:lang w:val="en-US"/>
        </w:rPr>
        <w:t>ll subjects with acrylate-induced OA</w:t>
      </w:r>
      <w:r w:rsidRPr="00E87DC1">
        <w:rPr>
          <w:lang w:val="en-US"/>
        </w:rPr>
        <w:t xml:space="preserve"> </w:t>
      </w:r>
      <w:r w:rsidR="003E504E" w:rsidRPr="00E87DC1">
        <w:rPr>
          <w:lang w:val="en-US"/>
        </w:rPr>
        <w:t xml:space="preserve">showed </w:t>
      </w:r>
      <w:r w:rsidRPr="00E87DC1">
        <w:rPr>
          <w:lang w:val="en-US"/>
        </w:rPr>
        <w:t>a</w:t>
      </w:r>
      <w:r w:rsidR="0058568C" w:rsidRPr="00E87DC1">
        <w:rPr>
          <w:lang w:val="en-US"/>
        </w:rPr>
        <w:t xml:space="preserve"> post-challenge</w:t>
      </w:r>
      <w:r w:rsidRPr="00E87DC1">
        <w:rPr>
          <w:lang w:val="en-US"/>
        </w:rPr>
        <w:t xml:space="preserve"> eosinophilic inflammatory pattern, </w:t>
      </w:r>
      <w:r w:rsidR="004808FE" w:rsidRPr="00E87DC1">
        <w:rPr>
          <w:lang w:val="en-US"/>
        </w:rPr>
        <w:t>while this pattern</w:t>
      </w:r>
      <w:r w:rsidR="0058568C" w:rsidRPr="00E87DC1">
        <w:rPr>
          <w:lang w:val="en-US"/>
        </w:rPr>
        <w:t xml:space="preserve"> was </w:t>
      </w:r>
      <w:r w:rsidRPr="00E87DC1">
        <w:rPr>
          <w:lang w:val="en-US"/>
        </w:rPr>
        <w:t xml:space="preserve">present in only 61% of OA induced by other LMW agents </w:t>
      </w:r>
      <w:r w:rsidR="0058568C" w:rsidRPr="00E87DC1">
        <w:rPr>
          <w:lang w:val="en-US"/>
        </w:rPr>
        <w:t xml:space="preserve">(p=0.020) </w:t>
      </w:r>
      <w:r w:rsidRPr="00E87DC1">
        <w:rPr>
          <w:lang w:val="en-US"/>
        </w:rPr>
        <w:t>and 67% of isocyanate-induced cases</w:t>
      </w:r>
      <w:r w:rsidR="0058568C" w:rsidRPr="00E87DC1">
        <w:rPr>
          <w:lang w:val="en-US"/>
        </w:rPr>
        <w:t xml:space="preserve"> (p=0.071</w:t>
      </w:r>
      <w:r w:rsidRPr="00E87DC1">
        <w:rPr>
          <w:lang w:val="en-US"/>
        </w:rPr>
        <w:t xml:space="preserve">. </w:t>
      </w:r>
      <w:r w:rsidR="005371BF" w:rsidRPr="00E87DC1">
        <w:rPr>
          <w:lang w:val="en-US"/>
        </w:rPr>
        <w:t xml:space="preserve">Among </w:t>
      </w:r>
      <w:r w:rsidR="00E07480" w:rsidRPr="00E87DC1">
        <w:rPr>
          <w:lang w:val="en-US"/>
        </w:rPr>
        <w:t xml:space="preserve">65 </w:t>
      </w:r>
      <w:r w:rsidR="005371BF" w:rsidRPr="00E87DC1">
        <w:rPr>
          <w:lang w:val="en-US"/>
        </w:rPr>
        <w:t>subjects with OA caused by other LMW agents</w:t>
      </w:r>
      <w:r w:rsidR="00E07480" w:rsidRPr="00E87DC1">
        <w:rPr>
          <w:lang w:val="en-US"/>
        </w:rPr>
        <w:t xml:space="preserve"> and available sputum samples before and after the SIC</w:t>
      </w:r>
      <w:r w:rsidR="005371BF" w:rsidRPr="00E87DC1">
        <w:rPr>
          <w:lang w:val="en-US"/>
        </w:rPr>
        <w:t>, 10 of 35 (2</w:t>
      </w:r>
      <w:r w:rsidR="00480E76" w:rsidRPr="00E87DC1">
        <w:rPr>
          <w:lang w:val="en-US"/>
        </w:rPr>
        <w:t>9</w:t>
      </w:r>
      <w:r w:rsidR="005371BF" w:rsidRPr="00E87DC1">
        <w:rPr>
          <w:lang w:val="en-US"/>
        </w:rPr>
        <w:t xml:space="preserve">%) with a baseline </w:t>
      </w:r>
      <w:proofErr w:type="spellStart"/>
      <w:r w:rsidR="005371BF" w:rsidRPr="00E87DC1">
        <w:rPr>
          <w:lang w:val="en-US"/>
        </w:rPr>
        <w:t>noneosinophilic</w:t>
      </w:r>
      <w:proofErr w:type="spellEnd"/>
      <w:r w:rsidR="005371BF" w:rsidRPr="00E87DC1">
        <w:rPr>
          <w:lang w:val="en-US"/>
        </w:rPr>
        <w:t xml:space="preserve"> inflammatory pattern developed a post-challenge eosinophilic pattern, whereas the 3 subjects with acrylate-induced OA who showed a </w:t>
      </w:r>
      <w:proofErr w:type="spellStart"/>
      <w:r w:rsidR="005371BF" w:rsidRPr="00E87DC1">
        <w:rPr>
          <w:lang w:val="en-US"/>
        </w:rPr>
        <w:t>noneosinophilc</w:t>
      </w:r>
      <w:proofErr w:type="spellEnd"/>
      <w:r w:rsidR="005371BF" w:rsidRPr="00E87DC1">
        <w:rPr>
          <w:lang w:val="en-US"/>
        </w:rPr>
        <w:t xml:space="preserve"> inflammatory pattern at baseline became eosinophilic at the post-challenge assessment</w:t>
      </w:r>
      <w:r w:rsidR="00A71245" w:rsidRPr="00E87DC1">
        <w:rPr>
          <w:lang w:val="en-US"/>
        </w:rPr>
        <w:t xml:space="preserve"> (p=0.034)</w:t>
      </w:r>
      <w:r w:rsidR="005371BF" w:rsidRPr="00E87DC1">
        <w:rPr>
          <w:lang w:val="en-US"/>
        </w:rPr>
        <w:t xml:space="preserve">. </w:t>
      </w:r>
      <w:r w:rsidRPr="00E87DC1">
        <w:rPr>
          <w:lang w:val="en-US"/>
        </w:rPr>
        <w:t>Further, both baseline and post-challenge sputum neutrophil percentages were lower in the acrylate-induced asthma group than in those with OA caused by other LMW agents</w:t>
      </w:r>
      <w:r w:rsidR="00105FD8" w:rsidRPr="00E87DC1">
        <w:rPr>
          <w:lang w:val="en-US"/>
        </w:rPr>
        <w:t xml:space="preserve"> (t</w:t>
      </w:r>
      <w:r w:rsidR="00E45692" w:rsidRPr="00E87DC1">
        <w:rPr>
          <w:lang w:val="en-US"/>
        </w:rPr>
        <w:t>able V)</w:t>
      </w:r>
      <w:r w:rsidRPr="00E87DC1">
        <w:rPr>
          <w:lang w:val="en-US"/>
        </w:rPr>
        <w:t xml:space="preserve">. </w:t>
      </w:r>
    </w:p>
    <w:p w:rsidR="003E326E" w:rsidRPr="00E87DC1" w:rsidRDefault="003E326E">
      <w:pPr>
        <w:rPr>
          <w:b/>
          <w:lang w:val="en-US"/>
        </w:rPr>
      </w:pPr>
      <w:r w:rsidRPr="00E87DC1">
        <w:rPr>
          <w:b/>
          <w:lang w:val="en-US"/>
        </w:rPr>
        <w:br w:type="page"/>
      </w:r>
    </w:p>
    <w:p w:rsidR="005F7EB2" w:rsidRPr="00E87DC1" w:rsidRDefault="005F7EB2">
      <w:pPr>
        <w:spacing w:line="360" w:lineRule="auto"/>
        <w:jc w:val="both"/>
        <w:rPr>
          <w:b/>
          <w:lang w:val="en-US"/>
        </w:rPr>
      </w:pPr>
      <w:r w:rsidRPr="00E87DC1">
        <w:rPr>
          <w:b/>
          <w:lang w:val="en-US"/>
        </w:rPr>
        <w:lastRenderedPageBreak/>
        <w:t>D</w:t>
      </w:r>
      <w:r w:rsidR="0022793D" w:rsidRPr="00E87DC1">
        <w:rPr>
          <w:b/>
          <w:lang w:val="en-US"/>
        </w:rPr>
        <w:t>iscussion</w:t>
      </w:r>
    </w:p>
    <w:p w:rsidR="00480E76" w:rsidRPr="00E87DC1" w:rsidRDefault="005F7EB2" w:rsidP="00480E76">
      <w:pPr>
        <w:spacing w:line="360" w:lineRule="auto"/>
        <w:jc w:val="both"/>
        <w:rPr>
          <w:b/>
          <w:lang w:val="en-US"/>
        </w:rPr>
      </w:pPr>
      <w:r w:rsidRPr="00E87DC1">
        <w:rPr>
          <w:lang w:val="en-US"/>
        </w:rPr>
        <w:t xml:space="preserve">To our knowledge, we present the largest series (n=55) of acrylate-induced OA cases ascertained by a SIC, confirming the respiratory sensitizing hazard of these compounds. </w:t>
      </w:r>
      <w:r w:rsidR="0015676F" w:rsidRPr="00E87DC1">
        <w:rPr>
          <w:lang w:val="en-US"/>
        </w:rPr>
        <w:t>In addition, this study i</w:t>
      </w:r>
      <w:r w:rsidR="00F22496" w:rsidRPr="00E87DC1">
        <w:rPr>
          <w:lang w:val="en-US"/>
        </w:rPr>
        <w:t xml:space="preserve">dentified phenotypic characteristics </w:t>
      </w:r>
      <w:r w:rsidR="0015676F" w:rsidRPr="00E87DC1">
        <w:rPr>
          <w:lang w:val="en-US"/>
        </w:rPr>
        <w:t xml:space="preserve">of acrylate-induced OA </w:t>
      </w:r>
      <w:r w:rsidR="00F22496" w:rsidRPr="00E87DC1">
        <w:rPr>
          <w:lang w:val="en-US"/>
        </w:rPr>
        <w:t xml:space="preserve">compared to other LMW agents that are </w:t>
      </w:r>
      <w:r w:rsidR="000F1E34" w:rsidRPr="00E87DC1">
        <w:rPr>
          <w:lang w:val="en-US"/>
        </w:rPr>
        <w:t>similar to those in</w:t>
      </w:r>
      <w:r w:rsidR="00F22496" w:rsidRPr="00E87DC1">
        <w:rPr>
          <w:lang w:val="en-US"/>
        </w:rPr>
        <w:t xml:space="preserve"> OA due to high-molecular-weight</w:t>
      </w:r>
      <w:r w:rsidR="00165BFF" w:rsidRPr="00E87DC1">
        <w:rPr>
          <w:lang w:val="en-US"/>
        </w:rPr>
        <w:t xml:space="preserve"> (HMW)</w:t>
      </w:r>
      <w:r w:rsidR="00F22496" w:rsidRPr="00E87DC1">
        <w:rPr>
          <w:lang w:val="en-US"/>
        </w:rPr>
        <w:t xml:space="preserve"> agents. </w:t>
      </w:r>
    </w:p>
    <w:p w:rsidR="00132FE8" w:rsidRPr="00E87DC1" w:rsidRDefault="00132FE8">
      <w:pPr>
        <w:spacing w:line="360" w:lineRule="auto"/>
        <w:jc w:val="both"/>
        <w:rPr>
          <w:lang w:val="en-US"/>
        </w:rPr>
      </w:pPr>
    </w:p>
    <w:p w:rsidR="005F7EB2" w:rsidRPr="00E87DC1" w:rsidRDefault="005F7EB2">
      <w:pPr>
        <w:spacing w:line="360" w:lineRule="auto"/>
        <w:jc w:val="both"/>
        <w:rPr>
          <w:lang w:val="en-US"/>
        </w:rPr>
      </w:pPr>
      <w:r w:rsidRPr="00E87DC1">
        <w:rPr>
          <w:lang w:val="en-US"/>
        </w:rPr>
        <w:t>Acrylate compounds contain a reactive double bond (vinyl group) adjacent to a carbonyl group, making them easily polymerized and therefore useful in various coating, molding a</w:t>
      </w:r>
      <w:r w:rsidR="008F584C" w:rsidRPr="00E87DC1">
        <w:rPr>
          <w:lang w:val="en-US"/>
        </w:rPr>
        <w:t>nd sealing applications (table I</w:t>
      </w:r>
      <w:r w:rsidRPr="00E87DC1">
        <w:rPr>
          <w:lang w:val="en-US"/>
        </w:rPr>
        <w:t xml:space="preserve">). The reaction is usually initiated with peroxides or UV-light, after which </w:t>
      </w:r>
      <w:proofErr w:type="spellStart"/>
      <w:r w:rsidRPr="00E87DC1">
        <w:rPr>
          <w:lang w:val="en-US"/>
        </w:rPr>
        <w:t>polymerisation</w:t>
      </w:r>
      <w:proofErr w:type="spellEnd"/>
      <w:r w:rsidRPr="00E87DC1">
        <w:rPr>
          <w:lang w:val="en-US"/>
        </w:rPr>
        <w:t xml:space="preserve"> proceeds rapidly until the starting materials are consumed. The curing of </w:t>
      </w:r>
      <w:r w:rsidRPr="00E87DC1">
        <w:rPr>
          <w:i/>
          <w:lang w:val="en-US"/>
        </w:rPr>
        <w:t>cyanoacrylate</w:t>
      </w:r>
      <w:r w:rsidRPr="00E87DC1">
        <w:rPr>
          <w:lang w:val="en-US"/>
        </w:rPr>
        <w:t xml:space="preserve"> products is initiated by water; they polymerize quickly in humid surroundings and are almost exclusively used as instant glues in wound sealing, eye lash extension and nail work and various mechanical assembly tasks. </w:t>
      </w:r>
      <w:r w:rsidRPr="00E87DC1">
        <w:rPr>
          <w:i/>
          <w:lang w:val="en-US"/>
        </w:rPr>
        <w:t>Methacrylate</w:t>
      </w:r>
      <w:r w:rsidRPr="00E87DC1">
        <w:rPr>
          <w:lang w:val="en-US"/>
        </w:rPr>
        <w:t xml:space="preserve"> products, often hardened with peroxides or UV-light, are used in dental and prosthetic work, artificial nails, industrial glues, coatings and lamination resins. </w:t>
      </w:r>
      <w:r w:rsidRPr="00E87DC1">
        <w:rPr>
          <w:i/>
          <w:lang w:val="en-US"/>
        </w:rPr>
        <w:t>Plain</w:t>
      </w:r>
      <w:r w:rsidRPr="00E87DC1">
        <w:rPr>
          <w:lang w:val="en-US"/>
        </w:rPr>
        <w:t xml:space="preserve"> </w:t>
      </w:r>
      <w:r w:rsidRPr="00E87DC1">
        <w:rPr>
          <w:i/>
          <w:lang w:val="en-US"/>
        </w:rPr>
        <w:t>acrylates</w:t>
      </w:r>
      <w:r w:rsidRPr="00E87DC1">
        <w:rPr>
          <w:lang w:val="en-US"/>
        </w:rPr>
        <w:t xml:space="preserve"> (having no cyano- or methyl-group attached to the double bond carbon) are typically UV-hardened and are encountered in, for example, printing, gluing and industrial coatings. </w:t>
      </w:r>
    </w:p>
    <w:p w:rsidR="005F7EB2" w:rsidRPr="00E87DC1" w:rsidRDefault="005F7EB2">
      <w:pPr>
        <w:spacing w:line="360" w:lineRule="auto"/>
        <w:jc w:val="both"/>
        <w:rPr>
          <w:lang w:val="en-US"/>
        </w:rPr>
      </w:pPr>
      <w:r w:rsidRPr="00E87DC1">
        <w:rPr>
          <w:lang w:val="en-US"/>
        </w:rPr>
        <w:t xml:space="preserve">The same reactive vinyl group that allows polymerization has also been proposed as the reactive group responsible for respiratory sensitization potential of </w:t>
      </w:r>
      <w:proofErr w:type="spellStart"/>
      <w:r w:rsidRPr="00E87DC1">
        <w:rPr>
          <w:lang w:val="en-US"/>
        </w:rPr>
        <w:t>methacrylates</w:t>
      </w:r>
      <w:proofErr w:type="spellEnd"/>
      <w:r w:rsidRPr="00E87DC1">
        <w:rPr>
          <w:lang w:val="en-US"/>
        </w:rPr>
        <w:t xml:space="preserve"> and plain acrylates </w:t>
      </w:r>
      <w:r w:rsidRPr="00E87DC1">
        <w:rPr>
          <w:noProof/>
          <w:lang w:val="en-US"/>
        </w:rPr>
        <w:t>(30)</w:t>
      </w:r>
      <w:r w:rsidRPr="00E87DC1">
        <w:rPr>
          <w:lang w:val="en-US"/>
        </w:rPr>
        <w:t xml:space="preserve">. The outward facing electrophilic carbon atom of this vinyl group is considered to have the ability to react with an amine group of an amino acid side chain, such as lysine, present on a protein molecule in the lining of the lung. The resulting </w:t>
      </w:r>
      <w:proofErr w:type="spellStart"/>
      <w:r w:rsidRPr="00E87DC1">
        <w:rPr>
          <w:lang w:val="en-US"/>
        </w:rPr>
        <w:t>hapten</w:t>
      </w:r>
      <w:proofErr w:type="spellEnd"/>
      <w:r w:rsidRPr="00E87DC1">
        <w:rPr>
          <w:lang w:val="en-US"/>
        </w:rPr>
        <w:t xml:space="preserve">-protein conjugate can then potentially trigger an immune response and ultimately cause bronchoconstriction. Cyanoacrylates have also been deemed by mechanistic chemists to have potential for reactivity with similar protein side chains as a result of having a sufficiently high ‘electrophilic index’ </w:t>
      </w:r>
      <w:r w:rsidRPr="00E87DC1">
        <w:rPr>
          <w:noProof/>
          <w:lang w:val="en-US"/>
        </w:rPr>
        <w:t>(31)</w:t>
      </w:r>
      <w:r w:rsidRPr="00E87DC1">
        <w:rPr>
          <w:lang w:val="en-US"/>
        </w:rPr>
        <w:t>.</w:t>
      </w:r>
    </w:p>
    <w:p w:rsidR="005F7EB2" w:rsidRPr="00E87DC1" w:rsidRDefault="005F7EB2">
      <w:pPr>
        <w:spacing w:line="360" w:lineRule="auto"/>
        <w:jc w:val="both"/>
        <w:rPr>
          <w:lang w:val="en-US"/>
        </w:rPr>
      </w:pPr>
      <w:r w:rsidRPr="00E87DC1">
        <w:rPr>
          <w:lang w:val="en-US"/>
        </w:rPr>
        <w:t xml:space="preserve">The QSAR model </w:t>
      </w:r>
      <w:r w:rsidRPr="00E87DC1">
        <w:rPr>
          <w:noProof/>
          <w:lang w:val="en-US"/>
        </w:rPr>
        <w:t>(25)</w:t>
      </w:r>
      <w:r w:rsidRPr="00E87DC1">
        <w:rPr>
          <w:lang w:val="en-US"/>
        </w:rPr>
        <w:t xml:space="preserve"> estimates the probability</w:t>
      </w:r>
      <w:r w:rsidR="003B41D2" w:rsidRPr="00E87DC1">
        <w:rPr>
          <w:lang w:val="en-US"/>
        </w:rPr>
        <w:t xml:space="preserve"> (HI) </w:t>
      </w:r>
      <w:r w:rsidRPr="00E87DC1">
        <w:rPr>
          <w:lang w:val="en-US"/>
        </w:rPr>
        <w:t xml:space="preserve">that a LMW organic compound can cause asthma by sensitization based on analysis of its substructures. The HI value of 1 obtained for the cyanoacrylates and </w:t>
      </w:r>
      <w:proofErr w:type="spellStart"/>
      <w:r w:rsidRPr="00E87DC1">
        <w:rPr>
          <w:lang w:val="en-US"/>
        </w:rPr>
        <w:t>methacrylates</w:t>
      </w:r>
      <w:proofErr w:type="spellEnd"/>
      <w:r w:rsidRPr="00E87DC1">
        <w:rPr>
          <w:lang w:val="en-US"/>
        </w:rPr>
        <w:t xml:space="preserve"> </w:t>
      </w:r>
      <w:r w:rsidR="00DF2A55" w:rsidRPr="00E87DC1">
        <w:rPr>
          <w:lang w:val="en-US"/>
        </w:rPr>
        <w:t xml:space="preserve">implies that the QSAR model interprets their chemical structures as having the </w:t>
      </w:r>
      <w:r w:rsidRPr="00E87DC1">
        <w:rPr>
          <w:lang w:val="en-US"/>
        </w:rPr>
        <w:t xml:space="preserve">features required to cause asthma by sensitization, without making any a priori assumptions about the chemical or pathophysiological mechanism. </w:t>
      </w:r>
      <w:r w:rsidR="00DF2A55" w:rsidRPr="00E87DC1">
        <w:rPr>
          <w:lang w:val="en-US"/>
        </w:rPr>
        <w:t xml:space="preserve">This high HI value needs to be interpreted in the context of the model’s external validation statistics (25) which suggested that applying a cut-point HI of 0.39 enables respiratory </w:t>
      </w:r>
      <w:proofErr w:type="spellStart"/>
      <w:r w:rsidR="00DF2A55" w:rsidRPr="00E87DC1">
        <w:rPr>
          <w:lang w:val="en-US"/>
        </w:rPr>
        <w:t>sensitisers</w:t>
      </w:r>
      <w:proofErr w:type="spellEnd"/>
      <w:r w:rsidR="00DF2A55" w:rsidRPr="00E87DC1">
        <w:rPr>
          <w:lang w:val="en-US"/>
        </w:rPr>
        <w:t xml:space="preserve"> to be discriminated from controls with sensi</w:t>
      </w:r>
      <w:r w:rsidR="00105FD8" w:rsidRPr="00E87DC1">
        <w:rPr>
          <w:lang w:val="en-US"/>
        </w:rPr>
        <w:t>tivity 90% and specificity 96%.</w:t>
      </w:r>
      <w:r w:rsidR="00DF2A55" w:rsidRPr="00E87DC1">
        <w:rPr>
          <w:lang w:val="en-US"/>
        </w:rPr>
        <w:t xml:space="preserve"> The potency of a chemical to cause respiratory sensitization also </w:t>
      </w:r>
      <w:r w:rsidR="00DF2A55" w:rsidRPr="00E87DC1">
        <w:rPr>
          <w:lang w:val="en-US"/>
        </w:rPr>
        <w:lastRenderedPageBreak/>
        <w:t xml:space="preserve">depends on </w:t>
      </w:r>
      <w:r w:rsidR="000F1E34" w:rsidRPr="00E87DC1">
        <w:rPr>
          <w:lang w:val="en-US"/>
        </w:rPr>
        <w:t>its</w:t>
      </w:r>
      <w:r w:rsidR="00105FD8" w:rsidRPr="00E87DC1">
        <w:rPr>
          <w:lang w:val="en-US"/>
        </w:rPr>
        <w:t xml:space="preserve"> </w:t>
      </w:r>
      <w:proofErr w:type="spellStart"/>
      <w:r w:rsidR="00DF2A55" w:rsidRPr="00E87DC1">
        <w:rPr>
          <w:lang w:val="en-US"/>
        </w:rPr>
        <w:t>physico</w:t>
      </w:r>
      <w:proofErr w:type="spellEnd"/>
      <w:r w:rsidR="00DF2A55" w:rsidRPr="00E87DC1">
        <w:rPr>
          <w:lang w:val="en-US"/>
        </w:rPr>
        <w:t>-chemical properties, even if theoretically it has the required chemically reactive structural components. T</w:t>
      </w:r>
      <w:r w:rsidRPr="00E87DC1">
        <w:rPr>
          <w:lang w:val="en-US"/>
        </w:rPr>
        <w:t xml:space="preserve">he HI values for the mono- and di-(plain)acrylate, </w:t>
      </w:r>
      <w:r w:rsidR="00DF2A55" w:rsidRPr="00E87DC1">
        <w:rPr>
          <w:lang w:val="en-US"/>
        </w:rPr>
        <w:t xml:space="preserve">are much lower than for cyanoacrylates and </w:t>
      </w:r>
      <w:proofErr w:type="spellStart"/>
      <w:r w:rsidR="00DF2A55" w:rsidRPr="00E87DC1">
        <w:rPr>
          <w:lang w:val="en-US"/>
        </w:rPr>
        <w:t>methacrylates</w:t>
      </w:r>
      <w:proofErr w:type="spellEnd"/>
      <w:r w:rsidR="00DF2A55" w:rsidRPr="00E87DC1">
        <w:rPr>
          <w:lang w:val="en-US"/>
        </w:rPr>
        <w:t xml:space="preserve">. </w:t>
      </w:r>
      <w:r w:rsidRPr="00E87DC1">
        <w:rPr>
          <w:lang w:val="en-US"/>
        </w:rPr>
        <w:t xml:space="preserve">One possible explanation is that the QSAR model assigns these compounds falsely low HIs; another might be that they have lower potential to react with native lung proteins than do cyanoacrylates or </w:t>
      </w:r>
      <w:proofErr w:type="spellStart"/>
      <w:r w:rsidRPr="00E87DC1">
        <w:rPr>
          <w:lang w:val="en-US"/>
        </w:rPr>
        <w:t>methacrylates</w:t>
      </w:r>
      <w:proofErr w:type="spellEnd"/>
      <w:r w:rsidRPr="00E87DC1">
        <w:rPr>
          <w:lang w:val="en-US"/>
        </w:rPr>
        <w:t xml:space="preserve">. </w:t>
      </w:r>
    </w:p>
    <w:p w:rsidR="005F7EB2" w:rsidRPr="00E87DC1" w:rsidRDefault="005F7EB2" w:rsidP="00A4038B">
      <w:pPr>
        <w:spacing w:line="360" w:lineRule="auto"/>
        <w:jc w:val="both"/>
        <w:rPr>
          <w:lang w:val="en-US"/>
        </w:rPr>
      </w:pPr>
      <w:r w:rsidRPr="00E87DC1">
        <w:rPr>
          <w:lang w:val="en-US"/>
        </w:rPr>
        <w:t xml:space="preserve">While nothing substantial is known about the mechanisms behind the respiratory sensitizing hazard of acrylates, our findings offer some interesting clues. Acrylate-induced OA cases were younger, better educated, and the proportion of them who were women was higher than among those with OA to other LMW agents, reflecting, presumably, differences in jobs that incur exposure to these agents. Acrylate cases had shorter durations of symptomatic exposure, fewer asthma treatments and higher </w:t>
      </w:r>
      <w:bookmarkStart w:id="5" w:name="_Hlk19013084"/>
      <w:r w:rsidRPr="00E87DC1">
        <w:rPr>
          <w:lang w:val="en-US"/>
        </w:rPr>
        <w:t>FEV</w:t>
      </w:r>
      <w:r w:rsidRPr="00E87DC1">
        <w:rPr>
          <w:vertAlign w:val="subscript"/>
          <w:lang w:val="en-US"/>
        </w:rPr>
        <w:t>1</w:t>
      </w:r>
      <w:r w:rsidRPr="00E87DC1">
        <w:rPr>
          <w:lang w:val="en-US"/>
        </w:rPr>
        <w:t xml:space="preserve">/FVC </w:t>
      </w:r>
      <w:bookmarkEnd w:id="5"/>
      <w:r w:rsidRPr="00E87DC1">
        <w:rPr>
          <w:lang w:val="en-US"/>
        </w:rPr>
        <w:t xml:space="preserve">ratios. Taken together these factors suggest that OA from acrylates is identified at a relatively early stage. In addition, the patients reported more work-related rhinitis, conjunctivitis and urticaria than isocyanate-induced cases. Increases in </w:t>
      </w:r>
      <w:proofErr w:type="spellStart"/>
      <w:r w:rsidRPr="00E87DC1">
        <w:rPr>
          <w:lang w:val="en-US"/>
        </w:rPr>
        <w:t>FeNO</w:t>
      </w:r>
      <w:proofErr w:type="spellEnd"/>
      <w:r w:rsidRPr="00E87DC1">
        <w:rPr>
          <w:lang w:val="en-US"/>
        </w:rPr>
        <w:t xml:space="preserve"> after SIC exposure have been associated with HMW agents</w:t>
      </w:r>
      <w:r w:rsidR="00D64E24" w:rsidRPr="00E87DC1">
        <w:rPr>
          <w:lang w:val="en-US"/>
        </w:rPr>
        <w:t xml:space="preserve"> </w:t>
      </w:r>
      <w:r w:rsidRPr="00E87DC1">
        <w:rPr>
          <w:noProof/>
          <w:lang w:val="en-US"/>
        </w:rPr>
        <w:t>(32)</w:t>
      </w:r>
      <w:r w:rsidR="00D64E24" w:rsidRPr="00E87DC1">
        <w:rPr>
          <w:noProof/>
          <w:lang w:val="en-US"/>
        </w:rPr>
        <w:t>,</w:t>
      </w:r>
      <w:r w:rsidRPr="00E87DC1">
        <w:rPr>
          <w:lang w:val="en-US"/>
        </w:rPr>
        <w:t xml:space="preserve"> although are reported also after challenge with some LMW agents including isocyanates</w:t>
      </w:r>
      <w:r w:rsidR="00D64E24" w:rsidRPr="00E87DC1">
        <w:rPr>
          <w:lang w:val="en-US"/>
        </w:rPr>
        <w:t xml:space="preserve"> </w:t>
      </w:r>
      <w:r w:rsidRPr="00E87DC1">
        <w:rPr>
          <w:noProof/>
          <w:lang w:val="en-US"/>
        </w:rPr>
        <w:t>(33)</w:t>
      </w:r>
      <w:r w:rsidR="00D64E24" w:rsidRPr="00E87DC1">
        <w:rPr>
          <w:noProof/>
          <w:lang w:val="en-US"/>
        </w:rPr>
        <w:t>.</w:t>
      </w:r>
      <w:r w:rsidRPr="00E87DC1">
        <w:rPr>
          <w:lang w:val="en-US"/>
        </w:rPr>
        <w:t xml:space="preserve"> In our series, </w:t>
      </w:r>
      <w:proofErr w:type="spellStart"/>
      <w:r w:rsidRPr="00E87DC1">
        <w:rPr>
          <w:lang w:val="en-US"/>
        </w:rPr>
        <w:t>FeNO</w:t>
      </w:r>
      <w:proofErr w:type="spellEnd"/>
      <w:r w:rsidRPr="00E87DC1">
        <w:rPr>
          <w:lang w:val="en-US"/>
        </w:rPr>
        <w:t xml:space="preserve"> increase after SIC was more frequently recorded in acrylate-induced OA than in OA induced by isocyanates or other chemical agents. </w:t>
      </w:r>
      <w:proofErr w:type="spellStart"/>
      <w:r w:rsidRPr="00E87DC1">
        <w:rPr>
          <w:lang w:val="en-US"/>
        </w:rPr>
        <w:t>FeNO</w:t>
      </w:r>
      <w:proofErr w:type="spellEnd"/>
      <w:r w:rsidRPr="00E87DC1">
        <w:rPr>
          <w:lang w:val="en-US"/>
        </w:rPr>
        <w:t xml:space="preserve"> has been previously measured during SIC in only a few case reports of acrylate-induced OA, all included in our series. In three cases an increase was reported </w:t>
      </w:r>
      <w:r w:rsidRPr="00E87DC1">
        <w:rPr>
          <w:noProof/>
          <w:lang w:val="en-US"/>
        </w:rPr>
        <w:t>(10, 16, 20)</w:t>
      </w:r>
      <w:r w:rsidRPr="00E87DC1">
        <w:rPr>
          <w:lang w:val="en-US"/>
        </w:rPr>
        <w:t xml:space="preserve">. In another case </w:t>
      </w:r>
      <w:proofErr w:type="spellStart"/>
      <w:r w:rsidRPr="00E87DC1">
        <w:rPr>
          <w:lang w:val="en-US"/>
        </w:rPr>
        <w:t>FeNO</w:t>
      </w:r>
      <w:proofErr w:type="spellEnd"/>
      <w:r w:rsidRPr="00E87DC1">
        <w:rPr>
          <w:lang w:val="en-US"/>
        </w:rPr>
        <w:t xml:space="preserve"> did not increase during SIC but was higher during a work period when compared to off work </w:t>
      </w:r>
      <w:r w:rsidRPr="00E87DC1">
        <w:rPr>
          <w:noProof/>
          <w:lang w:val="en-US"/>
        </w:rPr>
        <w:t>(9)</w:t>
      </w:r>
      <w:r w:rsidRPr="00E87DC1">
        <w:rPr>
          <w:lang w:val="en-US"/>
        </w:rPr>
        <w:t xml:space="preserve">. We also found a trend towards more eosinophilic inflammation in induced sputum after SIC in acrylate-induced asthma, although the small number of cases (n=9) limited these analyses. Several cases of an increase in sputum eosinophils during SIC in acrylate-induced asthma have been reported, some of them included in the present series </w:t>
      </w:r>
      <w:r w:rsidRPr="00E87DC1">
        <w:rPr>
          <w:noProof/>
          <w:lang w:val="en-US"/>
        </w:rPr>
        <w:t>(9, 11, 14, 18-20)</w:t>
      </w:r>
      <w:r w:rsidRPr="00E87DC1">
        <w:rPr>
          <w:lang w:val="en-US"/>
        </w:rPr>
        <w:t xml:space="preserve">. </w:t>
      </w:r>
      <w:r w:rsidR="0015676F" w:rsidRPr="00E87DC1">
        <w:rPr>
          <w:rFonts w:eastAsia="Times New Roman" w:cstheme="minorHAnsi"/>
          <w:lang w:val="en-US" w:eastAsia="fr-FR"/>
        </w:rPr>
        <w:t xml:space="preserve">Comparisons of the eosinophil and </w:t>
      </w:r>
      <w:proofErr w:type="spellStart"/>
      <w:r w:rsidR="0015676F" w:rsidRPr="00E87DC1">
        <w:rPr>
          <w:rFonts w:eastAsia="Times New Roman" w:cstheme="minorHAnsi"/>
          <w:lang w:val="en-US" w:eastAsia="fr-FR"/>
        </w:rPr>
        <w:t>FeNO</w:t>
      </w:r>
      <w:proofErr w:type="spellEnd"/>
      <w:r w:rsidR="0015676F" w:rsidRPr="00E87DC1">
        <w:rPr>
          <w:rFonts w:eastAsia="Times New Roman" w:cstheme="minorHAnsi"/>
          <w:lang w:val="en-US" w:eastAsia="fr-FR"/>
        </w:rPr>
        <w:t xml:space="preserve"> responses to challenge with acrylates with those in OA to other LMW agents </w:t>
      </w:r>
      <w:r w:rsidR="00573147" w:rsidRPr="00E87DC1">
        <w:rPr>
          <w:rFonts w:eastAsia="Times New Roman" w:cstheme="minorHAnsi"/>
          <w:lang w:val="en-US" w:eastAsia="fr-FR"/>
        </w:rPr>
        <w:t>may</w:t>
      </w:r>
      <w:r w:rsidR="00A65D08" w:rsidRPr="00E87DC1">
        <w:rPr>
          <w:rFonts w:eastAsia="Times New Roman" w:cstheme="minorHAnsi"/>
          <w:lang w:val="en-US" w:eastAsia="fr-FR"/>
        </w:rPr>
        <w:t xml:space="preserve"> suggest</w:t>
      </w:r>
      <w:r w:rsidR="0015676F" w:rsidRPr="00E87DC1">
        <w:rPr>
          <w:rFonts w:eastAsia="Times New Roman" w:cstheme="minorHAnsi"/>
          <w:lang w:val="en-US" w:eastAsia="fr-FR"/>
        </w:rPr>
        <w:t xml:space="preserve"> greater involvement of TH2-type mechanisms in the former</w:t>
      </w:r>
      <w:r w:rsidR="0015676F" w:rsidRPr="00E87DC1">
        <w:rPr>
          <w:lang w:val="en-US"/>
        </w:rPr>
        <w:t xml:space="preserve">. </w:t>
      </w:r>
      <w:r w:rsidRPr="00E87DC1">
        <w:rPr>
          <w:lang w:val="en-US"/>
        </w:rPr>
        <w:t xml:space="preserve">Skin prick tests with the inciting acrylate compounds were negative in all tested patients. This finding is in line with former studies </w:t>
      </w:r>
      <w:r w:rsidRPr="00E87DC1">
        <w:rPr>
          <w:noProof/>
          <w:lang w:val="en-US"/>
        </w:rPr>
        <w:t>(7, 21)</w:t>
      </w:r>
      <w:r w:rsidRPr="00E87DC1">
        <w:rPr>
          <w:lang w:val="en-US"/>
        </w:rPr>
        <w:t xml:space="preserve"> and indicates that this test is insensitive to detect sensitization to acrylates, as it is for most LMW agents.</w:t>
      </w:r>
    </w:p>
    <w:p w:rsidR="005F7EB2" w:rsidRPr="00E87DC1" w:rsidRDefault="005F7EB2">
      <w:pPr>
        <w:spacing w:line="360" w:lineRule="auto"/>
        <w:jc w:val="both"/>
        <w:rPr>
          <w:lang w:val="en-US"/>
        </w:rPr>
      </w:pPr>
      <w:r w:rsidRPr="00E87DC1">
        <w:rPr>
          <w:lang w:val="en-US"/>
        </w:rPr>
        <w:t xml:space="preserve">In the absence of at-risk denominators, our findings cannot shed light on the relative potency of different acrylates. Moreover, the relevant exposures to acrylates will depend also on the physical characteristics of the different acrylates and the environmental circumstances in which they are encountered. Only small volumes of glue are typically used in industrial assembly and artificial eyelash work, meaning that respiratory exposure to acrylates in these tasks is probably low. In painting and molding, in nail care and in the preparation of prosthetics, the amount of acrylic product is higher resulting in increased exposures, especially in confined workplaces. Grinding of newly hardened </w:t>
      </w:r>
      <w:r w:rsidRPr="00E87DC1">
        <w:rPr>
          <w:lang w:val="en-US"/>
        </w:rPr>
        <w:lastRenderedPageBreak/>
        <w:t xml:space="preserve">acrylate plastics (e.g. prosthesis or nails) may produce high volumes of fine dust that contain residues of reactive starting materials </w:t>
      </w:r>
      <w:r w:rsidRPr="00E87DC1">
        <w:rPr>
          <w:noProof/>
          <w:lang w:val="en-US"/>
        </w:rPr>
        <w:t>(14, 34, 35)</w:t>
      </w:r>
      <w:r w:rsidRPr="00E87DC1">
        <w:rPr>
          <w:lang w:val="en-US"/>
        </w:rPr>
        <w:t xml:space="preserve">. Furthermore, respiratory exposure to reactive acrylates is dependent on their volatility and mode of usage and consequently their concentration in the user’s breathing zone. Hydroxyethyl methacrylate (HEMA) and methyl methacrylate (MMA) are examples of volatile acrylates that may produce relatively high airborne concentrations by evaporation, especially in tasks such as coating of large areas or molding of prostheses or artificial nails. Air measurements of acrylates are relatively scarce: small amounts of </w:t>
      </w:r>
      <w:proofErr w:type="spellStart"/>
      <w:r w:rsidRPr="00E87DC1">
        <w:rPr>
          <w:lang w:val="en-US"/>
        </w:rPr>
        <w:t>methacrylates</w:t>
      </w:r>
      <w:proofErr w:type="spellEnd"/>
      <w:r w:rsidRPr="00E87DC1">
        <w:rPr>
          <w:lang w:val="en-US"/>
        </w:rPr>
        <w:t xml:space="preserve"> have been detected in Finnish nail salons </w:t>
      </w:r>
      <w:r w:rsidRPr="00E87DC1">
        <w:rPr>
          <w:noProof/>
          <w:lang w:val="en-US"/>
        </w:rPr>
        <w:t>(34)</w:t>
      </w:r>
      <w:r w:rsidRPr="00E87DC1">
        <w:rPr>
          <w:lang w:val="en-US"/>
        </w:rPr>
        <w:t xml:space="preserve">. Higher levels of MMA were detected in dental laboratories </w:t>
      </w:r>
      <w:r w:rsidRPr="00E87DC1">
        <w:rPr>
          <w:noProof/>
          <w:lang w:val="en-US"/>
        </w:rPr>
        <w:t>(36)</w:t>
      </w:r>
      <w:r w:rsidRPr="00E87DC1">
        <w:rPr>
          <w:lang w:val="en-US"/>
        </w:rPr>
        <w:t xml:space="preserve"> and recently in 15 out of 17 nail salons </w:t>
      </w:r>
      <w:r w:rsidRPr="00E87DC1">
        <w:rPr>
          <w:noProof/>
          <w:lang w:val="en-US"/>
        </w:rPr>
        <w:t>(37)</w:t>
      </w:r>
      <w:r w:rsidRPr="00E87DC1">
        <w:rPr>
          <w:lang w:val="en-US"/>
        </w:rPr>
        <w:t xml:space="preserve"> in the USA. </w:t>
      </w:r>
    </w:p>
    <w:p w:rsidR="005F7EB2" w:rsidRPr="00E87DC1" w:rsidRDefault="005F7EB2">
      <w:pPr>
        <w:spacing w:line="360" w:lineRule="auto"/>
        <w:jc w:val="both"/>
        <w:rPr>
          <w:lang w:val="en-US"/>
        </w:rPr>
      </w:pPr>
      <w:r w:rsidRPr="00E87DC1">
        <w:rPr>
          <w:lang w:val="en-US"/>
        </w:rPr>
        <w:t xml:space="preserve">The major strength of our study was its international </w:t>
      </w:r>
      <w:proofErr w:type="spellStart"/>
      <w:r w:rsidRPr="00E87DC1">
        <w:rPr>
          <w:lang w:val="en-US"/>
        </w:rPr>
        <w:t>multicentre</w:t>
      </w:r>
      <w:proofErr w:type="spellEnd"/>
      <w:r w:rsidRPr="00E87DC1">
        <w:rPr>
          <w:lang w:val="en-US"/>
        </w:rPr>
        <w:t xml:space="preserve"> design that ensured a sufficient number of acrylate-induced cases of OA and </w:t>
      </w:r>
      <w:proofErr w:type="spellStart"/>
      <w:r w:rsidRPr="00E87DC1">
        <w:rPr>
          <w:lang w:val="en-US"/>
        </w:rPr>
        <w:t>minimised</w:t>
      </w:r>
      <w:proofErr w:type="spellEnd"/>
      <w:r w:rsidRPr="00E87DC1">
        <w:rPr>
          <w:lang w:val="en-US"/>
        </w:rPr>
        <w:t xml:space="preserve"> potential selection biases due to local clinical practices and recruitment patterns, enhancing the generalizability of our findings. Limitations were that markers of airway inflammation, </w:t>
      </w:r>
      <w:proofErr w:type="spellStart"/>
      <w:r w:rsidRPr="00E87DC1">
        <w:rPr>
          <w:lang w:val="en-US"/>
        </w:rPr>
        <w:t>FeNO</w:t>
      </w:r>
      <w:proofErr w:type="spellEnd"/>
      <w:r w:rsidRPr="00E87DC1">
        <w:rPr>
          <w:lang w:val="en-US"/>
        </w:rPr>
        <w:t xml:space="preserve"> and sputum eosinophils were unavailable in a large proportion of subjects, which restricted comparisons between groups, especially comparisons between different acrylate types. </w:t>
      </w:r>
    </w:p>
    <w:p w:rsidR="005F7EB2" w:rsidRPr="00E87DC1" w:rsidRDefault="005F7EB2">
      <w:pPr>
        <w:spacing w:line="360" w:lineRule="auto"/>
        <w:jc w:val="both"/>
        <w:rPr>
          <w:b/>
          <w:color w:val="538135" w:themeColor="accent6" w:themeShade="BF"/>
          <w:lang w:val="en-US"/>
        </w:rPr>
      </w:pPr>
      <w:r w:rsidRPr="00E87DC1">
        <w:rPr>
          <w:lang w:val="en-US"/>
        </w:rPr>
        <w:t>A barrier to the prevention of OA from acrylates is that the Safety Data Sheets of acrylate products often fail to identify that these compounds are potential respiratory sensitizers. Our series supports the recent REACH substance evaluation process</w:t>
      </w:r>
      <w:r w:rsidR="00D64E24" w:rsidRPr="00E87DC1">
        <w:rPr>
          <w:lang w:val="en-US"/>
        </w:rPr>
        <w:t xml:space="preserve"> </w:t>
      </w:r>
      <w:r w:rsidRPr="00E87DC1">
        <w:rPr>
          <w:noProof/>
          <w:lang w:val="en-US"/>
        </w:rPr>
        <w:t>(38) which c</w:t>
      </w:r>
      <w:r w:rsidRPr="00E87DC1">
        <w:rPr>
          <w:lang w:val="en-US"/>
        </w:rPr>
        <w:t xml:space="preserve">oncluded that MMA should be classified as a respiratory sensitizer, warranting the appropriate hazard statement. HEMA and </w:t>
      </w:r>
      <w:bookmarkStart w:id="6" w:name="_Hlk17190018"/>
      <w:r w:rsidRPr="00E87DC1">
        <w:rPr>
          <w:lang w:val="en-US"/>
        </w:rPr>
        <w:t>ethyl methacrylate</w:t>
      </w:r>
      <w:bookmarkEnd w:id="6"/>
      <w:r w:rsidRPr="00E87DC1">
        <w:rPr>
          <w:lang w:val="en-US"/>
        </w:rPr>
        <w:t xml:space="preserve"> are currently being evaluated </w:t>
      </w:r>
      <w:r w:rsidRPr="00E87DC1">
        <w:rPr>
          <w:noProof/>
          <w:lang w:val="en-US"/>
        </w:rPr>
        <w:t>(39) but there a</w:t>
      </w:r>
      <w:r w:rsidRPr="00E87DC1">
        <w:rPr>
          <w:lang w:val="en-US"/>
        </w:rPr>
        <w:t>re no such plans for cyanoacrylates that were a common causative agent in our series.</w:t>
      </w:r>
    </w:p>
    <w:p w:rsidR="005F7EB2" w:rsidRPr="00E87DC1" w:rsidRDefault="005F7EB2">
      <w:pPr>
        <w:spacing w:line="360" w:lineRule="auto"/>
        <w:jc w:val="both"/>
        <w:rPr>
          <w:lang w:val="en-US"/>
        </w:rPr>
      </w:pPr>
      <w:r w:rsidRPr="00E87DC1">
        <w:rPr>
          <w:rFonts w:eastAsia="Times New Roman" w:cstheme="minorHAnsi"/>
          <w:lang w:val="en-US" w:eastAsia="fr-FR"/>
        </w:rPr>
        <w:t xml:space="preserve">In conclusion, acrylate-induced OA shows some characteristics (concomitant work-related rhinitis and a greater post-exposure increase in </w:t>
      </w:r>
      <w:proofErr w:type="spellStart"/>
      <w:r w:rsidRPr="00E87DC1">
        <w:rPr>
          <w:rFonts w:eastAsia="Times New Roman" w:cstheme="minorHAnsi"/>
          <w:lang w:val="en-US" w:eastAsia="fr-FR"/>
        </w:rPr>
        <w:t>FeNO</w:t>
      </w:r>
      <w:proofErr w:type="spellEnd"/>
      <w:r w:rsidRPr="00E87DC1">
        <w:rPr>
          <w:rFonts w:eastAsia="Times New Roman" w:cstheme="minorHAnsi"/>
          <w:lang w:val="en-US" w:eastAsia="fr-FR"/>
        </w:rPr>
        <w:t xml:space="preserve">) that have been previously linked to OA caused by HMW agents, suggesting that acrylates may induce OA through immunological mechanisms that are different from other LMW agents. Moreover, the phenotypic differences between acrylates and other LMW agents challenge the practice of pooling a wide variety of LMW agents into a single category, presuming implicitly that they share similar pathophysiologic mechanisms </w:t>
      </w:r>
      <w:r w:rsidRPr="00E87DC1">
        <w:rPr>
          <w:rFonts w:eastAsia="Times New Roman" w:cstheme="minorHAnsi"/>
          <w:noProof/>
          <w:lang w:val="en-US" w:eastAsia="fr-FR"/>
        </w:rPr>
        <w:t>(23)</w:t>
      </w:r>
      <w:r w:rsidRPr="00E87DC1">
        <w:rPr>
          <w:rFonts w:eastAsia="Times New Roman" w:cstheme="minorHAnsi"/>
          <w:lang w:val="en-US" w:eastAsia="fr-FR"/>
        </w:rPr>
        <w:t xml:space="preserve">. Physicians, </w:t>
      </w:r>
      <w:r w:rsidRPr="00E87DC1">
        <w:rPr>
          <w:lang w:val="en-US"/>
        </w:rPr>
        <w:t xml:space="preserve">workers and employers should be informed about the respiratory hazards of acrylate products and how to prevent them </w:t>
      </w:r>
      <w:r w:rsidRPr="00E87DC1">
        <w:rPr>
          <w:noProof/>
          <w:lang w:val="en-US"/>
        </w:rPr>
        <w:t>(40)</w:t>
      </w:r>
      <w:r w:rsidRPr="00E87DC1">
        <w:rPr>
          <w:lang w:val="en-US"/>
        </w:rPr>
        <w:t>. The present and other reports of OA due to acrylates should be taken into account when updating their hazard classifications.</w:t>
      </w:r>
    </w:p>
    <w:p w:rsidR="005F7EB2" w:rsidRPr="00E87DC1" w:rsidRDefault="005F7EB2">
      <w:pPr>
        <w:rPr>
          <w:lang w:val="en-US"/>
        </w:rPr>
      </w:pPr>
      <w:r w:rsidRPr="00E87DC1">
        <w:rPr>
          <w:lang w:val="en-US"/>
        </w:rPr>
        <w:br w:type="page"/>
      </w:r>
    </w:p>
    <w:p w:rsidR="005F7EB2" w:rsidRPr="00E87DC1" w:rsidRDefault="005F7EB2" w:rsidP="00A4038B">
      <w:pPr>
        <w:rPr>
          <w:lang w:val="en-US"/>
        </w:rPr>
      </w:pPr>
      <w:r w:rsidRPr="00E87DC1">
        <w:rPr>
          <w:b/>
          <w:lang w:val="en-US"/>
        </w:rPr>
        <w:lastRenderedPageBreak/>
        <w:t>R</w:t>
      </w:r>
      <w:r w:rsidR="008F584C" w:rsidRPr="00E87DC1">
        <w:rPr>
          <w:b/>
          <w:lang w:val="en-US"/>
        </w:rPr>
        <w:t>eferences</w:t>
      </w:r>
    </w:p>
    <w:p w:rsidR="005F7EB2" w:rsidRPr="00E87DC1" w:rsidRDefault="005F7EB2" w:rsidP="00A65D08">
      <w:pPr>
        <w:pStyle w:val="EndNoteBibliography"/>
        <w:spacing w:after="0"/>
        <w:ind w:left="567" w:hanging="567"/>
      </w:pPr>
      <w:r w:rsidRPr="00E87DC1">
        <w:t>1.</w:t>
      </w:r>
      <w:r w:rsidRPr="00E87DC1">
        <w:tab/>
        <w:t>Goncalo M, Pinho A, Agner T, Andersen KE, Bruze M, Diepgen T, et al. Allergic contact dermatitis caused by nail acrylates in Europe. An EECDRG study. Contact Dermatitis. 2018;78(4):254-60.</w:t>
      </w:r>
    </w:p>
    <w:p w:rsidR="005F7EB2" w:rsidRPr="00E87DC1" w:rsidRDefault="005F7EB2" w:rsidP="00A65D08">
      <w:pPr>
        <w:pStyle w:val="EndNoteBibliography"/>
        <w:spacing w:after="0"/>
        <w:ind w:left="567" w:hanging="567"/>
      </w:pPr>
      <w:r w:rsidRPr="00E87DC1">
        <w:t>2.</w:t>
      </w:r>
      <w:r w:rsidRPr="00E87DC1">
        <w:tab/>
        <w:t>ECHA</w:t>
      </w:r>
      <w:r w:rsidR="003F30E5" w:rsidRPr="00E87DC1">
        <w:t xml:space="preserve"> (European CHemical Agency)</w:t>
      </w:r>
      <w:r w:rsidRPr="00E87DC1">
        <w:t>. Harmonised classification and labelling of hazardous substances. Annex VI to CLP Helsinki, Finland: European Chemicals Agency; 2018</w:t>
      </w:r>
      <w:r w:rsidR="00287664" w:rsidRPr="00E87DC1">
        <w:t>. U</w:t>
      </w:r>
      <w:r w:rsidRPr="00E87DC1">
        <w:t xml:space="preserve">pdated Sep 2018. Available from: </w:t>
      </w:r>
      <w:hyperlink r:id="rId9" w:history="1">
        <w:r w:rsidR="00287664" w:rsidRPr="00E87DC1">
          <w:rPr>
            <w:rStyle w:val="Hyperlink"/>
          </w:rPr>
          <w:t>https://echa.europa.eu/fi/information-on-chemicals/annex-vi-to-clp</w:t>
        </w:r>
      </w:hyperlink>
      <w:r w:rsidRPr="00E87DC1">
        <w:t>.</w:t>
      </w:r>
      <w:r w:rsidR="00287664" w:rsidRPr="00E87DC1">
        <w:t xml:space="preserve"> Last accessed: September 2019.</w:t>
      </w:r>
    </w:p>
    <w:p w:rsidR="005F7EB2" w:rsidRPr="00E87DC1" w:rsidRDefault="005F7EB2" w:rsidP="00A65D08">
      <w:pPr>
        <w:pStyle w:val="EndNoteBibliography"/>
        <w:spacing w:after="0"/>
        <w:ind w:left="567" w:hanging="567"/>
      </w:pPr>
      <w:r w:rsidRPr="00E87DC1">
        <w:t>3.</w:t>
      </w:r>
      <w:r w:rsidRPr="00E87DC1">
        <w:tab/>
        <w:t>Borak J, Fields C, Andrews LS, Pemberton MA. Methyl methacrylate and respiratory sensitization: a critical review. Crit Rev Toxicol. 2011;41(3):230-68.</w:t>
      </w:r>
    </w:p>
    <w:p w:rsidR="005F7EB2" w:rsidRPr="00E87DC1" w:rsidRDefault="005F7EB2" w:rsidP="00A65D08">
      <w:pPr>
        <w:pStyle w:val="EndNoteBibliography"/>
        <w:spacing w:after="0"/>
        <w:ind w:left="567" w:hanging="567"/>
      </w:pPr>
      <w:r w:rsidRPr="00E87DC1">
        <w:t>4.</w:t>
      </w:r>
      <w:r w:rsidRPr="00E87DC1">
        <w:tab/>
        <w:t>Toren K, Jarvholm B, Brisman J, Hagberg S, Hermansson BA, Lillienberg L. Adult-onset asthma and occupational exposures. Scand J Work Environ Health. 1999;25(5):430-5.</w:t>
      </w:r>
    </w:p>
    <w:p w:rsidR="005F7EB2" w:rsidRPr="00E87DC1" w:rsidRDefault="005F7EB2" w:rsidP="00A65D08">
      <w:pPr>
        <w:pStyle w:val="EndNoteBibliography"/>
        <w:spacing w:after="0"/>
        <w:ind w:left="567" w:hanging="567"/>
      </w:pPr>
      <w:r w:rsidRPr="00E87DC1">
        <w:t>5.</w:t>
      </w:r>
      <w:r w:rsidRPr="00E87DC1">
        <w:tab/>
        <w:t>Jaakkola MS, Leino T, Tammilehto L, Ylostalo P, Kuosma E, Alanko K. Respiratory effects of exposure to methacrylates among dental assistants. Allergy. 2007;62(6):648-54.</w:t>
      </w:r>
    </w:p>
    <w:p w:rsidR="005F7EB2" w:rsidRPr="00E87DC1" w:rsidRDefault="005F7EB2" w:rsidP="00A65D08">
      <w:pPr>
        <w:pStyle w:val="EndNoteBibliography"/>
        <w:spacing w:after="0"/>
        <w:ind w:left="567" w:hanging="567"/>
      </w:pPr>
      <w:r w:rsidRPr="00E87DC1">
        <w:t>6.</w:t>
      </w:r>
      <w:r w:rsidRPr="00E87DC1">
        <w:tab/>
        <w:t>Lillienberg L, Andersson E, Janson C, Dahlman-Hoglund A, Forsberg B, Holm M, et al. Occupational exposure and new-onset asthma in a population-based study in Northern Europe (RHINE). Ann Occup Hyg. 2013;57(4):482-92.</w:t>
      </w:r>
    </w:p>
    <w:p w:rsidR="005F7EB2" w:rsidRPr="00E87DC1" w:rsidRDefault="005F7EB2" w:rsidP="00A65D08">
      <w:pPr>
        <w:pStyle w:val="EndNoteBibliography"/>
        <w:spacing w:after="0"/>
        <w:ind w:left="567" w:hanging="567"/>
      </w:pPr>
      <w:r w:rsidRPr="00E87DC1">
        <w:t>7.</w:t>
      </w:r>
      <w:r w:rsidRPr="00E87DC1">
        <w:tab/>
        <w:t>Savonius B, Keskinen H, Tuppurainen M, Kanerva L. Occupational respiratory disease caused by acrylates. Clin Exp Allergy. 1993;23(5):416-24.</w:t>
      </w:r>
    </w:p>
    <w:p w:rsidR="005F7EB2" w:rsidRPr="00E87DC1" w:rsidRDefault="005F7EB2" w:rsidP="00A65D08">
      <w:pPr>
        <w:pStyle w:val="EndNoteBibliography"/>
        <w:spacing w:after="0"/>
        <w:ind w:left="567" w:hanging="567"/>
      </w:pPr>
      <w:r w:rsidRPr="00E87DC1">
        <w:t>8.</w:t>
      </w:r>
      <w:r w:rsidRPr="00E87DC1">
        <w:tab/>
        <w:t>Walters GI, Robertson AS, Moore VC, Burge PS. Occupational asthma caused by acrylic compounds from SHIELD surveillance (1989-2014). Occup Med (Lond). 2017;67(4):282-9.</w:t>
      </w:r>
    </w:p>
    <w:p w:rsidR="005F7EB2" w:rsidRPr="00E87DC1" w:rsidRDefault="005F7EB2" w:rsidP="00A65D08">
      <w:pPr>
        <w:pStyle w:val="EndNoteBibliography"/>
        <w:spacing w:after="0"/>
        <w:ind w:left="567" w:hanging="567"/>
      </w:pPr>
      <w:r w:rsidRPr="00E87DC1">
        <w:t>9.</w:t>
      </w:r>
      <w:r w:rsidRPr="00E87DC1">
        <w:tab/>
        <w:t>Andujar R, Cruz MJ, Villar A, Morell F, Munoz X. High eosinophil levels and poor evolution in occupational asthma due to cyanoacrylate exposure. Am J Ind Med. 2011;54(9):714-8.</w:t>
      </w:r>
    </w:p>
    <w:p w:rsidR="005F7EB2" w:rsidRPr="00E87DC1" w:rsidRDefault="005F7EB2" w:rsidP="00A65D08">
      <w:pPr>
        <w:pStyle w:val="EndNoteBibliography"/>
        <w:spacing w:after="0"/>
        <w:ind w:left="567" w:hanging="567"/>
      </w:pPr>
      <w:r w:rsidRPr="00E87DC1">
        <w:t>10.</w:t>
      </w:r>
      <w:r w:rsidRPr="00E87DC1">
        <w:tab/>
        <w:t>Lindstrom I, Suojalehto H, Henriks-Eckerman ML, Suuronen K. Occupational asthma and rhinitis caused by cyanoacrylate-based eyelash extension glues. Occup Med (Lond). 2013;63(4):294-7.</w:t>
      </w:r>
    </w:p>
    <w:p w:rsidR="005F7EB2" w:rsidRPr="00E87DC1" w:rsidRDefault="005F7EB2" w:rsidP="00A65D08">
      <w:pPr>
        <w:pStyle w:val="EndNoteBibliography"/>
        <w:spacing w:after="0"/>
        <w:ind w:left="567" w:hanging="567"/>
      </w:pPr>
      <w:r w:rsidRPr="00E87DC1">
        <w:t>11.</w:t>
      </w:r>
      <w:r w:rsidRPr="00E87DC1">
        <w:tab/>
        <w:t>Quirce S, Baeza ML, Tornero P, Blasco A, Barranco R, Sastre J. Occupational asthma caused by exposure to cyanoacrylate. Allergy. 2001;56(5):446-9.</w:t>
      </w:r>
    </w:p>
    <w:p w:rsidR="005F7EB2" w:rsidRPr="00E87DC1" w:rsidRDefault="005F7EB2" w:rsidP="00A65D08">
      <w:pPr>
        <w:pStyle w:val="EndNoteBibliography"/>
        <w:spacing w:after="0"/>
        <w:ind w:left="567" w:hanging="567"/>
      </w:pPr>
      <w:r w:rsidRPr="00E87DC1">
        <w:t>12.</w:t>
      </w:r>
      <w:r w:rsidRPr="00E87DC1">
        <w:tab/>
        <w:t>Pickering CA, Bainbridge D, Birtwistle IH, Griffiths DL. Occupational asthma due to methyl methacrylate in an orthopaedic theatre sister. Br Med J (Clin Res Ed). 1986;292(6532):1362-3.</w:t>
      </w:r>
    </w:p>
    <w:p w:rsidR="005F7EB2" w:rsidRPr="00E87DC1" w:rsidRDefault="005F7EB2" w:rsidP="00A65D08">
      <w:pPr>
        <w:pStyle w:val="EndNoteBibliography"/>
        <w:spacing w:after="0"/>
        <w:ind w:left="567" w:hanging="567"/>
      </w:pPr>
      <w:r w:rsidRPr="00E87DC1">
        <w:t>13.</w:t>
      </w:r>
      <w:r w:rsidRPr="00E87DC1">
        <w:tab/>
        <w:t>Piirila P, Hodgson U, Estlander T, Keskinen H, Saalo A, Voutilainen R, et al. Occupational respiratory hypersensitivity in dental personnel. Int Arch Occup Environ Health. 2002;75(4):209-16.</w:t>
      </w:r>
    </w:p>
    <w:p w:rsidR="005F7EB2" w:rsidRPr="00E87DC1" w:rsidRDefault="005F7EB2" w:rsidP="00A65D08">
      <w:pPr>
        <w:pStyle w:val="EndNoteBibliography"/>
        <w:spacing w:after="0"/>
        <w:ind w:left="567" w:hanging="567"/>
      </w:pPr>
      <w:r w:rsidRPr="00E87DC1">
        <w:t>14.</w:t>
      </w:r>
      <w:r w:rsidRPr="00E87DC1">
        <w:tab/>
        <w:t>Quirce S, Barranco P, Fernandez-Nieto M, Sastre B, del Pozo V, Sastre J. Occupational asthma caused by acrylates in optical laboratory technicians. J Investig Allergol Clin Immunol. 2011;21(1):78-9.</w:t>
      </w:r>
    </w:p>
    <w:p w:rsidR="005F7EB2" w:rsidRPr="00E87DC1" w:rsidRDefault="005F7EB2" w:rsidP="00A65D08">
      <w:pPr>
        <w:pStyle w:val="EndNoteBibliography"/>
        <w:spacing w:after="0"/>
        <w:ind w:left="567" w:hanging="567"/>
      </w:pPr>
      <w:r w:rsidRPr="00E87DC1">
        <w:t>15.</w:t>
      </w:r>
      <w:r w:rsidRPr="00E87DC1">
        <w:tab/>
        <w:t>Sauni R, Kauppi P, Alanko K, Henriks-Eckerman ML, Tuppurainen M, Hannu T. Occupational asthma caused by sculptured nails containing methacrylates. Am J Ind Med. 2008;51(12):968-74.</w:t>
      </w:r>
    </w:p>
    <w:p w:rsidR="005F7EB2" w:rsidRPr="00E87DC1" w:rsidRDefault="005F7EB2" w:rsidP="00A65D08">
      <w:pPr>
        <w:pStyle w:val="EndNoteBibliography"/>
        <w:spacing w:after="0"/>
        <w:ind w:left="567" w:hanging="567"/>
      </w:pPr>
      <w:r w:rsidRPr="00E87DC1">
        <w:t>16.</w:t>
      </w:r>
      <w:r w:rsidRPr="00E87DC1">
        <w:tab/>
        <w:t>Uriarte SA, Fernandez-Nieto M, Sastre J. Occupational asthma due to polyvinyl chloride and methyl methacrylate in a plumber. J Investig Allergol Clin Immunol. 2013;23(6):437-8.</w:t>
      </w:r>
    </w:p>
    <w:p w:rsidR="005F7EB2" w:rsidRPr="00E87DC1" w:rsidRDefault="005F7EB2" w:rsidP="00A65D08">
      <w:pPr>
        <w:pStyle w:val="EndNoteBibliography"/>
        <w:spacing w:after="0"/>
        <w:ind w:left="567" w:hanging="567"/>
      </w:pPr>
      <w:r w:rsidRPr="00E87DC1">
        <w:t>17.</w:t>
      </w:r>
      <w:r w:rsidRPr="00E87DC1">
        <w:tab/>
        <w:t>Vaccaro M, Guarneri F, Barbuzza O, Cannavo SP. Airborne contact dermatitis and asthma in a nail art operator. Int J Occup Med Environ Health. 2014;27(1):137-40.</w:t>
      </w:r>
    </w:p>
    <w:p w:rsidR="005F7EB2" w:rsidRPr="00E87DC1" w:rsidRDefault="005F7EB2" w:rsidP="00A65D08">
      <w:pPr>
        <w:pStyle w:val="EndNoteBibliography"/>
        <w:spacing w:after="0"/>
        <w:ind w:left="567" w:hanging="567"/>
      </w:pPr>
      <w:r w:rsidRPr="00E87DC1">
        <w:t>18.</w:t>
      </w:r>
      <w:r w:rsidRPr="00E87DC1">
        <w:tab/>
        <w:t>Lemiere C, Weytjens K, Cartier A, Malo JL. Late asthmatic reaction with airway inflammation but without airway hyperresponsiveness. Clin Exp Allergy. 2000;30(3):415-7.</w:t>
      </w:r>
    </w:p>
    <w:p w:rsidR="005F7EB2" w:rsidRPr="00E87DC1" w:rsidRDefault="005F7EB2" w:rsidP="00A65D08">
      <w:pPr>
        <w:pStyle w:val="EndNoteBibliography"/>
        <w:spacing w:after="0"/>
        <w:ind w:left="567" w:hanging="567"/>
      </w:pPr>
      <w:r w:rsidRPr="00E87DC1">
        <w:t>19.</w:t>
      </w:r>
      <w:r w:rsidRPr="00E87DC1">
        <w:tab/>
        <w:t>Reig Rincon de Arellano I, Cimarra Alvarez-Lovell M, Robledo Echarren T, Fernandez-Nieto M, Quirce Gancedo S, Seaone Plata C, et al. Occupational asthma due to acrylates in a graphic arts worker. Allergol Immunopathol (Madr). 2006;34(1):32-6.</w:t>
      </w:r>
    </w:p>
    <w:p w:rsidR="005F7EB2" w:rsidRPr="00E87DC1" w:rsidRDefault="005F7EB2" w:rsidP="00A65D08">
      <w:pPr>
        <w:pStyle w:val="EndNoteBibliography"/>
        <w:spacing w:after="0"/>
        <w:ind w:left="567" w:hanging="567"/>
      </w:pPr>
      <w:r w:rsidRPr="00E87DC1">
        <w:t>20.</w:t>
      </w:r>
      <w:r w:rsidRPr="00E87DC1">
        <w:tab/>
        <w:t>Sanchez-Garcia S, Fernandez-Nieto M, Sastre J. Asthma induced by a thermal printer. N Engl J Med. 2009;360(22):2375-6.</w:t>
      </w:r>
    </w:p>
    <w:p w:rsidR="005F7EB2" w:rsidRPr="00E87DC1" w:rsidRDefault="005F7EB2" w:rsidP="00A65D08">
      <w:pPr>
        <w:pStyle w:val="EndNoteBibliography"/>
        <w:spacing w:after="0"/>
        <w:ind w:left="567" w:hanging="567"/>
      </w:pPr>
      <w:r w:rsidRPr="00E87DC1">
        <w:lastRenderedPageBreak/>
        <w:t>21.</w:t>
      </w:r>
      <w:r w:rsidRPr="00E87DC1">
        <w:tab/>
        <w:t>Helaskoski E, Suojalehto H, Kuuliala O, Aalto-Korte K. Prick testing with chemicals in the diagnosis of occupational contact urticaria and respiratory diseases. Contact Dermatitis. 2015;72(1):20-32.</w:t>
      </w:r>
    </w:p>
    <w:p w:rsidR="005F7EB2" w:rsidRPr="00E87DC1" w:rsidRDefault="005F7EB2" w:rsidP="00A65D08">
      <w:pPr>
        <w:pStyle w:val="EndNoteBibliography"/>
        <w:spacing w:after="0"/>
        <w:ind w:left="567" w:hanging="567"/>
      </w:pPr>
      <w:r w:rsidRPr="00E87DC1">
        <w:t>22.</w:t>
      </w:r>
      <w:r w:rsidRPr="00E87DC1">
        <w:tab/>
        <w:t>Vandenplas O, Godet J, Hurdubaea L, Rifflart C, Suojalehto H, Walusiak-Skorupa J, et al. Severe Occupational Asthma: Insights From a Multicenter European Cohort. J Allergy Clin Immunol Pract. 2019.</w:t>
      </w:r>
    </w:p>
    <w:p w:rsidR="005F7EB2" w:rsidRPr="00E87DC1" w:rsidRDefault="005F7EB2" w:rsidP="00A65D08">
      <w:pPr>
        <w:pStyle w:val="EndNoteBibliography"/>
        <w:spacing w:after="0"/>
        <w:ind w:left="567" w:hanging="567"/>
      </w:pPr>
      <w:r w:rsidRPr="00E87DC1">
        <w:t>23.</w:t>
      </w:r>
      <w:r w:rsidRPr="00E87DC1">
        <w:tab/>
        <w:t>Vandenplas O, Godet J, Hurdubaea L, Rifflart C, Suojalehto H, Wiszniewska M, et al. Are high- and low-molecular-weight sensitizing agents associated with different clinical phenotypes of occupational asthma? Allergy. 2018;74(2):261-72.</w:t>
      </w:r>
    </w:p>
    <w:p w:rsidR="005F7EB2" w:rsidRPr="00E87DC1" w:rsidRDefault="005F7EB2" w:rsidP="00A65D08">
      <w:pPr>
        <w:pStyle w:val="EndNoteBibliography"/>
        <w:spacing w:after="0"/>
        <w:ind w:left="567" w:hanging="567"/>
      </w:pPr>
      <w:r w:rsidRPr="00E87DC1">
        <w:t>24.</w:t>
      </w:r>
      <w:r w:rsidRPr="00E87DC1">
        <w:tab/>
        <w:t>Vandenplas O, Suojalehto H, Aasen TB, Baur X, Burge PS, de Blay F, et al. Specific inhalation challenge in the diagnosis of occupational asthma: consensus statement. Eur Respir J. 2014;43(6):1573-87.</w:t>
      </w:r>
    </w:p>
    <w:p w:rsidR="005F7EB2" w:rsidRPr="00E87DC1" w:rsidRDefault="005F7EB2" w:rsidP="00A65D08">
      <w:pPr>
        <w:pStyle w:val="EndNoteBibliography"/>
        <w:spacing w:after="0"/>
        <w:ind w:left="567" w:hanging="567"/>
      </w:pPr>
      <w:r w:rsidRPr="00E87DC1">
        <w:t>25.</w:t>
      </w:r>
      <w:r w:rsidRPr="00E87DC1">
        <w:tab/>
        <w:t>Jarvis J, Seed MJ, Stocks SJ, Agius RM. A refined QSAR model for prediction of chemical asthma hazard. Occup Med (Lond). 2015;65(8):659-66.</w:t>
      </w:r>
    </w:p>
    <w:p w:rsidR="005F7EB2" w:rsidRPr="00E87DC1" w:rsidRDefault="005F7EB2" w:rsidP="00A65D08">
      <w:pPr>
        <w:pStyle w:val="EndNoteBibliography"/>
        <w:spacing w:after="0"/>
        <w:ind w:left="567" w:hanging="567"/>
      </w:pPr>
      <w:r w:rsidRPr="00E87DC1">
        <w:t>26.</w:t>
      </w:r>
      <w:r w:rsidRPr="00E87DC1">
        <w:tab/>
        <w:t>(GINA). Global strategy for asthma management and prevention 2015</w:t>
      </w:r>
      <w:r w:rsidR="00287664" w:rsidRPr="00E87DC1">
        <w:t xml:space="preserve">. </w:t>
      </w:r>
      <w:r w:rsidRPr="00E87DC1">
        <w:t xml:space="preserve">Available from: </w:t>
      </w:r>
      <w:hyperlink r:id="rId10" w:history="1">
        <w:r w:rsidR="00287664" w:rsidRPr="00E87DC1">
          <w:rPr>
            <w:rStyle w:val="Hyperlink"/>
          </w:rPr>
          <w:t>http://www.ginasthma.org/</w:t>
        </w:r>
      </w:hyperlink>
      <w:r w:rsidRPr="00E87DC1">
        <w:t>.</w:t>
      </w:r>
      <w:r w:rsidR="00287664" w:rsidRPr="00E87DC1">
        <w:t xml:space="preserve"> Last accessed: September 2019.</w:t>
      </w:r>
    </w:p>
    <w:p w:rsidR="005F7EB2" w:rsidRPr="00E87DC1" w:rsidRDefault="005F7EB2" w:rsidP="00A65D08">
      <w:pPr>
        <w:pStyle w:val="EndNoteBibliography"/>
        <w:spacing w:after="0"/>
        <w:ind w:left="567" w:hanging="567"/>
      </w:pPr>
      <w:r w:rsidRPr="00E87DC1">
        <w:t>27.</w:t>
      </w:r>
      <w:r w:rsidRPr="00E87DC1">
        <w:tab/>
        <w:t>Bousquet J, Mantzouranis E, Cruz AA, Ait-Khaled N, Baena-Cagnani CE, Bleecker ER, et al. Uniform definition of asthma severity, control, and exacerbations: document presented for the World Health Organization Consultation on Severe Asthma. J Allergy Clin Immunol. 2010;126(5):926-38.</w:t>
      </w:r>
    </w:p>
    <w:p w:rsidR="005F7EB2" w:rsidRPr="00E87DC1" w:rsidRDefault="005F7EB2" w:rsidP="00A65D08">
      <w:pPr>
        <w:pStyle w:val="EndNoteBibliography"/>
        <w:spacing w:after="0"/>
        <w:ind w:left="567" w:hanging="567"/>
      </w:pPr>
      <w:r w:rsidRPr="00E87DC1">
        <w:t>28.</w:t>
      </w:r>
      <w:r w:rsidRPr="00E87DC1">
        <w:tab/>
        <w:t>Reddel HK, Taylor DR, Bateman ED, Boulet LP, Boushey HA, Busse WW, et al. An official American Thoracic Society/European Respiratory Society statement: asthma control and exacerbations: standardizing endpoints for clinical asthma trials and clinical practice. Am J Respir Crit Care Med. 2009;180(1):59-99.</w:t>
      </w:r>
    </w:p>
    <w:p w:rsidR="005F7EB2" w:rsidRPr="00E87DC1" w:rsidRDefault="005F7EB2" w:rsidP="00A65D08">
      <w:pPr>
        <w:pStyle w:val="EndNoteBibliography"/>
        <w:spacing w:after="0"/>
        <w:ind w:left="567" w:hanging="567"/>
      </w:pPr>
      <w:r w:rsidRPr="00E87DC1">
        <w:t>29.</w:t>
      </w:r>
      <w:r w:rsidRPr="00E87DC1">
        <w:tab/>
        <w:t>Vandenplas O, D'Alpaos V, Heymans J, Jamart J, Thimpont J, Huaux F, et al. Sputum eosinophilia: an early marker of bronchial response to occupational agents. Allergy. 2009;64(5):754-61.</w:t>
      </w:r>
    </w:p>
    <w:p w:rsidR="005F7EB2" w:rsidRPr="00E87DC1" w:rsidRDefault="005F7EB2" w:rsidP="00A65D08">
      <w:pPr>
        <w:pStyle w:val="EndNoteBibliography"/>
        <w:spacing w:after="0"/>
        <w:ind w:left="567" w:hanging="567"/>
      </w:pPr>
      <w:r w:rsidRPr="00E87DC1">
        <w:t>30.</w:t>
      </w:r>
      <w:r w:rsidRPr="00E87DC1">
        <w:tab/>
        <w:t>Enoch SJ, Seed MJ, Roberts DW, Cronin MT, Stocks SJ, Agius RM. Development of mechanism-based structural alerts for respiratory sensitization hazard identification. Chem Res Toxicol. 2012;25(11):2490-8.</w:t>
      </w:r>
    </w:p>
    <w:p w:rsidR="005F7EB2" w:rsidRPr="00E87DC1" w:rsidRDefault="005F7EB2" w:rsidP="00A65D08">
      <w:pPr>
        <w:pStyle w:val="EndNoteBibliography"/>
        <w:spacing w:after="0"/>
        <w:ind w:left="567" w:hanging="567"/>
      </w:pPr>
      <w:r w:rsidRPr="00E87DC1">
        <w:t>31.</w:t>
      </w:r>
      <w:r w:rsidRPr="00E87DC1">
        <w:tab/>
        <w:t>Enoch SJ, Roberts DW, Cronin MT. Mechanistic category formation for the prediction of respiratory sensitization. Chem Res Toxicol. 2010;23(10):1547-55.</w:t>
      </w:r>
    </w:p>
    <w:p w:rsidR="005F7EB2" w:rsidRPr="00E87DC1" w:rsidRDefault="005F7EB2" w:rsidP="00A65D08">
      <w:pPr>
        <w:pStyle w:val="EndNoteBibliography"/>
        <w:spacing w:after="0"/>
        <w:ind w:left="567" w:hanging="567"/>
      </w:pPr>
      <w:r w:rsidRPr="00E87DC1">
        <w:t>32.</w:t>
      </w:r>
      <w:r w:rsidRPr="00E87DC1">
        <w:tab/>
        <w:t>Lemiere C, S NG, Sava F, D'Alpaos V, Huaux F, Vandenplas O. Occupational asthma phenotypes identified by increased fractional exhaled nitric oxide after exposure to causal agents. J Allergy Clin Immunol. 2014;134(5):1063-7.</w:t>
      </w:r>
    </w:p>
    <w:p w:rsidR="005F7EB2" w:rsidRPr="00E87DC1" w:rsidRDefault="005F7EB2" w:rsidP="00A65D08">
      <w:pPr>
        <w:pStyle w:val="EndNoteBibliography"/>
        <w:spacing w:after="0"/>
        <w:ind w:left="567" w:hanging="567"/>
      </w:pPr>
      <w:r w:rsidRPr="00E87DC1">
        <w:t>33.</w:t>
      </w:r>
      <w:r w:rsidRPr="00E87DC1">
        <w:tab/>
        <w:t>Ferrazzoni S, Scarpa MC, Guarnieri G, Corradi M, Mutti A, Maestrelli P. Exhaled nitric oxide and breath condensate ph in asthmatic reactions induced by isocyanates. Chest. 2009;136(1):155-62.</w:t>
      </w:r>
    </w:p>
    <w:p w:rsidR="005F7EB2" w:rsidRPr="00E87DC1" w:rsidRDefault="005F7EB2" w:rsidP="00A65D08">
      <w:pPr>
        <w:pStyle w:val="EndNoteBibliography"/>
        <w:spacing w:after="0"/>
        <w:ind w:left="567" w:hanging="567"/>
      </w:pPr>
      <w:r w:rsidRPr="00E87DC1">
        <w:t>34.</w:t>
      </w:r>
      <w:r w:rsidRPr="00E87DC1">
        <w:tab/>
        <w:t>Henriks-Eckerman ML, Korva M. Exposure to airborne methacrylates in nail salons. J Occup Environ Hyg. 2012;9(8):D146-50.</w:t>
      </w:r>
    </w:p>
    <w:p w:rsidR="005F7EB2" w:rsidRPr="00E87DC1" w:rsidRDefault="005F7EB2" w:rsidP="00A65D08">
      <w:pPr>
        <w:pStyle w:val="EndNoteBibliography"/>
        <w:spacing w:after="0"/>
        <w:ind w:left="567" w:hanging="567"/>
      </w:pPr>
      <w:r w:rsidRPr="00E87DC1">
        <w:t>35.</w:t>
      </w:r>
      <w:r w:rsidRPr="00E87DC1">
        <w:tab/>
        <w:t>Hiipakka D, Samimi B. Exposure of acrylic fingernail sculptors to organic vapors and methacrylate dusts. Am Ind Hyg Assoc J. 1987;48(3):230-7.</w:t>
      </w:r>
    </w:p>
    <w:p w:rsidR="005F7EB2" w:rsidRPr="00E87DC1" w:rsidRDefault="005F7EB2" w:rsidP="00A65D08">
      <w:pPr>
        <w:pStyle w:val="EndNoteBibliography"/>
        <w:spacing w:after="0"/>
        <w:ind w:left="567" w:hanging="567"/>
      </w:pPr>
      <w:r w:rsidRPr="00E87DC1">
        <w:t>36.</w:t>
      </w:r>
      <w:r w:rsidRPr="00E87DC1">
        <w:tab/>
        <w:t>Nayebzadeh A, Dufresne A. Evaluation of exposure to methyl methacrylate among dental laboratory technicians. Am Ind Hyg Assoc J 1999 60(5):625-8.</w:t>
      </w:r>
    </w:p>
    <w:p w:rsidR="005F7EB2" w:rsidRPr="00E87DC1" w:rsidRDefault="005F7EB2" w:rsidP="00A65D08">
      <w:pPr>
        <w:pStyle w:val="EndNoteBibliography"/>
        <w:spacing w:after="0"/>
        <w:ind w:left="567" w:hanging="567"/>
      </w:pPr>
      <w:r w:rsidRPr="00E87DC1">
        <w:t>37.</w:t>
      </w:r>
      <w:r w:rsidRPr="00E87DC1">
        <w:tab/>
        <w:t>Zhong L, Batterman S, Milando CW. VOC sources and exposures in nail salons: a pilot study in Michigan, USA. Int Arch Occup Environ Health. 2019;92(1):141-53.</w:t>
      </w:r>
    </w:p>
    <w:p w:rsidR="005F7EB2" w:rsidRPr="00E87DC1" w:rsidRDefault="005F7EB2" w:rsidP="00A65D08">
      <w:pPr>
        <w:pStyle w:val="EndNoteBibliography"/>
        <w:spacing w:after="0"/>
        <w:ind w:left="567" w:hanging="567"/>
      </w:pPr>
      <w:r w:rsidRPr="00E87DC1">
        <w:t>38.</w:t>
      </w:r>
      <w:r w:rsidRPr="00E87DC1">
        <w:tab/>
        <w:t>ECHA</w:t>
      </w:r>
      <w:r w:rsidR="003F30E5" w:rsidRPr="00E87DC1">
        <w:t xml:space="preserve"> (European CHemical Agency)</w:t>
      </w:r>
      <w:r w:rsidRPr="00E87DC1">
        <w:t>. Substance evaluation conclusion as required by REACH Article 48 and evaluation report for methyl methacrylate. France: ANSES Unité UESC Département de l’Evaluation des Risques; 2018 17 December 2018.</w:t>
      </w:r>
    </w:p>
    <w:p w:rsidR="005F7EB2" w:rsidRPr="00E87DC1" w:rsidRDefault="005F7EB2" w:rsidP="00A65D08">
      <w:pPr>
        <w:pStyle w:val="EndNoteBibliography"/>
        <w:spacing w:after="0"/>
        <w:ind w:left="567" w:hanging="567"/>
      </w:pPr>
      <w:r w:rsidRPr="00E87DC1">
        <w:lastRenderedPageBreak/>
        <w:t>39.</w:t>
      </w:r>
      <w:r w:rsidRPr="00E87DC1">
        <w:tab/>
        <w:t>ECHA</w:t>
      </w:r>
      <w:r w:rsidR="003F30E5" w:rsidRPr="00E87DC1">
        <w:t xml:space="preserve"> (European CHemical Agency</w:t>
      </w:r>
      <w:r w:rsidRPr="00E87DC1">
        <w:t>). Substance evaluation - CoRAP 2019</w:t>
      </w:r>
      <w:r w:rsidR="00287664" w:rsidRPr="00E87DC1">
        <w:t xml:space="preserve">. </w:t>
      </w:r>
      <w:r w:rsidRPr="00E87DC1">
        <w:t xml:space="preserve">Available from: </w:t>
      </w:r>
      <w:hyperlink r:id="rId11" w:history="1">
        <w:r w:rsidR="00287664" w:rsidRPr="00E87DC1">
          <w:rPr>
            <w:rStyle w:val="Hyperlink"/>
          </w:rPr>
          <w:t>https://echa.europa.eu/information-on-chemicals/evaluation/community-rolling-action-plan/corap-table</w:t>
        </w:r>
      </w:hyperlink>
      <w:r w:rsidRPr="00E87DC1">
        <w:t>.</w:t>
      </w:r>
      <w:r w:rsidR="00287664" w:rsidRPr="00E87DC1">
        <w:t xml:space="preserve"> Last accessed: September 2019.</w:t>
      </w:r>
    </w:p>
    <w:p w:rsidR="005F7EB2" w:rsidRPr="00E87DC1" w:rsidRDefault="005F7EB2" w:rsidP="00A65D08">
      <w:pPr>
        <w:pStyle w:val="EndNoteBibliography"/>
        <w:ind w:left="567" w:hanging="567"/>
      </w:pPr>
      <w:r w:rsidRPr="00E87DC1">
        <w:t>40.</w:t>
      </w:r>
      <w:r w:rsidRPr="00E87DC1">
        <w:tab/>
        <w:t>Moscato G, Pala G, Boillat MA, Folletti I, Gerth van Wijk R, Olgiati-Des Gouttes D, et al. EAACI position paper: prevention of work-related respiratory allergies among pre-apprentices or apprentices and young workers. Allergy. 2011;66(9):1164-73.</w:t>
      </w:r>
    </w:p>
    <w:p w:rsidR="005F7EB2" w:rsidRPr="00E87DC1" w:rsidRDefault="005F7EB2" w:rsidP="00A4038B">
      <w:pPr>
        <w:spacing w:after="0" w:line="240" w:lineRule="auto"/>
        <w:rPr>
          <w:lang w:val="en-US"/>
        </w:rPr>
      </w:pPr>
    </w:p>
    <w:p w:rsidR="005F7EB2" w:rsidRPr="00E87DC1" w:rsidRDefault="005F7EB2">
      <w:pPr>
        <w:rPr>
          <w:b/>
          <w:lang w:val="en-US"/>
        </w:rPr>
      </w:pPr>
      <w:r w:rsidRPr="00E87DC1">
        <w:rPr>
          <w:b/>
          <w:lang w:val="en-US"/>
        </w:rPr>
        <w:br w:type="page"/>
      </w:r>
    </w:p>
    <w:p w:rsidR="005F7EB2" w:rsidRPr="00E87DC1" w:rsidRDefault="008F584C" w:rsidP="00A4038B">
      <w:pPr>
        <w:ind w:left="567" w:hanging="567"/>
        <w:rPr>
          <w:b/>
          <w:lang w:val="en-US"/>
        </w:rPr>
      </w:pPr>
      <w:r w:rsidRPr="00E87DC1">
        <w:rPr>
          <w:b/>
          <w:lang w:val="en-US"/>
        </w:rPr>
        <w:lastRenderedPageBreak/>
        <w:t>TABLE I.</w:t>
      </w:r>
      <w:r w:rsidR="005F7EB2" w:rsidRPr="00E87DC1">
        <w:rPr>
          <w:b/>
          <w:lang w:val="en-US"/>
        </w:rPr>
        <w:t xml:space="preserve"> Common reactive acrylates, their principle structures and examples of derivatives and relevant products</w:t>
      </w:r>
    </w:p>
    <w:tbl>
      <w:tblPr>
        <w:tblStyle w:val="TableGrid"/>
        <w:tblW w:w="10065" w:type="dxa"/>
        <w:tblInd w:w="-572" w:type="dxa"/>
        <w:tblLayout w:type="fixed"/>
        <w:tblLook w:val="04A0" w:firstRow="1" w:lastRow="0" w:firstColumn="1" w:lastColumn="0" w:noHBand="0" w:noVBand="1"/>
      </w:tblPr>
      <w:tblGrid>
        <w:gridCol w:w="1844"/>
        <w:gridCol w:w="2537"/>
        <w:gridCol w:w="2982"/>
        <w:gridCol w:w="2702"/>
      </w:tblGrid>
      <w:tr w:rsidR="005F7EB2" w:rsidRPr="00E87DC1" w:rsidTr="00A4038B">
        <w:trPr>
          <w:trHeight w:val="525"/>
        </w:trPr>
        <w:tc>
          <w:tcPr>
            <w:tcW w:w="1844" w:type="dxa"/>
          </w:tcPr>
          <w:p w:rsidR="005F7EB2" w:rsidRPr="00E87DC1" w:rsidRDefault="005F7EB2" w:rsidP="00A4038B">
            <w:pPr>
              <w:jc w:val="center"/>
              <w:rPr>
                <w:b/>
                <w:lang w:val="en-US"/>
              </w:rPr>
            </w:pPr>
          </w:p>
        </w:tc>
        <w:tc>
          <w:tcPr>
            <w:tcW w:w="8221" w:type="dxa"/>
            <w:gridSpan w:val="3"/>
            <w:vAlign w:val="center"/>
          </w:tcPr>
          <w:p w:rsidR="005F7EB2" w:rsidRPr="00E87DC1" w:rsidRDefault="005F7EB2" w:rsidP="00A4038B">
            <w:pPr>
              <w:jc w:val="center"/>
              <w:rPr>
                <w:b/>
                <w:lang w:val="en-US"/>
              </w:rPr>
            </w:pPr>
            <w:r w:rsidRPr="00E87DC1">
              <w:rPr>
                <w:b/>
                <w:lang w:val="en-US"/>
              </w:rPr>
              <w:t>Acrylates</w:t>
            </w:r>
          </w:p>
        </w:tc>
      </w:tr>
      <w:tr w:rsidR="005F7EB2" w:rsidRPr="00E87DC1" w:rsidTr="00A4038B">
        <w:tc>
          <w:tcPr>
            <w:tcW w:w="1844" w:type="dxa"/>
          </w:tcPr>
          <w:p w:rsidR="005F7EB2" w:rsidRPr="00E87DC1" w:rsidRDefault="005F7EB2" w:rsidP="00A4038B">
            <w:pPr>
              <w:jc w:val="center"/>
              <w:rPr>
                <w:b/>
                <w:lang w:val="en-US"/>
              </w:rPr>
            </w:pPr>
            <w:r w:rsidRPr="00E87DC1">
              <w:rPr>
                <w:b/>
                <w:lang w:val="en-US"/>
              </w:rPr>
              <w:t>Acrylate subgroup/Characteristic</w:t>
            </w:r>
          </w:p>
        </w:tc>
        <w:tc>
          <w:tcPr>
            <w:tcW w:w="2537" w:type="dxa"/>
          </w:tcPr>
          <w:p w:rsidR="005F7EB2" w:rsidRPr="00E87DC1" w:rsidRDefault="005F7EB2" w:rsidP="00A4038B">
            <w:pPr>
              <w:jc w:val="center"/>
              <w:rPr>
                <w:b/>
                <w:lang w:val="en-US"/>
              </w:rPr>
            </w:pPr>
            <w:r w:rsidRPr="00E87DC1">
              <w:rPr>
                <w:b/>
                <w:lang w:val="en-US"/>
              </w:rPr>
              <w:t>Cyanoacrylates</w:t>
            </w:r>
          </w:p>
        </w:tc>
        <w:tc>
          <w:tcPr>
            <w:tcW w:w="2982" w:type="dxa"/>
          </w:tcPr>
          <w:p w:rsidR="005F7EB2" w:rsidRPr="00E87DC1" w:rsidRDefault="005F7EB2" w:rsidP="00A4038B">
            <w:pPr>
              <w:jc w:val="center"/>
              <w:rPr>
                <w:b/>
                <w:lang w:val="en-US"/>
              </w:rPr>
            </w:pPr>
            <w:proofErr w:type="spellStart"/>
            <w:r w:rsidRPr="00E87DC1">
              <w:rPr>
                <w:b/>
                <w:lang w:val="en-US"/>
              </w:rPr>
              <w:t>Methacrylates</w:t>
            </w:r>
            <w:proofErr w:type="spellEnd"/>
          </w:p>
        </w:tc>
        <w:tc>
          <w:tcPr>
            <w:tcW w:w="2702" w:type="dxa"/>
          </w:tcPr>
          <w:p w:rsidR="005F7EB2" w:rsidRPr="00E87DC1" w:rsidRDefault="005F7EB2" w:rsidP="00A4038B">
            <w:pPr>
              <w:jc w:val="center"/>
              <w:rPr>
                <w:b/>
                <w:lang w:val="en-US"/>
              </w:rPr>
            </w:pPr>
            <w:r w:rsidRPr="00E87DC1">
              <w:rPr>
                <w:b/>
                <w:lang w:val="en-US"/>
              </w:rPr>
              <w:t>Plain acrylates</w:t>
            </w:r>
          </w:p>
          <w:p w:rsidR="005F7EB2" w:rsidRPr="00E87DC1" w:rsidRDefault="005F7EB2" w:rsidP="00A4038B">
            <w:pPr>
              <w:jc w:val="center"/>
              <w:rPr>
                <w:b/>
                <w:lang w:val="en-US"/>
              </w:rPr>
            </w:pPr>
          </w:p>
        </w:tc>
      </w:tr>
      <w:tr w:rsidR="005F7EB2" w:rsidRPr="00E87DC1" w:rsidTr="00A4038B">
        <w:tc>
          <w:tcPr>
            <w:tcW w:w="1844" w:type="dxa"/>
          </w:tcPr>
          <w:p w:rsidR="005F7EB2" w:rsidRPr="00E87DC1" w:rsidRDefault="005F7EB2" w:rsidP="00A4038B">
            <w:pPr>
              <w:rPr>
                <w:lang w:val="en-US"/>
              </w:rPr>
            </w:pPr>
            <w:r w:rsidRPr="00E87DC1">
              <w:rPr>
                <w:lang w:val="en-US"/>
              </w:rPr>
              <w:t xml:space="preserve">Principle structure </w:t>
            </w:r>
          </w:p>
          <w:p w:rsidR="005F7EB2" w:rsidRPr="00E87DC1" w:rsidRDefault="005F7EB2" w:rsidP="00A4038B">
            <w:pPr>
              <w:rPr>
                <w:lang w:val="en-US"/>
              </w:rPr>
            </w:pPr>
            <w:r w:rsidRPr="00E87DC1">
              <w:rPr>
                <w:lang w:val="en-US"/>
              </w:rPr>
              <w:t>(R=any hydrocarbon group)</w:t>
            </w:r>
          </w:p>
        </w:tc>
        <w:tc>
          <w:tcPr>
            <w:tcW w:w="2537" w:type="dxa"/>
            <w:vAlign w:val="center"/>
          </w:tcPr>
          <w:p w:rsidR="005F7EB2" w:rsidRPr="00E87DC1" w:rsidRDefault="005F7EB2" w:rsidP="00A4038B">
            <w:pPr>
              <w:jc w:val="center"/>
            </w:pPr>
            <w:r w:rsidRPr="00E87DC1">
              <w:object w:dxaOrig="1501" w:dyaOrig="9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5.75pt" o:ole="">
                  <v:imagedata r:id="rId12" o:title=""/>
                </v:shape>
                <o:OLEObject Type="Embed" ProgID="ACD.ChemSketch.20" ShapeID="_x0000_i1025" DrawAspect="Content" ObjectID="_1647166170" r:id="rId13"/>
              </w:object>
            </w:r>
          </w:p>
        </w:tc>
        <w:tc>
          <w:tcPr>
            <w:tcW w:w="2982" w:type="dxa"/>
            <w:vAlign w:val="center"/>
          </w:tcPr>
          <w:p w:rsidR="005F7EB2" w:rsidRPr="00E87DC1" w:rsidRDefault="005F7EB2" w:rsidP="00A4038B">
            <w:pPr>
              <w:jc w:val="center"/>
            </w:pPr>
            <w:r w:rsidRPr="00E87DC1">
              <w:object w:dxaOrig="1666" w:dyaOrig="1155">
                <v:shape id="_x0000_i1026" type="#_x0000_t75" style="width:82.15pt;height:57pt" o:ole="">
                  <v:imagedata r:id="rId14" o:title=""/>
                </v:shape>
                <o:OLEObject Type="Embed" ProgID="ACD.ChemSketch.20" ShapeID="_x0000_i1026" DrawAspect="Content" ObjectID="_1647166171" r:id="rId15"/>
              </w:object>
            </w:r>
          </w:p>
        </w:tc>
        <w:tc>
          <w:tcPr>
            <w:tcW w:w="2702" w:type="dxa"/>
            <w:vAlign w:val="center"/>
          </w:tcPr>
          <w:p w:rsidR="005F7EB2" w:rsidRPr="00E87DC1" w:rsidRDefault="005F7EB2" w:rsidP="00A4038B">
            <w:pPr>
              <w:jc w:val="center"/>
              <w:rPr>
                <w:lang w:val="en-US"/>
              </w:rPr>
            </w:pPr>
            <w:r w:rsidRPr="00E87DC1">
              <w:object w:dxaOrig="1666" w:dyaOrig="781">
                <v:shape id="_x0000_i1027" type="#_x0000_t75" style="width:82.15pt;height:37.15pt" o:ole="">
                  <v:imagedata r:id="rId16" o:title=""/>
                </v:shape>
                <o:OLEObject Type="Embed" ProgID="ACD.ChemSketch.20" ShapeID="_x0000_i1027" DrawAspect="Content" ObjectID="_1647166172" r:id="rId17"/>
              </w:object>
            </w:r>
          </w:p>
        </w:tc>
      </w:tr>
      <w:tr w:rsidR="005F7EB2" w:rsidRPr="00E87DC1" w:rsidTr="00A4038B">
        <w:tc>
          <w:tcPr>
            <w:tcW w:w="1844" w:type="dxa"/>
          </w:tcPr>
          <w:p w:rsidR="005F7EB2" w:rsidRPr="00E87DC1" w:rsidRDefault="005F7EB2" w:rsidP="00A4038B">
            <w:pPr>
              <w:rPr>
                <w:lang w:val="en-US"/>
              </w:rPr>
            </w:pPr>
            <w:r w:rsidRPr="00E87DC1">
              <w:rPr>
                <w:lang w:val="en-US"/>
              </w:rPr>
              <w:t>Typical products</w:t>
            </w:r>
          </w:p>
        </w:tc>
        <w:tc>
          <w:tcPr>
            <w:tcW w:w="2537" w:type="dxa"/>
          </w:tcPr>
          <w:p w:rsidR="005F7EB2" w:rsidRPr="00E87DC1" w:rsidRDefault="005F7EB2" w:rsidP="00A4038B">
            <w:pPr>
              <w:rPr>
                <w:lang w:val="en-US"/>
              </w:rPr>
            </w:pPr>
            <w:r w:rsidRPr="00E87DC1">
              <w:rPr>
                <w:lang w:val="en-US"/>
              </w:rPr>
              <w:t>instant glues, nail and eyelash glues, wound sealants</w:t>
            </w:r>
          </w:p>
        </w:tc>
        <w:tc>
          <w:tcPr>
            <w:tcW w:w="2982" w:type="dxa"/>
          </w:tcPr>
          <w:p w:rsidR="005F7EB2" w:rsidRPr="00E87DC1" w:rsidRDefault="005F7EB2" w:rsidP="00A4038B">
            <w:pPr>
              <w:rPr>
                <w:lang w:val="en-US"/>
              </w:rPr>
            </w:pPr>
            <w:r w:rsidRPr="00E87DC1">
              <w:rPr>
                <w:lang w:val="en-US"/>
              </w:rPr>
              <w:t xml:space="preserve">floor coatings, artificial nail products, prosthetics, dental sealants and fillings, assembly glues, anaerobic sealants and screw lockers, printing </w:t>
            </w:r>
            <w:proofErr w:type="spellStart"/>
            <w:r w:rsidRPr="00E87DC1">
              <w:rPr>
                <w:lang w:val="en-US"/>
              </w:rPr>
              <w:t>colours</w:t>
            </w:r>
            <w:proofErr w:type="spellEnd"/>
            <w:r w:rsidRPr="00E87DC1">
              <w:rPr>
                <w:lang w:val="en-US"/>
              </w:rPr>
              <w:t xml:space="preserve"> and plates</w:t>
            </w:r>
          </w:p>
        </w:tc>
        <w:tc>
          <w:tcPr>
            <w:tcW w:w="2702" w:type="dxa"/>
          </w:tcPr>
          <w:p w:rsidR="005F7EB2" w:rsidRPr="00E87DC1" w:rsidRDefault="005F7EB2" w:rsidP="00A4038B">
            <w:pPr>
              <w:rPr>
                <w:lang w:val="en-US"/>
              </w:rPr>
            </w:pPr>
            <w:r w:rsidRPr="00E87DC1">
              <w:rPr>
                <w:lang w:val="en-US"/>
              </w:rPr>
              <w:t xml:space="preserve">wood lacquers, printing </w:t>
            </w:r>
            <w:proofErr w:type="spellStart"/>
            <w:r w:rsidRPr="00E87DC1">
              <w:rPr>
                <w:lang w:val="en-US"/>
              </w:rPr>
              <w:t>colours</w:t>
            </w:r>
            <w:proofErr w:type="spellEnd"/>
            <w:r w:rsidRPr="00E87DC1">
              <w:rPr>
                <w:lang w:val="en-US"/>
              </w:rPr>
              <w:t xml:space="preserve"> and plates, artificial nail products, glues</w:t>
            </w:r>
          </w:p>
        </w:tc>
      </w:tr>
      <w:tr w:rsidR="005F7EB2" w:rsidRPr="00E87DC1" w:rsidTr="00A4038B">
        <w:tc>
          <w:tcPr>
            <w:tcW w:w="1844" w:type="dxa"/>
          </w:tcPr>
          <w:p w:rsidR="005F7EB2" w:rsidRPr="00E87DC1" w:rsidRDefault="005F7EB2" w:rsidP="00A4038B">
            <w:pPr>
              <w:rPr>
                <w:lang w:val="en-US"/>
              </w:rPr>
            </w:pPr>
            <w:r w:rsidRPr="00E87DC1">
              <w:rPr>
                <w:lang w:val="en-US"/>
              </w:rPr>
              <w:t>Common methods of hardening</w:t>
            </w:r>
          </w:p>
        </w:tc>
        <w:tc>
          <w:tcPr>
            <w:tcW w:w="2537" w:type="dxa"/>
          </w:tcPr>
          <w:p w:rsidR="005F7EB2" w:rsidRPr="00E87DC1" w:rsidRDefault="005F7EB2" w:rsidP="00A4038B">
            <w:pPr>
              <w:rPr>
                <w:lang w:val="en-US"/>
              </w:rPr>
            </w:pPr>
            <w:r w:rsidRPr="00E87DC1">
              <w:rPr>
                <w:lang w:val="en-US"/>
              </w:rPr>
              <w:t>atmospheric or tissue humidity</w:t>
            </w:r>
          </w:p>
        </w:tc>
        <w:tc>
          <w:tcPr>
            <w:tcW w:w="2982" w:type="dxa"/>
          </w:tcPr>
          <w:p w:rsidR="005F7EB2" w:rsidRPr="00E87DC1" w:rsidRDefault="005F7EB2" w:rsidP="00A4038B">
            <w:pPr>
              <w:rPr>
                <w:lang w:val="en-US"/>
              </w:rPr>
            </w:pPr>
            <w:r w:rsidRPr="00E87DC1">
              <w:rPr>
                <w:lang w:val="en-US"/>
              </w:rPr>
              <w:t>UV-light, peroxides</w:t>
            </w:r>
          </w:p>
        </w:tc>
        <w:tc>
          <w:tcPr>
            <w:tcW w:w="2702" w:type="dxa"/>
          </w:tcPr>
          <w:p w:rsidR="005F7EB2" w:rsidRPr="00E87DC1" w:rsidRDefault="005F7EB2" w:rsidP="00A4038B">
            <w:pPr>
              <w:rPr>
                <w:lang w:val="en-US"/>
              </w:rPr>
            </w:pPr>
            <w:r w:rsidRPr="00E87DC1">
              <w:rPr>
                <w:lang w:val="en-US"/>
              </w:rPr>
              <w:t>UV-light</w:t>
            </w:r>
          </w:p>
        </w:tc>
      </w:tr>
      <w:tr w:rsidR="005F7EB2" w:rsidRPr="00E87DC1" w:rsidTr="00A4038B">
        <w:tc>
          <w:tcPr>
            <w:tcW w:w="1844" w:type="dxa"/>
            <w:vMerge w:val="restart"/>
          </w:tcPr>
          <w:p w:rsidR="005F7EB2" w:rsidRPr="00E87DC1" w:rsidRDefault="005F7EB2" w:rsidP="00A4038B">
            <w:pPr>
              <w:rPr>
                <w:lang w:val="en-US"/>
              </w:rPr>
            </w:pPr>
            <w:r w:rsidRPr="00E87DC1">
              <w:rPr>
                <w:lang w:val="en-US"/>
              </w:rPr>
              <w:t xml:space="preserve">Examples of derivatives; their CAS-numbers, volatility, and asthma hazard index (HI) </w:t>
            </w:r>
          </w:p>
        </w:tc>
        <w:tc>
          <w:tcPr>
            <w:tcW w:w="2537" w:type="dxa"/>
          </w:tcPr>
          <w:p w:rsidR="005F7EB2" w:rsidRPr="00E87DC1" w:rsidRDefault="005F7EB2" w:rsidP="00A4038B">
            <w:pPr>
              <w:pStyle w:val="substance-display-attributes"/>
              <w:rPr>
                <w:rFonts w:asciiTheme="minorHAnsi" w:eastAsiaTheme="minorHAnsi" w:hAnsiTheme="minorHAnsi" w:cstheme="minorBidi"/>
                <w:sz w:val="22"/>
                <w:szCs w:val="22"/>
                <w:lang w:val="en-US" w:eastAsia="en-US"/>
              </w:rPr>
            </w:pPr>
            <w:r w:rsidRPr="00E87DC1">
              <w:rPr>
                <w:lang w:val="en-US"/>
              </w:rPr>
              <w:br/>
            </w:r>
            <w:r w:rsidRPr="00E87DC1">
              <w:object w:dxaOrig="2400" w:dyaOrig="1320">
                <v:shape id="_x0000_i1028" type="#_x0000_t75" style="width:117.75pt;height:64.15pt" o:ole="">
                  <v:imagedata r:id="rId18" o:title=""/>
                </v:shape>
                <o:OLEObject Type="Embed" ProgID="ACD.ChemSketch.20" ShapeID="_x0000_i1028" DrawAspect="Content" ObjectID="_1647166173" r:id="rId19"/>
              </w:object>
            </w:r>
          </w:p>
          <w:p w:rsidR="005F7EB2" w:rsidRPr="00E87DC1" w:rsidRDefault="005F7EB2" w:rsidP="00A4038B">
            <w:pPr>
              <w:pStyle w:val="substance-display-attributes"/>
              <w:rPr>
                <w:lang w:val="en-US"/>
              </w:rPr>
            </w:pPr>
            <w:r w:rsidRPr="00E87DC1">
              <w:rPr>
                <w:rFonts w:asciiTheme="minorHAnsi" w:eastAsiaTheme="minorHAnsi" w:hAnsiTheme="minorHAnsi" w:cstheme="minorBidi"/>
                <w:sz w:val="22"/>
                <w:szCs w:val="22"/>
                <w:lang w:val="en-US" w:eastAsia="en-US"/>
              </w:rPr>
              <w:t xml:space="preserve">ECA, CAS </w:t>
            </w:r>
            <w:hyperlink r:id="rId20" w:history="1">
              <w:r w:rsidRPr="00E87DC1">
                <w:rPr>
                  <w:rFonts w:asciiTheme="minorHAnsi" w:eastAsiaTheme="minorHAnsi" w:hAnsiTheme="minorHAnsi" w:cstheme="minorBidi"/>
                  <w:sz w:val="22"/>
                  <w:szCs w:val="22"/>
                  <w:lang w:val="en-US" w:eastAsia="en-US"/>
                </w:rPr>
                <w:t>7085-85-0</w:t>
              </w:r>
            </w:hyperlink>
            <w:r w:rsidRPr="00E87DC1">
              <w:rPr>
                <w:rFonts w:asciiTheme="minorHAnsi" w:eastAsiaTheme="minorHAnsi" w:hAnsiTheme="minorHAnsi" w:cstheme="minorBidi"/>
                <w:sz w:val="22"/>
                <w:szCs w:val="22"/>
                <w:lang w:val="en-US" w:eastAsia="en-US"/>
              </w:rPr>
              <w:t>, moderate volatility,</w:t>
            </w:r>
            <w:r w:rsidRPr="00E87DC1">
              <w:rPr>
                <w:rFonts w:asciiTheme="minorHAnsi" w:eastAsiaTheme="minorHAnsi" w:hAnsiTheme="minorHAnsi" w:cstheme="minorBidi"/>
                <w:sz w:val="22"/>
                <w:szCs w:val="22"/>
                <w:lang w:val="en-US" w:eastAsia="en-US"/>
              </w:rPr>
              <w:br/>
              <w:t>HI=1</w:t>
            </w:r>
          </w:p>
        </w:tc>
        <w:tc>
          <w:tcPr>
            <w:tcW w:w="2982" w:type="dxa"/>
          </w:tcPr>
          <w:p w:rsidR="005F7EB2" w:rsidRPr="00E87DC1" w:rsidRDefault="005F7EB2" w:rsidP="00A4038B">
            <w:pPr>
              <w:rPr>
                <w:lang w:val="en-US"/>
              </w:rPr>
            </w:pPr>
            <w:r w:rsidRPr="00E87DC1">
              <w:rPr>
                <w:lang w:val="en-US"/>
              </w:rPr>
              <w:t xml:space="preserve">   </w:t>
            </w:r>
          </w:p>
          <w:p w:rsidR="005F7EB2" w:rsidRPr="00E87DC1" w:rsidRDefault="005F7EB2" w:rsidP="00A4038B">
            <w:pPr>
              <w:rPr>
                <w:lang w:val="en-US"/>
              </w:rPr>
            </w:pPr>
            <w:r w:rsidRPr="00E87DC1">
              <w:rPr>
                <w:lang w:val="en-US"/>
              </w:rPr>
              <w:t xml:space="preserve">  </w:t>
            </w:r>
            <w:r w:rsidRPr="00E87DC1">
              <w:object w:dxaOrig="2326" w:dyaOrig="1320">
                <v:shape id="_x0000_i1029" type="#_x0000_t75" style="width:116.25pt;height:64.15pt" o:ole="">
                  <v:imagedata r:id="rId21" o:title=""/>
                </v:shape>
                <o:OLEObject Type="Embed" ProgID="ACD.ChemSketch.20" ShapeID="_x0000_i1029" DrawAspect="Content" ObjectID="_1647166174" r:id="rId22"/>
              </w:object>
            </w:r>
          </w:p>
          <w:p w:rsidR="005F7EB2" w:rsidRPr="00E87DC1" w:rsidRDefault="005F7EB2" w:rsidP="00A4038B">
            <w:pPr>
              <w:rPr>
                <w:lang w:val="en-US"/>
              </w:rPr>
            </w:pPr>
          </w:p>
          <w:p w:rsidR="005F7EB2" w:rsidRPr="00E87DC1" w:rsidRDefault="005F7EB2" w:rsidP="00A4038B">
            <w:pPr>
              <w:rPr>
                <w:lang w:val="en-US"/>
              </w:rPr>
            </w:pPr>
            <w:r w:rsidRPr="00E87DC1">
              <w:rPr>
                <w:lang w:val="en-US"/>
              </w:rPr>
              <w:t xml:space="preserve">HEMA, CAS </w:t>
            </w:r>
            <w:hyperlink r:id="rId23" w:history="1">
              <w:r w:rsidRPr="00E87DC1">
                <w:rPr>
                  <w:lang w:val="en-US"/>
                </w:rPr>
                <w:t>868-77-9</w:t>
              </w:r>
            </w:hyperlink>
            <w:r w:rsidRPr="00E87DC1">
              <w:rPr>
                <w:lang w:val="en-US"/>
              </w:rPr>
              <w:t xml:space="preserve">, </w:t>
            </w:r>
            <w:r w:rsidRPr="00E87DC1">
              <w:rPr>
                <w:lang w:val="en-US"/>
              </w:rPr>
              <w:br/>
              <w:t>high volatility,</w:t>
            </w:r>
            <w:r w:rsidRPr="00E87DC1">
              <w:rPr>
                <w:lang w:val="en-US"/>
              </w:rPr>
              <w:br/>
              <w:t>HI=1</w:t>
            </w:r>
          </w:p>
          <w:p w:rsidR="005F7EB2" w:rsidRPr="00E87DC1" w:rsidRDefault="005F7EB2" w:rsidP="00A4038B">
            <w:pPr>
              <w:rPr>
                <w:lang w:val="en-US"/>
              </w:rPr>
            </w:pPr>
          </w:p>
        </w:tc>
        <w:tc>
          <w:tcPr>
            <w:tcW w:w="2702" w:type="dxa"/>
          </w:tcPr>
          <w:p w:rsidR="005F7EB2" w:rsidRPr="00E87DC1" w:rsidRDefault="005F7EB2" w:rsidP="00A4038B">
            <w:pPr>
              <w:rPr>
                <w:lang w:val="en-US"/>
              </w:rPr>
            </w:pPr>
          </w:p>
          <w:p w:rsidR="005F7EB2" w:rsidRPr="00E87DC1" w:rsidRDefault="005F7EB2" w:rsidP="00A4038B">
            <w:pPr>
              <w:rPr>
                <w:lang w:val="en-US"/>
              </w:rPr>
            </w:pPr>
          </w:p>
          <w:p w:rsidR="005F7EB2" w:rsidRPr="00E87DC1" w:rsidRDefault="005F7EB2" w:rsidP="00A4038B">
            <w:pPr>
              <w:rPr>
                <w:lang w:val="en-US"/>
              </w:rPr>
            </w:pPr>
            <w:r w:rsidRPr="00E87DC1">
              <w:rPr>
                <w:lang w:val="en-US"/>
              </w:rPr>
              <w:object w:dxaOrig="2851" w:dyaOrig="781">
                <v:shape id="_x0000_i1030" type="#_x0000_t75" style="width:123pt;height:34.15pt" o:ole="">
                  <v:imagedata r:id="rId24" o:title=""/>
                </v:shape>
                <o:OLEObject Type="Embed" ProgID="ACD.ChemSketch.20" ShapeID="_x0000_i1030" DrawAspect="Content" ObjectID="_1647166175" r:id="rId25"/>
              </w:object>
            </w:r>
          </w:p>
          <w:p w:rsidR="005F7EB2" w:rsidRPr="00E87DC1" w:rsidRDefault="005F7EB2" w:rsidP="00A4038B">
            <w:pPr>
              <w:rPr>
                <w:lang w:val="en-US"/>
              </w:rPr>
            </w:pPr>
          </w:p>
          <w:p w:rsidR="005F7EB2" w:rsidRPr="00E87DC1" w:rsidRDefault="005F7EB2" w:rsidP="00A4038B">
            <w:pPr>
              <w:rPr>
                <w:lang w:val="en-US"/>
              </w:rPr>
            </w:pPr>
          </w:p>
          <w:p w:rsidR="005F7EB2" w:rsidRPr="00E87DC1" w:rsidRDefault="005F7EB2" w:rsidP="00A4038B">
            <w:pPr>
              <w:rPr>
                <w:lang w:val="en-US"/>
              </w:rPr>
            </w:pPr>
            <w:r w:rsidRPr="00E87DC1">
              <w:rPr>
                <w:lang w:val="en-US"/>
              </w:rPr>
              <w:t>BA, CAS 141-32-2, moderate volatility,</w:t>
            </w:r>
            <w:r w:rsidRPr="00E87DC1">
              <w:rPr>
                <w:lang w:val="en-US"/>
              </w:rPr>
              <w:br/>
              <w:t>HI= 0.11</w:t>
            </w:r>
          </w:p>
          <w:p w:rsidR="005F7EB2" w:rsidRPr="00E87DC1" w:rsidRDefault="005F7EB2" w:rsidP="00A4038B">
            <w:pPr>
              <w:rPr>
                <w:lang w:val="en-US"/>
              </w:rPr>
            </w:pPr>
          </w:p>
        </w:tc>
      </w:tr>
      <w:tr w:rsidR="005F7EB2" w:rsidRPr="00E87DC1" w:rsidTr="00A4038B">
        <w:tc>
          <w:tcPr>
            <w:tcW w:w="1844" w:type="dxa"/>
            <w:vMerge/>
          </w:tcPr>
          <w:p w:rsidR="005F7EB2" w:rsidRPr="00E87DC1" w:rsidRDefault="005F7EB2" w:rsidP="00A4038B">
            <w:pPr>
              <w:rPr>
                <w:lang w:val="en-US"/>
              </w:rPr>
            </w:pPr>
          </w:p>
        </w:tc>
        <w:tc>
          <w:tcPr>
            <w:tcW w:w="2537" w:type="dxa"/>
          </w:tcPr>
          <w:p w:rsidR="005F7EB2" w:rsidRPr="00E87DC1" w:rsidRDefault="005F7EB2" w:rsidP="00A4038B">
            <w:pPr>
              <w:pStyle w:val="substance-display-attributes"/>
              <w:rPr>
                <w:rFonts w:asciiTheme="minorHAnsi" w:eastAsiaTheme="minorHAnsi" w:hAnsiTheme="minorHAnsi" w:cstheme="minorBidi"/>
                <w:sz w:val="22"/>
                <w:szCs w:val="22"/>
                <w:lang w:val="en-US" w:eastAsia="en-US"/>
              </w:rPr>
            </w:pPr>
            <w:r w:rsidRPr="00E87DC1">
              <w:rPr>
                <w:lang w:val="en-US"/>
              </w:rPr>
              <w:br/>
            </w:r>
            <w:r w:rsidRPr="00E87DC1">
              <w:object w:dxaOrig="1996" w:dyaOrig="1306">
                <v:shape id="_x0000_i1031" type="#_x0000_t75" style="width:99.75pt;height:66pt" o:ole="">
                  <v:imagedata r:id="rId26" o:title=""/>
                </v:shape>
                <o:OLEObject Type="Embed" ProgID="ACD.ChemSketch.20" ShapeID="_x0000_i1031" DrawAspect="Content" ObjectID="_1647166176" r:id="rId27"/>
              </w:object>
            </w:r>
            <w:r w:rsidRPr="00E87DC1">
              <w:rPr>
                <w:rFonts w:asciiTheme="minorHAnsi" w:eastAsiaTheme="minorHAnsi" w:hAnsiTheme="minorHAnsi" w:cstheme="minorBidi"/>
                <w:sz w:val="22"/>
                <w:szCs w:val="22"/>
                <w:lang w:val="en-US" w:eastAsia="en-US"/>
              </w:rPr>
              <w:br/>
            </w:r>
            <w:r w:rsidRPr="00E87DC1">
              <w:rPr>
                <w:rFonts w:asciiTheme="minorHAnsi" w:eastAsiaTheme="minorHAnsi" w:hAnsiTheme="minorHAnsi" w:cstheme="minorBidi"/>
                <w:sz w:val="22"/>
                <w:szCs w:val="22"/>
                <w:lang w:val="en-US" w:eastAsia="en-US"/>
              </w:rPr>
              <w:br/>
              <w:t>MCA, CAS 137-05-3, moderate volatility,</w:t>
            </w:r>
            <w:r w:rsidRPr="00E87DC1">
              <w:rPr>
                <w:rFonts w:asciiTheme="minorHAnsi" w:eastAsiaTheme="minorHAnsi" w:hAnsiTheme="minorHAnsi" w:cstheme="minorBidi"/>
                <w:sz w:val="22"/>
                <w:szCs w:val="22"/>
                <w:lang w:val="en-US" w:eastAsia="en-US"/>
              </w:rPr>
              <w:br/>
              <w:t>HI=1</w:t>
            </w:r>
          </w:p>
        </w:tc>
        <w:tc>
          <w:tcPr>
            <w:tcW w:w="2982" w:type="dxa"/>
          </w:tcPr>
          <w:p w:rsidR="005F7EB2" w:rsidRPr="00E87DC1" w:rsidRDefault="005F7EB2" w:rsidP="00A4038B">
            <w:pPr>
              <w:rPr>
                <w:lang w:val="en-US"/>
              </w:rPr>
            </w:pPr>
          </w:p>
          <w:p w:rsidR="005F7EB2" w:rsidRPr="00E87DC1" w:rsidRDefault="005F7EB2" w:rsidP="00A4038B">
            <w:pPr>
              <w:rPr>
                <w:lang w:val="en-US"/>
              </w:rPr>
            </w:pPr>
            <w:r w:rsidRPr="00E87DC1">
              <w:object w:dxaOrig="1801" w:dyaOrig="976">
                <v:shape id="_x0000_i1032" type="#_x0000_t75" style="width:89.25pt;height:49.15pt" o:ole="">
                  <v:imagedata r:id="rId28" o:title=""/>
                </v:shape>
                <o:OLEObject Type="Embed" ProgID="ACD.ChemSketch.20" ShapeID="_x0000_i1032" DrawAspect="Content" ObjectID="_1647166177" r:id="rId29"/>
              </w:object>
            </w:r>
            <w:r w:rsidRPr="00E87DC1">
              <w:rPr>
                <w:lang w:val="en-US"/>
              </w:rPr>
              <w:br/>
            </w:r>
          </w:p>
          <w:p w:rsidR="005F7EB2" w:rsidRPr="00E87DC1" w:rsidRDefault="005F7EB2" w:rsidP="00A4038B">
            <w:pPr>
              <w:rPr>
                <w:lang w:val="en-US"/>
              </w:rPr>
            </w:pPr>
            <w:r w:rsidRPr="00E87DC1">
              <w:rPr>
                <w:lang w:val="en-US"/>
              </w:rPr>
              <w:t xml:space="preserve">MMA, CAS 80-62-6, </w:t>
            </w:r>
          </w:p>
          <w:p w:rsidR="005F7EB2" w:rsidRPr="00E87DC1" w:rsidRDefault="005F7EB2" w:rsidP="00A4038B">
            <w:pPr>
              <w:rPr>
                <w:lang w:val="en-US"/>
              </w:rPr>
            </w:pPr>
            <w:r w:rsidRPr="00E87DC1">
              <w:rPr>
                <w:lang w:val="en-US"/>
              </w:rPr>
              <w:t>high volatility,</w:t>
            </w:r>
            <w:r w:rsidRPr="00E87DC1">
              <w:rPr>
                <w:lang w:val="en-US"/>
              </w:rPr>
              <w:br/>
              <w:t>HI=1</w:t>
            </w:r>
            <w:r w:rsidRPr="00E87DC1">
              <w:rPr>
                <w:lang w:val="en-US"/>
              </w:rPr>
              <w:br/>
            </w:r>
          </w:p>
          <w:p w:rsidR="005F7EB2" w:rsidRPr="00E87DC1" w:rsidRDefault="005F7EB2" w:rsidP="00A4038B">
            <w:pPr>
              <w:rPr>
                <w:lang w:val="en-US"/>
              </w:rPr>
            </w:pPr>
          </w:p>
        </w:tc>
        <w:tc>
          <w:tcPr>
            <w:tcW w:w="2702" w:type="dxa"/>
          </w:tcPr>
          <w:p w:rsidR="005F7EB2" w:rsidRPr="00E87DC1" w:rsidRDefault="005F7EB2" w:rsidP="00A4038B">
            <w:pPr>
              <w:rPr>
                <w:lang w:val="en-US"/>
              </w:rPr>
            </w:pPr>
          </w:p>
          <w:p w:rsidR="005F7EB2" w:rsidRPr="00E87DC1" w:rsidRDefault="005F7EB2" w:rsidP="00A4038B">
            <w:pPr>
              <w:rPr>
                <w:lang w:val="en-US"/>
              </w:rPr>
            </w:pPr>
            <w:r w:rsidRPr="00E87DC1">
              <w:object w:dxaOrig="3361" w:dyaOrig="1006">
                <v:shape id="_x0000_i1033" type="#_x0000_t75" style="width:124.9pt;height:37.9pt" o:ole="">
                  <v:imagedata r:id="rId30" o:title=""/>
                </v:shape>
                <o:OLEObject Type="Embed" ProgID="ACD.ChemSketch.20" ShapeID="_x0000_i1033" DrawAspect="Content" ObjectID="_1647166178" r:id="rId31"/>
              </w:object>
            </w:r>
            <w:r w:rsidRPr="00E87DC1">
              <w:rPr>
                <w:lang w:val="en-US"/>
              </w:rPr>
              <w:br/>
            </w:r>
          </w:p>
          <w:p w:rsidR="005F7EB2" w:rsidRPr="00E87DC1" w:rsidRDefault="005F7EB2" w:rsidP="00A4038B">
            <w:pPr>
              <w:rPr>
                <w:lang w:val="en-US"/>
              </w:rPr>
            </w:pPr>
          </w:p>
          <w:p w:rsidR="005F7EB2" w:rsidRPr="00E87DC1" w:rsidRDefault="005F7EB2" w:rsidP="00A4038B">
            <w:pPr>
              <w:rPr>
                <w:lang w:val="en-US"/>
              </w:rPr>
            </w:pPr>
            <w:r w:rsidRPr="00E87DC1">
              <w:rPr>
                <w:lang w:val="en-US"/>
              </w:rPr>
              <w:t>EHA, CAS 103-11-7, moderate volatility,</w:t>
            </w:r>
            <w:r w:rsidRPr="00E87DC1">
              <w:rPr>
                <w:lang w:val="en-US"/>
              </w:rPr>
              <w:br/>
              <w:t>HI=0.11</w:t>
            </w:r>
          </w:p>
          <w:p w:rsidR="005F7EB2" w:rsidRPr="00E87DC1" w:rsidRDefault="005F7EB2" w:rsidP="00A4038B">
            <w:pPr>
              <w:rPr>
                <w:lang w:val="en-US"/>
              </w:rPr>
            </w:pPr>
          </w:p>
        </w:tc>
      </w:tr>
      <w:tr w:rsidR="005F7EB2" w:rsidRPr="00E87DC1" w:rsidTr="00A4038B">
        <w:tc>
          <w:tcPr>
            <w:tcW w:w="1844" w:type="dxa"/>
            <w:vMerge/>
          </w:tcPr>
          <w:p w:rsidR="005F7EB2" w:rsidRPr="00E87DC1" w:rsidRDefault="005F7EB2" w:rsidP="00A4038B">
            <w:pPr>
              <w:rPr>
                <w:lang w:val="en-US"/>
              </w:rPr>
            </w:pPr>
          </w:p>
        </w:tc>
        <w:tc>
          <w:tcPr>
            <w:tcW w:w="2537" w:type="dxa"/>
          </w:tcPr>
          <w:p w:rsidR="005F7EB2" w:rsidRPr="00E87DC1" w:rsidRDefault="005F7EB2" w:rsidP="00A4038B">
            <w:pPr>
              <w:pStyle w:val="substance-display-attributes"/>
              <w:rPr>
                <w:strike/>
                <w:lang w:val="en-US"/>
              </w:rPr>
            </w:pPr>
          </w:p>
        </w:tc>
        <w:tc>
          <w:tcPr>
            <w:tcW w:w="2982" w:type="dxa"/>
          </w:tcPr>
          <w:p w:rsidR="005F7EB2" w:rsidRPr="00E87DC1" w:rsidRDefault="005F7EB2" w:rsidP="00A4038B">
            <w:pPr>
              <w:rPr>
                <w:lang w:val="en-US"/>
              </w:rPr>
            </w:pPr>
          </w:p>
          <w:p w:rsidR="005F7EB2" w:rsidRPr="00E87DC1" w:rsidRDefault="005F7EB2" w:rsidP="00A4038B">
            <w:r w:rsidRPr="00E87DC1">
              <w:object w:dxaOrig="3406" w:dyaOrig="751">
                <v:shape id="_x0000_i1034" type="#_x0000_t75" style="width:136.9pt;height:31.9pt" o:ole="">
                  <v:imagedata r:id="rId32" o:title=""/>
                </v:shape>
                <o:OLEObject Type="Embed" ProgID="ACD.ChemSketch.20" ShapeID="_x0000_i1034" DrawAspect="Content" ObjectID="_1647166179" r:id="rId33"/>
              </w:object>
            </w:r>
          </w:p>
          <w:p w:rsidR="005F7EB2" w:rsidRPr="00E87DC1" w:rsidRDefault="005F7EB2" w:rsidP="00A4038B"/>
          <w:p w:rsidR="005F7EB2" w:rsidRPr="00E87DC1" w:rsidRDefault="005F7EB2" w:rsidP="00A4038B">
            <w:pPr>
              <w:rPr>
                <w:lang w:val="en-US"/>
              </w:rPr>
            </w:pPr>
            <w:r w:rsidRPr="00E87DC1">
              <w:rPr>
                <w:lang w:val="en-US"/>
              </w:rPr>
              <w:t xml:space="preserve">TREGDMA, CAS 109-16-0, </w:t>
            </w:r>
            <w:r w:rsidRPr="00E87DC1">
              <w:rPr>
                <w:lang w:val="en-US"/>
              </w:rPr>
              <w:br/>
              <w:t>low volatility,</w:t>
            </w:r>
            <w:r w:rsidRPr="00E87DC1">
              <w:rPr>
                <w:lang w:val="en-US"/>
              </w:rPr>
              <w:br/>
              <w:t>HI=1</w:t>
            </w:r>
          </w:p>
        </w:tc>
        <w:tc>
          <w:tcPr>
            <w:tcW w:w="2702" w:type="dxa"/>
          </w:tcPr>
          <w:p w:rsidR="005F7EB2" w:rsidRPr="00E87DC1" w:rsidRDefault="005F7EB2" w:rsidP="00A4038B">
            <w:pPr>
              <w:rPr>
                <w:lang w:val="en-US"/>
              </w:rPr>
            </w:pPr>
          </w:p>
          <w:p w:rsidR="005F7EB2" w:rsidRPr="00E87DC1" w:rsidRDefault="005F7EB2" w:rsidP="00A4038B">
            <w:r w:rsidRPr="00E87DC1">
              <w:object w:dxaOrig="2281" w:dyaOrig="721">
                <v:shape id="_x0000_i1035" type="#_x0000_t75" style="width:114pt;height:36.75pt" o:ole="">
                  <v:imagedata r:id="rId34" o:title=""/>
                </v:shape>
                <o:OLEObject Type="Embed" ProgID="ACD.ChemSketch.20" ShapeID="_x0000_i1035" DrawAspect="Content" ObjectID="_1647166180" r:id="rId35"/>
              </w:object>
            </w:r>
          </w:p>
          <w:p w:rsidR="005F7EB2" w:rsidRPr="00E87DC1" w:rsidRDefault="005F7EB2" w:rsidP="00A4038B">
            <w:pPr>
              <w:rPr>
                <w:lang w:val="en-US"/>
              </w:rPr>
            </w:pPr>
          </w:p>
          <w:p w:rsidR="005F7EB2" w:rsidRPr="00E87DC1" w:rsidRDefault="005F7EB2" w:rsidP="00A4038B">
            <w:pPr>
              <w:rPr>
                <w:lang w:val="en-US"/>
              </w:rPr>
            </w:pPr>
            <w:r w:rsidRPr="00E87DC1">
              <w:rPr>
                <w:lang w:val="en-US"/>
              </w:rPr>
              <w:t>DEGDA, CAS 4074-88-8, low volatility,</w:t>
            </w:r>
            <w:r w:rsidRPr="00E87DC1">
              <w:rPr>
                <w:lang w:val="en-US"/>
              </w:rPr>
              <w:br/>
              <w:t>HI=0.26</w:t>
            </w:r>
          </w:p>
        </w:tc>
      </w:tr>
    </w:tbl>
    <w:p w:rsidR="005F7EB2" w:rsidRPr="00E87DC1" w:rsidRDefault="005F7EB2" w:rsidP="008F584C">
      <w:pPr>
        <w:rPr>
          <w:rFonts w:cstheme="minorHAnsi"/>
          <w:lang w:val="en-US"/>
        </w:rPr>
      </w:pPr>
      <w:r w:rsidRPr="00E87DC1">
        <w:lastRenderedPageBreak/>
        <w:t xml:space="preserve">ECA=Ethyl cyanoacrylate, 2-HEMA=2-hydroxyethyl methacrylate, BA=Butylacrylate, MCA=methyl cyanoacrylate, MMA=methyl methacrylate; EHA=ethyl hexylacrylate, TREGDMA=trietyleneglycol-dimethacrylate; DEGDA=diethyleneglycol-diacrylate; HI=Hazard index, based on the model by Jarvis </w:t>
      </w:r>
      <w:r w:rsidRPr="00E87DC1">
        <w:rPr>
          <w:i/>
        </w:rPr>
        <w:t>et al.</w:t>
      </w:r>
      <w:r w:rsidR="007C77E5" w:rsidRPr="00E87DC1">
        <w:rPr>
          <w:rFonts w:cstheme="minorHAnsi"/>
        </w:rPr>
        <w:t xml:space="preserve"> </w:t>
      </w:r>
      <w:r w:rsidR="007C77E5" w:rsidRPr="00E87DC1">
        <w:rPr>
          <w:rFonts w:cstheme="minorHAnsi"/>
          <w:lang w:val="en-US"/>
        </w:rPr>
        <w:t>(</w:t>
      </w:r>
      <w:r w:rsidRPr="00E87DC1">
        <w:rPr>
          <w:rFonts w:cstheme="minorHAnsi"/>
          <w:lang w:val="en-US"/>
        </w:rPr>
        <w:t>25</w:t>
      </w:r>
      <w:r w:rsidR="007C77E5" w:rsidRPr="00E87DC1">
        <w:rPr>
          <w:rFonts w:cstheme="minorHAnsi"/>
          <w:lang w:val="en-US"/>
        </w:rPr>
        <w:t>).</w:t>
      </w:r>
    </w:p>
    <w:p w:rsidR="005F7EB2" w:rsidRPr="00E87DC1" w:rsidRDefault="005F7EB2">
      <w:pPr>
        <w:rPr>
          <w:rFonts w:cstheme="minorHAnsi"/>
          <w:lang w:val="en-US"/>
        </w:rPr>
      </w:pPr>
    </w:p>
    <w:p w:rsidR="005F7EB2" w:rsidRPr="00E87DC1" w:rsidRDefault="005F7EB2">
      <w:pPr>
        <w:rPr>
          <w:b/>
          <w:lang w:val="en-US"/>
        </w:rPr>
      </w:pPr>
      <w:r w:rsidRPr="00E87DC1">
        <w:rPr>
          <w:b/>
          <w:lang w:val="en-US"/>
        </w:rPr>
        <w:br w:type="page"/>
      </w:r>
    </w:p>
    <w:p w:rsidR="005F7EB2" w:rsidRPr="00E87DC1" w:rsidRDefault="005F7EB2" w:rsidP="008F584C">
      <w:pPr>
        <w:rPr>
          <w:b/>
          <w:lang w:val="en-US"/>
        </w:rPr>
      </w:pPr>
      <w:r w:rsidRPr="00E87DC1">
        <w:rPr>
          <w:b/>
          <w:lang w:val="en-US"/>
        </w:rPr>
        <w:lastRenderedPageBreak/>
        <w:t>T</w:t>
      </w:r>
      <w:r w:rsidR="008F584C" w:rsidRPr="00E87DC1">
        <w:rPr>
          <w:b/>
          <w:lang w:val="en-US"/>
        </w:rPr>
        <w:t>ABLE II.</w:t>
      </w:r>
      <w:r w:rsidRPr="00E87DC1">
        <w:rPr>
          <w:b/>
          <w:lang w:val="en-US"/>
        </w:rPr>
        <w:t xml:space="preserve"> Exposures and jobs of patients with occupational asthma caused by acrylates</w:t>
      </w:r>
    </w:p>
    <w:tbl>
      <w:tblPr>
        <w:tblStyle w:val="TableGrid"/>
        <w:tblW w:w="10064" w:type="dxa"/>
        <w:tblInd w:w="-572" w:type="dxa"/>
        <w:tblLook w:val="04A0" w:firstRow="1" w:lastRow="0" w:firstColumn="1" w:lastColumn="0" w:noHBand="0" w:noVBand="1"/>
      </w:tblPr>
      <w:tblGrid>
        <w:gridCol w:w="2268"/>
        <w:gridCol w:w="3402"/>
        <w:gridCol w:w="2268"/>
        <w:gridCol w:w="2126"/>
      </w:tblGrid>
      <w:tr w:rsidR="005F7EB2" w:rsidRPr="00E87DC1" w:rsidTr="00A4038B">
        <w:tc>
          <w:tcPr>
            <w:tcW w:w="2268" w:type="dxa"/>
          </w:tcPr>
          <w:p w:rsidR="005F7EB2" w:rsidRPr="00E87DC1" w:rsidRDefault="005F7EB2" w:rsidP="00A4038B">
            <w:pPr>
              <w:rPr>
                <w:b/>
                <w:lang w:val="en-US"/>
              </w:rPr>
            </w:pPr>
            <w:r w:rsidRPr="00E87DC1">
              <w:rPr>
                <w:b/>
                <w:lang w:val="en-US"/>
              </w:rPr>
              <w:t>Profession/branch (n)</w:t>
            </w:r>
          </w:p>
          <w:p w:rsidR="005F7EB2" w:rsidRPr="00E87DC1" w:rsidRDefault="005F7EB2" w:rsidP="00A4038B">
            <w:pPr>
              <w:rPr>
                <w:b/>
                <w:lang w:val="en-US"/>
              </w:rPr>
            </w:pPr>
          </w:p>
        </w:tc>
        <w:tc>
          <w:tcPr>
            <w:tcW w:w="3402" w:type="dxa"/>
          </w:tcPr>
          <w:p w:rsidR="005F7EB2" w:rsidRPr="00E87DC1" w:rsidRDefault="005F7EB2" w:rsidP="00A4038B">
            <w:pPr>
              <w:rPr>
                <w:b/>
                <w:lang w:val="en-US"/>
              </w:rPr>
            </w:pPr>
            <w:r w:rsidRPr="00E87DC1">
              <w:rPr>
                <w:b/>
                <w:lang w:val="en-US"/>
              </w:rPr>
              <w:t>Work tasks</w:t>
            </w:r>
          </w:p>
        </w:tc>
        <w:tc>
          <w:tcPr>
            <w:tcW w:w="2268" w:type="dxa"/>
          </w:tcPr>
          <w:p w:rsidR="005F7EB2" w:rsidRPr="00E87DC1" w:rsidRDefault="005F7EB2" w:rsidP="00A4038B">
            <w:pPr>
              <w:rPr>
                <w:b/>
                <w:lang w:val="en-US"/>
              </w:rPr>
            </w:pPr>
            <w:r w:rsidRPr="00E87DC1">
              <w:rPr>
                <w:b/>
                <w:lang w:val="en-US"/>
              </w:rPr>
              <w:t>Product types</w:t>
            </w:r>
          </w:p>
        </w:tc>
        <w:tc>
          <w:tcPr>
            <w:tcW w:w="2126" w:type="dxa"/>
          </w:tcPr>
          <w:p w:rsidR="005F7EB2" w:rsidRPr="00E87DC1" w:rsidRDefault="005F7EB2" w:rsidP="00A4038B">
            <w:pPr>
              <w:rPr>
                <w:b/>
                <w:lang w:val="en-US"/>
              </w:rPr>
            </w:pPr>
            <w:r w:rsidRPr="00E87DC1">
              <w:rPr>
                <w:b/>
                <w:lang w:val="en-US"/>
              </w:rPr>
              <w:t>Type of acrylates used (n)</w:t>
            </w:r>
          </w:p>
        </w:tc>
      </w:tr>
      <w:tr w:rsidR="005F7EB2" w:rsidRPr="00E87DC1" w:rsidTr="00A4038B">
        <w:tc>
          <w:tcPr>
            <w:tcW w:w="10064" w:type="dxa"/>
            <w:gridSpan w:val="4"/>
          </w:tcPr>
          <w:p w:rsidR="005F7EB2" w:rsidRPr="00E87DC1" w:rsidRDefault="005F7EB2" w:rsidP="00A4038B">
            <w:pPr>
              <w:rPr>
                <w:b/>
                <w:lang w:val="en-US"/>
              </w:rPr>
            </w:pPr>
            <w:r w:rsidRPr="00E87DC1">
              <w:rPr>
                <w:b/>
                <w:lang w:val="en-US"/>
              </w:rPr>
              <w:t>Industrial manufacturing (29)</w:t>
            </w:r>
          </w:p>
        </w:tc>
      </w:tr>
      <w:tr w:rsidR="005F7EB2" w:rsidRPr="00E87DC1" w:rsidTr="00A4038B">
        <w:tc>
          <w:tcPr>
            <w:tcW w:w="2268" w:type="dxa"/>
          </w:tcPr>
          <w:p w:rsidR="005F7EB2" w:rsidRPr="00E87DC1" w:rsidRDefault="005F7EB2" w:rsidP="00A4038B">
            <w:pPr>
              <w:rPr>
                <w:lang w:val="en-US"/>
              </w:rPr>
            </w:pPr>
            <w:r w:rsidRPr="00E87DC1">
              <w:rPr>
                <w:lang w:val="en-US"/>
              </w:rPr>
              <w:t xml:space="preserve">Manufacturing workers (11) </w:t>
            </w:r>
          </w:p>
        </w:tc>
        <w:tc>
          <w:tcPr>
            <w:tcW w:w="3402" w:type="dxa"/>
          </w:tcPr>
          <w:p w:rsidR="005F7EB2" w:rsidRPr="00E87DC1" w:rsidRDefault="005F7EB2" w:rsidP="00A4038B">
            <w:pPr>
              <w:rPr>
                <w:lang w:val="en-US"/>
              </w:rPr>
            </w:pPr>
            <w:r w:rsidRPr="00E87DC1">
              <w:rPr>
                <w:lang w:val="en-US"/>
              </w:rPr>
              <w:t>- painting, fixing and gluing to make objects (</w:t>
            </w:r>
            <w:proofErr w:type="spellStart"/>
            <w:r w:rsidRPr="00E87DC1">
              <w:rPr>
                <w:lang w:val="en-US"/>
              </w:rPr>
              <w:t>eg.</w:t>
            </w:r>
            <w:proofErr w:type="spellEnd"/>
            <w:r w:rsidRPr="00E87DC1">
              <w:rPr>
                <w:lang w:val="en-US"/>
              </w:rPr>
              <w:t xml:space="preserve"> </w:t>
            </w:r>
            <w:proofErr w:type="spellStart"/>
            <w:r w:rsidRPr="00E87DC1">
              <w:rPr>
                <w:lang w:val="en-US"/>
              </w:rPr>
              <w:t>tyres</w:t>
            </w:r>
            <w:proofErr w:type="spellEnd"/>
            <w:r w:rsidRPr="00E87DC1">
              <w:rPr>
                <w:lang w:val="en-US"/>
              </w:rPr>
              <w:t>, infusion sets, jewelry, plastic elements)</w:t>
            </w:r>
          </w:p>
          <w:p w:rsidR="005F7EB2" w:rsidRPr="00E87DC1" w:rsidRDefault="005F7EB2" w:rsidP="00A4038B">
            <w:pPr>
              <w:rPr>
                <w:lang w:val="en-US"/>
              </w:rPr>
            </w:pPr>
            <w:r w:rsidRPr="00E87DC1">
              <w:rPr>
                <w:lang w:val="en-US"/>
              </w:rPr>
              <w:t>- laminating</w:t>
            </w:r>
          </w:p>
        </w:tc>
        <w:tc>
          <w:tcPr>
            <w:tcW w:w="2268" w:type="dxa"/>
          </w:tcPr>
          <w:p w:rsidR="005F7EB2" w:rsidRPr="00E87DC1" w:rsidRDefault="005F7EB2" w:rsidP="00A4038B">
            <w:pPr>
              <w:rPr>
                <w:lang w:val="en-US"/>
              </w:rPr>
            </w:pPr>
            <w:r w:rsidRPr="00E87DC1">
              <w:rPr>
                <w:lang w:val="en-US"/>
              </w:rPr>
              <w:t>-glues</w:t>
            </w:r>
          </w:p>
          <w:p w:rsidR="005F7EB2" w:rsidRPr="00E87DC1" w:rsidRDefault="005F7EB2" w:rsidP="00A4038B">
            <w:pPr>
              <w:rPr>
                <w:lang w:val="en-US"/>
              </w:rPr>
            </w:pPr>
            <w:r w:rsidRPr="00E87DC1">
              <w:rPr>
                <w:lang w:val="en-US"/>
              </w:rPr>
              <w:t>-paints</w:t>
            </w:r>
          </w:p>
          <w:p w:rsidR="005F7EB2" w:rsidRPr="00E87DC1" w:rsidRDefault="005F7EB2" w:rsidP="00A4038B">
            <w:pPr>
              <w:rPr>
                <w:lang w:val="en-US"/>
              </w:rPr>
            </w:pPr>
            <w:r w:rsidRPr="00E87DC1">
              <w:rPr>
                <w:lang w:val="en-US"/>
              </w:rPr>
              <w:t>-molding and laminating resins</w:t>
            </w:r>
          </w:p>
        </w:tc>
        <w:tc>
          <w:tcPr>
            <w:tcW w:w="2126" w:type="dxa"/>
          </w:tcPr>
          <w:p w:rsidR="005F7EB2" w:rsidRPr="00E87DC1" w:rsidRDefault="005F7EB2" w:rsidP="00A4038B">
            <w:pPr>
              <w:rPr>
                <w:lang w:val="en-US"/>
              </w:rPr>
            </w:pPr>
            <w:r w:rsidRPr="00E87DC1">
              <w:rPr>
                <w:lang w:val="en-US"/>
              </w:rPr>
              <w:t>cyanoacrylates (8)</w:t>
            </w:r>
          </w:p>
          <w:p w:rsidR="005F7EB2" w:rsidRPr="00E87DC1" w:rsidRDefault="005F7EB2" w:rsidP="00A4038B">
            <w:pPr>
              <w:rPr>
                <w:lang w:val="en-US"/>
              </w:rPr>
            </w:pPr>
            <w:proofErr w:type="spellStart"/>
            <w:r w:rsidRPr="00E87DC1">
              <w:rPr>
                <w:lang w:val="en-US"/>
              </w:rPr>
              <w:t>methacrylates</w:t>
            </w:r>
            <w:proofErr w:type="spellEnd"/>
            <w:r w:rsidRPr="00E87DC1">
              <w:rPr>
                <w:lang w:val="en-US"/>
              </w:rPr>
              <w:t xml:space="preserve"> (3)</w:t>
            </w:r>
          </w:p>
          <w:p w:rsidR="005F7EB2" w:rsidRPr="00E87DC1" w:rsidRDefault="005F7EB2" w:rsidP="00A4038B">
            <w:pPr>
              <w:rPr>
                <w:lang w:val="en-US"/>
              </w:rPr>
            </w:pPr>
          </w:p>
        </w:tc>
      </w:tr>
      <w:tr w:rsidR="005F7EB2" w:rsidRPr="00E87DC1" w:rsidTr="00A4038B">
        <w:tc>
          <w:tcPr>
            <w:tcW w:w="2268" w:type="dxa"/>
          </w:tcPr>
          <w:p w:rsidR="005F7EB2" w:rsidRPr="00E87DC1" w:rsidRDefault="005F7EB2" w:rsidP="00A4038B">
            <w:pPr>
              <w:rPr>
                <w:lang w:val="en-US"/>
              </w:rPr>
            </w:pPr>
            <w:r w:rsidRPr="00E87DC1">
              <w:rPr>
                <w:lang w:val="en-US"/>
              </w:rPr>
              <w:t>Assemblers or mechanics (8)</w:t>
            </w:r>
          </w:p>
        </w:tc>
        <w:tc>
          <w:tcPr>
            <w:tcW w:w="3402" w:type="dxa"/>
          </w:tcPr>
          <w:p w:rsidR="005F7EB2" w:rsidRPr="00E87DC1" w:rsidRDefault="005F7EB2" w:rsidP="00A4038B">
            <w:pPr>
              <w:rPr>
                <w:lang w:val="en-US"/>
              </w:rPr>
            </w:pPr>
            <w:r w:rsidRPr="00E87DC1">
              <w:rPr>
                <w:lang w:val="en-US"/>
              </w:rPr>
              <w:t>- electronic and industrial assembly tasks</w:t>
            </w:r>
          </w:p>
        </w:tc>
        <w:tc>
          <w:tcPr>
            <w:tcW w:w="2268" w:type="dxa"/>
          </w:tcPr>
          <w:p w:rsidR="005F7EB2" w:rsidRPr="00E87DC1" w:rsidRDefault="005F7EB2" w:rsidP="00A4038B">
            <w:pPr>
              <w:rPr>
                <w:lang w:val="en-US"/>
              </w:rPr>
            </w:pPr>
            <w:r w:rsidRPr="00E87DC1">
              <w:rPr>
                <w:lang w:val="en-US"/>
              </w:rPr>
              <w:t>-glues</w:t>
            </w:r>
          </w:p>
        </w:tc>
        <w:tc>
          <w:tcPr>
            <w:tcW w:w="2126" w:type="dxa"/>
          </w:tcPr>
          <w:p w:rsidR="005F7EB2" w:rsidRPr="00E87DC1" w:rsidRDefault="005F7EB2" w:rsidP="00A4038B">
            <w:pPr>
              <w:rPr>
                <w:lang w:val="en-US"/>
              </w:rPr>
            </w:pPr>
            <w:r w:rsidRPr="00E87DC1">
              <w:rPr>
                <w:lang w:val="en-US"/>
              </w:rPr>
              <w:t>cyanoacrylates (7)</w:t>
            </w:r>
          </w:p>
          <w:p w:rsidR="005F7EB2" w:rsidRPr="00E87DC1" w:rsidRDefault="005F7EB2" w:rsidP="00A4038B">
            <w:pPr>
              <w:rPr>
                <w:lang w:val="en-US"/>
              </w:rPr>
            </w:pPr>
            <w:proofErr w:type="spellStart"/>
            <w:r w:rsidRPr="00E87DC1">
              <w:rPr>
                <w:lang w:val="en-US"/>
              </w:rPr>
              <w:t>methacrylates</w:t>
            </w:r>
            <w:proofErr w:type="spellEnd"/>
            <w:r w:rsidRPr="00E87DC1">
              <w:rPr>
                <w:lang w:val="en-US"/>
              </w:rPr>
              <w:t xml:space="preserve"> (1)</w:t>
            </w:r>
          </w:p>
        </w:tc>
      </w:tr>
      <w:tr w:rsidR="005F7EB2" w:rsidRPr="00E87DC1" w:rsidTr="00A4038B">
        <w:tc>
          <w:tcPr>
            <w:tcW w:w="2268" w:type="dxa"/>
          </w:tcPr>
          <w:p w:rsidR="005F7EB2" w:rsidRPr="00E87DC1" w:rsidRDefault="005F7EB2" w:rsidP="00A4038B">
            <w:pPr>
              <w:rPr>
                <w:lang w:val="en-US"/>
              </w:rPr>
            </w:pPr>
            <w:r w:rsidRPr="00E87DC1">
              <w:rPr>
                <w:lang w:val="en-US"/>
              </w:rPr>
              <w:t xml:space="preserve">Maintenance workers (4) </w:t>
            </w:r>
          </w:p>
        </w:tc>
        <w:tc>
          <w:tcPr>
            <w:tcW w:w="3402" w:type="dxa"/>
          </w:tcPr>
          <w:p w:rsidR="005F7EB2" w:rsidRPr="00E87DC1" w:rsidRDefault="005F7EB2" w:rsidP="00A4038B">
            <w:pPr>
              <w:rPr>
                <w:lang w:val="en-US"/>
              </w:rPr>
            </w:pPr>
            <w:r w:rsidRPr="00E87DC1">
              <w:rPr>
                <w:lang w:val="en-US"/>
              </w:rPr>
              <w:t>-maintenance of industrial machines</w:t>
            </w:r>
          </w:p>
        </w:tc>
        <w:tc>
          <w:tcPr>
            <w:tcW w:w="2268" w:type="dxa"/>
          </w:tcPr>
          <w:p w:rsidR="005F7EB2" w:rsidRPr="00E87DC1" w:rsidRDefault="005F7EB2" w:rsidP="00A4038B">
            <w:pPr>
              <w:rPr>
                <w:lang w:val="en-US"/>
              </w:rPr>
            </w:pPr>
            <w:r w:rsidRPr="00E87DC1">
              <w:rPr>
                <w:lang w:val="en-US"/>
              </w:rPr>
              <w:t>-glues</w:t>
            </w:r>
          </w:p>
        </w:tc>
        <w:tc>
          <w:tcPr>
            <w:tcW w:w="2126" w:type="dxa"/>
          </w:tcPr>
          <w:p w:rsidR="005F7EB2" w:rsidRPr="00E87DC1" w:rsidRDefault="005F7EB2" w:rsidP="00A4038B">
            <w:pPr>
              <w:rPr>
                <w:lang w:val="en-US"/>
              </w:rPr>
            </w:pPr>
            <w:r w:rsidRPr="00E87DC1">
              <w:rPr>
                <w:lang w:val="en-US"/>
              </w:rPr>
              <w:t xml:space="preserve">cyanoacrylates (1) </w:t>
            </w:r>
            <w:proofErr w:type="spellStart"/>
            <w:r w:rsidRPr="00E87DC1">
              <w:rPr>
                <w:lang w:val="en-US"/>
              </w:rPr>
              <w:t>methacrylates</w:t>
            </w:r>
            <w:proofErr w:type="spellEnd"/>
            <w:r w:rsidRPr="00E87DC1">
              <w:rPr>
                <w:lang w:val="en-US"/>
              </w:rPr>
              <w:t xml:space="preserve"> (3)</w:t>
            </w:r>
          </w:p>
        </w:tc>
      </w:tr>
      <w:tr w:rsidR="005F7EB2" w:rsidRPr="00E87DC1" w:rsidTr="00A4038B">
        <w:trPr>
          <w:trHeight w:val="505"/>
        </w:trPr>
        <w:tc>
          <w:tcPr>
            <w:tcW w:w="2268" w:type="dxa"/>
          </w:tcPr>
          <w:p w:rsidR="005F7EB2" w:rsidRPr="00E87DC1" w:rsidRDefault="005F7EB2" w:rsidP="00A4038B">
            <w:pPr>
              <w:rPr>
                <w:lang w:val="en-US"/>
              </w:rPr>
            </w:pPr>
            <w:r w:rsidRPr="00E87DC1">
              <w:rPr>
                <w:lang w:val="en-US"/>
              </w:rPr>
              <w:t>Painters (3)</w:t>
            </w:r>
          </w:p>
        </w:tc>
        <w:tc>
          <w:tcPr>
            <w:tcW w:w="3402" w:type="dxa"/>
          </w:tcPr>
          <w:p w:rsidR="005F7EB2" w:rsidRPr="00E87DC1" w:rsidRDefault="005F7EB2" w:rsidP="00A4038B">
            <w:pPr>
              <w:rPr>
                <w:lang w:val="en-US"/>
              </w:rPr>
            </w:pPr>
            <w:r w:rsidRPr="00E87DC1">
              <w:rPr>
                <w:lang w:val="en-US"/>
              </w:rPr>
              <w:t>-spray painting cars</w:t>
            </w:r>
          </w:p>
        </w:tc>
        <w:tc>
          <w:tcPr>
            <w:tcW w:w="2268" w:type="dxa"/>
          </w:tcPr>
          <w:p w:rsidR="005F7EB2" w:rsidRPr="00E87DC1" w:rsidRDefault="005F7EB2" w:rsidP="00A4038B">
            <w:pPr>
              <w:rPr>
                <w:lang w:val="en-US"/>
              </w:rPr>
            </w:pPr>
            <w:r w:rsidRPr="00E87DC1">
              <w:rPr>
                <w:lang w:val="en-US"/>
              </w:rPr>
              <w:t>-spray paints</w:t>
            </w:r>
          </w:p>
        </w:tc>
        <w:tc>
          <w:tcPr>
            <w:tcW w:w="2126" w:type="dxa"/>
          </w:tcPr>
          <w:p w:rsidR="005F7EB2" w:rsidRPr="00E87DC1" w:rsidRDefault="005F7EB2" w:rsidP="00A4038B">
            <w:pPr>
              <w:rPr>
                <w:lang w:val="en-US"/>
              </w:rPr>
            </w:pPr>
            <w:r w:rsidRPr="00E87DC1">
              <w:rPr>
                <w:lang w:val="en-US"/>
              </w:rPr>
              <w:t>cyanoacrylates (2)</w:t>
            </w:r>
          </w:p>
          <w:p w:rsidR="005F7EB2" w:rsidRPr="00E87DC1" w:rsidRDefault="005F7EB2" w:rsidP="00A4038B">
            <w:pPr>
              <w:rPr>
                <w:lang w:val="en-US"/>
              </w:rPr>
            </w:pPr>
            <w:r w:rsidRPr="00E87DC1">
              <w:rPr>
                <w:lang w:val="en-US"/>
              </w:rPr>
              <w:t>plain acrylates (1)</w:t>
            </w:r>
          </w:p>
        </w:tc>
      </w:tr>
      <w:tr w:rsidR="005F7EB2" w:rsidRPr="00E87DC1" w:rsidTr="00A4038B">
        <w:tc>
          <w:tcPr>
            <w:tcW w:w="2268" w:type="dxa"/>
          </w:tcPr>
          <w:p w:rsidR="005F7EB2" w:rsidRPr="00E87DC1" w:rsidRDefault="005F7EB2" w:rsidP="00A4038B">
            <w:pPr>
              <w:rPr>
                <w:lang w:val="en-US"/>
              </w:rPr>
            </w:pPr>
            <w:r w:rsidRPr="00E87DC1">
              <w:rPr>
                <w:lang w:val="en-US"/>
              </w:rPr>
              <w:t>Other (3)</w:t>
            </w:r>
          </w:p>
          <w:p w:rsidR="005F7EB2" w:rsidRPr="00E87DC1" w:rsidRDefault="005F7EB2" w:rsidP="00A4038B">
            <w:pPr>
              <w:rPr>
                <w:lang w:val="en-US"/>
              </w:rPr>
            </w:pPr>
          </w:p>
        </w:tc>
        <w:tc>
          <w:tcPr>
            <w:tcW w:w="3402" w:type="dxa"/>
          </w:tcPr>
          <w:p w:rsidR="005F7EB2" w:rsidRPr="00E87DC1" w:rsidRDefault="005F7EB2" w:rsidP="00A4038B">
            <w:pPr>
              <w:rPr>
                <w:lang w:val="en-US"/>
              </w:rPr>
            </w:pPr>
            <w:r w:rsidRPr="00E87DC1">
              <w:rPr>
                <w:lang w:val="en-US"/>
              </w:rPr>
              <w:t>- pouring ink into machine</w:t>
            </w:r>
          </w:p>
          <w:p w:rsidR="005F7EB2" w:rsidRPr="00E87DC1" w:rsidRDefault="005F7EB2" w:rsidP="00A4038B">
            <w:pPr>
              <w:rPr>
                <w:lang w:val="en-US"/>
              </w:rPr>
            </w:pPr>
            <w:r w:rsidRPr="00E87DC1">
              <w:rPr>
                <w:lang w:val="en-US"/>
              </w:rPr>
              <w:t>- printing ink</w:t>
            </w:r>
          </w:p>
          <w:p w:rsidR="005F7EB2" w:rsidRPr="00E87DC1" w:rsidRDefault="005F7EB2" w:rsidP="00A4038B">
            <w:pPr>
              <w:rPr>
                <w:lang w:val="en-US"/>
              </w:rPr>
            </w:pPr>
            <w:r w:rsidRPr="00E87DC1">
              <w:rPr>
                <w:lang w:val="en-US"/>
              </w:rPr>
              <w:t>- shoe making and repairing</w:t>
            </w:r>
          </w:p>
        </w:tc>
        <w:tc>
          <w:tcPr>
            <w:tcW w:w="2268" w:type="dxa"/>
          </w:tcPr>
          <w:p w:rsidR="005F7EB2" w:rsidRPr="00E87DC1" w:rsidRDefault="005F7EB2" w:rsidP="00A4038B">
            <w:pPr>
              <w:rPr>
                <w:lang w:val="en-US"/>
              </w:rPr>
            </w:pPr>
            <w:r w:rsidRPr="00E87DC1">
              <w:rPr>
                <w:lang w:val="en-US"/>
              </w:rPr>
              <w:t>-printing inks</w:t>
            </w:r>
          </w:p>
          <w:p w:rsidR="005F7EB2" w:rsidRPr="00E87DC1" w:rsidRDefault="005F7EB2" w:rsidP="00A4038B">
            <w:pPr>
              <w:rPr>
                <w:lang w:val="en-US"/>
              </w:rPr>
            </w:pPr>
            <w:r w:rsidRPr="00E87DC1">
              <w:rPr>
                <w:lang w:val="en-US"/>
              </w:rPr>
              <w:t xml:space="preserve">-glue </w:t>
            </w:r>
          </w:p>
        </w:tc>
        <w:tc>
          <w:tcPr>
            <w:tcW w:w="2126" w:type="dxa"/>
          </w:tcPr>
          <w:p w:rsidR="005F7EB2" w:rsidRPr="00E87DC1" w:rsidRDefault="005F7EB2" w:rsidP="00A4038B">
            <w:pPr>
              <w:rPr>
                <w:lang w:val="en-US"/>
              </w:rPr>
            </w:pPr>
            <w:r w:rsidRPr="00E87DC1">
              <w:rPr>
                <w:lang w:val="en-US"/>
              </w:rPr>
              <w:t>cyanoacrylates (1)</w:t>
            </w:r>
          </w:p>
          <w:p w:rsidR="005F7EB2" w:rsidRPr="00E87DC1" w:rsidRDefault="005F7EB2" w:rsidP="00A4038B">
            <w:pPr>
              <w:rPr>
                <w:lang w:val="en-US"/>
              </w:rPr>
            </w:pPr>
            <w:r w:rsidRPr="00E87DC1">
              <w:rPr>
                <w:lang w:val="en-US"/>
              </w:rPr>
              <w:t>plain acrylates (2)</w:t>
            </w:r>
          </w:p>
        </w:tc>
      </w:tr>
      <w:tr w:rsidR="005F7EB2" w:rsidRPr="00E87DC1" w:rsidTr="00A4038B">
        <w:tc>
          <w:tcPr>
            <w:tcW w:w="10064" w:type="dxa"/>
            <w:gridSpan w:val="4"/>
          </w:tcPr>
          <w:p w:rsidR="005F7EB2" w:rsidRPr="00E87DC1" w:rsidRDefault="005F7EB2" w:rsidP="00A4038B">
            <w:pPr>
              <w:rPr>
                <w:lang w:val="en-US"/>
              </w:rPr>
            </w:pPr>
            <w:r w:rsidRPr="00E87DC1">
              <w:rPr>
                <w:b/>
                <w:lang w:val="en-US"/>
              </w:rPr>
              <w:t>Dental work (14)</w:t>
            </w:r>
          </w:p>
        </w:tc>
      </w:tr>
      <w:tr w:rsidR="005F7EB2" w:rsidRPr="00E87DC1" w:rsidTr="00A4038B">
        <w:trPr>
          <w:trHeight w:val="815"/>
        </w:trPr>
        <w:tc>
          <w:tcPr>
            <w:tcW w:w="2268" w:type="dxa"/>
          </w:tcPr>
          <w:p w:rsidR="005F7EB2" w:rsidRPr="00E87DC1" w:rsidRDefault="005F7EB2" w:rsidP="00A4038B">
            <w:pPr>
              <w:rPr>
                <w:lang w:val="en-US"/>
              </w:rPr>
            </w:pPr>
            <w:r w:rsidRPr="00E87DC1">
              <w:rPr>
                <w:lang w:val="en-US"/>
              </w:rPr>
              <w:t>Dental nurses and dentists (11)</w:t>
            </w:r>
          </w:p>
        </w:tc>
        <w:tc>
          <w:tcPr>
            <w:tcW w:w="3402" w:type="dxa"/>
          </w:tcPr>
          <w:p w:rsidR="005F7EB2" w:rsidRPr="00E87DC1" w:rsidRDefault="005F7EB2" w:rsidP="00A4038B">
            <w:pPr>
              <w:rPr>
                <w:lang w:val="en-US"/>
              </w:rPr>
            </w:pPr>
            <w:r w:rsidRPr="00E87DC1">
              <w:rPr>
                <w:lang w:val="en-US"/>
              </w:rPr>
              <w:t xml:space="preserve">- clinical dental work </w:t>
            </w:r>
          </w:p>
        </w:tc>
        <w:tc>
          <w:tcPr>
            <w:tcW w:w="2268" w:type="dxa"/>
          </w:tcPr>
          <w:p w:rsidR="005F7EB2" w:rsidRPr="00E87DC1" w:rsidRDefault="005F7EB2" w:rsidP="00A4038B">
            <w:pPr>
              <w:rPr>
                <w:lang w:val="en-US"/>
              </w:rPr>
            </w:pPr>
            <w:r w:rsidRPr="00E87DC1">
              <w:rPr>
                <w:lang w:val="en-US"/>
              </w:rPr>
              <w:t>-dental primers, adhesives and fillings</w:t>
            </w:r>
          </w:p>
        </w:tc>
        <w:tc>
          <w:tcPr>
            <w:tcW w:w="2126" w:type="dxa"/>
          </w:tcPr>
          <w:p w:rsidR="005F7EB2" w:rsidRPr="00E87DC1" w:rsidRDefault="005F7EB2" w:rsidP="00A4038B">
            <w:pPr>
              <w:rPr>
                <w:lang w:val="en-US"/>
              </w:rPr>
            </w:pPr>
            <w:proofErr w:type="spellStart"/>
            <w:r w:rsidRPr="00E87DC1">
              <w:rPr>
                <w:lang w:val="en-US"/>
              </w:rPr>
              <w:t>methacrylates</w:t>
            </w:r>
            <w:proofErr w:type="spellEnd"/>
            <w:r w:rsidRPr="00E87DC1">
              <w:rPr>
                <w:lang w:val="en-US"/>
              </w:rPr>
              <w:t xml:space="preserve"> (11)</w:t>
            </w:r>
          </w:p>
          <w:p w:rsidR="005F7EB2" w:rsidRPr="00E87DC1" w:rsidRDefault="005F7EB2" w:rsidP="00A4038B">
            <w:pPr>
              <w:rPr>
                <w:lang w:val="en-US"/>
              </w:rPr>
            </w:pPr>
          </w:p>
        </w:tc>
      </w:tr>
      <w:tr w:rsidR="005F7EB2" w:rsidRPr="00E87DC1" w:rsidTr="00A4038B">
        <w:tc>
          <w:tcPr>
            <w:tcW w:w="2268" w:type="dxa"/>
          </w:tcPr>
          <w:p w:rsidR="005F7EB2" w:rsidRPr="00E87DC1" w:rsidRDefault="005F7EB2" w:rsidP="00A4038B">
            <w:pPr>
              <w:rPr>
                <w:lang w:val="en-US"/>
              </w:rPr>
            </w:pPr>
            <w:r w:rsidRPr="00E87DC1">
              <w:rPr>
                <w:lang w:val="en-US"/>
              </w:rPr>
              <w:t>Dental and medical prosthesis technicians (3)</w:t>
            </w:r>
          </w:p>
        </w:tc>
        <w:tc>
          <w:tcPr>
            <w:tcW w:w="3402" w:type="dxa"/>
          </w:tcPr>
          <w:p w:rsidR="005F7EB2" w:rsidRPr="00E87DC1" w:rsidRDefault="005F7EB2" w:rsidP="00A4038B">
            <w:pPr>
              <w:rPr>
                <w:lang w:val="en-US"/>
              </w:rPr>
            </w:pPr>
            <w:r w:rsidRPr="00E87DC1">
              <w:rPr>
                <w:lang w:val="en-US"/>
              </w:rPr>
              <w:t>-mixing raw materials of prostheses (powder and liquid)</w:t>
            </w:r>
          </w:p>
          <w:p w:rsidR="005F7EB2" w:rsidRPr="00E87DC1" w:rsidRDefault="005F7EB2" w:rsidP="00A4038B">
            <w:pPr>
              <w:rPr>
                <w:lang w:val="en-US"/>
              </w:rPr>
            </w:pPr>
            <w:r w:rsidRPr="00E87DC1">
              <w:rPr>
                <w:lang w:val="en-US"/>
              </w:rPr>
              <w:t xml:space="preserve">-molding and grinding prostheses </w:t>
            </w:r>
          </w:p>
        </w:tc>
        <w:tc>
          <w:tcPr>
            <w:tcW w:w="2268" w:type="dxa"/>
          </w:tcPr>
          <w:p w:rsidR="005F7EB2" w:rsidRPr="00E87DC1" w:rsidRDefault="005F7EB2" w:rsidP="00A4038B">
            <w:pPr>
              <w:rPr>
                <w:lang w:val="en-US"/>
              </w:rPr>
            </w:pPr>
            <w:r w:rsidRPr="00E87DC1">
              <w:rPr>
                <w:lang w:val="en-US"/>
              </w:rPr>
              <w:t>-prothesis powders and liquids</w:t>
            </w:r>
          </w:p>
        </w:tc>
        <w:tc>
          <w:tcPr>
            <w:tcW w:w="2126" w:type="dxa"/>
          </w:tcPr>
          <w:p w:rsidR="005F7EB2" w:rsidRPr="00E87DC1" w:rsidRDefault="005F7EB2" w:rsidP="00A4038B">
            <w:pPr>
              <w:rPr>
                <w:lang w:val="en-US"/>
              </w:rPr>
            </w:pPr>
            <w:proofErr w:type="spellStart"/>
            <w:r w:rsidRPr="00E87DC1">
              <w:rPr>
                <w:lang w:val="en-US"/>
              </w:rPr>
              <w:t>methacrylates</w:t>
            </w:r>
            <w:proofErr w:type="spellEnd"/>
            <w:r w:rsidRPr="00E87DC1">
              <w:rPr>
                <w:lang w:val="en-US"/>
              </w:rPr>
              <w:t xml:space="preserve"> (3) </w:t>
            </w:r>
          </w:p>
        </w:tc>
      </w:tr>
      <w:tr w:rsidR="005F7EB2" w:rsidRPr="00E87DC1" w:rsidTr="00A4038B">
        <w:tc>
          <w:tcPr>
            <w:tcW w:w="10064" w:type="dxa"/>
            <w:gridSpan w:val="4"/>
          </w:tcPr>
          <w:p w:rsidR="005F7EB2" w:rsidRPr="00E87DC1" w:rsidRDefault="005F7EB2" w:rsidP="00A4038B">
            <w:pPr>
              <w:rPr>
                <w:lang w:val="en-US"/>
              </w:rPr>
            </w:pPr>
            <w:r w:rsidRPr="00E87DC1">
              <w:rPr>
                <w:b/>
                <w:lang w:val="en-US"/>
              </w:rPr>
              <w:t>Beauty care (12)</w:t>
            </w:r>
          </w:p>
        </w:tc>
      </w:tr>
      <w:tr w:rsidR="005F7EB2" w:rsidRPr="00E87DC1" w:rsidTr="00A4038B">
        <w:tc>
          <w:tcPr>
            <w:tcW w:w="2268" w:type="dxa"/>
          </w:tcPr>
          <w:p w:rsidR="005F7EB2" w:rsidRPr="00E87DC1" w:rsidRDefault="005F7EB2" w:rsidP="00A4038B">
            <w:pPr>
              <w:rPr>
                <w:lang w:val="en-US"/>
              </w:rPr>
            </w:pPr>
            <w:r w:rsidRPr="00E87DC1">
              <w:rPr>
                <w:lang w:val="en-US"/>
              </w:rPr>
              <w:t>Beauticians (7) hairdressers (5)</w:t>
            </w:r>
          </w:p>
          <w:p w:rsidR="005F7EB2" w:rsidRPr="00E87DC1" w:rsidRDefault="005F7EB2" w:rsidP="00A4038B">
            <w:pPr>
              <w:rPr>
                <w:lang w:val="en-US"/>
              </w:rPr>
            </w:pPr>
          </w:p>
        </w:tc>
        <w:tc>
          <w:tcPr>
            <w:tcW w:w="3402" w:type="dxa"/>
          </w:tcPr>
          <w:p w:rsidR="005F7EB2" w:rsidRPr="00E87DC1" w:rsidRDefault="005F7EB2" w:rsidP="00A4038B">
            <w:pPr>
              <w:rPr>
                <w:lang w:val="en-US"/>
              </w:rPr>
            </w:pPr>
            <w:r w:rsidRPr="00E87DC1">
              <w:rPr>
                <w:lang w:val="en-US"/>
              </w:rPr>
              <w:t xml:space="preserve">-attaching eyelash extensions </w:t>
            </w:r>
          </w:p>
          <w:p w:rsidR="005F7EB2" w:rsidRPr="00E87DC1" w:rsidRDefault="005F7EB2" w:rsidP="00A4038B">
            <w:pPr>
              <w:rPr>
                <w:lang w:val="en-US"/>
              </w:rPr>
            </w:pPr>
            <w:r w:rsidRPr="00E87DC1">
              <w:rPr>
                <w:lang w:val="en-US"/>
              </w:rPr>
              <w:t>-molding, structuring and grinding artificial nails</w:t>
            </w:r>
          </w:p>
        </w:tc>
        <w:tc>
          <w:tcPr>
            <w:tcW w:w="2268" w:type="dxa"/>
          </w:tcPr>
          <w:p w:rsidR="005F7EB2" w:rsidRPr="00E87DC1" w:rsidRDefault="005F7EB2" w:rsidP="00A4038B">
            <w:pPr>
              <w:rPr>
                <w:lang w:val="en-US"/>
              </w:rPr>
            </w:pPr>
            <w:r w:rsidRPr="00E87DC1">
              <w:rPr>
                <w:lang w:val="en-US"/>
              </w:rPr>
              <w:t xml:space="preserve">-eyelash glues </w:t>
            </w:r>
          </w:p>
          <w:p w:rsidR="005F7EB2" w:rsidRPr="00E87DC1" w:rsidRDefault="005F7EB2" w:rsidP="00A4038B">
            <w:pPr>
              <w:rPr>
                <w:lang w:val="en-US"/>
              </w:rPr>
            </w:pPr>
            <w:r w:rsidRPr="00E87DC1">
              <w:rPr>
                <w:lang w:val="en-US"/>
              </w:rPr>
              <w:t>-nail glues</w:t>
            </w:r>
          </w:p>
          <w:p w:rsidR="005F7EB2" w:rsidRPr="00E87DC1" w:rsidRDefault="005F7EB2" w:rsidP="00A4038B">
            <w:pPr>
              <w:rPr>
                <w:lang w:val="en-US"/>
              </w:rPr>
            </w:pPr>
            <w:r w:rsidRPr="00E87DC1">
              <w:rPr>
                <w:lang w:val="en-US"/>
              </w:rPr>
              <w:t xml:space="preserve">-nail gels, nail powders and liquids </w:t>
            </w:r>
          </w:p>
        </w:tc>
        <w:tc>
          <w:tcPr>
            <w:tcW w:w="2126" w:type="dxa"/>
          </w:tcPr>
          <w:p w:rsidR="005F7EB2" w:rsidRPr="00E87DC1" w:rsidRDefault="005F7EB2" w:rsidP="00A4038B">
            <w:pPr>
              <w:rPr>
                <w:lang w:val="en-US"/>
              </w:rPr>
            </w:pPr>
            <w:r w:rsidRPr="00E87DC1">
              <w:rPr>
                <w:lang w:val="en-US"/>
              </w:rPr>
              <w:t>cyanoacrylates (7)</w:t>
            </w:r>
          </w:p>
          <w:p w:rsidR="005F7EB2" w:rsidRPr="00E87DC1" w:rsidRDefault="005F7EB2" w:rsidP="00A4038B">
            <w:pPr>
              <w:rPr>
                <w:lang w:val="en-US"/>
              </w:rPr>
            </w:pPr>
            <w:proofErr w:type="spellStart"/>
            <w:r w:rsidRPr="00E87DC1">
              <w:rPr>
                <w:lang w:val="en-US"/>
              </w:rPr>
              <w:t>methacrylates</w:t>
            </w:r>
            <w:proofErr w:type="spellEnd"/>
            <w:r w:rsidRPr="00E87DC1">
              <w:rPr>
                <w:lang w:val="en-US"/>
              </w:rPr>
              <w:t xml:space="preserve"> (2)</w:t>
            </w:r>
          </w:p>
          <w:p w:rsidR="005F7EB2" w:rsidRPr="00E87DC1" w:rsidRDefault="005F7EB2" w:rsidP="00A4038B">
            <w:pPr>
              <w:rPr>
                <w:lang w:val="en-US"/>
              </w:rPr>
            </w:pPr>
            <w:r w:rsidRPr="00E87DC1">
              <w:rPr>
                <w:lang w:val="en-US"/>
              </w:rPr>
              <w:t xml:space="preserve">cyanoacrylates and </w:t>
            </w:r>
            <w:proofErr w:type="spellStart"/>
            <w:r w:rsidRPr="00E87DC1">
              <w:rPr>
                <w:lang w:val="en-US"/>
              </w:rPr>
              <w:t>methacrylates</w:t>
            </w:r>
            <w:proofErr w:type="spellEnd"/>
            <w:r w:rsidRPr="00E87DC1">
              <w:rPr>
                <w:lang w:val="en-US"/>
              </w:rPr>
              <w:t xml:space="preserve"> (3)</w:t>
            </w:r>
          </w:p>
        </w:tc>
      </w:tr>
    </w:tbl>
    <w:p w:rsidR="005F7EB2" w:rsidRPr="00E87DC1" w:rsidRDefault="005F7EB2" w:rsidP="007D15DC">
      <w:pPr>
        <w:rPr>
          <w:lang w:val="en-US"/>
        </w:rPr>
      </w:pPr>
      <w:r w:rsidRPr="00E87DC1">
        <w:rPr>
          <w:lang w:val="en-US"/>
        </w:rPr>
        <w:t>n=number of workers</w:t>
      </w:r>
    </w:p>
    <w:p w:rsidR="005F7EB2" w:rsidRPr="00E87DC1" w:rsidRDefault="005F7EB2">
      <w:pPr>
        <w:rPr>
          <w:b/>
          <w:lang w:val="en-US"/>
        </w:rPr>
      </w:pPr>
      <w:r w:rsidRPr="00E87DC1">
        <w:rPr>
          <w:b/>
          <w:lang w:val="en-US"/>
        </w:rPr>
        <w:br w:type="page"/>
      </w:r>
    </w:p>
    <w:p w:rsidR="005F7EB2" w:rsidRPr="00E87DC1" w:rsidRDefault="008F584C" w:rsidP="008F584C">
      <w:pPr>
        <w:rPr>
          <w:b/>
          <w:lang w:val="en-US"/>
        </w:rPr>
      </w:pPr>
      <w:r w:rsidRPr="00E87DC1">
        <w:rPr>
          <w:b/>
          <w:lang w:val="en-US"/>
        </w:rPr>
        <w:lastRenderedPageBreak/>
        <w:t>TABLE III.</w:t>
      </w:r>
      <w:r w:rsidR="005F7EB2" w:rsidRPr="00E87DC1">
        <w:rPr>
          <w:b/>
          <w:lang w:val="en-US"/>
        </w:rPr>
        <w:t xml:space="preserve"> Demographic and clinical characteristics of subjects with occupational asthma caused by acrylates, other low-molecular-weight agents including isocyanates, and isocyanates. </w:t>
      </w:r>
      <w:r w:rsidR="005F7EB2" w:rsidRPr="00E87DC1">
        <w:rPr>
          <w:rFonts w:eastAsia="Times New Roman" w:cstheme="minorHAnsi"/>
          <w:lang w:val="en-US" w:eastAsia="fr-FR"/>
        </w:rPr>
        <w:t xml:space="preserve">Data are presented as n (% of available data) unless otherwise specified. </w:t>
      </w:r>
      <w:r w:rsidR="005F7EB2" w:rsidRPr="00E87DC1">
        <w:rPr>
          <w:rFonts w:eastAsia="Times New Roman" w:cstheme="minorHAnsi"/>
          <w:lang w:val="en-GB" w:eastAsia="fr-FR"/>
        </w:rPr>
        <w:t>Values in bold are statistically significant.</w:t>
      </w:r>
    </w:p>
    <w:tbl>
      <w:tblPr>
        <w:tblStyle w:val="Grilledutableau461"/>
        <w:tblW w:w="5735" w:type="pct"/>
        <w:tblInd w:w="-71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51"/>
        <w:gridCol w:w="1230"/>
        <w:gridCol w:w="1228"/>
        <w:gridCol w:w="1229"/>
        <w:gridCol w:w="1324"/>
        <w:gridCol w:w="1384"/>
      </w:tblGrid>
      <w:tr w:rsidR="005F7EB2" w:rsidRPr="00E87DC1" w:rsidTr="00A4038B">
        <w:trPr>
          <w:trHeight w:val="534"/>
        </w:trPr>
        <w:tc>
          <w:tcPr>
            <w:tcW w:w="1909" w:type="pct"/>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rPr>
                <w:rFonts w:asciiTheme="minorHAnsi" w:hAnsiTheme="minorHAnsi" w:cstheme="minorHAnsi"/>
                <w:b/>
                <w:sz w:val="22"/>
                <w:szCs w:val="22"/>
                <w:lang w:val="en-GB" w:eastAsia="fr-FR"/>
              </w:rPr>
            </w:pPr>
            <w:r w:rsidRPr="00E87DC1">
              <w:rPr>
                <w:rFonts w:asciiTheme="minorHAnsi" w:hAnsiTheme="minorHAnsi" w:cstheme="minorHAnsi"/>
                <w:b/>
                <w:sz w:val="22"/>
                <w:szCs w:val="22"/>
                <w:lang w:val="en-GB" w:eastAsia="fr-FR"/>
              </w:rPr>
              <w:t>Characteristic</w:t>
            </w:r>
          </w:p>
        </w:tc>
        <w:tc>
          <w:tcPr>
            <w:tcW w:w="594" w:type="pct"/>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fr-FR" w:eastAsia="fr-FR"/>
              </w:rPr>
            </w:pPr>
            <w:r w:rsidRPr="00E87DC1">
              <w:rPr>
                <w:rFonts w:asciiTheme="minorHAnsi" w:hAnsiTheme="minorHAnsi" w:cstheme="minorHAnsi"/>
                <w:b/>
                <w:sz w:val="22"/>
                <w:szCs w:val="22"/>
                <w:lang w:val="fr-FR" w:eastAsia="fr-FR"/>
              </w:rPr>
              <w:t>Acrylates</w:t>
            </w:r>
          </w:p>
          <w:p w:rsidR="005F7EB2" w:rsidRPr="00E87DC1" w:rsidRDefault="005F7EB2" w:rsidP="00A4038B">
            <w:pPr>
              <w:tabs>
                <w:tab w:val="center" w:pos="4536"/>
                <w:tab w:val="right" w:pos="9072"/>
              </w:tabs>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fr-FR" w:eastAsia="fr-FR"/>
              </w:rPr>
              <w:t>(n=55)</w:t>
            </w:r>
          </w:p>
        </w:tc>
        <w:tc>
          <w:tcPr>
            <w:tcW w:w="593" w:type="pct"/>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fr-FR" w:eastAsia="fr-FR"/>
              </w:rPr>
            </w:pPr>
            <w:proofErr w:type="spellStart"/>
            <w:r w:rsidRPr="00E87DC1">
              <w:rPr>
                <w:rFonts w:asciiTheme="minorHAnsi" w:hAnsiTheme="minorHAnsi" w:cstheme="minorHAnsi"/>
                <w:b/>
                <w:sz w:val="22"/>
                <w:szCs w:val="22"/>
                <w:lang w:val="fr-FR" w:eastAsia="fr-FR"/>
              </w:rPr>
              <w:t>Other</w:t>
            </w:r>
            <w:proofErr w:type="spellEnd"/>
            <w:r w:rsidRPr="00E87DC1">
              <w:rPr>
                <w:rFonts w:asciiTheme="minorHAnsi" w:hAnsiTheme="minorHAnsi" w:cstheme="minorHAnsi"/>
                <w:b/>
                <w:sz w:val="22"/>
                <w:szCs w:val="22"/>
                <w:lang w:val="fr-FR" w:eastAsia="fr-FR"/>
              </w:rPr>
              <w:t xml:space="preserve"> LMW agents</w:t>
            </w:r>
          </w:p>
          <w:p w:rsidR="005F7EB2" w:rsidRPr="00E87DC1" w:rsidRDefault="005F7EB2" w:rsidP="00A4038B">
            <w:pPr>
              <w:tabs>
                <w:tab w:val="center" w:pos="4536"/>
                <w:tab w:val="right" w:pos="9072"/>
              </w:tabs>
              <w:jc w:val="center"/>
              <w:rPr>
                <w:rFonts w:asciiTheme="minorHAnsi" w:hAnsiTheme="minorHAnsi" w:cstheme="minorHAnsi"/>
                <w:b/>
                <w:sz w:val="22"/>
                <w:szCs w:val="22"/>
                <w:lang w:val="fr-FR" w:eastAsia="fr-FR"/>
              </w:rPr>
            </w:pPr>
            <w:r w:rsidRPr="00E87DC1">
              <w:rPr>
                <w:rFonts w:asciiTheme="minorHAnsi" w:hAnsiTheme="minorHAnsi" w:cstheme="minorHAnsi"/>
                <w:b/>
                <w:sz w:val="22"/>
                <w:szCs w:val="22"/>
                <w:lang w:val="fr-FR" w:eastAsia="fr-FR"/>
              </w:rPr>
              <w:t>(n=418)</w:t>
            </w:r>
          </w:p>
        </w:tc>
        <w:tc>
          <w:tcPr>
            <w:tcW w:w="594" w:type="pct"/>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fr-FR" w:eastAsia="fr-FR"/>
              </w:rPr>
            </w:pPr>
          </w:p>
          <w:p w:rsidR="005F7EB2" w:rsidRPr="00E87DC1" w:rsidRDefault="005F7EB2" w:rsidP="00A4038B">
            <w:pPr>
              <w:tabs>
                <w:tab w:val="center" w:pos="4536"/>
                <w:tab w:val="right" w:pos="9072"/>
              </w:tabs>
              <w:jc w:val="center"/>
              <w:rPr>
                <w:rFonts w:asciiTheme="minorHAnsi" w:hAnsiTheme="minorHAnsi" w:cstheme="minorHAnsi"/>
                <w:b/>
                <w:sz w:val="22"/>
                <w:szCs w:val="22"/>
                <w:lang w:val="fr-FR" w:eastAsia="fr-FR"/>
              </w:rPr>
            </w:pPr>
            <w:r w:rsidRPr="00E87DC1">
              <w:rPr>
                <w:rFonts w:asciiTheme="minorHAnsi" w:hAnsiTheme="minorHAnsi" w:cstheme="minorHAnsi"/>
                <w:b/>
                <w:sz w:val="22"/>
                <w:szCs w:val="22"/>
                <w:lang w:val="fr-FR" w:eastAsia="fr-FR"/>
              </w:rPr>
              <w:t xml:space="preserve">Acrylates vs </w:t>
            </w:r>
            <w:proofErr w:type="spellStart"/>
            <w:r w:rsidRPr="00E87DC1">
              <w:rPr>
                <w:rFonts w:asciiTheme="minorHAnsi" w:hAnsiTheme="minorHAnsi" w:cstheme="minorHAnsi"/>
                <w:b/>
                <w:sz w:val="22"/>
                <w:szCs w:val="22"/>
                <w:lang w:val="fr-FR" w:eastAsia="fr-FR"/>
              </w:rPr>
              <w:t>other</w:t>
            </w:r>
            <w:proofErr w:type="spellEnd"/>
            <w:r w:rsidRPr="00E87DC1">
              <w:rPr>
                <w:rFonts w:asciiTheme="minorHAnsi" w:hAnsiTheme="minorHAnsi" w:cstheme="minorHAnsi"/>
                <w:b/>
                <w:sz w:val="22"/>
                <w:szCs w:val="22"/>
                <w:lang w:val="fr-FR" w:eastAsia="fr-FR"/>
              </w:rPr>
              <w:t xml:space="preserve"> LMW agents</w:t>
            </w:r>
          </w:p>
          <w:p w:rsidR="005F7EB2" w:rsidRPr="00E87DC1" w:rsidRDefault="005F7EB2" w:rsidP="00A4038B">
            <w:pPr>
              <w:tabs>
                <w:tab w:val="center" w:pos="4536"/>
                <w:tab w:val="right" w:pos="9072"/>
              </w:tabs>
              <w:jc w:val="center"/>
              <w:rPr>
                <w:rFonts w:asciiTheme="minorHAnsi" w:hAnsiTheme="minorHAnsi" w:cstheme="minorHAnsi"/>
                <w:b/>
                <w:sz w:val="22"/>
                <w:szCs w:val="22"/>
                <w:lang w:val="fr-FR" w:eastAsia="fr-FR"/>
              </w:rPr>
            </w:pPr>
            <w:r w:rsidRPr="00E87DC1">
              <w:rPr>
                <w:rFonts w:asciiTheme="minorHAnsi" w:hAnsiTheme="minorHAnsi" w:cstheme="minorHAnsi"/>
                <w:b/>
                <w:sz w:val="22"/>
                <w:szCs w:val="22"/>
                <w:lang w:val="fr-FR" w:eastAsia="fr-FR"/>
              </w:rPr>
              <w:t>P-value</w:t>
            </w:r>
          </w:p>
        </w:tc>
        <w:tc>
          <w:tcPr>
            <w:tcW w:w="640" w:type="pct"/>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fr-FR" w:eastAsia="fr-FR"/>
              </w:rPr>
            </w:pPr>
            <w:r w:rsidRPr="00E87DC1">
              <w:rPr>
                <w:rFonts w:asciiTheme="minorHAnsi" w:hAnsiTheme="minorHAnsi" w:cstheme="minorHAnsi"/>
                <w:b/>
                <w:sz w:val="22"/>
                <w:szCs w:val="22"/>
                <w:lang w:val="fr-FR" w:eastAsia="fr-FR"/>
              </w:rPr>
              <w:t>Isocyanates</w:t>
            </w:r>
          </w:p>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fr-FR" w:eastAsia="fr-FR"/>
              </w:rPr>
            </w:pPr>
            <w:r w:rsidRPr="00E87DC1">
              <w:rPr>
                <w:rFonts w:asciiTheme="minorHAnsi" w:hAnsiTheme="minorHAnsi" w:cstheme="minorHAnsi"/>
                <w:b/>
                <w:sz w:val="22"/>
                <w:szCs w:val="22"/>
                <w:lang w:val="fr-FR" w:eastAsia="fr-FR"/>
              </w:rPr>
              <w:t>(n=125)</w:t>
            </w:r>
          </w:p>
        </w:tc>
        <w:tc>
          <w:tcPr>
            <w:tcW w:w="669" w:type="pct"/>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fr-FR" w:eastAsia="fr-FR"/>
              </w:rPr>
            </w:pPr>
            <w:r w:rsidRPr="00E87DC1">
              <w:rPr>
                <w:rFonts w:asciiTheme="minorHAnsi" w:hAnsiTheme="minorHAnsi" w:cstheme="minorHAnsi"/>
                <w:b/>
                <w:sz w:val="22"/>
                <w:szCs w:val="22"/>
                <w:lang w:val="fr-FR" w:eastAsia="fr-FR"/>
              </w:rPr>
              <w:t>Acrylates vs isocyanates</w:t>
            </w:r>
          </w:p>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fr-FR" w:eastAsia="fr-FR"/>
              </w:rPr>
            </w:pPr>
            <w:r w:rsidRPr="00E87DC1">
              <w:rPr>
                <w:rFonts w:asciiTheme="minorHAnsi" w:hAnsiTheme="minorHAnsi" w:cstheme="minorHAnsi"/>
                <w:b/>
                <w:sz w:val="22"/>
                <w:szCs w:val="22"/>
                <w:lang w:val="fr-FR" w:eastAsia="fr-FR"/>
              </w:rPr>
              <w:t>P-value</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 xml:space="preserve">Age, </w:t>
            </w:r>
            <w:proofErr w:type="spellStart"/>
            <w:r w:rsidRPr="00E87DC1">
              <w:rPr>
                <w:rFonts w:asciiTheme="minorHAnsi" w:hAnsiTheme="minorHAnsi" w:cstheme="minorHAnsi"/>
                <w:sz w:val="22"/>
                <w:szCs w:val="22"/>
                <w:lang w:val="en-US" w:eastAsia="fr-FR"/>
              </w:rPr>
              <w:t>yr</w:t>
            </w:r>
            <w:r w:rsidRPr="00E87DC1">
              <w:rPr>
                <w:rFonts w:asciiTheme="minorHAnsi" w:hAnsiTheme="minorHAnsi" w:cstheme="minorHAnsi"/>
                <w:sz w:val="22"/>
                <w:szCs w:val="22"/>
                <w:vertAlign w:val="superscript"/>
                <w:lang w:val="en-US" w:eastAsia="fr-FR"/>
              </w:rPr>
              <w:t>a</w:t>
            </w:r>
            <w:proofErr w:type="spellEnd"/>
          </w:p>
        </w:tc>
        <w:tc>
          <w:tcPr>
            <w:tcW w:w="594" w:type="pct"/>
            <w:tcBorders>
              <w:top w:val="single" w:sz="18"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40.0 (31.0-46.5)</w:t>
            </w:r>
          </w:p>
        </w:tc>
        <w:tc>
          <w:tcPr>
            <w:tcW w:w="593" w:type="pct"/>
            <w:tcBorders>
              <w:top w:val="single" w:sz="18"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44.0 (35.0-53.0)</w:t>
            </w:r>
          </w:p>
        </w:tc>
        <w:tc>
          <w:tcPr>
            <w:tcW w:w="594" w:type="pct"/>
            <w:tcBorders>
              <w:top w:val="single" w:sz="18"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0.010</w:t>
            </w:r>
          </w:p>
        </w:tc>
        <w:tc>
          <w:tcPr>
            <w:tcW w:w="640" w:type="pct"/>
            <w:tcBorders>
              <w:top w:val="single" w:sz="18"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43.0 (35.0-54.0)</w:t>
            </w:r>
          </w:p>
        </w:tc>
        <w:tc>
          <w:tcPr>
            <w:tcW w:w="669" w:type="pct"/>
            <w:tcBorders>
              <w:top w:val="single" w:sz="18"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0.050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Sex (male)</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18 (32.7)</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233 (55.7)</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0.002</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98 (78.4)</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&lt;0.001</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Body mass index, kg/m</w:t>
            </w:r>
            <w:r w:rsidRPr="00E87DC1">
              <w:rPr>
                <w:rFonts w:asciiTheme="minorHAnsi" w:hAnsiTheme="minorHAnsi" w:cstheme="minorHAnsi"/>
                <w:sz w:val="22"/>
                <w:szCs w:val="22"/>
                <w:vertAlign w:val="superscript"/>
                <w:lang w:val="en-US" w:eastAsia="fr-FR"/>
              </w:rPr>
              <w:t>2 a</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25.2 (23.1-27.7)</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26.9 (24.2-30.2)</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0.020</w:t>
            </w:r>
          </w:p>
        </w:tc>
        <w:tc>
          <w:tcPr>
            <w:tcW w:w="640"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27.0 (24.4-29.7)</w:t>
            </w:r>
          </w:p>
        </w:tc>
        <w:tc>
          <w:tcPr>
            <w:tcW w:w="66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0.030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Smoking</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0.580</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0.660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176"/>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Current</w:t>
            </w:r>
            <w:r w:rsidRPr="00E87DC1">
              <w:rPr>
                <w:rFonts w:asciiTheme="minorHAnsi" w:hAnsiTheme="minorHAnsi" w:cstheme="minorHAnsi"/>
                <w:sz w:val="22"/>
                <w:szCs w:val="22"/>
                <w:lang w:val="en-US"/>
              </w:rPr>
              <w:t xml:space="preserve"> smoker</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 (18.2)</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78 (19.1)</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22 (18.0)</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176"/>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Ex-smoker</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14 (25.4)</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130 (31.9)</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640"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39 (32.0)</w:t>
            </w:r>
          </w:p>
        </w:tc>
        <w:tc>
          <w:tcPr>
            <w:tcW w:w="66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176"/>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Never-smoker</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31 (56.4)</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200 (49.0)</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640"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61 (50.0)</w:t>
            </w:r>
          </w:p>
        </w:tc>
        <w:tc>
          <w:tcPr>
            <w:tcW w:w="66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Level of education (primary)</w:t>
            </w:r>
            <w:r w:rsidR="00C737D0" w:rsidRPr="00E87DC1">
              <w:rPr>
                <w:rFonts w:asciiTheme="minorHAnsi" w:hAnsiTheme="minorHAnsi" w:cstheme="minorHAnsi"/>
                <w:sz w:val="22"/>
                <w:szCs w:val="22"/>
                <w:vertAlign w:val="superscript"/>
                <w:lang w:val="en-US" w:eastAsia="fr-FR"/>
              </w:rPr>
              <w:t xml:space="preserve"> b</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6 (12.2)</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103 (29.5)</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0.010</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39 (36.5)</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0.002</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sz w:val="22"/>
                <w:szCs w:val="22"/>
                <w:lang w:val="en-US" w:eastAsia="fr-FR"/>
              </w:rPr>
            </w:pPr>
            <w:proofErr w:type="spellStart"/>
            <w:r w:rsidRPr="00E87DC1">
              <w:rPr>
                <w:rFonts w:asciiTheme="minorHAnsi" w:hAnsiTheme="minorHAnsi" w:cstheme="minorHAnsi"/>
                <w:sz w:val="22"/>
                <w:szCs w:val="22"/>
                <w:lang w:val="en-US" w:eastAsia="fr-FR"/>
              </w:rPr>
              <w:t>Atopy</w:t>
            </w:r>
            <w:r w:rsidR="00C737D0" w:rsidRPr="00E87DC1">
              <w:rPr>
                <w:rFonts w:asciiTheme="minorHAnsi" w:hAnsiTheme="minorHAnsi" w:cstheme="minorHAnsi"/>
                <w:sz w:val="22"/>
                <w:szCs w:val="22"/>
                <w:vertAlign w:val="superscript"/>
                <w:lang w:val="en-US" w:eastAsia="fr-FR"/>
              </w:rPr>
              <w:t>c</w:t>
            </w:r>
            <w:proofErr w:type="spellEnd"/>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23 (41.8)</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193 (46.2)</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0.570</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54 (43.2)</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1.000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Asthma pre-existing to the causal exposure</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7 (12.7)</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51 (12.2)</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0.830</w:t>
            </w:r>
          </w:p>
        </w:tc>
        <w:tc>
          <w:tcPr>
            <w:tcW w:w="640"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15 (12.0)</w:t>
            </w:r>
          </w:p>
        </w:tc>
        <w:tc>
          <w:tcPr>
            <w:tcW w:w="66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1.000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Duration of exposure before asthma onset, mo</w:t>
            </w:r>
            <w:r w:rsidRPr="00E87DC1">
              <w:rPr>
                <w:rFonts w:asciiTheme="minorHAnsi" w:hAnsiTheme="minorHAnsi" w:cstheme="minorHAnsi"/>
                <w:sz w:val="22"/>
                <w:szCs w:val="22"/>
                <w:vertAlign w:val="superscript"/>
                <w:lang w:val="en-US" w:eastAsia="fr-FR"/>
              </w:rPr>
              <w:t>a</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60.0 (13.0-134.5)</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72.0 (24.0-180.0)</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0.250</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fr-FR" w:eastAsia="fr-FR"/>
              </w:rPr>
            </w:pPr>
            <w:r w:rsidRPr="00E87DC1">
              <w:rPr>
                <w:rFonts w:asciiTheme="minorHAnsi" w:hAnsiTheme="minorHAnsi" w:cstheme="minorHAnsi"/>
                <w:sz w:val="22"/>
                <w:szCs w:val="22"/>
                <w:lang w:val="fr-FR" w:eastAsia="fr-FR"/>
              </w:rPr>
              <w:t>75.0 (24.0-180.0)</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0.260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Duration of symptomatic exposure, mo</w:t>
            </w:r>
            <w:r w:rsidRPr="00E87DC1">
              <w:rPr>
                <w:rFonts w:asciiTheme="minorHAnsi" w:hAnsiTheme="minorHAnsi" w:cstheme="minorHAnsi"/>
                <w:sz w:val="22"/>
                <w:szCs w:val="22"/>
                <w:vertAlign w:val="superscript"/>
                <w:lang w:val="en-US" w:eastAsia="fr-FR"/>
              </w:rPr>
              <w:t>a</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14 (9-36)</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26 (12-60)</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0.020</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24 (12-60)</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0.070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b/>
                <w:sz w:val="22"/>
                <w:szCs w:val="22"/>
                <w:lang w:val="en-US" w:eastAsia="fr-FR"/>
              </w:rPr>
            </w:pPr>
            <w:r w:rsidRPr="00E87DC1">
              <w:rPr>
                <w:rFonts w:asciiTheme="minorHAnsi" w:hAnsiTheme="minorHAnsi" w:cstheme="minorHAnsi"/>
                <w:sz w:val="22"/>
                <w:szCs w:val="22"/>
                <w:lang w:val="en-US" w:eastAsia="fr-FR"/>
              </w:rPr>
              <w:t>Interval since last work exposure, mo</w:t>
            </w:r>
            <w:r w:rsidRPr="00E87DC1">
              <w:rPr>
                <w:rFonts w:asciiTheme="minorHAnsi" w:hAnsiTheme="minorHAnsi" w:cstheme="minorHAnsi"/>
                <w:b/>
                <w:sz w:val="22"/>
                <w:szCs w:val="22"/>
                <w:vertAlign w:val="superscript"/>
                <w:lang w:val="en-US" w:eastAsia="fr-FR"/>
              </w:rPr>
              <w:t>a</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 (0.2-7.2)</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 (0.1-7.0)</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0.330</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 (0.1-6.0)</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0.170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Asthma treatment/severity:</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593" w:type="pct"/>
            <w:tcBorders>
              <w:top w:val="single" w:sz="2" w:space="0" w:color="auto"/>
              <w:left w:val="single" w:sz="2" w:space="0" w:color="auto"/>
              <w:bottom w:val="single" w:sz="2" w:space="0" w:color="auto"/>
              <w:right w:val="single" w:sz="2" w:space="0" w:color="auto"/>
            </w:tcBorders>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c>
          <w:tcPr>
            <w:tcW w:w="594" w:type="pct"/>
            <w:tcBorders>
              <w:top w:val="single" w:sz="2" w:space="0" w:color="auto"/>
              <w:left w:val="single" w:sz="2" w:space="0" w:color="auto"/>
              <w:bottom w:val="single" w:sz="2" w:space="0" w:color="auto"/>
              <w:right w:val="single" w:sz="2" w:space="0" w:color="auto"/>
            </w:tcBorders>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No treatment</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14 (24.5)</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61 (14.6)</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0.010</w:t>
            </w:r>
          </w:p>
        </w:tc>
        <w:tc>
          <w:tcPr>
            <w:tcW w:w="640"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11 (8.8)</w:t>
            </w:r>
          </w:p>
        </w:tc>
        <w:tc>
          <w:tcPr>
            <w:tcW w:w="66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0.002</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Mild (GINA treatment step 1-2)</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16 (29.1)</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80 (19.1)</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640"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21 (16.8)</w:t>
            </w:r>
          </w:p>
        </w:tc>
        <w:tc>
          <w:tcPr>
            <w:tcW w:w="66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Moderate (GINA treatment step 3)</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16 (29.1)</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133 (31.8)</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640"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51 (40.8)</w:t>
            </w:r>
          </w:p>
        </w:tc>
        <w:tc>
          <w:tcPr>
            <w:tcW w:w="66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Severe (GINA treatment step 4-5)</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9 (16.4)</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144 (34.5)</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640"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42 (33.6)</w:t>
            </w:r>
          </w:p>
        </w:tc>
        <w:tc>
          <w:tcPr>
            <w:tcW w:w="66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GB" w:eastAsia="fr-FR"/>
              </w:rPr>
              <w:t>SABA use ≥1/day</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14 (25.4)</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136 (32.5)</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0.360</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39 (31.2)</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0.480</w:t>
            </w:r>
          </w:p>
        </w:tc>
      </w:tr>
      <w:tr w:rsidR="005F7EB2" w:rsidRPr="00E87DC1" w:rsidTr="00A4038B">
        <w:trPr>
          <w:trHeight w:val="537"/>
        </w:trPr>
        <w:tc>
          <w:tcPr>
            <w:tcW w:w="1909"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 xml:space="preserve">≥1 asthma exacerbation (last 12 </w:t>
            </w:r>
            <w:proofErr w:type="spellStart"/>
            <w:r w:rsidRPr="00E87DC1">
              <w:rPr>
                <w:rFonts w:asciiTheme="minorHAnsi" w:hAnsiTheme="minorHAnsi" w:cstheme="minorHAnsi"/>
                <w:sz w:val="22"/>
                <w:szCs w:val="22"/>
                <w:lang w:val="en-US" w:eastAsia="fr-FR"/>
              </w:rPr>
              <w:t>mo</w:t>
            </w:r>
            <w:proofErr w:type="spellEnd"/>
            <w:r w:rsidRPr="00E87DC1">
              <w:rPr>
                <w:rFonts w:asciiTheme="minorHAnsi" w:hAnsiTheme="minorHAnsi" w:cstheme="minorHAnsi"/>
                <w:sz w:val="22"/>
                <w:szCs w:val="22"/>
                <w:lang w:val="en-US" w:eastAsia="fr-FR"/>
              </w:rPr>
              <w:t xml:space="preserve"> at work)</w:t>
            </w:r>
          </w:p>
        </w:tc>
        <w:tc>
          <w:tcPr>
            <w:tcW w:w="594" w:type="pct"/>
            <w:tcBorders>
              <w:top w:val="single" w:sz="2"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13 (23.6)</w:t>
            </w:r>
          </w:p>
        </w:tc>
        <w:tc>
          <w:tcPr>
            <w:tcW w:w="593"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108 (25.8)</w:t>
            </w:r>
          </w:p>
        </w:tc>
        <w:tc>
          <w:tcPr>
            <w:tcW w:w="594"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0.870</w:t>
            </w:r>
          </w:p>
        </w:tc>
        <w:tc>
          <w:tcPr>
            <w:tcW w:w="640"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36 (28.8)</w:t>
            </w:r>
          </w:p>
        </w:tc>
        <w:tc>
          <w:tcPr>
            <w:tcW w:w="669" w:type="pct"/>
            <w:tcBorders>
              <w:top w:val="single" w:sz="2"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0.590</w:t>
            </w:r>
          </w:p>
        </w:tc>
      </w:tr>
      <w:tr w:rsidR="005F7EB2" w:rsidRPr="00E87DC1" w:rsidTr="00A4038B">
        <w:trPr>
          <w:trHeight w:val="537"/>
        </w:trPr>
        <w:tc>
          <w:tcPr>
            <w:tcW w:w="1909"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lastRenderedPageBreak/>
              <w:t>Coexisting conditions:</w:t>
            </w:r>
          </w:p>
        </w:tc>
        <w:tc>
          <w:tcPr>
            <w:tcW w:w="594"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593"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594"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p>
        </w:tc>
        <w:tc>
          <w:tcPr>
            <w:tcW w:w="640"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c>
          <w:tcPr>
            <w:tcW w:w="669"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p>
        </w:tc>
      </w:tr>
      <w:tr w:rsidR="005F7EB2" w:rsidRPr="00E87DC1" w:rsidTr="00A4038B">
        <w:trPr>
          <w:trHeight w:val="537"/>
        </w:trPr>
        <w:tc>
          <w:tcPr>
            <w:tcW w:w="1909"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176"/>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Work-related rhinitis</w:t>
            </w:r>
          </w:p>
        </w:tc>
        <w:tc>
          <w:tcPr>
            <w:tcW w:w="594"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36 (65.5)</w:t>
            </w:r>
          </w:p>
        </w:tc>
        <w:tc>
          <w:tcPr>
            <w:tcW w:w="593"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eastAsia="fr-FR"/>
              </w:rPr>
            </w:pPr>
            <w:r w:rsidRPr="00E87DC1">
              <w:rPr>
                <w:rFonts w:asciiTheme="minorHAnsi" w:hAnsiTheme="minorHAnsi" w:cstheme="minorHAnsi"/>
                <w:sz w:val="22"/>
                <w:szCs w:val="22"/>
                <w:lang w:eastAsia="fr-FR"/>
              </w:rPr>
              <w:t>235 (56.2)</w:t>
            </w:r>
          </w:p>
        </w:tc>
        <w:tc>
          <w:tcPr>
            <w:tcW w:w="594"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eastAsia="fr-FR"/>
              </w:rPr>
            </w:pPr>
            <w:r w:rsidRPr="00E87DC1">
              <w:rPr>
                <w:rFonts w:asciiTheme="minorHAnsi" w:hAnsiTheme="minorHAnsi" w:cstheme="minorHAnsi"/>
                <w:sz w:val="22"/>
                <w:szCs w:val="22"/>
                <w:lang w:eastAsia="fr-FR"/>
              </w:rPr>
              <w:t>0.250</w:t>
            </w:r>
          </w:p>
        </w:tc>
        <w:tc>
          <w:tcPr>
            <w:tcW w:w="640"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eastAsia="fr-FR"/>
              </w:rPr>
            </w:pPr>
            <w:r w:rsidRPr="00E87DC1">
              <w:rPr>
                <w:rFonts w:asciiTheme="minorHAnsi" w:hAnsiTheme="minorHAnsi" w:cstheme="minorHAnsi"/>
                <w:sz w:val="22"/>
                <w:szCs w:val="22"/>
                <w:lang w:eastAsia="fr-FR"/>
              </w:rPr>
              <w:t>47 (37.6)</w:t>
            </w:r>
          </w:p>
        </w:tc>
        <w:tc>
          <w:tcPr>
            <w:tcW w:w="669"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eastAsia="fr-FR"/>
              </w:rPr>
            </w:pPr>
            <w:r w:rsidRPr="00E87DC1">
              <w:rPr>
                <w:rFonts w:asciiTheme="minorHAnsi" w:hAnsiTheme="minorHAnsi" w:cstheme="minorHAnsi"/>
                <w:b/>
                <w:sz w:val="22"/>
                <w:szCs w:val="22"/>
                <w:lang w:eastAsia="fr-FR"/>
              </w:rPr>
              <w:t>&lt;0.001</w:t>
            </w:r>
          </w:p>
        </w:tc>
      </w:tr>
      <w:tr w:rsidR="005F7EB2" w:rsidRPr="00E87DC1" w:rsidTr="00A4038B">
        <w:trPr>
          <w:trHeight w:val="537"/>
        </w:trPr>
        <w:tc>
          <w:tcPr>
            <w:tcW w:w="1909"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513"/>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Oral H</w:t>
            </w:r>
            <w:r w:rsidRPr="00E87DC1">
              <w:rPr>
                <w:rFonts w:asciiTheme="minorHAnsi" w:hAnsiTheme="minorHAnsi" w:cstheme="minorHAnsi"/>
                <w:sz w:val="22"/>
                <w:szCs w:val="22"/>
                <w:vertAlign w:val="subscript"/>
                <w:lang w:val="en-US" w:eastAsia="fr-FR"/>
              </w:rPr>
              <w:t>1</w:t>
            </w:r>
            <w:r w:rsidRPr="00E87DC1">
              <w:rPr>
                <w:rFonts w:asciiTheme="minorHAnsi" w:hAnsiTheme="minorHAnsi" w:cstheme="minorHAnsi"/>
                <w:sz w:val="22"/>
                <w:szCs w:val="22"/>
                <w:lang w:val="en-US" w:eastAsia="fr-FR"/>
              </w:rPr>
              <w:t>-antihistamine</w:t>
            </w:r>
          </w:p>
        </w:tc>
        <w:tc>
          <w:tcPr>
            <w:tcW w:w="594"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14 (25.4)</w:t>
            </w:r>
          </w:p>
        </w:tc>
        <w:tc>
          <w:tcPr>
            <w:tcW w:w="593"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77 (18.6)</w:t>
            </w:r>
          </w:p>
        </w:tc>
        <w:tc>
          <w:tcPr>
            <w:tcW w:w="594"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0.270</w:t>
            </w:r>
          </w:p>
        </w:tc>
        <w:tc>
          <w:tcPr>
            <w:tcW w:w="640"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14 (11.3)</w:t>
            </w:r>
          </w:p>
        </w:tc>
        <w:tc>
          <w:tcPr>
            <w:tcW w:w="669"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0.020</w:t>
            </w:r>
          </w:p>
        </w:tc>
      </w:tr>
      <w:tr w:rsidR="005F7EB2" w:rsidRPr="00E87DC1" w:rsidTr="00A4038B">
        <w:trPr>
          <w:trHeight w:val="537"/>
        </w:trPr>
        <w:tc>
          <w:tcPr>
            <w:tcW w:w="1909"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513"/>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Nasal corticosteroid</w:t>
            </w:r>
          </w:p>
        </w:tc>
        <w:tc>
          <w:tcPr>
            <w:tcW w:w="594"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11 (20.8)</w:t>
            </w:r>
          </w:p>
        </w:tc>
        <w:tc>
          <w:tcPr>
            <w:tcW w:w="593"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59 (15.2)</w:t>
            </w:r>
          </w:p>
        </w:tc>
        <w:tc>
          <w:tcPr>
            <w:tcW w:w="594"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0.320</w:t>
            </w:r>
          </w:p>
        </w:tc>
        <w:tc>
          <w:tcPr>
            <w:tcW w:w="640"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16 (13.4)</w:t>
            </w:r>
          </w:p>
        </w:tc>
        <w:tc>
          <w:tcPr>
            <w:tcW w:w="669"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0.260</w:t>
            </w:r>
          </w:p>
        </w:tc>
      </w:tr>
      <w:tr w:rsidR="005F7EB2" w:rsidRPr="00E87DC1" w:rsidTr="00A4038B">
        <w:trPr>
          <w:trHeight w:val="537"/>
        </w:trPr>
        <w:tc>
          <w:tcPr>
            <w:tcW w:w="1909"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176"/>
              <w:rPr>
                <w:rFonts w:asciiTheme="minorHAnsi" w:hAnsiTheme="minorHAnsi" w:cstheme="minorHAnsi"/>
                <w:sz w:val="22"/>
                <w:szCs w:val="22"/>
                <w:lang w:eastAsia="fr-FR"/>
              </w:rPr>
            </w:pPr>
            <w:r w:rsidRPr="00E87DC1">
              <w:rPr>
                <w:rFonts w:asciiTheme="minorHAnsi" w:hAnsiTheme="minorHAnsi" w:cstheme="minorHAnsi"/>
                <w:sz w:val="22"/>
                <w:szCs w:val="22"/>
                <w:lang w:eastAsia="fr-FR"/>
              </w:rPr>
              <w:t>Work-</w:t>
            </w:r>
            <w:proofErr w:type="spellStart"/>
            <w:r w:rsidRPr="00E87DC1">
              <w:rPr>
                <w:rFonts w:asciiTheme="minorHAnsi" w:hAnsiTheme="minorHAnsi" w:cstheme="minorHAnsi"/>
                <w:sz w:val="22"/>
                <w:szCs w:val="22"/>
                <w:lang w:eastAsia="fr-FR"/>
              </w:rPr>
              <w:t>related</w:t>
            </w:r>
            <w:proofErr w:type="spellEnd"/>
            <w:r w:rsidRPr="00E87DC1">
              <w:rPr>
                <w:rFonts w:asciiTheme="minorHAnsi" w:hAnsiTheme="minorHAnsi" w:cstheme="minorHAnsi"/>
                <w:sz w:val="22"/>
                <w:szCs w:val="22"/>
                <w:lang w:eastAsia="fr-FR"/>
              </w:rPr>
              <w:t xml:space="preserve"> </w:t>
            </w:r>
            <w:proofErr w:type="spellStart"/>
            <w:r w:rsidRPr="00E87DC1">
              <w:rPr>
                <w:rFonts w:asciiTheme="minorHAnsi" w:hAnsiTheme="minorHAnsi" w:cstheme="minorHAnsi"/>
                <w:sz w:val="22"/>
                <w:szCs w:val="22"/>
                <w:lang w:eastAsia="fr-FR"/>
              </w:rPr>
              <w:t>conjunctivitis</w:t>
            </w:r>
            <w:proofErr w:type="spellEnd"/>
          </w:p>
        </w:tc>
        <w:tc>
          <w:tcPr>
            <w:tcW w:w="594"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eastAsia="fr-FR"/>
              </w:rPr>
            </w:pPr>
            <w:r w:rsidRPr="00E87DC1">
              <w:rPr>
                <w:rFonts w:asciiTheme="minorHAnsi" w:hAnsiTheme="minorHAnsi" w:cstheme="minorHAnsi"/>
                <w:sz w:val="22"/>
                <w:szCs w:val="22"/>
                <w:lang w:eastAsia="fr-FR"/>
              </w:rPr>
              <w:t>19 (34.5)</w:t>
            </w:r>
          </w:p>
        </w:tc>
        <w:tc>
          <w:tcPr>
            <w:tcW w:w="593"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102 (24.9)</w:t>
            </w:r>
          </w:p>
        </w:tc>
        <w:tc>
          <w:tcPr>
            <w:tcW w:w="594"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0.140</w:t>
            </w:r>
          </w:p>
        </w:tc>
        <w:tc>
          <w:tcPr>
            <w:tcW w:w="640"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17 (13.7)</w:t>
            </w:r>
          </w:p>
        </w:tc>
        <w:tc>
          <w:tcPr>
            <w:tcW w:w="669"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0.002</w:t>
            </w:r>
          </w:p>
        </w:tc>
      </w:tr>
      <w:tr w:rsidR="005F7EB2" w:rsidRPr="00E87DC1" w:rsidTr="00A4038B">
        <w:trPr>
          <w:trHeight w:val="537"/>
        </w:trPr>
        <w:tc>
          <w:tcPr>
            <w:tcW w:w="1909"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176"/>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Chronic rhinosinusitis</w:t>
            </w:r>
          </w:p>
        </w:tc>
        <w:tc>
          <w:tcPr>
            <w:tcW w:w="594" w:type="pct"/>
            <w:tcBorders>
              <w:top w:val="nil"/>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 (18.2)</w:t>
            </w:r>
          </w:p>
        </w:tc>
        <w:tc>
          <w:tcPr>
            <w:tcW w:w="593"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50 (12.1)</w:t>
            </w:r>
          </w:p>
        </w:tc>
        <w:tc>
          <w:tcPr>
            <w:tcW w:w="594"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0.200</w:t>
            </w:r>
          </w:p>
        </w:tc>
        <w:tc>
          <w:tcPr>
            <w:tcW w:w="640"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10 (8.0)</w:t>
            </w:r>
          </w:p>
        </w:tc>
        <w:tc>
          <w:tcPr>
            <w:tcW w:w="669" w:type="pct"/>
            <w:tcBorders>
              <w:top w:val="nil"/>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0.070</w:t>
            </w:r>
          </w:p>
        </w:tc>
      </w:tr>
      <w:tr w:rsidR="005F7EB2" w:rsidRPr="00E87DC1" w:rsidTr="00A4038B">
        <w:trPr>
          <w:trHeight w:val="537"/>
        </w:trPr>
        <w:tc>
          <w:tcPr>
            <w:tcW w:w="1909" w:type="pct"/>
            <w:tcBorders>
              <w:top w:val="nil"/>
              <w:left w:val="single" w:sz="2" w:space="0" w:color="auto"/>
              <w:bottom w:val="single" w:sz="4"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176"/>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Work-related urticaria</w:t>
            </w:r>
          </w:p>
        </w:tc>
        <w:tc>
          <w:tcPr>
            <w:tcW w:w="594" w:type="pct"/>
            <w:tcBorders>
              <w:top w:val="nil"/>
              <w:left w:val="single" w:sz="2" w:space="0" w:color="auto"/>
              <w:bottom w:val="single" w:sz="4"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9 (17.0)</w:t>
            </w:r>
          </w:p>
        </w:tc>
        <w:tc>
          <w:tcPr>
            <w:tcW w:w="593" w:type="pct"/>
            <w:tcBorders>
              <w:top w:val="nil"/>
              <w:left w:val="single" w:sz="2" w:space="0" w:color="auto"/>
              <w:bottom w:val="single" w:sz="4"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27 (6.5)</w:t>
            </w:r>
          </w:p>
        </w:tc>
        <w:tc>
          <w:tcPr>
            <w:tcW w:w="594" w:type="pct"/>
            <w:tcBorders>
              <w:top w:val="nil"/>
              <w:left w:val="single" w:sz="2" w:space="0" w:color="auto"/>
              <w:bottom w:val="single" w:sz="4"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0.010</w:t>
            </w:r>
          </w:p>
        </w:tc>
        <w:tc>
          <w:tcPr>
            <w:tcW w:w="640" w:type="pct"/>
            <w:tcBorders>
              <w:top w:val="nil"/>
              <w:left w:val="single" w:sz="2" w:space="0" w:color="auto"/>
              <w:bottom w:val="single" w:sz="4"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2 (1.6)</w:t>
            </w:r>
          </w:p>
        </w:tc>
        <w:tc>
          <w:tcPr>
            <w:tcW w:w="669" w:type="pct"/>
            <w:tcBorders>
              <w:top w:val="nil"/>
              <w:left w:val="single" w:sz="2" w:space="0" w:color="auto"/>
              <w:bottom w:val="single" w:sz="4"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sz w:val="22"/>
                <w:szCs w:val="22"/>
                <w:lang w:val="en-US" w:eastAsia="fr-FR"/>
              </w:rPr>
            </w:pPr>
            <w:r w:rsidRPr="00E87DC1">
              <w:rPr>
                <w:rFonts w:asciiTheme="minorHAnsi" w:hAnsiTheme="minorHAnsi" w:cstheme="minorHAnsi"/>
                <w:b/>
                <w:sz w:val="22"/>
                <w:szCs w:val="22"/>
                <w:lang w:val="en-US" w:eastAsia="fr-FR"/>
              </w:rPr>
              <w:t>&lt;0.001</w:t>
            </w:r>
          </w:p>
        </w:tc>
      </w:tr>
      <w:tr w:rsidR="005F7EB2" w:rsidRPr="00E87DC1" w:rsidTr="00A4038B">
        <w:trPr>
          <w:trHeight w:val="538"/>
        </w:trPr>
        <w:tc>
          <w:tcPr>
            <w:tcW w:w="1909" w:type="pct"/>
            <w:tcBorders>
              <w:top w:val="single" w:sz="4"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ind w:left="176"/>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Work-related contact dermatitis</w:t>
            </w:r>
          </w:p>
        </w:tc>
        <w:tc>
          <w:tcPr>
            <w:tcW w:w="594" w:type="pct"/>
            <w:tcBorders>
              <w:top w:val="single" w:sz="4" w:space="0" w:color="auto"/>
              <w:left w:val="single" w:sz="2" w:space="0" w:color="auto"/>
              <w:bottom w:val="single" w:sz="2" w:space="0" w:color="auto"/>
              <w:right w:val="single" w:sz="2"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9 (17.0)</w:t>
            </w:r>
          </w:p>
        </w:tc>
        <w:tc>
          <w:tcPr>
            <w:tcW w:w="593" w:type="pct"/>
            <w:tcBorders>
              <w:top w:val="single" w:sz="4"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62 (14.9)</w:t>
            </w:r>
          </w:p>
        </w:tc>
        <w:tc>
          <w:tcPr>
            <w:tcW w:w="594" w:type="pct"/>
            <w:tcBorders>
              <w:top w:val="single" w:sz="4"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0.690</w:t>
            </w:r>
          </w:p>
        </w:tc>
        <w:tc>
          <w:tcPr>
            <w:tcW w:w="640" w:type="pct"/>
            <w:tcBorders>
              <w:top w:val="single" w:sz="4"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9 (7.2)</w:t>
            </w:r>
          </w:p>
        </w:tc>
        <w:tc>
          <w:tcPr>
            <w:tcW w:w="669" w:type="pct"/>
            <w:tcBorders>
              <w:top w:val="single" w:sz="4"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sz w:val="22"/>
                <w:szCs w:val="22"/>
                <w:lang w:val="en-US" w:eastAsia="fr-FR"/>
              </w:rPr>
            </w:pPr>
            <w:r w:rsidRPr="00E87DC1">
              <w:rPr>
                <w:rFonts w:asciiTheme="minorHAnsi" w:hAnsiTheme="minorHAnsi" w:cstheme="minorHAnsi"/>
                <w:sz w:val="22"/>
                <w:szCs w:val="22"/>
                <w:lang w:val="en-US" w:eastAsia="fr-FR"/>
              </w:rPr>
              <w:t>0.060</w:t>
            </w:r>
          </w:p>
        </w:tc>
      </w:tr>
    </w:tbl>
    <w:p w:rsidR="005F7EB2" w:rsidRPr="00E87DC1" w:rsidRDefault="005F7EB2" w:rsidP="008F584C">
      <w:pPr>
        <w:spacing w:after="0" w:line="240" w:lineRule="auto"/>
        <w:ind w:right="-327"/>
        <w:rPr>
          <w:rFonts w:eastAsia="Times New Roman" w:cstheme="minorHAnsi"/>
          <w:lang w:val="en-GB" w:eastAsia="fr-FR"/>
        </w:rPr>
      </w:pPr>
      <w:r w:rsidRPr="00E87DC1">
        <w:rPr>
          <w:rFonts w:eastAsia="Times New Roman" w:cstheme="minorHAnsi"/>
          <w:sz w:val="18"/>
          <w:szCs w:val="18"/>
          <w:lang w:val="en-US" w:eastAsia="fr-FR"/>
        </w:rPr>
        <w:t xml:space="preserve"> </w:t>
      </w:r>
      <w:r w:rsidRPr="00E87DC1">
        <w:rPr>
          <w:rFonts w:eastAsia="Times New Roman" w:cstheme="minorHAnsi"/>
          <w:lang w:val="en-GB" w:eastAsia="fr-FR"/>
        </w:rPr>
        <w:t xml:space="preserve">GINA, Global Initiative for Asthma </w:t>
      </w:r>
      <w:r w:rsidRPr="00E87DC1">
        <w:rPr>
          <w:rFonts w:eastAsia="Times New Roman" w:cstheme="minorHAnsi"/>
          <w:noProof/>
          <w:lang w:val="en-GB" w:eastAsia="fr-FR"/>
        </w:rPr>
        <w:t>(26)</w:t>
      </w:r>
      <w:r w:rsidRPr="00E87DC1">
        <w:rPr>
          <w:rFonts w:eastAsia="Times New Roman" w:cstheme="minorHAnsi"/>
          <w:lang w:val="en-GB" w:eastAsia="fr-FR"/>
        </w:rPr>
        <w:t xml:space="preserve">; SABA, </w:t>
      </w:r>
      <w:r w:rsidRPr="00E87DC1">
        <w:rPr>
          <w:rFonts w:eastAsia="Times New Roman" w:cstheme="minorHAnsi"/>
          <w:lang w:val="en-US" w:eastAsia="fr-FR"/>
        </w:rPr>
        <w:t>short acting β</w:t>
      </w:r>
      <w:r w:rsidRPr="00E87DC1">
        <w:rPr>
          <w:rFonts w:eastAsia="Times New Roman" w:cstheme="minorHAnsi"/>
          <w:vertAlign w:val="subscript"/>
          <w:lang w:val="en-US" w:eastAsia="fr-FR"/>
        </w:rPr>
        <w:t>2</w:t>
      </w:r>
      <w:r w:rsidRPr="00E87DC1">
        <w:rPr>
          <w:rFonts w:eastAsia="Times New Roman" w:cstheme="minorHAnsi"/>
          <w:lang w:val="en-US" w:eastAsia="fr-FR"/>
        </w:rPr>
        <w:t xml:space="preserve"> agonist; </w:t>
      </w:r>
    </w:p>
    <w:p w:rsidR="00C737D0" w:rsidRPr="00E87DC1" w:rsidRDefault="005F7EB2" w:rsidP="008F584C">
      <w:pPr>
        <w:tabs>
          <w:tab w:val="left" w:pos="993"/>
          <w:tab w:val="left" w:pos="1080"/>
        </w:tabs>
        <w:spacing w:after="0" w:line="240" w:lineRule="auto"/>
        <w:ind w:right="-327"/>
        <w:rPr>
          <w:rFonts w:eastAsia="Times New Roman" w:cstheme="minorHAnsi"/>
          <w:lang w:val="en-US" w:eastAsia="fr-FR"/>
        </w:rPr>
      </w:pPr>
      <w:r w:rsidRPr="00E87DC1">
        <w:rPr>
          <w:rFonts w:eastAsia="Times New Roman" w:cstheme="minorHAnsi"/>
          <w:vertAlign w:val="superscript"/>
          <w:lang w:val="en-GB" w:eastAsia="fr-FR"/>
        </w:rPr>
        <w:t>a</w:t>
      </w:r>
      <w:r w:rsidRPr="00E87DC1">
        <w:rPr>
          <w:rFonts w:eastAsia="Times New Roman" w:cstheme="minorHAnsi"/>
          <w:lang w:val="en-US" w:eastAsia="fr-FR"/>
        </w:rPr>
        <w:t>Median value with interquartile range (IQR) within parentheses;</w:t>
      </w:r>
      <w:r w:rsidRPr="00E87DC1">
        <w:rPr>
          <w:rFonts w:eastAsia="Times New Roman" w:cstheme="minorHAnsi"/>
          <w:lang w:val="en-US" w:eastAsia="fr-FR"/>
        </w:rPr>
        <w:br/>
      </w:r>
      <w:r w:rsidRPr="00E87DC1">
        <w:rPr>
          <w:rFonts w:eastAsia="Times New Roman" w:cstheme="minorHAnsi"/>
          <w:vertAlign w:val="superscript"/>
          <w:lang w:val="en-US" w:eastAsia="fr-FR"/>
        </w:rPr>
        <w:t>b</w:t>
      </w:r>
      <w:r w:rsidR="00C737D0" w:rsidRPr="00E87DC1">
        <w:rPr>
          <w:rFonts w:eastAsia="Times New Roman" w:cstheme="minorHAnsi"/>
          <w:lang w:val="en-US" w:eastAsia="fr-FR"/>
        </w:rPr>
        <w:t xml:space="preserve"> </w:t>
      </w:r>
      <w:bookmarkStart w:id="7" w:name="_Hlk21510290"/>
      <w:r w:rsidR="00C737D0" w:rsidRPr="00E87DC1">
        <w:rPr>
          <w:rFonts w:eastAsia="Times New Roman" w:cstheme="minorHAnsi"/>
          <w:lang w:val="en-US" w:eastAsia="fr-FR"/>
        </w:rPr>
        <w:t>Number (%)</w:t>
      </w:r>
      <w:r w:rsidR="00002654" w:rsidRPr="00E87DC1">
        <w:rPr>
          <w:rFonts w:eastAsia="Times New Roman" w:cstheme="minorHAnsi"/>
          <w:lang w:val="en-US" w:eastAsia="fr-FR"/>
        </w:rPr>
        <w:t xml:space="preserve"> of persons having only primary level education</w:t>
      </w:r>
      <w:bookmarkEnd w:id="7"/>
    </w:p>
    <w:p w:rsidR="005F7EB2" w:rsidRPr="00E87DC1" w:rsidRDefault="00C737D0" w:rsidP="008F584C">
      <w:pPr>
        <w:tabs>
          <w:tab w:val="left" w:pos="993"/>
          <w:tab w:val="left" w:pos="1080"/>
        </w:tabs>
        <w:spacing w:after="0" w:line="240" w:lineRule="auto"/>
        <w:ind w:right="-327"/>
        <w:rPr>
          <w:lang w:val="en-US"/>
        </w:rPr>
      </w:pPr>
      <w:proofErr w:type="spellStart"/>
      <w:r w:rsidRPr="00E87DC1">
        <w:rPr>
          <w:rFonts w:eastAsia="Times New Roman" w:cstheme="minorHAnsi"/>
          <w:vertAlign w:val="superscript"/>
          <w:lang w:val="en-US" w:eastAsia="fr-FR"/>
        </w:rPr>
        <w:t>c</w:t>
      </w:r>
      <w:r w:rsidR="005F7EB2" w:rsidRPr="00E87DC1">
        <w:rPr>
          <w:rFonts w:eastAsia="Times New Roman" w:cstheme="minorHAnsi"/>
          <w:lang w:val="en-US" w:eastAsia="fr-FR"/>
        </w:rPr>
        <w:t>Atopy</w:t>
      </w:r>
      <w:proofErr w:type="spellEnd"/>
      <w:r w:rsidR="005F7EB2" w:rsidRPr="00E87DC1">
        <w:rPr>
          <w:rFonts w:eastAsia="Times New Roman" w:cstheme="minorHAnsi"/>
          <w:lang w:val="en-US" w:eastAsia="fr-FR"/>
        </w:rPr>
        <w:t xml:space="preserve"> defined by the presence of ≥1 positive skin-prick test </w:t>
      </w:r>
      <w:r w:rsidR="008F584C" w:rsidRPr="00E87DC1">
        <w:rPr>
          <w:rFonts w:eastAsia="Times New Roman" w:cstheme="minorHAnsi"/>
          <w:lang w:val="en-US" w:eastAsia="fr-FR"/>
        </w:rPr>
        <w:t>to at least one common allergen</w:t>
      </w:r>
      <w:r w:rsidR="007D15DC" w:rsidRPr="00E87DC1">
        <w:rPr>
          <w:rFonts w:eastAsia="Times New Roman" w:cstheme="minorHAnsi"/>
          <w:lang w:val="en-US" w:eastAsia="fr-FR"/>
        </w:rPr>
        <w:t>.</w:t>
      </w:r>
    </w:p>
    <w:p w:rsidR="005F7EB2" w:rsidRPr="00E87DC1" w:rsidRDefault="005F7EB2">
      <w:pPr>
        <w:rPr>
          <w:b/>
          <w:lang w:val="en-US"/>
        </w:rPr>
      </w:pPr>
      <w:r w:rsidRPr="00E87DC1">
        <w:rPr>
          <w:b/>
          <w:lang w:val="en-US"/>
        </w:rPr>
        <w:br w:type="page"/>
      </w:r>
    </w:p>
    <w:p w:rsidR="005F7EB2" w:rsidRPr="00E87DC1" w:rsidRDefault="008F584C" w:rsidP="008F584C">
      <w:pPr>
        <w:rPr>
          <w:b/>
          <w:lang w:val="en-US"/>
        </w:rPr>
      </w:pPr>
      <w:r w:rsidRPr="00E87DC1">
        <w:rPr>
          <w:b/>
          <w:lang w:val="en-US"/>
        </w:rPr>
        <w:lastRenderedPageBreak/>
        <w:t>TABLE IV.</w:t>
      </w:r>
      <w:r w:rsidR="005F7EB2" w:rsidRPr="00E87DC1">
        <w:rPr>
          <w:b/>
          <w:lang w:val="en-US"/>
        </w:rPr>
        <w:t xml:space="preserve"> Functional characteristics of subjects with occupational asthma caused by acrylates, other low-molecular-weight agents including isocyanates, and isocyanates. </w:t>
      </w:r>
      <w:r w:rsidR="005F7EB2" w:rsidRPr="00E87DC1">
        <w:rPr>
          <w:rFonts w:eastAsia="Times New Roman" w:cstheme="minorHAnsi"/>
          <w:lang w:val="en-US" w:eastAsia="fr-FR"/>
        </w:rPr>
        <w:t xml:space="preserve">Data are presented as n (% of available data) unless otherwise specified. </w:t>
      </w:r>
      <w:r w:rsidR="005F7EB2" w:rsidRPr="00E87DC1">
        <w:rPr>
          <w:rFonts w:eastAsia="Times New Roman" w:cstheme="minorHAnsi"/>
          <w:lang w:val="en-GB" w:eastAsia="fr-FR"/>
        </w:rPr>
        <w:t>Values in bold are statistically significant.</w:t>
      </w:r>
    </w:p>
    <w:tbl>
      <w:tblPr>
        <w:tblStyle w:val="Grilledutableau481"/>
        <w:tblW w:w="5516" w:type="pct"/>
        <w:tblInd w:w="-71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741"/>
        <w:gridCol w:w="1658"/>
        <w:gridCol w:w="1523"/>
        <w:gridCol w:w="1160"/>
        <w:gridCol w:w="1339"/>
        <w:gridCol w:w="1530"/>
      </w:tblGrid>
      <w:tr w:rsidR="005F7EB2" w:rsidRPr="00E87DC1" w:rsidTr="00A4038B">
        <w:trPr>
          <w:trHeight w:val="964"/>
        </w:trPr>
        <w:tc>
          <w:tcPr>
            <w:tcW w:w="1377" w:type="pct"/>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autoSpaceDN w:val="0"/>
              <w:rPr>
                <w:rFonts w:asciiTheme="minorHAnsi" w:hAnsiTheme="minorHAnsi" w:cstheme="minorHAnsi"/>
                <w:b/>
                <w:lang w:val="en-GB" w:eastAsia="fr-FR"/>
              </w:rPr>
            </w:pPr>
          </w:p>
        </w:tc>
        <w:tc>
          <w:tcPr>
            <w:tcW w:w="833" w:type="pct"/>
            <w:tcBorders>
              <w:top w:val="single" w:sz="18" w:space="0" w:color="auto"/>
              <w:left w:val="single" w:sz="2" w:space="0" w:color="auto"/>
              <w:bottom w:val="single" w:sz="2" w:space="0" w:color="auto"/>
              <w:right w:val="single" w:sz="2"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Acrylates</w:t>
            </w:r>
            <w:r w:rsidRPr="00E87DC1">
              <w:rPr>
                <w:rFonts w:asciiTheme="minorHAnsi" w:hAnsiTheme="minorHAnsi" w:cstheme="minorHAnsi"/>
                <w:vertAlign w:val="superscript"/>
                <w:lang w:val="en-US" w:eastAsia="fr-FR"/>
              </w:rPr>
              <w:t>‡</w:t>
            </w:r>
          </w:p>
          <w:p w:rsidR="005F7EB2" w:rsidRPr="00E87DC1" w:rsidRDefault="005F7EB2" w:rsidP="00A4038B">
            <w:pPr>
              <w:tabs>
                <w:tab w:val="center" w:pos="4536"/>
                <w:tab w:val="right" w:pos="9072"/>
              </w:tabs>
              <w:autoSpaceDN w:val="0"/>
              <w:jc w:val="center"/>
              <w:rPr>
                <w:rFonts w:asciiTheme="minorHAnsi" w:hAnsiTheme="minorHAnsi" w:cstheme="minorHAnsi"/>
                <w:b/>
                <w:lang w:val="en-US" w:eastAsia="fr-FR"/>
              </w:rPr>
            </w:pPr>
            <w:r w:rsidRPr="00E87DC1">
              <w:rPr>
                <w:rFonts w:asciiTheme="minorHAnsi" w:hAnsiTheme="minorHAnsi" w:cstheme="minorHAnsi"/>
                <w:b/>
                <w:lang w:val="fr-FR" w:eastAsia="fr-FR"/>
              </w:rPr>
              <w:t>(n=55)</w:t>
            </w:r>
          </w:p>
        </w:tc>
        <w:tc>
          <w:tcPr>
            <w:tcW w:w="765" w:type="pct"/>
            <w:tcBorders>
              <w:top w:val="single" w:sz="18"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lang w:val="fr-FR" w:eastAsia="fr-FR"/>
              </w:rPr>
            </w:pPr>
            <w:proofErr w:type="spellStart"/>
            <w:r w:rsidRPr="00E87DC1">
              <w:rPr>
                <w:rFonts w:asciiTheme="minorHAnsi" w:hAnsiTheme="minorHAnsi" w:cstheme="minorHAnsi"/>
                <w:b/>
                <w:lang w:val="fr-FR" w:eastAsia="fr-FR"/>
              </w:rPr>
              <w:t>Other</w:t>
            </w:r>
            <w:proofErr w:type="spellEnd"/>
            <w:r w:rsidRPr="00E87DC1">
              <w:rPr>
                <w:rFonts w:asciiTheme="minorHAnsi" w:hAnsiTheme="minorHAnsi" w:cstheme="minorHAnsi"/>
                <w:b/>
                <w:lang w:val="fr-FR" w:eastAsia="fr-FR"/>
              </w:rPr>
              <w:t xml:space="preserve"> LMW</w:t>
            </w:r>
          </w:p>
          <w:p w:rsidR="005F7EB2" w:rsidRPr="00E87DC1" w:rsidRDefault="005F7EB2" w:rsidP="00A4038B">
            <w:pPr>
              <w:tabs>
                <w:tab w:val="center" w:pos="4536"/>
                <w:tab w:val="right" w:pos="9072"/>
              </w:tabs>
              <w:jc w:val="center"/>
              <w:rPr>
                <w:rFonts w:asciiTheme="minorHAnsi" w:hAnsiTheme="minorHAnsi" w:cstheme="minorHAnsi"/>
                <w:b/>
                <w:lang w:val="fr-FR" w:eastAsia="fr-FR"/>
              </w:rPr>
            </w:pPr>
            <w:r w:rsidRPr="00E87DC1">
              <w:rPr>
                <w:rFonts w:asciiTheme="minorHAnsi" w:hAnsiTheme="minorHAnsi" w:cstheme="minorHAnsi"/>
                <w:b/>
                <w:lang w:val="fr-FR" w:eastAsia="fr-FR"/>
              </w:rPr>
              <w:t>agents</w:t>
            </w:r>
          </w:p>
          <w:p w:rsidR="005F7EB2" w:rsidRPr="00E87DC1" w:rsidRDefault="005F7EB2" w:rsidP="00A4038B">
            <w:pPr>
              <w:tabs>
                <w:tab w:val="center" w:pos="4536"/>
                <w:tab w:val="right" w:pos="9072"/>
              </w:tabs>
              <w:jc w:val="center"/>
              <w:rPr>
                <w:rFonts w:asciiTheme="minorHAnsi" w:hAnsiTheme="minorHAnsi" w:cstheme="minorHAnsi"/>
                <w:b/>
                <w:lang w:val="fr-FR" w:eastAsia="fr-FR"/>
              </w:rPr>
            </w:pPr>
            <w:r w:rsidRPr="00E87DC1">
              <w:rPr>
                <w:rFonts w:asciiTheme="minorHAnsi" w:hAnsiTheme="minorHAnsi" w:cstheme="minorHAnsi"/>
                <w:b/>
                <w:lang w:val="fr-FR" w:eastAsia="fr-FR"/>
              </w:rPr>
              <w:t>(n=418)</w:t>
            </w:r>
          </w:p>
        </w:tc>
        <w:tc>
          <w:tcPr>
            <w:tcW w:w="583" w:type="pct"/>
            <w:tcBorders>
              <w:top w:val="single" w:sz="18"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lang w:val="fr-FR" w:eastAsia="fr-FR"/>
              </w:rPr>
            </w:pPr>
            <w:r w:rsidRPr="00E87DC1">
              <w:rPr>
                <w:rFonts w:asciiTheme="minorHAnsi" w:hAnsiTheme="minorHAnsi" w:cstheme="minorHAnsi"/>
                <w:b/>
                <w:lang w:val="fr-FR" w:eastAsia="fr-FR"/>
              </w:rPr>
              <w:t xml:space="preserve">Acrylates vs </w:t>
            </w:r>
            <w:proofErr w:type="spellStart"/>
            <w:r w:rsidRPr="00E87DC1">
              <w:rPr>
                <w:rFonts w:asciiTheme="minorHAnsi" w:hAnsiTheme="minorHAnsi" w:cstheme="minorHAnsi"/>
                <w:b/>
                <w:lang w:val="fr-FR" w:eastAsia="fr-FR"/>
              </w:rPr>
              <w:t>other</w:t>
            </w:r>
            <w:proofErr w:type="spellEnd"/>
            <w:r w:rsidRPr="00E87DC1">
              <w:rPr>
                <w:rFonts w:asciiTheme="minorHAnsi" w:hAnsiTheme="minorHAnsi" w:cstheme="minorHAnsi"/>
                <w:b/>
                <w:lang w:val="fr-FR" w:eastAsia="fr-FR"/>
              </w:rPr>
              <w:t xml:space="preserve"> LMW agents</w:t>
            </w:r>
          </w:p>
          <w:p w:rsidR="005F7EB2" w:rsidRPr="00E87DC1" w:rsidRDefault="005F7EB2" w:rsidP="00A4038B">
            <w:pPr>
              <w:tabs>
                <w:tab w:val="center" w:pos="4536"/>
                <w:tab w:val="right" w:pos="9072"/>
              </w:tabs>
              <w:jc w:val="center"/>
              <w:rPr>
                <w:rFonts w:asciiTheme="minorHAnsi" w:hAnsiTheme="minorHAnsi" w:cstheme="minorHAnsi"/>
                <w:b/>
                <w:lang w:val="fr-FR" w:eastAsia="fr-FR"/>
              </w:rPr>
            </w:pPr>
            <w:r w:rsidRPr="00E87DC1">
              <w:rPr>
                <w:rFonts w:asciiTheme="minorHAnsi" w:hAnsiTheme="minorHAnsi" w:cstheme="minorHAnsi"/>
                <w:b/>
                <w:i/>
                <w:lang w:val="fr-FR" w:eastAsia="fr-FR"/>
              </w:rPr>
              <w:t>P</w:t>
            </w:r>
            <w:r w:rsidRPr="00E87DC1">
              <w:rPr>
                <w:rFonts w:asciiTheme="minorHAnsi" w:hAnsiTheme="minorHAnsi" w:cstheme="minorHAnsi"/>
                <w:b/>
                <w:lang w:val="fr-FR" w:eastAsia="fr-FR"/>
              </w:rPr>
              <w:t>-value</w:t>
            </w:r>
          </w:p>
        </w:tc>
        <w:tc>
          <w:tcPr>
            <w:tcW w:w="673" w:type="pct"/>
            <w:tcBorders>
              <w:top w:val="single" w:sz="18"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Isocyanates</w:t>
            </w:r>
          </w:p>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(n=125)</w:t>
            </w:r>
          </w:p>
        </w:tc>
        <w:tc>
          <w:tcPr>
            <w:tcW w:w="770" w:type="pct"/>
            <w:tcBorders>
              <w:top w:val="single" w:sz="18" w:space="0" w:color="auto"/>
              <w:left w:val="single" w:sz="2" w:space="0" w:color="auto"/>
              <w:bottom w:val="single" w:sz="2"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Acrylates vs isocyanates</w:t>
            </w:r>
          </w:p>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P-value</w:t>
            </w:r>
          </w:p>
        </w:tc>
      </w:tr>
      <w:tr w:rsidR="005F7EB2" w:rsidRPr="00E87DC1" w:rsidTr="00A4038B">
        <w:trPr>
          <w:trHeight w:val="428"/>
        </w:trPr>
        <w:tc>
          <w:tcPr>
            <w:tcW w:w="1377" w:type="pct"/>
            <w:tcBorders>
              <w:top w:val="single" w:sz="2" w:space="0" w:color="auto"/>
              <w:left w:val="single" w:sz="2" w:space="0" w:color="auto"/>
              <w:bottom w:val="nil"/>
              <w:right w:val="single" w:sz="2" w:space="0" w:color="auto"/>
            </w:tcBorders>
            <w:vAlign w:val="center"/>
            <w:hideMark/>
          </w:tcPr>
          <w:p w:rsidR="005F7EB2" w:rsidRPr="00E87DC1" w:rsidRDefault="005F7EB2" w:rsidP="00A4038B">
            <w:pPr>
              <w:tabs>
                <w:tab w:val="center" w:pos="4536"/>
                <w:tab w:val="right" w:pos="9072"/>
              </w:tabs>
              <w:autoSpaceDN w:val="0"/>
              <w:rPr>
                <w:rFonts w:asciiTheme="minorHAnsi" w:hAnsiTheme="minorHAnsi" w:cstheme="minorHAnsi"/>
                <w:lang w:eastAsia="fr-FR"/>
              </w:rPr>
            </w:pPr>
            <w:r w:rsidRPr="00E87DC1">
              <w:rPr>
                <w:rFonts w:asciiTheme="minorHAnsi" w:hAnsiTheme="minorHAnsi" w:cstheme="minorHAnsi"/>
                <w:lang w:eastAsia="fr-FR"/>
              </w:rPr>
              <w:t xml:space="preserve">Baseline </w:t>
            </w:r>
            <w:proofErr w:type="spellStart"/>
            <w:r w:rsidRPr="00E87DC1">
              <w:rPr>
                <w:rFonts w:asciiTheme="minorHAnsi" w:hAnsiTheme="minorHAnsi" w:cstheme="minorHAnsi"/>
                <w:lang w:eastAsia="fr-FR"/>
              </w:rPr>
              <w:t>spirometry</w:t>
            </w:r>
            <w:proofErr w:type="spellEnd"/>
            <w:r w:rsidRPr="00E87DC1">
              <w:rPr>
                <w:rFonts w:asciiTheme="minorHAnsi" w:hAnsiTheme="minorHAnsi" w:cstheme="minorHAnsi"/>
                <w:lang w:eastAsia="fr-FR"/>
              </w:rPr>
              <w:t> :</w:t>
            </w:r>
          </w:p>
        </w:tc>
        <w:tc>
          <w:tcPr>
            <w:tcW w:w="833" w:type="pct"/>
            <w:tcBorders>
              <w:top w:val="single" w:sz="18" w:space="0" w:color="auto"/>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eastAsia="fr-FR"/>
              </w:rPr>
            </w:pPr>
          </w:p>
        </w:tc>
        <w:tc>
          <w:tcPr>
            <w:tcW w:w="765" w:type="pct"/>
            <w:tcBorders>
              <w:top w:val="single" w:sz="18" w:space="0" w:color="auto"/>
              <w:left w:val="single" w:sz="2" w:space="0" w:color="auto"/>
              <w:bottom w:val="nil"/>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eastAsia="fr-FR"/>
              </w:rPr>
            </w:pPr>
          </w:p>
        </w:tc>
        <w:tc>
          <w:tcPr>
            <w:tcW w:w="583" w:type="pct"/>
            <w:tcBorders>
              <w:top w:val="single" w:sz="18" w:space="0" w:color="auto"/>
              <w:left w:val="single" w:sz="2" w:space="0" w:color="auto"/>
              <w:bottom w:val="nil"/>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eastAsia="fr-FR"/>
              </w:rPr>
            </w:pPr>
          </w:p>
        </w:tc>
        <w:tc>
          <w:tcPr>
            <w:tcW w:w="673" w:type="pct"/>
            <w:tcBorders>
              <w:top w:val="single" w:sz="18" w:space="0" w:color="auto"/>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eastAsia="fr-FR"/>
              </w:rPr>
            </w:pPr>
          </w:p>
        </w:tc>
        <w:tc>
          <w:tcPr>
            <w:tcW w:w="770" w:type="pct"/>
            <w:tcBorders>
              <w:top w:val="single" w:sz="18" w:space="0" w:color="auto"/>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eastAsia="fr-FR"/>
              </w:rPr>
            </w:pPr>
          </w:p>
        </w:tc>
      </w:tr>
      <w:tr w:rsidR="005F7EB2" w:rsidRPr="00E87DC1" w:rsidTr="00A4038B">
        <w:trPr>
          <w:trHeight w:val="428"/>
        </w:trPr>
        <w:tc>
          <w:tcPr>
            <w:tcW w:w="1377" w:type="pct"/>
            <w:tcBorders>
              <w:top w:val="nil"/>
              <w:left w:val="single" w:sz="2" w:space="0" w:color="auto"/>
              <w:bottom w:val="nil"/>
              <w:right w:val="single" w:sz="2"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eastAsia="fr-FR"/>
              </w:rPr>
            </w:pPr>
            <w:r w:rsidRPr="00E87DC1">
              <w:rPr>
                <w:rFonts w:asciiTheme="minorHAnsi" w:hAnsiTheme="minorHAnsi" w:cstheme="minorHAnsi"/>
                <w:lang w:eastAsia="fr-FR"/>
              </w:rPr>
              <w:t xml:space="preserve">FVC, % </w:t>
            </w:r>
            <w:proofErr w:type="spellStart"/>
            <w:r w:rsidRPr="00E87DC1">
              <w:rPr>
                <w:rFonts w:asciiTheme="minorHAnsi" w:hAnsiTheme="minorHAnsi" w:cstheme="minorHAnsi"/>
                <w:lang w:eastAsia="fr-FR"/>
              </w:rPr>
              <w:t>pred</w:t>
            </w:r>
            <w:r w:rsidRPr="00E87DC1">
              <w:rPr>
                <w:rFonts w:asciiTheme="minorHAnsi" w:hAnsiTheme="minorHAnsi" w:cstheme="minorHAnsi"/>
                <w:vertAlign w:val="superscript"/>
                <w:lang w:eastAsia="fr-FR"/>
              </w:rPr>
              <w:t>a</w:t>
            </w:r>
            <w:proofErr w:type="spellEnd"/>
          </w:p>
        </w:tc>
        <w:tc>
          <w:tcPr>
            <w:tcW w:w="833" w:type="pct"/>
            <w:tcBorders>
              <w:top w:val="nil"/>
              <w:left w:val="single" w:sz="2" w:space="0" w:color="auto"/>
              <w:bottom w:val="nil"/>
              <w:right w:val="single" w:sz="2"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eastAsia="fr-FR"/>
              </w:rPr>
            </w:pPr>
            <w:r w:rsidRPr="00E87DC1">
              <w:rPr>
                <w:rFonts w:asciiTheme="minorHAnsi" w:hAnsiTheme="minorHAnsi" w:cstheme="minorHAnsi"/>
                <w:lang w:eastAsia="fr-FR"/>
              </w:rPr>
              <w:t>96 (88-105)</w:t>
            </w:r>
          </w:p>
        </w:tc>
        <w:tc>
          <w:tcPr>
            <w:tcW w:w="765"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eastAsia="fr-FR"/>
              </w:rPr>
            </w:pPr>
            <w:r w:rsidRPr="00E87DC1">
              <w:rPr>
                <w:rFonts w:asciiTheme="minorHAnsi" w:hAnsiTheme="minorHAnsi" w:cstheme="minorHAnsi"/>
                <w:lang w:eastAsia="fr-FR"/>
              </w:rPr>
              <w:t>99 (89-108)</w:t>
            </w:r>
          </w:p>
        </w:tc>
        <w:tc>
          <w:tcPr>
            <w:tcW w:w="583"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eastAsia="fr-FR"/>
              </w:rPr>
            </w:pPr>
            <w:r w:rsidRPr="00E87DC1">
              <w:rPr>
                <w:rFonts w:asciiTheme="minorHAnsi" w:hAnsiTheme="minorHAnsi" w:cstheme="minorHAnsi"/>
                <w:lang w:eastAsia="fr-FR"/>
              </w:rPr>
              <w:t>0.290</w:t>
            </w:r>
          </w:p>
        </w:tc>
        <w:tc>
          <w:tcPr>
            <w:tcW w:w="673"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eastAsia="fr-FR"/>
              </w:rPr>
            </w:pPr>
            <w:r w:rsidRPr="00E87DC1">
              <w:rPr>
                <w:rFonts w:asciiTheme="minorHAnsi" w:hAnsiTheme="minorHAnsi" w:cstheme="minorHAnsi"/>
                <w:lang w:eastAsia="fr-FR"/>
              </w:rPr>
              <w:t>98 (88-107)</w:t>
            </w:r>
          </w:p>
        </w:tc>
        <w:tc>
          <w:tcPr>
            <w:tcW w:w="770"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eastAsia="fr-FR"/>
              </w:rPr>
            </w:pPr>
            <w:r w:rsidRPr="00E87DC1">
              <w:rPr>
                <w:rFonts w:asciiTheme="minorHAnsi" w:hAnsiTheme="minorHAnsi" w:cstheme="minorHAnsi"/>
                <w:lang w:eastAsia="fr-FR"/>
              </w:rPr>
              <w:t>0.600</w:t>
            </w:r>
          </w:p>
        </w:tc>
      </w:tr>
      <w:tr w:rsidR="005F7EB2" w:rsidRPr="00E87DC1" w:rsidTr="00A4038B">
        <w:trPr>
          <w:trHeight w:val="428"/>
        </w:trPr>
        <w:tc>
          <w:tcPr>
            <w:tcW w:w="1377" w:type="pct"/>
            <w:tcBorders>
              <w:top w:val="nil"/>
              <w:left w:val="single" w:sz="2" w:space="0" w:color="auto"/>
              <w:bottom w:val="nil"/>
              <w:right w:val="single" w:sz="2"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eastAsia="fr-FR"/>
              </w:rPr>
            </w:pPr>
            <w:r w:rsidRPr="00E87DC1">
              <w:rPr>
                <w:rFonts w:asciiTheme="minorHAnsi" w:hAnsiTheme="minorHAnsi" w:cstheme="minorHAnsi"/>
                <w:lang w:val="en-US" w:eastAsia="fr-FR"/>
              </w:rPr>
              <w:t>FEV</w:t>
            </w:r>
            <w:r w:rsidRPr="00E87DC1">
              <w:rPr>
                <w:rFonts w:asciiTheme="minorHAnsi" w:hAnsiTheme="minorHAnsi" w:cstheme="minorHAnsi"/>
                <w:vertAlign w:val="subscript"/>
                <w:lang w:val="en-US" w:eastAsia="fr-FR"/>
              </w:rPr>
              <w:t>1</w:t>
            </w:r>
            <w:r w:rsidRPr="00E87DC1">
              <w:rPr>
                <w:rFonts w:asciiTheme="minorHAnsi" w:hAnsiTheme="minorHAnsi" w:cstheme="minorHAnsi"/>
                <w:lang w:val="en-US" w:eastAsia="fr-FR"/>
              </w:rPr>
              <w:t xml:space="preserve">, % </w:t>
            </w:r>
            <w:proofErr w:type="spellStart"/>
            <w:r w:rsidRPr="00E87DC1">
              <w:rPr>
                <w:rFonts w:asciiTheme="minorHAnsi" w:hAnsiTheme="minorHAnsi" w:cstheme="minorHAnsi"/>
                <w:lang w:val="en-US" w:eastAsia="fr-FR"/>
              </w:rPr>
              <w:t>pred</w:t>
            </w:r>
            <w:r w:rsidRPr="00E87DC1">
              <w:rPr>
                <w:rFonts w:asciiTheme="minorHAnsi" w:hAnsiTheme="minorHAnsi" w:cstheme="minorHAnsi"/>
                <w:vertAlign w:val="superscript"/>
                <w:lang w:val="en-US" w:eastAsia="fr-FR"/>
              </w:rPr>
              <w:t>a</w:t>
            </w:r>
            <w:proofErr w:type="spellEnd"/>
          </w:p>
        </w:tc>
        <w:tc>
          <w:tcPr>
            <w:tcW w:w="833" w:type="pct"/>
            <w:tcBorders>
              <w:top w:val="nil"/>
              <w:left w:val="single" w:sz="2" w:space="0" w:color="auto"/>
              <w:bottom w:val="nil"/>
              <w:right w:val="single" w:sz="2"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93 (83-100)</w:t>
            </w:r>
          </w:p>
        </w:tc>
        <w:tc>
          <w:tcPr>
            <w:tcW w:w="765"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91 (82-100)</w:t>
            </w:r>
          </w:p>
        </w:tc>
        <w:tc>
          <w:tcPr>
            <w:tcW w:w="583"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0.570</w:t>
            </w:r>
          </w:p>
        </w:tc>
        <w:tc>
          <w:tcPr>
            <w:tcW w:w="673"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89 (81-98)</w:t>
            </w:r>
          </w:p>
        </w:tc>
        <w:tc>
          <w:tcPr>
            <w:tcW w:w="770"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0.250</w:t>
            </w:r>
          </w:p>
        </w:tc>
      </w:tr>
      <w:tr w:rsidR="005F7EB2" w:rsidRPr="00E87DC1" w:rsidTr="00A4038B">
        <w:trPr>
          <w:trHeight w:val="527"/>
        </w:trPr>
        <w:tc>
          <w:tcPr>
            <w:tcW w:w="1377" w:type="pct"/>
            <w:tcBorders>
              <w:top w:val="nil"/>
              <w:left w:val="single" w:sz="2" w:space="0" w:color="auto"/>
              <w:bottom w:val="nil"/>
              <w:right w:val="single" w:sz="2"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FEV</w:t>
            </w:r>
            <w:r w:rsidRPr="00E87DC1">
              <w:rPr>
                <w:rFonts w:asciiTheme="minorHAnsi" w:hAnsiTheme="minorHAnsi" w:cstheme="minorHAnsi"/>
                <w:vertAlign w:val="subscript"/>
                <w:lang w:val="en-US" w:eastAsia="fr-FR"/>
              </w:rPr>
              <w:t>1</w:t>
            </w:r>
            <w:r w:rsidRPr="00E87DC1">
              <w:rPr>
                <w:rFonts w:asciiTheme="minorHAnsi" w:hAnsiTheme="minorHAnsi" w:cstheme="minorHAnsi"/>
                <w:lang w:val="en-US" w:eastAsia="fr-FR"/>
              </w:rPr>
              <w:t>/FVC</w:t>
            </w:r>
            <w:r w:rsidRPr="00E87DC1">
              <w:rPr>
                <w:rFonts w:asciiTheme="minorHAnsi" w:hAnsiTheme="minorHAnsi" w:cstheme="minorHAnsi"/>
                <w:vertAlign w:val="superscript"/>
                <w:lang w:eastAsia="fr-FR"/>
              </w:rPr>
              <w:t>a</w:t>
            </w:r>
          </w:p>
        </w:tc>
        <w:tc>
          <w:tcPr>
            <w:tcW w:w="833" w:type="pct"/>
            <w:tcBorders>
              <w:top w:val="nil"/>
              <w:left w:val="single" w:sz="2" w:space="0" w:color="auto"/>
              <w:bottom w:val="nil"/>
              <w:right w:val="single" w:sz="2"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81 (76-85)</w:t>
            </w:r>
          </w:p>
        </w:tc>
        <w:tc>
          <w:tcPr>
            <w:tcW w:w="765"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77 (71-82)</w:t>
            </w:r>
          </w:p>
        </w:tc>
        <w:tc>
          <w:tcPr>
            <w:tcW w:w="583"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lang w:val="en-US" w:eastAsia="fr-FR"/>
              </w:rPr>
            </w:pPr>
            <w:r w:rsidRPr="00E87DC1">
              <w:rPr>
                <w:rFonts w:asciiTheme="minorHAnsi" w:hAnsiTheme="minorHAnsi" w:cstheme="minorHAnsi"/>
                <w:b/>
                <w:lang w:val="en-US" w:eastAsia="fr-FR"/>
              </w:rPr>
              <w:t>0.001</w:t>
            </w:r>
          </w:p>
        </w:tc>
        <w:tc>
          <w:tcPr>
            <w:tcW w:w="673"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76 (70-82)</w:t>
            </w:r>
          </w:p>
        </w:tc>
        <w:tc>
          <w:tcPr>
            <w:tcW w:w="770" w:type="pct"/>
            <w:tcBorders>
              <w:top w:val="nil"/>
              <w:left w:val="single" w:sz="2" w:space="0" w:color="auto"/>
              <w:bottom w:val="nil"/>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lang w:val="en-US" w:eastAsia="fr-FR"/>
              </w:rPr>
            </w:pPr>
            <w:r w:rsidRPr="00E87DC1">
              <w:rPr>
                <w:rFonts w:asciiTheme="minorHAnsi" w:hAnsiTheme="minorHAnsi" w:cstheme="minorHAnsi"/>
                <w:b/>
                <w:lang w:val="en-US" w:eastAsia="fr-FR"/>
              </w:rPr>
              <w:t>&lt;0.001</w:t>
            </w:r>
          </w:p>
        </w:tc>
      </w:tr>
      <w:tr w:rsidR="005F7EB2" w:rsidRPr="00E87DC1" w:rsidTr="00A4038B">
        <w:trPr>
          <w:trHeight w:val="428"/>
        </w:trPr>
        <w:tc>
          <w:tcPr>
            <w:tcW w:w="1377" w:type="pct"/>
            <w:tcBorders>
              <w:top w:val="nil"/>
              <w:left w:val="single" w:sz="4" w:space="0" w:color="auto"/>
              <w:bottom w:val="single" w:sz="4" w:space="0" w:color="auto"/>
              <w:right w:val="single" w:sz="4" w:space="0" w:color="auto"/>
            </w:tcBorders>
            <w:shd w:val="clear" w:color="auto" w:fill="auto"/>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 xml:space="preserve">Airflow </w:t>
            </w:r>
            <w:proofErr w:type="spellStart"/>
            <w:r w:rsidRPr="00E87DC1">
              <w:rPr>
                <w:rFonts w:asciiTheme="minorHAnsi" w:hAnsiTheme="minorHAnsi" w:cstheme="minorHAnsi"/>
                <w:lang w:val="en-US" w:eastAsia="fr-FR"/>
              </w:rPr>
              <w:t>obstruction</w:t>
            </w:r>
            <w:r w:rsidRPr="00E87DC1">
              <w:rPr>
                <w:rFonts w:asciiTheme="minorHAnsi" w:hAnsiTheme="minorHAnsi" w:cstheme="minorHAnsi"/>
                <w:vertAlign w:val="superscript"/>
                <w:lang w:val="en-US" w:eastAsia="fr-FR"/>
              </w:rPr>
              <w:t>b</w:t>
            </w:r>
            <w:proofErr w:type="spellEnd"/>
          </w:p>
        </w:tc>
        <w:tc>
          <w:tcPr>
            <w:tcW w:w="833" w:type="pct"/>
            <w:tcBorders>
              <w:top w:val="nil"/>
              <w:left w:val="single" w:sz="4" w:space="0" w:color="auto"/>
              <w:bottom w:val="single" w:sz="4" w:space="0" w:color="auto"/>
              <w:right w:val="single" w:sz="4" w:space="0" w:color="auto"/>
            </w:tcBorders>
            <w:shd w:val="clear" w:color="auto" w:fill="auto"/>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3 (5.5)</w:t>
            </w:r>
          </w:p>
        </w:tc>
        <w:tc>
          <w:tcPr>
            <w:tcW w:w="765" w:type="pct"/>
            <w:tcBorders>
              <w:top w:val="nil"/>
              <w:left w:val="single" w:sz="4" w:space="0" w:color="auto"/>
              <w:bottom w:val="single" w:sz="4" w:space="0" w:color="auto"/>
              <w:right w:val="single" w:sz="4"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48 (11.5)</w:t>
            </w:r>
          </w:p>
        </w:tc>
        <w:tc>
          <w:tcPr>
            <w:tcW w:w="583" w:type="pct"/>
            <w:tcBorders>
              <w:top w:val="nil"/>
              <w:left w:val="single" w:sz="4" w:space="0" w:color="auto"/>
              <w:bottom w:val="single" w:sz="4" w:space="0" w:color="auto"/>
              <w:right w:val="single" w:sz="4"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0.250</w:t>
            </w:r>
          </w:p>
        </w:tc>
        <w:tc>
          <w:tcPr>
            <w:tcW w:w="673"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13 (10.4)</w:t>
            </w:r>
          </w:p>
        </w:tc>
        <w:tc>
          <w:tcPr>
            <w:tcW w:w="770"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0.400</w:t>
            </w:r>
          </w:p>
        </w:tc>
      </w:tr>
      <w:tr w:rsidR="005F7EB2" w:rsidRPr="00E87DC1" w:rsidTr="00A4038B">
        <w:trPr>
          <w:trHeight w:val="428"/>
        </w:trPr>
        <w:tc>
          <w:tcPr>
            <w:tcW w:w="1377"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rPr>
                <w:rFonts w:asciiTheme="minorHAnsi" w:hAnsiTheme="minorHAnsi" w:cstheme="minorHAnsi"/>
                <w:lang w:val="en-US" w:eastAsia="fr-FR"/>
              </w:rPr>
            </w:pPr>
            <w:r w:rsidRPr="00E87DC1">
              <w:rPr>
                <w:rFonts w:asciiTheme="minorHAnsi" w:hAnsiTheme="minorHAnsi" w:cstheme="minorHAnsi"/>
                <w:lang w:val="en-US" w:eastAsia="fr-FR"/>
              </w:rPr>
              <w:t>Baseline level of NSBH:</w:t>
            </w:r>
          </w:p>
        </w:tc>
        <w:tc>
          <w:tcPr>
            <w:tcW w:w="833"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(n=48)</w:t>
            </w:r>
          </w:p>
        </w:tc>
        <w:tc>
          <w:tcPr>
            <w:tcW w:w="765"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(n=390)</w:t>
            </w:r>
          </w:p>
        </w:tc>
        <w:tc>
          <w:tcPr>
            <w:tcW w:w="58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0.760</w:t>
            </w:r>
          </w:p>
        </w:tc>
        <w:tc>
          <w:tcPr>
            <w:tcW w:w="67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(n=119)</w:t>
            </w:r>
          </w:p>
        </w:tc>
        <w:tc>
          <w:tcPr>
            <w:tcW w:w="770"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0.080</w:t>
            </w:r>
          </w:p>
        </w:tc>
      </w:tr>
      <w:tr w:rsidR="005F7EB2" w:rsidRPr="00E87DC1" w:rsidTr="00A4038B">
        <w:trPr>
          <w:trHeight w:val="428"/>
        </w:trPr>
        <w:tc>
          <w:tcPr>
            <w:tcW w:w="1377"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Absent</w:t>
            </w:r>
          </w:p>
        </w:tc>
        <w:tc>
          <w:tcPr>
            <w:tcW w:w="833"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16 (33.3)</w:t>
            </w:r>
          </w:p>
        </w:tc>
        <w:tc>
          <w:tcPr>
            <w:tcW w:w="765"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114 (29.2)</w:t>
            </w:r>
          </w:p>
        </w:tc>
        <w:tc>
          <w:tcPr>
            <w:tcW w:w="58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p>
        </w:tc>
        <w:tc>
          <w:tcPr>
            <w:tcW w:w="67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21 (17.6)</w:t>
            </w:r>
          </w:p>
        </w:tc>
        <w:tc>
          <w:tcPr>
            <w:tcW w:w="770"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p>
        </w:tc>
      </w:tr>
      <w:tr w:rsidR="005F7EB2" w:rsidRPr="00E87DC1" w:rsidTr="00A4038B">
        <w:trPr>
          <w:trHeight w:val="428"/>
        </w:trPr>
        <w:tc>
          <w:tcPr>
            <w:tcW w:w="1377"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Mild</w:t>
            </w:r>
          </w:p>
        </w:tc>
        <w:tc>
          <w:tcPr>
            <w:tcW w:w="833"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21 (43.8)</w:t>
            </w:r>
          </w:p>
        </w:tc>
        <w:tc>
          <w:tcPr>
            <w:tcW w:w="765"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169 (43.3)</w:t>
            </w:r>
          </w:p>
        </w:tc>
        <w:tc>
          <w:tcPr>
            <w:tcW w:w="58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p>
        </w:tc>
        <w:tc>
          <w:tcPr>
            <w:tcW w:w="67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57 (47.9)</w:t>
            </w:r>
          </w:p>
        </w:tc>
        <w:tc>
          <w:tcPr>
            <w:tcW w:w="770"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p>
        </w:tc>
      </w:tr>
      <w:tr w:rsidR="005F7EB2" w:rsidRPr="00E87DC1" w:rsidTr="00A4038B">
        <w:trPr>
          <w:trHeight w:val="428"/>
        </w:trPr>
        <w:tc>
          <w:tcPr>
            <w:tcW w:w="1377" w:type="pct"/>
            <w:tcBorders>
              <w:top w:val="nil"/>
              <w:left w:val="single" w:sz="4" w:space="0" w:color="auto"/>
              <w:bottom w:val="single" w:sz="4" w:space="0" w:color="auto"/>
              <w:right w:val="single" w:sz="4"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Moderate-to-severe</w:t>
            </w:r>
          </w:p>
        </w:tc>
        <w:tc>
          <w:tcPr>
            <w:tcW w:w="833" w:type="pct"/>
            <w:tcBorders>
              <w:top w:val="nil"/>
              <w:left w:val="single" w:sz="4" w:space="0" w:color="auto"/>
              <w:bottom w:val="single" w:sz="4" w:space="0" w:color="auto"/>
              <w:right w:val="single" w:sz="4"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11 (22.9)</w:t>
            </w:r>
          </w:p>
        </w:tc>
        <w:tc>
          <w:tcPr>
            <w:tcW w:w="765"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107 (27.4)</w:t>
            </w:r>
          </w:p>
        </w:tc>
        <w:tc>
          <w:tcPr>
            <w:tcW w:w="583"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p>
        </w:tc>
        <w:tc>
          <w:tcPr>
            <w:tcW w:w="673"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41 (34.5)</w:t>
            </w:r>
          </w:p>
        </w:tc>
        <w:tc>
          <w:tcPr>
            <w:tcW w:w="770"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p>
        </w:tc>
      </w:tr>
      <w:tr w:rsidR="005F7EB2" w:rsidRPr="00E87DC1" w:rsidTr="00A4038B">
        <w:trPr>
          <w:trHeight w:val="428"/>
        </w:trPr>
        <w:tc>
          <w:tcPr>
            <w:tcW w:w="1377"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rPr>
                <w:rFonts w:asciiTheme="minorHAnsi" w:hAnsiTheme="minorHAnsi" w:cstheme="minorHAnsi"/>
                <w:lang w:val="en-US" w:eastAsia="fr-FR"/>
              </w:rPr>
            </w:pPr>
            <w:r w:rsidRPr="00E87DC1">
              <w:rPr>
                <w:rFonts w:asciiTheme="minorHAnsi" w:hAnsiTheme="minorHAnsi" w:cstheme="minorHAnsi"/>
                <w:lang w:val="en-US" w:eastAsia="fr-FR"/>
              </w:rPr>
              <w:t xml:space="preserve">Post-challenge change in </w:t>
            </w:r>
            <w:proofErr w:type="spellStart"/>
            <w:r w:rsidRPr="00E87DC1">
              <w:rPr>
                <w:rFonts w:asciiTheme="minorHAnsi" w:hAnsiTheme="minorHAnsi" w:cstheme="minorHAnsi"/>
                <w:lang w:val="en-US" w:eastAsia="fr-FR"/>
              </w:rPr>
              <w:t>NSBH</w:t>
            </w:r>
            <w:r w:rsidRPr="00E87DC1">
              <w:rPr>
                <w:rFonts w:asciiTheme="minorHAnsi" w:hAnsiTheme="minorHAnsi" w:cstheme="minorHAnsi"/>
                <w:vertAlign w:val="superscript"/>
                <w:lang w:val="en-US" w:eastAsia="fr-FR"/>
              </w:rPr>
              <w:t>c</w:t>
            </w:r>
            <w:proofErr w:type="spellEnd"/>
          </w:p>
        </w:tc>
        <w:tc>
          <w:tcPr>
            <w:tcW w:w="833"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(n=24)</w:t>
            </w:r>
          </w:p>
        </w:tc>
        <w:tc>
          <w:tcPr>
            <w:tcW w:w="765"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(n=219)</w:t>
            </w:r>
          </w:p>
        </w:tc>
        <w:tc>
          <w:tcPr>
            <w:tcW w:w="58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p>
        </w:tc>
        <w:tc>
          <w:tcPr>
            <w:tcW w:w="67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(n=55)</w:t>
            </w:r>
          </w:p>
        </w:tc>
        <w:tc>
          <w:tcPr>
            <w:tcW w:w="770"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p>
        </w:tc>
      </w:tr>
      <w:tr w:rsidR="005F7EB2" w:rsidRPr="00E87DC1" w:rsidTr="00A4038B">
        <w:trPr>
          <w:trHeight w:val="428"/>
        </w:trPr>
        <w:tc>
          <w:tcPr>
            <w:tcW w:w="1377" w:type="pct"/>
            <w:tcBorders>
              <w:top w:val="nil"/>
              <w:left w:val="single" w:sz="4" w:space="0" w:color="auto"/>
              <w:bottom w:val="single" w:sz="4" w:space="0" w:color="auto"/>
              <w:right w:val="single" w:sz="4" w:space="0" w:color="auto"/>
            </w:tcBorders>
            <w:shd w:val="clear" w:color="auto" w:fill="auto"/>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Pre/post-SIC NSBH ratio</w:t>
            </w:r>
          </w:p>
        </w:tc>
        <w:tc>
          <w:tcPr>
            <w:tcW w:w="833" w:type="pct"/>
            <w:tcBorders>
              <w:top w:val="nil"/>
              <w:left w:val="single" w:sz="4" w:space="0" w:color="auto"/>
              <w:bottom w:val="single" w:sz="4" w:space="0" w:color="auto"/>
              <w:right w:val="single" w:sz="4" w:space="0" w:color="auto"/>
            </w:tcBorders>
            <w:shd w:val="clear" w:color="auto" w:fill="auto"/>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eastAsia="fr-FR"/>
              </w:rPr>
            </w:pPr>
            <w:r w:rsidRPr="00E87DC1">
              <w:rPr>
                <w:rFonts w:asciiTheme="minorHAnsi" w:hAnsiTheme="minorHAnsi" w:cstheme="minorHAnsi"/>
                <w:lang w:eastAsia="fr-FR"/>
              </w:rPr>
              <w:t>2.0 (1.0-3.9)</w:t>
            </w:r>
          </w:p>
        </w:tc>
        <w:tc>
          <w:tcPr>
            <w:tcW w:w="765"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2.0 (1.0-4.3)</w:t>
            </w:r>
          </w:p>
        </w:tc>
        <w:tc>
          <w:tcPr>
            <w:tcW w:w="583"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0.730</w:t>
            </w:r>
          </w:p>
        </w:tc>
        <w:tc>
          <w:tcPr>
            <w:tcW w:w="673"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2.3 (1.0-4.9)</w:t>
            </w:r>
          </w:p>
        </w:tc>
        <w:tc>
          <w:tcPr>
            <w:tcW w:w="770" w:type="pct"/>
            <w:tcBorders>
              <w:top w:val="nil"/>
              <w:left w:val="single" w:sz="4" w:space="0" w:color="auto"/>
              <w:bottom w:val="single" w:sz="4" w:space="0" w:color="auto"/>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0.430</w:t>
            </w:r>
          </w:p>
        </w:tc>
      </w:tr>
      <w:tr w:rsidR="005F7EB2" w:rsidRPr="00E87DC1" w:rsidTr="00A4038B">
        <w:trPr>
          <w:trHeight w:val="428"/>
        </w:trPr>
        <w:tc>
          <w:tcPr>
            <w:tcW w:w="1377" w:type="pct"/>
            <w:tcBorders>
              <w:top w:val="single" w:sz="4" w:space="0" w:color="auto"/>
              <w:left w:val="single" w:sz="4" w:space="0" w:color="auto"/>
              <w:bottom w:val="nil"/>
              <w:right w:val="single" w:sz="4" w:space="0" w:color="auto"/>
            </w:tcBorders>
            <w:shd w:val="clear" w:color="auto" w:fill="auto"/>
            <w:vAlign w:val="center"/>
          </w:tcPr>
          <w:p w:rsidR="005F7EB2" w:rsidRPr="00E87DC1" w:rsidRDefault="005F7EB2" w:rsidP="00A4038B">
            <w:pPr>
              <w:tabs>
                <w:tab w:val="center" w:pos="4536"/>
                <w:tab w:val="right" w:pos="9072"/>
              </w:tabs>
              <w:rPr>
                <w:rFonts w:asciiTheme="minorHAnsi" w:hAnsiTheme="minorHAnsi" w:cstheme="minorHAnsi"/>
                <w:lang w:val="en-US" w:eastAsia="fr-FR"/>
              </w:rPr>
            </w:pPr>
            <w:r w:rsidRPr="00E87DC1">
              <w:rPr>
                <w:rFonts w:asciiTheme="minorHAnsi" w:hAnsiTheme="minorHAnsi" w:cstheme="minorHAnsi"/>
                <w:lang w:val="en-US" w:eastAsia="fr-FR"/>
              </w:rPr>
              <w:t>Pattern of bronchial response to SIC</w:t>
            </w:r>
          </w:p>
        </w:tc>
        <w:tc>
          <w:tcPr>
            <w:tcW w:w="833" w:type="pct"/>
            <w:tcBorders>
              <w:top w:val="single" w:sz="4" w:space="0" w:color="auto"/>
              <w:left w:val="single" w:sz="4" w:space="0" w:color="auto"/>
              <w:bottom w:val="nil"/>
              <w:right w:val="single" w:sz="4" w:space="0" w:color="auto"/>
            </w:tcBorders>
            <w:shd w:val="clear" w:color="auto" w:fill="auto"/>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(n=54)</w:t>
            </w:r>
          </w:p>
        </w:tc>
        <w:tc>
          <w:tcPr>
            <w:tcW w:w="765" w:type="pct"/>
            <w:tcBorders>
              <w:top w:val="single" w:sz="4" w:space="0" w:color="auto"/>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(n=385)</w:t>
            </w:r>
          </w:p>
        </w:tc>
        <w:tc>
          <w:tcPr>
            <w:tcW w:w="583" w:type="pct"/>
            <w:tcBorders>
              <w:top w:val="single" w:sz="4" w:space="0" w:color="auto"/>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p>
        </w:tc>
        <w:tc>
          <w:tcPr>
            <w:tcW w:w="673" w:type="pct"/>
            <w:tcBorders>
              <w:top w:val="single" w:sz="4" w:space="0" w:color="auto"/>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(n=113)</w:t>
            </w:r>
          </w:p>
        </w:tc>
        <w:tc>
          <w:tcPr>
            <w:tcW w:w="770" w:type="pct"/>
            <w:tcBorders>
              <w:top w:val="single" w:sz="4" w:space="0" w:color="auto"/>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p>
        </w:tc>
      </w:tr>
      <w:tr w:rsidR="005F7EB2" w:rsidRPr="00E87DC1" w:rsidTr="00A4038B">
        <w:trPr>
          <w:trHeight w:val="428"/>
        </w:trPr>
        <w:tc>
          <w:tcPr>
            <w:tcW w:w="1377"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Isolated early</w:t>
            </w:r>
          </w:p>
        </w:tc>
        <w:tc>
          <w:tcPr>
            <w:tcW w:w="833"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12 (21.8)</w:t>
            </w:r>
          </w:p>
        </w:tc>
        <w:tc>
          <w:tcPr>
            <w:tcW w:w="765"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112 (27.1)</w:t>
            </w:r>
          </w:p>
        </w:tc>
        <w:tc>
          <w:tcPr>
            <w:tcW w:w="58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0.270</w:t>
            </w:r>
          </w:p>
        </w:tc>
        <w:tc>
          <w:tcPr>
            <w:tcW w:w="67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23 (18.7)</w:t>
            </w:r>
          </w:p>
        </w:tc>
        <w:tc>
          <w:tcPr>
            <w:tcW w:w="770"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0.680</w:t>
            </w:r>
          </w:p>
        </w:tc>
      </w:tr>
      <w:tr w:rsidR="005F7EB2" w:rsidRPr="00E87DC1" w:rsidTr="00A4038B">
        <w:trPr>
          <w:trHeight w:val="428"/>
        </w:trPr>
        <w:tc>
          <w:tcPr>
            <w:tcW w:w="1377"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Isolated late</w:t>
            </w:r>
          </w:p>
        </w:tc>
        <w:tc>
          <w:tcPr>
            <w:tcW w:w="833"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24 (43.6)</w:t>
            </w:r>
          </w:p>
        </w:tc>
        <w:tc>
          <w:tcPr>
            <w:tcW w:w="765"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141 (34.1)</w:t>
            </w:r>
          </w:p>
        </w:tc>
        <w:tc>
          <w:tcPr>
            <w:tcW w:w="58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0.270</w:t>
            </w:r>
          </w:p>
        </w:tc>
        <w:tc>
          <w:tcPr>
            <w:tcW w:w="67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44 (35.5)</w:t>
            </w:r>
          </w:p>
        </w:tc>
        <w:tc>
          <w:tcPr>
            <w:tcW w:w="770"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0.320</w:t>
            </w:r>
          </w:p>
        </w:tc>
      </w:tr>
      <w:tr w:rsidR="005F7EB2" w:rsidRPr="00E87DC1" w:rsidTr="008F584C">
        <w:trPr>
          <w:trHeight w:val="428"/>
        </w:trPr>
        <w:tc>
          <w:tcPr>
            <w:tcW w:w="1377"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ind w:left="318"/>
              <w:rPr>
                <w:rFonts w:asciiTheme="minorHAnsi" w:hAnsiTheme="minorHAnsi" w:cstheme="minorHAnsi"/>
                <w:lang w:val="en-US" w:eastAsia="fr-FR"/>
              </w:rPr>
            </w:pPr>
            <w:r w:rsidRPr="00E87DC1">
              <w:rPr>
                <w:rFonts w:asciiTheme="minorHAnsi" w:hAnsiTheme="minorHAnsi" w:cstheme="minorHAnsi"/>
                <w:lang w:val="en-US" w:eastAsia="fr-FR"/>
              </w:rPr>
              <w:t>Both early and late components</w:t>
            </w:r>
          </w:p>
        </w:tc>
        <w:tc>
          <w:tcPr>
            <w:tcW w:w="833" w:type="pct"/>
            <w:tcBorders>
              <w:top w:val="nil"/>
              <w:left w:val="single" w:sz="4" w:space="0" w:color="auto"/>
              <w:bottom w:val="nil"/>
              <w:right w:val="single" w:sz="4" w:space="0" w:color="auto"/>
            </w:tcBorders>
            <w:vAlign w:val="center"/>
            <w:hideMark/>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18 (32.7)</w:t>
            </w:r>
          </w:p>
        </w:tc>
        <w:tc>
          <w:tcPr>
            <w:tcW w:w="765"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132 (31.9)</w:t>
            </w:r>
          </w:p>
        </w:tc>
        <w:tc>
          <w:tcPr>
            <w:tcW w:w="58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lang w:val="en-US" w:eastAsia="fr-FR"/>
              </w:rPr>
            </w:pPr>
            <w:r w:rsidRPr="00E87DC1">
              <w:rPr>
                <w:rFonts w:asciiTheme="minorHAnsi" w:hAnsiTheme="minorHAnsi" w:cstheme="minorHAnsi"/>
                <w:lang w:val="en-US" w:eastAsia="fr-FR"/>
              </w:rPr>
              <w:t>0.270</w:t>
            </w:r>
          </w:p>
        </w:tc>
        <w:tc>
          <w:tcPr>
            <w:tcW w:w="673"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46 (36.8)</w:t>
            </w:r>
          </w:p>
        </w:tc>
        <w:tc>
          <w:tcPr>
            <w:tcW w:w="770" w:type="pct"/>
            <w:tcBorders>
              <w:top w:val="nil"/>
              <w:left w:val="single" w:sz="4" w:space="0" w:color="auto"/>
              <w:bottom w:val="nil"/>
              <w:right w:val="single" w:sz="4"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lang w:val="en-US" w:eastAsia="fr-FR"/>
              </w:rPr>
            </w:pPr>
            <w:r w:rsidRPr="00E87DC1">
              <w:rPr>
                <w:rFonts w:asciiTheme="minorHAnsi" w:hAnsiTheme="minorHAnsi" w:cstheme="minorHAnsi"/>
                <w:lang w:val="en-US" w:eastAsia="fr-FR"/>
              </w:rPr>
              <w:t>0.610</w:t>
            </w:r>
          </w:p>
        </w:tc>
      </w:tr>
      <w:tr w:rsidR="008F584C" w:rsidRPr="00E87DC1" w:rsidTr="00A4038B">
        <w:trPr>
          <w:trHeight w:val="428"/>
        </w:trPr>
        <w:tc>
          <w:tcPr>
            <w:tcW w:w="1377" w:type="pct"/>
            <w:tcBorders>
              <w:top w:val="nil"/>
              <w:left w:val="single" w:sz="4" w:space="0" w:color="auto"/>
              <w:bottom w:val="single" w:sz="4" w:space="0" w:color="auto"/>
              <w:right w:val="single" w:sz="4" w:space="0" w:color="auto"/>
            </w:tcBorders>
            <w:vAlign w:val="center"/>
          </w:tcPr>
          <w:p w:rsidR="008F584C" w:rsidRPr="00E87DC1" w:rsidRDefault="008F584C" w:rsidP="00A4038B">
            <w:pPr>
              <w:tabs>
                <w:tab w:val="center" w:pos="4536"/>
                <w:tab w:val="right" w:pos="9072"/>
              </w:tabs>
              <w:autoSpaceDN w:val="0"/>
              <w:ind w:left="318"/>
              <w:rPr>
                <w:rFonts w:cstheme="minorHAnsi"/>
                <w:lang w:val="en-US" w:eastAsia="fr-FR"/>
              </w:rPr>
            </w:pPr>
          </w:p>
        </w:tc>
        <w:tc>
          <w:tcPr>
            <w:tcW w:w="833" w:type="pct"/>
            <w:tcBorders>
              <w:top w:val="nil"/>
              <w:left w:val="single" w:sz="4" w:space="0" w:color="auto"/>
              <w:bottom w:val="single" w:sz="4" w:space="0" w:color="auto"/>
              <w:right w:val="single" w:sz="4" w:space="0" w:color="auto"/>
            </w:tcBorders>
            <w:vAlign w:val="center"/>
          </w:tcPr>
          <w:p w:rsidR="008F584C" w:rsidRPr="00E87DC1" w:rsidRDefault="008F584C" w:rsidP="00A4038B">
            <w:pPr>
              <w:tabs>
                <w:tab w:val="center" w:pos="4536"/>
                <w:tab w:val="right" w:pos="9072"/>
              </w:tabs>
              <w:autoSpaceDN w:val="0"/>
              <w:jc w:val="center"/>
              <w:rPr>
                <w:rFonts w:cstheme="minorHAnsi"/>
                <w:lang w:val="en-US" w:eastAsia="fr-FR"/>
              </w:rPr>
            </w:pPr>
          </w:p>
        </w:tc>
        <w:tc>
          <w:tcPr>
            <w:tcW w:w="765" w:type="pct"/>
            <w:tcBorders>
              <w:top w:val="nil"/>
              <w:left w:val="single" w:sz="4" w:space="0" w:color="auto"/>
              <w:bottom w:val="single" w:sz="4" w:space="0" w:color="auto"/>
              <w:right w:val="single" w:sz="4" w:space="0" w:color="auto"/>
            </w:tcBorders>
            <w:vAlign w:val="center"/>
          </w:tcPr>
          <w:p w:rsidR="008F584C" w:rsidRPr="00E87DC1" w:rsidRDefault="008F584C" w:rsidP="00A4038B">
            <w:pPr>
              <w:tabs>
                <w:tab w:val="center" w:pos="4536"/>
                <w:tab w:val="right" w:pos="9072"/>
              </w:tabs>
              <w:jc w:val="center"/>
              <w:rPr>
                <w:rFonts w:cstheme="minorHAnsi"/>
                <w:lang w:val="en-US" w:eastAsia="fr-FR"/>
              </w:rPr>
            </w:pPr>
          </w:p>
        </w:tc>
        <w:tc>
          <w:tcPr>
            <w:tcW w:w="583" w:type="pct"/>
            <w:tcBorders>
              <w:top w:val="nil"/>
              <w:left w:val="single" w:sz="4" w:space="0" w:color="auto"/>
              <w:bottom w:val="single" w:sz="4" w:space="0" w:color="auto"/>
              <w:right w:val="single" w:sz="4" w:space="0" w:color="auto"/>
            </w:tcBorders>
            <w:vAlign w:val="center"/>
          </w:tcPr>
          <w:p w:rsidR="008F584C" w:rsidRPr="00E87DC1" w:rsidRDefault="008F584C" w:rsidP="00A4038B">
            <w:pPr>
              <w:tabs>
                <w:tab w:val="center" w:pos="4536"/>
                <w:tab w:val="right" w:pos="9072"/>
              </w:tabs>
              <w:jc w:val="center"/>
              <w:rPr>
                <w:rFonts w:cstheme="minorHAnsi"/>
                <w:lang w:val="en-US" w:eastAsia="fr-FR"/>
              </w:rPr>
            </w:pPr>
          </w:p>
        </w:tc>
        <w:tc>
          <w:tcPr>
            <w:tcW w:w="673" w:type="pct"/>
            <w:tcBorders>
              <w:top w:val="nil"/>
              <w:left w:val="single" w:sz="4" w:space="0" w:color="auto"/>
              <w:bottom w:val="single" w:sz="4" w:space="0" w:color="auto"/>
              <w:right w:val="single" w:sz="4" w:space="0" w:color="auto"/>
            </w:tcBorders>
            <w:vAlign w:val="center"/>
          </w:tcPr>
          <w:p w:rsidR="008F584C" w:rsidRPr="00E87DC1" w:rsidRDefault="008F584C" w:rsidP="00A4038B">
            <w:pPr>
              <w:tabs>
                <w:tab w:val="center" w:pos="4536"/>
                <w:tab w:val="right" w:pos="9072"/>
              </w:tabs>
              <w:autoSpaceDN w:val="0"/>
              <w:jc w:val="center"/>
              <w:rPr>
                <w:rFonts w:cstheme="minorHAnsi"/>
                <w:lang w:val="en-US" w:eastAsia="fr-FR"/>
              </w:rPr>
            </w:pPr>
          </w:p>
        </w:tc>
        <w:tc>
          <w:tcPr>
            <w:tcW w:w="770" w:type="pct"/>
            <w:tcBorders>
              <w:top w:val="nil"/>
              <w:left w:val="single" w:sz="4" w:space="0" w:color="auto"/>
              <w:bottom w:val="single" w:sz="4" w:space="0" w:color="auto"/>
              <w:right w:val="single" w:sz="4" w:space="0" w:color="auto"/>
            </w:tcBorders>
            <w:vAlign w:val="center"/>
          </w:tcPr>
          <w:p w:rsidR="008F584C" w:rsidRPr="00E87DC1" w:rsidRDefault="008F584C" w:rsidP="00A4038B">
            <w:pPr>
              <w:tabs>
                <w:tab w:val="center" w:pos="4536"/>
                <w:tab w:val="right" w:pos="9072"/>
              </w:tabs>
              <w:autoSpaceDN w:val="0"/>
              <w:jc w:val="center"/>
              <w:rPr>
                <w:rFonts w:cstheme="minorHAnsi"/>
                <w:lang w:val="en-US" w:eastAsia="fr-FR"/>
              </w:rPr>
            </w:pPr>
          </w:p>
        </w:tc>
      </w:tr>
    </w:tbl>
    <w:p w:rsidR="005F7EB2" w:rsidRPr="00E87DC1" w:rsidRDefault="005F7EB2" w:rsidP="008F584C">
      <w:pPr>
        <w:spacing w:after="0" w:line="240" w:lineRule="auto"/>
        <w:ind w:right="-327"/>
        <w:rPr>
          <w:rFonts w:eastAsia="Times New Roman" w:cstheme="minorHAnsi"/>
          <w:lang w:val="en-US" w:eastAsia="fr-FR"/>
        </w:rPr>
      </w:pPr>
      <w:r w:rsidRPr="00E87DC1">
        <w:rPr>
          <w:rFonts w:eastAsia="Times New Roman" w:cstheme="minorHAnsi"/>
          <w:iCs/>
          <w:color w:val="000000"/>
          <w:lang w:val="en-GB" w:eastAsia="fr-FR"/>
        </w:rPr>
        <w:t>FEV</w:t>
      </w:r>
      <w:r w:rsidRPr="00E87DC1">
        <w:rPr>
          <w:rFonts w:eastAsia="Times New Roman" w:cstheme="minorHAnsi"/>
          <w:iCs/>
          <w:color w:val="000000"/>
          <w:vertAlign w:val="subscript"/>
          <w:lang w:val="en-GB" w:eastAsia="fr-FR"/>
        </w:rPr>
        <w:t>1</w:t>
      </w:r>
      <w:r w:rsidRPr="00E87DC1">
        <w:rPr>
          <w:rFonts w:eastAsia="Times New Roman" w:cstheme="minorHAnsi"/>
          <w:color w:val="000000"/>
          <w:lang w:val="en-GB" w:eastAsia="fr-FR"/>
        </w:rPr>
        <w:t xml:space="preserve">: forced expiratory volume in one-second; </w:t>
      </w:r>
      <w:r w:rsidRPr="00E87DC1">
        <w:rPr>
          <w:rFonts w:eastAsia="Times New Roman" w:cstheme="minorHAnsi"/>
          <w:iCs/>
          <w:color w:val="000000"/>
          <w:lang w:val="en-GB" w:eastAsia="fr-FR"/>
        </w:rPr>
        <w:t>FVC</w:t>
      </w:r>
      <w:r w:rsidRPr="00E87DC1">
        <w:rPr>
          <w:rFonts w:eastAsia="Times New Roman" w:cstheme="minorHAnsi"/>
          <w:color w:val="000000"/>
          <w:lang w:val="en-GB" w:eastAsia="fr-FR"/>
        </w:rPr>
        <w:t xml:space="preserve">: forced vital capacity; NSBH: nonspecific bronchial hyperresponsiveness; </w:t>
      </w:r>
      <w:r w:rsidRPr="00E87DC1">
        <w:rPr>
          <w:rFonts w:eastAsia="Times New Roman" w:cstheme="minorHAnsi"/>
          <w:iCs/>
          <w:lang w:val="en-GB" w:eastAsia="fr-FR"/>
        </w:rPr>
        <w:t>SIC</w:t>
      </w:r>
      <w:r w:rsidRPr="00E87DC1">
        <w:rPr>
          <w:rFonts w:eastAsia="Times New Roman" w:cstheme="minorHAnsi"/>
          <w:lang w:val="en-GB" w:eastAsia="fr-FR"/>
        </w:rPr>
        <w:t xml:space="preserve">: specific inhalation challenge. </w:t>
      </w:r>
    </w:p>
    <w:p w:rsidR="005F7EB2" w:rsidRPr="00E87DC1" w:rsidRDefault="005F7EB2" w:rsidP="008F584C">
      <w:pPr>
        <w:tabs>
          <w:tab w:val="left" w:pos="993"/>
          <w:tab w:val="left" w:pos="1080"/>
        </w:tabs>
        <w:spacing w:after="0" w:line="240" w:lineRule="auto"/>
        <w:ind w:right="-327"/>
        <w:rPr>
          <w:rFonts w:eastAsia="Times New Roman" w:cstheme="minorHAnsi"/>
          <w:lang w:val="en-US" w:eastAsia="fr-FR"/>
        </w:rPr>
      </w:pPr>
      <w:r w:rsidRPr="00E87DC1">
        <w:rPr>
          <w:rFonts w:cstheme="minorHAnsi"/>
          <w:vertAlign w:val="superscript"/>
          <w:lang w:val="en-US" w:eastAsia="fr-FR"/>
        </w:rPr>
        <w:t>a</w:t>
      </w:r>
      <w:r w:rsidRPr="00E87DC1">
        <w:rPr>
          <w:rFonts w:eastAsia="Times New Roman" w:cstheme="minorHAnsi"/>
          <w:lang w:val="en-GB" w:eastAsia="fr-FR"/>
        </w:rPr>
        <w:t xml:space="preserve"> </w:t>
      </w:r>
      <w:r w:rsidRPr="00E87DC1">
        <w:rPr>
          <w:rFonts w:eastAsia="Times New Roman" w:cstheme="minorHAnsi"/>
          <w:lang w:val="en-US" w:eastAsia="fr-FR"/>
        </w:rPr>
        <w:t>Median value with interquartile range (IQR) within parentheses;</w:t>
      </w:r>
    </w:p>
    <w:p w:rsidR="005F7EB2" w:rsidRPr="00E87DC1" w:rsidRDefault="005F7EB2" w:rsidP="008F584C">
      <w:pPr>
        <w:spacing w:after="0"/>
        <w:ind w:right="-327"/>
        <w:jc w:val="both"/>
        <w:rPr>
          <w:rFonts w:cstheme="minorHAnsi"/>
          <w:lang w:val="en-US"/>
        </w:rPr>
      </w:pPr>
      <w:r w:rsidRPr="00E87DC1">
        <w:rPr>
          <w:rFonts w:eastAsia="Times New Roman" w:cstheme="minorHAnsi"/>
          <w:vertAlign w:val="superscript"/>
          <w:lang w:val="en-US" w:eastAsia="fr-FR"/>
        </w:rPr>
        <w:t>b</w:t>
      </w:r>
      <w:r w:rsidRPr="00E87DC1">
        <w:rPr>
          <w:rFonts w:eastAsia="Times New Roman" w:cstheme="minorHAnsi"/>
          <w:lang w:val="en-US" w:eastAsia="fr-FR"/>
        </w:rPr>
        <w:t xml:space="preserve"> </w:t>
      </w:r>
      <w:r w:rsidRPr="00E87DC1">
        <w:rPr>
          <w:rFonts w:cstheme="minorHAnsi"/>
          <w:lang w:val="en-US"/>
        </w:rPr>
        <w:t>Airflow obstruction defined by a FEV</w:t>
      </w:r>
      <w:r w:rsidRPr="00E87DC1">
        <w:rPr>
          <w:rFonts w:cstheme="minorHAnsi"/>
          <w:vertAlign w:val="subscript"/>
          <w:lang w:val="en-US"/>
        </w:rPr>
        <w:t>1</w:t>
      </w:r>
      <w:r w:rsidRPr="00E87DC1">
        <w:rPr>
          <w:rFonts w:cstheme="minorHAnsi"/>
          <w:lang w:val="en-US"/>
        </w:rPr>
        <w:t xml:space="preserve"> &lt;80% predicted value and a FEV</w:t>
      </w:r>
      <w:r w:rsidRPr="00E87DC1">
        <w:rPr>
          <w:rFonts w:cstheme="minorHAnsi"/>
          <w:vertAlign w:val="subscript"/>
          <w:lang w:val="en-US"/>
        </w:rPr>
        <w:t>1</w:t>
      </w:r>
      <w:r w:rsidRPr="00E87DC1">
        <w:rPr>
          <w:rFonts w:cstheme="minorHAnsi"/>
          <w:lang w:val="en-US"/>
        </w:rPr>
        <w:t>/FVC ratio &lt;70%;</w:t>
      </w:r>
    </w:p>
    <w:p w:rsidR="005F7EB2" w:rsidRPr="00E87DC1" w:rsidRDefault="005F7EB2" w:rsidP="008F584C">
      <w:pPr>
        <w:tabs>
          <w:tab w:val="left" w:pos="993"/>
          <w:tab w:val="left" w:pos="1080"/>
        </w:tabs>
        <w:spacing w:after="0" w:line="240" w:lineRule="auto"/>
        <w:ind w:right="-327"/>
        <w:rPr>
          <w:rFonts w:eastAsia="Times New Roman" w:cstheme="minorHAnsi"/>
          <w:lang w:val="en-US" w:eastAsia="fr-FR"/>
        </w:rPr>
      </w:pPr>
      <w:r w:rsidRPr="00E87DC1">
        <w:rPr>
          <w:rFonts w:eastAsia="Times New Roman" w:cstheme="minorHAnsi"/>
          <w:vertAlign w:val="superscript"/>
          <w:lang w:val="en-US" w:eastAsia="fr-FR"/>
        </w:rPr>
        <w:t>c</w:t>
      </w:r>
      <w:r w:rsidRPr="00E87DC1">
        <w:rPr>
          <w:rFonts w:eastAsia="Times New Roman" w:cstheme="minorHAnsi"/>
          <w:lang w:val="en-GB" w:eastAsia="fr-FR"/>
        </w:rPr>
        <w:t xml:space="preserve"> </w:t>
      </w:r>
      <w:r w:rsidRPr="00E87DC1">
        <w:rPr>
          <w:rFonts w:eastAsia="Times New Roman" w:cstheme="minorHAnsi"/>
          <w:lang w:val="en-US" w:eastAsia="fr-FR"/>
        </w:rPr>
        <w:t xml:space="preserve">See ref </w:t>
      </w:r>
      <w:r w:rsidRPr="00E87DC1">
        <w:rPr>
          <w:rFonts w:eastAsia="Times New Roman" w:cstheme="minorHAnsi"/>
          <w:noProof/>
          <w:lang w:val="en-US" w:eastAsia="fr-FR"/>
        </w:rPr>
        <w:t>(23)</w:t>
      </w:r>
      <w:r w:rsidRPr="00E87DC1">
        <w:rPr>
          <w:rFonts w:eastAsia="Times New Roman" w:cstheme="minorHAnsi"/>
          <w:lang w:val="en-US" w:eastAsia="fr-FR"/>
        </w:rPr>
        <w:t xml:space="preserve"> for the threshold values used for grading the level of NSBH.</w:t>
      </w:r>
    </w:p>
    <w:p w:rsidR="005F7EB2" w:rsidRPr="00E87DC1" w:rsidRDefault="005F7EB2" w:rsidP="008F584C">
      <w:pPr>
        <w:widowControl w:val="0"/>
        <w:shd w:val="clear" w:color="auto" w:fill="FFFFFF"/>
        <w:autoSpaceDE w:val="0"/>
        <w:autoSpaceDN w:val="0"/>
        <w:adjustRightInd w:val="0"/>
        <w:spacing w:after="240" w:line="360" w:lineRule="auto"/>
        <w:ind w:left="709"/>
        <w:jc w:val="both"/>
        <w:rPr>
          <w:b/>
          <w:lang w:val="en-US"/>
        </w:rPr>
      </w:pPr>
    </w:p>
    <w:p w:rsidR="005F7EB2" w:rsidRPr="00E87DC1" w:rsidRDefault="005F7EB2">
      <w:pPr>
        <w:rPr>
          <w:b/>
          <w:lang w:val="en-US"/>
        </w:rPr>
      </w:pPr>
      <w:r w:rsidRPr="00E87DC1">
        <w:rPr>
          <w:b/>
          <w:lang w:val="en-US"/>
        </w:rPr>
        <w:br w:type="page"/>
      </w:r>
    </w:p>
    <w:p w:rsidR="005F7EB2" w:rsidRPr="00E87DC1" w:rsidRDefault="005F7EB2" w:rsidP="008F584C">
      <w:pPr>
        <w:rPr>
          <w:b/>
          <w:lang w:val="en-US"/>
        </w:rPr>
      </w:pPr>
      <w:r w:rsidRPr="00E87DC1">
        <w:rPr>
          <w:b/>
          <w:lang w:val="en-US"/>
        </w:rPr>
        <w:lastRenderedPageBreak/>
        <w:t>T</w:t>
      </w:r>
      <w:r w:rsidR="008F584C" w:rsidRPr="00E87DC1">
        <w:rPr>
          <w:b/>
          <w:lang w:val="en-US"/>
        </w:rPr>
        <w:t>ABLE V.</w:t>
      </w:r>
      <w:r w:rsidRPr="00E87DC1">
        <w:rPr>
          <w:b/>
          <w:lang w:val="en-US"/>
        </w:rPr>
        <w:t xml:space="preserve"> Airway inflammation markers in subjects with occupational asthma caused by acrylates, other low-molecular-weight agents including isocyanates, and isocyanates. </w:t>
      </w:r>
      <w:r w:rsidRPr="00E87DC1">
        <w:rPr>
          <w:lang w:val="en-US"/>
        </w:rPr>
        <w:t>Data are presented as n (% of available data) unless otherwise specified. Values in bold are statistically significant.</w:t>
      </w:r>
    </w:p>
    <w:tbl>
      <w:tblPr>
        <w:tblStyle w:val="Grilledutableau4523"/>
        <w:tblW w:w="10601" w:type="dxa"/>
        <w:tblInd w:w="-71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514"/>
        <w:gridCol w:w="1559"/>
        <w:gridCol w:w="1559"/>
        <w:gridCol w:w="1134"/>
        <w:gridCol w:w="1559"/>
        <w:gridCol w:w="1276"/>
      </w:tblGrid>
      <w:tr w:rsidR="005F7EB2" w:rsidRPr="00E87DC1" w:rsidTr="00A4038B">
        <w:trPr>
          <w:trHeight w:val="995"/>
        </w:trPr>
        <w:tc>
          <w:tcPr>
            <w:tcW w:w="3514" w:type="dxa"/>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rPr>
                <w:rFonts w:asciiTheme="minorHAnsi" w:hAnsiTheme="minorHAnsi" w:cstheme="minorHAnsi"/>
                <w:b/>
                <w:lang w:val="en-GB" w:eastAsia="fr-FR"/>
              </w:rPr>
            </w:pPr>
            <w:r w:rsidRPr="00E87DC1">
              <w:rPr>
                <w:rFonts w:asciiTheme="minorHAnsi" w:hAnsiTheme="minorHAnsi" w:cstheme="minorHAnsi"/>
                <w:b/>
                <w:lang w:val="en-GB" w:eastAsia="fr-FR"/>
              </w:rPr>
              <w:t>Characteristic</w:t>
            </w:r>
          </w:p>
        </w:tc>
        <w:tc>
          <w:tcPr>
            <w:tcW w:w="1559" w:type="dxa"/>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lang w:val="en-US" w:eastAsia="fr-FR"/>
              </w:rPr>
            </w:pPr>
            <w:r w:rsidRPr="00E87DC1">
              <w:rPr>
                <w:rFonts w:asciiTheme="minorHAnsi" w:hAnsiTheme="minorHAnsi" w:cstheme="minorHAnsi"/>
                <w:b/>
                <w:lang w:val="en-US" w:eastAsia="fr-FR"/>
              </w:rPr>
              <w:t>Acrylates</w:t>
            </w:r>
          </w:p>
          <w:p w:rsidR="005F7EB2" w:rsidRPr="00E87DC1" w:rsidRDefault="005F7EB2" w:rsidP="00A4038B">
            <w:pPr>
              <w:tabs>
                <w:tab w:val="center" w:pos="4536"/>
                <w:tab w:val="right" w:pos="9072"/>
              </w:tabs>
              <w:jc w:val="center"/>
              <w:rPr>
                <w:rFonts w:asciiTheme="minorHAnsi" w:hAnsiTheme="minorHAnsi" w:cstheme="minorHAnsi"/>
                <w:b/>
                <w:lang w:val="en-US" w:eastAsia="fr-FR"/>
              </w:rPr>
            </w:pPr>
            <w:r w:rsidRPr="00E87DC1">
              <w:rPr>
                <w:rFonts w:asciiTheme="minorHAnsi" w:hAnsiTheme="minorHAnsi" w:cstheme="minorHAnsi"/>
                <w:b/>
                <w:lang w:val="en-US" w:eastAsia="fr-FR"/>
              </w:rPr>
              <w:t>(n=55)</w:t>
            </w:r>
          </w:p>
        </w:tc>
        <w:tc>
          <w:tcPr>
            <w:tcW w:w="1559" w:type="dxa"/>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lang w:val="en-US" w:eastAsia="fr-FR"/>
              </w:rPr>
            </w:pPr>
            <w:r w:rsidRPr="00E87DC1">
              <w:rPr>
                <w:rFonts w:asciiTheme="minorHAnsi" w:hAnsiTheme="minorHAnsi" w:cstheme="minorHAnsi"/>
                <w:b/>
                <w:lang w:val="en-US" w:eastAsia="fr-FR"/>
              </w:rPr>
              <w:t>Other LMW agents</w:t>
            </w:r>
          </w:p>
          <w:p w:rsidR="005F7EB2" w:rsidRPr="00E87DC1" w:rsidRDefault="005F7EB2" w:rsidP="00A4038B">
            <w:pPr>
              <w:tabs>
                <w:tab w:val="center" w:pos="4536"/>
                <w:tab w:val="right" w:pos="9072"/>
              </w:tabs>
              <w:jc w:val="center"/>
              <w:rPr>
                <w:rFonts w:asciiTheme="minorHAnsi" w:hAnsiTheme="minorHAnsi" w:cstheme="minorHAnsi"/>
                <w:b/>
                <w:lang w:val="en-US" w:eastAsia="fr-FR"/>
              </w:rPr>
            </w:pPr>
            <w:r w:rsidRPr="00E87DC1">
              <w:rPr>
                <w:rFonts w:asciiTheme="minorHAnsi" w:hAnsiTheme="minorHAnsi" w:cstheme="minorHAnsi"/>
                <w:b/>
                <w:lang w:val="en-US" w:eastAsia="fr-FR"/>
              </w:rPr>
              <w:t>(n=418)</w:t>
            </w:r>
          </w:p>
        </w:tc>
        <w:tc>
          <w:tcPr>
            <w:tcW w:w="1134" w:type="dxa"/>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jc w:val="center"/>
              <w:rPr>
                <w:rFonts w:asciiTheme="minorHAnsi" w:hAnsiTheme="minorHAnsi" w:cstheme="minorHAnsi"/>
                <w:b/>
                <w:lang w:val="fr-FR" w:eastAsia="fr-FR"/>
              </w:rPr>
            </w:pPr>
            <w:r w:rsidRPr="00E87DC1">
              <w:rPr>
                <w:rFonts w:asciiTheme="minorHAnsi" w:hAnsiTheme="minorHAnsi" w:cstheme="minorHAnsi"/>
                <w:b/>
                <w:lang w:val="fr-FR" w:eastAsia="fr-FR"/>
              </w:rPr>
              <w:t xml:space="preserve">Acrylates vs </w:t>
            </w:r>
            <w:proofErr w:type="spellStart"/>
            <w:r w:rsidRPr="00E87DC1">
              <w:rPr>
                <w:rFonts w:asciiTheme="minorHAnsi" w:hAnsiTheme="minorHAnsi" w:cstheme="minorHAnsi"/>
                <w:b/>
                <w:lang w:val="fr-FR" w:eastAsia="fr-FR"/>
              </w:rPr>
              <w:t>other</w:t>
            </w:r>
            <w:proofErr w:type="spellEnd"/>
            <w:r w:rsidRPr="00E87DC1">
              <w:rPr>
                <w:rFonts w:asciiTheme="minorHAnsi" w:hAnsiTheme="minorHAnsi" w:cstheme="minorHAnsi"/>
                <w:b/>
                <w:lang w:val="fr-FR" w:eastAsia="fr-FR"/>
              </w:rPr>
              <w:t xml:space="preserve"> LMW agents</w:t>
            </w:r>
          </w:p>
          <w:p w:rsidR="005F7EB2" w:rsidRPr="00E87DC1" w:rsidRDefault="005F7EB2" w:rsidP="00A4038B">
            <w:pPr>
              <w:tabs>
                <w:tab w:val="center" w:pos="4536"/>
                <w:tab w:val="right" w:pos="9072"/>
              </w:tabs>
              <w:jc w:val="center"/>
              <w:rPr>
                <w:rFonts w:asciiTheme="minorHAnsi" w:hAnsiTheme="minorHAnsi" w:cstheme="minorHAnsi"/>
                <w:b/>
                <w:lang w:val="fr-FR" w:eastAsia="fr-FR"/>
              </w:rPr>
            </w:pPr>
            <w:r w:rsidRPr="00E87DC1">
              <w:rPr>
                <w:rFonts w:asciiTheme="minorHAnsi" w:hAnsiTheme="minorHAnsi" w:cstheme="minorHAnsi"/>
                <w:b/>
                <w:lang w:val="fr-FR" w:eastAsia="fr-FR"/>
              </w:rPr>
              <w:t>P-value</w:t>
            </w:r>
          </w:p>
        </w:tc>
        <w:tc>
          <w:tcPr>
            <w:tcW w:w="1559" w:type="dxa"/>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Isocyanates</w:t>
            </w:r>
          </w:p>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(n=125)</w:t>
            </w:r>
          </w:p>
        </w:tc>
        <w:tc>
          <w:tcPr>
            <w:tcW w:w="1276" w:type="dxa"/>
            <w:tcBorders>
              <w:top w:val="single" w:sz="18" w:space="0" w:color="auto"/>
              <w:left w:val="single" w:sz="2" w:space="0" w:color="auto"/>
              <w:bottom w:val="single" w:sz="18" w:space="0" w:color="auto"/>
              <w:right w:val="single" w:sz="2" w:space="0" w:color="auto"/>
            </w:tcBorders>
            <w:vAlign w:val="center"/>
          </w:tcPr>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Acrylates vs isocyanates</w:t>
            </w:r>
          </w:p>
          <w:p w:rsidR="005F7EB2" w:rsidRPr="00E87DC1" w:rsidRDefault="005F7EB2" w:rsidP="00A4038B">
            <w:pPr>
              <w:tabs>
                <w:tab w:val="center" w:pos="4536"/>
                <w:tab w:val="right" w:pos="9072"/>
              </w:tabs>
              <w:autoSpaceDN w:val="0"/>
              <w:jc w:val="center"/>
              <w:rPr>
                <w:rFonts w:asciiTheme="minorHAnsi" w:hAnsiTheme="minorHAnsi" w:cstheme="minorHAnsi"/>
                <w:b/>
                <w:lang w:val="fr-FR" w:eastAsia="fr-FR"/>
              </w:rPr>
            </w:pPr>
            <w:r w:rsidRPr="00E87DC1">
              <w:rPr>
                <w:rFonts w:asciiTheme="minorHAnsi" w:hAnsiTheme="minorHAnsi" w:cstheme="minorHAnsi"/>
                <w:b/>
                <w:lang w:val="fr-FR" w:eastAsia="fr-FR"/>
              </w:rPr>
              <w:t>P-value</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lang w:val="fr-FR" w:eastAsia="fr-FR"/>
              </w:rPr>
            </w:pPr>
            <w:r w:rsidRPr="00E87DC1">
              <w:rPr>
                <w:rFonts w:asciiTheme="minorHAnsi" w:hAnsiTheme="minorHAnsi" w:cstheme="minorHAnsi"/>
                <w:lang w:val="fr-FR" w:eastAsia="fr-FR"/>
              </w:rPr>
              <w:t xml:space="preserve">Blood </w:t>
            </w:r>
            <w:proofErr w:type="spellStart"/>
            <w:r w:rsidRPr="00E87DC1">
              <w:rPr>
                <w:rFonts w:asciiTheme="minorHAnsi" w:hAnsiTheme="minorHAnsi" w:cstheme="minorHAnsi"/>
                <w:lang w:val="fr-FR" w:eastAsia="fr-FR"/>
              </w:rPr>
              <w:t>eosinophils</w:t>
            </w:r>
            <w:proofErr w:type="spellEnd"/>
            <w:r w:rsidRPr="00E87DC1">
              <w:rPr>
                <w:rFonts w:asciiTheme="minorHAnsi" w:hAnsiTheme="minorHAnsi" w:cstheme="minorHAnsi"/>
                <w:lang w:val="fr-FR" w:eastAsia="fr-FR"/>
              </w:rPr>
              <w:t>:</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(n=28)</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(n=213)</w:t>
            </w:r>
          </w:p>
        </w:tc>
        <w:tc>
          <w:tcPr>
            <w:tcW w:w="113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(n=58)</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lang w:val="fr-FR" w:eastAsia="fr-FR"/>
              </w:rPr>
            </w:pPr>
            <w:proofErr w:type="spellStart"/>
            <w:r w:rsidRPr="00E87DC1">
              <w:rPr>
                <w:rFonts w:asciiTheme="minorHAnsi" w:hAnsiTheme="minorHAnsi" w:cstheme="minorHAnsi"/>
                <w:lang w:val="fr-FR" w:eastAsia="fr-FR"/>
              </w:rPr>
              <w:t>Cells</w:t>
            </w:r>
            <w:proofErr w:type="spellEnd"/>
            <w:r w:rsidRPr="00E87DC1">
              <w:rPr>
                <w:rFonts w:asciiTheme="minorHAnsi" w:hAnsiTheme="minorHAnsi" w:cstheme="minorHAnsi"/>
                <w:lang w:val="fr-FR" w:eastAsia="fr-FR"/>
              </w:rPr>
              <w:t>/µl</w:t>
            </w:r>
            <w:r w:rsidRPr="00E87DC1">
              <w:rPr>
                <w:rFonts w:asciiTheme="minorHAnsi" w:hAnsiTheme="minorHAnsi" w:cstheme="minorHAnsi"/>
                <w:vertAlign w:val="superscript"/>
                <w:lang w:val="en-US" w:eastAsia="fr-FR"/>
              </w:rPr>
              <w:t>a</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200 (97-321)</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212 (110-338)</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0.310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242 (145-396)</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0.180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lang w:val="fr-FR" w:eastAsia="fr-FR"/>
              </w:rPr>
            </w:pPr>
            <w:r w:rsidRPr="00E87DC1">
              <w:rPr>
                <w:rFonts w:asciiTheme="minorHAnsi" w:hAnsiTheme="minorHAnsi" w:cstheme="minorHAnsi"/>
                <w:lang w:val="fr-FR" w:eastAsia="fr-FR"/>
              </w:rPr>
              <w:t>&gt;300/µl</w:t>
            </w:r>
          </w:p>
        </w:tc>
        <w:tc>
          <w:tcPr>
            <w:tcW w:w="1559"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9 (32.1)</w:t>
            </w:r>
          </w:p>
        </w:tc>
        <w:tc>
          <w:tcPr>
            <w:tcW w:w="1559"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72 (33.8)</w:t>
            </w:r>
          </w:p>
        </w:tc>
        <w:tc>
          <w:tcPr>
            <w:tcW w:w="1134"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1.000</w:t>
            </w:r>
          </w:p>
        </w:tc>
        <w:tc>
          <w:tcPr>
            <w:tcW w:w="1559"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22 (37.9)</w:t>
            </w:r>
          </w:p>
        </w:tc>
        <w:tc>
          <w:tcPr>
            <w:tcW w:w="1276"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0.640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lang w:val="fr-FR" w:eastAsia="fr-FR"/>
              </w:rPr>
            </w:pPr>
            <w:r w:rsidRPr="00E87DC1">
              <w:rPr>
                <w:rFonts w:asciiTheme="minorHAnsi" w:hAnsiTheme="minorHAnsi" w:cstheme="minorHAnsi"/>
                <w:lang w:val="fr-FR" w:eastAsia="fr-FR"/>
              </w:rPr>
              <w:t xml:space="preserve">Baseline </w:t>
            </w:r>
            <w:proofErr w:type="spellStart"/>
            <w:r w:rsidRPr="00E87DC1">
              <w:rPr>
                <w:rFonts w:asciiTheme="minorHAnsi" w:hAnsiTheme="minorHAnsi" w:cstheme="minorHAnsi"/>
                <w:lang w:val="fr-FR" w:eastAsia="fr-FR"/>
              </w:rPr>
              <w:t>FeNO</w:t>
            </w:r>
            <w:proofErr w:type="spellEnd"/>
            <w:r w:rsidRPr="00E87DC1">
              <w:rPr>
                <w:rFonts w:asciiTheme="minorHAnsi" w:hAnsiTheme="minorHAnsi" w:cstheme="minorHAnsi"/>
                <w:lang w:val="fr-FR" w:eastAsia="fr-FR"/>
              </w:rPr>
              <w:t>:</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(n=25)</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(n=222)</w:t>
            </w:r>
          </w:p>
        </w:tc>
        <w:tc>
          <w:tcPr>
            <w:tcW w:w="113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(n=51)</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lang w:val="fr-FR" w:eastAsia="fr-FR"/>
              </w:rPr>
            </w:pPr>
            <w:proofErr w:type="spellStart"/>
            <w:r w:rsidRPr="00E87DC1">
              <w:rPr>
                <w:rFonts w:asciiTheme="minorHAnsi" w:hAnsiTheme="minorHAnsi" w:cstheme="minorHAnsi"/>
                <w:lang w:val="fr-FR" w:eastAsia="fr-FR"/>
              </w:rPr>
              <w:t>ppb</w:t>
            </w:r>
            <w:proofErr w:type="spellEnd"/>
            <w:r w:rsidRPr="00E87DC1">
              <w:rPr>
                <w:rFonts w:asciiTheme="minorHAnsi" w:hAnsiTheme="minorHAnsi" w:cstheme="minorHAnsi"/>
                <w:vertAlign w:val="superscript"/>
                <w:lang w:val="en-US" w:eastAsia="fr-FR"/>
              </w:rPr>
              <w:t>a</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15.0 (10.0-29.0)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19.0 (10.0-32.8)</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0.300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20.0 (12.0-35.0)</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0.140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1"/>
              <w:rPr>
                <w:rFonts w:asciiTheme="minorHAnsi" w:hAnsiTheme="minorHAnsi" w:cstheme="minorHAnsi"/>
                <w:strike/>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(n=18)</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(n=155)</w:t>
            </w:r>
          </w:p>
        </w:tc>
        <w:tc>
          <w:tcPr>
            <w:tcW w:w="113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(n=34)</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lang w:val="en-US" w:eastAsia="fr-FR"/>
              </w:rPr>
            </w:pPr>
            <w:r w:rsidRPr="00E87DC1">
              <w:rPr>
                <w:rFonts w:asciiTheme="minorHAnsi" w:hAnsiTheme="minorHAnsi" w:cstheme="minorHAnsi"/>
                <w:lang w:val="en-US" w:eastAsia="fr-FR"/>
              </w:rPr>
              <w:t xml:space="preserve">Post-SIC change in </w:t>
            </w:r>
            <w:proofErr w:type="spellStart"/>
            <w:r w:rsidRPr="00E87DC1">
              <w:rPr>
                <w:rFonts w:asciiTheme="minorHAnsi" w:hAnsiTheme="minorHAnsi" w:cstheme="minorHAnsi"/>
                <w:lang w:val="en-US" w:eastAsia="fr-FR"/>
              </w:rPr>
              <w:t>FeNO</w:t>
            </w:r>
            <w:proofErr w:type="spellEnd"/>
            <w:r w:rsidRPr="00E87DC1">
              <w:rPr>
                <w:rFonts w:asciiTheme="minorHAnsi" w:hAnsiTheme="minorHAnsi" w:cstheme="minorHAnsi"/>
                <w:lang w:val="en-US" w:eastAsia="fr-FR"/>
              </w:rPr>
              <w:t>, ppb</w:t>
            </w:r>
            <w:r w:rsidRPr="00E87DC1">
              <w:rPr>
                <w:rFonts w:asciiTheme="minorHAnsi" w:hAnsiTheme="minorHAnsi" w:cstheme="minorHAnsi"/>
                <w:vertAlign w:val="superscript"/>
                <w:lang w:val="en-US" w:eastAsia="fr-FR"/>
              </w:rPr>
              <w:t xml:space="preserve"> a b</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26.0 (8.2-38.0)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3.0 (-1.0-10.0)</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b/>
                <w:lang w:val="en-US" w:eastAsia="fr-FR"/>
              </w:rPr>
            </w:pPr>
            <w:r w:rsidRPr="00E87DC1">
              <w:rPr>
                <w:rFonts w:asciiTheme="minorHAnsi" w:hAnsiTheme="minorHAnsi" w:cstheme="minorHAnsi"/>
                <w:b/>
                <w:lang w:val="en-US" w:eastAsia="fr-FR"/>
              </w:rPr>
              <w:t>&lt;0.001</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5.0 (2.0-16.0)</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b/>
                <w:lang w:val="en-US" w:eastAsia="fr-FR"/>
              </w:rPr>
            </w:pPr>
            <w:r w:rsidRPr="00E87DC1">
              <w:rPr>
                <w:rFonts w:asciiTheme="minorHAnsi" w:hAnsiTheme="minorHAnsi" w:cstheme="minorHAnsi"/>
                <w:b/>
                <w:lang w:val="en-US" w:eastAsia="fr-FR"/>
              </w:rPr>
              <w:t>0.010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lang w:val="en-US" w:eastAsia="fr-FR"/>
              </w:rPr>
            </w:pPr>
            <w:r w:rsidRPr="00E87DC1">
              <w:rPr>
                <w:rFonts w:asciiTheme="minorHAnsi" w:hAnsiTheme="minorHAnsi" w:cstheme="minorHAnsi"/>
                <w:lang w:val="en-US" w:eastAsia="fr-FR"/>
              </w:rPr>
              <w:t xml:space="preserve">Pre/post-SIC change in </w:t>
            </w:r>
            <w:proofErr w:type="spellStart"/>
            <w:r w:rsidRPr="00E87DC1">
              <w:rPr>
                <w:rFonts w:asciiTheme="minorHAnsi" w:hAnsiTheme="minorHAnsi" w:cstheme="minorHAnsi"/>
                <w:lang w:val="en-US" w:eastAsia="fr-FR"/>
              </w:rPr>
              <w:t>FeNO</w:t>
            </w:r>
            <w:proofErr w:type="spellEnd"/>
            <w:r w:rsidRPr="00E87DC1">
              <w:rPr>
                <w:rFonts w:asciiTheme="minorHAnsi" w:hAnsiTheme="minorHAnsi" w:cstheme="minorHAnsi"/>
                <w:lang w:val="en-US" w:eastAsia="fr-FR"/>
              </w:rPr>
              <w:t xml:space="preserve"> </w:t>
            </w:r>
            <w:r w:rsidRPr="00E87DC1">
              <w:rPr>
                <w:lang w:val="en-US"/>
              </w:rPr>
              <w:t>≥</w:t>
            </w:r>
            <w:r w:rsidRPr="00E87DC1">
              <w:rPr>
                <w:rFonts w:asciiTheme="minorHAnsi" w:hAnsiTheme="minorHAnsi" w:cstheme="minorHAnsi"/>
                <w:lang w:val="en-US" w:eastAsia="fr-FR"/>
              </w:rPr>
              <w:t>17.5 pp</w:t>
            </w:r>
            <w:r w:rsidRPr="00E87DC1">
              <w:rPr>
                <w:rFonts w:asciiTheme="minorHAnsi" w:hAnsiTheme="minorHAnsi" w:cstheme="minorHAnsi"/>
                <w:vertAlign w:val="superscript"/>
                <w:lang w:val="en-US" w:eastAsia="fr-FR"/>
              </w:rPr>
              <w:t>b</w:t>
            </w:r>
          </w:p>
        </w:tc>
        <w:tc>
          <w:tcPr>
            <w:tcW w:w="1559"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10 (55.6)</w:t>
            </w:r>
          </w:p>
        </w:tc>
        <w:tc>
          <w:tcPr>
            <w:tcW w:w="1559"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31 (20.0)</w:t>
            </w:r>
          </w:p>
        </w:tc>
        <w:tc>
          <w:tcPr>
            <w:tcW w:w="1134"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b/>
                <w:lang w:val="en-US" w:eastAsia="fr-FR"/>
              </w:rPr>
            </w:pPr>
            <w:r w:rsidRPr="00E87DC1">
              <w:rPr>
                <w:rFonts w:asciiTheme="minorHAnsi" w:hAnsiTheme="minorHAnsi" w:cstheme="minorHAnsi"/>
                <w:b/>
                <w:lang w:val="en-US" w:eastAsia="fr-FR"/>
              </w:rPr>
              <w:t>0.002</w:t>
            </w:r>
          </w:p>
        </w:tc>
        <w:tc>
          <w:tcPr>
            <w:tcW w:w="1559"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8 (24.2)</w:t>
            </w:r>
          </w:p>
        </w:tc>
        <w:tc>
          <w:tcPr>
            <w:tcW w:w="1276"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b/>
                <w:lang w:val="en-US" w:eastAsia="fr-FR"/>
              </w:rPr>
            </w:pPr>
            <w:r w:rsidRPr="00E87DC1">
              <w:rPr>
                <w:rFonts w:asciiTheme="minorHAnsi" w:hAnsiTheme="minorHAnsi" w:cstheme="minorHAnsi"/>
                <w:b/>
                <w:lang w:val="en-US" w:eastAsia="fr-FR"/>
              </w:rPr>
              <w:t>0.030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lang w:val="en-US" w:eastAsia="fr-FR"/>
              </w:rPr>
            </w:pPr>
            <w:r w:rsidRPr="00E87DC1">
              <w:rPr>
                <w:rFonts w:asciiTheme="minorHAnsi" w:hAnsiTheme="minorHAnsi" w:cstheme="minorHAnsi"/>
                <w:lang w:val="en-US" w:eastAsia="fr-FR"/>
              </w:rPr>
              <w:t>Baseline sputum eosinophils:</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(n=9)</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(n=79)</w:t>
            </w:r>
          </w:p>
        </w:tc>
        <w:tc>
          <w:tcPr>
            <w:tcW w:w="113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(n=19)</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lang w:val="en-US" w:eastAsia="fr-FR"/>
              </w:rPr>
            </w:pPr>
            <w:r w:rsidRPr="00E87DC1">
              <w:rPr>
                <w:rFonts w:asciiTheme="minorHAnsi" w:hAnsiTheme="minorHAnsi" w:cstheme="minorHAnsi"/>
                <w:lang w:val="en-US" w:eastAsia="fr-FR"/>
              </w:rPr>
              <w:t>%</w:t>
            </w:r>
            <w:r w:rsidRPr="00E87DC1">
              <w:rPr>
                <w:rFonts w:asciiTheme="minorHAnsi" w:hAnsiTheme="minorHAnsi" w:cstheme="minorHAnsi"/>
                <w:vertAlign w:val="superscript"/>
                <w:lang w:val="en-US" w:eastAsia="fr-FR"/>
              </w:rPr>
              <w:t>a</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5 (2-10)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 (1-6)</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0.290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2.0 (1.0-8.5)</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0.620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ind w:left="41"/>
              <w:rPr>
                <w:rFonts w:asciiTheme="minorHAnsi" w:hAnsiTheme="minorHAnsi" w:cstheme="minorHAnsi"/>
                <w:lang w:val="en-US" w:eastAsia="fr-FR"/>
              </w:rPr>
            </w:pPr>
            <w:r w:rsidRPr="00E87DC1">
              <w:rPr>
                <w:rFonts w:asciiTheme="minorHAnsi" w:hAnsiTheme="minorHAnsi" w:cstheme="minorHAnsi"/>
                <w:lang w:val="en-US" w:eastAsia="fr-FR"/>
              </w:rPr>
              <w:t>Post-challenge sputum eosinophils:</w:t>
            </w:r>
          </w:p>
        </w:tc>
        <w:tc>
          <w:tcPr>
            <w:tcW w:w="1559" w:type="dxa"/>
            <w:tcBorders>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(n=8)</w:t>
            </w:r>
          </w:p>
        </w:tc>
        <w:tc>
          <w:tcPr>
            <w:tcW w:w="1559" w:type="dxa"/>
            <w:tcBorders>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(n=65)</w:t>
            </w:r>
          </w:p>
        </w:tc>
        <w:tc>
          <w:tcPr>
            <w:tcW w:w="1134" w:type="dxa"/>
            <w:tcBorders>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(n=17)</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lang w:val="en-US" w:eastAsia="fr-FR"/>
              </w:rPr>
            </w:pPr>
            <w:r w:rsidRPr="00E87DC1">
              <w:rPr>
                <w:rFonts w:asciiTheme="minorHAnsi" w:hAnsiTheme="minorHAnsi" w:cstheme="minorHAnsi"/>
                <w:lang w:val="fr-FR" w:eastAsia="fr-FR"/>
              </w:rPr>
              <w:t>%</w:t>
            </w:r>
            <w:r w:rsidRPr="00E87DC1">
              <w:rPr>
                <w:rFonts w:asciiTheme="minorHAnsi" w:hAnsiTheme="minorHAnsi" w:cstheme="minorHAnsi"/>
                <w:vertAlign w:val="superscript"/>
                <w:lang w:val="en-US" w:eastAsia="fr-FR"/>
              </w:rPr>
              <w:t xml:space="preserve"> a</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10.0 (5.0-14.4)</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7.0 (2.0-15.5)</w:t>
            </w:r>
          </w:p>
        </w:tc>
        <w:tc>
          <w:tcPr>
            <w:tcW w:w="113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0.300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8.5 (2.2-13.2)</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0.520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lang w:val="en-US" w:eastAsia="fr-FR"/>
              </w:rPr>
            </w:pPr>
            <w:r w:rsidRPr="00E87DC1">
              <w:rPr>
                <w:rFonts w:asciiTheme="minorHAnsi" w:hAnsiTheme="minorHAnsi" w:cstheme="minorHAnsi"/>
                <w:lang w:val="en-US" w:eastAsia="fr-FR"/>
              </w:rPr>
              <w:t>Post-SIC change, %</w:t>
            </w:r>
            <w:r w:rsidRPr="00E87DC1">
              <w:rPr>
                <w:rFonts w:asciiTheme="minorHAnsi" w:hAnsiTheme="minorHAnsi" w:cstheme="minorHAnsi"/>
                <w:vertAlign w:val="superscript"/>
                <w:lang w:val="en-US" w:eastAsia="fr-FR"/>
              </w:rPr>
              <w:t>a</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6.1 (3.0-11.5)</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2.0 (0.8-8.0)</w:t>
            </w:r>
          </w:p>
        </w:tc>
        <w:tc>
          <w:tcPr>
            <w:tcW w:w="113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0.110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4.0 (0.0-8.0)</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0.220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lang w:val="en-US" w:eastAsia="fr-FR"/>
              </w:rPr>
            </w:pPr>
            <w:r w:rsidRPr="00E87DC1">
              <w:rPr>
                <w:rFonts w:asciiTheme="minorHAnsi" w:hAnsiTheme="minorHAnsi" w:cstheme="minorHAnsi"/>
                <w:lang w:val="en-US" w:eastAsia="fr-FR"/>
              </w:rPr>
              <w:t>Post-SIC increase in sputum eosinophils ≥3%</w:t>
            </w:r>
          </w:p>
        </w:tc>
        <w:tc>
          <w:tcPr>
            <w:tcW w:w="1559"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7 (87.5)</w:t>
            </w:r>
          </w:p>
        </w:tc>
        <w:tc>
          <w:tcPr>
            <w:tcW w:w="1559"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31 (47.7)</w:t>
            </w:r>
          </w:p>
        </w:tc>
        <w:tc>
          <w:tcPr>
            <w:tcW w:w="1134"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0.060</w:t>
            </w:r>
          </w:p>
        </w:tc>
        <w:tc>
          <w:tcPr>
            <w:tcW w:w="1559"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10 (58.8)</w:t>
            </w:r>
          </w:p>
        </w:tc>
        <w:tc>
          <w:tcPr>
            <w:tcW w:w="1276"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0.210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lang w:val="en-US" w:eastAsia="fr-FR"/>
              </w:rPr>
            </w:pPr>
            <w:r w:rsidRPr="00E87DC1">
              <w:rPr>
                <w:rFonts w:asciiTheme="minorHAnsi" w:hAnsiTheme="minorHAnsi" w:cstheme="minorHAnsi"/>
                <w:lang w:val="en-US" w:eastAsia="fr-FR"/>
              </w:rPr>
              <w:t>Baseline sputum neutrophils:</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(n=9)</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(n=84)</w:t>
            </w:r>
          </w:p>
        </w:tc>
        <w:tc>
          <w:tcPr>
            <w:tcW w:w="113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(n=21)</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lang w:val="en-US" w:eastAsia="fr-FR"/>
              </w:rPr>
            </w:pPr>
            <w:r w:rsidRPr="00E87DC1">
              <w:rPr>
                <w:rFonts w:asciiTheme="minorHAnsi" w:hAnsiTheme="minorHAnsi" w:cstheme="minorHAnsi"/>
                <w:lang w:val="en-US" w:eastAsia="fr-FR"/>
              </w:rPr>
              <w:t>%</w:t>
            </w:r>
            <w:r w:rsidRPr="00E87DC1">
              <w:rPr>
                <w:rFonts w:asciiTheme="minorHAnsi" w:hAnsiTheme="minorHAnsi" w:cstheme="minorHAnsi"/>
                <w:vertAlign w:val="superscript"/>
                <w:lang w:val="en-US" w:eastAsia="fr-FR"/>
              </w:rPr>
              <w:t xml:space="preserve"> a</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45.0 (37.0-50.0)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58.5 (44.4-72.2)</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b/>
                <w:lang w:val="en-US" w:eastAsia="fr-FR"/>
              </w:rPr>
            </w:pPr>
            <w:r w:rsidRPr="00E87DC1">
              <w:rPr>
                <w:rFonts w:asciiTheme="minorHAnsi" w:hAnsiTheme="minorHAnsi" w:cstheme="minorHAnsi"/>
                <w:b/>
                <w:lang w:val="en-US" w:eastAsia="fr-FR"/>
              </w:rPr>
              <w:t>0.040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55.0 (42.0-78.5)</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0.170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1"/>
              <w:rPr>
                <w:rFonts w:asciiTheme="minorHAnsi" w:hAnsiTheme="minorHAnsi" w:cstheme="minorHAnsi"/>
                <w:lang w:val="en-US" w:eastAsia="fr-FR"/>
              </w:rPr>
            </w:pPr>
            <w:r w:rsidRPr="00E87DC1">
              <w:rPr>
                <w:rFonts w:asciiTheme="minorHAnsi" w:hAnsiTheme="minorHAnsi" w:cstheme="minorHAnsi"/>
                <w:lang w:val="en-US" w:eastAsia="fr-FR"/>
              </w:rPr>
              <w:t xml:space="preserve">Post-challenge sputum neutrophils: </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(n=8)</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(n=70)</w:t>
            </w:r>
          </w:p>
        </w:tc>
        <w:tc>
          <w:tcPr>
            <w:tcW w:w="113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(n=19)</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67"/>
              <w:rPr>
                <w:rFonts w:asciiTheme="minorHAnsi" w:hAnsiTheme="minorHAnsi" w:cstheme="minorHAnsi"/>
                <w:vertAlign w:val="superscript"/>
                <w:lang w:val="en-US" w:eastAsia="fr-FR"/>
              </w:rPr>
            </w:pPr>
            <w:r w:rsidRPr="00E87DC1">
              <w:rPr>
                <w:rFonts w:asciiTheme="minorHAnsi" w:hAnsiTheme="minorHAnsi" w:cstheme="minorHAnsi"/>
                <w:lang w:val="en-US" w:eastAsia="fr-FR"/>
              </w:rPr>
              <w:t>%</w:t>
            </w:r>
            <w:r w:rsidRPr="00E87DC1">
              <w:rPr>
                <w:rFonts w:asciiTheme="minorHAnsi" w:hAnsiTheme="minorHAnsi" w:cstheme="minorHAnsi"/>
                <w:vertAlign w:val="superscript"/>
                <w:lang w:val="en-US" w:eastAsia="fr-FR"/>
              </w:rPr>
              <w:t xml:space="preserve"> a</w:t>
            </w:r>
          </w:p>
          <w:p w:rsidR="0045089F" w:rsidRPr="00E87DC1" w:rsidRDefault="0045089F" w:rsidP="00A4038B">
            <w:pPr>
              <w:widowControl w:val="0"/>
              <w:tabs>
                <w:tab w:val="center" w:pos="4536"/>
                <w:tab w:val="right" w:pos="9072"/>
              </w:tabs>
              <w:autoSpaceDE w:val="0"/>
              <w:autoSpaceDN w:val="0"/>
              <w:adjustRightInd w:val="0"/>
              <w:ind w:left="467"/>
              <w:rPr>
                <w:rFonts w:asciiTheme="minorHAnsi" w:hAnsiTheme="minorHAnsi" w:cstheme="minorHAnsi"/>
                <w:lang w:val="en-US" w:eastAsia="fr-FR"/>
              </w:rPr>
            </w:pPr>
            <w:r w:rsidRPr="00E87DC1">
              <w:rPr>
                <w:rFonts w:asciiTheme="minorHAnsi" w:hAnsiTheme="minorHAnsi" w:cstheme="minorHAnsi"/>
                <w:lang w:val="en-US" w:eastAsia="fr-FR"/>
              </w:rPr>
              <w:t>Post-SIC change, %</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45.0 (41.0-47.0)</w:t>
            </w:r>
          </w:p>
          <w:p w:rsidR="009E01E3" w:rsidRPr="00E87DC1" w:rsidRDefault="009E01E3"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-1.5 (-11.8-5.0)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61.0 (45.0-73.0)</w:t>
            </w:r>
          </w:p>
          <w:p w:rsidR="009E01E3" w:rsidRPr="00E87DC1" w:rsidRDefault="009E01E3"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1.0 (-12.4-14.2)</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b/>
                <w:lang w:val="en-US" w:eastAsia="fr-FR"/>
              </w:rPr>
            </w:pPr>
            <w:r w:rsidRPr="00E87DC1">
              <w:rPr>
                <w:rFonts w:asciiTheme="minorHAnsi" w:hAnsiTheme="minorHAnsi" w:cstheme="minorHAnsi"/>
                <w:b/>
                <w:lang w:val="en-US" w:eastAsia="fr-FR"/>
              </w:rPr>
              <w:t>0.020</w:t>
            </w:r>
          </w:p>
          <w:p w:rsidR="009E01E3" w:rsidRPr="00E87DC1" w:rsidRDefault="009E01E3"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0.620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49.0 (28.0-64.0)</w:t>
            </w:r>
          </w:p>
          <w:p w:rsidR="009E01E3" w:rsidRPr="00E87DC1" w:rsidRDefault="009E01E3"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-2.0 (-20.5-11.5)</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0.490</w:t>
            </w:r>
          </w:p>
          <w:p w:rsidR="009E01E3" w:rsidRPr="00E87DC1" w:rsidRDefault="009E01E3"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0.710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lang w:val="en-US" w:eastAsia="fr-FR"/>
              </w:rPr>
            </w:pPr>
            <w:r w:rsidRPr="00E87DC1">
              <w:rPr>
                <w:rFonts w:asciiTheme="minorHAnsi" w:hAnsiTheme="minorHAnsi" w:cstheme="minorHAnsi"/>
                <w:lang w:val="en-US" w:eastAsia="fr-FR"/>
              </w:rPr>
              <w:t xml:space="preserve">Baseline sputum inflammatory </w:t>
            </w:r>
            <w:proofErr w:type="spellStart"/>
            <w:r w:rsidRPr="00E87DC1">
              <w:rPr>
                <w:rFonts w:asciiTheme="minorHAnsi" w:hAnsiTheme="minorHAnsi" w:cstheme="minorHAnsi"/>
                <w:lang w:val="en-US" w:eastAsia="fr-FR"/>
              </w:rPr>
              <w:t>pattern</w:t>
            </w:r>
            <w:r w:rsidRPr="00E87DC1">
              <w:rPr>
                <w:vertAlign w:val="superscript"/>
                <w:lang w:val="en-US"/>
              </w:rPr>
              <w:t>c</w:t>
            </w:r>
            <w:proofErr w:type="spellEnd"/>
            <w:r w:rsidRPr="00E87DC1">
              <w:rPr>
                <w:rFonts w:asciiTheme="minorHAnsi" w:hAnsiTheme="minorHAnsi" w:cstheme="minorHAnsi"/>
                <w:lang w:val="en-US" w:eastAsia="fr-FR"/>
              </w:rPr>
              <w:t>:</w:t>
            </w:r>
          </w:p>
        </w:tc>
        <w:tc>
          <w:tcPr>
            <w:tcW w:w="1559" w:type="dxa"/>
            <w:tcBorders>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(n=9)</w:t>
            </w:r>
          </w:p>
        </w:tc>
        <w:tc>
          <w:tcPr>
            <w:tcW w:w="1559" w:type="dxa"/>
            <w:tcBorders>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(n=79)</w:t>
            </w:r>
          </w:p>
        </w:tc>
        <w:tc>
          <w:tcPr>
            <w:tcW w:w="1134" w:type="dxa"/>
            <w:tcBorders>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trike/>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(n=19)</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trike/>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ind w:left="459"/>
              <w:rPr>
                <w:rFonts w:asciiTheme="minorHAnsi" w:hAnsiTheme="minorHAnsi" w:cstheme="minorHAnsi"/>
                <w:lang w:val="en-US" w:eastAsia="fr-FR"/>
              </w:rPr>
            </w:pPr>
            <w:r w:rsidRPr="00E87DC1">
              <w:rPr>
                <w:rFonts w:asciiTheme="minorHAnsi" w:hAnsiTheme="minorHAnsi" w:cstheme="minorHAnsi"/>
                <w:lang w:val="en-US" w:eastAsia="fr-FR"/>
              </w:rPr>
              <w:t>Eosinophilic</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6 (66.7)</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33 (41.8)</w:t>
            </w:r>
          </w:p>
        </w:tc>
        <w:tc>
          <w:tcPr>
            <w:tcW w:w="113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0.180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9 (47.9)</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0.435</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ind w:left="459"/>
              <w:rPr>
                <w:rFonts w:asciiTheme="minorHAnsi" w:hAnsiTheme="minorHAnsi" w:cstheme="minorHAnsi"/>
                <w:lang w:val="en-US" w:eastAsia="fr-FR"/>
              </w:rPr>
            </w:pPr>
            <w:r w:rsidRPr="00E87DC1">
              <w:rPr>
                <w:rFonts w:asciiTheme="minorHAnsi" w:hAnsiTheme="minorHAnsi" w:cstheme="minorHAnsi"/>
                <w:lang w:val="en-US" w:eastAsia="fr-FR"/>
              </w:rPr>
              <w:t>Neutrophilic</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13 (16.5)</w:t>
            </w:r>
          </w:p>
        </w:tc>
        <w:tc>
          <w:tcPr>
            <w:tcW w:w="113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4 (21.1)</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ind w:left="459"/>
              <w:rPr>
                <w:rFonts w:asciiTheme="minorHAnsi" w:hAnsiTheme="minorHAnsi" w:cstheme="minorHAnsi"/>
                <w:lang w:val="en-US" w:eastAsia="fr-FR"/>
              </w:rPr>
            </w:pPr>
            <w:proofErr w:type="spellStart"/>
            <w:r w:rsidRPr="00E87DC1">
              <w:rPr>
                <w:rFonts w:asciiTheme="minorHAnsi" w:hAnsiTheme="minorHAnsi" w:cstheme="minorHAnsi"/>
                <w:lang w:val="en-US" w:eastAsia="fr-FR"/>
              </w:rPr>
              <w:t>Paucigranulocytic</w:t>
            </w:r>
            <w:proofErr w:type="spellEnd"/>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3 (33.3)</w:t>
            </w:r>
          </w:p>
        </w:tc>
        <w:tc>
          <w:tcPr>
            <w:tcW w:w="1559"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31 (39.2)</w:t>
            </w:r>
          </w:p>
        </w:tc>
        <w:tc>
          <w:tcPr>
            <w:tcW w:w="1134" w:type="dxa"/>
            <w:tcBorders>
              <w:top w:val="nil"/>
              <w:bottom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0.193</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6 (31.6)</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1.000</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ind w:left="459"/>
              <w:rPr>
                <w:rFonts w:asciiTheme="minorHAnsi" w:hAnsiTheme="minorHAnsi" w:cstheme="minorHAnsi"/>
                <w:lang w:val="en-US" w:eastAsia="fr-FR"/>
              </w:rPr>
            </w:pPr>
            <w:r w:rsidRPr="00E87DC1">
              <w:rPr>
                <w:rFonts w:asciiTheme="minorHAnsi" w:hAnsiTheme="minorHAnsi" w:cstheme="minorHAnsi"/>
                <w:lang w:val="en-US" w:eastAsia="fr-FR"/>
              </w:rPr>
              <w:t>Mixed granulocytic</w:t>
            </w:r>
          </w:p>
        </w:tc>
        <w:tc>
          <w:tcPr>
            <w:tcW w:w="1559"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w:t>
            </w:r>
          </w:p>
        </w:tc>
        <w:tc>
          <w:tcPr>
            <w:tcW w:w="1559"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2 (2.5)</w:t>
            </w:r>
          </w:p>
        </w:tc>
        <w:tc>
          <w:tcPr>
            <w:tcW w:w="1134" w:type="dxa"/>
            <w:tcBorders>
              <w:top w:val="nil"/>
            </w:tcBorders>
            <w:shd w:val="clear" w:color="auto" w:fill="auto"/>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w:t>
            </w:r>
          </w:p>
        </w:tc>
        <w:tc>
          <w:tcPr>
            <w:tcW w:w="1276" w:type="dxa"/>
            <w:tcBorders>
              <w:top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rPr>
                <w:rFonts w:asciiTheme="minorHAnsi" w:hAnsiTheme="minorHAnsi" w:cstheme="minorHAnsi"/>
                <w:lang w:val="en-US" w:eastAsia="fr-FR"/>
              </w:rPr>
            </w:pPr>
            <w:r w:rsidRPr="00E87DC1">
              <w:rPr>
                <w:rFonts w:asciiTheme="minorHAnsi" w:hAnsiTheme="minorHAnsi" w:cstheme="minorHAnsi"/>
                <w:lang w:val="en-US" w:eastAsia="fr-FR"/>
              </w:rPr>
              <w:t xml:space="preserve">Post-challenge sputum inflammatory </w:t>
            </w:r>
            <w:proofErr w:type="spellStart"/>
            <w:r w:rsidRPr="00E87DC1">
              <w:rPr>
                <w:rFonts w:asciiTheme="minorHAnsi" w:hAnsiTheme="minorHAnsi" w:cstheme="minorHAnsi"/>
                <w:lang w:val="en-US" w:eastAsia="fr-FR"/>
              </w:rPr>
              <w:t>pattern</w:t>
            </w:r>
            <w:r w:rsidRPr="00E87DC1">
              <w:rPr>
                <w:vertAlign w:val="superscript"/>
                <w:lang w:val="en-US"/>
              </w:rPr>
              <w:t>c</w:t>
            </w:r>
            <w:proofErr w:type="spellEnd"/>
            <w:r w:rsidRPr="00E87DC1">
              <w:rPr>
                <w:rFonts w:asciiTheme="minorHAnsi" w:hAnsiTheme="minorHAnsi" w:cstheme="minorHAnsi"/>
                <w:lang w:val="en-US" w:eastAsia="fr-FR"/>
              </w:rPr>
              <w:t>:</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(n=9)</w:t>
            </w: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(n=66)</w:t>
            </w:r>
          </w:p>
        </w:tc>
        <w:tc>
          <w:tcPr>
            <w:tcW w:w="1134"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trike/>
                <w:lang w:val="en-US" w:eastAsia="fr-FR"/>
              </w:rPr>
            </w:pPr>
          </w:p>
        </w:tc>
        <w:tc>
          <w:tcPr>
            <w:tcW w:w="1559"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(n=18)</w:t>
            </w:r>
          </w:p>
        </w:tc>
        <w:tc>
          <w:tcPr>
            <w:tcW w:w="1276" w:type="dxa"/>
            <w:tcBorders>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strike/>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59"/>
              <w:rPr>
                <w:rFonts w:asciiTheme="minorHAnsi" w:hAnsiTheme="minorHAnsi" w:cstheme="minorHAnsi"/>
                <w:lang w:val="en-US" w:eastAsia="fr-FR"/>
              </w:rPr>
            </w:pPr>
            <w:r w:rsidRPr="00E87DC1">
              <w:rPr>
                <w:rFonts w:asciiTheme="minorHAnsi" w:hAnsiTheme="minorHAnsi" w:cstheme="minorHAnsi"/>
                <w:lang w:val="en-US" w:eastAsia="fr-FR"/>
              </w:rPr>
              <w:t>Eosinophilic</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9 (100.0)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40 (60.6)</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b/>
                <w:lang w:val="en-US" w:eastAsia="fr-FR"/>
              </w:rPr>
            </w:pPr>
            <w:r w:rsidRPr="00E87DC1">
              <w:rPr>
                <w:rFonts w:asciiTheme="minorHAnsi" w:hAnsiTheme="minorHAnsi" w:cstheme="minorHAnsi"/>
                <w:b/>
                <w:lang w:val="en-US" w:eastAsia="fr-FR"/>
              </w:rPr>
              <w:t>0.020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12 (66.7)</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0.071</w:t>
            </w: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59"/>
              <w:rPr>
                <w:rFonts w:asciiTheme="minorHAnsi" w:hAnsiTheme="minorHAnsi" w:cstheme="minorHAnsi"/>
                <w:lang w:val="en-US" w:eastAsia="fr-FR"/>
              </w:rPr>
            </w:pPr>
            <w:r w:rsidRPr="00E87DC1">
              <w:rPr>
                <w:rFonts w:asciiTheme="minorHAnsi" w:hAnsiTheme="minorHAnsi" w:cstheme="minorHAnsi"/>
                <w:lang w:val="en-US" w:eastAsia="fr-FR"/>
              </w:rPr>
              <w:t>Neutrophilic</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5 (7.6)</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 (5.6)</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ind w:left="459"/>
              <w:rPr>
                <w:rFonts w:asciiTheme="minorHAnsi" w:hAnsiTheme="minorHAnsi" w:cstheme="minorHAnsi"/>
                <w:lang w:val="en-US" w:eastAsia="fr-FR"/>
              </w:rPr>
            </w:pPr>
            <w:proofErr w:type="spellStart"/>
            <w:r w:rsidRPr="00E87DC1">
              <w:rPr>
                <w:rFonts w:asciiTheme="minorHAnsi" w:hAnsiTheme="minorHAnsi" w:cstheme="minorHAnsi"/>
                <w:lang w:val="en-US" w:eastAsia="fr-FR"/>
              </w:rPr>
              <w:t>Paucigranulocytic</w:t>
            </w:r>
            <w:proofErr w:type="spellEnd"/>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w:t>
            </w: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5 (7.6)</w:t>
            </w:r>
          </w:p>
        </w:tc>
        <w:tc>
          <w:tcPr>
            <w:tcW w:w="1134"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4 (22.2)</w:t>
            </w:r>
          </w:p>
        </w:tc>
        <w:tc>
          <w:tcPr>
            <w:tcW w:w="1276" w:type="dxa"/>
            <w:tcBorders>
              <w:top w:val="nil"/>
              <w:bottom w:val="nil"/>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r w:rsidR="005F7EB2" w:rsidRPr="00E87DC1" w:rsidTr="00A403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9"/>
        </w:trPr>
        <w:tc>
          <w:tcPr>
            <w:tcW w:w="3514" w:type="dxa"/>
            <w:tcBorders>
              <w:top w:val="nil"/>
              <w:bottom w:val="single" w:sz="4" w:space="0" w:color="auto"/>
            </w:tcBorders>
            <w:vAlign w:val="center"/>
          </w:tcPr>
          <w:p w:rsidR="005F7EB2" w:rsidRPr="00E87DC1" w:rsidRDefault="005F7EB2" w:rsidP="00A4038B">
            <w:pPr>
              <w:widowControl w:val="0"/>
              <w:tabs>
                <w:tab w:val="center" w:pos="4536"/>
                <w:tab w:val="right" w:pos="9072"/>
              </w:tabs>
              <w:autoSpaceDE w:val="0"/>
              <w:autoSpaceDN w:val="0"/>
              <w:adjustRightInd w:val="0"/>
              <w:ind w:left="459"/>
              <w:rPr>
                <w:rFonts w:asciiTheme="minorHAnsi" w:hAnsiTheme="minorHAnsi" w:cstheme="minorHAnsi"/>
                <w:lang w:val="en-US" w:eastAsia="fr-FR"/>
              </w:rPr>
            </w:pPr>
            <w:r w:rsidRPr="00E87DC1">
              <w:rPr>
                <w:rFonts w:asciiTheme="minorHAnsi" w:hAnsiTheme="minorHAnsi" w:cstheme="minorHAnsi"/>
                <w:lang w:val="en-US" w:eastAsia="fr-FR"/>
              </w:rPr>
              <w:t>Mixed granulocytic</w:t>
            </w:r>
          </w:p>
        </w:tc>
        <w:tc>
          <w:tcPr>
            <w:tcW w:w="1559" w:type="dxa"/>
            <w:tcBorders>
              <w:top w:val="nil"/>
              <w:bottom w:val="single" w:sz="4"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0</w:t>
            </w:r>
          </w:p>
        </w:tc>
        <w:tc>
          <w:tcPr>
            <w:tcW w:w="1559" w:type="dxa"/>
            <w:tcBorders>
              <w:top w:val="nil"/>
              <w:bottom w:val="single" w:sz="4"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16 (24.2)</w:t>
            </w:r>
          </w:p>
        </w:tc>
        <w:tc>
          <w:tcPr>
            <w:tcW w:w="1134" w:type="dxa"/>
            <w:tcBorders>
              <w:top w:val="nil"/>
              <w:bottom w:val="single" w:sz="4"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c>
          <w:tcPr>
            <w:tcW w:w="1559" w:type="dxa"/>
            <w:tcBorders>
              <w:top w:val="nil"/>
              <w:bottom w:val="single" w:sz="4"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r w:rsidRPr="00E87DC1">
              <w:rPr>
                <w:rFonts w:asciiTheme="minorHAnsi" w:hAnsiTheme="minorHAnsi" w:cstheme="minorHAnsi"/>
                <w:lang w:val="en-US" w:eastAsia="fr-FR"/>
              </w:rPr>
              <w:t>1 (5.6)</w:t>
            </w:r>
          </w:p>
        </w:tc>
        <w:tc>
          <w:tcPr>
            <w:tcW w:w="1276" w:type="dxa"/>
            <w:tcBorders>
              <w:top w:val="nil"/>
              <w:bottom w:val="single" w:sz="4" w:space="0" w:color="auto"/>
            </w:tcBorders>
            <w:vAlign w:val="center"/>
          </w:tcPr>
          <w:p w:rsidR="005F7EB2" w:rsidRPr="00E87DC1" w:rsidRDefault="005F7EB2" w:rsidP="00A4038B">
            <w:pPr>
              <w:widowControl w:val="0"/>
              <w:tabs>
                <w:tab w:val="center" w:pos="4536"/>
                <w:tab w:val="right" w:pos="9072"/>
              </w:tabs>
              <w:autoSpaceDE w:val="0"/>
              <w:autoSpaceDN w:val="0"/>
              <w:adjustRightInd w:val="0"/>
              <w:jc w:val="center"/>
              <w:rPr>
                <w:rFonts w:asciiTheme="minorHAnsi" w:hAnsiTheme="minorHAnsi" w:cstheme="minorHAnsi"/>
                <w:lang w:val="en-US" w:eastAsia="fr-FR"/>
              </w:rPr>
            </w:pPr>
          </w:p>
        </w:tc>
      </w:tr>
    </w:tbl>
    <w:p w:rsidR="005F7EB2" w:rsidRPr="00E87DC1" w:rsidRDefault="005F7EB2" w:rsidP="008F584C">
      <w:pPr>
        <w:rPr>
          <w:lang w:val="en-US"/>
        </w:rPr>
      </w:pPr>
      <w:proofErr w:type="spellStart"/>
      <w:r w:rsidRPr="00E87DC1">
        <w:rPr>
          <w:lang w:val="en-US"/>
        </w:rPr>
        <w:t>FeNO</w:t>
      </w:r>
      <w:proofErr w:type="spellEnd"/>
      <w:r w:rsidRPr="00E87DC1">
        <w:rPr>
          <w:lang w:val="en-US"/>
        </w:rPr>
        <w:t>: fractional exhaled nitric oxide;</w:t>
      </w:r>
      <w:r w:rsidR="009E01E3" w:rsidRPr="00E87DC1">
        <w:rPr>
          <w:lang w:val="en-US"/>
        </w:rPr>
        <w:t xml:space="preserve"> SIC: specific inhalation challeng</w:t>
      </w:r>
      <w:r w:rsidR="00927B3B" w:rsidRPr="00E87DC1">
        <w:rPr>
          <w:lang w:val="en-US"/>
        </w:rPr>
        <w:t>e</w:t>
      </w:r>
      <w:r w:rsidRPr="00E87DC1">
        <w:rPr>
          <w:lang w:val="en-US"/>
        </w:rPr>
        <w:br/>
      </w:r>
      <w:r w:rsidRPr="00E87DC1">
        <w:rPr>
          <w:rFonts w:cstheme="minorHAnsi"/>
          <w:vertAlign w:val="superscript"/>
          <w:lang w:val="en-US" w:eastAsia="fr-FR"/>
        </w:rPr>
        <w:t xml:space="preserve"> </w:t>
      </w:r>
      <w:proofErr w:type="spellStart"/>
      <w:r w:rsidRPr="00E87DC1">
        <w:rPr>
          <w:rFonts w:cstheme="minorHAnsi"/>
          <w:vertAlign w:val="superscript"/>
          <w:lang w:val="en-US" w:eastAsia="fr-FR"/>
        </w:rPr>
        <w:t>a</w:t>
      </w:r>
      <w:r w:rsidRPr="00E87DC1">
        <w:rPr>
          <w:lang w:val="en-US"/>
        </w:rPr>
        <w:t>median</w:t>
      </w:r>
      <w:proofErr w:type="spellEnd"/>
      <w:r w:rsidRPr="00E87DC1">
        <w:rPr>
          <w:lang w:val="en-US"/>
        </w:rPr>
        <w:t xml:space="preserve"> value with interquartile range (IQR) within parentheses; </w:t>
      </w:r>
      <w:proofErr w:type="spellStart"/>
      <w:r w:rsidRPr="00E87DC1">
        <w:rPr>
          <w:vertAlign w:val="superscript"/>
          <w:lang w:val="en-US"/>
        </w:rPr>
        <w:t>b</w:t>
      </w:r>
      <w:r w:rsidRPr="00E87DC1">
        <w:rPr>
          <w:lang w:val="en-US"/>
        </w:rPr>
        <w:t>compared</w:t>
      </w:r>
      <w:proofErr w:type="spellEnd"/>
      <w:r w:rsidRPr="00E87DC1">
        <w:rPr>
          <w:lang w:val="en-US"/>
        </w:rPr>
        <w:t xml:space="preserve"> to baseline value</w:t>
      </w:r>
      <w:r w:rsidRPr="00E87DC1">
        <w:rPr>
          <w:lang w:val="en-US"/>
        </w:rPr>
        <w:br/>
      </w:r>
      <w:proofErr w:type="spellStart"/>
      <w:r w:rsidRPr="00E87DC1">
        <w:rPr>
          <w:vertAlign w:val="superscript"/>
          <w:lang w:val="en-US"/>
        </w:rPr>
        <w:t>c</w:t>
      </w:r>
      <w:r w:rsidRPr="00E87DC1">
        <w:rPr>
          <w:lang w:val="en-US"/>
        </w:rPr>
        <w:t>The</w:t>
      </w:r>
      <w:proofErr w:type="spellEnd"/>
      <w:r w:rsidRPr="00E87DC1">
        <w:rPr>
          <w:lang w:val="en-US"/>
        </w:rPr>
        <w:t xml:space="preserve"> sputum inflammatory pattern was characterized as “eosinophilic” (i.e. ≥3% eosinophils and &lt;76% neutrophils); “neutrophilic” (i.e. ≥76% and &lt;3% eosinophils); “</w:t>
      </w:r>
      <w:proofErr w:type="spellStart"/>
      <w:r w:rsidRPr="00E87DC1">
        <w:rPr>
          <w:lang w:val="en-US"/>
        </w:rPr>
        <w:t>paucigranulocytic</w:t>
      </w:r>
      <w:proofErr w:type="spellEnd"/>
      <w:r w:rsidRPr="00E87DC1">
        <w:rPr>
          <w:lang w:val="en-US"/>
        </w:rPr>
        <w:t>” (i.e. &lt;3% eosinophils and &lt;76% neutrophils); and “mixed granulocytic” (i.e. ≥76% neutrophils and ≥3% eosinophils.</w:t>
      </w:r>
    </w:p>
    <w:p w:rsidR="005F7EB2" w:rsidRDefault="00387235" w:rsidP="00A4038B">
      <w:pPr>
        <w:spacing w:after="0" w:line="240" w:lineRule="auto"/>
        <w:rPr>
          <w:lang w:val="en-US"/>
        </w:rPr>
      </w:pPr>
      <w:r w:rsidRPr="00E87DC1">
        <w:rPr>
          <w:lang w:val="en-US"/>
        </w:rPr>
        <w:lastRenderedPageBreak/>
        <w:t>Note: If you introduce the abbreviation SIC, you may use it throughout the table instead of “post-challenge”</w:t>
      </w:r>
    </w:p>
    <w:p w:rsidR="00E04E4F" w:rsidRPr="00936C72" w:rsidRDefault="00E04E4F">
      <w:pPr>
        <w:rPr>
          <w:lang w:val="en-US"/>
        </w:rPr>
      </w:pPr>
    </w:p>
    <w:sectPr w:rsidR="00E04E4F" w:rsidRPr="00936C72" w:rsidSect="008F584C">
      <w:headerReference w:type="default" r:id="rId36"/>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6D7C" w:rsidRDefault="003E6D7C">
      <w:pPr>
        <w:spacing w:after="0" w:line="240" w:lineRule="auto"/>
      </w:pPr>
      <w:r>
        <w:separator/>
      </w:r>
    </w:p>
  </w:endnote>
  <w:endnote w:type="continuationSeparator" w:id="0">
    <w:p w:rsidR="003E6D7C" w:rsidRDefault="003E6D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6D7C" w:rsidRDefault="003E6D7C">
      <w:pPr>
        <w:spacing w:after="0" w:line="240" w:lineRule="auto"/>
      </w:pPr>
      <w:r>
        <w:separator/>
      </w:r>
    </w:p>
  </w:footnote>
  <w:footnote w:type="continuationSeparator" w:id="0">
    <w:p w:rsidR="003E6D7C" w:rsidRDefault="003E6D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058E" w:rsidRDefault="005F058E">
    <w:pPr>
      <w:pStyle w:val="Header"/>
      <w:jc w:val="right"/>
    </w:pPr>
    <w:r>
      <w:fldChar w:fldCharType="begin"/>
    </w:r>
    <w:r>
      <w:instrText>PAGE   \* MERGEFORMAT</w:instrText>
    </w:r>
    <w:r>
      <w:fldChar w:fldCharType="separate"/>
    </w:r>
    <w:r w:rsidR="004D7996">
      <w:rPr>
        <w:noProof/>
      </w:rPr>
      <w:t>3</w:t>
    </w:r>
    <w:r>
      <w:fldChar w:fldCharType="end"/>
    </w:r>
  </w:p>
  <w:p w:rsidR="005F058E" w:rsidRDefault="005F058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55D08"/>
    <w:multiLevelType w:val="hybridMultilevel"/>
    <w:tmpl w:val="C49C49B4"/>
    <w:lvl w:ilvl="0" w:tplc="856299D2">
      <w:start w:val="19"/>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D1062FA"/>
    <w:multiLevelType w:val="hybridMultilevel"/>
    <w:tmpl w:val="46EC52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92323F"/>
    <w:multiLevelType w:val="hybridMultilevel"/>
    <w:tmpl w:val="91107E1E"/>
    <w:lvl w:ilvl="0" w:tplc="5CCED136">
      <w:numFmt w:val="bullet"/>
      <w:lvlText w:val="•"/>
      <w:lvlJc w:val="left"/>
      <w:pPr>
        <w:ind w:left="720" w:hanging="360"/>
      </w:pPr>
      <w:rPr>
        <w:rFonts w:ascii="Calibri" w:eastAsia="Times New Roman"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12E93A96"/>
    <w:multiLevelType w:val="hybridMultilevel"/>
    <w:tmpl w:val="C100A784"/>
    <w:lvl w:ilvl="0" w:tplc="5CCED136">
      <w:numFmt w:val="bullet"/>
      <w:lvlText w:val="•"/>
      <w:lvlJc w:val="left"/>
      <w:pPr>
        <w:ind w:left="720" w:hanging="360"/>
      </w:pPr>
      <w:rPr>
        <w:rFonts w:ascii="Calibri" w:eastAsia="Times New Roman"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137343F2"/>
    <w:multiLevelType w:val="multilevel"/>
    <w:tmpl w:val="C8585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E3294F"/>
    <w:multiLevelType w:val="hybridMultilevel"/>
    <w:tmpl w:val="F3BE66B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2346792A"/>
    <w:multiLevelType w:val="multilevel"/>
    <w:tmpl w:val="38E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6329EB"/>
    <w:multiLevelType w:val="hybridMultilevel"/>
    <w:tmpl w:val="2960988E"/>
    <w:lvl w:ilvl="0" w:tplc="0409000F">
      <w:start w:val="1"/>
      <w:numFmt w:val="decimal"/>
      <w:lvlText w:val="%1."/>
      <w:lvlJc w:val="left"/>
      <w:pPr>
        <w:tabs>
          <w:tab w:val="num" w:pos="644"/>
        </w:tabs>
        <w:ind w:left="644" w:hanging="360"/>
      </w:pPr>
      <w:rPr>
        <w:rFonts w:hint="default"/>
        <w:i w:val="0"/>
      </w:rPr>
    </w:lvl>
    <w:lvl w:ilvl="1" w:tplc="04090019" w:tentative="1">
      <w:start w:val="1"/>
      <w:numFmt w:val="lowerLetter"/>
      <w:lvlText w:val="%2."/>
      <w:lvlJc w:val="left"/>
      <w:pPr>
        <w:tabs>
          <w:tab w:val="num" w:pos="1364"/>
        </w:tabs>
        <w:ind w:left="1364" w:hanging="360"/>
      </w:pPr>
    </w:lvl>
    <w:lvl w:ilvl="2" w:tplc="0409001B" w:tentative="1">
      <w:start w:val="1"/>
      <w:numFmt w:val="lowerRoman"/>
      <w:lvlText w:val="%3."/>
      <w:lvlJc w:val="right"/>
      <w:pPr>
        <w:tabs>
          <w:tab w:val="num" w:pos="2084"/>
        </w:tabs>
        <w:ind w:left="2084" w:hanging="180"/>
      </w:pPr>
    </w:lvl>
    <w:lvl w:ilvl="3" w:tplc="0409000F" w:tentative="1">
      <w:start w:val="1"/>
      <w:numFmt w:val="decimal"/>
      <w:lvlText w:val="%4."/>
      <w:lvlJc w:val="left"/>
      <w:pPr>
        <w:tabs>
          <w:tab w:val="num" w:pos="2804"/>
        </w:tabs>
        <w:ind w:left="2804" w:hanging="360"/>
      </w:pPr>
    </w:lvl>
    <w:lvl w:ilvl="4" w:tplc="04090019" w:tentative="1">
      <w:start w:val="1"/>
      <w:numFmt w:val="lowerLetter"/>
      <w:lvlText w:val="%5."/>
      <w:lvlJc w:val="left"/>
      <w:pPr>
        <w:tabs>
          <w:tab w:val="num" w:pos="3524"/>
        </w:tabs>
        <w:ind w:left="3524" w:hanging="360"/>
      </w:pPr>
    </w:lvl>
    <w:lvl w:ilvl="5" w:tplc="0409001B" w:tentative="1">
      <w:start w:val="1"/>
      <w:numFmt w:val="lowerRoman"/>
      <w:lvlText w:val="%6."/>
      <w:lvlJc w:val="right"/>
      <w:pPr>
        <w:tabs>
          <w:tab w:val="num" w:pos="4244"/>
        </w:tabs>
        <w:ind w:left="4244" w:hanging="180"/>
      </w:pPr>
    </w:lvl>
    <w:lvl w:ilvl="6" w:tplc="0409000F" w:tentative="1">
      <w:start w:val="1"/>
      <w:numFmt w:val="decimal"/>
      <w:lvlText w:val="%7."/>
      <w:lvlJc w:val="left"/>
      <w:pPr>
        <w:tabs>
          <w:tab w:val="num" w:pos="4964"/>
        </w:tabs>
        <w:ind w:left="4964" w:hanging="360"/>
      </w:pPr>
    </w:lvl>
    <w:lvl w:ilvl="7" w:tplc="04090019" w:tentative="1">
      <w:start w:val="1"/>
      <w:numFmt w:val="lowerLetter"/>
      <w:lvlText w:val="%8."/>
      <w:lvlJc w:val="left"/>
      <w:pPr>
        <w:tabs>
          <w:tab w:val="num" w:pos="5684"/>
        </w:tabs>
        <w:ind w:left="5684" w:hanging="360"/>
      </w:pPr>
    </w:lvl>
    <w:lvl w:ilvl="8" w:tplc="0409001B" w:tentative="1">
      <w:start w:val="1"/>
      <w:numFmt w:val="lowerRoman"/>
      <w:lvlText w:val="%9."/>
      <w:lvlJc w:val="right"/>
      <w:pPr>
        <w:tabs>
          <w:tab w:val="num" w:pos="6404"/>
        </w:tabs>
        <w:ind w:left="6404" w:hanging="180"/>
      </w:pPr>
    </w:lvl>
  </w:abstractNum>
  <w:abstractNum w:abstractNumId="8" w15:restartNumberingAfterBreak="0">
    <w:nsid w:val="571F7F5C"/>
    <w:multiLevelType w:val="hybridMultilevel"/>
    <w:tmpl w:val="EECEDC5C"/>
    <w:lvl w:ilvl="0" w:tplc="244494A4">
      <w:start w:val="2"/>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58D8314E"/>
    <w:multiLevelType w:val="hybridMultilevel"/>
    <w:tmpl w:val="5EDCAE0C"/>
    <w:lvl w:ilvl="0" w:tplc="856299D2">
      <w:start w:val="19"/>
      <w:numFmt w:val="bullet"/>
      <w:lvlText w:val="-"/>
      <w:lvlJc w:val="left"/>
      <w:pPr>
        <w:ind w:left="1080" w:hanging="360"/>
      </w:pPr>
      <w:rPr>
        <w:rFonts w:ascii="Calibri" w:eastAsiaTheme="minorHAnsi" w:hAnsi="Calibri" w:cs="Calibr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0" w15:restartNumberingAfterBreak="0">
    <w:nsid w:val="65A71773"/>
    <w:multiLevelType w:val="hybridMultilevel"/>
    <w:tmpl w:val="8924B704"/>
    <w:lvl w:ilvl="0" w:tplc="032AE03A">
      <w:start w:val="1"/>
      <w:numFmt w:val="lowerLetter"/>
      <w:lvlText w:val="%1"/>
      <w:lvlJc w:val="left"/>
      <w:pPr>
        <w:ind w:left="720" w:hanging="360"/>
      </w:pPr>
      <w:rPr>
        <w:rFonts w:ascii="Arial" w:hAnsi="Arial" w:hint="default"/>
        <w:b w:val="0"/>
        <w:i w:val="0"/>
        <w:caps w:val="0"/>
        <w:strike w:val="0"/>
        <w:dstrike w:val="0"/>
        <w:vanish w:val="0"/>
        <w:color w:val="auto"/>
        <w:sz w:val="24"/>
        <w:szCs w:val="22"/>
        <w:vertAlign w:val="superscrip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711C098B"/>
    <w:multiLevelType w:val="hybridMultilevel"/>
    <w:tmpl w:val="9200B212"/>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080C0003">
      <w:start w:val="1"/>
      <w:numFmt w:val="bullet"/>
      <w:lvlText w:val="o"/>
      <w:lvlJc w:val="left"/>
      <w:pPr>
        <w:ind w:left="3600" w:hanging="360"/>
      </w:pPr>
      <w:rPr>
        <w:rFonts w:ascii="Courier New" w:hAnsi="Courier New" w:cs="Courier New" w:hint="default"/>
      </w:rPr>
    </w:lvl>
    <w:lvl w:ilvl="5" w:tplc="080C0005">
      <w:start w:val="1"/>
      <w:numFmt w:val="bullet"/>
      <w:lvlText w:val=""/>
      <w:lvlJc w:val="left"/>
      <w:pPr>
        <w:ind w:left="4320" w:hanging="360"/>
      </w:pPr>
      <w:rPr>
        <w:rFonts w:ascii="Wingdings" w:hAnsi="Wingdings" w:hint="default"/>
      </w:rPr>
    </w:lvl>
    <w:lvl w:ilvl="6" w:tplc="080C0001">
      <w:start w:val="1"/>
      <w:numFmt w:val="bullet"/>
      <w:lvlText w:val=""/>
      <w:lvlJc w:val="left"/>
      <w:pPr>
        <w:ind w:left="5040" w:hanging="360"/>
      </w:pPr>
      <w:rPr>
        <w:rFonts w:ascii="Symbol" w:hAnsi="Symbol" w:hint="default"/>
      </w:rPr>
    </w:lvl>
    <w:lvl w:ilvl="7" w:tplc="080C0003">
      <w:start w:val="1"/>
      <w:numFmt w:val="bullet"/>
      <w:lvlText w:val="o"/>
      <w:lvlJc w:val="left"/>
      <w:pPr>
        <w:ind w:left="5760" w:hanging="360"/>
      </w:pPr>
      <w:rPr>
        <w:rFonts w:ascii="Courier New" w:hAnsi="Courier New" w:cs="Courier New" w:hint="default"/>
      </w:rPr>
    </w:lvl>
    <w:lvl w:ilvl="8" w:tplc="080C0005">
      <w:start w:val="1"/>
      <w:numFmt w:val="bullet"/>
      <w:lvlText w:val=""/>
      <w:lvlJc w:val="left"/>
      <w:pPr>
        <w:ind w:left="6480" w:hanging="360"/>
      </w:pPr>
      <w:rPr>
        <w:rFonts w:ascii="Wingdings" w:hAnsi="Wingdings" w:hint="default"/>
      </w:rPr>
    </w:lvl>
  </w:abstractNum>
  <w:abstractNum w:abstractNumId="12" w15:restartNumberingAfterBreak="0">
    <w:nsid w:val="74F35E16"/>
    <w:multiLevelType w:val="hybridMultilevel"/>
    <w:tmpl w:val="86666758"/>
    <w:lvl w:ilvl="0" w:tplc="5CCED136">
      <w:numFmt w:val="bullet"/>
      <w:lvlText w:val="•"/>
      <w:lvlJc w:val="left"/>
      <w:pPr>
        <w:ind w:left="720" w:hanging="360"/>
      </w:pPr>
      <w:rPr>
        <w:rFonts w:ascii="Calibri" w:eastAsia="Times New Roman"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C5C2FA9"/>
    <w:multiLevelType w:val="hybridMultilevel"/>
    <w:tmpl w:val="4A54F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6"/>
  </w:num>
  <w:num w:numId="3">
    <w:abstractNumId w:val="4"/>
  </w:num>
  <w:num w:numId="4">
    <w:abstractNumId w:val="0"/>
  </w:num>
  <w:num w:numId="5">
    <w:abstractNumId w:val="9"/>
  </w:num>
  <w:num w:numId="6">
    <w:abstractNumId w:val="8"/>
  </w:num>
  <w:num w:numId="7">
    <w:abstractNumId w:val="1"/>
  </w:num>
  <w:num w:numId="8">
    <w:abstractNumId w:val="7"/>
  </w:num>
  <w:num w:numId="9">
    <w:abstractNumId w:val="10"/>
  </w:num>
  <w:num w:numId="10">
    <w:abstractNumId w:val="13"/>
  </w:num>
  <w:num w:numId="11">
    <w:abstractNumId w:val="5"/>
  </w:num>
  <w:num w:numId="12">
    <w:abstractNumId w:val="2"/>
  </w:num>
  <w:num w:numId="13">
    <w:abstractNumId w:val="1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activeWritingStyle w:appName="MSWord" w:lang="fi-FI" w:vendorID="64" w:dllVersion="0" w:nlCheck="1" w:checkStyle="0"/>
  <w:proofState w:spelling="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5F7EB2"/>
    <w:rsid w:val="00002654"/>
    <w:rsid w:val="00005164"/>
    <w:rsid w:val="00050535"/>
    <w:rsid w:val="00074C17"/>
    <w:rsid w:val="000E63AC"/>
    <w:rsid w:val="000F1E34"/>
    <w:rsid w:val="00105FD8"/>
    <w:rsid w:val="00117439"/>
    <w:rsid w:val="00132FE8"/>
    <w:rsid w:val="0015676F"/>
    <w:rsid w:val="00165BFF"/>
    <w:rsid w:val="001A3996"/>
    <w:rsid w:val="00211E94"/>
    <w:rsid w:val="00221BCC"/>
    <w:rsid w:val="0022793D"/>
    <w:rsid w:val="00287664"/>
    <w:rsid w:val="002A6CCB"/>
    <w:rsid w:val="002E6644"/>
    <w:rsid w:val="00387235"/>
    <w:rsid w:val="003B41D2"/>
    <w:rsid w:val="003E1A91"/>
    <w:rsid w:val="003E326E"/>
    <w:rsid w:val="003E504E"/>
    <w:rsid w:val="003E6D7C"/>
    <w:rsid w:val="003F30E5"/>
    <w:rsid w:val="00403D85"/>
    <w:rsid w:val="0045089F"/>
    <w:rsid w:val="004808FE"/>
    <w:rsid w:val="00480E76"/>
    <w:rsid w:val="0049029D"/>
    <w:rsid w:val="004D7996"/>
    <w:rsid w:val="00521532"/>
    <w:rsid w:val="005371BF"/>
    <w:rsid w:val="00573147"/>
    <w:rsid w:val="0058568C"/>
    <w:rsid w:val="005E06E9"/>
    <w:rsid w:val="005F058E"/>
    <w:rsid w:val="005F7EB2"/>
    <w:rsid w:val="006B692C"/>
    <w:rsid w:val="006D6584"/>
    <w:rsid w:val="006E3011"/>
    <w:rsid w:val="006E6913"/>
    <w:rsid w:val="00735E37"/>
    <w:rsid w:val="007A101B"/>
    <w:rsid w:val="007A3DE7"/>
    <w:rsid w:val="007B6D10"/>
    <w:rsid w:val="007C3C51"/>
    <w:rsid w:val="007C77E5"/>
    <w:rsid w:val="007D15DC"/>
    <w:rsid w:val="00811738"/>
    <w:rsid w:val="008C3EC8"/>
    <w:rsid w:val="008D5DE4"/>
    <w:rsid w:val="008F584C"/>
    <w:rsid w:val="008F70E4"/>
    <w:rsid w:val="00927B3B"/>
    <w:rsid w:val="00936C72"/>
    <w:rsid w:val="00992316"/>
    <w:rsid w:val="009A63C1"/>
    <w:rsid w:val="009E01E3"/>
    <w:rsid w:val="00A32971"/>
    <w:rsid w:val="00A334DD"/>
    <w:rsid w:val="00A4038B"/>
    <w:rsid w:val="00A42D5B"/>
    <w:rsid w:val="00A65D08"/>
    <w:rsid w:val="00A67A03"/>
    <w:rsid w:val="00A71245"/>
    <w:rsid w:val="00A8393D"/>
    <w:rsid w:val="00AF56A7"/>
    <w:rsid w:val="00B343FD"/>
    <w:rsid w:val="00B77128"/>
    <w:rsid w:val="00C35FDE"/>
    <w:rsid w:val="00C566C8"/>
    <w:rsid w:val="00C737D0"/>
    <w:rsid w:val="00C950D7"/>
    <w:rsid w:val="00D17328"/>
    <w:rsid w:val="00D41E1A"/>
    <w:rsid w:val="00D64E24"/>
    <w:rsid w:val="00DB0263"/>
    <w:rsid w:val="00DC1117"/>
    <w:rsid w:val="00DF2A55"/>
    <w:rsid w:val="00E04E4F"/>
    <w:rsid w:val="00E07480"/>
    <w:rsid w:val="00E32CC6"/>
    <w:rsid w:val="00E45692"/>
    <w:rsid w:val="00E87DC1"/>
    <w:rsid w:val="00EE503F"/>
    <w:rsid w:val="00EE6524"/>
    <w:rsid w:val="00F00B70"/>
    <w:rsid w:val="00F22496"/>
    <w:rsid w:val="00F2593C"/>
    <w:rsid w:val="00F75246"/>
    <w:rsid w:val="00F80FD1"/>
    <w:rsid w:val="00FB6C9A"/>
    <w:rsid w:val="00FC1E38"/>
    <w:rsid w:val="00FF7208"/>
  </w:rsids>
  <m:mathPr>
    <m:mathFont m:val="Cambria Math"/>
    <m:brkBin m:val="before"/>
    <m:brkBinSub m:val="--"/>
    <m:smallFrac m:val="0"/>
    <m:dispDef/>
    <m:lMargin m:val="0"/>
    <m:rMargin m:val="0"/>
    <m:defJc m:val="centerGroup"/>
    <m:wrapIndent m:val="1440"/>
    <m:intLim m:val="subSup"/>
    <m:naryLim m:val="undOvr"/>
  </m:mathPr>
  <w:themeFontLang w:val="fi-F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7BD913-B0EB-449F-9339-398818D8C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F7EB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5F7EB2"/>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5F7EB2"/>
    <w:rPr>
      <w:rFonts w:ascii="Calibri" w:hAnsi="Calibri" w:cs="Calibri"/>
      <w:noProof/>
      <w:lang w:val="en-US"/>
    </w:rPr>
  </w:style>
  <w:style w:type="paragraph" w:customStyle="1" w:styleId="EndNoteBibliography">
    <w:name w:val="EndNote Bibliography"/>
    <w:basedOn w:val="Normal"/>
    <w:link w:val="EndNoteBibliographyChar"/>
    <w:rsid w:val="005F7EB2"/>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5F7EB2"/>
    <w:rPr>
      <w:rFonts w:ascii="Calibri" w:hAnsi="Calibri" w:cs="Calibri"/>
      <w:noProof/>
      <w:lang w:val="en-US"/>
    </w:rPr>
  </w:style>
  <w:style w:type="character" w:styleId="Hyperlink">
    <w:name w:val="Hyperlink"/>
    <w:basedOn w:val="DefaultParagraphFont"/>
    <w:uiPriority w:val="99"/>
    <w:unhideWhenUsed/>
    <w:rsid w:val="005F7EB2"/>
    <w:rPr>
      <w:color w:val="0563C1" w:themeColor="hyperlink"/>
      <w:u w:val="single"/>
    </w:rPr>
  </w:style>
  <w:style w:type="character" w:customStyle="1" w:styleId="UnresolvedMention1">
    <w:name w:val="Unresolved Mention1"/>
    <w:basedOn w:val="DefaultParagraphFont"/>
    <w:uiPriority w:val="99"/>
    <w:semiHidden/>
    <w:unhideWhenUsed/>
    <w:rsid w:val="005F7EB2"/>
    <w:rPr>
      <w:color w:val="605E5C"/>
      <w:shd w:val="clear" w:color="auto" w:fill="E1DFDD"/>
    </w:rPr>
  </w:style>
  <w:style w:type="character" w:styleId="CommentReference">
    <w:name w:val="annotation reference"/>
    <w:basedOn w:val="DefaultParagraphFont"/>
    <w:uiPriority w:val="99"/>
    <w:semiHidden/>
    <w:unhideWhenUsed/>
    <w:rsid w:val="005F7EB2"/>
    <w:rPr>
      <w:sz w:val="16"/>
      <w:szCs w:val="16"/>
    </w:rPr>
  </w:style>
  <w:style w:type="paragraph" w:styleId="CommentText">
    <w:name w:val="annotation text"/>
    <w:basedOn w:val="Normal"/>
    <w:link w:val="CommentTextChar"/>
    <w:uiPriority w:val="99"/>
    <w:semiHidden/>
    <w:unhideWhenUsed/>
    <w:rsid w:val="005F7EB2"/>
    <w:pPr>
      <w:spacing w:line="240" w:lineRule="auto"/>
    </w:pPr>
    <w:rPr>
      <w:sz w:val="20"/>
      <w:szCs w:val="20"/>
    </w:rPr>
  </w:style>
  <w:style w:type="character" w:customStyle="1" w:styleId="CommentTextChar">
    <w:name w:val="Comment Text Char"/>
    <w:basedOn w:val="DefaultParagraphFont"/>
    <w:link w:val="CommentText"/>
    <w:uiPriority w:val="99"/>
    <w:semiHidden/>
    <w:rsid w:val="005F7EB2"/>
    <w:rPr>
      <w:sz w:val="20"/>
      <w:szCs w:val="20"/>
    </w:rPr>
  </w:style>
  <w:style w:type="paragraph" w:styleId="CommentSubject">
    <w:name w:val="annotation subject"/>
    <w:basedOn w:val="CommentText"/>
    <w:next w:val="CommentText"/>
    <w:link w:val="CommentSubjectChar"/>
    <w:uiPriority w:val="99"/>
    <w:semiHidden/>
    <w:unhideWhenUsed/>
    <w:rsid w:val="005F7EB2"/>
    <w:rPr>
      <w:b/>
      <w:bCs/>
    </w:rPr>
  </w:style>
  <w:style w:type="character" w:customStyle="1" w:styleId="CommentSubjectChar">
    <w:name w:val="Comment Subject Char"/>
    <w:basedOn w:val="CommentTextChar"/>
    <w:link w:val="CommentSubject"/>
    <w:uiPriority w:val="99"/>
    <w:semiHidden/>
    <w:rsid w:val="005F7EB2"/>
    <w:rPr>
      <w:b/>
      <w:bCs/>
      <w:sz w:val="20"/>
      <w:szCs w:val="20"/>
    </w:rPr>
  </w:style>
  <w:style w:type="paragraph" w:styleId="BalloonText">
    <w:name w:val="Balloon Text"/>
    <w:basedOn w:val="Normal"/>
    <w:link w:val="BalloonTextChar"/>
    <w:uiPriority w:val="99"/>
    <w:semiHidden/>
    <w:unhideWhenUsed/>
    <w:rsid w:val="005F7E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7EB2"/>
    <w:rPr>
      <w:rFonts w:ascii="Segoe UI" w:hAnsi="Segoe UI" w:cs="Segoe UI"/>
      <w:sz w:val="18"/>
      <w:szCs w:val="18"/>
    </w:rPr>
  </w:style>
  <w:style w:type="table" w:styleId="LightGrid">
    <w:name w:val="Light Grid"/>
    <w:basedOn w:val="TableNormal"/>
    <w:uiPriority w:val="62"/>
    <w:rsid w:val="005F7EB2"/>
    <w:pPr>
      <w:spacing w:after="0" w:line="240" w:lineRule="auto"/>
    </w:pPr>
    <w:rPr>
      <w:rFonts w:ascii="Calibri" w:eastAsia="Times New Roman" w:hAnsi="Calibri" w:cs="Times New Roman"/>
      <w:sz w:val="20"/>
      <w:szCs w:val="20"/>
      <w:lang w:val="fr-BE" w:eastAsia="fr-B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Grilledutableau4622">
    <w:name w:val="Grille du tableau4622"/>
    <w:basedOn w:val="TableNormal"/>
    <w:uiPriority w:val="59"/>
    <w:rsid w:val="005F7EB2"/>
    <w:pPr>
      <w:spacing w:after="0" w:line="240" w:lineRule="auto"/>
    </w:pPr>
    <w:rPr>
      <w:lang w:val="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F7EB2"/>
    <w:pPr>
      <w:spacing w:after="200" w:line="276" w:lineRule="auto"/>
      <w:ind w:left="720"/>
      <w:contextualSpacing/>
    </w:pPr>
    <w:rPr>
      <w:lang w:val="fr-BE"/>
    </w:rPr>
  </w:style>
  <w:style w:type="paragraph" w:styleId="Revision">
    <w:name w:val="Revision"/>
    <w:hidden/>
    <w:uiPriority w:val="99"/>
    <w:semiHidden/>
    <w:rsid w:val="005F7EB2"/>
    <w:pPr>
      <w:spacing w:after="0" w:line="240" w:lineRule="auto"/>
    </w:pPr>
  </w:style>
  <w:style w:type="table" w:styleId="TableGrid">
    <w:name w:val="Table Grid"/>
    <w:basedOn w:val="TableNormal"/>
    <w:uiPriority w:val="39"/>
    <w:rsid w:val="005F7E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F7EB2"/>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customStyle="1" w:styleId="substance-display-attributes">
    <w:name w:val="substance-display-attributes"/>
    <w:basedOn w:val="Normal"/>
    <w:rsid w:val="005F7EB2"/>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info">
    <w:name w:val="info"/>
    <w:basedOn w:val="DefaultParagraphFont"/>
    <w:rsid w:val="005F7EB2"/>
  </w:style>
  <w:style w:type="character" w:customStyle="1" w:styleId="separatedcasnumbers">
    <w:name w:val="separatedcasnumbers"/>
    <w:basedOn w:val="DefaultParagraphFont"/>
    <w:rsid w:val="005F7EB2"/>
  </w:style>
  <w:style w:type="table" w:customStyle="1" w:styleId="Grilledutableau461">
    <w:name w:val="Grille du tableau461"/>
    <w:basedOn w:val="TableNormal"/>
    <w:next w:val="TableGrid"/>
    <w:rsid w:val="005F7EB2"/>
    <w:pPr>
      <w:spacing w:after="0" w:line="240" w:lineRule="auto"/>
    </w:pPr>
    <w:rPr>
      <w:rFonts w:ascii="Times New Roman" w:eastAsia="Times New Roman" w:hAnsi="Times New Roman" w:cs="Times New Roman"/>
      <w:sz w:val="20"/>
      <w:szCs w:val="20"/>
      <w:lang w:val="fr-BE"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81">
    <w:name w:val="Grille du tableau481"/>
    <w:basedOn w:val="TableNormal"/>
    <w:rsid w:val="005F7EB2"/>
    <w:pPr>
      <w:spacing w:after="0" w:line="240" w:lineRule="auto"/>
    </w:pPr>
    <w:rPr>
      <w:rFonts w:ascii="Times New Roman" w:eastAsia="Times New Roman" w:hAnsi="Times New Roman" w:cs="Times New Roman"/>
      <w:sz w:val="20"/>
      <w:szCs w:val="20"/>
      <w:lang w:val="fr-BE"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523">
    <w:name w:val="Grille du tableau4523"/>
    <w:basedOn w:val="TableNormal"/>
    <w:next w:val="TableGrid"/>
    <w:rsid w:val="005F7EB2"/>
    <w:pPr>
      <w:spacing w:after="0" w:line="240" w:lineRule="auto"/>
    </w:pPr>
    <w:rPr>
      <w:rFonts w:ascii="Times New Roman" w:eastAsia="Times New Roman" w:hAnsi="Times New Roman" w:cs="Times New Roman"/>
      <w:sz w:val="20"/>
      <w:szCs w:val="20"/>
      <w:lang w:val="fr-BE"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7E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7EB2"/>
  </w:style>
  <w:style w:type="table" w:customStyle="1" w:styleId="Grilledutableau4611">
    <w:name w:val="Grille du tableau4611"/>
    <w:basedOn w:val="TableNormal"/>
    <w:next w:val="TableGrid"/>
    <w:rsid w:val="005F7EB2"/>
    <w:pPr>
      <w:spacing w:after="0" w:line="240" w:lineRule="auto"/>
    </w:pPr>
    <w:rPr>
      <w:rFonts w:ascii="Times New Roman" w:eastAsia="Times New Roman" w:hAnsi="Times New Roman" w:cs="Times New Roman"/>
      <w:sz w:val="20"/>
      <w:szCs w:val="20"/>
      <w:lang w:val="fr-BE"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8">
    <w:name w:val="Grille du tableau48"/>
    <w:basedOn w:val="TableNormal"/>
    <w:next w:val="TableGrid"/>
    <w:rsid w:val="005F7EB2"/>
    <w:pPr>
      <w:spacing w:after="0" w:line="240" w:lineRule="auto"/>
    </w:pPr>
    <w:rPr>
      <w:rFonts w:ascii="Times New Roman" w:eastAsia="Times New Roman" w:hAnsi="Times New Roman" w:cs="Times New Roman"/>
      <w:sz w:val="20"/>
      <w:szCs w:val="20"/>
      <w:lang w:val="fr-BE"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521">
    <w:name w:val="Grille du tableau4521"/>
    <w:basedOn w:val="TableNormal"/>
    <w:next w:val="TableGrid"/>
    <w:rsid w:val="005F7EB2"/>
    <w:pPr>
      <w:spacing w:after="0" w:line="240" w:lineRule="auto"/>
    </w:pPr>
    <w:rPr>
      <w:rFonts w:ascii="Times New Roman" w:eastAsia="Times New Roman" w:hAnsi="Times New Roman" w:cs="Times New Roman"/>
      <w:sz w:val="20"/>
      <w:szCs w:val="20"/>
      <w:lang w:val="fr-BE"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5F7E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7EB2"/>
  </w:style>
  <w:style w:type="character" w:customStyle="1" w:styleId="UnresolvedMention2">
    <w:name w:val="Unresolved Mention2"/>
    <w:basedOn w:val="DefaultParagraphFont"/>
    <w:uiPriority w:val="99"/>
    <w:semiHidden/>
    <w:unhideWhenUsed/>
    <w:rsid w:val="005F7EB2"/>
    <w:rPr>
      <w:color w:val="605E5C"/>
      <w:shd w:val="clear" w:color="auto" w:fill="E1DFDD"/>
    </w:rPr>
  </w:style>
  <w:style w:type="character" w:customStyle="1" w:styleId="UnresolvedMention3">
    <w:name w:val="Unresolved Mention3"/>
    <w:basedOn w:val="DefaultParagraphFont"/>
    <w:uiPriority w:val="99"/>
    <w:semiHidden/>
    <w:unhideWhenUsed/>
    <w:rsid w:val="005F7EB2"/>
    <w:rPr>
      <w:color w:val="605E5C"/>
      <w:shd w:val="clear" w:color="auto" w:fill="E1DFDD"/>
    </w:rPr>
  </w:style>
  <w:style w:type="character" w:customStyle="1" w:styleId="UnresolvedMention4">
    <w:name w:val="Unresolved Mention4"/>
    <w:basedOn w:val="DefaultParagraphFont"/>
    <w:uiPriority w:val="99"/>
    <w:semiHidden/>
    <w:unhideWhenUsed/>
    <w:rsid w:val="005F7EB2"/>
    <w:rPr>
      <w:color w:val="605E5C"/>
      <w:shd w:val="clear" w:color="auto" w:fill="E1DFDD"/>
    </w:rPr>
  </w:style>
  <w:style w:type="character" w:customStyle="1" w:styleId="UnresolvedMention5">
    <w:name w:val="Unresolved Mention5"/>
    <w:basedOn w:val="DefaultParagraphFont"/>
    <w:uiPriority w:val="99"/>
    <w:semiHidden/>
    <w:unhideWhenUsed/>
    <w:rsid w:val="005F7EB2"/>
    <w:rPr>
      <w:color w:val="605E5C"/>
      <w:shd w:val="clear" w:color="auto" w:fill="E1DFDD"/>
    </w:rPr>
  </w:style>
  <w:style w:type="character" w:customStyle="1" w:styleId="UnresolvedMention6">
    <w:name w:val="Unresolved Mention6"/>
    <w:basedOn w:val="DefaultParagraphFont"/>
    <w:uiPriority w:val="99"/>
    <w:semiHidden/>
    <w:unhideWhenUsed/>
    <w:rsid w:val="005F7EB2"/>
    <w:rPr>
      <w:color w:val="605E5C"/>
      <w:shd w:val="clear" w:color="auto" w:fill="E1DFDD"/>
    </w:rPr>
  </w:style>
  <w:style w:type="character" w:styleId="LineNumber">
    <w:name w:val="line number"/>
    <w:basedOn w:val="DefaultParagraphFont"/>
    <w:uiPriority w:val="99"/>
    <w:semiHidden/>
    <w:unhideWhenUsed/>
    <w:rsid w:val="008F58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chem.ncbi.nlm.nih.gov/" TargetMode="External"/><Relationship Id="rId13" Type="http://schemas.openxmlformats.org/officeDocument/2006/relationships/oleObject" Target="embeddings/oleObject1.bin"/><Relationship Id="rId18" Type="http://schemas.openxmlformats.org/officeDocument/2006/relationships/image" Target="media/image4.emf"/><Relationship Id="rId26" Type="http://schemas.openxmlformats.org/officeDocument/2006/relationships/image" Target="media/image7.emf"/><Relationship Id="rId3" Type="http://schemas.openxmlformats.org/officeDocument/2006/relationships/styles" Target="styles.xml"/><Relationship Id="rId21" Type="http://schemas.openxmlformats.org/officeDocument/2006/relationships/image" Target="media/image5.emf"/><Relationship Id="rId34" Type="http://schemas.openxmlformats.org/officeDocument/2006/relationships/image" Target="media/image11.emf"/><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oleObject" Target="embeddings/oleObject3.bin"/><Relationship Id="rId25" Type="http://schemas.openxmlformats.org/officeDocument/2006/relationships/oleObject" Target="embeddings/oleObject6.bin"/><Relationship Id="rId33" Type="http://schemas.openxmlformats.org/officeDocument/2006/relationships/oleObject" Target="embeddings/oleObject10.bin"/><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hyperlink" Target="https://www.sigmaaldrich.com/catalog/search?term=7085-85-0&amp;interface=CAS%20No.&amp;lang=en&amp;region=US&amp;focus=product" TargetMode="External"/><Relationship Id="rId29"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ha.europa.eu/information-on-chemicals/evaluation/community-rolling-action-plan/corap-table" TargetMode="Externa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hyperlink" Target="http://www.commonchemistry.org/ChemicalDetail.aspx?ref=868-77-9" TargetMode="External"/><Relationship Id="rId28" Type="http://schemas.openxmlformats.org/officeDocument/2006/relationships/image" Target="media/image8.emf"/><Relationship Id="rId36" Type="http://schemas.openxmlformats.org/officeDocument/2006/relationships/header" Target="header1.xml"/><Relationship Id="rId10" Type="http://schemas.openxmlformats.org/officeDocument/2006/relationships/hyperlink" Target="http://www.ginasthma.org/" TargetMode="External"/><Relationship Id="rId19" Type="http://schemas.openxmlformats.org/officeDocument/2006/relationships/oleObject" Target="embeddings/oleObject4.bin"/><Relationship Id="rId31" Type="http://schemas.openxmlformats.org/officeDocument/2006/relationships/oleObject" Target="embeddings/oleObject9.bin"/><Relationship Id="rId4" Type="http://schemas.openxmlformats.org/officeDocument/2006/relationships/settings" Target="settings.xml"/><Relationship Id="rId9" Type="http://schemas.openxmlformats.org/officeDocument/2006/relationships/hyperlink" Target="https://echa.europa.eu/fi/information-on-chemicals/annex-vi-to-clp" TargetMode="External"/><Relationship Id="rId14" Type="http://schemas.openxmlformats.org/officeDocument/2006/relationships/image" Target="media/image2.emf"/><Relationship Id="rId22" Type="http://schemas.openxmlformats.org/officeDocument/2006/relationships/oleObject" Target="embeddings/oleObject5.bin"/><Relationship Id="rId27" Type="http://schemas.openxmlformats.org/officeDocument/2006/relationships/oleObject" Target="embeddings/oleObject7.bin"/><Relationship Id="rId30" Type="http://schemas.openxmlformats.org/officeDocument/2006/relationships/image" Target="media/image9.emf"/><Relationship Id="rId35" Type="http://schemas.openxmlformats.org/officeDocument/2006/relationships/oleObject" Target="embeddings/oleObject1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2011F-D872-4D0F-BEAE-1D7103DCF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7576</Words>
  <Characters>43187</Characters>
  <Application>Microsoft Office Word</Application>
  <DocSecurity>0</DocSecurity>
  <Lines>359</Lines>
  <Paragraphs>101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CHU Dinant Godinne</Company>
  <LinksUpToDate>false</LinksUpToDate>
  <CharactersWithSpaces>50662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Suuronen Katri</dc:creator>
  <cp:lastModifiedBy>Cullinan, Paul</cp:lastModifiedBy>
  <cp:revision>2</cp:revision>
  <dcterms:created xsi:type="dcterms:W3CDTF">2020-03-31T12:23:00Z</dcterms:created>
  <dcterms:modified xsi:type="dcterms:W3CDTF">2020-03-31T12:23:00Z</dcterms:modified>
</cp:coreProperties>
</file>