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D2A6A6F" w14:textId="7E0EB626" w:rsidR="00044C60" w:rsidRPr="000E0DB5" w:rsidRDefault="0069371F" w:rsidP="00A47A38">
      <w:pPr>
        <w:autoSpaceDE w:val="0"/>
        <w:autoSpaceDN w:val="0"/>
        <w:adjustRightInd w:val="0"/>
        <w:spacing w:after="0" w:line="240" w:lineRule="auto"/>
        <w:rPr>
          <w:rFonts w:ascii="Times New Roman" w:eastAsia="TimesNewRomanPSMT" w:hAnsi="Times New Roman" w:cs="Times New Roman"/>
          <w:sz w:val="44"/>
          <w:szCs w:val="44"/>
        </w:rPr>
      </w:pPr>
      <w:r w:rsidRPr="000E0DB5">
        <w:rPr>
          <w:rFonts w:ascii="Times New Roman" w:eastAsia="TimesNewRomanPSMT" w:hAnsi="Times New Roman" w:cs="Times New Roman"/>
          <w:sz w:val="44"/>
          <w:szCs w:val="44"/>
        </w:rPr>
        <w:t>Photoactive Bifunctional Degraders: Pre</w:t>
      </w:r>
      <w:r w:rsidR="00527B18" w:rsidRPr="000E0DB5">
        <w:rPr>
          <w:rFonts w:ascii="Times New Roman" w:eastAsia="TimesNewRomanPSMT" w:hAnsi="Times New Roman" w:cs="Times New Roman"/>
          <w:sz w:val="44"/>
          <w:szCs w:val="44"/>
        </w:rPr>
        <w:t>cis</w:t>
      </w:r>
      <w:r w:rsidRPr="000E0DB5">
        <w:rPr>
          <w:rFonts w:ascii="Times New Roman" w:eastAsia="TimesNewRomanPSMT" w:hAnsi="Times New Roman" w:cs="Times New Roman"/>
          <w:sz w:val="44"/>
          <w:szCs w:val="44"/>
        </w:rPr>
        <w:t>ion</w:t>
      </w:r>
    </w:p>
    <w:p w14:paraId="05ED0E45" w14:textId="082D4E88" w:rsidR="0069371F" w:rsidRPr="000E0DB5" w:rsidRDefault="0069371F" w:rsidP="00A47A38">
      <w:pPr>
        <w:autoSpaceDE w:val="0"/>
        <w:autoSpaceDN w:val="0"/>
        <w:adjustRightInd w:val="0"/>
        <w:spacing w:after="0" w:line="240" w:lineRule="auto"/>
        <w:rPr>
          <w:rFonts w:ascii="Times New Roman" w:eastAsia="TimesNewRomanPSMT" w:hAnsi="Times New Roman" w:cs="Times New Roman"/>
          <w:sz w:val="44"/>
          <w:szCs w:val="44"/>
        </w:rPr>
      </w:pPr>
      <w:r w:rsidRPr="000E0DB5">
        <w:rPr>
          <w:rFonts w:ascii="Times New Roman" w:eastAsia="TimesNewRomanPSMT" w:hAnsi="Times New Roman" w:cs="Times New Roman"/>
          <w:sz w:val="44"/>
          <w:szCs w:val="44"/>
        </w:rPr>
        <w:t>Tools to Regulate Protein Stability</w:t>
      </w:r>
    </w:p>
    <w:p w14:paraId="5B2BF86D" w14:textId="77777777" w:rsidR="00A47A38" w:rsidRPr="000E0DB5" w:rsidRDefault="00A47A38" w:rsidP="00A47A38">
      <w:pPr>
        <w:autoSpaceDE w:val="0"/>
        <w:autoSpaceDN w:val="0"/>
        <w:adjustRightInd w:val="0"/>
        <w:spacing w:after="0" w:line="240" w:lineRule="auto"/>
        <w:rPr>
          <w:rFonts w:ascii="TimesNewRomanPSMT" w:eastAsia="TimesNewRomanPSMT" w:cs="TimesNewRomanPSMT"/>
          <w:sz w:val="44"/>
          <w:szCs w:val="44"/>
        </w:rPr>
      </w:pPr>
    </w:p>
    <w:p w14:paraId="3A4A063E" w14:textId="0AA69EC5" w:rsidR="0069371F" w:rsidRPr="000E0DB5" w:rsidRDefault="0069371F" w:rsidP="00A47A38">
      <w:pPr>
        <w:autoSpaceDE w:val="0"/>
        <w:autoSpaceDN w:val="0"/>
        <w:adjustRightInd w:val="0"/>
        <w:spacing w:after="0" w:line="480" w:lineRule="auto"/>
        <w:rPr>
          <w:rFonts w:ascii="Arial" w:hAnsi="Arial" w:cs="Arial"/>
          <w:i/>
          <w:iCs/>
          <w:sz w:val="24"/>
          <w:szCs w:val="24"/>
        </w:rPr>
      </w:pPr>
      <w:r w:rsidRPr="000E0DB5">
        <w:rPr>
          <w:rFonts w:ascii="Arial" w:hAnsi="Arial" w:cs="Arial"/>
          <w:i/>
          <w:iCs/>
          <w:sz w:val="24"/>
          <w:szCs w:val="24"/>
        </w:rPr>
        <w:t>Cyrille S.</w:t>
      </w:r>
      <w:r w:rsidR="0007545F" w:rsidRPr="000E0DB5">
        <w:rPr>
          <w:rFonts w:ascii="Arial" w:hAnsi="Arial" w:cs="Arial"/>
          <w:i/>
          <w:iCs/>
          <w:sz w:val="24"/>
          <w:szCs w:val="24"/>
        </w:rPr>
        <w:t xml:space="preserve"> Kounde</w:t>
      </w:r>
      <w:r w:rsidR="00705537">
        <w:rPr>
          <w:rFonts w:ascii="Arial" w:hAnsi="Arial" w:cs="Arial"/>
          <w:i/>
          <w:iCs/>
          <w:sz w:val="24"/>
          <w:szCs w:val="24"/>
        </w:rPr>
        <w:t xml:space="preserve"> and</w:t>
      </w:r>
      <w:r w:rsidR="0007545F" w:rsidRPr="000E0DB5">
        <w:rPr>
          <w:rFonts w:ascii="Arial" w:hAnsi="Arial" w:cs="Arial"/>
          <w:i/>
          <w:iCs/>
          <w:sz w:val="24"/>
          <w:szCs w:val="24"/>
        </w:rPr>
        <w:t xml:space="preserve"> Edward W. Tate</w:t>
      </w:r>
      <w:r w:rsidRPr="000E0DB5">
        <w:rPr>
          <w:rFonts w:ascii="Arial" w:hAnsi="Arial" w:cs="Arial"/>
          <w:i/>
          <w:iCs/>
          <w:sz w:val="24"/>
          <w:szCs w:val="24"/>
          <w:vertAlign w:val="superscript"/>
        </w:rPr>
        <w:t>*</w:t>
      </w:r>
    </w:p>
    <w:p w14:paraId="792D74C7" w14:textId="1353FBE4" w:rsidR="0069371F" w:rsidRPr="000E0DB5" w:rsidRDefault="0069371F" w:rsidP="00A47A38">
      <w:pPr>
        <w:autoSpaceDE w:val="0"/>
        <w:autoSpaceDN w:val="0"/>
        <w:adjustRightInd w:val="0"/>
        <w:spacing w:after="0" w:line="240" w:lineRule="auto"/>
        <w:rPr>
          <w:rFonts w:ascii="Arial" w:eastAsia="TimesNewRomanPSMT" w:hAnsi="Arial" w:cs="Arial"/>
          <w:sz w:val="24"/>
          <w:szCs w:val="24"/>
        </w:rPr>
      </w:pPr>
      <w:r w:rsidRPr="000E0DB5">
        <w:rPr>
          <w:rFonts w:ascii="Arial" w:eastAsia="TimesNewRomanPSMT" w:hAnsi="Arial" w:cs="Arial"/>
          <w:sz w:val="24"/>
          <w:szCs w:val="24"/>
        </w:rPr>
        <w:t>Department of Chemistry, Imperial College London, Molecular Sciences Research Hub, White</w:t>
      </w:r>
      <w:r w:rsidR="0007545F" w:rsidRPr="000E0DB5">
        <w:rPr>
          <w:rFonts w:ascii="Arial" w:eastAsia="TimesNewRomanPSMT" w:hAnsi="Arial" w:cs="Arial"/>
          <w:sz w:val="24"/>
          <w:szCs w:val="24"/>
        </w:rPr>
        <w:t xml:space="preserve"> </w:t>
      </w:r>
      <w:r w:rsidRPr="000E0DB5">
        <w:rPr>
          <w:rFonts w:ascii="Arial" w:eastAsia="TimesNewRomanPSMT" w:hAnsi="Arial" w:cs="Arial"/>
          <w:sz w:val="24"/>
          <w:szCs w:val="24"/>
        </w:rPr>
        <w:t>City Campus, Wood Lane, London W12 0BZ, United Kingdom.</w:t>
      </w:r>
    </w:p>
    <w:p w14:paraId="17F3078A" w14:textId="6174E4F7" w:rsidR="000A3A41" w:rsidRPr="000E0DB5" w:rsidRDefault="000A3A41" w:rsidP="00A47A38">
      <w:pPr>
        <w:autoSpaceDE w:val="0"/>
        <w:autoSpaceDN w:val="0"/>
        <w:adjustRightInd w:val="0"/>
        <w:spacing w:after="0" w:line="240" w:lineRule="auto"/>
        <w:rPr>
          <w:rFonts w:ascii="TimesNewRomanPSMT" w:eastAsia="TimesNewRomanPSMT" w:hAnsi="TimesNewRomanPS-ItalicMT" w:cs="TimesNewRomanPSMT"/>
          <w:sz w:val="24"/>
          <w:szCs w:val="24"/>
        </w:rPr>
      </w:pPr>
    </w:p>
    <w:p w14:paraId="5C80BB89" w14:textId="516FA328" w:rsidR="000A3A41" w:rsidRPr="000E0DB5" w:rsidRDefault="000A3A41" w:rsidP="00A47A38">
      <w:pPr>
        <w:autoSpaceDE w:val="0"/>
        <w:autoSpaceDN w:val="0"/>
        <w:adjustRightInd w:val="0"/>
        <w:spacing w:after="0" w:line="240" w:lineRule="auto"/>
        <w:rPr>
          <w:rFonts w:ascii="TimesNewRomanPSMT" w:eastAsia="TimesNewRomanPSMT" w:hAnsi="TimesNewRomanPS-ItalicMT" w:cs="TimesNewRomanPSMT"/>
          <w:sz w:val="24"/>
          <w:szCs w:val="24"/>
        </w:rPr>
      </w:pPr>
    </w:p>
    <w:p w14:paraId="1A7BC5F8" w14:textId="19666E6C" w:rsidR="000A3A41" w:rsidRPr="000E0DB5" w:rsidRDefault="000A3A41" w:rsidP="00A47A38">
      <w:pPr>
        <w:autoSpaceDE w:val="0"/>
        <w:autoSpaceDN w:val="0"/>
        <w:adjustRightInd w:val="0"/>
        <w:spacing w:after="0" w:line="240" w:lineRule="auto"/>
        <w:rPr>
          <w:rFonts w:ascii="TimesNewRomanPSMT" w:eastAsia="TimesNewRomanPSMT" w:hAnsi="TimesNewRomanPS-ItalicMT" w:cs="TimesNewRomanPSMT"/>
          <w:sz w:val="24"/>
          <w:szCs w:val="24"/>
        </w:rPr>
      </w:pPr>
    </w:p>
    <w:p w14:paraId="09A6E8F9" w14:textId="38E488B5" w:rsidR="000A3A41" w:rsidRPr="000E0DB5" w:rsidRDefault="000A3A41" w:rsidP="00A47A38">
      <w:pPr>
        <w:autoSpaceDE w:val="0"/>
        <w:autoSpaceDN w:val="0"/>
        <w:adjustRightInd w:val="0"/>
        <w:spacing w:after="0" w:line="240" w:lineRule="auto"/>
        <w:rPr>
          <w:rFonts w:ascii="Arial" w:eastAsia="TimesNewRomanPSMT" w:hAnsi="Arial" w:cs="Arial"/>
          <w:sz w:val="24"/>
          <w:szCs w:val="24"/>
        </w:rPr>
      </w:pPr>
      <w:r w:rsidRPr="000E0DB5">
        <w:rPr>
          <w:rFonts w:ascii="Arial" w:eastAsia="TimesNewRomanPSMT" w:hAnsi="Arial" w:cs="Arial"/>
          <w:sz w:val="24"/>
          <w:szCs w:val="24"/>
        </w:rPr>
        <w:t>ABSTRACT</w:t>
      </w:r>
    </w:p>
    <w:p w14:paraId="325D61D2" w14:textId="437E7581" w:rsidR="00C94ED6" w:rsidRPr="000E0DB5" w:rsidRDefault="00C94ED6" w:rsidP="00A47A38">
      <w:pPr>
        <w:autoSpaceDE w:val="0"/>
        <w:autoSpaceDN w:val="0"/>
        <w:adjustRightInd w:val="0"/>
        <w:spacing w:after="0" w:line="240" w:lineRule="auto"/>
        <w:rPr>
          <w:rFonts w:ascii="TimesNewRomanPSMT" w:eastAsia="TimesNewRomanPSMT" w:cs="TimesNewRomanPSMT"/>
          <w:sz w:val="24"/>
          <w:szCs w:val="24"/>
        </w:rPr>
      </w:pPr>
    </w:p>
    <w:p w14:paraId="656EA2E3" w14:textId="49104112" w:rsidR="00C94ED6" w:rsidRPr="000E0DB5" w:rsidRDefault="00C94ED6" w:rsidP="00C94ED6">
      <w:pPr>
        <w:autoSpaceDE w:val="0"/>
        <w:autoSpaceDN w:val="0"/>
        <w:adjustRightInd w:val="0"/>
        <w:spacing w:after="0" w:line="480" w:lineRule="auto"/>
        <w:jc w:val="both"/>
        <w:rPr>
          <w:rFonts w:ascii="Arial" w:eastAsia="TimesNewRomanPSMT" w:hAnsi="Arial" w:cs="Arial"/>
          <w:sz w:val="24"/>
          <w:szCs w:val="24"/>
        </w:rPr>
      </w:pPr>
      <w:r w:rsidRPr="000E0DB5">
        <w:rPr>
          <w:rFonts w:ascii="Arial" w:eastAsia="TimesNewRomanPSMT" w:hAnsi="Arial" w:cs="Arial"/>
          <w:sz w:val="24"/>
          <w:szCs w:val="24"/>
        </w:rPr>
        <w:t xml:space="preserve">Targeted protein degradation with bifunctional degraders </w:t>
      </w:r>
      <w:r w:rsidR="000271D1" w:rsidRPr="000E0DB5">
        <w:rPr>
          <w:rFonts w:ascii="Arial" w:eastAsia="TimesNewRomanPSMT" w:hAnsi="Arial" w:cs="Arial"/>
          <w:sz w:val="24"/>
          <w:szCs w:val="24"/>
        </w:rPr>
        <w:t xml:space="preserve">is </w:t>
      </w:r>
      <w:r w:rsidRPr="000E0DB5">
        <w:rPr>
          <w:rFonts w:ascii="Arial" w:eastAsia="TimesNewRomanPSMT" w:hAnsi="Arial" w:cs="Arial"/>
          <w:sz w:val="24"/>
          <w:szCs w:val="24"/>
        </w:rPr>
        <w:t xml:space="preserve">positioned as a remarkable game-changing strategy to control cellular protein levels and </w:t>
      </w:r>
      <w:r w:rsidR="004A283A" w:rsidRPr="000E0DB5">
        <w:rPr>
          <w:rFonts w:ascii="Arial" w:eastAsia="TimesNewRomanPSMT" w:hAnsi="Arial" w:cs="Arial"/>
          <w:sz w:val="24"/>
          <w:szCs w:val="24"/>
        </w:rPr>
        <w:t>promises</w:t>
      </w:r>
      <w:r w:rsidRPr="000E0DB5">
        <w:rPr>
          <w:rFonts w:ascii="Arial" w:eastAsia="TimesNewRomanPSMT" w:hAnsi="Arial" w:cs="Arial"/>
          <w:sz w:val="24"/>
          <w:szCs w:val="24"/>
        </w:rPr>
        <w:t xml:space="preserve"> a new therapeutic modality in drug discovery. </w:t>
      </w:r>
      <w:r w:rsidR="00780EB5" w:rsidRPr="000E0DB5">
        <w:rPr>
          <w:rFonts w:ascii="Arial" w:eastAsia="TimesNewRomanPSMT" w:hAnsi="Arial" w:cs="Arial"/>
          <w:sz w:val="24"/>
          <w:szCs w:val="24"/>
        </w:rPr>
        <w:t xml:space="preserve">Light activation of </w:t>
      </w:r>
      <w:r w:rsidR="004A283A" w:rsidRPr="000E0DB5">
        <w:rPr>
          <w:rFonts w:ascii="Arial" w:eastAsia="TimesNewRomanPSMT" w:hAnsi="Arial" w:cs="Arial"/>
          <w:sz w:val="24"/>
          <w:szCs w:val="24"/>
        </w:rPr>
        <w:t>a</w:t>
      </w:r>
      <w:r w:rsidR="00780EB5" w:rsidRPr="000E0DB5">
        <w:rPr>
          <w:rFonts w:ascii="Arial" w:eastAsia="TimesNewRomanPSMT" w:hAnsi="Arial" w:cs="Arial"/>
          <w:sz w:val="24"/>
          <w:szCs w:val="24"/>
        </w:rPr>
        <w:t xml:space="preserve"> degrader to </w:t>
      </w:r>
      <w:r w:rsidRPr="000E0DB5">
        <w:rPr>
          <w:rFonts w:ascii="Arial" w:eastAsia="TimesNewRomanPSMT" w:hAnsi="Arial" w:cs="Arial"/>
          <w:sz w:val="24"/>
          <w:szCs w:val="24"/>
        </w:rPr>
        <w:t>achieve exquisite spatiotemporal control over protein stability in cells has attracted the interest of multiple research groups</w:t>
      </w:r>
      <w:r w:rsidR="00780EB5" w:rsidRPr="000E0DB5">
        <w:rPr>
          <w:rFonts w:ascii="Arial" w:eastAsia="TimesNewRomanPSMT" w:hAnsi="Arial" w:cs="Arial"/>
          <w:sz w:val="24"/>
          <w:szCs w:val="24"/>
        </w:rPr>
        <w:t xml:space="preserve">, with recent reports </w:t>
      </w:r>
      <w:r w:rsidRPr="000E0DB5">
        <w:rPr>
          <w:rFonts w:ascii="Arial" w:eastAsia="TimesNewRomanPSMT" w:hAnsi="Arial" w:cs="Arial"/>
          <w:sz w:val="24"/>
          <w:szCs w:val="24"/>
        </w:rPr>
        <w:t xml:space="preserve">demonstrating optical control of proteolysis with chimeric molecules bearing photolabile or photoswitchable motifs. In </w:t>
      </w:r>
      <w:r w:rsidR="004A283A" w:rsidRPr="000E0DB5">
        <w:rPr>
          <w:rFonts w:ascii="Arial" w:eastAsia="TimesNewRomanPSMT" w:hAnsi="Arial" w:cs="Arial"/>
          <w:sz w:val="24"/>
          <w:szCs w:val="24"/>
        </w:rPr>
        <w:t>this</w:t>
      </w:r>
      <w:r w:rsidRPr="000E0DB5">
        <w:rPr>
          <w:rFonts w:ascii="Arial" w:eastAsia="TimesNewRomanPSMT" w:hAnsi="Arial" w:cs="Arial"/>
          <w:sz w:val="24"/>
          <w:szCs w:val="24"/>
        </w:rPr>
        <w:t xml:space="preserve"> context of targeted proteolysis research spurring the emergence of innovative tools, we </w:t>
      </w:r>
      <w:r w:rsidR="002E3C16" w:rsidRPr="000E0DB5">
        <w:rPr>
          <w:rFonts w:ascii="Arial" w:eastAsia="TimesNewRomanPSMT" w:hAnsi="Arial" w:cs="Arial"/>
          <w:sz w:val="24"/>
          <w:szCs w:val="24"/>
        </w:rPr>
        <w:t>examine</w:t>
      </w:r>
      <w:r w:rsidRPr="000E0DB5">
        <w:rPr>
          <w:rFonts w:ascii="Arial" w:eastAsia="TimesNewRomanPSMT" w:hAnsi="Arial" w:cs="Arial"/>
          <w:sz w:val="24"/>
          <w:szCs w:val="24"/>
        </w:rPr>
        <w:t xml:space="preserve"> the design, synthesis, and properties of light-activated degraders.</w:t>
      </w:r>
      <w:r w:rsidR="000A29A6" w:rsidRPr="000E0DB5">
        <w:rPr>
          <w:rFonts w:ascii="Arial" w:eastAsia="TimesNewRomanPSMT" w:hAnsi="Arial" w:cs="Arial"/>
          <w:sz w:val="24"/>
          <w:szCs w:val="24"/>
        </w:rPr>
        <w:t xml:space="preserve"> </w:t>
      </w:r>
      <w:r w:rsidRPr="000E0DB5">
        <w:rPr>
          <w:rFonts w:ascii="Arial" w:eastAsia="TimesNewRomanPSMT" w:hAnsi="Arial" w:cs="Arial"/>
          <w:sz w:val="24"/>
          <w:szCs w:val="24"/>
        </w:rPr>
        <w:t>The significant impact of this approach in</w:t>
      </w:r>
      <w:r w:rsidR="00BB70ED" w:rsidRPr="000E0DB5">
        <w:rPr>
          <w:rFonts w:ascii="Arial" w:eastAsia="TimesNewRomanPSMT" w:hAnsi="Arial" w:cs="Arial"/>
          <w:sz w:val="24"/>
          <w:szCs w:val="24"/>
        </w:rPr>
        <w:t xml:space="preserve"> regulating disease-relevant protein</w:t>
      </w:r>
      <w:r w:rsidR="00DA5BF0" w:rsidRPr="000E0DB5">
        <w:rPr>
          <w:rFonts w:ascii="Arial" w:eastAsia="TimesNewRomanPSMT" w:hAnsi="Arial" w:cs="Arial"/>
          <w:sz w:val="24"/>
          <w:szCs w:val="24"/>
        </w:rPr>
        <w:t xml:space="preserve"> levels</w:t>
      </w:r>
      <w:r w:rsidRPr="000E0DB5">
        <w:rPr>
          <w:rFonts w:ascii="Arial" w:eastAsia="TimesNewRomanPSMT" w:hAnsi="Arial" w:cs="Arial"/>
          <w:sz w:val="24"/>
          <w:szCs w:val="24"/>
        </w:rPr>
        <w:t xml:space="preserve"> </w:t>
      </w:r>
      <w:r w:rsidR="000170CD" w:rsidRPr="000E0DB5">
        <w:rPr>
          <w:rFonts w:ascii="Arial" w:eastAsia="TimesNewRomanPSMT" w:hAnsi="Arial" w:cs="Arial"/>
          <w:sz w:val="24"/>
          <w:szCs w:val="24"/>
        </w:rPr>
        <w:t xml:space="preserve">in a light-dependent manner </w:t>
      </w:r>
      <w:r w:rsidRPr="000E0DB5">
        <w:rPr>
          <w:rFonts w:ascii="Arial" w:eastAsia="TimesNewRomanPSMT" w:hAnsi="Arial" w:cs="Arial"/>
          <w:sz w:val="24"/>
          <w:szCs w:val="24"/>
        </w:rPr>
        <w:t>is highlighted with key examples</w:t>
      </w:r>
      <w:r w:rsidR="004A283A" w:rsidRPr="000E0DB5">
        <w:rPr>
          <w:rFonts w:ascii="Arial" w:eastAsia="TimesNewRomanPSMT" w:hAnsi="Arial" w:cs="Arial"/>
          <w:sz w:val="24"/>
          <w:szCs w:val="24"/>
        </w:rPr>
        <w:t>,</w:t>
      </w:r>
      <w:r w:rsidRPr="000E0DB5">
        <w:rPr>
          <w:rFonts w:ascii="Arial" w:eastAsia="TimesNewRomanPSMT" w:hAnsi="Arial" w:cs="Arial"/>
          <w:sz w:val="24"/>
          <w:szCs w:val="24"/>
        </w:rPr>
        <w:t xml:space="preserve"> and future developments </w:t>
      </w:r>
      <w:r w:rsidR="0079086E">
        <w:rPr>
          <w:rFonts w:ascii="Arial" w:eastAsia="TimesNewRomanPSMT" w:hAnsi="Arial" w:cs="Arial"/>
          <w:sz w:val="24"/>
          <w:szCs w:val="24"/>
        </w:rPr>
        <w:t>to</w:t>
      </w:r>
      <w:r w:rsidR="004A283A" w:rsidRPr="000E0DB5">
        <w:rPr>
          <w:rFonts w:ascii="Arial" w:eastAsia="TimesNewRomanPSMT" w:hAnsi="Arial" w:cs="Arial"/>
          <w:sz w:val="24"/>
          <w:szCs w:val="24"/>
        </w:rPr>
        <w:t xml:space="preserve"> </w:t>
      </w:r>
      <w:r w:rsidRPr="000E0DB5">
        <w:rPr>
          <w:rFonts w:ascii="Arial" w:eastAsia="TimesNewRomanPSMT" w:hAnsi="Arial" w:cs="Arial"/>
          <w:sz w:val="24"/>
          <w:szCs w:val="24"/>
        </w:rPr>
        <w:t>fully harness the potential of light-induced protein degradation with photoactive bifunctional molecules</w:t>
      </w:r>
      <w:r w:rsidR="00A51D6D">
        <w:rPr>
          <w:rFonts w:ascii="Arial" w:eastAsia="TimesNewRomanPSMT" w:hAnsi="Arial" w:cs="Arial"/>
          <w:sz w:val="24"/>
          <w:szCs w:val="24"/>
        </w:rPr>
        <w:t xml:space="preserve"> </w:t>
      </w:r>
      <w:r w:rsidR="00A51D6D" w:rsidRPr="00A51D6D">
        <w:rPr>
          <w:rFonts w:ascii="Arial" w:eastAsia="TimesNewRomanPSMT" w:hAnsi="Arial" w:cs="Arial"/>
          <w:sz w:val="24"/>
          <w:szCs w:val="24"/>
        </w:rPr>
        <w:t>are discussed</w:t>
      </w:r>
      <w:r w:rsidRPr="000E0DB5">
        <w:rPr>
          <w:rFonts w:ascii="Arial" w:eastAsia="TimesNewRomanPSMT" w:hAnsi="Arial" w:cs="Arial"/>
          <w:sz w:val="24"/>
          <w:szCs w:val="24"/>
        </w:rPr>
        <w:t>.</w:t>
      </w:r>
    </w:p>
    <w:p w14:paraId="35D2441A" w14:textId="6F41F28C" w:rsidR="003A5138" w:rsidRPr="000E0DB5" w:rsidRDefault="003A5138" w:rsidP="00C94ED6">
      <w:pPr>
        <w:autoSpaceDE w:val="0"/>
        <w:autoSpaceDN w:val="0"/>
        <w:adjustRightInd w:val="0"/>
        <w:spacing w:after="0" w:line="480" w:lineRule="auto"/>
        <w:jc w:val="both"/>
        <w:rPr>
          <w:rFonts w:ascii="Arial" w:eastAsia="TimesNewRomanPSMT" w:hAnsi="Arial" w:cs="Arial"/>
          <w:sz w:val="24"/>
          <w:szCs w:val="24"/>
        </w:rPr>
      </w:pPr>
    </w:p>
    <w:p w14:paraId="5002D6F9" w14:textId="567C1083" w:rsidR="00044C60" w:rsidRDefault="00044C60" w:rsidP="00C94ED6">
      <w:pPr>
        <w:autoSpaceDE w:val="0"/>
        <w:autoSpaceDN w:val="0"/>
        <w:adjustRightInd w:val="0"/>
        <w:spacing w:after="0" w:line="480" w:lineRule="auto"/>
        <w:jc w:val="both"/>
        <w:rPr>
          <w:rFonts w:ascii="Arial" w:eastAsia="TimesNewRomanPSMT" w:hAnsi="Arial" w:cs="Arial"/>
          <w:sz w:val="24"/>
          <w:szCs w:val="24"/>
        </w:rPr>
      </w:pPr>
    </w:p>
    <w:p w14:paraId="7092474E" w14:textId="5AA332B7" w:rsidR="00F81FA6" w:rsidRDefault="00F81FA6" w:rsidP="00C94ED6">
      <w:pPr>
        <w:autoSpaceDE w:val="0"/>
        <w:autoSpaceDN w:val="0"/>
        <w:adjustRightInd w:val="0"/>
        <w:spacing w:after="0" w:line="480" w:lineRule="auto"/>
        <w:jc w:val="both"/>
        <w:rPr>
          <w:rFonts w:ascii="Arial" w:eastAsia="TimesNewRomanPSMT" w:hAnsi="Arial" w:cs="Arial"/>
          <w:sz w:val="24"/>
          <w:szCs w:val="24"/>
        </w:rPr>
      </w:pPr>
    </w:p>
    <w:p w14:paraId="41DD6DFF" w14:textId="77777777" w:rsidR="0079086E" w:rsidRPr="000E0DB5" w:rsidRDefault="0079086E" w:rsidP="00C94ED6">
      <w:pPr>
        <w:autoSpaceDE w:val="0"/>
        <w:autoSpaceDN w:val="0"/>
        <w:adjustRightInd w:val="0"/>
        <w:spacing w:after="0" w:line="480" w:lineRule="auto"/>
        <w:jc w:val="both"/>
        <w:rPr>
          <w:rFonts w:ascii="Arial" w:eastAsia="TimesNewRomanPSMT" w:hAnsi="Arial" w:cs="Arial"/>
          <w:sz w:val="24"/>
          <w:szCs w:val="24"/>
        </w:rPr>
      </w:pPr>
    </w:p>
    <w:p w14:paraId="574AD470" w14:textId="1C139D77" w:rsidR="00886A1B" w:rsidRPr="000E0DB5" w:rsidRDefault="00CC4C3B" w:rsidP="00C94ED6">
      <w:pPr>
        <w:autoSpaceDE w:val="0"/>
        <w:autoSpaceDN w:val="0"/>
        <w:adjustRightInd w:val="0"/>
        <w:spacing w:after="0" w:line="480" w:lineRule="auto"/>
        <w:jc w:val="both"/>
        <w:rPr>
          <w:rFonts w:ascii="Arial" w:hAnsi="Arial" w:cs="Arial"/>
          <w:b/>
          <w:bCs/>
          <w:sz w:val="24"/>
          <w:szCs w:val="24"/>
        </w:rPr>
      </w:pPr>
      <w:r>
        <w:rPr>
          <w:rFonts w:ascii="Arial" w:hAnsi="Arial" w:cs="Arial"/>
          <w:b/>
          <w:bCs/>
          <w:sz w:val="24"/>
          <w:szCs w:val="24"/>
        </w:rPr>
        <w:lastRenderedPageBreak/>
        <w:t xml:space="preserve">1. </w:t>
      </w:r>
      <w:r w:rsidR="003A5138" w:rsidRPr="000E0DB5">
        <w:rPr>
          <w:rFonts w:ascii="Arial" w:hAnsi="Arial" w:cs="Arial"/>
          <w:b/>
          <w:bCs/>
          <w:sz w:val="24"/>
          <w:szCs w:val="24"/>
        </w:rPr>
        <w:t>I</w:t>
      </w:r>
      <w:r w:rsidR="006A5247" w:rsidRPr="000E0DB5">
        <w:rPr>
          <w:rFonts w:ascii="Arial" w:hAnsi="Arial" w:cs="Arial"/>
          <w:b/>
          <w:bCs/>
          <w:sz w:val="24"/>
          <w:szCs w:val="24"/>
        </w:rPr>
        <w:t>NTRODUCTION</w:t>
      </w:r>
    </w:p>
    <w:p w14:paraId="6D09E99F" w14:textId="03C23C6E" w:rsidR="00886A1B" w:rsidRPr="000E0DB5" w:rsidRDefault="00886A1B" w:rsidP="00886A1B">
      <w:pPr>
        <w:autoSpaceDE w:val="0"/>
        <w:autoSpaceDN w:val="0"/>
        <w:adjustRightInd w:val="0"/>
        <w:spacing w:after="0" w:line="480" w:lineRule="auto"/>
        <w:jc w:val="both"/>
        <w:rPr>
          <w:rFonts w:ascii="Arial" w:eastAsia="TimesNewRomanPSMT" w:hAnsi="Arial" w:cs="Arial"/>
          <w:sz w:val="24"/>
          <w:szCs w:val="24"/>
        </w:rPr>
      </w:pPr>
      <w:r w:rsidRPr="000E0DB5">
        <w:rPr>
          <w:rFonts w:ascii="Arial" w:eastAsia="TimesNewRomanPSMT" w:hAnsi="Arial" w:cs="Arial"/>
          <w:sz w:val="24"/>
          <w:szCs w:val="24"/>
        </w:rPr>
        <w:t>Protein expression levels within a cell are regulated by both pre- and post-</w:t>
      </w:r>
      <w:r w:rsidR="00527B18" w:rsidRPr="001E6E45">
        <w:rPr>
          <w:rFonts w:ascii="Arial" w:eastAsia="TimesNewRomanPSMT" w:hAnsi="Arial" w:cs="Arial"/>
          <w:sz w:val="24"/>
          <w:szCs w:val="24"/>
        </w:rPr>
        <w:t>trans</w:t>
      </w:r>
      <w:r w:rsidRPr="000E0DB5">
        <w:rPr>
          <w:rFonts w:ascii="Arial" w:eastAsia="TimesNewRomanPSMT" w:hAnsi="Arial" w:cs="Arial"/>
          <w:sz w:val="24"/>
          <w:szCs w:val="24"/>
        </w:rPr>
        <w:t xml:space="preserve">lational mechanisms </w:t>
      </w:r>
      <w:r w:rsidR="004A283A" w:rsidRPr="000E0DB5">
        <w:rPr>
          <w:rFonts w:ascii="Arial" w:eastAsia="TimesNewRomanPSMT" w:hAnsi="Arial" w:cs="Arial"/>
          <w:sz w:val="24"/>
          <w:szCs w:val="24"/>
        </w:rPr>
        <w:t xml:space="preserve">which maintain </w:t>
      </w:r>
      <w:r w:rsidRPr="000E0DB5">
        <w:rPr>
          <w:rFonts w:ascii="Arial" w:eastAsia="TimesNewRomanPSMT" w:hAnsi="Arial" w:cs="Arial"/>
          <w:sz w:val="24"/>
          <w:szCs w:val="24"/>
        </w:rPr>
        <w:t>a fine balance between protein synthesis and protein degradation.</w:t>
      </w:r>
      <w:r w:rsidR="00BA2F4C" w:rsidRPr="000E0DB5">
        <w:rPr>
          <w:rFonts w:ascii="Arial" w:eastAsia="TimesNewRomanPSMT" w:hAnsi="Arial" w:cs="Arial"/>
          <w:sz w:val="24"/>
          <w:szCs w:val="24"/>
        </w:rPr>
        <w:fldChar w:fldCharType="begin" w:fldLock="1"/>
      </w:r>
      <w:r w:rsidR="00BA2F4C" w:rsidRPr="000E0DB5">
        <w:rPr>
          <w:rFonts w:ascii="Arial" w:eastAsia="TimesNewRomanPSMT" w:hAnsi="Arial" w:cs="Arial"/>
          <w:sz w:val="24"/>
          <w:szCs w:val="24"/>
        </w:rPr>
        <w:instrText>ADDIN CSL_CITATION {"citationItems":[{"id":"ITEM-1","itemData":{"DOI":"10.1080/15384101.2019.1598725","ISSN":"15514005","PMID":"30907235","abstract":"Protein expression levels depend on the balance between their synthesis and degradation rates. Even quiescent (G0) cells display a continuous turnover of proteins, despite protein levels remaining largely constant over time. In cycling cells, global protein levels need to be precisely doubled at each cell division in order to maintain cellular homeostasis, but we still lack a quantitative understanding of how this is achieved. Recent studies have shed light on cell cycle-dependent changes in protein synthesis and degradation rates. Here we discuss current population-based and single cell approaches used to assess protein synthesis and degradation, and review the insights they have provided into the dynamics of protein turnover in different cell cycle phases.","author":[{"dropping-particle":"","family":"Alber","given":"Andrea Brigitta","non-dropping-particle":"","parse-names":false,"suffix":""},{"dropping-particle":"","family":"Suter","given":"David Michael","non-dropping-particle":"","parse-names":false,"suffix":""}],"container-title":"Cell Cycle","id":"ITEM-1","issue":"8","issued":{"date-parts":[["2019"]]},"page":"784-794","publisher":"Taylor &amp; Francis","title":"Dynamics of protein synthesis and degradation through the cell cycle","type":"article-journal","volume":"18"},"uris":["http://www.mendeley.com/documents/?uuid=7ff9bb62-e4c7-49c2-96ab-e1c553240523"]}],"mendeley":{"formattedCitation":"&lt;sup&gt;1&lt;/sup&gt;","plainTextFormattedCitation":"1","previouslyFormattedCitation":"&lt;sup&gt;1&lt;/sup&gt;"},"properties":{"noteIndex":0},"schema":"https://github.com/citation-style-language/schema/raw/master/csl-citation.json"}</w:instrText>
      </w:r>
      <w:r w:rsidR="00BA2F4C" w:rsidRPr="000E0DB5">
        <w:rPr>
          <w:rFonts w:ascii="Arial" w:eastAsia="TimesNewRomanPSMT" w:hAnsi="Arial" w:cs="Arial"/>
          <w:sz w:val="24"/>
          <w:szCs w:val="24"/>
        </w:rPr>
        <w:fldChar w:fldCharType="separate"/>
      </w:r>
      <w:r w:rsidR="00BA2F4C" w:rsidRPr="000E0DB5">
        <w:rPr>
          <w:rFonts w:ascii="Arial" w:eastAsia="TimesNewRomanPSMT" w:hAnsi="Arial" w:cs="Arial"/>
          <w:noProof/>
          <w:sz w:val="24"/>
          <w:szCs w:val="24"/>
          <w:vertAlign w:val="superscript"/>
        </w:rPr>
        <w:t>1</w:t>
      </w:r>
      <w:r w:rsidR="00BA2F4C"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The ubiquitin-proteasome system (UPS)</w:t>
      </w:r>
      <w:r w:rsidR="004A283A" w:rsidRPr="000E0DB5">
        <w:rPr>
          <w:rFonts w:ascii="Arial" w:eastAsia="TimesNewRomanPSMT" w:hAnsi="Arial" w:cs="Arial"/>
          <w:sz w:val="24"/>
          <w:szCs w:val="24"/>
        </w:rPr>
        <w:t xml:space="preserve">, </w:t>
      </w:r>
      <w:r w:rsidRPr="000E0DB5">
        <w:rPr>
          <w:rFonts w:ascii="Arial" w:eastAsia="TimesNewRomanPSMT" w:hAnsi="Arial" w:cs="Arial"/>
          <w:sz w:val="24"/>
          <w:szCs w:val="24"/>
        </w:rPr>
        <w:t xml:space="preserve">a key regulator </w:t>
      </w:r>
      <w:r w:rsidR="004A283A" w:rsidRPr="000E0DB5">
        <w:rPr>
          <w:rFonts w:ascii="Arial" w:eastAsia="TimesNewRomanPSMT" w:hAnsi="Arial" w:cs="Arial"/>
          <w:sz w:val="24"/>
          <w:szCs w:val="24"/>
        </w:rPr>
        <w:t>of this</w:t>
      </w:r>
      <w:r w:rsidRPr="000E0DB5">
        <w:rPr>
          <w:rFonts w:ascii="Arial" w:eastAsia="TimesNewRomanPSMT" w:hAnsi="Arial" w:cs="Arial"/>
          <w:sz w:val="24"/>
          <w:szCs w:val="24"/>
        </w:rPr>
        <w:t xml:space="preserve"> balance</w:t>
      </w:r>
      <w:r w:rsidR="004A283A" w:rsidRPr="000E0DB5">
        <w:rPr>
          <w:rFonts w:ascii="Arial" w:eastAsia="TimesNewRomanPSMT" w:hAnsi="Arial" w:cs="Arial"/>
          <w:sz w:val="24"/>
          <w:szCs w:val="24"/>
        </w:rPr>
        <w:t xml:space="preserve">, </w:t>
      </w:r>
      <w:r w:rsidRPr="000E0DB5">
        <w:rPr>
          <w:rFonts w:ascii="Arial" w:eastAsia="TimesNewRomanPSMT" w:hAnsi="Arial" w:cs="Arial"/>
          <w:sz w:val="24"/>
          <w:szCs w:val="24"/>
        </w:rPr>
        <w:t xml:space="preserve">operates by tagging proteins with a polyubiquitin chain marking them for destruction </w:t>
      </w:r>
      <w:r w:rsidR="004A283A" w:rsidRPr="000E0DB5">
        <w:rPr>
          <w:rFonts w:ascii="Arial" w:eastAsia="TimesNewRomanPSMT" w:hAnsi="Arial" w:cs="Arial"/>
          <w:sz w:val="24"/>
          <w:szCs w:val="24"/>
        </w:rPr>
        <w:t xml:space="preserve">at </w:t>
      </w:r>
      <w:r w:rsidRPr="000E0DB5">
        <w:rPr>
          <w:rFonts w:ascii="Arial" w:eastAsia="TimesNewRomanPSMT" w:hAnsi="Arial" w:cs="Arial"/>
          <w:sz w:val="24"/>
          <w:szCs w:val="24"/>
        </w:rPr>
        <w:t>the proteasome.</w:t>
      </w:r>
      <w:r w:rsidR="00BA2F4C" w:rsidRPr="000E0DB5">
        <w:rPr>
          <w:rFonts w:ascii="Arial" w:eastAsia="TimesNewRomanPSMT" w:hAnsi="Arial" w:cs="Arial"/>
          <w:sz w:val="24"/>
          <w:szCs w:val="24"/>
        </w:rPr>
        <w:fldChar w:fldCharType="begin" w:fldLock="1"/>
      </w:r>
      <w:r w:rsidR="00B0600B" w:rsidRPr="000E0DB5">
        <w:rPr>
          <w:rFonts w:ascii="Arial" w:eastAsia="TimesNewRomanPSMT" w:hAnsi="Arial" w:cs="Arial"/>
          <w:sz w:val="24"/>
          <w:szCs w:val="24"/>
        </w:rPr>
        <w:instrText>ADDIN CSL_CITATION {"citationItems":[{"id":"ITEM-1","itemData":{"DOI":"10.1146/annurev.biochem.67.1.425","ISSN":"0066-4154","author":[{"dropping-particle":"","family":"Hershko","given":"Avram","non-dropping-particle":"","parse-names":false,"suffix":""},{"dropping-particle":"","family":"Ciechanover","given":"Aaron","non-dropping-particle":"","parse-names":false,"suffix":""}],"container-title":"Annual Review of Biochemistry","id":"ITEM-1","issue":"1","issued":{"date-parts":[["1998","6"]]},"page":"425-479","title":"THE UBIQUITIN SYSTEM","type":"article-journal","volume":"67"},"uris":["http://www.mendeley.com/documents/?uuid=674c44a3-2486-4276-805a-e5aae15e239f"]}],"mendeley":{"formattedCitation":"&lt;sup&gt;2&lt;/sup&gt;","plainTextFormattedCitation":"2","previouslyFormattedCitation":"&lt;sup&gt;2&lt;/sup&gt;"},"properties":{"noteIndex":0},"schema":"https://github.com/citation-style-language/schema/raw/master/csl-citation.json"}</w:instrText>
      </w:r>
      <w:r w:rsidR="00BA2F4C" w:rsidRPr="000E0DB5">
        <w:rPr>
          <w:rFonts w:ascii="Arial" w:eastAsia="TimesNewRomanPSMT" w:hAnsi="Arial" w:cs="Arial"/>
          <w:sz w:val="24"/>
          <w:szCs w:val="24"/>
        </w:rPr>
        <w:fldChar w:fldCharType="separate"/>
      </w:r>
      <w:r w:rsidR="00BA2F4C" w:rsidRPr="000E0DB5">
        <w:rPr>
          <w:rFonts w:ascii="Arial" w:eastAsia="TimesNewRomanPSMT" w:hAnsi="Arial" w:cs="Arial"/>
          <w:noProof/>
          <w:sz w:val="24"/>
          <w:szCs w:val="24"/>
          <w:vertAlign w:val="superscript"/>
        </w:rPr>
        <w:t>2</w:t>
      </w:r>
      <w:r w:rsidR="00BA2F4C"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Due to its involvement in several cellular processes such as cell cycle control, DNA repair, gene </w:t>
      </w:r>
      <w:r w:rsidR="00527B18" w:rsidRPr="001E6E45">
        <w:rPr>
          <w:rFonts w:ascii="Arial" w:eastAsia="TimesNewRomanPSMT" w:hAnsi="Arial" w:cs="Arial"/>
          <w:sz w:val="24"/>
          <w:szCs w:val="24"/>
        </w:rPr>
        <w:t>trans</w:t>
      </w:r>
      <w:r w:rsidRPr="000E0DB5">
        <w:rPr>
          <w:rFonts w:ascii="Arial" w:eastAsia="TimesNewRomanPSMT" w:hAnsi="Arial" w:cs="Arial"/>
          <w:sz w:val="24"/>
          <w:szCs w:val="24"/>
        </w:rPr>
        <w:t>cription and apoptosis, dysregulation of the UPS is associated with multiple human pathologies including neurodegenerative diseases and cancers</w:t>
      </w:r>
      <w:r w:rsidR="004A283A" w:rsidRPr="000E0DB5">
        <w:rPr>
          <w:rFonts w:ascii="Arial" w:eastAsia="TimesNewRomanPSMT" w:hAnsi="Arial" w:cs="Arial"/>
          <w:sz w:val="24"/>
          <w:szCs w:val="24"/>
        </w:rPr>
        <w:t>,</w:t>
      </w:r>
      <w:r w:rsidR="00B0600B" w:rsidRPr="000E0DB5">
        <w:rPr>
          <w:rFonts w:ascii="Arial" w:eastAsia="TimesNewRomanPSMT" w:hAnsi="Arial" w:cs="Arial"/>
          <w:sz w:val="24"/>
          <w:szCs w:val="24"/>
        </w:rPr>
        <w:fldChar w:fldCharType="begin" w:fldLock="1"/>
      </w:r>
      <w:r w:rsidR="00B0600B" w:rsidRPr="000E0DB5">
        <w:rPr>
          <w:rFonts w:ascii="Arial" w:eastAsia="TimesNewRomanPSMT" w:hAnsi="Arial" w:cs="Arial"/>
          <w:sz w:val="24"/>
          <w:szCs w:val="24"/>
        </w:rPr>
        <w:instrText>ADDIN CSL_CITATION {"citationItems":[{"id":"ITEM-1","itemData":{"DOI":"10.1038/sj.cdd.4401692","ISBN":"9724829537","ISSN":"13509047","PMID":"16094394","abstract":"Between the 1950s and 1980s, scientists were focusing mostly on how the genetic code is transcribed to RNA and translated to proteins, but how proteins are degraded has remained a neglected research area. With the discovery of the lysosome by Christian de Duve, it was assumed that cellular proteins are degraded within this organelle. Yet, several independent lines of experimental evidence strongly suggested that intracellular proteolysis is largely nonlysosomal, but the mechanisms involved remained obscure. The discovery of the ubiquitin-proteasome system resolved the enigma. We now recognize that degradation of intracellular proteins is involved in regulation of a broad array of cellular processes, such as cell cycle and division, regulation of transcription factors, and assurance of the cellular quality control. Not surprisingly, aberrations in the system have been implicated in the pathogenesis of human disease, such as malignancies and neurodegenerative disorders, which led subsequently to an increasing effort to develop mechanism-based drugs. © 2005 Nature Publishing Group. All rights reserved.","author":[{"dropping-particle":"","family":"Cichanover","given":"Aaron","non-dropping-particle":"","parse-names":false,"suffix":""}],"container-title":"Cell Death and Differentiation","id":"ITEM-1","issue":"9","issued":{"date-parts":[["2005"]]},"page":"1178-1190","title":"Intracellular protein degradation: From a vague idea thru the lysosome and the ubiquitin-proteasome system and onto human diseases and drug targeting","type":"article-journal","volume":"12"},"uris":["http://www.mendeley.com/documents/?uuid=24f83cf8-9038-425d-b205-3dcd305dff75"]}],"mendeley":{"formattedCitation":"&lt;sup&gt;3&lt;/sup&gt;","plainTextFormattedCitation":"3","previouslyFormattedCitation":"&lt;sup&gt;3&lt;/sup&gt;"},"properties":{"noteIndex":0},"schema":"https://github.com/citation-style-language/schema/raw/master/csl-citation.json"}</w:instrText>
      </w:r>
      <w:r w:rsidR="00B0600B" w:rsidRPr="000E0DB5">
        <w:rPr>
          <w:rFonts w:ascii="Arial" w:eastAsia="TimesNewRomanPSMT" w:hAnsi="Arial" w:cs="Arial"/>
          <w:sz w:val="24"/>
          <w:szCs w:val="24"/>
        </w:rPr>
        <w:fldChar w:fldCharType="separate"/>
      </w:r>
      <w:r w:rsidR="00B0600B" w:rsidRPr="000E0DB5">
        <w:rPr>
          <w:rFonts w:ascii="Arial" w:eastAsia="TimesNewRomanPSMT" w:hAnsi="Arial" w:cs="Arial"/>
          <w:noProof/>
          <w:sz w:val="24"/>
          <w:szCs w:val="24"/>
          <w:vertAlign w:val="superscript"/>
        </w:rPr>
        <w:t>3</w:t>
      </w:r>
      <w:r w:rsidR="00B0600B"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w:t>
      </w:r>
      <w:r w:rsidR="004A283A" w:rsidRPr="000E0DB5">
        <w:rPr>
          <w:rFonts w:ascii="Arial" w:eastAsia="TimesNewRomanPSMT" w:hAnsi="Arial" w:cs="Arial"/>
          <w:sz w:val="24"/>
          <w:szCs w:val="24"/>
        </w:rPr>
        <w:t xml:space="preserve">and </w:t>
      </w:r>
      <w:r w:rsidRPr="000E0DB5">
        <w:rPr>
          <w:rFonts w:ascii="Arial" w:eastAsia="TimesNewRomanPSMT" w:hAnsi="Arial" w:cs="Arial"/>
          <w:sz w:val="24"/>
          <w:szCs w:val="24"/>
        </w:rPr>
        <w:t>pharmacological modulation of the UPS has been pursued extensively in drug discovery.</w:t>
      </w:r>
      <w:r w:rsidR="00F6529F">
        <w:rPr>
          <w:rFonts w:ascii="Arial" w:eastAsia="TimesNewRomanPSMT" w:hAnsi="Arial" w:cs="Arial"/>
          <w:sz w:val="24"/>
          <w:szCs w:val="24"/>
        </w:rPr>
        <w:fldChar w:fldCharType="begin" w:fldLock="1"/>
      </w:r>
      <w:r w:rsidR="00F6529F">
        <w:rPr>
          <w:rFonts w:ascii="Arial" w:eastAsia="TimesNewRomanPSMT" w:hAnsi="Arial" w:cs="Arial"/>
          <w:sz w:val="24"/>
          <w:szCs w:val="24"/>
        </w:rPr>
        <w:instrText>ADDIN CSL_CITATION {"citationItems":[{"id":"ITEM-1","itemData":{"DOI":"10.1038/nrd2056","ISSN":"14741776","abstract":"Regulated protein turnover via the ubiquitin-proteasome system (UPS) underlies a wide variety of signalling pathways, from cell-cycle control and transcription to development. Recent evidence that pharmacological inhibition of the proteasome can be efficacious in the treatment of human cancers has set the stage for attempts to selectively inhibit the activities of disease-specific components of the UPS. Here, we review recent advances linking UPS components with specific human diseases, most prominently cancer and neurodegenerative disorders, and emphasize potential sites of therapeutic intervention along the regulated protein-degradation pathway.","author":[{"dropping-particle":"","family":"Nalepa","given":"Grzegorz","non-dropping-particle":"","parse-names":false,"suffix":""},{"dropping-particle":"","family":"Rolfe","given":"Mark","non-dropping-particle":"","parse-names":false,"suffix":""},{"dropping-particle":"","family":"Harper","given":"J. Wade","non-dropping-particle":"","parse-names":false,"suffix":""}],"container-title":"Nature Reviews Drug Discovery","id":"ITEM-1","issue":"7","issued":{"date-parts":[["2006"]]},"page":"596-613","title":"Drug discovery in the ubiquitin - Proteasome system","type":"article-journal","volume":"5"},"uris":["http://www.mendeley.com/documents/?uuid=b6641fa1-1fee-4403-8d69-b61fc2060d79"]}],"mendeley":{"formattedCitation":"&lt;sup&gt;4&lt;/sup&gt;","plainTextFormattedCitation":"4","previouslyFormattedCitation":"&lt;sup&gt;4&lt;/sup&gt;"},"properties":{"noteIndex":0},"schema":"https://github.com/citation-style-language/schema/raw/master/csl-citation.json"}</w:instrText>
      </w:r>
      <w:r w:rsidR="00F6529F">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4</w:t>
      </w:r>
      <w:r w:rsidR="00F6529F">
        <w:rPr>
          <w:rFonts w:ascii="Arial" w:eastAsia="TimesNewRomanPSMT" w:hAnsi="Arial" w:cs="Arial"/>
          <w:sz w:val="24"/>
          <w:szCs w:val="24"/>
        </w:rPr>
        <w:fldChar w:fldCharType="end"/>
      </w:r>
      <w:r w:rsidR="00F6529F" w:rsidRPr="000E0DB5">
        <w:rPr>
          <w:rFonts w:ascii="Arial" w:eastAsia="TimesNewRomanPSMT" w:hAnsi="Arial" w:cs="Arial"/>
          <w:sz w:val="24"/>
          <w:szCs w:val="24"/>
        </w:rPr>
        <w:t xml:space="preserve"> </w:t>
      </w:r>
    </w:p>
    <w:p w14:paraId="72D36B15" w14:textId="7B1FBEB7" w:rsidR="00375046" w:rsidRDefault="00886A1B" w:rsidP="0075081C">
      <w:pPr>
        <w:autoSpaceDE w:val="0"/>
        <w:autoSpaceDN w:val="0"/>
        <w:adjustRightInd w:val="0"/>
        <w:spacing w:after="0" w:line="480" w:lineRule="auto"/>
        <w:jc w:val="both"/>
        <w:rPr>
          <w:rFonts w:ascii="Arial" w:eastAsia="TimesNewRomanPSMT" w:hAnsi="Arial" w:cs="Arial"/>
          <w:b/>
          <w:bCs/>
          <w:sz w:val="24"/>
          <w:szCs w:val="24"/>
        </w:rPr>
      </w:pPr>
      <w:r w:rsidRPr="000E0DB5">
        <w:rPr>
          <w:rFonts w:ascii="Arial" w:eastAsia="TimesNewRomanPSMT" w:hAnsi="Arial" w:cs="Arial"/>
          <w:sz w:val="24"/>
          <w:szCs w:val="24"/>
        </w:rPr>
        <w:t>In the last decade, targeted protein degradation (TPD) has emerged as an innovative approach to exploit the central ubiquitin-tagging mechanism of the UPS to deplete intracellular protein levels</w:t>
      </w:r>
      <w:r w:rsidR="00F6529F">
        <w:rPr>
          <w:rFonts w:ascii="Arial" w:eastAsia="TimesNewRomanPSMT" w:hAnsi="Arial" w:cs="Arial"/>
          <w:sz w:val="24"/>
          <w:szCs w:val="24"/>
        </w:rPr>
        <w:t>.</w:t>
      </w:r>
      <w:r w:rsidR="00F6529F">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{"citationItems":[{"id":"ITEM-1","itemData":{"DOI":"10.1016/j.ddtec.2019.01.002","ISSN":"17406749","abstract":"The majority of currently used therapeutics are small molecule-based and utilize occupancy-driven pharmacology as the mode of action (MOA), in which the protein function is modulated via temporary inhibition. New modalities that operate using alternative MOAs are essential for tapping into the “undruggable” proteome. The PROteolysis Targeting Chimera (PROTAC) technology provides an attractive new approach that utilizes an event-driven MOA. Small molecule-based heterobifunctional PROTACs modulate protein target levels by hijacking the ubiquitin-proteasome system to induce degradation of the target. Here, we address important milestones in the development of the PROTAC technology, as well as emphasize key findings from this previous year and highlight future directions of this promising drug discovery modality.","author":[{"dropping-particle":"","family":"Pettersson","given":"Mariell","non-dropping-particle":"","parse-names":false,"suffix":""},{"dropping-particle":"","family":"Crews","given":"Craig M.","non-dropping-particle":"","parse-names":false,"suffix":""}],"container-title":"Drug Discovery Today: Technologies","id":"ITEM-1","issue":"xx","issued":{"date-parts":[["2019"]]},"page":"15-27","publisher":"Elsevier Ltd","title":"PROteolysis TArgeting Chimeras (PROTACs) — Past, present and future","type":"article-journal","volume":"31"},"uris":["http://www.mendeley.com/documents/?uuid=4718a8a1-ac85-48e2-b9e7-109dab00622a"]}],"mendeley":{"formattedCitation":"&lt;sup&gt;5&lt;/sup&gt;","plainTextFormattedCitation":"5","previouslyFormattedCitation":"&lt;sup&gt;5&lt;/sup&gt;"},"properties":{"noteIndex":0},"schema":"https://github.com/citation-style-language/schema/raw/master/csl-citation.json"}</w:instrText>
      </w:r>
      <w:r w:rsidR="00F6529F">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5</w:t>
      </w:r>
      <w:r w:rsidR="00F6529F">
        <w:rPr>
          <w:rFonts w:ascii="Arial" w:eastAsia="TimesNewRomanPSMT" w:hAnsi="Arial" w:cs="Arial"/>
          <w:sz w:val="24"/>
          <w:szCs w:val="24"/>
        </w:rPr>
        <w:fldChar w:fldCharType="end"/>
      </w:r>
      <w:r w:rsidRPr="000E0DB5">
        <w:rPr>
          <w:rFonts w:ascii="Arial" w:eastAsia="TimesNewRomanPSMT" w:hAnsi="Arial" w:cs="Arial"/>
          <w:sz w:val="24"/>
          <w:szCs w:val="24"/>
        </w:rPr>
        <w:t xml:space="preserve"> TPD relies on the ability of </w:t>
      </w:r>
      <w:r w:rsidR="0053326E">
        <w:rPr>
          <w:rFonts w:ascii="Arial" w:eastAsia="TimesNewRomanPSMT" w:hAnsi="Arial" w:cs="Arial"/>
          <w:sz w:val="24"/>
          <w:szCs w:val="24"/>
        </w:rPr>
        <w:t>molecular glues</w:t>
      </w:r>
      <w:r w:rsidR="002C6625">
        <w:rPr>
          <w:rFonts w:ascii="Arial" w:eastAsia="TimesNewRomanPSMT" w:hAnsi="Arial" w:cs="Arial"/>
          <w:sz w:val="24"/>
          <w:szCs w:val="24"/>
        </w:rPr>
        <w:t xml:space="preserve"> or </w:t>
      </w:r>
      <w:r w:rsidR="008047D5">
        <w:rPr>
          <w:rFonts w:ascii="Arial" w:eastAsia="TimesNewRomanPSMT" w:hAnsi="Arial" w:cs="Arial"/>
          <w:sz w:val="24"/>
          <w:szCs w:val="24"/>
        </w:rPr>
        <w:t>hetero</w:t>
      </w:r>
      <w:r w:rsidRPr="000E0DB5">
        <w:rPr>
          <w:rFonts w:ascii="Arial" w:eastAsia="TimesNewRomanPSMT" w:hAnsi="Arial" w:cs="Arial"/>
          <w:sz w:val="24"/>
          <w:szCs w:val="24"/>
        </w:rPr>
        <w:t xml:space="preserve">bifunctional molecules to bring a target protein and an E3 ligase </w:t>
      </w:r>
      <w:r w:rsidR="004A283A" w:rsidRPr="000E0DB5">
        <w:rPr>
          <w:rFonts w:ascii="Arial" w:eastAsia="TimesNewRomanPSMT" w:hAnsi="Arial" w:cs="Arial"/>
          <w:sz w:val="24"/>
          <w:szCs w:val="24"/>
        </w:rPr>
        <w:t xml:space="preserve">into close proximity </w:t>
      </w:r>
      <w:r w:rsidRPr="000E0DB5">
        <w:rPr>
          <w:rFonts w:ascii="Arial" w:eastAsia="TimesNewRomanPSMT" w:hAnsi="Arial" w:cs="Arial"/>
          <w:sz w:val="24"/>
          <w:szCs w:val="24"/>
        </w:rPr>
        <w:t>in a ternary complex</w:t>
      </w:r>
      <w:r w:rsidR="004A283A" w:rsidRPr="000E0DB5">
        <w:rPr>
          <w:rFonts w:ascii="Arial" w:eastAsia="TimesNewRomanPSMT" w:hAnsi="Arial" w:cs="Arial"/>
          <w:sz w:val="24"/>
          <w:szCs w:val="24"/>
        </w:rPr>
        <w:t>,</w:t>
      </w:r>
      <w:r w:rsidRPr="000E0DB5">
        <w:rPr>
          <w:rFonts w:ascii="Arial" w:eastAsia="TimesNewRomanPSMT" w:hAnsi="Arial" w:cs="Arial"/>
          <w:sz w:val="24"/>
          <w:szCs w:val="24"/>
        </w:rPr>
        <w:t xml:space="preserve"> leading to </w:t>
      </w:r>
      <w:r w:rsidR="004A283A" w:rsidRPr="000E0DB5">
        <w:rPr>
          <w:rFonts w:ascii="Arial" w:eastAsia="TimesNewRomanPSMT" w:hAnsi="Arial" w:cs="Arial"/>
          <w:sz w:val="24"/>
          <w:szCs w:val="24"/>
        </w:rPr>
        <w:t xml:space="preserve">small molecule-directed </w:t>
      </w:r>
      <w:r w:rsidRPr="000E0DB5">
        <w:rPr>
          <w:rFonts w:ascii="Arial" w:eastAsia="TimesNewRomanPSMT" w:hAnsi="Arial" w:cs="Arial"/>
          <w:sz w:val="24"/>
          <w:szCs w:val="24"/>
        </w:rPr>
        <w:t>ubiquitination and proteasomal degradation of the target protein.</w:t>
      </w:r>
      <w:r w:rsidR="00833897"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{"citationItems":[{"id":"ITEM-1","itemData":{"DOI":"10.1016/j.bmcl.2018.04.046","ISSN":"14643405","abstract":"The drugable proteome is limited by the number of functional binding sites that can bind small molecules and respond with a therapeutic effect. Orthosteric and allosteric modulators of enzyme function or receptor signaling are well-established mechanisms of drug action. Drugs that perturb protein-protein interactions have only recently been launched. This approach is more difficult due to the extensive contact surfaces that must be perturbed antagonistically. Compounds that promote novel protein-protein interactions promise to dramatically expand opportunities for therapeutic intervention. This approach is precedented with natural products (rapamycin, FK506, sanglifehrin A), synthetic small molecules (thalidomide and IMiD derivatives) and indisulam analogues.","author":[{"dropping-particle":"","family":"Che","given":"Ye","non-dropping-particle":"","parse-names":false,"suffix":""},{"dropping-particle":"","family":"Gilbert","given":"Adam M.","non-dropping-particle":"","parse-names":false,"suffix":""},{"dropping-particle":"","family":"Shanmugasundaram","given":"Veerabahu","non-dropping-particle":"","parse-names":false,"suffix":""},{"dropping-particle":"","family":"Noe","given":"Mark C.","non-dropping-particle":"","parse-names":false,"suffix":""}],"container-title":"Bioorganic and Medicinal Chemistry Letters","id":"ITEM-1","issue":"15","issued":{"date-parts":[["2018"]]},"page":"2585-2592","publisher":"Elsevier Ltd","title":"Inducing protein-protein interactions with molecular glues","type":"article-journal","volume":"28"},"uris":["http://www.mendeley.com/documents/?uuid=d0b9779b-3351-4325-af95-d279225d17c6"]},{"id":"ITEM-2","itemData":{"DOI":"10.1016/j.ddtec.2019.01.001","ISSN":"17406749","abstract":"Targeted protein degradation mediated by small molecule degraders represents an exciting new therapeutic opportunity to eliminate disease-causing proteins. These molecules recruit E3 ubiquitin ligases to the protein of interest and mediate its ubiquitination and subsequent proteolysis by the proteasome. Significant advancements have been made in the discovery and development of clinically relevant degraders. In this review we will focus on the recent progress in understanding ternary complex formation and structures, ubiquitination, and other critical factors that govern the efficiency of degraders both in vitro and in vivo. With deeper knowledges of these areas, the field is building guiding principles to reduce the level of empiricism and to identify therapeutically relevant degraders more rationally and efficiently.","author":[{"dropping-particle":"","family":"Zhang","given":"Yi","non-dropping-particle":"","parse-names":false,"suffix":""},{"dropping-particle":"","family":"Loh","given":"Christine","non-dropping-particle":"","parse-names":false,"suffix":""},{"dropping-particle":"","family":"Chen","given":"Jesse","non-dropping-particle":"","parse-names":false,"suffix":""},{"dropping-particle":"","family":"Mainolfi","given":"Nello","non-dropping-particle":"","parse-names":false,"suffix":""}],"container-title":"Drug Discovery Today: Technologies","id":"ITEM-2","issue":"xx","issued":{"date-parts":[["2019"]]},"page":"53-60","title":"Targeted protein degradation mechanisms","type":"article-journal","volume":"31"},"uris":["http://www.mendeley.com/documents/?uuid=ffffb500-2d6a-4d77-8c92-fa73f4f98075"]}],"mendeley":{"formattedCitation":"&lt;sup&gt;6,7&lt;/sup&gt;","plainTextFormattedCitation":"6,7","previouslyFormattedCitation":"&lt;sup&gt;6,7&lt;/sup&gt;"},"properties":{"noteIndex":0},"schema":"https://github.com/citation-style-language/schema/raw/master/csl-citation.json"}</w:instrText>
      </w:r>
      <w:r w:rsidR="00833897"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6,7</w:t>
      </w:r>
      <w:r w:rsidR="00833897"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w:t>
      </w:r>
      <w:r w:rsidR="008047D5">
        <w:rPr>
          <w:rFonts w:ascii="Arial" w:eastAsia="TimesNewRomanPSMT" w:hAnsi="Arial" w:cs="Arial"/>
          <w:sz w:val="24"/>
          <w:szCs w:val="24"/>
        </w:rPr>
        <w:t>While molecular glues</w:t>
      </w:r>
      <w:r w:rsidR="00063520">
        <w:rPr>
          <w:rFonts w:ascii="Arial" w:eastAsia="TimesNewRomanPSMT" w:hAnsi="Arial" w:cs="Arial"/>
          <w:sz w:val="24"/>
          <w:szCs w:val="24"/>
        </w:rPr>
        <w:t xml:space="preserve"> are single agents</w:t>
      </w:r>
      <w:r w:rsidR="00FD0EFA">
        <w:rPr>
          <w:rFonts w:ascii="Arial" w:eastAsia="TimesNewRomanPSMT" w:hAnsi="Arial" w:cs="Arial"/>
          <w:sz w:val="24"/>
          <w:szCs w:val="24"/>
        </w:rPr>
        <w:t xml:space="preserve"> </w:t>
      </w:r>
      <w:r w:rsidR="00C35E6A">
        <w:rPr>
          <w:rFonts w:ascii="Arial" w:eastAsia="TimesNewRomanPSMT" w:hAnsi="Arial" w:cs="Arial"/>
          <w:sz w:val="24"/>
          <w:szCs w:val="24"/>
        </w:rPr>
        <w:t>which mode of action</w:t>
      </w:r>
      <w:r w:rsidR="007E56BB">
        <w:rPr>
          <w:rFonts w:ascii="Arial" w:eastAsia="TimesNewRomanPSMT" w:hAnsi="Arial" w:cs="Arial"/>
          <w:sz w:val="24"/>
          <w:szCs w:val="24"/>
        </w:rPr>
        <w:t xml:space="preserve"> </w:t>
      </w:r>
      <w:r w:rsidR="00C35E6A">
        <w:rPr>
          <w:rFonts w:ascii="Arial" w:eastAsia="TimesNewRomanPSMT" w:hAnsi="Arial" w:cs="Arial"/>
          <w:sz w:val="24"/>
          <w:szCs w:val="24"/>
        </w:rPr>
        <w:t xml:space="preserve">involves </w:t>
      </w:r>
      <w:r w:rsidR="00375046">
        <w:rPr>
          <w:rFonts w:ascii="Arial" w:eastAsia="TimesNewRomanPSMT" w:hAnsi="Arial" w:cs="Arial"/>
          <w:sz w:val="24"/>
          <w:szCs w:val="24"/>
        </w:rPr>
        <w:t xml:space="preserve">a </w:t>
      </w:r>
      <w:r w:rsidR="007E56BB">
        <w:rPr>
          <w:rFonts w:ascii="Arial" w:eastAsia="TimesNewRomanPSMT" w:hAnsi="Arial" w:cs="Arial"/>
          <w:sz w:val="24"/>
          <w:szCs w:val="24"/>
        </w:rPr>
        <w:t>conformational change of the E3 ligase</w:t>
      </w:r>
      <w:r w:rsidR="00652D0C">
        <w:rPr>
          <w:rFonts w:ascii="Arial" w:eastAsia="TimesNewRomanPSMT" w:hAnsi="Arial" w:cs="Arial"/>
          <w:sz w:val="24"/>
          <w:szCs w:val="24"/>
        </w:rPr>
        <w:t xml:space="preserve"> </w:t>
      </w:r>
      <w:r w:rsidR="00F06863">
        <w:rPr>
          <w:rFonts w:ascii="Arial" w:eastAsia="TimesNewRomanPSMT" w:hAnsi="Arial" w:cs="Arial"/>
          <w:sz w:val="24"/>
          <w:szCs w:val="24"/>
        </w:rPr>
        <w:t>result</w:t>
      </w:r>
      <w:r w:rsidR="00C35E6A">
        <w:rPr>
          <w:rFonts w:ascii="Arial" w:eastAsia="TimesNewRomanPSMT" w:hAnsi="Arial" w:cs="Arial"/>
          <w:sz w:val="24"/>
          <w:szCs w:val="24"/>
        </w:rPr>
        <w:t>ing</w:t>
      </w:r>
      <w:r w:rsidR="00375046">
        <w:rPr>
          <w:rFonts w:ascii="Arial" w:eastAsia="TimesNewRomanPSMT" w:hAnsi="Arial" w:cs="Arial"/>
          <w:sz w:val="24"/>
          <w:szCs w:val="24"/>
        </w:rPr>
        <w:t xml:space="preserve"> in</w:t>
      </w:r>
      <w:r w:rsidR="007E56BB">
        <w:rPr>
          <w:rFonts w:ascii="Arial" w:eastAsia="TimesNewRomanPSMT" w:hAnsi="Arial" w:cs="Arial"/>
          <w:sz w:val="24"/>
          <w:szCs w:val="24"/>
        </w:rPr>
        <w:t xml:space="preserve"> </w:t>
      </w:r>
      <w:r w:rsidR="00375046">
        <w:rPr>
          <w:rFonts w:ascii="Arial" w:eastAsia="TimesNewRomanPSMT" w:hAnsi="Arial" w:cs="Arial"/>
          <w:sz w:val="24"/>
          <w:szCs w:val="24"/>
        </w:rPr>
        <w:t>the recruitment of</w:t>
      </w:r>
      <w:r w:rsidR="007E56BB">
        <w:rPr>
          <w:rFonts w:ascii="Arial" w:eastAsia="TimesNewRomanPSMT" w:hAnsi="Arial" w:cs="Arial"/>
          <w:sz w:val="24"/>
          <w:szCs w:val="24"/>
        </w:rPr>
        <w:t xml:space="preserve"> neosubstrates,</w:t>
      </w:r>
      <w:r w:rsidR="00A85216">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{"citationItems":[{"id":"ITEM-1","itemData":{"DOI":"10.1182/blood-2015-07-567958.Therapeutic","ISSN":"0006-4971","author":[{"dropping-particle":"","family":"Fink","given":"Emma C","non-dropping-particle":"","parse-names":false,"suffix":""},{"dropping-particle":"","family":"Ebert","given":"Benjamin L","non-dropping-particle":"","parse-names":false,"suffix":""}],"container-title":"Blood","id":"ITEM-1","issue":"November","issued":{"date-parts":[["2015"]]},"page":"2366-2370","title":"Blood Spotlight The novel mechanism of lenalidomide activity","type":"article-journal","volume":"126"},"uris":["http://www.mendeley.com/documents/?uuid=531ec16a-7973-49f2-b124-470a8d428741"]}],"mendeley":{"formattedCitation":"&lt;sup&gt;8&lt;/sup&gt;","plainTextFormattedCitation":"8","previouslyFormattedCitation":"&lt;sup&gt;8&lt;/sup&gt;"},"properties":{"noteIndex":0},"schema":"https://github.com/citation-style-language/schema/raw/master/csl-citation.json"}</w:instrText>
      </w:r>
      <w:r w:rsidR="00A85216">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8</w:t>
      </w:r>
      <w:r w:rsidR="00A85216">
        <w:rPr>
          <w:rFonts w:ascii="Arial" w:eastAsia="TimesNewRomanPSMT" w:hAnsi="Arial" w:cs="Arial"/>
          <w:sz w:val="24"/>
          <w:szCs w:val="24"/>
        </w:rPr>
        <w:fldChar w:fldCharType="end"/>
      </w:r>
      <w:r w:rsidR="007E56BB">
        <w:rPr>
          <w:rFonts w:ascii="Arial" w:eastAsia="TimesNewRomanPSMT" w:hAnsi="Arial" w:cs="Arial"/>
          <w:sz w:val="24"/>
          <w:szCs w:val="24"/>
        </w:rPr>
        <w:t xml:space="preserve"> </w:t>
      </w:r>
      <w:r w:rsidR="008047D5">
        <w:rPr>
          <w:rFonts w:ascii="Arial" w:eastAsia="TimesNewRomanPSMT" w:hAnsi="Arial" w:cs="Arial"/>
          <w:sz w:val="24"/>
          <w:szCs w:val="24"/>
        </w:rPr>
        <w:t>b</w:t>
      </w:r>
      <w:r w:rsidRPr="000E0DB5">
        <w:rPr>
          <w:rFonts w:ascii="Arial" w:eastAsia="TimesNewRomanPSMT" w:hAnsi="Arial" w:cs="Arial"/>
          <w:sz w:val="24"/>
          <w:szCs w:val="24"/>
        </w:rPr>
        <w:t>ifunctional molecules</w:t>
      </w:r>
      <w:r w:rsidR="00063520">
        <w:rPr>
          <w:rFonts w:ascii="Arial" w:eastAsia="TimesNewRomanPSMT" w:hAnsi="Arial" w:cs="Arial"/>
          <w:sz w:val="24"/>
          <w:szCs w:val="24"/>
        </w:rPr>
        <w:t xml:space="preserve"> </w:t>
      </w:r>
      <w:r w:rsidR="00D31974">
        <w:rPr>
          <w:rFonts w:ascii="Arial" w:eastAsia="TimesNewRomanPSMT" w:hAnsi="Arial" w:cs="Arial"/>
          <w:sz w:val="24"/>
          <w:szCs w:val="24"/>
        </w:rPr>
        <w:t>require</w:t>
      </w:r>
      <w:r w:rsidR="00063520">
        <w:rPr>
          <w:rFonts w:ascii="Arial" w:eastAsia="TimesNewRomanPSMT" w:hAnsi="Arial" w:cs="Arial"/>
          <w:sz w:val="24"/>
          <w:szCs w:val="24"/>
        </w:rPr>
        <w:t xml:space="preserve"> t</w:t>
      </w:r>
      <w:r w:rsidRPr="000E0DB5">
        <w:rPr>
          <w:rFonts w:ascii="Arial" w:eastAsia="TimesNewRomanPSMT" w:hAnsi="Arial" w:cs="Arial"/>
          <w:sz w:val="24"/>
          <w:szCs w:val="24"/>
        </w:rPr>
        <w:t xml:space="preserve">wo </w:t>
      </w:r>
      <w:r w:rsidR="00B72B5D">
        <w:rPr>
          <w:rFonts w:ascii="Arial" w:eastAsia="TimesNewRomanPSMT" w:hAnsi="Arial" w:cs="Arial"/>
          <w:sz w:val="24"/>
          <w:szCs w:val="24"/>
        </w:rPr>
        <w:t>distinct</w:t>
      </w:r>
      <w:r w:rsidR="00D31974">
        <w:rPr>
          <w:rFonts w:ascii="Arial" w:eastAsia="TimesNewRomanPSMT" w:hAnsi="Arial" w:cs="Arial"/>
          <w:sz w:val="24"/>
          <w:szCs w:val="24"/>
        </w:rPr>
        <w:t xml:space="preserve"> </w:t>
      </w:r>
      <w:r w:rsidRPr="000E0DB5">
        <w:rPr>
          <w:rFonts w:ascii="Arial" w:eastAsia="TimesNewRomanPSMT" w:hAnsi="Arial" w:cs="Arial"/>
          <w:sz w:val="24"/>
          <w:szCs w:val="24"/>
        </w:rPr>
        <w:t xml:space="preserve">ligands joined together by a linker, whereby the first ligand binds to the target protein and the second ligand recruits the E3 ubiquitin ligase (Figure 1A). Because of their double-headed chemical structure, </w:t>
      </w:r>
      <w:r w:rsidR="004A283A" w:rsidRPr="000E0DB5">
        <w:rPr>
          <w:rFonts w:ascii="Arial" w:eastAsia="TimesNewRomanPSMT" w:hAnsi="Arial" w:cs="Arial"/>
          <w:sz w:val="24"/>
          <w:szCs w:val="24"/>
        </w:rPr>
        <w:t xml:space="preserve">these </w:t>
      </w:r>
      <w:r w:rsidRPr="000E0DB5">
        <w:rPr>
          <w:rFonts w:ascii="Arial" w:eastAsia="TimesNewRomanPSMT" w:hAnsi="Arial" w:cs="Arial"/>
          <w:sz w:val="24"/>
          <w:szCs w:val="24"/>
        </w:rPr>
        <w:t>compounds were first named proteolysis targeting chimeras (PROTACs).</w:t>
      </w:r>
      <w:r w:rsidR="00833897"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{"citationItems":[{"id":"ITEM-1","itemData":{"DOI":"10.1073/pnas.141230798","ISSN":"00278424","abstract":"The intracellular levels of many proteins are regulated by ubiquitin-dependent proteolysis. One of the best-characterized enzymes that catalyzes the attachment of ubiquitin to proteins is a ubiquitin ligase complex, Skp1-Cullin-F box complex containing Hrt1 (SCF). We sought to artificially target a protein to the SCF complex for ubiquitination and degradation. To this end, we tested methionine aminopeptidase-2 (MetAP-2), which covalently binds the angiogenesis inhibitor ovalicin. A chimeric compound, protein-targeting chimeric molecule 1 (Protac-1), was synthesized to recruit MetAP-2 to SCF. One domain of Protac-1 contains the I kappa B alpha phosphopeptide that is recognized by the F-box protein beta-TRCP, whereas the other domain is composed of ovalicin. We show that MetAP-2 can be tethered to SCF(beta-TRCP), ubiquitinated, and degraded in a Protac-1-dependent manner. In the future, this approach may be useful for conditional inactivation of proteins, and for targeting disease-causing proteins for destruction.","author":[{"dropping-particle":"","family":"Sakamoto","given":"Kathleen M.","non-dropping-particle":"","parse-names":false,"suffix":""},{"dropping-particle":"","family":"Kim","given":"Kyung B.","non-dropping-particle":"","parse-names":false,"suffix":""},{"dropping-particle":"","family":"Kumagai","given":"Akiko","non-dropping-particle":"","parse-names":false,"suffix":""},{"dropping-particle":"","family":"Mercurio","given":"Frank","non-dropping-particle":"","parse-names":false,"suffix":""},{"dropping-particle":"","family":"Crews","given":"Craig M.","non-dropping-particle":"","parse-names":false,"suffix":""},{"dropping-particle":"","family":"Deshaies","given":"Raymond J.","non-dropping-particle":"","parse-names":false,"suffix":""}],"container-title":"Proceedings of the National Academy of Sciences of the United States of America","id":"ITEM-1","issue":"15","issued":{"date-parts":[["2001"]]},"page":"8554-8559","title":"Protacs: Chimeric molecules that target proteins to the Skp1-Cullin-F box complex for ubiquitination and degradation","type":"article-journal","volume":"98"},"uris":["http://www.mendeley.com/documents/?uuid=dfc8365d-b4fe-4057-8214-c4c4471fe56c"]}],"mendeley":{"formattedCitation":"&lt;sup&gt;9&lt;/sup&gt;","plainTextFormattedCitation":"9","previouslyFormattedCitation":"&lt;sup&gt;9&lt;/sup&gt;"},"properties":{"noteIndex":0},"schema":"https://github.com/citation-style-language/schema/raw/master/csl-citation.json"}</w:instrText>
      </w:r>
      <w:r w:rsidR="00833897"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9</w:t>
      </w:r>
      <w:r w:rsidR="00833897"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They are now established as powerful tools to regulate intracellular protein levels and the first two PROTACs </w:t>
      </w:r>
      <w:r w:rsidR="00375046" w:rsidRPr="000E0DB5">
        <w:rPr>
          <w:rFonts w:ascii="Arial" w:eastAsia="TimesNewRomanPSMT" w:hAnsi="Arial" w:cs="Arial"/>
          <w:sz w:val="24"/>
          <w:szCs w:val="24"/>
        </w:rPr>
        <w:t>targeting the androgen receptor (ARV-110) and the estrogen receptor (ARV-471) recently entered clinical investigation</w:t>
      </w:r>
      <w:r w:rsidR="00375046">
        <w:rPr>
          <w:rFonts w:ascii="Arial" w:eastAsia="TimesNewRomanPSMT" w:hAnsi="Arial" w:cs="Arial"/>
          <w:sz w:val="24"/>
          <w:szCs w:val="24"/>
        </w:rPr>
        <w:t xml:space="preserve"> </w:t>
      </w:r>
      <w:r w:rsidR="00375046" w:rsidRPr="000E0DB5">
        <w:rPr>
          <w:rFonts w:ascii="Arial" w:eastAsia="TimesNewRomanPSMT" w:hAnsi="Arial" w:cs="Arial"/>
          <w:sz w:val="24"/>
          <w:szCs w:val="24"/>
        </w:rPr>
        <w:t>for the treatment of metastatic castration-resistant prostate cancer or breast cancer, respectively.</w:t>
      </w:r>
      <w:r w:rsidR="00375046"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{"citationItems":[{"id":"ITEM-1","itemData":{"DOI":"10.1038/d41573-019-00043-6","ISSN":"1474-1776","author":[{"dropping-particle":"","family":"Mullard","given":"Asher","non-dropping-particle":"","parse-names":false,"suffix":""}],"container-title":"Nature Reviews Drug Discovery","id":"ITEM-1","issued":{"date-parts":[["2019","3","6"]]},"page":"237","title":"First targeted protein degrader hits the clinic","type":"article-journal","volume":"18"},"uris":["http://www.mendeley.com/documents/?uuid=b9199855-185d-48f7-9d7d-31abac3ae630"]}],"mendeley":{"formattedCitation":"&lt;sup&gt;10&lt;/sup&gt;","plainTextFormattedCitation":"10","previouslyFormattedCitation":"&lt;sup&gt;10&lt;/sup&gt;"},"properties":{"noteIndex":0},"schema":"https://github.com/citation-style-language/schema/raw/master/csl-citation.json"}</w:instrText>
      </w:r>
      <w:r w:rsidR="00375046"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10</w:t>
      </w:r>
      <w:r w:rsidR="00375046" w:rsidRPr="000E0DB5">
        <w:rPr>
          <w:rFonts w:ascii="Arial" w:eastAsia="TimesNewRomanPSMT" w:hAnsi="Arial" w:cs="Arial"/>
          <w:sz w:val="24"/>
          <w:szCs w:val="24"/>
        </w:rPr>
        <w:fldChar w:fldCharType="end"/>
      </w:r>
      <w:r w:rsidR="00375046" w:rsidRPr="000E0DB5">
        <w:rPr>
          <w:rFonts w:ascii="Arial" w:eastAsia="TimesNewRomanPSMT" w:hAnsi="Arial" w:cs="Arial"/>
          <w:b/>
          <w:bCs/>
          <w:sz w:val="24"/>
          <w:szCs w:val="24"/>
        </w:rPr>
        <w:t xml:space="preserve"> </w:t>
      </w:r>
    </w:p>
    <w:p w14:paraId="11865E8A" w14:textId="77777777" w:rsidR="009E60FD" w:rsidRDefault="009E60FD" w:rsidP="0075081C">
      <w:pPr>
        <w:autoSpaceDE w:val="0"/>
        <w:autoSpaceDN w:val="0"/>
        <w:adjustRightInd w:val="0"/>
        <w:spacing w:after="0" w:line="480" w:lineRule="auto"/>
        <w:jc w:val="both"/>
        <w:rPr>
          <w:rFonts w:ascii="Arial" w:eastAsia="TimesNewRomanPSMT" w:hAnsi="Arial" w:cs="Arial"/>
          <w:sz w:val="24"/>
          <w:szCs w:val="24"/>
        </w:rPr>
      </w:pPr>
    </w:p>
    <w:p w14:paraId="4A9B872E" w14:textId="6AE57E04" w:rsidR="0075081C" w:rsidRPr="009E60FD" w:rsidRDefault="006D17AB" w:rsidP="00375046">
      <w:pPr>
        <w:autoSpaceDE w:val="0"/>
        <w:autoSpaceDN w:val="0"/>
        <w:adjustRightInd w:val="0"/>
        <w:spacing w:after="0" w:line="480" w:lineRule="auto"/>
        <w:jc w:val="both"/>
        <w:rPr>
          <w:rFonts w:ascii="Arial" w:eastAsia="TimesNewRomanPSMT" w:hAnsi="Arial" w:cs="Arial"/>
          <w:sz w:val="24"/>
          <w:szCs w:val="24"/>
        </w:rPr>
      </w:pPr>
      <w:r>
        <w:rPr>
          <w:rFonts w:ascii="Arial" w:eastAsia="TimesNewRomanPSMT" w:hAnsi="Arial" w:cs="Arial"/>
          <w:noProof/>
          <w:sz w:val="24"/>
          <w:szCs w:val="24"/>
        </w:rPr>
        <w:drawing>
          <wp:anchor distT="0" distB="0" distL="114300" distR="114300" simplePos="0" relativeHeight="251696128" behindDoc="0" locked="0" layoutInCell="1" allowOverlap="1" wp14:anchorId="7BF0E28D" wp14:editId="3E78BB0F">
            <wp:simplePos x="0" y="0"/>
            <wp:positionH relativeFrom="column">
              <wp:posOffset>0</wp:posOffset>
            </wp:positionH>
            <wp:positionV relativeFrom="page">
              <wp:posOffset>2159000</wp:posOffset>
            </wp:positionV>
            <wp:extent cx="5943600" cy="3974465"/>
            <wp:effectExtent l="0" t="0" r="0" b="6985"/>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3600" cy="3974465"/>
                    </a:xfrm>
                    <a:prstGeom prst="rect">
                      <a:avLst/>
                    </a:prstGeom>
                    <a:noFill/>
                  </pic:spPr>
                </pic:pic>
              </a:graphicData>
            </a:graphic>
            <wp14:sizeRelH relativeFrom="page">
              <wp14:pctWidth>0</wp14:pctWidth>
            </wp14:sizeRelH>
            <wp14:sizeRelV relativeFrom="page">
              <wp14:pctHeight>0</wp14:pctHeight>
            </wp14:sizeRelV>
          </wp:anchor>
        </w:drawing>
      </w:r>
    </w:p>
    <w:p w14:paraId="723E4977" w14:textId="77777777" w:rsidR="00F81FA6" w:rsidRDefault="00F81FA6" w:rsidP="00375046">
      <w:pPr>
        <w:autoSpaceDE w:val="0"/>
        <w:autoSpaceDN w:val="0"/>
        <w:adjustRightInd w:val="0"/>
        <w:spacing w:after="0" w:line="480" w:lineRule="auto"/>
        <w:jc w:val="both"/>
        <w:rPr>
          <w:rFonts w:ascii="Arial" w:eastAsia="TimesNewRomanPSMT" w:hAnsi="Arial" w:cs="Arial"/>
          <w:b/>
          <w:sz w:val="24"/>
          <w:szCs w:val="24"/>
        </w:rPr>
      </w:pPr>
    </w:p>
    <w:p w14:paraId="53EDED76" w14:textId="4E01FFCC" w:rsidR="00375046" w:rsidRPr="00375046" w:rsidRDefault="00375046" w:rsidP="00375046">
      <w:pPr>
        <w:autoSpaceDE w:val="0"/>
        <w:autoSpaceDN w:val="0"/>
        <w:adjustRightInd w:val="0"/>
        <w:spacing w:after="0" w:line="480" w:lineRule="auto"/>
        <w:jc w:val="both"/>
        <w:rPr>
          <w:rFonts w:ascii="Arial" w:eastAsia="TimesNewRomanPSMT" w:hAnsi="Arial" w:cs="Arial"/>
          <w:sz w:val="24"/>
          <w:szCs w:val="24"/>
        </w:rPr>
      </w:pPr>
      <w:r w:rsidRPr="00375046">
        <w:rPr>
          <w:rFonts w:ascii="Arial" w:eastAsia="TimesNewRomanPSMT" w:hAnsi="Arial" w:cs="Arial"/>
          <w:b/>
          <w:sz w:val="24"/>
          <w:szCs w:val="24"/>
        </w:rPr>
        <w:t>Figure 1</w:t>
      </w:r>
      <w:r w:rsidRPr="00375046">
        <w:rPr>
          <w:rFonts w:ascii="Arial" w:eastAsia="TimesNewRomanPSMT" w:hAnsi="Arial" w:cs="Arial"/>
          <w:sz w:val="24"/>
          <w:szCs w:val="24"/>
        </w:rPr>
        <w:t xml:space="preserve">. PROTAC mode of action and caging concept. (A) The PROTAC mediates the formation of a ternary complex between the protein of interest (POI) and an E3 ligase leading to post-translational modification of the POI with ubiquitin (Ub) and degradation within the proteasome catalytic unit. A caging group can be attached to the ligand recruiting the E3 ligase, to the </w:t>
      </w:r>
      <w:r w:rsidR="00D45D3C">
        <w:rPr>
          <w:rFonts w:ascii="Arial" w:eastAsia="TimesNewRomanPSMT" w:hAnsi="Arial" w:cs="Arial"/>
          <w:sz w:val="24"/>
          <w:szCs w:val="24"/>
        </w:rPr>
        <w:t xml:space="preserve">warhead </w:t>
      </w:r>
      <w:r w:rsidRPr="00375046">
        <w:rPr>
          <w:rFonts w:ascii="Arial" w:eastAsia="TimesNewRomanPSMT" w:hAnsi="Arial" w:cs="Arial"/>
          <w:sz w:val="24"/>
          <w:szCs w:val="24"/>
        </w:rPr>
        <w:t xml:space="preserve">targeting the </w:t>
      </w:r>
      <w:r w:rsidR="00D45D3C">
        <w:rPr>
          <w:rFonts w:ascii="Arial" w:eastAsia="TimesNewRomanPSMT" w:hAnsi="Arial" w:cs="Arial"/>
          <w:sz w:val="24"/>
          <w:szCs w:val="24"/>
        </w:rPr>
        <w:t>POI</w:t>
      </w:r>
      <w:r w:rsidRPr="00375046">
        <w:rPr>
          <w:rFonts w:ascii="Arial" w:eastAsia="TimesNewRomanPSMT" w:hAnsi="Arial" w:cs="Arial"/>
          <w:sz w:val="24"/>
          <w:szCs w:val="24"/>
        </w:rPr>
        <w:t xml:space="preserve"> and potentially to the linker</w:t>
      </w:r>
      <w:r w:rsidR="00590131">
        <w:rPr>
          <w:rFonts w:ascii="Arial" w:eastAsia="TimesNewRomanPSMT" w:hAnsi="Arial" w:cs="Arial"/>
          <w:sz w:val="24"/>
          <w:szCs w:val="24"/>
        </w:rPr>
        <w:t>,</w:t>
      </w:r>
      <w:r w:rsidRPr="00375046">
        <w:rPr>
          <w:rFonts w:ascii="Arial" w:eastAsia="TimesNewRomanPSMT" w:hAnsi="Arial" w:cs="Arial"/>
          <w:sz w:val="24"/>
          <w:szCs w:val="24"/>
        </w:rPr>
        <w:t xml:space="preserve"> with the purpose of generating an inactive degrader. Degradation should occur only after removal of the caging group</w:t>
      </w:r>
      <w:r w:rsidR="00BD56FA">
        <w:rPr>
          <w:rFonts w:ascii="Arial" w:eastAsia="TimesNewRomanPSMT" w:hAnsi="Arial" w:cs="Arial"/>
          <w:sz w:val="24"/>
          <w:szCs w:val="24"/>
        </w:rPr>
        <w:t xml:space="preserve"> </w:t>
      </w:r>
      <w:r w:rsidR="00BD56FA" w:rsidRPr="00BD56FA">
        <w:rPr>
          <w:rFonts w:ascii="Arial" w:eastAsia="TimesNewRomanPSMT" w:hAnsi="Arial" w:cs="Arial"/>
          <w:sz w:val="24"/>
          <w:szCs w:val="24"/>
        </w:rPr>
        <w:t>in response to irradiation with the appropriate wavelength of light</w:t>
      </w:r>
      <w:r w:rsidRPr="00375046">
        <w:rPr>
          <w:rFonts w:ascii="Arial" w:eastAsia="TimesNewRomanPSMT" w:hAnsi="Arial" w:cs="Arial"/>
          <w:sz w:val="24"/>
          <w:szCs w:val="24"/>
        </w:rPr>
        <w:t>. (B) Crystal structure of Thalidomide bound to DDB1-CRBN E3 ubiquitin ligase (PDB: 4CI1)</w:t>
      </w:r>
      <w:r w:rsidR="00A71E7B">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{"citationItems":[{"id":"ITEM-1","itemData":{"DOI":"10.1038/nature13527","ISSN":"14764687","abstract":"In the 1950s, the drug thalidomide, administered as a sedative to pregnant women, led to the birth of thousands of children with multiple defects. Despite the teratogenicity of thalidomide and its derivatives lenalidomide and pomalidomide, these immunomodulatory drugs (IMiDs) recently emerged as effective treatments for multiple myeloma and 5q-deletion-associated dysplasia. IMiDs target the E3 ubiquitin ligase CUL4-RBX1-DDB1-CRBN (known as CRL4 CRBN) and promote the ubiquitination of the IKAROS family transcription factors IKZF1 and IKZF3 by CRL4CRBN. Here we present crystal structures of the DDB1-CRBN complex bound to thalidomide, lenalidomide and pomalidomide. The structure establishes that CRBN is a substrate receptor within CRL4CRBN and enantioselectively binds IMiDs. Using an unbiased screen, we identified the homeobox transcription factor MEIS2 as an endogenous substrate of CRL4CRBN. Our studies suggest that IMiDs block endogenous substrates (MEIS2) from binding to CRL4CRBN while the ligase complex is recruiting IKZF1 or IKZF3 for degradation. This dual activity implies that small molecules can modulate an E3 ubiquitin ligase and thereby upregulate or downregulate the ubiquitination of proteins. © 2014 Macmillan Publishers Limited. All rights reserved.","author":[{"dropping-particle":"","family":"Fischer","given":"Eric S.","non-dropping-particle":"","parse-names":false,"suffix":""},{"dropping-particle":"","family":"Böhm","given":"Kerstin","non-dropping-particle":"","parse-names":false,"suffix":""},{"dropping-particle":"","family":"Lydeard","given":"John R.","non-dropping-particle":"","parse-names":false,"suffix":""},{"dropping-particle":"","family":"Yang","given":"Haidi","non-dropping-particle":"","parse-names":false,"suffix":""},{"dropping-particle":"","family":"Stadler","given":"Michael B.","non-dropping-particle":"","parse-names":false,"suffix":""},{"dropping-particle":"","family":"Cavadini","given":"Simone","non-dropping-particle":"","parse-names":false,"suffix":""},{"dropping-particle":"","family":"Nagel","given":"Jane","non-dropping-particle":"","parse-names":false,"suffix":""},{"dropping-particle":"","family":"Serluca","given":"Fabrizio","non-dropping-particle":"","parse-names":false,"suffix":""},{"dropping-particle":"","family":"Acker","given":"Vincent","non-dropping-particle":"","parse-names":false,"suffix":""},{"dropping-particle":"","family":"Lingaraju","given":"Gondichatnahalli M.","non-dropping-particle":"","parse-names":false,"suffix":""},{"dropping-particle":"","family":"Tichkule","given":"Ritesh B.","non-dropping-particle":"","parse-names":false,"suffix":""},{"dropping-particle":"","family":"Schebesta","given":"Michael","non-dropping-particle":"","parse-names":false,"suffix":""},{"dropping-particle":"","family":"Forrester","given":"William C.","non-dropping-particle":"","parse-names":false,"suffix":""},{"dropping-particle":"","family":"Schirle","given":"Markus","non-dropping-particle":"","parse-names":false,"suffix":""},{"dropping-particle":"","family":"Hassiepen","given":"Ulrich","non-dropping-particle":"","parse-names":false,"suffix":""},{"dropping-particle":"","family":"Ottl","given":"Johannes","non-dropping-particle":"","parse-names":false,"suffix":""},{"dropping-particle":"","family":"Hild","given":"Marc","non-dropping-particle":"","parse-names":false,"suffix":""},{"dropping-particle":"","family":"Beckwith","given":"Rohan E.J.","non-dropping-particle":"","parse-names":false,"suffix":""},{"dropping-particle":"","family":"Harper","given":"J. Wade","non-dropping-particle":"","parse-names":false,"suffix":""},{"dropping-particle":"","family":"Jenkins","given":"Jeremy L.","non-dropping-particle":"","parse-names":false,"suffix":""},{"dropping-particle":"","family":"Thomä","given":"Nicolas H.","non-dropping-particle":"","parse-names":false,"suffix":""}],"container-title":"Nature","id":"ITEM-1","issue":"1","issued":{"date-parts":[["2014"]]},"page":"49-53","title":"Structure of the DDB1-CRBN E3 ubiquitin ligase in complex with thalidomide","type":"article-journal","volume":"512"},"uris":["http://www.mendeley.com/documents/?uuid=4012bf2b-518a-4a28-8d5d-2ff6ad07cfbe"]}],"mendeley":{"formattedCitation":"&lt;sup&gt;11&lt;/sup&gt;","plainTextFormattedCitation":"11","previouslyFormattedCitation":"&lt;sup&gt;11&lt;/sup&gt;"},"properties":{"noteIndex":0},"schema":"https://github.com/citation-style-language/schema/raw/master/csl-citation.json"}</w:instrText>
      </w:r>
      <w:r w:rsidR="00A71E7B">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11</w:t>
      </w:r>
      <w:r w:rsidR="00A71E7B">
        <w:rPr>
          <w:rFonts w:ascii="Arial" w:eastAsia="TimesNewRomanPSMT" w:hAnsi="Arial" w:cs="Arial"/>
          <w:sz w:val="24"/>
          <w:szCs w:val="24"/>
        </w:rPr>
        <w:fldChar w:fldCharType="end"/>
      </w:r>
      <w:r w:rsidR="00A71E7B">
        <w:rPr>
          <w:rFonts w:ascii="Arial" w:eastAsia="TimesNewRomanPSMT" w:hAnsi="Arial" w:cs="Arial"/>
          <w:sz w:val="24"/>
          <w:szCs w:val="24"/>
        </w:rPr>
        <w:t xml:space="preserve"> (left);</w:t>
      </w:r>
      <w:r w:rsidRPr="00375046">
        <w:rPr>
          <w:rFonts w:ascii="Arial" w:eastAsia="TimesNewRomanPSMT" w:hAnsi="Arial" w:cs="Arial"/>
          <w:sz w:val="24"/>
          <w:szCs w:val="24"/>
        </w:rPr>
        <w:t xml:space="preserve"> Crystal structure of VHL ligand bound to pVHL:EloB:EloC complex (PDB: 4W9H</w:t>
      </w:r>
      <w:r w:rsidR="001170E8">
        <w:rPr>
          <w:rFonts w:ascii="Arial" w:eastAsia="TimesNewRomanPSMT" w:hAnsi="Arial" w:cs="Arial"/>
          <w:sz w:val="24"/>
          <w:szCs w:val="24"/>
        </w:rPr>
        <w:t>)</w:t>
      </w:r>
      <w:r w:rsidR="001170E8">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{"citationItems":[{"id":"ITEM-1","itemData":{"DOI":"10.1021/jm5011258","ISSN":"15204804","abstract":"E3 ubiquitin ligases are attractive targets in the ubiquitin-proteasome system, however, the development of small-molecule ligands has been rewarded with limited success. The von Hippel-Lindau protein (pVHL) is the substrate recognition subunit of the VHL E3 ligase that targets HIF-1α for degradation. We recently reported inhibitors of the pVHL:HIF-1α interaction, however they exhibited moderate potency. Herein, we report the design and optimization, guided by X-ray crystal structures, of a ligand series with nanomolar binding affinities.","author":[{"dropping-particle":"","family":"Galdeano","given":"Carles","non-dropping-particle":"","parse-names":false,"suffix":""},{"dropping-particle":"","family":"Gadd","given":"Morgan S.","non-dropping-particle":"","parse-names":false,"suffix":""},{"dropping-particle":"","family":"Soares","given":"Pedro","non-dropping-particle":"","parse-names":false,"suffix":""},{"dropping-particle":"","family":"Scaffidi","given":"Salvatore","non-dropping-particle":"","parse-names":false,"suffix":""},{"dropping-particle":"","family":"Molle","given":"Inge","non-dropping-particle":"Van","parse-names":false,"suffix":""},{"dropping-particle":"","family":"Birced","given":"Ipek","non-dropping-particle":"","parse-names":false,"suffix":""},{"dropping-particle":"","family":"Hewitt","given":"Sarah","non-dropping-particle":"","parse-names":false,"suffix":""},{"dropping-particle":"","family":"Dias","given":"David M.","non-dropping-particle":"","parse-names":false,"suffix":""},{"dropping-particle":"","family":"Ciulli","given":"Alessio","non-dropping-particle":"","parse-names":false,"suffix":""}],"container-title":"Journal of Medicinal Chemistry","id":"ITEM-1","issue":"20","issued":{"date-parts":[["2014"]]},"page":"8657-8663","title":"Structure-guided design and optimization of small molecules targeting the protein-protein interaction between the von hippel-lindau (VHL) E3 ubiquitin ligase and the hypoxia inducible factor (HIF) alpha subunit with in vitro nanomolar affinities","type":"article-journal","volume":"57"},"uris":["http://www.mendeley.com/documents/?uuid=c478974f-d5d9-4b94-993c-aa137c99a46f"]}],"mendeley":{"formattedCitation":"&lt;sup&gt;12&lt;/sup&gt;","plainTextFormattedCitation":"12","previouslyFormattedCitation":"&lt;sup&gt;12&lt;/sup&gt;"},"properties":{"noteIndex":0},"schema":"https://github.com/citation-style-language/schema/raw/master/csl-citation.json"}</w:instrText>
      </w:r>
      <w:r w:rsidR="001170E8">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12</w:t>
      </w:r>
      <w:r w:rsidR="001170E8">
        <w:rPr>
          <w:rFonts w:ascii="Arial" w:eastAsia="TimesNewRomanPSMT" w:hAnsi="Arial" w:cs="Arial"/>
          <w:sz w:val="24"/>
          <w:szCs w:val="24"/>
        </w:rPr>
        <w:fldChar w:fldCharType="end"/>
      </w:r>
      <w:r w:rsidR="00A71E7B">
        <w:rPr>
          <w:rFonts w:ascii="Arial" w:eastAsia="TimesNewRomanPSMT" w:hAnsi="Arial" w:cs="Arial"/>
          <w:sz w:val="24"/>
          <w:szCs w:val="24"/>
        </w:rPr>
        <w:t xml:space="preserve"> (</w:t>
      </w:r>
      <w:r w:rsidRPr="00375046">
        <w:rPr>
          <w:rFonts w:ascii="Arial" w:eastAsia="TimesNewRomanPSMT" w:hAnsi="Arial" w:cs="Arial"/>
          <w:sz w:val="24"/>
          <w:szCs w:val="24"/>
        </w:rPr>
        <w:t xml:space="preserve">right). Caging group attachment points </w:t>
      </w:r>
      <w:r w:rsidR="00463B05">
        <w:rPr>
          <w:rFonts w:ascii="Arial" w:eastAsia="TimesNewRomanPSMT" w:hAnsi="Arial" w:cs="Arial"/>
          <w:sz w:val="24"/>
          <w:szCs w:val="24"/>
        </w:rPr>
        <w:t xml:space="preserve">and exit vectors </w:t>
      </w:r>
      <w:r w:rsidR="005263D1">
        <w:rPr>
          <w:rFonts w:ascii="Arial" w:eastAsia="TimesNewRomanPSMT" w:hAnsi="Arial" w:cs="Arial"/>
          <w:sz w:val="24"/>
          <w:szCs w:val="24"/>
        </w:rPr>
        <w:t xml:space="preserve">for </w:t>
      </w:r>
      <w:r w:rsidR="00590131">
        <w:rPr>
          <w:rFonts w:ascii="Arial" w:eastAsia="TimesNewRomanPSMT" w:hAnsi="Arial" w:cs="Arial"/>
          <w:sz w:val="24"/>
          <w:szCs w:val="24"/>
        </w:rPr>
        <w:t xml:space="preserve">the </w:t>
      </w:r>
      <w:r w:rsidR="005263D1">
        <w:rPr>
          <w:rFonts w:ascii="Arial" w:eastAsia="TimesNewRomanPSMT" w:hAnsi="Arial" w:cs="Arial"/>
          <w:sz w:val="24"/>
          <w:szCs w:val="24"/>
        </w:rPr>
        <w:t>linker appendage</w:t>
      </w:r>
      <w:r w:rsidR="00590131">
        <w:rPr>
          <w:rFonts w:ascii="Arial" w:eastAsia="TimesNewRomanPSMT" w:hAnsi="Arial" w:cs="Arial"/>
          <w:sz w:val="24"/>
          <w:szCs w:val="24"/>
        </w:rPr>
        <w:t xml:space="preserve"> </w:t>
      </w:r>
      <w:r w:rsidR="00590131" w:rsidRPr="00590131">
        <w:rPr>
          <w:rFonts w:ascii="Arial" w:eastAsia="TimesNewRomanPSMT" w:hAnsi="Arial" w:cs="Arial"/>
          <w:sz w:val="24"/>
          <w:szCs w:val="24"/>
        </w:rPr>
        <w:t xml:space="preserve">are identified by red </w:t>
      </w:r>
      <w:r w:rsidR="00590131">
        <w:rPr>
          <w:rFonts w:ascii="Arial" w:eastAsia="TimesNewRomanPSMT" w:hAnsi="Arial" w:cs="Arial"/>
          <w:sz w:val="24"/>
          <w:szCs w:val="24"/>
        </w:rPr>
        <w:t>and</w:t>
      </w:r>
      <w:r w:rsidR="005263D1">
        <w:rPr>
          <w:rFonts w:ascii="Arial" w:eastAsia="TimesNewRomanPSMT" w:hAnsi="Arial" w:cs="Arial"/>
          <w:sz w:val="24"/>
          <w:szCs w:val="24"/>
        </w:rPr>
        <w:t xml:space="preserve"> </w:t>
      </w:r>
      <w:r w:rsidR="00463B05">
        <w:rPr>
          <w:rFonts w:ascii="Arial" w:eastAsia="TimesNewRomanPSMT" w:hAnsi="Arial" w:cs="Arial"/>
          <w:sz w:val="24"/>
          <w:szCs w:val="24"/>
        </w:rPr>
        <w:t>black</w:t>
      </w:r>
      <w:r w:rsidR="00590131">
        <w:rPr>
          <w:rFonts w:ascii="Arial" w:eastAsia="TimesNewRomanPSMT" w:hAnsi="Arial" w:cs="Arial"/>
          <w:sz w:val="24"/>
          <w:szCs w:val="24"/>
        </w:rPr>
        <w:t xml:space="preserve"> arrows, respectively.</w:t>
      </w:r>
    </w:p>
    <w:p w14:paraId="38816D91" w14:textId="77777777" w:rsidR="00087BC4" w:rsidRDefault="00087BC4" w:rsidP="00C94ED6">
      <w:pPr>
        <w:autoSpaceDE w:val="0"/>
        <w:autoSpaceDN w:val="0"/>
        <w:adjustRightInd w:val="0"/>
        <w:spacing w:after="0" w:line="480" w:lineRule="auto"/>
        <w:jc w:val="both"/>
        <w:rPr>
          <w:rFonts w:ascii="Arial" w:eastAsia="TimesNewRomanPSMT" w:hAnsi="Arial" w:cs="Arial"/>
          <w:sz w:val="24"/>
          <w:szCs w:val="24"/>
        </w:rPr>
      </w:pPr>
    </w:p>
    <w:p w14:paraId="4E7D62FE" w14:textId="6F5098B7" w:rsidR="00886A1B" w:rsidRPr="000E0DB5" w:rsidRDefault="00886A1B" w:rsidP="00C94ED6">
      <w:pPr>
        <w:autoSpaceDE w:val="0"/>
        <w:autoSpaceDN w:val="0"/>
        <w:adjustRightInd w:val="0"/>
        <w:spacing w:after="0" w:line="480" w:lineRule="auto"/>
        <w:jc w:val="both"/>
        <w:rPr>
          <w:rFonts w:ascii="Arial" w:eastAsia="TimesNewRomanPSMT" w:hAnsi="Arial" w:cs="Arial"/>
          <w:sz w:val="24"/>
          <w:szCs w:val="24"/>
        </w:rPr>
      </w:pPr>
      <w:r w:rsidRPr="000E0DB5">
        <w:rPr>
          <w:rFonts w:ascii="Arial" w:eastAsia="TimesNewRomanPSMT" w:hAnsi="Arial" w:cs="Arial"/>
          <w:sz w:val="24"/>
          <w:szCs w:val="24"/>
        </w:rPr>
        <w:t xml:space="preserve">The simplicity and versatility of </w:t>
      </w:r>
      <w:r w:rsidR="004A283A" w:rsidRPr="000E0DB5">
        <w:rPr>
          <w:rFonts w:ascii="Arial" w:eastAsia="TimesNewRomanPSMT" w:hAnsi="Arial" w:cs="Arial"/>
          <w:sz w:val="24"/>
          <w:szCs w:val="24"/>
        </w:rPr>
        <w:t xml:space="preserve">small molecule </w:t>
      </w:r>
      <w:r w:rsidRPr="000E0DB5">
        <w:rPr>
          <w:rFonts w:ascii="Arial" w:eastAsia="TimesNewRomanPSMT" w:hAnsi="Arial" w:cs="Arial"/>
          <w:sz w:val="24"/>
          <w:szCs w:val="24"/>
        </w:rPr>
        <w:t xml:space="preserve">TPD over </w:t>
      </w:r>
      <w:r w:rsidR="004A283A" w:rsidRPr="000E0DB5">
        <w:rPr>
          <w:rFonts w:ascii="Arial" w:eastAsia="TimesNewRomanPSMT" w:hAnsi="Arial" w:cs="Arial"/>
          <w:sz w:val="24"/>
          <w:szCs w:val="24"/>
        </w:rPr>
        <w:t xml:space="preserve">biological </w:t>
      </w:r>
      <w:r w:rsidR="00DE7FFA" w:rsidRPr="00DE7FFA">
        <w:rPr>
          <w:rFonts w:ascii="Arial" w:eastAsia="TimesNewRomanPSMT" w:hAnsi="Arial" w:cs="Arial"/>
          <w:sz w:val="24"/>
          <w:szCs w:val="24"/>
        </w:rPr>
        <w:t xml:space="preserve">strategies </w:t>
      </w:r>
      <w:r w:rsidR="004A283A" w:rsidRPr="000E0DB5">
        <w:rPr>
          <w:rFonts w:ascii="Arial" w:eastAsia="TimesNewRomanPSMT" w:hAnsi="Arial" w:cs="Arial"/>
          <w:sz w:val="24"/>
          <w:szCs w:val="24"/>
        </w:rPr>
        <w:t xml:space="preserve">(e.g. </w:t>
      </w:r>
      <w:r w:rsidRPr="000E0DB5">
        <w:rPr>
          <w:rFonts w:ascii="Arial" w:eastAsia="TimesNewRomanPSMT" w:hAnsi="Arial" w:cs="Arial"/>
          <w:sz w:val="24"/>
          <w:szCs w:val="24"/>
        </w:rPr>
        <w:t>gene</w:t>
      </w:r>
      <w:r w:rsidR="004A283A" w:rsidRPr="000E0DB5">
        <w:rPr>
          <w:rFonts w:ascii="Arial" w:eastAsia="TimesNewRomanPSMT" w:hAnsi="Arial" w:cs="Arial"/>
          <w:sz w:val="24"/>
          <w:szCs w:val="24"/>
        </w:rPr>
        <w:t xml:space="preserve">tic or </w:t>
      </w:r>
      <w:r w:rsidRPr="000E0DB5">
        <w:rPr>
          <w:rFonts w:ascii="Arial" w:eastAsia="TimesNewRomanPSMT" w:hAnsi="Arial" w:cs="Arial"/>
          <w:sz w:val="24"/>
          <w:szCs w:val="24"/>
        </w:rPr>
        <w:t>RNAi protein silencing</w:t>
      </w:r>
      <w:r w:rsidR="004A283A" w:rsidRPr="000E0DB5">
        <w:rPr>
          <w:rFonts w:ascii="Arial" w:eastAsia="TimesNewRomanPSMT" w:hAnsi="Arial" w:cs="Arial"/>
          <w:sz w:val="24"/>
          <w:szCs w:val="24"/>
        </w:rPr>
        <w:t>)</w:t>
      </w:r>
      <w:r w:rsidRPr="000E0DB5">
        <w:rPr>
          <w:rFonts w:ascii="Arial" w:eastAsia="TimesNewRomanPSMT" w:hAnsi="Arial" w:cs="Arial"/>
          <w:sz w:val="24"/>
          <w:szCs w:val="24"/>
        </w:rPr>
        <w:t xml:space="preserve"> has attracted the interest of chemical </w:t>
      </w:r>
      <w:r w:rsidR="0093395A" w:rsidRPr="000E0DB5">
        <w:rPr>
          <w:rFonts w:ascii="Arial" w:eastAsia="TimesNewRomanPSMT" w:hAnsi="Arial" w:cs="Arial"/>
          <w:sz w:val="24"/>
          <w:szCs w:val="24"/>
        </w:rPr>
        <w:t>biologists and drug discovery scientists alike.</w:t>
      </w:r>
      <w:r w:rsidR="00757BC3"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{"citationItems":[{"id":"ITEM-1","itemData":{"DOI":"10.1021/acs.jmedchem.7b01272","ISSN":"15204804","abstract":"Los microorganismos han sido considerados como agentes causantes de biodeterioro de obras de arte, sin embargo, en la actualidad se empiezan a utilizar para la limpieza de restos de compuestos orgánicos y costras salinas difíciles de eliminar por los métodos tradicionales de restauración. Este trabajo desarrolla el uso de Pseudomonas stutzeri para la “biolimpieza” de pinturas murales, con la intención de eliminar restos de materia orgánica de antiguas restauraciones o eflorescencias salinas insolubles. Para ello se ensayan distintas cepas de Pseudomonas stutzeri de colecciones tipo y distintos soportes que facilite su aplicación directa sobre obra real. Los métodos obtenidos en las pruebas previas se aplican de manera experimental sobre fragmentos de las pinturas murales de la Iglesia de los Santos Juanes de Valencia.","author":[{"dropping-particle":"","family":"Churcher","given":"Ian","non-dropping-particle":"","parse-names":false,"suffix":""}],"container-title":"Journal of Medicinal Chemistry","id":"ITEM-1","issue":"2","issued":{"date-parts":[["2018"]]},"page":"444-452","title":"Protac-Induced Protein Degradation in Drug Discovery: Breaking the Rules or Just Making New Ones?","type":"article-journal","volume":"61"},"uris":["http://www.mendeley.com/documents/?uuid=bfccc318-8ad8-4d21-9297-d6112e72ef24"]},{"id":"ITEM-2","itemData":{"DOI":"10.1016/j.chembiol.2017.05.024","ISSN":"24519448","PMID":"28648379","abstract":"Traditional pharmaceutical drug discovery is almost exclusively focused on directly controlling protein activity to cure diseases. Modulators of protein activity, especially inhibitors, are developed and applied at high concentration to achieve maximal effects. Thereby, reduced bioavailability and off-target effects can hamper compound efficacy. Nucleic acid-based strategies that control protein function by affecting expression have emerged as an alternative. However, metabolic stability and broad bioavailability represent development hurdles that remain to be overcome for these approaches. More recently, utilizing the cell's own protein destruction machinery for selective degradation of essential drivers of human disorders has opened up a new and exciting area of drug discovery. Small-molecule-induced proteolysis of selected substrates offers the potential of reaching beyond the limitations of the current pharmaceutical paradigm to expand the druggable target space.","author":[{"dropping-particle":"","family":"Cromm","given":"Philipp M.","non-dropping-particle":"","parse-names":false,"suffix":""},{"dropping-particle":"","family":"Crews","given":"Craig M.","non-dropping-particle":"","parse-names":false,"suffix":""}],"container-title":"Cell Chemical Biology","id":"ITEM-2","issue":"9","issued":{"date-parts":[["2017"]]},"page":"1181-1190","publisher":"Elsevier Ltd.","title":"Targeted Protein Degradation: from Chemical Biology to Drug Discovery","type":"article-journal","volume":"24"},"uris":["http://www.mendeley.com/documents/?uuid=15c101d6-b14a-4b72-8a24-9c29aa31b954"]}],"mendeley":{"formattedCitation":"&lt;sup&gt;13,14&lt;/sup&gt;","plainTextFormattedCitation":"13,14","previouslyFormattedCitation":"&lt;sup&gt;13,14&lt;/sup&gt;"},"properties":{"noteIndex":0},"schema":"https://github.com/citation-style-language/schema/raw/master/csl-citation.json"}</w:instrText>
      </w:r>
      <w:r w:rsidR="00757BC3"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13,14</w:t>
      </w:r>
      <w:r w:rsidR="00757BC3" w:rsidRPr="000E0DB5">
        <w:rPr>
          <w:rFonts w:ascii="Arial" w:eastAsia="TimesNewRomanPSMT" w:hAnsi="Arial" w:cs="Arial"/>
          <w:sz w:val="24"/>
          <w:szCs w:val="24"/>
        </w:rPr>
        <w:fldChar w:fldCharType="end"/>
      </w:r>
      <w:r w:rsidR="0093395A" w:rsidRPr="000E0DB5">
        <w:rPr>
          <w:rFonts w:ascii="Arial" w:eastAsia="TimesNewRomanPSMT" w:hAnsi="Arial" w:cs="Arial"/>
          <w:sz w:val="24"/>
          <w:szCs w:val="24"/>
        </w:rPr>
        <w:t xml:space="preserve"> Key benefits of PROTAC-mediated proteolysis include action at the protein level independent of regulation</w:t>
      </w:r>
      <w:r w:rsidR="00181BE2" w:rsidRPr="000E0DB5">
        <w:rPr>
          <w:rFonts w:ascii="Arial" w:eastAsia="TimesNewRomanPSMT" w:hAnsi="Arial" w:cs="Arial"/>
          <w:sz w:val="24"/>
          <w:szCs w:val="24"/>
        </w:rPr>
        <w:t xml:space="preserve"> at the RNA level</w:t>
      </w:r>
      <w:r w:rsidR="0093395A" w:rsidRPr="000E0DB5">
        <w:rPr>
          <w:rFonts w:ascii="Arial" w:eastAsia="TimesNewRomanPSMT" w:hAnsi="Arial" w:cs="Arial"/>
          <w:sz w:val="24"/>
          <w:szCs w:val="24"/>
        </w:rPr>
        <w:t>,</w:t>
      </w:r>
      <w:r w:rsidR="00757BC3"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{"citationItems":[{"id":"ITEM-1","itemData":{"DOI":"10.1007/s00018-019-03112-6","ISBN":"0123456789","ISSN":"14209071","abstract":"Protein silencing is often employed as a means to aid investigations in protein function and is increasingly desired as a therapeutic approach. Several types of protein silencing methodologies have been developed, including targeting the encoding genes, transcripts, the process of translation or the protein directly. Despite these advances, most silencing systems suffer from limitations. Silencing protein expression through genetic ablation, for example by CRISPR/Cas9 genome editing, is irreversible, time consuming and not always feasible. Similarly, RNA interference approaches warrant prolonged treatments, can lead to incomplete protein depletion and are often associated with off-target effects. Targeted proteolysis has the potential to overcome some of these limitations. The field of targeted proteolysis has witnessed the emergence of many methodologies aimed at targeting specific proteins for degradation in a spatio-temporal manner. In this review, we provide an appraisal of the different targeted proteolytic systems and discuss their applications in understanding protein function, as well as their potential in therapeutics.","author":[{"dropping-particle":"","family":"Röth","given":"Sascha","non-dropping-particle":"","parse-names":false,"suffix":""},{"dropping-particle":"","family":"Fulcher","given":"Luke J.","non-dropping-particle":"","parse-names":false,"suffix":""},{"dropping-particle":"","family":"Sapkota","given":"Gopal P.","non-dropping-particle":"","parse-names":false,"suffix":""}],"container-title":"Cellular and Molecular Life Sciences","id":"ITEM-1","issue":"14","issued":{"date-parts":[["2019"]]},"page":"2761-2777","publisher":"Springer International Publishing","title":"Advances in targeted degradation of endogenous proteins","type":"article-journal","volume":"76"},"uris":["http://www.mendeley.com/documents/?uuid=0609f2db-d559-4d00-a10e-0ac7b26c82c0"]}],"mendeley":{"formattedCitation":"&lt;sup&gt;15&lt;/sup&gt;","plainTextFormattedCitation":"15","previouslyFormattedCitation":"&lt;sup&gt;15&lt;/sup&gt;"},"properties":{"noteIndex":0},"schema":"https://github.com/citation-style-language/schema/raw/master/csl-citation.json"}</w:instrText>
      </w:r>
      <w:r w:rsidR="00757BC3"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15</w:t>
      </w:r>
      <w:r w:rsidR="00757BC3" w:rsidRPr="000E0DB5">
        <w:rPr>
          <w:rFonts w:ascii="Arial" w:eastAsia="TimesNewRomanPSMT" w:hAnsi="Arial" w:cs="Arial"/>
          <w:sz w:val="24"/>
          <w:szCs w:val="24"/>
        </w:rPr>
        <w:fldChar w:fldCharType="end"/>
      </w:r>
      <w:r w:rsidR="00E156B7" w:rsidRPr="000E0DB5">
        <w:rPr>
          <w:rFonts w:ascii="Arial" w:eastAsia="TimesNewRomanPSMT" w:hAnsi="Arial" w:cs="Arial"/>
          <w:sz w:val="24"/>
          <w:szCs w:val="24"/>
        </w:rPr>
        <w:t xml:space="preserve"> </w:t>
      </w:r>
      <w:r w:rsidR="0093395A" w:rsidRPr="000E0DB5">
        <w:rPr>
          <w:rFonts w:ascii="Arial" w:eastAsia="TimesNewRomanPSMT" w:hAnsi="Arial" w:cs="Arial"/>
          <w:sz w:val="24"/>
          <w:szCs w:val="24"/>
        </w:rPr>
        <w:t>a reversible and catalytic mode of action,</w:t>
      </w:r>
      <w:r w:rsidR="00E156B7"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{"citationItems":[{"id":"ITEM-1","itemData":{"DOI":"10.1038/nchembio.1858","ISSN":"15524469","abstract":"The current predominant therapeutic paradigm is based on maximizing drug-receptor occupancy to achieve clinical benefit. This strategy, however, generally requires excessive drug concentrations to ensure sufficient occupancy, often leading to adverse side effects. Here, we describe major improvements to the proteolysis targeting chimeras (PROTACs) method, a chemical knockdown strategy in which a heterobifunctional molecule recruits a specific protein target to an E3 ubiquitin ligase, resulting in the target's ubiquitination and degradation. These compounds behave catalytically in their ability to induce the ubiquitination of super-stoichiometric quantities of proteins, providing efficacy that is not limited by equilibrium occupancy. We present two PROTACs that are capable of specifically reducing protein levels by &gt;90% at nanomolar concentrations. In addition, mouse studies indicate that they provide broad tissue distribution and knockdown of the targeted protein in tumor xenografts. Together, these data demonstrate a protein knockdown system combining many of the favorable properties of small-molecule agents with the potent protein knockdown of RNAi and CRISPR.","author":[{"dropping-particle":"","family":"Bondeson","given":"Daniel P.","non-dropping-particle":"","parse-names":false,"suffix":""},{"dropping-particle":"","family":"Mares","given":"Alina","non-dropping-particle":"","parse-names":false,"suffix":""},{"dropping-particle":"","family":"Smith","given":"Ian E.D.","non-dropping-particle":"","parse-names":false,"suffix":""},{"dropping-particle":"","family":"Ko","given":"Eunhwa","non-dropping-particle":"","parse-names":false,"suffix":""},{"dropping-particle":"","family":"Campos","given":"Sebastien","non-dropping-particle":"","parse-names":false,"suffix":""},{"dropping-particle":"","family":"Miah","given":"Afjal H.","non-dropping-particle":"","parse-names":false,"suffix":""},{"dropping-particle":"","family":"Mulholland","given":"Katie E.","non-dropping-particle":"","parse-names":false,"suffix":""},{"dropping-particle":"","family":"Routly","given":"Natasha","non-dropping-particle":"","parse-names":false,"suffix":""},{"dropping-particle":"","family":"Buckley","given":"Dennis L.","non-dropping-particle":"","parse-names":false,"suffix":""},{"dropping-particle":"","family":"Gustafson","given":"Jeffrey L.","non-dropping-particle":"","parse-names":false,"suffix":""},{"dropping-particle":"","family":"Zinn","given":"Nico","non-dropping-particle":"","parse-names":false,"suffix":""},{"dropping-particle":"","family":"Grandi","given":"Paola","non-dropping-particle":"","parse-names":false,"suffix":""},{"dropping-particle":"","family":"Shimamura","given":"Satoko","non-dropping-particle":"","parse-names":false,"suffix":""},{"dropping-particle":"","family":"Bergamini","given":"Giovanna","non-dropping-particle":"","parse-names":false,"suffix":""},{"dropping-particle":"","family":"Faelth-Savitski","given":"Maria","non-dropping-particle":"","parse-names":false,"suffix":""},{"dropping-particle":"","family":"Bantscheff","given":"Marcus","non-dropping-particle":"","parse-names":false,"suffix":""},{"dropping-particle":"","family":"Cox","given":"Carly","non-dropping-particle":"","parse-names":false,"suffix":""},{"dropping-particle":"","family":"Gordon","given":"Deborah A.","non-dropping-particle":"","parse-names":false,"suffix":""},{"dropping-particle":"","family":"Willard","given":"Ryan R.","non-dropping-particle":"","parse-names":false,"suffix":""},{"dropping-particle":"","family":"Flanagan","given":"John J.","non-dropping-particle":"","parse-names":false,"suffix":""},{"dropping-particle":"","family":"Casillas","given":"Linda N.","non-dropping-particle":"","parse-names":false,"suffix":""},{"dropping-particle":"","family":"Votta","given":"Bartholomew J.","non-dropping-particle":"","parse-names":false,"suffix":""},{"dropping-particle":"","family":"Besten","given":"Willem","non-dropping-particle":"Den","parse-names":false,"suffix":""},{"dropping-particle":"","family":"Famm","given":"Kristoffer","non-dropping-particle":"","parse-names":false,"suffix":""},{"dropping-particle":"","family":"Kruidenier","given":"Laurens","non-dropping-particle":"","parse-names":false,"suffix":""},{"dropping-particle":"","family":"Carter","given":"Paul S.","non-dropping-particle":"","parse-names":false,"suffix":""},{"dropping-particle":"","family":"Harling","given":"John D.","non-dropping-particle":"","parse-names":false,"suffix":""},{"dropping-particle":"","family":"Churcher","given":"Ian","non-dropping-particle":"","parse-names":false,"suffix":""},{"dropping-particle":"","family":"Crews","given":"Craig M.","non-dropping-particle":"","parse-names":false,"suffix":""}],"container-title":"Nature Chemical Biology","id":"ITEM-1","issue":"8","issued":{"date-parts":[["2015"]]},"page":"611-617","title":"Catalytic in vivo protein knockdown by small-molecule PROTACs","type":"article-journal","volume":"11"},"uris":["http://www.mendeley.com/documents/?uuid=9107d32f-6436-4607-9e1b-fb9286525740"]}],"mendeley":{"formattedCitation":"&lt;sup&gt;16&lt;/sup&gt;","plainTextFormattedCitation":"16","previouslyFormattedCitation":"&lt;sup&gt;16&lt;/sup&gt;"},"properties":{"noteIndex":0},"schema":"https://github.com/citation-style-language/schema/raw/master/csl-citation.json"}</w:instrText>
      </w:r>
      <w:r w:rsidR="00E156B7"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16</w:t>
      </w:r>
      <w:r w:rsidR="00E156B7" w:rsidRPr="000E0DB5">
        <w:rPr>
          <w:rFonts w:ascii="Arial" w:eastAsia="TimesNewRomanPSMT" w:hAnsi="Arial" w:cs="Arial"/>
          <w:sz w:val="24"/>
          <w:szCs w:val="24"/>
        </w:rPr>
        <w:fldChar w:fldCharType="end"/>
      </w:r>
      <w:r w:rsidR="0093395A" w:rsidRPr="000E0DB5">
        <w:rPr>
          <w:rFonts w:ascii="Arial" w:eastAsia="TimesNewRomanPSMT" w:hAnsi="Arial" w:cs="Arial"/>
          <w:sz w:val="24"/>
          <w:szCs w:val="24"/>
        </w:rPr>
        <w:t xml:space="preserve"> an enhanced pharmacodynamic effect </w:t>
      </w:r>
      <w:r w:rsidR="00007BF0">
        <w:rPr>
          <w:rFonts w:ascii="Arial" w:eastAsia="TimesNewRomanPSMT" w:hAnsi="Arial" w:cs="Arial"/>
          <w:sz w:val="24"/>
          <w:szCs w:val="24"/>
        </w:rPr>
        <w:t>linked to the</w:t>
      </w:r>
      <w:r w:rsidR="00181BE2" w:rsidRPr="000E0DB5">
        <w:rPr>
          <w:rFonts w:ascii="Arial" w:eastAsia="TimesNewRomanPSMT" w:hAnsi="Arial" w:cs="Arial"/>
          <w:sz w:val="24"/>
          <w:szCs w:val="24"/>
        </w:rPr>
        <w:t xml:space="preserve"> removal of </w:t>
      </w:r>
      <w:r w:rsidR="00007BF0">
        <w:rPr>
          <w:rFonts w:ascii="Arial" w:eastAsia="TimesNewRomanPSMT" w:hAnsi="Arial" w:cs="Arial"/>
          <w:sz w:val="24"/>
          <w:szCs w:val="24"/>
        </w:rPr>
        <w:t xml:space="preserve">all </w:t>
      </w:r>
      <w:r w:rsidR="00181BE2" w:rsidRPr="000E0DB5">
        <w:rPr>
          <w:rFonts w:ascii="Arial" w:eastAsia="TimesNewRomanPSMT" w:hAnsi="Arial" w:cs="Arial"/>
          <w:sz w:val="24"/>
          <w:szCs w:val="24"/>
        </w:rPr>
        <w:t xml:space="preserve">functions </w:t>
      </w:r>
      <w:r w:rsidR="0093395A" w:rsidRPr="000E0DB5">
        <w:rPr>
          <w:rFonts w:ascii="Arial" w:eastAsia="TimesNewRomanPSMT" w:hAnsi="Arial" w:cs="Arial"/>
          <w:sz w:val="24"/>
          <w:szCs w:val="24"/>
        </w:rPr>
        <w:t>of the target</w:t>
      </w:r>
      <w:r w:rsidR="00007BF0">
        <w:rPr>
          <w:rFonts w:ascii="Arial" w:eastAsia="TimesNewRomanPSMT" w:hAnsi="Arial" w:cs="Arial"/>
          <w:sz w:val="24"/>
          <w:szCs w:val="24"/>
        </w:rPr>
        <w:t xml:space="preserve"> including scaffolding capabilities</w:t>
      </w:r>
      <w:r w:rsidR="00853AB7">
        <w:rPr>
          <w:rFonts w:ascii="Arial" w:eastAsia="TimesNewRomanPSMT" w:hAnsi="Arial" w:cs="Arial"/>
          <w:sz w:val="24"/>
          <w:szCs w:val="24"/>
        </w:rPr>
        <w:fldChar w:fldCharType="begin" w:fldLock="1"/>
      </w:r>
      <w:r w:rsidR="00384278">
        <w:rPr>
          <w:rFonts w:ascii="Arial" w:eastAsia="TimesNewRomanPSMT" w:hAnsi="Arial" w:cs="Arial"/>
          <w:sz w:val="24"/>
          <w:szCs w:val="24"/>
        </w:rPr>
        <w:instrText>ADDIN CSL_CITATION {"citationItems":[{"id":"ITEM-1","itemData":{"DOI":"10.1016/j.chembiol.2017.09.009","ISSN":"24519448","abstract":"Proteolysis targeting chimera (PROTAC) technology has emerged over the last two decades as a powerful tool for targeted degradation of endogenous proteins. Herein we describe the development of PROTACs for receptor tyrosine kinases, a protein family yet to be targeted for induced protein degradation. The use of VHL-recruiting PROTACs against this protein family reveals several advantages of degradation over inhibition alone: direct comparisons of fully functional, target-degrading PROTACs with target-inhibiting variants that contain an inactivated E3 ligase-recruiting ligand show that degradation leads to more potent inhibition of cell proliferation and a more durable and sustained downstream signaling response, and thus addresses the kinome rewiring challenge seen with many receptor tyrosine kinase inhibitors. Combined, these findings demonstrate the ability to target receptor tyrosine kinases for degradation using the PROTAC technology and outline the advantages of this degradation-based approach. Burslem, Smith et al. describe the development of PROTACs capable of degrading transmembrane receptor tyrosine kinases and further highlight the advantages of degradation over inhibition in terms of potency, duration of effect, and combating compensatory signaling.","author":[{"dropping-particle":"","family":"Burslem","given":"George M.","non-dropping-particle":"","parse-names":false,"suffix":""},{"dropping-particle":"","family":"Smith","given":"Blake E.","non-dropping-particle":"","parse-names":false,"suffix":""},{"dropping-particle":"","family":"Lai","given":"Ashton C.","non-dropping-particle":"","parse-names":false,"suffix":""},{"dropping-particle":"","family":"Jaime-Figueroa","given":"Saul","non-dropping-particle":"","parse-names":false,"suffix":""},{"dropping-particle":"","family":"McQuaid","given":"Daniel C.","non-dropping-particle":"","parse-names":false,"suffix":""},{"dropping-particle":"","family":"Bondeson","given":"Daniel P.","non-dropping-particle":"","parse-names":false,"suffix":""},{"dropping-particle":"","family":"Toure","given":"Momar","non-dropping-particle":"","parse-names":false,"suffix":""},{"dropping-particle":"","family":"Dong","given":"Hanqing","non-dropping-particle":"","parse-names":false,"suffix":""},{"dropping-particle":"","family":"Qian","given":"Yimin","non-dropping-particle":"","parse-names":false,"suffix":""},{"dropping-particle":"","family":"Wang","given":"Jing","non-dropping-particle":"","parse-names":false,"suffix":""},{"dropping-particle":"","family":"Crew","given":"Andrew P.","non-dropping-particle":"","parse-names":false,"suffix":""},{"dropping-particle":"","family":"Hines","given":"John","non-dropping-particle":"","parse-names":false,"suffix":""},{"dropping-particle":"","family":"Crews","given":"Craig M.","non-dropping-particle":"","parse-names":false,"suffix":""}],"container-title":"Cell Chemical Biology","id":"ITEM-1","issue":"1","issued":{"date-parts":[["2018"]]},"page":"67-77.e3","publisher":"Elsevier Ltd.","title":"The Advantages of Targeted Protein Degradation Over Inhibition: An RTK Case Study","type":"article-journal","volume":"25"},"uris":["http://www.mendeley.com/documents/?uuid=fa5fc696-4f08-4044-9975-f5a594025fdd"]},{"id":"ITEM-2","itemData":{"DOI":"10.1021/jacs.8b08008","ISSN":"15205126","abstract":"Enzymatic inhibition has proven to be a successful modality for the development of many small-molecule drugs. In recent years, small-molecule-induced protein degradation has emerged as an orthogonal therapeutic strategy that has the potential to expand the druggable target space. Focal adhesion kinase (Fak) is a key player in tumor invasion and metastasis, acting simultaneously as a kinase and a scaffold for several signaling proteins. While previous efforts to modulate Fak activity were limited to kinase inhibitors with low success in clinical studies, protein degradation offers a possibility to simultaneously block Fak's kinase signaling and scaffolding capabilities. Here, we report the development of a selective and potent Fak degrader, PROTAC-3, which outperforms a clinical candidate, defactinib, with respect to Fak activation as well as Fak-mediated cell migration and invasion. These results underline the potential that PROTACs offer in expanding the druggable space and controlling protein functions that are not easily addressed by traditional small-molecule therapeutics.","author":[{"dropping-particle":"","family":"Cromm","given":"Philipp M.","non-dropping-particle":"","parse-names":false,"suffix":""},{"dropping-particle":"","family":"Samarasinghe","given":"Kusal T.G.","non-dropping-particle":"","parse-names":false,"suffix":""},{"dropping-particle":"","family":"Hines","given":"John","non-dropping-particle":"","parse-names":false,"suffix":""},{"dropping-particle":"","family":"Crews","given":"Craig M.","non-dropping-particle":"","parse-names":false,"suffix":""}],"container-title":"Journal of the American Chemical Society","genre":"research-article","id":"ITEM-2","issue":"49","issued":{"date-parts":[["2018"]]},"page":"17019-17026","publisher":"American Chemical Society","title":"Addressing Kinase-Independent Functions of Fak via PROTAC-Mediated Degradation","type":"article-journal","volume":"140"},"uris":["http://www.mendeley.com/documents/?uuid=0f90827e-c8aa-4018-998f-0932097e1fcf"]}],"mendeley":{"formattedCitation":"&lt;sup&gt;17,18&lt;/sup&gt;","plainTextFormattedCitation":"17,18","previouslyFormattedCitation":"&lt;sup&gt;17,18&lt;/sup&gt;"},"properties":{"noteIndex":0},"schema":"https://github.com/citation-style-language/schema/raw/master/csl-citation.json"}</w:instrText>
      </w:r>
      <w:r w:rsidR="00853AB7">
        <w:rPr>
          <w:rFonts w:ascii="Arial" w:eastAsia="TimesNewRomanPSMT" w:hAnsi="Arial" w:cs="Arial"/>
          <w:sz w:val="24"/>
          <w:szCs w:val="24"/>
        </w:rPr>
        <w:fldChar w:fldCharType="separate"/>
      </w:r>
      <w:r w:rsidR="00853AB7" w:rsidRPr="00853AB7">
        <w:rPr>
          <w:rFonts w:ascii="Arial" w:eastAsia="TimesNewRomanPSMT" w:hAnsi="Arial" w:cs="Arial"/>
          <w:noProof/>
          <w:sz w:val="24"/>
          <w:szCs w:val="24"/>
          <w:vertAlign w:val="superscript"/>
        </w:rPr>
        <w:t>17,18</w:t>
      </w:r>
      <w:r w:rsidR="00853AB7">
        <w:rPr>
          <w:rFonts w:ascii="Arial" w:eastAsia="TimesNewRomanPSMT" w:hAnsi="Arial" w:cs="Arial"/>
          <w:sz w:val="24"/>
          <w:szCs w:val="24"/>
        </w:rPr>
        <w:fldChar w:fldCharType="end"/>
      </w:r>
      <w:r w:rsidR="0093395A" w:rsidRPr="000E0DB5">
        <w:rPr>
          <w:rFonts w:ascii="Arial" w:eastAsia="TimesNewRomanPSMT" w:hAnsi="Arial" w:cs="Arial"/>
          <w:sz w:val="24"/>
          <w:szCs w:val="24"/>
        </w:rPr>
        <w:t xml:space="preserve"> and the opportunity to degrade protein</w:t>
      </w:r>
      <w:r w:rsidR="007C49C3">
        <w:rPr>
          <w:rFonts w:ascii="Arial" w:eastAsia="TimesNewRomanPSMT" w:hAnsi="Arial" w:cs="Arial"/>
          <w:sz w:val="24"/>
          <w:szCs w:val="24"/>
        </w:rPr>
        <w:t>s</w:t>
      </w:r>
      <w:r w:rsidR="00181BE2" w:rsidRPr="000E0DB5">
        <w:rPr>
          <w:rFonts w:ascii="Arial" w:eastAsia="TimesNewRomanPSMT" w:hAnsi="Arial" w:cs="Arial"/>
          <w:sz w:val="24"/>
          <w:szCs w:val="24"/>
        </w:rPr>
        <w:t xml:space="preserve"> lacking</w:t>
      </w:r>
      <w:r w:rsidR="0093395A" w:rsidRPr="000E0DB5">
        <w:rPr>
          <w:rFonts w:ascii="Arial" w:eastAsia="TimesNewRomanPSMT" w:hAnsi="Arial" w:cs="Arial"/>
          <w:sz w:val="24"/>
          <w:szCs w:val="24"/>
        </w:rPr>
        <w:t xml:space="preserve"> </w:t>
      </w:r>
      <w:r w:rsidR="00181BE2" w:rsidRPr="000E0DB5">
        <w:rPr>
          <w:rFonts w:ascii="Arial" w:eastAsia="TimesNewRomanPSMT" w:hAnsi="Arial" w:cs="Arial"/>
          <w:sz w:val="24"/>
          <w:szCs w:val="24"/>
        </w:rPr>
        <w:t xml:space="preserve">a classical ligand binding or enzyme </w:t>
      </w:r>
      <w:r w:rsidR="0093395A" w:rsidRPr="000E0DB5">
        <w:rPr>
          <w:rFonts w:ascii="Arial" w:eastAsia="TimesNewRomanPSMT" w:hAnsi="Arial" w:cs="Arial"/>
          <w:sz w:val="24"/>
          <w:szCs w:val="24"/>
        </w:rPr>
        <w:t>active</w:t>
      </w:r>
      <w:r w:rsidR="00181BE2" w:rsidRPr="000E0DB5">
        <w:rPr>
          <w:rFonts w:ascii="Arial" w:eastAsia="TimesNewRomanPSMT" w:hAnsi="Arial" w:cs="Arial"/>
          <w:sz w:val="24"/>
          <w:szCs w:val="24"/>
        </w:rPr>
        <w:t xml:space="preserve"> site</w:t>
      </w:r>
      <w:r w:rsidR="0093395A" w:rsidRPr="000E0DB5">
        <w:rPr>
          <w:rFonts w:ascii="Arial" w:eastAsia="TimesNewRomanPSMT" w:hAnsi="Arial" w:cs="Arial"/>
          <w:sz w:val="24"/>
          <w:szCs w:val="24"/>
        </w:rPr>
        <w:t>.</w:t>
      </w:r>
      <w:r w:rsidR="00513180"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{"citationItems":[{"id":"ITEM-1","itemData":{"DOI":"10.1002/anie.201706529","ISSN":"15213773","abstract":"Huntington's disease (HD) is an autosomal dominant neurodegenerative disorder caused by the aggregation of mutant huntingtin (mHtt), and removal of toxic mHtt is expected to be an effective therapeutic approach. We designed two small hybrid molecules (1 and 2) by linking a ligand for ubiquitin ligase (cellular inhibitor of apoptosis protein 1; cIAP1) with probes for mHtt aggregates, anticipating that these compounds would recruit cIAP1 to mHtt and induce selective degradation by the ubiquitin-proteasome system. The synthesized compounds reduced mHtt levels in HD patient fibroblasts and appear to be promising candidates for the development of a treatment for HD.","author":[{"dropping-particle":"","family":"Tomoshige","given":"Shusuke","non-dropping-particle":"","parse-names":false,"suffix":""},{"dropping-particle":"","family":"Nomura","given":"Sayaka","non-dropping-particle":"","parse-names":false,"suffix":""},{"dropping-particle":"","family":"Ohgane","given":"Kenji","non-dropping-particle":"","parse-names":false,"suffix":""},{"dropping-particle":"","family":"Hashimoto","given":"Yuichi","non-dropping-particle":"","parse-names":false,"suffix":""},{"dropping-particle":"","family":"Ishikawa","given":"Minoru","non-dropping-particle":"","parse-names":false,"suffix":""}],"container-title":"Angewandte Chemie - International Edition","id":"ITEM-1","issue":"38","issued":{"date-parts":[["2017"]]},"page":"11530-11533","title":"Discovery of Small Molecules that Induce the Degradation of Huntingtin","type":"article-journal","volume":"56"},"uris":["http://www.mendeley.com/documents/?uuid=df107c18-2d3f-4de2-bde9-70fcac24a237"]},{"id":"ITEM-2","itemData":{"DOI":"10.1021/acs.jmedchem.9b01530","ISSN":"15204804","PMID":"31747516","abstract":"Signal transducer and activator of transcription 3 (STAT3) is a transcription factor and an attractive therapeutic target for cancer and other human diseases. Despite 20 years of persistent research efforts, targeting STAT3 has been very challenging. We report herein the structure-based discovery of potent small-molecule STAT3 degraders based upon the proteolysis targeting chimera (PROTAC) concept. We first designed SI-109 as a potent, small-molecule inhibitor of the STAT3 SH2 domain. Employing ligands for cereblon/cullin 4A E3 ligase and SI-109, we obtained a series of potent PROTAC STAT3 degraders, exemplified by SD-36. SD-36 induces rapid STAT3 degradation at low nanomolar concentrations in cells and fails to degrade other STAT proteins. SD-36 achieves nanomolar cell growth inhibitory activity in leukemia and lymphoma cell lines with high levels of phosphorylated STAT3. A single dose of SD-36 results in complete STAT3 protein degradation in xenograft tumor tissue and normal mouse tissues. SD-36 achieves complete and long-lasting tumor regression in the Molm-16 xenograft tumor model at well-tolerated dose-schedules. SD-36 is a potent, selective, and efficacious STAT3 degrader.","author":[{"dropping-particle":"","family":"Zhou","given":"Haibin","non-dropping-particle":"","parse-names":false,"suffix":""},{"dropping-particle":"","family":"Bai","given":"Longchuan","non-dropping-particle":"","parse-names":false,"suffix":""},{"dropping-particle":"","family":"Xu","given":"Renqi","non-dropping-particle":"","parse-names":false,"suffix":""},{"dropping-particle":"","family":"Zhao","given":"Yujun","non-dropping-particle":"","parse-names":false,"suffix":""},{"dropping-particle":"","family":"Chen","given":"Jianyong","non-dropping-particle":"","parse-names":false,"suffix":""},{"dropping-particle":"","family":"McEachern","given":"Donna","non-dropping-particle":"","parse-names":false,"suffix":""},{"dropping-particle":"","family":"Chinnaswamy","given":"Krishnapriya","non-dropping-particle":"","parse-names":false,"suffix":""},{"dropping-particle":"","family":"Wen","given":"Bo","non-dropping-particle":"","parse-names":false,"suffix":""},{"dropping-particle":"","family":"Dai","given":"Lipeng","non-dropping-particle":"","parse-names":false,"suffix":""},{"dropping-particle":"","family":"Kumar","given":"Praveen","non-dropping-particle":"","parse-names":false,"suffix":""},{"dropping-particle":"","family":"Yang","given":"Chao Yie","non-dropping-particle":"","parse-names":false,"suffix":""},{"dropping-particle":"","family":"Liu","given":"Zhaomin","non-dropping-particle":"","parse-names":false,"suffix":""},{"dropping-particle":"","family":"Wang","given":"Mi","non-dropping-particle":"","parse-names":false,"suffix":""},{"dropping-particle":"","family":"Liu","given":"Liu","non-dropping-particle":"","parse-names":false,"suffix":""},{"dropping-particle":"","family":"Meagher","given":"Jennifer L.","non-dropping-particle":"","parse-names":false,"suffix":""},{"dropping-particle":"","family":"Yi","given":"Han","non-dropping-particle":"","parse-names":false,"suffix":""},{"dropping-particle":"","family":"Sun","given":"Duxin","non-dropping-particle":"","parse-names":false,"suffix":""},{"dropping-particle":"","family":"Stuckey","given":"Jeanne A.","non-dropping-particle":"","parse-names":false,"suffix":""},{"dropping-particle":"","family":"Wang","given":"Shaomeng","non-dropping-particle":"","parse-names":false,"suffix":""}],"container-title":"Journal of Medicinal Chemistry","id":"ITEM-2","issue":"24","issued":{"date-parts":[["2019"]]},"page":"11280-11300","title":"Structure-Based Discovery of SD-36 as a Potent, Selective, and Efficacious PROTAC Degrader of STAT3 Protein","type":"article-journal","volume":"62"},"uris":["http://www.mendeley.com/documents/?uuid=c67d0b90-30ed-4340-88b3-80b04bb47dd8"]}],"mendeley":{"formattedCitation":"&lt;sup&gt;19,20&lt;/sup&gt;","plainTextFormattedCitation":"19,20","previouslyFormattedCitation":"&lt;sup&gt;19,20&lt;/sup&gt;"},"properties":{"noteIndex":0},"schema":"https://github.com/citation-style-language/schema/raw/master/csl-citation.json"}</w:instrText>
      </w:r>
      <w:r w:rsidR="00513180"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19,20</w:t>
      </w:r>
      <w:r w:rsidR="00513180" w:rsidRPr="000E0DB5">
        <w:rPr>
          <w:rFonts w:ascii="Arial" w:eastAsia="TimesNewRomanPSMT" w:hAnsi="Arial" w:cs="Arial"/>
          <w:sz w:val="24"/>
          <w:szCs w:val="24"/>
        </w:rPr>
        <w:fldChar w:fldCharType="end"/>
      </w:r>
      <w:r w:rsidR="0093395A" w:rsidRPr="000E0DB5">
        <w:rPr>
          <w:rFonts w:ascii="Arial" w:eastAsia="TimesNewRomanPSMT" w:hAnsi="Arial" w:cs="Arial"/>
          <w:sz w:val="24"/>
          <w:szCs w:val="24"/>
        </w:rPr>
        <w:t xml:space="preserve"> The latest research efforts around bifunctional degraders have mainly been directed towards expansion of the substrate scope and </w:t>
      </w:r>
      <w:r w:rsidR="00181BE2" w:rsidRPr="000E0DB5">
        <w:rPr>
          <w:rFonts w:ascii="Arial" w:eastAsia="TimesNewRomanPSMT" w:hAnsi="Arial" w:cs="Arial"/>
          <w:sz w:val="24"/>
          <w:szCs w:val="24"/>
        </w:rPr>
        <w:t xml:space="preserve">have </w:t>
      </w:r>
      <w:r w:rsidR="0093395A" w:rsidRPr="000E0DB5">
        <w:rPr>
          <w:rFonts w:ascii="Arial" w:eastAsia="TimesNewRomanPSMT" w:hAnsi="Arial" w:cs="Arial"/>
          <w:sz w:val="24"/>
          <w:szCs w:val="24"/>
        </w:rPr>
        <w:t>provided novel degrading tools for a wide variety of biological targets.</w:t>
      </w:r>
      <w:r w:rsidR="007F2A8C"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{"citationItems":[{"id":"ITEM-1","itemData":{"DOI":"10.1016/j.molcel.2020.01.010","ISSN":"10974164","PMID":"32004468","abstract":"Verma et al. review the current arsenal of protein degradation techniques available to inactivate both native and degron-tagged proteins in cells and in vivo. Targeted methods of proteolysis of mutant proteins using PROTACs and molecular glues are described in depth. Emerging principles relevant for the next generation of degraders are presented.","author":[{"dropping-particle":"","family":"Verma","given":"Rati","non-dropping-particle":"","parse-names":false,"suffix":""},{"dropping-particle":"","family":"Mohl","given":"Dane","non-dropping-particle":"","parse-names":false,"suffix":""},{"dropping-particle":"","family":"Deshaies","given":"Raymond J.","non-dropping-particle":"","parse-names":false,"suffix":""}],"container-title":"Molecular Cell","id":"ITEM-1","issue":"3","issued":{"date-parts":[["2020"]]},"page":"446-460","publisher":"Elsevier Inc.","title":"Harnessing the Power of Proteolysis for Targeted Protein Inactivation","type":"article-journal","volume":"77"},"uris":["http://www.mendeley.com/documents/?uuid=9ca2a54d-ccbd-410f-b140-16b08380a59d"]}],"mendeley":{"formattedCitation":"&lt;sup&gt;21&lt;/sup&gt;","plainTextFormattedCitation":"21","previouslyFormattedCitation":"&lt;sup&gt;21&lt;/sup&gt;"},"properties":{"noteIndex":0},"schema":"https://github.com/citation-style-language/schema/raw/master/csl-citation.json"}</w:instrText>
      </w:r>
      <w:r w:rsidR="007F2A8C"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21</w:t>
      </w:r>
      <w:r w:rsidR="007F2A8C" w:rsidRPr="000E0DB5">
        <w:rPr>
          <w:rFonts w:ascii="Arial" w:eastAsia="TimesNewRomanPSMT" w:hAnsi="Arial" w:cs="Arial"/>
          <w:sz w:val="24"/>
          <w:szCs w:val="24"/>
        </w:rPr>
        <w:fldChar w:fldCharType="end"/>
      </w:r>
      <w:r w:rsidR="0093395A" w:rsidRPr="000E0DB5">
        <w:rPr>
          <w:rFonts w:ascii="Arial" w:eastAsia="TimesNewRomanPSMT" w:hAnsi="Arial" w:cs="Arial"/>
          <w:sz w:val="24"/>
          <w:szCs w:val="24"/>
        </w:rPr>
        <w:t xml:space="preserve"> Likewise, ternary complex formation has been investigated </w:t>
      </w:r>
      <w:r w:rsidR="00181BE2" w:rsidRPr="000E0DB5">
        <w:rPr>
          <w:rFonts w:ascii="Arial" w:eastAsia="TimesNewRomanPSMT" w:hAnsi="Arial" w:cs="Arial"/>
          <w:sz w:val="24"/>
          <w:szCs w:val="24"/>
        </w:rPr>
        <w:t xml:space="preserve">in an attempt </w:t>
      </w:r>
      <w:r w:rsidR="0093395A" w:rsidRPr="000E0DB5">
        <w:rPr>
          <w:rFonts w:ascii="Arial" w:eastAsia="TimesNewRomanPSMT" w:hAnsi="Arial" w:cs="Arial"/>
          <w:sz w:val="24"/>
          <w:szCs w:val="24"/>
        </w:rPr>
        <w:t>to identify rules that will better guide PROTAC design and optimization.</w:t>
      </w:r>
      <w:r w:rsidR="00B34289"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{"citationItems":[{"id":"ITEM-1","itemData":{"DOI":"10.1021/acschembio.8b00692","ISSN":"15548937","abstract":"A new generation of heterobifunctional small molecules, termed proteolysis targeting chimeras (PROTACs), targets proteins for degradation through recruitment to E3 ligases and holds significant therapeutic potential. Despite numerous successful examples, PROTAC small molecule development remains laborious and unpredictable, involving testing compounds for end-point degradation activity at fixed times and concentrations without resolving or optimizing for the important biological steps required for the process. Given the complexity of the ubiquitin proteasomal pathway, technologies that enable real-time characterization of PROTAC efficacy and mechanism of action are critical for accelerating compound development, profiling, and improving guidance of chemical structure-activity relationship. Here, we present an innovative, modular live-cell platform utilizing endogenous tagging technologies and apply it to monitoring PROTAC-mediated degradation of the bromodomain and extra-terminal family members. We show comprehensive real-time degradation and recovery profiles for each target, precisely quantifying degradation rates, maximal levels of degradation (D max ), and time frame at D max . These degradation metrics show specific PROTAC and family member-dependent responses that are closely associated with the key cellular protein interactions required for the process. Kinetic studies show cellular ternary complex stability influences potency and degradation efficacy. Meanwhile, the level of ubiquitination is highly correlated to degradation rate, indicating ubiquitination stemming from productive ternary complex formation is the main driver of the degradation rate. The approaches applied here highlight the steps at which the choice of E3 ligase handle can elicit different outcomes and discern individual parameters required for degradation, ultimately enabling chemical design strategies and rank ordering of potential therapeutic compounds.","author":[{"dropping-particle":"","family":"Riching","given":"Kristin M.","non-dropping-particle":"","parse-names":false,"suffix":""},{"dropping-particle":"","family":"Mahan","given":"Sarah","non-dropping-particle":"","parse-names":false,"suffix":""},{"dropping-particle":"","family":"Corona","given":"Cesear R.","non-dropping-particle":"","parse-names":false,"suffix":""},{"dropping-particle":"","family":"McDougall","given":"Mark","non-dropping-particle":"","parse-names":false,"suffix":""},{"dropping-particle":"","family":"Vasta","given":"James D.","non-dropping-particle":"","parse-names":false,"suffix":""},{"dropping-particle":"","family":"Robers","given":"Matthew B.","non-dropping-particle":"","parse-names":false,"suffix":""},{"dropping-particle":"","family":"Urh","given":"Marjeta","non-dropping-particle":"","parse-names":false,"suffix":""},{"dropping-particle":"","family":"Daniels","given":"Danette L.","non-dropping-particle":"","parse-names":false,"suffix":""}],"container-title":"ACS Chemical Biology","id":"ITEM-1","issue":"9","issued":{"date-parts":[["2018"]]},"page":"2758-2770","title":"Quantitative Live-Cell Kinetic Degradation and Mechanistic Profiling of PROTAC Mode of Action","type":"article-journal","volume":"13"},"uris":["http://www.mendeley.com/documents/?uuid=e6e5ec60-0df8-4635-8de6-2157b2bc68bd"]},{"id":"ITEM-2","itemData":{"DOI":"10.1021/acschembio.9b00092","ISSN":"15548937","PMID":"30721025","abstract":"Bifunctional degrader molecules, known as proteolysis-targeting chimeras (PROTACs), function by recruiting a target to an E3 ligase, forming a target/PROTAC/ligase ternary complex. Despite the importance of this key intermediate species, no detailed validation of a method to directly determine binding parameters for ternary complex kinetics has been reported, and it remains to be addressed whether tuning the kinetics of PROTAC ternary complexes may be an effective strategy to improve the efficiency of targeted protein degradation. Here, we develop an SPR-based assay to quantify the stability of PROTAC-induced ternary complexes by measuring for the first time the kinetics of their formation and dissociation in vitro using purified proteins. We benchmark our assay using four PROTACs that target the bromodomains (BDs) of bromodomain and extraterminal domain proteins Brd2, Brd3, and Brd4 to the von Hippel-Lindau E3 ligase (VHL). We reveal marked differences in ternary complex off-rates for different PROTACs that exhibit either positive or negative cooperativity for ternary complex formation relative to binary binding. The positively cooperative degrader MZ1 forms comparatively stable and long-lived ternary complexes with either Brd4BD2 or Brd2BD2 and VHL. Equivalent complexes with Brd3BD2 are destabilized due to a single amino acid difference (Glu/Gly swap) present in the bromodomain. We observe that this difference in ternary complex dissociative half-life correlates to a greater initial rate of intracellular degradation of Brd2 and Brd4 relative to Brd3. These findings establish a novel assay to measure the kinetics of PROTAC ternary complexes and elucidate the important kinetic parameters that drive effective target degradation.","author":[{"dropping-particle":"","family":"Roy","given":"Michael J.","non-dropping-particle":"","parse-names":false,"suffix":""},{"dropping-particle":"","family":"Winkler","given":"Sandra","non-dropping-particle":"","parse-names":false,"suffix":""},{"dropping-particle":"","family":"Hughes","given":"Scott J.","non-dropping-particle":"","parse-names":false,"suffix":""},{"dropping-particle":"","family":"Whitworth","given":"Claire","non-dropping-particle":"","parse-names":false,"suffix":""},{"dropping-particle":"","family":"Galant","given":"Michael","non-dropping-particle":"","parse-names":false,"suffix":""},{"dropping-particle":"","family":"Farnaby","given":"William","non-dropping-particle":"","parse-names":false,"suffix":""},{"dropping-particle":"","family":"Rumpel","given":"Klaus","non-dropping-particle":"","parse-names":false,"suffix":""},{"dropping-particle":"","family":"Ciulli","given":"Alessio","non-dropping-particle":"","parse-names":false,"suffix":""}],"container-title":"ACS Chemical Biology","id":"ITEM-2","issue":"3","issued":{"date-parts":[["2019"]]},"page":"361-368","title":"SPR-Measured Dissociation Kinetics of PROTAC Ternary Complexes Influence Target Degradation Rate","type":"article-journal","volume":"14"},"uris":["http://www.mendeley.com/documents/?uuid=f6238e06-8c3a-4a4b-8a4f-279c23cdb94e"]}],"mendeley":{"formattedCitation":"&lt;sup&gt;22,23&lt;/sup&gt;","plainTextFormattedCitation":"22,23","previouslyFormattedCitation":"&lt;sup&gt;22,23&lt;/sup&gt;"},"properties":{"noteIndex":0},"schema":"https://github.com/citation-style-language/schema/raw/master/csl-citation.json"}</w:instrText>
      </w:r>
      <w:r w:rsidR="00B34289"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22,23</w:t>
      </w:r>
      <w:r w:rsidR="00B34289" w:rsidRPr="000E0DB5">
        <w:rPr>
          <w:rFonts w:ascii="Arial" w:eastAsia="TimesNewRomanPSMT" w:hAnsi="Arial" w:cs="Arial"/>
          <w:sz w:val="24"/>
          <w:szCs w:val="24"/>
        </w:rPr>
        <w:fldChar w:fldCharType="end"/>
      </w:r>
    </w:p>
    <w:p w14:paraId="58EDBCF6" w14:textId="0DCBD0CF" w:rsidR="00F40BB9" w:rsidRPr="000E0DB5" w:rsidRDefault="00F40BB9" w:rsidP="00B7130D">
      <w:pPr>
        <w:autoSpaceDE w:val="0"/>
        <w:autoSpaceDN w:val="0"/>
        <w:adjustRightInd w:val="0"/>
        <w:spacing w:after="0" w:line="480" w:lineRule="auto"/>
        <w:jc w:val="both"/>
        <w:rPr>
          <w:rFonts w:ascii="Arial" w:eastAsia="TimesNewRomanPSMT" w:hAnsi="Arial" w:cs="Arial"/>
          <w:sz w:val="24"/>
          <w:szCs w:val="24"/>
        </w:rPr>
      </w:pPr>
      <w:r w:rsidRPr="000E0DB5">
        <w:rPr>
          <w:rFonts w:ascii="Arial" w:eastAsia="TimesNewRomanPSMT" w:hAnsi="Arial" w:cs="Arial"/>
          <w:sz w:val="24"/>
          <w:szCs w:val="24"/>
        </w:rPr>
        <w:t xml:space="preserve">In view of the great opportunity that TPD offers in controlling protein abundance, we and others have envisioned </w:t>
      </w:r>
      <w:r w:rsidR="007C49C3">
        <w:rPr>
          <w:rFonts w:ascii="Arial" w:eastAsia="TimesNewRomanPSMT" w:hAnsi="Arial" w:cs="Arial"/>
          <w:sz w:val="24"/>
          <w:szCs w:val="24"/>
        </w:rPr>
        <w:t xml:space="preserve">to </w:t>
      </w:r>
      <w:r w:rsidRPr="000E0DB5">
        <w:rPr>
          <w:rFonts w:ascii="Arial" w:eastAsia="TimesNewRomanPSMT" w:hAnsi="Arial" w:cs="Arial"/>
          <w:sz w:val="24"/>
          <w:szCs w:val="24"/>
        </w:rPr>
        <w:t>expand the breadth of PROTAC applications by turning them into light-activated pre</w:t>
      </w:r>
      <w:r w:rsidR="00527B18" w:rsidRPr="000E0DB5">
        <w:rPr>
          <w:rFonts w:ascii="Arial" w:eastAsia="TimesNewRomanPSMT" w:hAnsi="Arial" w:cs="Arial"/>
          <w:sz w:val="24"/>
          <w:szCs w:val="24"/>
        </w:rPr>
        <w:t>cis</w:t>
      </w:r>
      <w:r w:rsidRPr="000E0DB5">
        <w:rPr>
          <w:rFonts w:ascii="Arial" w:eastAsia="TimesNewRomanPSMT" w:hAnsi="Arial" w:cs="Arial"/>
          <w:sz w:val="24"/>
          <w:szCs w:val="24"/>
        </w:rPr>
        <w:t xml:space="preserve">ion tools. </w:t>
      </w:r>
      <w:r w:rsidR="001774E4">
        <w:rPr>
          <w:rFonts w:ascii="Arial" w:eastAsia="TimesNewRomanPSMT" w:hAnsi="Arial" w:cs="Arial"/>
          <w:sz w:val="24"/>
          <w:szCs w:val="24"/>
        </w:rPr>
        <w:t>Since b</w:t>
      </w:r>
      <w:r w:rsidR="00B7130D" w:rsidRPr="00B7130D">
        <w:rPr>
          <w:rFonts w:ascii="Arial" w:eastAsia="TimesNewRomanPSMT" w:hAnsi="Arial" w:cs="Arial"/>
          <w:sz w:val="24"/>
          <w:szCs w:val="24"/>
        </w:rPr>
        <w:t>iological processes regulated by proteins in living organisms are</w:t>
      </w:r>
      <w:r w:rsidR="00280D44">
        <w:rPr>
          <w:rFonts w:ascii="Arial" w:eastAsia="TimesNewRomanPSMT" w:hAnsi="Arial" w:cs="Arial"/>
          <w:sz w:val="24"/>
          <w:szCs w:val="24"/>
        </w:rPr>
        <w:t xml:space="preserve"> </w:t>
      </w:r>
      <w:r w:rsidR="00B7130D" w:rsidRPr="00B7130D">
        <w:rPr>
          <w:rFonts w:ascii="Arial" w:eastAsia="TimesNewRomanPSMT" w:hAnsi="Arial" w:cs="Arial"/>
          <w:sz w:val="24"/>
          <w:szCs w:val="24"/>
        </w:rPr>
        <w:t>temporally and spatially define</w:t>
      </w:r>
      <w:r w:rsidR="00805D5A">
        <w:rPr>
          <w:rFonts w:ascii="Arial" w:eastAsia="TimesNewRomanPSMT" w:hAnsi="Arial" w:cs="Arial"/>
          <w:sz w:val="24"/>
          <w:szCs w:val="24"/>
        </w:rPr>
        <w:t>d</w:t>
      </w:r>
      <w:r w:rsidR="001774E4">
        <w:rPr>
          <w:rFonts w:ascii="Arial" w:eastAsia="TimesNewRomanPSMT" w:hAnsi="Arial" w:cs="Arial"/>
          <w:sz w:val="24"/>
          <w:szCs w:val="24"/>
        </w:rPr>
        <w:t xml:space="preserve">, </w:t>
      </w:r>
      <w:r w:rsidR="00D577DA">
        <w:rPr>
          <w:rFonts w:ascii="Arial" w:eastAsia="TimesNewRomanPSMT" w:hAnsi="Arial" w:cs="Arial"/>
          <w:sz w:val="24"/>
          <w:szCs w:val="24"/>
        </w:rPr>
        <w:t xml:space="preserve">harnessing light as a tool </w:t>
      </w:r>
      <w:r w:rsidR="00AD17E8">
        <w:rPr>
          <w:rFonts w:ascii="Arial" w:eastAsia="TimesNewRomanPSMT" w:hAnsi="Arial" w:cs="Arial"/>
          <w:sz w:val="24"/>
          <w:szCs w:val="24"/>
        </w:rPr>
        <w:t>which</w:t>
      </w:r>
      <w:r w:rsidR="00D577DA">
        <w:rPr>
          <w:rFonts w:ascii="Arial" w:eastAsia="TimesNewRomanPSMT" w:hAnsi="Arial" w:cs="Arial"/>
          <w:sz w:val="24"/>
          <w:szCs w:val="24"/>
        </w:rPr>
        <w:t xml:space="preserve"> also operates in time and space</w:t>
      </w:r>
      <w:r w:rsidR="002A3519">
        <w:rPr>
          <w:rFonts w:ascii="Arial" w:eastAsia="TimesNewRomanPSMT" w:hAnsi="Arial" w:cs="Arial"/>
          <w:sz w:val="24"/>
          <w:szCs w:val="24"/>
        </w:rPr>
        <w:t xml:space="preserve"> </w:t>
      </w:r>
      <w:r w:rsidR="001178C8" w:rsidRPr="000E0DB5">
        <w:rPr>
          <w:rFonts w:ascii="Arial" w:eastAsia="TimesNewRomanPSMT" w:hAnsi="Arial" w:cs="Arial"/>
          <w:sz w:val="24"/>
          <w:szCs w:val="24"/>
        </w:rPr>
        <w:t xml:space="preserve">has </w:t>
      </w:r>
      <w:r w:rsidR="00805D5A">
        <w:rPr>
          <w:rFonts w:ascii="Arial" w:eastAsia="TimesNewRomanPSMT" w:hAnsi="Arial" w:cs="Arial"/>
          <w:sz w:val="24"/>
          <w:szCs w:val="24"/>
        </w:rPr>
        <w:t xml:space="preserve">become a reliable strategy to achieve precise control over </w:t>
      </w:r>
      <w:r w:rsidRPr="000E0DB5">
        <w:rPr>
          <w:rFonts w:ascii="Arial" w:eastAsia="TimesNewRomanPSMT" w:hAnsi="Arial" w:cs="Arial"/>
          <w:sz w:val="24"/>
          <w:szCs w:val="24"/>
        </w:rPr>
        <w:t xml:space="preserve">many </w:t>
      </w:r>
      <w:r w:rsidR="00805D5A">
        <w:rPr>
          <w:rFonts w:ascii="Arial" w:eastAsia="TimesNewRomanPSMT" w:hAnsi="Arial" w:cs="Arial"/>
          <w:sz w:val="24"/>
          <w:szCs w:val="24"/>
        </w:rPr>
        <w:t>cellular</w:t>
      </w:r>
      <w:r w:rsidRPr="000E0DB5">
        <w:rPr>
          <w:rFonts w:ascii="Arial" w:eastAsia="TimesNewRomanPSMT" w:hAnsi="Arial" w:cs="Arial"/>
          <w:sz w:val="24"/>
          <w:szCs w:val="24"/>
        </w:rPr>
        <w:t xml:space="preserve"> </w:t>
      </w:r>
      <w:r w:rsidR="00805D5A">
        <w:rPr>
          <w:rFonts w:ascii="Arial" w:eastAsia="TimesNewRomanPSMT" w:hAnsi="Arial" w:cs="Arial"/>
          <w:sz w:val="24"/>
          <w:szCs w:val="24"/>
        </w:rPr>
        <w:t>functions</w:t>
      </w:r>
      <w:r w:rsidRPr="000E0DB5">
        <w:rPr>
          <w:rFonts w:ascii="Arial" w:eastAsia="TimesNewRomanPSMT" w:hAnsi="Arial" w:cs="Arial"/>
          <w:sz w:val="24"/>
          <w:szCs w:val="24"/>
        </w:rPr>
        <w:t>.</w:t>
      </w:r>
      <w:r w:rsidR="00CF357B"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{"citationItems":[{"id":"ITEM-1","itemData":{"DOI":"10.1002/anie.201700171","ISSN":"15213773","PMID":"28521066","abstract":"Biological processes are naturally regulated with high spatial and temporal control, as is perhaps most evident in metazoan embryogenesis. Chemical tools have been extensively utilized in cell and developmental biology to investigate cellular processes, and conditional control methods have expanded applications of these technologies toward resolving complex biological questions. Light represents an excellent external trigger since it can be controlled with very high spatial and temporal precision. To this end, several optically regulated tools have been developed and applied to living systems. In this review we discuss recent developments of optochemical tools, including small molecules, peptides, proteins, and nucleic acids that can be irreversibly or reversibly controlled through light irradiation, with a focus on applications in cells and animals.","author":[{"dropping-particle":"","family":"Ankenbruck","given":"Nicholas","non-dropping-particle":"","parse-names":false,"suffix":""},{"dropping-particle":"","family":"Courtney","given":"Taylor","non-dropping-particle":"","parse-names":false,"suffix":""},{"dropping-particle":"","family":"Naro","given":"Yuta","non-dropping-particle":"","parse-names":false,"suffix":""},{"dropping-particle":"","family":"Deiters","given":"Alexander","non-dropping-particle":"","parse-names":false,"suffix":""}],"container-title":"Angewandte Chemie - International Edition","id":"ITEM-1","issue":"11","issued":{"date-parts":[["2018"]]},"page":"2768-2798","title":"Optochemical Control of Biological Processes in Cells and Animals","type":"article-journal","volume":"57"},"uris":["http://www.mendeley.com/documents/?uuid=b13bfe74-500d-49d4-a1eb-0b9a5eda44e8"]}],"mendeley":{"formattedCitation":"&lt;sup&gt;24&lt;/sup&gt;","plainTextFormattedCitation":"24","previouslyFormattedCitation":"&lt;sup&gt;24&lt;/sup&gt;"},"properties":{"noteIndex":0},"schema":"https://github.com/citation-style-language/schema/raw/master/csl-citation.json"}</w:instrText>
      </w:r>
      <w:r w:rsidR="00CF357B"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24</w:t>
      </w:r>
      <w:r w:rsidR="00CF357B"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In the case of bifunctional degraders, light would allow the non-invasive </w:t>
      </w:r>
      <w:r w:rsidR="00AD17E8">
        <w:rPr>
          <w:rFonts w:ascii="Arial" w:eastAsia="TimesNewRomanPSMT" w:hAnsi="Arial" w:cs="Arial"/>
          <w:sz w:val="24"/>
          <w:szCs w:val="24"/>
        </w:rPr>
        <w:t xml:space="preserve">spatiotemporal </w:t>
      </w:r>
      <w:r w:rsidRPr="000E0DB5">
        <w:rPr>
          <w:rFonts w:ascii="Arial" w:eastAsia="TimesNewRomanPSMT" w:hAnsi="Arial" w:cs="Arial"/>
          <w:sz w:val="24"/>
          <w:szCs w:val="24"/>
        </w:rPr>
        <w:t xml:space="preserve">control of proteolysis, </w:t>
      </w:r>
      <w:r w:rsidR="001178C8" w:rsidRPr="000E0DB5">
        <w:rPr>
          <w:rFonts w:ascii="Arial" w:eastAsia="TimesNewRomanPSMT" w:hAnsi="Arial" w:cs="Arial"/>
          <w:sz w:val="24"/>
          <w:szCs w:val="24"/>
        </w:rPr>
        <w:t xml:space="preserve">greatly refining </w:t>
      </w:r>
      <w:r w:rsidRPr="000E0DB5">
        <w:rPr>
          <w:rFonts w:ascii="Arial" w:eastAsia="TimesNewRomanPSMT" w:hAnsi="Arial" w:cs="Arial"/>
          <w:sz w:val="24"/>
          <w:szCs w:val="24"/>
        </w:rPr>
        <w:t xml:space="preserve">the study of protein </w:t>
      </w:r>
      <w:r w:rsidR="001178C8" w:rsidRPr="000E0DB5">
        <w:rPr>
          <w:rFonts w:ascii="Arial" w:eastAsia="TimesNewRomanPSMT" w:hAnsi="Arial" w:cs="Arial"/>
          <w:sz w:val="24"/>
          <w:szCs w:val="24"/>
        </w:rPr>
        <w:t>degradation</w:t>
      </w:r>
      <w:r w:rsidRPr="000E0DB5">
        <w:rPr>
          <w:rFonts w:ascii="Arial" w:eastAsia="TimesNewRomanPSMT" w:hAnsi="Arial" w:cs="Arial"/>
          <w:sz w:val="24"/>
          <w:szCs w:val="24"/>
        </w:rPr>
        <w:t xml:space="preserve">. Furthermore, with degraders </w:t>
      </w:r>
      <w:r w:rsidR="001178C8" w:rsidRPr="000E0DB5">
        <w:rPr>
          <w:rFonts w:ascii="Arial" w:eastAsia="TimesNewRomanPSMT" w:hAnsi="Arial" w:cs="Arial"/>
          <w:sz w:val="24"/>
          <w:szCs w:val="24"/>
        </w:rPr>
        <w:t xml:space="preserve">now </w:t>
      </w:r>
      <w:r w:rsidRPr="000E0DB5">
        <w:rPr>
          <w:rFonts w:ascii="Arial" w:eastAsia="TimesNewRomanPSMT" w:hAnsi="Arial" w:cs="Arial"/>
          <w:sz w:val="24"/>
          <w:szCs w:val="24"/>
        </w:rPr>
        <w:t>progress</w:t>
      </w:r>
      <w:r w:rsidR="001178C8" w:rsidRPr="000E0DB5">
        <w:rPr>
          <w:rFonts w:ascii="Arial" w:eastAsia="TimesNewRomanPSMT" w:hAnsi="Arial" w:cs="Arial"/>
          <w:sz w:val="24"/>
          <w:szCs w:val="24"/>
        </w:rPr>
        <w:t>ing</w:t>
      </w:r>
      <w:r w:rsidRPr="000E0DB5">
        <w:rPr>
          <w:rFonts w:ascii="Arial" w:eastAsia="TimesNewRomanPSMT" w:hAnsi="Arial" w:cs="Arial"/>
          <w:sz w:val="24"/>
          <w:szCs w:val="24"/>
        </w:rPr>
        <w:t xml:space="preserve"> into the clinic, it may become important to develop strategies to address their potential </w:t>
      </w:r>
      <w:r w:rsidR="00C35071" w:rsidRPr="000E0DB5">
        <w:rPr>
          <w:rFonts w:ascii="Arial" w:eastAsia="TimesNewRomanPSMT" w:hAnsi="Arial" w:cs="Arial"/>
          <w:sz w:val="24"/>
          <w:szCs w:val="24"/>
        </w:rPr>
        <w:t xml:space="preserve">on- and </w:t>
      </w:r>
      <w:r w:rsidRPr="000E0DB5">
        <w:rPr>
          <w:rFonts w:ascii="Arial" w:eastAsia="TimesNewRomanPSMT" w:hAnsi="Arial" w:cs="Arial"/>
          <w:sz w:val="24"/>
          <w:szCs w:val="24"/>
        </w:rPr>
        <w:t>off-target liabilities.</w:t>
      </w:r>
      <w:r w:rsidR="00D661DF"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{"citationItems":[{"id":"ITEM-1","itemData":{"DOI":"10.1111/bph.15014","ISSN":"14765381","PMID":"32022252","abstract":"Proteolysis-targeting chimeras are a new drug modality that exploits the endogenous ubiquitin proteasome system to degrade a protein of interest for therapeutic benefit. As the first-generation of proteolysis-targeting chimeras have now entered clinical trials for oncology indications, it is timely to consider the theoretical safety risks inherent with this modality which include off-target degradation, intracellular accumulation of natural substrates for the E3 ligases used in the ubiquitin proteasome system, proteasome saturation by ubiquitinated proteins, and liabilities associated with the “hook effect” of proteolysis-targeting chimeras This review describes in vitro and non-clinical in vivo data that provide mechanistic insight of these safety risks and approaches being used to mitigate these risks in the next generation of proteolysis-targeting chimera molecules to extend therapeutic applications beyond life-threatening diseases.","author":[{"dropping-particle":"","family":"Moreau","given":"Kevin","non-dropping-particle":"","parse-names":false,"suffix":""},{"dropping-particle":"","family":"Coen","given":"Muireann","non-dropping-particle":"","parse-names":false,"suffix":""},{"dropping-particle":"","family":"Zhang","given":"Andrew X.","non-dropping-particle":"","parse-names":false,"suffix":""},{"dropping-particle":"","family":"Pachl","given":"Fiona","non-dropping-particle":"","parse-names":false,"suffix":""},{"dropping-particle":"","family":"Castaldi","given":"M. Paola","non-dropping-particle":"","parse-names":false,"suffix":""},{"dropping-particle":"","family":"Dahl","given":"Goran","non-dropping-particle":"","parse-names":false,"suffix":""},{"dropping-particle":"","family":"Boyd","given":"Helen","non-dropping-particle":"","parse-names":false,"suffix":""},{"dropping-particle":"","family":"Scott","given":"Clay","non-dropping-particle":"","parse-names":false,"suffix":""},{"dropping-particle":"","family":"Newham","given":"Pete","non-dropping-particle":"","parse-names":false,"suffix":""}],"container-title":"British Journal of Pharmacology","id":"ITEM-1","issue":"8","issued":{"date-parts":[["2020"]]},"page":"1709-1718","title":"Proteolysis-targeting chimeras in drug development: A safety perspective","type":"article-journal","volume":"177"},"uris":["http://www.mendeley.com/documents/?uuid=81b9b833-d58d-4015-95a3-2d128d86486f"]}],"mendeley":{"formattedCitation":"&lt;sup&gt;25&lt;/sup&gt;","plainTextFormattedCitation":"25","previouslyFormattedCitation":"&lt;sup&gt;25&lt;/sup&gt;"},"properties":{"noteIndex":0},"schema":"https://github.com/citation-style-language/schema/raw/master/csl-citation.json"}</w:instrText>
      </w:r>
      <w:r w:rsidR="00D661DF"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25</w:t>
      </w:r>
      <w:r w:rsidR="00D661DF"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w:t>
      </w:r>
      <w:r w:rsidR="001178C8" w:rsidRPr="000E0DB5">
        <w:rPr>
          <w:rFonts w:ascii="Arial" w:eastAsia="TimesNewRomanPSMT" w:hAnsi="Arial" w:cs="Arial"/>
          <w:sz w:val="24"/>
          <w:szCs w:val="24"/>
        </w:rPr>
        <w:t>T</w:t>
      </w:r>
      <w:r w:rsidRPr="000E0DB5">
        <w:rPr>
          <w:rFonts w:ascii="Arial" w:eastAsia="TimesNewRomanPSMT" w:hAnsi="Arial" w:cs="Arial"/>
          <w:sz w:val="24"/>
          <w:szCs w:val="24"/>
        </w:rPr>
        <w:t xml:space="preserve">issue-selective delivery of PROTACs </w:t>
      </w:r>
      <w:r w:rsidR="001178C8" w:rsidRPr="000E0DB5">
        <w:rPr>
          <w:rFonts w:ascii="Arial" w:eastAsia="TimesNewRomanPSMT" w:hAnsi="Arial" w:cs="Arial"/>
          <w:sz w:val="24"/>
          <w:szCs w:val="24"/>
        </w:rPr>
        <w:t xml:space="preserve">has been reported </w:t>
      </w:r>
      <w:r w:rsidRPr="000E0DB5">
        <w:rPr>
          <w:rFonts w:ascii="Arial" w:eastAsia="TimesNewRomanPSMT" w:hAnsi="Arial" w:cs="Arial"/>
          <w:sz w:val="24"/>
          <w:szCs w:val="24"/>
        </w:rPr>
        <w:t xml:space="preserve">by </w:t>
      </w:r>
      <w:r w:rsidR="001178C8" w:rsidRPr="000E0DB5">
        <w:rPr>
          <w:rFonts w:ascii="Arial" w:eastAsia="TimesNewRomanPSMT" w:hAnsi="Arial" w:cs="Arial"/>
          <w:sz w:val="24"/>
          <w:szCs w:val="24"/>
        </w:rPr>
        <w:t>conjugation t</w:t>
      </w:r>
      <w:r w:rsidRPr="000E0DB5">
        <w:rPr>
          <w:rFonts w:ascii="Arial" w:eastAsia="TimesNewRomanPSMT" w:hAnsi="Arial" w:cs="Arial"/>
          <w:sz w:val="24"/>
          <w:szCs w:val="24"/>
        </w:rPr>
        <w:t>o antibodies</w:t>
      </w:r>
      <w:r w:rsidR="001178C8" w:rsidRPr="000E0DB5">
        <w:rPr>
          <w:rFonts w:ascii="Arial" w:eastAsia="TimesNewRomanPSMT" w:hAnsi="Arial" w:cs="Arial"/>
          <w:sz w:val="24"/>
          <w:szCs w:val="24"/>
        </w:rPr>
        <w:t>,</w:t>
      </w:r>
      <w:r w:rsidR="007F3B72"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{"citationItems":[{"id":"ITEM-1","itemData":{"DOI":"10.1021/acschembio.0c00285","ISSN":"1554-8929","PMID":"32338867","abstract":"Targeting protein degradation with Proteolysis-Targeting Chimeras (PROTACs) is an area of great current interest in drug discovery. Nevertheless, although the high effectiveness of PROTACs against ...","author":[{"dropping-particle":"","family":"Maneiro","given":"Marı́a","non-dropping-particle":"","parse-names":false,"suffix":""},{"dropping-particle":"","family":"Forte","given":"Nafsika","non-dropping-particle":"","parse-names":false,"suffix":""},{"dropping-particle":"","family":"Shchepinova","given":"Maria M.","non-dropping-particle":"","parse-names":false,"suffix":""},{"dropping-particle":"","family":"Kounde","given":"Cyrille S.","non-dropping-particle":"","parse-names":false,"suffix":""},{"dropping-particle":"","family":"Chudasama","given":"Vijay","non-dropping-particle":"","parse-names":false,"suffix":""},{"dropping-particle":"","family":"Baker","given":"James Richard","non-dropping-particle":"","parse-names":false,"suffix":""},{"dropping-particle":"","family":"Tate","given":"Edward W.","non-dropping-particle":"","parse-names":false,"suffix":""}],"container-title":"ACS Chemical Biology","id":"ITEM-1","issued":{"date-parts":[["2020"]]},"title":"Antibody–PROTAC Conjugates Enable HER2-Dependent Targeted Protein Degradation of BRD4","type":"article-journal"},"uris":["http://www.mendeley.com/documents/?uuid=7d71d98e-8f0f-4d79-87da-8780e7106897"]},{"id":"ITEM-2","itemData":{"DOI":"10.1016/j.bmcl.2019.126907","ISSN":"14643405","abstract":"Chimeric molecules which effect intracellular degradation of target proteins via E3 ligase-mediated ubiquitination (e.g., PROTACs) are currently of high interest in medicinal chemistry. However, these entities are relatively large compounds that often possess molecular characteristics which may compromise oral bioavailability, solubility, and/or in vivo pharmacokinetic properties. Accordingly, we explored whether conjugation of chimeric degraders to monoclonal antibodies using technologies originally developed for cytotoxic payloads might provide alternate delivery options for these novel agents. In this report we describe the construction of several degrader-antibody conjugates comprised of two distinct ERα-targeting degrader entities and three independent ADC linker modalities. We subsequently demonstrate the antigen-dependent delivery to MCF7-neo/HER2 cells of the degrader payloads that are incorporated into these conjugates. We also provide evidence for efficient intracellular degrader release from one of the employed linkers. In addition, preliminary data are described which suggest that reasonably favorable in vivo stability properties are associated with the linkers utilized to construct the degrader conjugates.","author":[{"dropping-particle":"","family":"Dragovich","given":"Peter S.","non-dropping-particle":"","parse-names":false,"suffix":""},{"dropping-particle":"","family":"Adhikari","given":"Pragya","non-dropping-particle":"","parse-names":false,"suffix":""},{"dropping-particle":"","family":"Blake","given":"Robert A.","non-dropping-particle":"","parse-names":false,"suffix":""},{"dropping-particle":"","family":"Blaquiere","given":"Nicole","non-dropping-particle":"","parse-names":false,"suffix":""},{"dropping-particle":"","family":"Chen","given":"Jinhua","non-dropping-particle":"","parse-names":false,"suffix":""},{"dropping-particle":"","family":"Cheng","given":"Yun Xing","non-dropping-particle":"","parse-names":false,"suffix":""},{"dropping-particle":"","family":"Besten","given":"Willem","non-dropping-particle":"den","parse-names":false,"suffix":""},{"dropping-particle":"","family":"Han","given":"Jinping","non-dropping-particle":"","parse-names":false,"suffix":""},{"dropping-particle":"","family":"Hartman","given":"Steven J.","non-dropping-particle":"","parse-names":false,"suffix":""},{"dropping-particle":"","family":"He","given":"Jintang","non-dropping-particle":"","parse-names":false,"suffix":""},{"dropping-particle":"","family":"He","given":"Mingtao","non-dropping-particle":"","parse-names":false,"suffix":""},{"dropping-particle":"","family":"Rei Ingalla","given":"Ellen","non-dropping-particle":"","parse-names":false,"suffix":""},{"dropping-particle":"V.","family":"Kamath","given":"Amrita","non-dropping-particle":"","parse-names":false,"suffix":""},{"dropping-particle":"","family":"Kleinheinz","given":"Tracy","non-dropping-particle":"","parse-names":false,"suffix":""},{"dropping-particle":"","family":"Lai","given":"Tommy","non-dropping-particle":"","parse-names":false,"suffix":""},{"dropping-particle":"","family":"Leipold","given":"Douglas D.","non-dropping-particle":"","parse-names":false,"suffix":""},{"dropping-particle":"","family":"Li","given":"Chun Sing","non-dropping-particle":"","parse-names":false,"suffix":""},{"dropping-particle":"","family":"Liu","given":"Qi","non-dropping-particle":"","parse-names":false,"suffix":""},{"dropping-particle":"","family":"Lu","given":"Jiawei","non-dropping-particle":"","parse-names":false,"suffix":""},{"dropping-particle":"","family":"Lu","given":"Ying","non-dropping-particle":"","parse-names":false,"suffix":""},{"dropping-particle":"","family":"Meng","given":"Fanwei","non-dropping-particle":"","parse-names":false,"suffix":""},{"dropping-particle":"","family":"Meng","given":"Lingyao","non-dropping-particle":"","parse-names":false,"suffix":""},{"dropping-particle":"","family":"Ng","given":"Carl","non-dropping-particle":"","parse-names":false,"suffix":""},{"dropping-particle":"","family":"Peng","given":"Kaishan","non-dropping-particle":"","parse-names":false,"suffix":""},{"dropping-particle":"","family":"Lewis Phillips","given":"Gail","non-dropping-particle":"","parse-names":false,"suffix":""},{"dropping-particle":"","family":"Pillow","given":"Thomas H.","non-dropping-particle":"","parse-names":false,"suffix":""},{"dropping-particle":"","family":"Rowntree","given":"Rebecca K.","non-dropping-particle":"","parse-names":false,"suffix":""},{"dropping-particle":"","family":"Sadowsky","given":"Jack D.","non-dropping-particle":"","parse-names":false,"suffix":""},{"dropping-particle":"","family":"Sampath","given":"Deepak","non-dropping-particle":"","parse-names":false,"suffix":""},{"dropping-particle":"","family":"Staben","given":"Leanna","non-dropping-particle":"","parse-names":false,"suffix":""},{"dropping-particle":"","family":"Staben","given":"Steven T.","non-dropping-particle":"","parse-names":false,"suffix":""},{"dropping-particle":"","family":"Wai","given":"John","non-dropping-particle":"","parse-names":false,"suffix":""},{"dropping-particle":"","family":"Wan","given":"Kunpeng","non-dropping-particle":"","parse-names":false,"suffix":""},{"dropping-particle":"","family":"Wang","given":"Xinxin","non-dropping-particle":"","parse-names":false,"suffix":""},{"dropping-particle":"","family":"Wei","given":"Bin Qing","non-dropping-particle":"","parse-names":false,"suffix":""},{"dropping-particle":"","family":"Wertz","given":"Ingrid E.","non-dropping-particle":"","parse-names":false,"suffix":""},{"dropping-particle":"","family":"Xin","given":"Jianfeng","non-dropping-particle":"","parse-names":false,"suffix":""},{"dropping-particle":"","family":"Xu","given":"Keyang","non-dropping-particle":"","parse-names":false,"suffix":""},{"dropping-particle":"","family":"Yao","given":"Hui","non-dropping-particle":"","parse-names":false,"suffix":""},{"dropping-particle":"","family":"Zang","given":"Richard","non-dropping-particle":"","parse-names":false,"suffix":""},{"dropping-particle":"","family":"Zhang","given":"Donglu","non-dropping-particle":"","parse-names":false,"suffix":""},{"dropping-particle":"","family":"Zhou","given":"Hao","non-dropping-particle":"","parse-names":false,"suffix":""},{"dropping-particle":"","family":"Zhao","given":"Yongxin","non-dropping-particle":"","parse-names":false,"suffix":""}],"container-title":"Bioorganic and Medicinal Chemistry Letters","id":"ITEM-2","issue":"4","issued":{"date-parts":[["2020"]]},"publisher":"Elsevier","title":"Antibody-mediated delivery of chimeric protein degraders which target estrogen receptor alpha (ERα)","type":"article-journal","volume":"30"},"uris":["http://www.mendeley.com/documents/?uuid=e9852401-054a-4526-bc43-77c0a2bc9b77"]}],"mendeley":{"formattedCitation":"&lt;sup&gt;26,27&lt;/sup&gt;","plainTextFormattedCitation":"26,27","previouslyFormattedCitation":"&lt;sup&gt;26,27&lt;/sup&gt;"},"properties":{"noteIndex":0},"schema":"https://github.com/citation-style-language/schema/raw/master/csl-citation.json"}</w:instrText>
      </w:r>
      <w:r w:rsidR="007F3B72"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26,27</w:t>
      </w:r>
      <w:r w:rsidR="007F3B72"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w:t>
      </w:r>
      <w:r w:rsidR="001178C8" w:rsidRPr="000E0DB5">
        <w:rPr>
          <w:rFonts w:ascii="Arial" w:eastAsia="TimesNewRomanPSMT" w:hAnsi="Arial" w:cs="Arial"/>
          <w:sz w:val="24"/>
          <w:szCs w:val="24"/>
        </w:rPr>
        <w:t xml:space="preserve">and similarly </w:t>
      </w:r>
      <w:r w:rsidRPr="000E0DB5">
        <w:rPr>
          <w:rFonts w:ascii="Arial" w:eastAsia="TimesNewRomanPSMT" w:hAnsi="Arial" w:cs="Arial"/>
          <w:sz w:val="24"/>
          <w:szCs w:val="24"/>
        </w:rPr>
        <w:t xml:space="preserve">the </w:t>
      </w:r>
      <w:r w:rsidR="008D0E9F" w:rsidRPr="000E0DB5">
        <w:rPr>
          <w:rFonts w:ascii="Arial" w:eastAsia="TimesNewRomanPSMT" w:hAnsi="Arial" w:cs="Arial"/>
          <w:sz w:val="24"/>
          <w:szCs w:val="24"/>
        </w:rPr>
        <w:t xml:space="preserve">local </w:t>
      </w:r>
      <w:r w:rsidR="001178C8" w:rsidRPr="000E0DB5">
        <w:rPr>
          <w:rFonts w:ascii="Arial" w:eastAsia="TimesNewRomanPSMT" w:hAnsi="Arial" w:cs="Arial"/>
          <w:sz w:val="24"/>
          <w:szCs w:val="24"/>
        </w:rPr>
        <w:t xml:space="preserve">application </w:t>
      </w:r>
      <w:r w:rsidRPr="000E0DB5">
        <w:rPr>
          <w:rFonts w:ascii="Arial" w:eastAsia="TimesNewRomanPSMT" w:hAnsi="Arial" w:cs="Arial"/>
          <w:sz w:val="24"/>
          <w:szCs w:val="24"/>
        </w:rPr>
        <w:t xml:space="preserve">of light to deplete a disease-relevant protein in </w:t>
      </w:r>
      <w:r w:rsidR="008D0E9F" w:rsidRPr="000E0DB5">
        <w:rPr>
          <w:rFonts w:ascii="Arial" w:eastAsia="TimesNewRomanPSMT" w:hAnsi="Arial" w:cs="Arial"/>
          <w:sz w:val="24"/>
          <w:szCs w:val="24"/>
        </w:rPr>
        <w:t>a tumor or other organ</w:t>
      </w:r>
      <w:r w:rsidRPr="000E0DB5">
        <w:rPr>
          <w:rFonts w:ascii="Arial" w:eastAsia="TimesNewRomanPSMT" w:hAnsi="Arial" w:cs="Arial"/>
          <w:sz w:val="24"/>
          <w:szCs w:val="24"/>
        </w:rPr>
        <w:t xml:space="preserve"> whilst sparing healthy </w:t>
      </w:r>
      <w:r w:rsidR="008D0E9F" w:rsidRPr="000E0DB5">
        <w:rPr>
          <w:rFonts w:ascii="Arial" w:eastAsia="TimesNewRomanPSMT" w:hAnsi="Arial" w:cs="Arial"/>
          <w:sz w:val="24"/>
          <w:szCs w:val="24"/>
        </w:rPr>
        <w:t xml:space="preserve">tissue </w:t>
      </w:r>
      <w:r w:rsidRPr="000E0DB5">
        <w:rPr>
          <w:rFonts w:ascii="Arial" w:eastAsia="TimesNewRomanPSMT" w:hAnsi="Arial" w:cs="Arial"/>
          <w:sz w:val="24"/>
          <w:szCs w:val="24"/>
        </w:rPr>
        <w:t xml:space="preserve">could improve PROTAC selectivity </w:t>
      </w:r>
      <w:r w:rsidR="002512A3" w:rsidRPr="000E0DB5">
        <w:rPr>
          <w:rFonts w:ascii="Arial" w:eastAsia="TimesNewRomanPSMT" w:hAnsi="Arial" w:cs="Arial"/>
          <w:sz w:val="24"/>
          <w:szCs w:val="24"/>
        </w:rPr>
        <w:t xml:space="preserve">in vivo, </w:t>
      </w:r>
      <w:r w:rsidRPr="000E0DB5">
        <w:rPr>
          <w:rFonts w:ascii="Arial" w:eastAsia="TimesNewRomanPSMT" w:hAnsi="Arial" w:cs="Arial"/>
          <w:sz w:val="24"/>
          <w:szCs w:val="24"/>
        </w:rPr>
        <w:t xml:space="preserve">and reduce </w:t>
      </w:r>
      <w:r w:rsidR="008D0E9F" w:rsidRPr="000E0DB5">
        <w:rPr>
          <w:rFonts w:ascii="Arial" w:eastAsia="TimesNewRomanPSMT" w:hAnsi="Arial" w:cs="Arial"/>
          <w:sz w:val="24"/>
          <w:szCs w:val="24"/>
        </w:rPr>
        <w:t>potential toxicity</w:t>
      </w:r>
      <w:r w:rsidRPr="000E0DB5">
        <w:rPr>
          <w:rFonts w:ascii="Arial" w:eastAsia="TimesNewRomanPSMT" w:hAnsi="Arial" w:cs="Arial"/>
          <w:sz w:val="24"/>
          <w:szCs w:val="24"/>
        </w:rPr>
        <w:t>.</w:t>
      </w:r>
    </w:p>
    <w:p w14:paraId="37969F34" w14:textId="55572EA9" w:rsidR="00F40BB9" w:rsidRDefault="00F40BB9" w:rsidP="00F40BB9">
      <w:pPr>
        <w:autoSpaceDE w:val="0"/>
        <w:autoSpaceDN w:val="0"/>
        <w:adjustRightInd w:val="0"/>
        <w:spacing w:after="0" w:line="480" w:lineRule="auto"/>
        <w:jc w:val="both"/>
        <w:rPr>
          <w:rFonts w:ascii="Arial" w:eastAsia="TimesNewRomanPSMT" w:hAnsi="Arial" w:cs="Arial"/>
          <w:sz w:val="24"/>
          <w:szCs w:val="24"/>
        </w:rPr>
      </w:pPr>
      <w:r w:rsidRPr="000E0DB5">
        <w:rPr>
          <w:rFonts w:ascii="Arial" w:eastAsia="TimesNewRomanPSMT" w:hAnsi="Arial" w:cs="Arial"/>
          <w:sz w:val="24"/>
          <w:szCs w:val="24"/>
        </w:rPr>
        <w:t xml:space="preserve">Light-induced proteolysis </w:t>
      </w:r>
      <w:r w:rsidR="008D0E9F" w:rsidRPr="000E0DB5">
        <w:rPr>
          <w:rFonts w:ascii="Arial" w:eastAsia="TimesNewRomanPSMT" w:hAnsi="Arial" w:cs="Arial"/>
          <w:sz w:val="24"/>
          <w:szCs w:val="24"/>
        </w:rPr>
        <w:t xml:space="preserve">was </w:t>
      </w:r>
      <w:r w:rsidRPr="000E0DB5">
        <w:rPr>
          <w:rFonts w:ascii="Arial" w:eastAsia="TimesNewRomanPSMT" w:hAnsi="Arial" w:cs="Arial"/>
          <w:sz w:val="24"/>
          <w:szCs w:val="24"/>
        </w:rPr>
        <w:t xml:space="preserve">first explored </w:t>
      </w:r>
      <w:r w:rsidR="008D0E9F" w:rsidRPr="000E0DB5">
        <w:rPr>
          <w:rFonts w:ascii="Arial" w:eastAsia="TimesNewRomanPSMT" w:hAnsi="Arial" w:cs="Arial"/>
          <w:sz w:val="24"/>
          <w:szCs w:val="24"/>
        </w:rPr>
        <w:t xml:space="preserve">using </w:t>
      </w:r>
      <w:r w:rsidRPr="000E0DB5">
        <w:rPr>
          <w:rFonts w:ascii="Arial" w:eastAsia="TimesNewRomanPSMT" w:hAnsi="Arial" w:cs="Arial"/>
          <w:sz w:val="24"/>
          <w:szCs w:val="24"/>
        </w:rPr>
        <w:t>optogenetic methods</w:t>
      </w:r>
      <w:r w:rsidR="00CE117B"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{"citationItems":[{"id":"ITEM-1","itemData":{"DOI":"10.1021/cb400755","ISSN":"15548937","PMID":"24180414","abstract":"Post-translational regulation of protein abundance in cells is a powerful tool for studying protein function. Here, we describe a novel genetically encoded protein domain that is degraded upon exposure to nontoxic blue light. We demonstrate that fusion proteins containing this domain are rapidly degraded in cultured cells and in zebrafish upon illumination. © 2013 American Chemical Society.","author":[{"dropping-particle":"","family":"Bonger","given":"Kimberly M.","non-dropping-particle":"","parse-names":false,"suffix":""},{"dropping-particle":"","family":"Rakhit","given":"Rishi","non-dropping-particle":"","parse-names":false,"suffix":""},{"dropping-particle":"","family":"Payumo","given":"Alexander Y.","non-dropping-particle":"","parse-names":false,"suffix":""},{"dropping-particle":"","family":"Chen","given":"James K.","non-dropping-particle":"","parse-names":false,"suffix":""},{"dropping-particle":"","family":"Wandless","given":"Thomas J.","non-dropping-particle":"","parse-names":false,"suffix":""}],"container-title":"ACS Chemical Biology","id":"ITEM-1","issue":"1","issued":{"date-parts":[["2014"]]},"page":"111-115","title":"General method for regulating protein stability with light","type":"article-journal","volume":"9"},"uris":["http://www.mendeley.com/documents/?uuid=7f9b75b9-070d-43ab-8fad-aae0861fcfc1"]},{"id":"ITEM-2","itemData":{"DOI":"10.1016/j.chembiol.2013.03.005","ISSN":"10745521","abstract":"Light perception is indispensable for plants to respond adequately to external cues and is linked to proteolysis of key transcriptional regulators. To provide synthetic light control of protein stability, we developed a generic photosensitive degron (psd) module combining the light-reactive LOV2 domain of Arabidopsis thaliana phot1 with the murine ornithine decarboxylase-like degradation sequence cODC1. Functionality of the psd module was demonstrated in the model organism Saccharomyces cerevisiae. Generation of conditional mutants, light regulation of cyclin-dependent kinase activity, light-based patterning of cell growth, and yeast photography exemplified its versatility. In silico modeling of psd module behavior increased understanding of its characteristics. This engineered degron module transfers the principle of light-regulated degradation to nonplant organisms. It will be highly beneficial to control protein levels in biotechnological or biomedical applications and offers the potential to render a plethora of biological processes light-switchable. © 2013 Elsevier Ltd.","author":[{"dropping-particle":"","family":"Renicke","given":"Christian","non-dropping-particle":"","parse-names":false,"suffix":""},{"dropping-particle":"","family":"Schuster","given":"Daniel","non-dropping-particle":"","parse-names":false,"suffix":""},{"dropping-particle":"","family":"Usherenko","given":"Svetlana","non-dropping-particle":"","parse-names":false,"suffix":""},{"dropping-particle":"","family":"Essen","given":"Lars Oliver","non-dropping-particle":"","parse-names":false,"suffix":""},{"dropping-particle":"","family":"Taxis","given":"Christof","non-dropping-particle":"","parse-names":false,"suffix":""}],"container-title":"Chemistry and Biology","id":"ITEM-2","issue":"4","issued":{"date-parts":[["2013"]]},"page":"619-626","publisher":"Elsevier Ltd","title":"A LOV2 domain-based optogenetic tool to control protein degradation and cellular function","type":"article-journal","volume":"20"},"uris":["http://www.mendeley.com/documents/?uuid=52d12a9b-e98a-43a6-969f-573f56426fdf"]}],"mendeley":{"formattedCitation":"&lt;sup&gt;28,29&lt;/sup&gt;","plainTextFormattedCitation":"28,29","previouslyFormattedCitation":"&lt;sup&gt;28,29&lt;/sup&gt;"},"properties":{"noteIndex":0},"schema":"https://github.com/citation-style-language/schema/raw/master/csl-citation.json"}</w:instrText>
      </w:r>
      <w:r w:rsidR="00CE117B"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28,29</w:t>
      </w:r>
      <w:r w:rsidR="00CE117B"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w:t>
      </w:r>
      <w:r w:rsidR="008D0E9F" w:rsidRPr="000E0DB5">
        <w:rPr>
          <w:rFonts w:ascii="Arial" w:eastAsia="TimesNewRomanPSMT" w:hAnsi="Arial" w:cs="Arial"/>
          <w:sz w:val="24"/>
          <w:szCs w:val="24"/>
        </w:rPr>
        <w:t>and was later</w:t>
      </w:r>
      <w:r w:rsidRPr="000E0DB5">
        <w:rPr>
          <w:rFonts w:ascii="Arial" w:eastAsia="TimesNewRomanPSMT" w:hAnsi="Arial" w:cs="Arial"/>
          <w:sz w:val="24"/>
          <w:szCs w:val="24"/>
        </w:rPr>
        <w:t xml:space="preserve"> accomplished with small molecules in </w:t>
      </w:r>
      <w:r w:rsidR="008D0E9F" w:rsidRPr="000E0DB5">
        <w:rPr>
          <w:rFonts w:ascii="Arial" w:eastAsia="TimesNewRomanPSMT" w:hAnsi="Arial" w:cs="Arial"/>
          <w:sz w:val="24"/>
          <w:szCs w:val="24"/>
        </w:rPr>
        <w:t xml:space="preserve">genetically modified </w:t>
      </w:r>
      <w:r w:rsidRPr="000E0DB5">
        <w:rPr>
          <w:rFonts w:ascii="Arial" w:eastAsia="TimesNewRomanPSMT" w:hAnsi="Arial" w:cs="Arial"/>
          <w:sz w:val="24"/>
          <w:szCs w:val="24"/>
        </w:rPr>
        <w:t>mammalian cells, as reported by Delacour et al</w:t>
      </w:r>
      <w:r w:rsidR="00D41351">
        <w:rPr>
          <w:rFonts w:ascii="Arial" w:eastAsia="TimesNewRomanPSMT" w:hAnsi="Arial" w:cs="Arial"/>
          <w:sz w:val="24"/>
          <w:szCs w:val="24"/>
        </w:rPr>
        <w:t>.</w:t>
      </w:r>
      <w:r w:rsidRPr="000E0DB5">
        <w:rPr>
          <w:rFonts w:ascii="Arial" w:eastAsia="TimesNewRomanPSMT" w:hAnsi="Arial" w:cs="Arial"/>
          <w:sz w:val="24"/>
          <w:szCs w:val="24"/>
        </w:rPr>
        <w:t xml:space="preserve"> in 2015.</w:t>
      </w:r>
      <w:r w:rsidR="001C65B7"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{"citationItems":[{"id":"ITEM-1","itemData":{"DOI":"10.1021/acschembio.5b00069","ISSN":"15548937","abstract":"The regulation of proteolysis is an efficient way to control protein function in cells. Here, we present a general strategy enabling to increase the spatiotemporal resolution of conditional proteolysis by using light activation as trigger. Our approach relies on the auxin-inducible degradation system obtained by transposing components of the plant auxin-dependent degradation pathway in mammalian cells. We developed a photoactivatable auxin that acts as a photoactivatable inducer of degradation. Upon local and short light illumination, auxin is released in cells and triggers the degradation of a protein of interest with spatiotemporal control. (Figure Presented).","author":[{"dropping-particle":"","family":"Delacour","given":"Quentin","non-dropping-particle":"","parse-names":false,"suffix":""},{"dropping-particle":"","family":"Li","given":"Chenge","non-dropping-particle":"","parse-names":false,"suffix":""},{"dropping-particle":"","family":"Plamont","given":"Marie Aude","non-dropping-particle":"","parse-names":false,"suffix":""},{"dropping-particle":"","family":"Billon-Denis","given":"Emmanuelle","non-dropping-particle":"","parse-names":false,"suffix":""},{"dropping-particle":"","family":"Aujard","given":"Isabelle","non-dropping-particle":"","parse-names":false,"suffix":""},{"dropping-particle":"","family":"Saux","given":"Thomas","non-dropping-particle":"Le","parse-names":false,"suffix":""},{"dropping-particle":"","family":"Jullien","given":"Ludovic","non-dropping-particle":"","parse-names":false,"suffix":""},{"dropping-particle":"","family":"Gautier","given":"Arnaud","non-dropping-particle":"","parse-names":false,"suffix":""}],"container-title":"ACS Chemical Biology","id":"ITEM-1","issue":"7","issued":{"date-parts":[["2015"]]},"page":"1643-1647","title":"Light-Activated Proteolysis for the Spatiotemporal Control of Proteins","type":"article-journal","volume":"10"},"uris":["http://www.mendeley.com/documents/?uuid=3816d364-136c-4932-b431-14489ade0603"]}],"mendeley":{"formattedCitation":"&lt;sup&gt;30&lt;/sup&gt;","plainTextFormattedCitation":"30","previouslyFormattedCitation":"&lt;sup&gt;30&lt;/sup&gt;"},"properties":{"noteIndex":0},"schema":"https://github.com/citation-style-language/schema/raw/master/csl-citation.json"}</w:instrText>
      </w:r>
      <w:r w:rsidR="001C65B7"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30</w:t>
      </w:r>
      <w:r w:rsidR="001C65B7"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The authors developed a photoactivatable version of the plant hormone auxin that promoted the degradation of </w:t>
      </w:r>
      <w:r w:rsidR="008D0E9F" w:rsidRPr="000E0DB5">
        <w:rPr>
          <w:rFonts w:ascii="Arial" w:eastAsia="TimesNewRomanPSMT" w:hAnsi="Arial" w:cs="Arial"/>
          <w:sz w:val="24"/>
          <w:szCs w:val="24"/>
        </w:rPr>
        <w:t xml:space="preserve">an expressed </w:t>
      </w:r>
      <w:r w:rsidRPr="000E0DB5">
        <w:rPr>
          <w:rFonts w:ascii="Arial" w:eastAsia="TimesNewRomanPSMT" w:hAnsi="Arial" w:cs="Arial"/>
          <w:sz w:val="24"/>
          <w:szCs w:val="24"/>
        </w:rPr>
        <w:t>target protein fused to an auxin-inducible degron (AID) sequence. Upon irradiation, the released auxin engaged the AID and recruited an E3 ligase for polyubiquitination and final proteasomal lysis of the fused construct. Although conditional degradation with light was achieved, the system required heterologous expression of a plant-derived protein in a mammalian cell to generate an artificial E3 ligase</w:t>
      </w:r>
      <w:r w:rsidR="008D0E9F" w:rsidRPr="000E0DB5">
        <w:rPr>
          <w:rFonts w:ascii="Arial" w:eastAsia="TimesNewRomanPSMT" w:hAnsi="Arial" w:cs="Arial"/>
          <w:sz w:val="24"/>
          <w:szCs w:val="24"/>
        </w:rPr>
        <w:t xml:space="preserve"> complex</w:t>
      </w:r>
      <w:r w:rsidRPr="000E0DB5">
        <w:rPr>
          <w:rFonts w:ascii="Arial" w:eastAsia="TimesNewRomanPSMT" w:hAnsi="Arial" w:cs="Arial"/>
          <w:sz w:val="24"/>
          <w:szCs w:val="24"/>
        </w:rPr>
        <w:t>. In contrast, several recent reports have described light-induced protein degradation in mammalian cells without engineering the UPS system</w:t>
      </w:r>
      <w:r w:rsidR="008D0E9F" w:rsidRPr="000E0DB5">
        <w:rPr>
          <w:rFonts w:ascii="Arial" w:eastAsia="TimesNewRomanPSMT" w:hAnsi="Arial" w:cs="Arial"/>
          <w:sz w:val="24"/>
          <w:szCs w:val="24"/>
        </w:rPr>
        <w:t xml:space="preserve">, </w:t>
      </w:r>
      <w:r w:rsidRPr="000E0DB5">
        <w:rPr>
          <w:rFonts w:ascii="Arial" w:eastAsia="TimesNewRomanPSMT" w:hAnsi="Arial" w:cs="Arial"/>
          <w:sz w:val="24"/>
          <w:szCs w:val="24"/>
        </w:rPr>
        <w:t xml:space="preserve">by means of bifunctional degraders bearing photolabile </w:t>
      </w:r>
      <w:r w:rsidR="008D0E9F" w:rsidRPr="000E0DB5">
        <w:rPr>
          <w:rFonts w:ascii="Arial" w:eastAsia="TimesNewRomanPSMT" w:hAnsi="Arial" w:cs="Arial"/>
          <w:sz w:val="24"/>
          <w:szCs w:val="24"/>
        </w:rPr>
        <w:t xml:space="preserve">or </w:t>
      </w:r>
      <w:r w:rsidRPr="000E0DB5">
        <w:rPr>
          <w:rFonts w:ascii="Arial" w:eastAsia="TimesNewRomanPSMT" w:hAnsi="Arial" w:cs="Arial"/>
          <w:sz w:val="24"/>
          <w:szCs w:val="24"/>
        </w:rPr>
        <w:t>photoswitchable groups.</w:t>
      </w:r>
      <w:r w:rsidR="001C65B7"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{"citationItems":[{"id":"ITEM-1","itemData":{"DOI":"10.1021/jacs.9b06422","ISSN":"0002-7863","abstract":"Induction of protein degradation is emerging as a powerful strategy to modulate protein functions and alter cellular signaling pathways. Proteolysis-targeting chimeras (PROTACs) have been used to degrade a range of diverse proteins in vitro and in vivo. Here we present a type of photo-caged PROTACs (pc-PROTACs) to induce degradation activity with light. Photo-removable blocking groups were added to a degrader of Brd4, and the resulting molecule pc-PROTAC1 showed potent degradation activity in live cells only after light irradiation. Furthermore, this molecule efficiently degraded Brd4 and induced expected phenotypic changes in zebrafish. Additionally, this approach was successfully applied to construct pc-PROTAC3 of BTK. Thus, a general strategy to induce protein degradation with light was established to augment the chemists’ toolbox to study disease-relevant protein targets.","author":[{"dropping-particle":"","family":"Xue","given":"Gang","non-dropping-particle":"","parse-names":false,"suffix":""},{"dropping-particle":"","family":"Wang","given":"Kun","non-dropping-particle":"","parse-names":false,"suffix":""},{"dropping-particle":"","family":"Zhou","given":"Danli","non-dropping-particle":"","parse-names":false,"suffix":""},{"dropping-particle":"","family":"Zhong","given":"Hanbing","non-dropping-particle":"","parse-names":false,"suffix":""},{"dropping-particle":"","family":"Pan","given":"Zhengying","non-dropping-particle":"","parse-names":false,"suffix":""}],"container-title":"Journal of the American Chemical Society","id":"ITEM-1","issued":{"date-parts":[["2019"]]},"title":"Light-Induced Protein Degradation with Photocaged PROTACs","type":"article-journal"},"uris":["http://www.mendeley.com/documents/?uuid=acfff798-8cbc-46f9-8f8a-8d2087d7f3f3"]},{"id":"ITEM-2","itemData":{"DOI":"10.1021/jacs.9b12718","ISSN":"15205126","abstract":"As an emerging approach to protein perturbation, small molecule-induced protein degradation has gained significant attention as both a chemical tool and a potential therapeutic. To enable discrete control over its function, we have developed a broadly applicable approach for the optical activation of small molecule-induced protein degradation. By installing two different photolabile protecting groups, so-called caging groups, onto two different ligands recruiting Von Hippel-Lindau (VHL) and cereblon (CRBN) E3 ubiquitin ligases, our strategy enables light-triggered protein degradation for any small molecule warhead.","author":[{"dropping-particle":"","family":"Naro","given":"Yuta","non-dropping-particle":"","parse-names":false,"suffix":""},{"dropping-particle":"","family":"Darrah","given":"Kristie","non-dropping-particle":"","parse-names":false,"suffix":""},{"dropping-particle":"","family":"Deiters","given":"Alexander","non-dropping-particle":"","parse-names":false,"suffix":""}],"container-title":"Journal of the American Chemical Society","id":"ITEM-2","issue":"5","issued":{"date-parts":[["2020"]]},"page":"2193-2197","title":"Optical Control of Small Molecule-Induced Protein Degradation","type":"article-journal","volume":"142"},"uris":["http://www.mendeley.com/documents/?uuid=05505e89-223e-4729-aa00-d8d8a5aa3d58"]},{"id":"ITEM-3","itemData":{"DOI":"10.1039/d0cc00523a","ISSN":"1364548X","PMID":"32297626","abstract":"With the intent of achieving greater spatiotemporal control of PROTAC-induced protein degradation, a light-activated degrader was designed by photocaging an essential E3 ligase binding motif in a BRD4 targeting PROTAC. Proteolysis was triggered only after a short irradiation time, the kinetics of which could be monitored by live-cell video microscopy.","author":[{"dropping-particle":"","family":"Kounde","given":"Cyrille S.","non-dropping-particle":"","parse-names":false,"suffix":""},{"dropping-particle":"","family":"Shchepinova","given":"Maria M.","non-dropping-particle":"","parse-names":false,"suffix":""},{"dropping-particle":"","family":"Saunders","given":"Charlie N.","non-dropping-particle":"","parse-names":false,"suffix":""},{"dropping-particle":"","family":"Muelbaier","given":"Marcel","non-dropping-particle":"","parse-names":false,"suffix":""},{"dropping-particle":"","family":"Rackham","given":"Mark D.","non-dropping-particle":"","parse-names":false,"suffix":""},{"dropping-particle":"","family":"Harling","given":"John D.","non-dropping-particle":"","parse-names":false,"suffix":""},{"dropping-particle":"","family":"Tate","given":"Edward W.","non-dropping-particle":"","parse-names":false,"suffix":""}],"container-title":"Chemical Communications","id":"ITEM-3","issue":"41","issued":{"date-parts":[["2020"]]},"page":"5532-5535","publisher":"Royal Society of Chemistry","title":"A caged E3 ligase ligand for PROTAC-mediated protein degradation with light","type":"article-journal","volume":"56"},"uris":["http://www.mendeley.com/documents/?uuid=7274c6e8-d1dd-41bf-b658-410ebca3faad"]},{"id":"ITEM-4","itemData":{"DOI":"10.1126/sciadv.aay5154","ISSN":"23752548","abstract":"By hijacking endogenous E3 ligase to degrade protein targets via the ubiquitin-proteasome system, PROTACs (PRoteolysis TArgeting Chimeras) provide a new strategy to inhibit protein targets that were regarded as undruggable before. However, the catalytic nature of PROTAC potentially leads to uncontrolled degradation that causes systemic toxicity issues, limiting the application of PROTAC in the clinic. Here, we introduce a light-inducible switch on PROTACs, thereafter termed as opto-PROTAC, to enable the degradation of protein targets in a spatiotemporal manner. By adding a photolabile caging group on pomalidomide as a parental compound and two additional PROTACs, dBET1 and dALK, we demonstrated light-inducible protein degradation. These opto-PROTACs display no activities in the dark, while the restricted degradation can be induced at a specific time and rate by ultraviolet A irradiation. Our approach provides a generalizable platform for the development of light-controlled PROTACs and enables PROTAC to be a precision medicine.","author":[{"dropping-particle":"","family":"Liu","given":"Jing","non-dropping-particle":"","parse-names":false,"suffix":""},{"dropping-particle":"","family":"Chen","given":"He","non-dropping-particle":"","parse-names":false,"suffix":""},{"dropping-particle":"","family":"Ma","given":"Leina","non-dropping-particle":"","parse-names":false,"suffix":""},{"dropping-particle":"","family":"He","given":"Zhixiang","non-dropping-particle":"","parse-names":false,"suffix":""},{"dropping-particle":"","family":"Wang","given":"Dong","non-dropping-particle":"","parse-names":false,"suffix":""},{"dropping-particle":"","family":"Liu","given":"Yi","non-dropping-particle":"","parse-names":false,"suffix":""},{"dropping-particle":"","family":"Lin","given":"Qian","non-dropping-particle":"","parse-names":false,"suffix":""},{"dropping-particle":"","family":"Zhang","given":"Tinghu","non-dropping-particle":"","parse-names":false,"suffix":""},{"dropping-particle":"","family":"Gray","given":"Nathanael","non-dropping-particle":"","parse-names":false,"suffix":""},{"dropping-particle":"","family":"Kaniskan","given":"H. Ümit","non-dropping-particle":"","parse-names":false,"suffix":""},{"dropping-particle":"","family":"Jin","given":"Jian","non-dropping-particle":"","parse-names":false,"suffix":""},{"dropping-particle":"","family":"Wei","given":"Wenyi","non-dropping-particle":"","parse-names":false,"suffix":""}],"container-title":"Science Advances","id":"ITEM-4","issue":"8","issued":{"date-parts":[["2020"]]},"page":"1-12","title":"Light-induced control of protein destruction by opto-PROTAC","type":"article-journal","volume":"6"},"uris":["http://www.mendeley.com/documents/?uuid=b9400ffc-c167-4397-ace9-ccb18abc1b3e"]},{"id":"ITEM-5","itemData":{"DOI":"10.1021/acscentsci.9b00713","ISSN":"2374-7943","abstract":"Off-target effects are persistent issues of modern inhibition-based therapies. By merging the strategies of photopharmacology and small molecule degraders, we introduce a novel concept for persistent spatiotemporal control of induced protein degradation that potentially prevents off-target toxicity. Building on the successful principle of bifunctional all-small molecule Proteolysis Targeting Chimeras (PROTACs), we designed photoswitchable PROTACs (photoPROTACs) by including ortho-F4-azobenzene linkers between both warhead ligands. This highly bistable yet photoswitchable structural component leads to reversible control over the topological distance between both ligands. The azo-cis-isomer is observed to be inactive because the distance defined by the linker is prohibitively short to permit complex formation between the protein binding partners. By contrast, the azo-trans-isomer is active because it can engage both protein partners to form the necessary and productive ternary complex. Importantly, due to the bistable nature of the ortho-F4-azobenzene moiety employed, the photostationary state of the photoPROTAC is persistent, with no need for continuous irradiation. This technique offers reversible on/off switching of protein degradation that is compatible with an intracellular environment and, therefore, could be vastly useful in experimental probing of biological signaling pathways – especially those crucial for oncogenic signal transduction. Additionally, this strategy may be suitable for therapeutic implementation in a wide variety of disease phenotypes. By enabling reversible activation and deactivation of protein degradation, photoPROTACs offer advantages over conventional photocaging strategies that irreversibly release active agents.","author":[{"dropping-particle":"","family":"Pfaff","given":"Patrick","non-dropping-particle":"","parse-names":false,"suffix":""},{"dropping-particle":"","family":"Samarasinghe","given":"Kusal T. G.","non-dropping-particle":"","parse-names":false,"suffix":""},{"dropping-particle":"","family":"Crews","given":"Craig M.","non-dropping-particle":"","parse-names":false,"suffix":""},{"dropping-particle":"","family":"Carreira","given":"Erick M.","non-dropping-particle":"","parse-names":false,"suffix":""}],"container-title":"ACS Central Science","id":"ITEM-5","issued":{"date-parts":[["2019"]]},"title":"Reversible Spatiotemporal Control of Induced Protein Degradation by Bistable PhotoPROTACs","type":"article-journal"},"uris":["http://www.mendeley.com/documents/?uuid=a14f581d-92bb-442f-8dad-99ace1b2bd3e"]},{"id":"ITEM-6","itemData":{"DOI":"10.1126/sciadv.aay5064","ISSN":"23752548","abstract":"PROTACs (PROteolysis TArgeting Chimeras) are bifunctional molecules that target proteins for ubiquitylation by an E3 ligase complex and subsequent degradation by the proteasome. They have emerged as powerful tools to control the levels of specific cellular proteins. We now introduce photoswitchable PROTACs that can be activated with the spatiotemporal precision that light provides. These trifunctional molecules, which we named PHOTACs (PHOtochemically TArgeting Chimeras), consist of a ligand for an E3 ligase, a photoswitch, and a ligand for a protein of interest. We demonstrate this concept by using PHOTACs that target either BET family proteins (BRD2,3,4) or FKBP12. Our lead compounds display little or no activity in the dark but can be reversibly activated with different wavelengths of light. Our modular approach provides a method for the optical control of protein levels with photopharmacology and could lead to new types of precision therapeutics that avoid undesired systemic toxicity.","author":[{"dropping-particle":"","family":"Reynders","given":"Martin","non-dropping-particle":"","parse-names":false,"suffix":""},{"dropping-particle":"","family":"Matsuura","given":"Bryan S.","non-dropping-particle":"","parse-names":false,"suffix":""},{"dropping-particle":"","family":"Bérouti","given":"Marleen","non-dropping-particle":"","parse-names":false,"suffix":""},{"dropping-particle":"","family":"Simoneschi","given":"Daniele","non-dropping-particle":"","parse-names":false,"suffix":""},{"dropping-particle":"","family":"Marzio","given":"Antonio","non-dropping-particle":"","parse-names":false,"suffix":""},{"dropping-particle":"","family":"Pagano","given":"Michele","non-dropping-particle":"","parse-names":false,"suffix":""},{"dropping-particle":"","family":"Trauner","given":"Dirk","non-dropping-particle":"","parse-names":false,"suffix":""}],"container-title":"Science Advances","id":"ITEM-6","issue":"8","issued":{"date-parts":[["2020"]]},"title":"PHOTACs enable optical control of protein degradation","type":"article-journal","volume":"6"},"uris":["http://www.mendeley.com/documents/?uuid=975cf789-f684-4dcb-946f-b89ddfa6b008"]},{"id":"ITEM-7","itemData":{"DOI":"10.1021/acs.jmedchem.9b02058","ISSN":"15204804","PMID":"32153174","abstract":"Reversibly altering endogenous protein levels are persistent issues. Herein, we designed photoswitchable azobenzene-proteolysis targeting chimeras (Azo-PROTACs) by including azobenzene moieties between ligands for the E3 ligase and the protein of interest. Azo-PROTACs are light-controlled small-molecule tools for protein knockdown in cells. The light-induced configuration change can switch the active state to induce protein degradation activity, which can be reversely controlled by light exposure in intact cells. We compared the protein degradation abilities of Azo-PROTACs with different configurations and linker lengths. Using the stable form with the best degradation ability against the BCR-ABL fusion and ABL proteins in myelogenous leukemia K562 cells, we showed that Azo-PROTAC combines the potent protein knockdown and facile cell uptake properties of the small-molecule PROTAC with a reversible photoswitchability, offering a promising chemical knockdown strategy based on the light-induced reversible on/off properties.","author":[{"dropping-particle":"","family":"Jin","given":"Yu Hui","non-dropping-particle":"","parse-names":false,"suffix":""},{"dropping-particle":"","family":"Lu","given":"Meng Chen","non-dropping-particle":"","parse-names":false,"suffix":""},{"dropping-particle":"","family":"Wang","given":"Yan","non-dropping-particle":"","parse-names":false,"suffix":""},{"dropping-particle":"","family":"Shan","given":"Wen Xin","non-dropping-particle":"","parse-names":false,"suffix":""},{"dropping-particle":"","family":"Wang","given":"Xuan Yu","non-dropping-particle":"","parse-names":false,"suffix":""},{"dropping-particle":"","family":"You","given":"Qi Dong","non-dropping-particle":"","parse-names":false,"suffix":""},{"dropping-particle":"","family":"Jiang","given":"Zheng Yu","non-dropping-particle":"","parse-names":false,"suffix":""}],"container-title":"Journal of Medicinal Chemistry","id":"ITEM-7","issue":"9","issued":{"date-parts":[["2020"]]},"page":"4644-4654","title":"Azo-protac: Novel light-controlled small-molecule tool for protein knockdown","type":"article-journal","volume":"63"},"uris":["http://www.mendeley.com/documents/?uuid=6f14a23f-7b03-41d9-a739-eeb800f1fbb8"]}],"mendeley":{"formattedCitation":"&lt;sup&gt;31–37&lt;/sup&gt;","plainTextFormattedCitation":"31–37","previouslyFormattedCitation":"&lt;sup&gt;31–37&lt;/sup&gt;"},"properties":{"noteIndex":0},"schema":"https://github.com/citation-style-language/schema/raw/master/csl-citation.json"}</w:instrText>
      </w:r>
      <w:r w:rsidR="001C65B7"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31–37</w:t>
      </w:r>
      <w:r w:rsidR="001C65B7"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Combining the attributes of light and PROTAC degradation has delivered promising results</w:t>
      </w:r>
      <w:r w:rsidR="00E977B3" w:rsidRPr="000E0DB5">
        <w:rPr>
          <w:rFonts w:ascii="Arial" w:eastAsia="TimesNewRomanPSMT" w:hAnsi="Arial" w:cs="Arial"/>
          <w:sz w:val="24"/>
          <w:szCs w:val="24"/>
        </w:rPr>
        <w:t xml:space="preserve"> which have been highlighted</w:t>
      </w:r>
      <w:r w:rsidR="00662591">
        <w:rPr>
          <w:rFonts w:ascii="Arial" w:eastAsia="TimesNewRomanPSMT" w:hAnsi="Arial" w:cs="Arial"/>
          <w:sz w:val="24"/>
          <w:szCs w:val="24"/>
        </w:rPr>
        <w:t xml:space="preserve"> in </w:t>
      </w:r>
      <w:r w:rsidR="00E977B3" w:rsidRPr="000E0DB5">
        <w:rPr>
          <w:rFonts w:ascii="Arial" w:eastAsia="TimesNewRomanPSMT" w:hAnsi="Arial" w:cs="Arial"/>
          <w:sz w:val="24"/>
          <w:szCs w:val="24"/>
        </w:rPr>
        <w:t>concurrent report</w:t>
      </w:r>
      <w:r w:rsidR="00662591">
        <w:rPr>
          <w:rFonts w:ascii="Arial" w:eastAsia="TimesNewRomanPSMT" w:hAnsi="Arial" w:cs="Arial"/>
          <w:sz w:val="24"/>
          <w:szCs w:val="24"/>
        </w:rPr>
        <w:t>s</w:t>
      </w:r>
      <w:r w:rsidRPr="000E0DB5">
        <w:rPr>
          <w:rFonts w:ascii="Arial" w:eastAsia="TimesNewRomanPSMT" w:hAnsi="Arial" w:cs="Arial"/>
          <w:sz w:val="24"/>
          <w:szCs w:val="24"/>
        </w:rPr>
        <w:t>.</w:t>
      </w:r>
      <w:r w:rsidR="00D22BB9" w:rsidRPr="000E0DB5">
        <w:rPr>
          <w:rFonts w:ascii="Arial" w:eastAsia="TimesNewRomanPSMT" w:hAnsi="Arial" w:cs="Arial"/>
          <w:sz w:val="24"/>
          <w:szCs w:val="24"/>
        </w:rPr>
        <w:fldChar w:fldCharType="begin" w:fldLock="1"/>
      </w:r>
      <w:r w:rsidR="009C4AF9">
        <w:rPr>
          <w:rFonts w:ascii="Arial" w:eastAsia="TimesNewRomanPSMT" w:hAnsi="Arial" w:cs="Arial" w:hint="eastAsia"/>
          <w:sz w:val="24"/>
          <w:szCs w:val="24"/>
        </w:rPr>
        <w:instrText>ADDIN CSL_CITATION {"citationItems":[{"id":"ITEM-1","itemData":{"DOI":"10.1002/cmdc.202000249","abstract":"PROTACs are emerging as a powerful strategy for exerting exogenous control over protein levels, allowing small molecules to exploit the ubiquitin</w:instrText>
      </w:r>
      <w:r w:rsidR="009C4AF9">
        <w:rPr>
          <w:rFonts w:ascii="Arial" w:eastAsia="TimesNewRomanPSMT" w:hAnsi="Arial" w:cs="Arial" w:hint="eastAsia"/>
          <w:sz w:val="24"/>
          <w:szCs w:val="24"/>
        </w:rPr>
        <w:instrText>‐</w:instrText>
      </w:r>
      <w:r w:rsidR="009C4AF9">
        <w:rPr>
          <w:rFonts w:ascii="Arial" w:eastAsia="TimesNewRomanPSMT" w:hAnsi="Arial" w:cs="Arial" w:hint="eastAsia"/>
          <w:sz w:val="24"/>
          <w:szCs w:val="24"/>
        </w:rPr>
        <w:instrText>pr</w:instrText>
      </w:r>
      <w:r w:rsidR="009C4AF9">
        <w:rPr>
          <w:rFonts w:ascii="Arial" w:eastAsia="TimesNewRomanPSMT" w:hAnsi="Arial" w:cs="Arial"/>
          <w:sz w:val="24"/>
          <w:szCs w:val="24"/>
        </w:rPr>
        <w:instrText>oteasome pathway for targeted protein degradation. This highlight focuses on the fusion of photochemistry with these bifunctional compounds which has provided a novel pathway for spatiotemporally tuning the activation of PROTACs in the form of their photocaged and photoswitchable versions. Photocaged PROTACs consist of a hindered optolabile group which detaches only on irradiation of specific wavelength, releasing the active PROTAC. These modified PROTACs are inactive in the dark. Photoswitchable PROTACs are photoisomerizable molecules with azobenzene linkages which are active in either of the  cis  or  trans  isomers and obligatorily inactive in the other. The isomers are interconvertible by irradiation with appropriate wavelength of light and relax to the thermodynamically stable isomer in dark or with another wavelength of light. While photocaged PROTACs permit only activation control for protein degradation, photoswitching PROTACs offer reversible activation and deactivation by using suitable wavelengths of light.","author":[{"dropping-particle":"","family":"Manna","given":"Debasish","non-dropping-particle":"","parse-names":false,"suffix":""},{"dropping-particle":"","family":"Verma","given":"Shreya","non-dropping-particle":"","parse-names":false,"suffix":""}],"container-title":"ChemMedChem","id":"ITEM-1","issued":{"date-parts":[["2020"]]},"page":"1-5","title":"Controlling PROTACs With Light","type":"article-journal"},"uris":["http://www.mendeley.com/documents/?uuid=238490fa-f0a8-4c11-b7d3-8dae1e3fd406"]},{"id":"ITEM-2","itemData":{"DOI":"10.1016/j.chembiol.2020.07.020","ISSN":"24519456","abstract":"Summary Targeted protein degradation (TPD) has emerged as an exciting new era in chemical biology and drug discovery. PROteolysis TArgeting Chimera (PROTAC) technology targets cellular proteins for degradation by co-opting the ubiquitin-proteasome system. Over the last 5 years, numerous studies have expanded our understanding of the unique mode of action and advantages of PROTACs, which has in turn spurred interest in both academia and industry to explore PROTACs as a novel therapeutic strategy. In this review, we first highlight the key advantages of PROTACs and then discuss the spatiotemporal regulation of protein degradation. Next, we explore current chemically tractable E3 ligases focusing on expanding the existing repertoire with novel E3 ligases to uncover the full potential of TPD. Collectively, these studies are guiding the development of the PROTAC technology as it emerges as a new modality in precision medicine.","author":[{"dropping-particle":"","family":"Nalawansha","given":"Dhanusha A.","non-dropping-particle":"","parse-names":false,"suffix":""},{"dropping-particle":"","family":"Crews","given":"Craig M.","non-dropping-particle":"","parse-names":false,"suffix":""}],"container-title":"Cell Chemical Biology","id":"ITEM-2","issue":"0","issued":{"date-parts":[["2020"]]},"page":"1-17","publisher":"Elsevier Ltd.","title":"PROTACs: An Emerging Therapeutic Modality in Precision Medicine","type":"article-journal","volume":"0"},"uris":["http://www.mendeley.com/documents/?uuid=1bd53829-3876-4dac-a8db-48f6c2e1c10c"]}],"mendeley":{"formattedCitation":"&lt;sup&gt;38,39&lt;/sup&gt;","plainTextFormattedCitation":"38,39","previouslyFormattedCitation":"&lt;sup&gt;38,39&lt;/sup&gt;"},"properties":{"noteIndex":0},"schema":"https://github.com/citation-style-language/schema/raw/master/csl-citation.json"}</w:instrText>
      </w:r>
      <w:r w:rsidR="00D22BB9"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38,39</w:t>
      </w:r>
      <w:r w:rsidR="00D22BB9"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In this mini</w:t>
      </w:r>
      <w:r w:rsidR="00F122D7" w:rsidRPr="000E0DB5">
        <w:rPr>
          <w:rFonts w:ascii="Arial" w:eastAsia="TimesNewRomanPSMT" w:hAnsi="Arial" w:cs="Arial"/>
          <w:sz w:val="24"/>
          <w:szCs w:val="24"/>
        </w:rPr>
        <w:t>pe</w:t>
      </w:r>
      <w:r w:rsidR="00F765EB" w:rsidRPr="000E0DB5">
        <w:rPr>
          <w:rFonts w:ascii="Arial" w:eastAsia="TimesNewRomanPSMT" w:hAnsi="Arial" w:cs="Arial"/>
          <w:sz w:val="24"/>
          <w:szCs w:val="24"/>
        </w:rPr>
        <w:t>r</w:t>
      </w:r>
      <w:r w:rsidR="00F122D7" w:rsidRPr="000E0DB5">
        <w:rPr>
          <w:rFonts w:ascii="Arial" w:eastAsia="TimesNewRomanPSMT" w:hAnsi="Arial" w:cs="Arial"/>
          <w:sz w:val="24"/>
          <w:szCs w:val="24"/>
        </w:rPr>
        <w:t>spective</w:t>
      </w:r>
      <w:r w:rsidR="00F63C44" w:rsidRPr="000E0DB5">
        <w:rPr>
          <w:rFonts w:ascii="Arial" w:eastAsia="TimesNewRomanPSMT" w:hAnsi="Arial" w:cs="Arial"/>
          <w:sz w:val="24"/>
          <w:szCs w:val="24"/>
        </w:rPr>
        <w:t>,</w:t>
      </w:r>
      <w:r w:rsidRPr="000E0DB5">
        <w:rPr>
          <w:rFonts w:ascii="Arial" w:eastAsia="TimesNewRomanPSMT" w:hAnsi="Arial" w:cs="Arial"/>
          <w:sz w:val="24"/>
          <w:szCs w:val="24"/>
        </w:rPr>
        <w:t xml:space="preserve"> we </w:t>
      </w:r>
      <w:r w:rsidR="00F122D7" w:rsidRPr="000E0DB5">
        <w:rPr>
          <w:rFonts w:ascii="Arial" w:eastAsia="TimesNewRomanPSMT" w:hAnsi="Arial" w:cs="Arial"/>
          <w:sz w:val="24"/>
          <w:szCs w:val="24"/>
        </w:rPr>
        <w:t xml:space="preserve">carefully </w:t>
      </w:r>
      <w:r w:rsidR="00774528" w:rsidRPr="000E0DB5">
        <w:rPr>
          <w:rFonts w:ascii="Arial" w:eastAsia="TimesNewRomanPSMT" w:hAnsi="Arial" w:cs="Arial"/>
          <w:sz w:val="24"/>
          <w:szCs w:val="24"/>
        </w:rPr>
        <w:t>review</w:t>
      </w:r>
      <w:r w:rsidR="00F122D7" w:rsidRPr="000E0DB5">
        <w:rPr>
          <w:rFonts w:ascii="Arial" w:eastAsia="TimesNewRomanPSMT" w:hAnsi="Arial" w:cs="Arial"/>
          <w:sz w:val="24"/>
          <w:szCs w:val="24"/>
        </w:rPr>
        <w:t xml:space="preserve"> </w:t>
      </w:r>
      <w:r w:rsidRPr="000E0DB5">
        <w:rPr>
          <w:rFonts w:ascii="Arial" w:eastAsia="TimesNewRomanPSMT" w:hAnsi="Arial" w:cs="Arial"/>
          <w:sz w:val="24"/>
          <w:szCs w:val="24"/>
        </w:rPr>
        <w:t>the design, p</w:t>
      </w:r>
      <w:r w:rsidR="00F63C44" w:rsidRPr="000E0DB5">
        <w:rPr>
          <w:rFonts w:ascii="Arial" w:eastAsia="TimesNewRomanPSMT" w:hAnsi="Arial" w:cs="Arial"/>
          <w:sz w:val="24"/>
          <w:szCs w:val="24"/>
        </w:rPr>
        <w:t>roperties</w:t>
      </w:r>
      <w:r w:rsidRPr="000E0DB5">
        <w:rPr>
          <w:rFonts w:ascii="Arial" w:eastAsia="TimesNewRomanPSMT" w:hAnsi="Arial" w:cs="Arial"/>
          <w:sz w:val="24"/>
          <w:szCs w:val="24"/>
        </w:rPr>
        <w:t>, and applications</w:t>
      </w:r>
      <w:r w:rsidR="00F122D7" w:rsidRPr="000E0DB5">
        <w:rPr>
          <w:rFonts w:ascii="Arial" w:eastAsia="TimesNewRomanPSMT" w:hAnsi="Arial" w:cs="Arial"/>
          <w:sz w:val="24"/>
          <w:szCs w:val="24"/>
        </w:rPr>
        <w:t xml:space="preserve"> of these novel pre</w:t>
      </w:r>
      <w:r w:rsidR="00527B18" w:rsidRPr="000A6639">
        <w:rPr>
          <w:rFonts w:ascii="Arial" w:eastAsia="TimesNewRomanPSMT" w:hAnsi="Arial" w:cs="Arial"/>
          <w:sz w:val="24"/>
          <w:szCs w:val="24"/>
        </w:rPr>
        <w:t>cis</w:t>
      </w:r>
      <w:r w:rsidR="00F122D7" w:rsidRPr="000E0DB5">
        <w:rPr>
          <w:rFonts w:ascii="Arial" w:eastAsia="TimesNewRomanPSMT" w:hAnsi="Arial" w:cs="Arial"/>
          <w:sz w:val="24"/>
          <w:szCs w:val="24"/>
        </w:rPr>
        <w:t>ion tools</w:t>
      </w:r>
      <w:r w:rsidRPr="000E0DB5">
        <w:rPr>
          <w:rFonts w:ascii="Arial" w:eastAsia="TimesNewRomanPSMT" w:hAnsi="Arial" w:cs="Arial"/>
          <w:sz w:val="24"/>
          <w:szCs w:val="24"/>
        </w:rPr>
        <w:t xml:space="preserve"> as well as the associated challenges and photopharmacology prospects they bring</w:t>
      </w:r>
      <w:r w:rsidR="008D0E9F" w:rsidRPr="000E0DB5">
        <w:rPr>
          <w:rFonts w:ascii="Arial" w:eastAsia="TimesNewRomanPSMT" w:hAnsi="Arial" w:cs="Arial"/>
          <w:sz w:val="24"/>
          <w:szCs w:val="24"/>
        </w:rPr>
        <w:t xml:space="preserve"> to the table</w:t>
      </w:r>
      <w:r w:rsidRPr="000E0DB5">
        <w:rPr>
          <w:rFonts w:ascii="Arial" w:eastAsia="TimesNewRomanPSMT" w:hAnsi="Arial" w:cs="Arial"/>
          <w:sz w:val="24"/>
          <w:szCs w:val="24"/>
        </w:rPr>
        <w:t xml:space="preserve">. </w:t>
      </w:r>
    </w:p>
    <w:p w14:paraId="77B60B83" w14:textId="77777777" w:rsidR="00662591" w:rsidRPr="00662591" w:rsidRDefault="00662591" w:rsidP="00662591">
      <w:pPr>
        <w:jc w:val="right"/>
        <w:rPr>
          <w:rFonts w:ascii="Arial" w:eastAsia="TimesNewRomanPSMT" w:hAnsi="Arial" w:cs="Arial"/>
          <w:sz w:val="24"/>
          <w:szCs w:val="24"/>
        </w:rPr>
      </w:pPr>
    </w:p>
    <w:p w14:paraId="550C7F92" w14:textId="73874C53" w:rsidR="00F40BB9" w:rsidRPr="000E0DB5" w:rsidRDefault="00B16A9E" w:rsidP="00F40BB9">
      <w:pPr>
        <w:autoSpaceDE w:val="0"/>
        <w:autoSpaceDN w:val="0"/>
        <w:adjustRightInd w:val="0"/>
        <w:spacing w:after="0" w:line="480" w:lineRule="auto"/>
        <w:jc w:val="both"/>
        <w:rPr>
          <w:rFonts w:ascii="Arial" w:eastAsia="TimesNewRomanPSMT" w:hAnsi="Arial" w:cs="Arial"/>
          <w:sz w:val="24"/>
          <w:szCs w:val="24"/>
        </w:rPr>
      </w:pPr>
      <w:r w:rsidRPr="000E0DB5">
        <w:rPr>
          <w:rFonts w:ascii="Arial" w:eastAsia="TimesNewRomanPSMT" w:hAnsi="Arial" w:cs="Arial"/>
          <w:sz w:val="24"/>
          <w:szCs w:val="24"/>
        </w:rPr>
        <w:t>Whilst p</w:t>
      </w:r>
      <w:r w:rsidR="00F40BB9" w:rsidRPr="000E0DB5">
        <w:rPr>
          <w:rFonts w:ascii="Arial" w:eastAsia="TimesNewRomanPSMT" w:hAnsi="Arial" w:cs="Arial"/>
          <w:sz w:val="24"/>
          <w:szCs w:val="24"/>
        </w:rPr>
        <w:t>hotoactive bifunctional degraders have been given diverse names and acronyms in the literature, the general terms “caged degrader</w:t>
      </w:r>
      <w:r w:rsidR="008D0E9F" w:rsidRPr="000E0DB5">
        <w:rPr>
          <w:rFonts w:ascii="Arial" w:eastAsia="TimesNewRomanPSMT" w:hAnsi="Arial" w:cs="Arial"/>
          <w:sz w:val="24"/>
          <w:szCs w:val="24"/>
        </w:rPr>
        <w:t xml:space="preserve">” or “caged </w:t>
      </w:r>
      <w:r w:rsidR="00F40BB9" w:rsidRPr="000E0DB5">
        <w:rPr>
          <w:rFonts w:ascii="Arial" w:eastAsia="TimesNewRomanPSMT" w:hAnsi="Arial" w:cs="Arial"/>
          <w:sz w:val="24"/>
          <w:szCs w:val="24"/>
        </w:rPr>
        <w:t>PROTAC”</w:t>
      </w:r>
      <w:r w:rsidR="008D0E9F" w:rsidRPr="000E0DB5">
        <w:rPr>
          <w:rFonts w:ascii="Arial" w:eastAsia="TimesNewRomanPSMT" w:hAnsi="Arial" w:cs="Arial"/>
          <w:sz w:val="24"/>
          <w:szCs w:val="24"/>
        </w:rPr>
        <w:t>,</w:t>
      </w:r>
      <w:r w:rsidR="00F40BB9" w:rsidRPr="000E0DB5">
        <w:rPr>
          <w:rFonts w:ascii="Arial" w:eastAsia="TimesNewRomanPSMT" w:hAnsi="Arial" w:cs="Arial"/>
          <w:sz w:val="24"/>
          <w:szCs w:val="24"/>
        </w:rPr>
        <w:t xml:space="preserve"> and “(photo)switchable </w:t>
      </w:r>
      <w:r w:rsidR="008D0E9F" w:rsidRPr="000E0DB5">
        <w:rPr>
          <w:rFonts w:ascii="Arial" w:eastAsia="TimesNewRomanPSMT" w:hAnsi="Arial" w:cs="Arial"/>
          <w:sz w:val="24"/>
          <w:szCs w:val="24"/>
        </w:rPr>
        <w:t>[</w:t>
      </w:r>
      <w:r w:rsidR="00F40BB9" w:rsidRPr="000E0DB5">
        <w:rPr>
          <w:rFonts w:ascii="Arial" w:eastAsia="TimesNewRomanPSMT" w:hAnsi="Arial" w:cs="Arial"/>
          <w:sz w:val="24"/>
          <w:szCs w:val="24"/>
        </w:rPr>
        <w:t>degrader/PROTAC</w:t>
      </w:r>
      <w:r w:rsidR="008D0E9F" w:rsidRPr="000E0DB5">
        <w:rPr>
          <w:rFonts w:ascii="Arial" w:eastAsia="TimesNewRomanPSMT" w:hAnsi="Arial" w:cs="Arial"/>
          <w:sz w:val="24"/>
          <w:szCs w:val="24"/>
        </w:rPr>
        <w:t>]</w:t>
      </w:r>
      <w:r w:rsidR="00F40BB9" w:rsidRPr="000E0DB5">
        <w:rPr>
          <w:rFonts w:ascii="Arial" w:eastAsia="TimesNewRomanPSMT" w:hAnsi="Arial" w:cs="Arial"/>
          <w:sz w:val="24"/>
          <w:szCs w:val="24"/>
        </w:rPr>
        <w:t>”</w:t>
      </w:r>
      <w:r w:rsidR="008D0E9F" w:rsidRPr="000E0DB5">
        <w:rPr>
          <w:rFonts w:ascii="Arial" w:eastAsia="TimesNewRomanPSMT" w:hAnsi="Arial" w:cs="Arial"/>
          <w:sz w:val="24"/>
          <w:szCs w:val="24"/>
        </w:rPr>
        <w:t>,</w:t>
      </w:r>
      <w:r w:rsidR="00F40BB9" w:rsidRPr="000E0DB5">
        <w:rPr>
          <w:rFonts w:ascii="Arial" w:eastAsia="TimesNewRomanPSMT" w:hAnsi="Arial" w:cs="Arial"/>
          <w:sz w:val="24"/>
          <w:szCs w:val="24"/>
        </w:rPr>
        <w:t xml:space="preserve"> will be used in this report for consistency and clarity.</w:t>
      </w:r>
    </w:p>
    <w:p w14:paraId="2E2C7AE7" w14:textId="7B73B513" w:rsidR="0033334A" w:rsidRPr="000E0DB5" w:rsidRDefault="0033334A" w:rsidP="00F40BB9">
      <w:pPr>
        <w:autoSpaceDE w:val="0"/>
        <w:autoSpaceDN w:val="0"/>
        <w:adjustRightInd w:val="0"/>
        <w:spacing w:after="0" w:line="480" w:lineRule="auto"/>
        <w:jc w:val="both"/>
        <w:rPr>
          <w:rFonts w:ascii="Arial" w:eastAsia="TimesNewRomanPSMT" w:hAnsi="Arial" w:cs="Arial"/>
          <w:sz w:val="24"/>
          <w:szCs w:val="24"/>
        </w:rPr>
      </w:pPr>
    </w:p>
    <w:p w14:paraId="1C0941B0" w14:textId="1937BEDE" w:rsidR="000A29A6" w:rsidRPr="000E0DB5" w:rsidRDefault="00CC4C3B" w:rsidP="00F40BB9">
      <w:pPr>
        <w:autoSpaceDE w:val="0"/>
        <w:autoSpaceDN w:val="0"/>
        <w:adjustRightInd w:val="0"/>
        <w:spacing w:after="0" w:line="480" w:lineRule="auto"/>
        <w:jc w:val="both"/>
        <w:rPr>
          <w:rFonts w:ascii="Arial" w:eastAsia="TimesNewRomanPSMT" w:hAnsi="Arial" w:cs="Arial"/>
          <w:b/>
          <w:bCs/>
          <w:sz w:val="24"/>
          <w:szCs w:val="24"/>
        </w:rPr>
      </w:pPr>
      <w:r>
        <w:rPr>
          <w:rFonts w:ascii="Arial" w:eastAsia="TimesNewRomanPSMT" w:hAnsi="Arial" w:cs="Arial"/>
          <w:b/>
          <w:bCs/>
          <w:sz w:val="24"/>
          <w:szCs w:val="24"/>
        </w:rPr>
        <w:t xml:space="preserve">2. </w:t>
      </w:r>
      <w:r w:rsidR="0033334A" w:rsidRPr="000E0DB5">
        <w:rPr>
          <w:rFonts w:ascii="Arial" w:eastAsia="TimesNewRomanPSMT" w:hAnsi="Arial" w:cs="Arial"/>
          <w:b/>
          <w:bCs/>
          <w:sz w:val="24"/>
          <w:szCs w:val="24"/>
        </w:rPr>
        <w:t>C</w:t>
      </w:r>
      <w:r w:rsidR="001332FA" w:rsidRPr="000E0DB5">
        <w:rPr>
          <w:rFonts w:ascii="Arial" w:eastAsia="TimesNewRomanPSMT" w:hAnsi="Arial" w:cs="Arial"/>
          <w:b/>
          <w:bCs/>
          <w:sz w:val="24"/>
          <w:szCs w:val="24"/>
        </w:rPr>
        <w:t>AGED DEGRADERS: IRREVERSIBLE ACTIVATION</w:t>
      </w:r>
    </w:p>
    <w:p w14:paraId="0EBAE978" w14:textId="5FE6A460" w:rsidR="0033334A" w:rsidRPr="000E0DB5" w:rsidRDefault="0033334A" w:rsidP="00F40BB9">
      <w:pPr>
        <w:autoSpaceDE w:val="0"/>
        <w:autoSpaceDN w:val="0"/>
        <w:adjustRightInd w:val="0"/>
        <w:spacing w:after="0" w:line="480" w:lineRule="auto"/>
        <w:jc w:val="both"/>
        <w:rPr>
          <w:rFonts w:ascii="Arial" w:eastAsia="TimesNewRomanPSMT" w:hAnsi="Arial" w:cs="Arial"/>
          <w:b/>
          <w:bCs/>
          <w:sz w:val="24"/>
          <w:szCs w:val="24"/>
        </w:rPr>
      </w:pPr>
      <w:r w:rsidRPr="000E0DB5">
        <w:rPr>
          <w:rFonts w:ascii="Arial" w:eastAsia="TimesNewRomanPSMT" w:hAnsi="Arial" w:cs="Arial"/>
          <w:sz w:val="24"/>
          <w:szCs w:val="24"/>
        </w:rPr>
        <w:t xml:space="preserve">The first strategy investigated to control PROTAC activity with light </w:t>
      </w:r>
      <w:r w:rsidR="00634725" w:rsidRPr="000E0DB5">
        <w:rPr>
          <w:rFonts w:ascii="Arial" w:eastAsia="TimesNewRomanPSMT" w:hAnsi="Arial" w:cs="Arial"/>
          <w:sz w:val="24"/>
          <w:szCs w:val="24"/>
        </w:rPr>
        <w:t>use</w:t>
      </w:r>
      <w:r w:rsidR="00D13177" w:rsidRPr="000E0DB5">
        <w:rPr>
          <w:rFonts w:ascii="Arial" w:eastAsia="TimesNewRomanPSMT" w:hAnsi="Arial" w:cs="Arial"/>
          <w:sz w:val="24"/>
          <w:szCs w:val="24"/>
        </w:rPr>
        <w:t>d</w:t>
      </w:r>
      <w:r w:rsidR="00634725" w:rsidRPr="000E0DB5">
        <w:rPr>
          <w:rFonts w:ascii="Arial" w:eastAsia="TimesNewRomanPSMT" w:hAnsi="Arial" w:cs="Arial"/>
          <w:sz w:val="24"/>
          <w:szCs w:val="24"/>
        </w:rPr>
        <w:t xml:space="preserve"> </w:t>
      </w:r>
      <w:r w:rsidRPr="000E0DB5">
        <w:rPr>
          <w:rFonts w:ascii="Arial" w:eastAsia="TimesNewRomanPSMT" w:hAnsi="Arial" w:cs="Arial"/>
          <w:sz w:val="24"/>
          <w:szCs w:val="24"/>
        </w:rPr>
        <w:t>a photosensitive appendage on one side of the</w:t>
      </w:r>
      <w:r w:rsidR="000A29A6" w:rsidRPr="000E0DB5">
        <w:rPr>
          <w:rFonts w:ascii="Arial" w:eastAsia="TimesNewRomanPSMT" w:hAnsi="Arial" w:cs="Arial"/>
          <w:sz w:val="24"/>
          <w:szCs w:val="24"/>
        </w:rPr>
        <w:t xml:space="preserve"> bifunctional molecule to generate an inactive degrader (Figure 1A). Upon irradiation with UV light, an active degrader is irreversibly released to trigger the disposal of the studied protein. To qualify as suitable chemical tools</w:t>
      </w:r>
      <w:r w:rsidR="00CA1F57" w:rsidRPr="000E0DB5">
        <w:rPr>
          <w:rFonts w:ascii="Arial" w:eastAsia="TimesNewRomanPSMT" w:hAnsi="Arial" w:cs="Arial"/>
          <w:sz w:val="24"/>
          <w:szCs w:val="24"/>
        </w:rPr>
        <w:t xml:space="preserve"> for biological investigation</w:t>
      </w:r>
      <w:r w:rsidR="000A29A6" w:rsidRPr="000E0DB5">
        <w:rPr>
          <w:rFonts w:ascii="Arial" w:eastAsia="TimesNewRomanPSMT" w:hAnsi="Arial" w:cs="Arial"/>
          <w:sz w:val="24"/>
          <w:szCs w:val="24"/>
        </w:rPr>
        <w:t xml:space="preserve">, </w:t>
      </w:r>
      <w:r w:rsidR="000A29A6" w:rsidRPr="000E0DB5">
        <w:rPr>
          <w:rFonts w:ascii="Arial" w:eastAsia="TimesNewRomanPSMT" w:hAnsi="Arial" w:cs="Arial"/>
          <w:bCs/>
          <w:sz w:val="24"/>
          <w:szCs w:val="24"/>
        </w:rPr>
        <w:t>the designed</w:t>
      </w:r>
      <w:r w:rsidR="000A29A6" w:rsidRPr="000E0DB5">
        <w:rPr>
          <w:rFonts w:ascii="Arial" w:eastAsia="TimesNewRomanPSMT" w:hAnsi="Arial" w:cs="Arial"/>
          <w:sz w:val="24"/>
          <w:szCs w:val="24"/>
        </w:rPr>
        <w:t xml:space="preserve"> caged molecules should be cell permeable,</w:t>
      </w:r>
      <w:r w:rsidR="001C505C" w:rsidRPr="000E0DB5">
        <w:rPr>
          <w:rFonts w:ascii="Arial" w:eastAsia="TimesNewRomanPSMT" w:hAnsi="Arial" w:cs="Arial"/>
          <w:sz w:val="24"/>
          <w:szCs w:val="24"/>
        </w:rPr>
        <w:t xml:space="preserve"> </w:t>
      </w:r>
      <w:r w:rsidR="00C31B50" w:rsidRPr="000E0DB5">
        <w:rPr>
          <w:rFonts w:ascii="Arial" w:eastAsia="TimesNewRomanPSMT" w:hAnsi="Arial" w:cs="Arial"/>
          <w:sz w:val="24"/>
          <w:szCs w:val="24"/>
        </w:rPr>
        <w:t xml:space="preserve">primarily </w:t>
      </w:r>
      <w:r w:rsidR="000A29A6" w:rsidRPr="000E0DB5">
        <w:rPr>
          <w:rFonts w:ascii="Arial" w:eastAsia="TimesNewRomanPSMT" w:hAnsi="Arial" w:cs="Arial"/>
          <w:sz w:val="24"/>
          <w:szCs w:val="24"/>
        </w:rPr>
        <w:t>inert as degraders and stable intracellularly before photolysis. Moreover, release of the active degrader should occur in high yield after a minimal irradiation time.</w:t>
      </w:r>
      <w:r w:rsidR="001C505C"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{"citationItems":[{"id":"ITEM-1","itemData":{"DOI":"10.1002/anie.200600387","ISSN":"14337851","abstract":"Biologically active compounds which are light-responsive offer experimental possibilities which are otherwise very difficult to achieve. Since light can be manipulated very precisely, for example, with lasers and microscopes rapid jumps in concentration of the active form of molecules are possible with exact control of the area, time, and dosage. The development of such strategies started in the 1970s. This review summarizes new developments of the last five years and deals with \"small molecules\", proteins, and nucleic acids which can either be irreversibly activated with light (these compounds are referred to as \"caged compounds\") or reversibly switched between an active and an inactive state. © 2006 Wiley-VCH Verlag GmbH &amp; Co. KGaA.","author":[{"dropping-particle":"","family":"Mayer","given":"Günter","non-dropping-particle":"","parse-names":false,"suffix":""},{"dropping-particle":"","family":"Hechel","given":"Alexander","non-dropping-particle":"","parse-names":false,"suffix":""}],"container-title":"Angewandte Chemie - International Edition","id":"ITEM-1","issue":"30","issued":{"date-parts":[["2006"]]},"page":"4900-4921","title":"Biologically active molecules with a \"light switch\"","type":"article-journal","volume":"45"},"uris":["http://www.mendeley.com/documents/?uuid=fa074807-55d6-4018-8906-3f4a1c45a115"]}],"mendeley":{"formattedCitation":"&lt;sup&gt;40&lt;/sup&gt;","plainTextFormattedCitation":"40","previouslyFormattedCitation":"&lt;sup&gt;40&lt;/sup&gt;"},"properties":{"noteIndex":0},"schema":"https://github.com/citation-style-language/schema/raw/master/csl-citation.json"}</w:instrText>
      </w:r>
      <w:r w:rsidR="001C505C"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40</w:t>
      </w:r>
      <w:r w:rsidR="001C505C" w:rsidRPr="000E0DB5">
        <w:rPr>
          <w:rFonts w:ascii="Arial" w:eastAsia="TimesNewRomanPSMT" w:hAnsi="Arial" w:cs="Arial"/>
          <w:sz w:val="24"/>
          <w:szCs w:val="24"/>
        </w:rPr>
        <w:fldChar w:fldCharType="end"/>
      </w:r>
    </w:p>
    <w:p w14:paraId="6BC4F637" w14:textId="77777777" w:rsidR="00046A17" w:rsidRPr="000E0DB5" w:rsidRDefault="00046A17" w:rsidP="00F40BB9">
      <w:pPr>
        <w:autoSpaceDE w:val="0"/>
        <w:autoSpaceDN w:val="0"/>
        <w:adjustRightInd w:val="0"/>
        <w:spacing w:after="0" w:line="480" w:lineRule="auto"/>
        <w:jc w:val="both"/>
        <w:rPr>
          <w:rFonts w:ascii="Arial" w:eastAsia="TimesNewRomanPSMT" w:hAnsi="Arial" w:cs="Arial"/>
          <w:b/>
          <w:bCs/>
          <w:sz w:val="24"/>
          <w:szCs w:val="24"/>
        </w:rPr>
      </w:pPr>
    </w:p>
    <w:p w14:paraId="001FEBD4" w14:textId="69D06623" w:rsidR="001C505C" w:rsidRPr="00A7193E" w:rsidRDefault="00A7193E" w:rsidP="00BD5823">
      <w:pPr>
        <w:autoSpaceDE w:val="0"/>
        <w:autoSpaceDN w:val="0"/>
        <w:adjustRightInd w:val="0"/>
        <w:spacing w:after="0" w:line="480" w:lineRule="auto"/>
        <w:jc w:val="both"/>
        <w:rPr>
          <w:rFonts w:ascii="Arial" w:eastAsia="TimesNewRomanPSMT" w:hAnsi="Arial" w:cs="Arial"/>
          <w:bCs/>
          <w:sz w:val="24"/>
          <w:szCs w:val="24"/>
        </w:rPr>
      </w:pPr>
      <w:r w:rsidRPr="00A7193E">
        <w:rPr>
          <w:rFonts w:ascii="Arial" w:eastAsia="TimesNewRomanPSMT" w:hAnsi="Arial" w:cs="Arial"/>
          <w:bCs/>
          <w:sz w:val="24"/>
          <w:szCs w:val="24"/>
        </w:rPr>
        <w:t>2.</w:t>
      </w:r>
      <w:r>
        <w:rPr>
          <w:rFonts w:ascii="Arial" w:eastAsia="TimesNewRomanPSMT" w:hAnsi="Arial" w:cs="Arial"/>
          <w:bCs/>
          <w:sz w:val="24"/>
          <w:szCs w:val="24"/>
        </w:rPr>
        <w:t>1</w:t>
      </w:r>
      <w:r w:rsidRPr="00A7193E">
        <w:rPr>
          <w:rFonts w:ascii="Arial" w:eastAsia="TimesNewRomanPSMT" w:hAnsi="Arial" w:cs="Arial"/>
          <w:bCs/>
          <w:sz w:val="24"/>
          <w:szCs w:val="24"/>
        </w:rPr>
        <w:t xml:space="preserve"> </w:t>
      </w:r>
      <w:r w:rsidR="000A29A6" w:rsidRPr="00A7193E">
        <w:rPr>
          <w:rFonts w:ascii="Arial" w:eastAsia="TimesNewRomanPSMT" w:hAnsi="Arial" w:cs="Arial"/>
          <w:bCs/>
          <w:sz w:val="24"/>
          <w:szCs w:val="24"/>
        </w:rPr>
        <w:t>C</w:t>
      </w:r>
      <w:r w:rsidR="001928A8" w:rsidRPr="00A7193E">
        <w:rPr>
          <w:rFonts w:ascii="Arial" w:eastAsia="TimesNewRomanPSMT" w:hAnsi="Arial" w:cs="Arial"/>
          <w:bCs/>
          <w:sz w:val="24"/>
          <w:szCs w:val="24"/>
        </w:rPr>
        <w:t>AGING THE CHIMERA: HEAD</w:t>
      </w:r>
      <w:r w:rsidR="00D13177" w:rsidRPr="00A7193E">
        <w:rPr>
          <w:rFonts w:ascii="Arial" w:eastAsia="TimesNewRomanPSMT" w:hAnsi="Arial" w:cs="Arial"/>
          <w:bCs/>
          <w:sz w:val="24"/>
          <w:szCs w:val="24"/>
        </w:rPr>
        <w:t>S</w:t>
      </w:r>
      <w:r w:rsidR="001928A8" w:rsidRPr="00A7193E">
        <w:rPr>
          <w:rFonts w:ascii="Arial" w:eastAsia="TimesNewRomanPSMT" w:hAnsi="Arial" w:cs="Arial"/>
          <w:bCs/>
          <w:sz w:val="24"/>
          <w:szCs w:val="24"/>
        </w:rPr>
        <w:t xml:space="preserve"> OR TAIL</w:t>
      </w:r>
      <w:r w:rsidR="00D13177" w:rsidRPr="00A7193E">
        <w:rPr>
          <w:rFonts w:ascii="Arial" w:eastAsia="TimesNewRomanPSMT" w:hAnsi="Arial" w:cs="Arial"/>
          <w:bCs/>
          <w:sz w:val="24"/>
          <w:szCs w:val="24"/>
        </w:rPr>
        <w:t>S</w:t>
      </w:r>
      <w:r w:rsidR="001928A8" w:rsidRPr="00A7193E">
        <w:rPr>
          <w:rFonts w:ascii="Arial" w:eastAsia="TimesNewRomanPSMT" w:hAnsi="Arial" w:cs="Arial"/>
          <w:bCs/>
          <w:sz w:val="24"/>
          <w:szCs w:val="24"/>
        </w:rPr>
        <w:t>?</w:t>
      </w:r>
    </w:p>
    <w:p w14:paraId="4D7EBC88" w14:textId="50644BD3" w:rsidR="00E911B7" w:rsidRDefault="000A29A6" w:rsidP="00832F22">
      <w:pPr>
        <w:autoSpaceDE w:val="0"/>
        <w:autoSpaceDN w:val="0"/>
        <w:adjustRightInd w:val="0"/>
        <w:spacing w:after="0" w:line="480" w:lineRule="auto"/>
        <w:jc w:val="both"/>
        <w:rPr>
          <w:rFonts w:ascii="Arial" w:eastAsia="TimesNewRomanPSMT" w:hAnsi="Arial" w:cs="Arial"/>
          <w:sz w:val="24"/>
          <w:szCs w:val="24"/>
        </w:rPr>
      </w:pPr>
      <w:r w:rsidRPr="000E0DB5">
        <w:rPr>
          <w:rFonts w:ascii="Arial" w:eastAsia="TimesNewRomanPSMT" w:hAnsi="Arial" w:cs="Arial"/>
          <w:sz w:val="24"/>
          <w:szCs w:val="24"/>
        </w:rPr>
        <w:t>The caged PROTACs reviewed here consist of a ligand for a specific target connected to one of the two most frequently used E3 ligase binders</w:t>
      </w:r>
      <w:r w:rsidR="00D77DB7" w:rsidRPr="000E0DB5">
        <w:rPr>
          <w:rFonts w:ascii="Arial" w:eastAsia="TimesNewRomanPSMT" w:hAnsi="Arial" w:cs="Arial"/>
          <w:sz w:val="24"/>
          <w:szCs w:val="24"/>
        </w:rPr>
        <w:t xml:space="preserve"> for</w:t>
      </w:r>
      <w:r w:rsidRPr="000E0DB5">
        <w:rPr>
          <w:rFonts w:ascii="Arial" w:eastAsia="TimesNewRomanPSMT" w:hAnsi="Arial" w:cs="Arial"/>
          <w:sz w:val="24"/>
          <w:szCs w:val="24"/>
        </w:rPr>
        <w:t xml:space="preserve"> </w:t>
      </w:r>
      <w:r w:rsidR="008D794F" w:rsidRPr="000E0DB5">
        <w:rPr>
          <w:rFonts w:ascii="Arial" w:eastAsia="TimesNewRomanPSMT" w:hAnsi="Arial" w:cs="Arial"/>
          <w:sz w:val="24"/>
          <w:szCs w:val="24"/>
        </w:rPr>
        <w:t>Cereblon</w:t>
      </w:r>
      <w:r w:rsidRPr="000E0DB5">
        <w:rPr>
          <w:rFonts w:ascii="Arial" w:eastAsia="TimesNewRomanPSMT" w:hAnsi="Arial" w:cs="Arial"/>
          <w:sz w:val="24"/>
          <w:szCs w:val="24"/>
        </w:rPr>
        <w:t xml:space="preserve"> </w:t>
      </w:r>
      <w:r w:rsidR="00050052">
        <w:rPr>
          <w:rFonts w:ascii="Arial" w:eastAsia="TimesNewRomanPSMT" w:hAnsi="Arial" w:cs="Arial"/>
          <w:sz w:val="24"/>
          <w:szCs w:val="24"/>
        </w:rPr>
        <w:t xml:space="preserve">(CRBN) </w:t>
      </w:r>
      <w:r w:rsidRPr="000E0DB5">
        <w:rPr>
          <w:rFonts w:ascii="Arial" w:eastAsia="TimesNewRomanPSMT" w:hAnsi="Arial" w:cs="Arial"/>
          <w:sz w:val="24"/>
          <w:szCs w:val="24"/>
        </w:rPr>
        <w:t>or von Hippel-Lindau (VHL) (Figure 1B). Since the binding mode</w:t>
      </w:r>
      <w:r w:rsidR="00D77DB7" w:rsidRPr="000E0DB5">
        <w:rPr>
          <w:rFonts w:ascii="Arial" w:eastAsia="TimesNewRomanPSMT" w:hAnsi="Arial" w:cs="Arial"/>
          <w:sz w:val="24"/>
          <w:szCs w:val="24"/>
        </w:rPr>
        <w:t>s</w:t>
      </w:r>
      <w:r w:rsidRPr="000E0DB5">
        <w:rPr>
          <w:rFonts w:ascii="Arial" w:eastAsia="TimesNewRomanPSMT" w:hAnsi="Arial" w:cs="Arial"/>
          <w:sz w:val="24"/>
          <w:szCs w:val="24"/>
        </w:rPr>
        <w:t xml:space="preserve"> of </w:t>
      </w:r>
      <w:r w:rsidR="00D77DB7" w:rsidRPr="000E0DB5">
        <w:rPr>
          <w:rFonts w:ascii="Arial" w:eastAsia="TimesNewRomanPSMT" w:hAnsi="Arial" w:cs="Arial"/>
          <w:sz w:val="24"/>
          <w:szCs w:val="24"/>
        </w:rPr>
        <w:t xml:space="preserve">these </w:t>
      </w:r>
      <w:r w:rsidRPr="000E0DB5">
        <w:rPr>
          <w:rFonts w:ascii="Arial" w:eastAsia="TimesNewRomanPSMT" w:hAnsi="Arial" w:cs="Arial"/>
          <w:sz w:val="24"/>
          <w:szCs w:val="24"/>
        </w:rPr>
        <w:t xml:space="preserve">E3 ligands for </w:t>
      </w:r>
      <w:r w:rsidR="00D77DB7" w:rsidRPr="000E0DB5">
        <w:rPr>
          <w:rFonts w:ascii="Arial" w:eastAsia="TimesNewRomanPSMT" w:hAnsi="Arial" w:cs="Arial"/>
          <w:sz w:val="24"/>
          <w:szCs w:val="24"/>
        </w:rPr>
        <w:t xml:space="preserve">the </w:t>
      </w:r>
      <w:r w:rsidRPr="000E0DB5">
        <w:rPr>
          <w:rFonts w:ascii="Arial" w:eastAsia="TimesNewRomanPSMT" w:hAnsi="Arial" w:cs="Arial"/>
          <w:sz w:val="24"/>
          <w:szCs w:val="24"/>
        </w:rPr>
        <w:t>respective ubiquitin</w:t>
      </w:r>
      <w:r w:rsidR="00D77DB7" w:rsidRPr="000E0DB5">
        <w:rPr>
          <w:rFonts w:ascii="Arial" w:eastAsia="TimesNewRomanPSMT" w:hAnsi="Arial" w:cs="Arial"/>
          <w:sz w:val="24"/>
          <w:szCs w:val="24"/>
        </w:rPr>
        <w:t xml:space="preserve"> </w:t>
      </w:r>
      <w:r w:rsidRPr="000E0DB5">
        <w:rPr>
          <w:rFonts w:ascii="Arial" w:eastAsia="TimesNewRomanPSMT" w:hAnsi="Arial" w:cs="Arial"/>
          <w:sz w:val="24"/>
          <w:szCs w:val="24"/>
        </w:rPr>
        <w:t xml:space="preserve">ligase </w:t>
      </w:r>
      <w:r w:rsidR="00D77DB7" w:rsidRPr="000E0DB5">
        <w:rPr>
          <w:rFonts w:ascii="Arial" w:eastAsia="TimesNewRomanPSMT" w:hAnsi="Arial" w:cs="Arial"/>
          <w:sz w:val="24"/>
          <w:szCs w:val="24"/>
        </w:rPr>
        <w:t xml:space="preserve">are </w:t>
      </w:r>
      <w:r w:rsidRPr="000E0DB5">
        <w:rPr>
          <w:rFonts w:ascii="Arial" w:eastAsia="TimesNewRomanPSMT" w:hAnsi="Arial" w:cs="Arial"/>
          <w:sz w:val="24"/>
          <w:szCs w:val="24"/>
        </w:rPr>
        <w:t xml:space="preserve">well understood, notably through the -NH of the glutarimide group </w:t>
      </w:r>
      <w:r w:rsidR="00D77DB7" w:rsidRPr="000E0DB5">
        <w:rPr>
          <w:rFonts w:ascii="Arial" w:eastAsia="TimesNewRomanPSMT" w:hAnsi="Arial" w:cs="Arial"/>
          <w:sz w:val="24"/>
          <w:szCs w:val="24"/>
        </w:rPr>
        <w:t xml:space="preserve">of </w:t>
      </w:r>
      <w:r w:rsidRPr="000E0DB5">
        <w:rPr>
          <w:rFonts w:ascii="Arial" w:eastAsia="TimesNewRomanPSMT" w:hAnsi="Arial" w:cs="Arial"/>
          <w:sz w:val="24"/>
          <w:szCs w:val="24"/>
        </w:rPr>
        <w:t>thalidomide</w:t>
      </w:r>
      <w:r w:rsidR="0056585F"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{"citationItems":[{"id":"ITEM-1","itemData":{"DOI":"10.1038/nature13527","ISSN":"14764687","abstract":"In the 1950s, the drug thalidomide, administered as a sedative to pregnant women, led to the birth of thousands of children with multiple defects. Despite the teratogenicity of thalidomide and its derivatives lenalidomide and pomalidomide, these immunomodulatory drugs (IMiDs) recently emerged as effective treatments for multiple myeloma and 5q-deletion-associated dysplasia. IMiDs target the E3 ubiquitin ligase CUL4-RBX1-DDB1-CRBN (known as CRL4 CRBN) and promote the ubiquitination of the IKAROS family transcription factors IKZF1 and IKZF3 by CRL4CRBN. Here we present crystal structures of the DDB1-CRBN complex bound to thalidomide, lenalidomide and pomalidomide. The structure establishes that CRBN is a substrate receptor within CRL4CRBN and enantioselectively binds IMiDs. Using an unbiased screen, we identified the homeobox transcription factor MEIS2 as an endogenous substrate of CRL4CRBN. Our studies suggest that IMiDs block endogenous substrates (MEIS2) from binding to CRL4CRBN while the ligase complex is recruiting IKZF1 or IKZF3 for degradation. This dual activity implies that small molecules can modulate an E3 ubiquitin ligase and thereby upregulate or downregulate the ubiquitination of proteins. © 2014 Macmillan Publishers Limited. All rights reserved.","author":[{"dropping-particle":"","family":"Fischer","given":"Eric S.","non-dropping-particle":"","parse-names":false,"suffix":""},{"dropping-particle":"","family":"Böhm","given":"Kerstin","non-dropping-particle":"","parse-names":false,"suffix":""},{"dropping-particle":"","family":"Lydeard","given":"John R.","non-dropping-particle":"","parse-names":false,"suffix":""},{"dropping-particle":"","family":"Yang","given":"Haidi","non-dropping-particle":"","parse-names":false,"suffix":""},{"dropping-particle":"","family":"Stadler","given":"Michael B.","non-dropping-particle":"","parse-names":false,"suffix":""},{"dropping-particle":"","family":"Cavadini","given":"Simone","non-dropping-particle":"","parse-names":false,"suffix":""},{"dropping-particle":"","family":"Nagel","given":"Jane","non-dropping-particle":"","parse-names":false,"suffix":""},{"dropping-particle":"","family":"Serluca","given":"Fabrizio","non-dropping-particle":"","parse-names":false,"suffix":""},{"dropping-particle":"","family":"Acker","given":"Vincent","non-dropping-particle":"","parse-names":false,"suffix":""},{"dropping-particle":"","family":"Lingaraju","given":"Gondichatnahalli M.","non-dropping-particle":"","parse-names":false,"suffix":""},{"dropping-particle":"","family":"Tichkule","given":"Ritesh B.","non-dropping-particle":"","parse-names":false,"suffix":""},{"dropping-particle":"","family":"Schebesta","given":"Michael","non-dropping-particle":"","parse-names":false,"suffix":""},{"dropping-particle":"","family":"Forrester","given":"William C.","non-dropping-particle":"","parse-names":false,"suffix":""},{"dropping-particle":"","family":"Schirle","given":"Markus","non-dropping-particle":"","parse-names":false,"suffix":""},{"dropping-particle":"","family":"Hassiepen","given":"Ulrich","non-dropping-particle":"","parse-names":false,"suffix":""},{"dropping-particle":"","family":"Ottl","given":"Johannes","non-dropping-particle":"","parse-names":false,"suffix":""},{"dropping-particle":"","family":"Hild","given":"Marc","non-dropping-particle":"","parse-names":false,"suffix":""},{"dropping-particle":"","family":"Beckwith","given":"Rohan E.J.","non-dropping-particle":"","parse-names":false,"suffix":""},{"dropping-particle":"","family":"Harper","given":"J. Wade","non-dropping-particle":"","parse-names":false,"suffix":""},{"dropping-particle":"","family":"Jenkins","given":"Jeremy L.","non-dropping-particle":"","parse-names":false,"suffix":""},{"dropping-particle":"","family":"Thomä","given":"Nicolas H.","non-dropping-particle":"","parse-names":false,"suffix":""}],"container-title":"Nature","id":"ITEM-1","issue":"1","issued":{"date-parts":[["2014"]]},"page":"49-53","title":"Structure of the DDB1-CRBN E3 ubiquitin ligase in complex with thalidomide","type":"article-journal","volume":"512"},"uris":["http://www.mendeley.com/documents/?uuid=4012bf2b-518a-4a28-8d5d-2ff6ad07cfbe"]}],"mendeley":{"formattedCitation":"&lt;sup&gt;11&lt;/sup&gt;","plainTextFormattedCitation":"11","previouslyFormattedCitation":"&lt;sup&gt;11&lt;/sup&gt;"},"properties":{"noteIndex":0},"schema":"https://github.com/citation-style-language/schema/raw/master/csl-citation.json"}</w:instrText>
      </w:r>
      <w:r w:rsidR="0056585F"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11</w:t>
      </w:r>
      <w:r w:rsidR="0056585F"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and the hydroxyl group </w:t>
      </w:r>
      <w:r w:rsidR="00D77DB7" w:rsidRPr="000E0DB5">
        <w:rPr>
          <w:rFonts w:ascii="Arial" w:eastAsia="TimesNewRomanPSMT" w:hAnsi="Arial" w:cs="Arial"/>
          <w:sz w:val="24"/>
          <w:szCs w:val="24"/>
        </w:rPr>
        <w:t xml:space="preserve">of </w:t>
      </w:r>
      <w:r w:rsidRPr="000E0DB5">
        <w:rPr>
          <w:rFonts w:ascii="Arial" w:eastAsia="TimesNewRomanPSMT" w:hAnsi="Arial" w:cs="Arial"/>
          <w:sz w:val="24"/>
          <w:szCs w:val="24"/>
        </w:rPr>
        <w:t>the VHL ligand,</w:t>
      </w:r>
      <w:r w:rsidR="0056585F"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{"citationItems":[{"id":"ITEM-1","itemData":{"DOI":"10.1021/jm5011258","ISSN":"15204804","abstract":"E3 ubiquitin ligases are attractive targets in the ubiquitin-proteasome system, however, the development of small-molecule ligands has been rewarded with limited success. The von Hippel-Lindau protein (pVHL) is the substrate recognition subunit of the VHL E3 ligase that targets HIF-1α for degradation. We recently reported inhibitors of the pVHL:HIF-1α interaction, however they exhibited moderate potency. Herein, we report the design and optimization, guided by X-ray crystal structures, of a ligand series with nanomolar binding affinities.","author":[{"dropping-particle":"","family":"Galdeano","given":"Carles","non-dropping-particle":"","parse-names":false,"suffix":""},{"dropping-particle":"","family":"Gadd","given":"Morgan S.","non-dropping-particle":"","parse-names":false,"suffix":""},{"dropping-particle":"","family":"Soares","given":"Pedro","non-dropping-particle":"","parse-names":false,"suffix":""},{"dropping-particle":"","family":"Scaffidi","given":"Salvatore","non-dropping-particle":"","parse-names":false,"suffix":""},{"dropping-particle":"","family":"Molle","given":"Inge","non-dropping-particle":"Van","parse-names":false,"suffix":""},{"dropping-particle":"","family":"Birced","given":"Ipek","non-dropping-particle":"","parse-names":false,"suffix":""},{"dropping-particle":"","family":"Hewitt","given":"Sarah","non-dropping-particle":"","parse-names":false,"suffix":""},{"dropping-particle":"","family":"Dias","given":"David M.","non-dropping-particle":"","parse-names":false,"suffix":""},{"dropping-particle":"","family":"Ciulli","given":"Alessio","non-dropping-particle":"","parse-names":false,"suffix":""}],"container-title":"Journal of Medicinal Chemistry","id":"ITEM-1","issue":"20","issued":{"date-parts":[["2014"]]},"page":"8657-8663","title":"Structure-guided design and optimization of small molecules targeting the protein-protein interaction between the von hippel-lindau (VHL) E3 ubiquitin ligase and the hypoxia inducible factor (HIF) alpha subunit with in vitro nanomolar affinities","type":"article-journal","volume":"57"},"uris":["http://www.mendeley.com/documents/?uuid=c478974f-d5d9-4b94-993c-aa137c99a46f"]}],"mendeley":{"formattedCitation":"&lt;sup&gt;12&lt;/sup&gt;","plainTextFormattedCitation":"12","previouslyFormattedCitation":"&lt;sup&gt;12&lt;/sup&gt;"},"properties":{"noteIndex":0},"schema":"https://github.com/citation-style-language/schema/raw/master/csl-citation.json"}</w:instrText>
      </w:r>
      <w:r w:rsidR="0056585F"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12</w:t>
      </w:r>
      <w:r w:rsidR="0056585F"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chemical functionalization with caging groups was mostly conducted on the E3 ligase recruiting part of the PROTAC (Figure 2).</w:t>
      </w:r>
      <w:r w:rsidR="0056585F"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{"citationItems":[{"id":"ITEM-1","itemData":{"DOI":"10.1039/d0cc00523a","ISSN":"1364548X","PMID":"32297626","abstract":"With the intent of achieving greater spatiotemporal control of PROTAC-induced protein degradation, a light-activated degrader was designed by photocaging an essential E3 ligase binding motif in a BRD4 targeting PROTAC. Proteolysis was triggered only after a short irradiation time, the kinetics of which could be monitored by live-cell video microscopy.","author":[{"dropping-particle":"","family":"Kounde","given":"Cyrille S.","non-dropping-particle":"","parse-names":false,"suffix":""},{"dropping-particle":"","family":"Shchepinova","given":"Maria M.","non-dropping-particle":"","parse-names":false,"suffix":""},{"dropping-particle":"","family":"Saunders","given":"Charlie N.","non-dropping-particle":"","parse-names":false,"suffix":""},{"dropping-particle":"","family":"Muelbaier","given":"Marcel","non-dropping-particle":"","parse-names":false,"suffix":""},{"dropping-particle":"","family":"Rackham","given":"Mark D.","non-dropping-particle":"","parse-names":false,"suffix":""},{"dropping-particle":"","family":"Harling","given":"John D.","non-dropping-particle":"","parse-names":false,"suffix":""},{"dropping-particle":"","family":"Tate","given":"Edward W.","non-dropping-particle":"","parse-names":false,"suffix":""}],"container-title":"Chemical Communications","id":"ITEM-1","issue":"41","issued":{"date-parts":[["2020"]]},"page":"5532-5535","publisher":"Royal Society of Chemistry","title":"A caged E3 ligase ligand for PROTAC-mediated protein degradation with light","type":"article-journal","volume":"56"},"uris":["http://www.mendeley.com/documents/?uuid=7274c6e8-d1dd-41bf-b658-410ebca3faad"]},{"id":"ITEM-2","itemData":{"DOI":"10.1021/jacs.9b12718","ISSN":"15205126","abstract":"As an emerging approach to protein perturbation, small molecule-induced protein degradation has gained significant attention as both a chemical tool and a potential therapeutic. To enable discrete control over its function, we have developed a broadly applicable approach for the optical activation of small molecule-induced protein degradation. By installing two different photolabile protecting groups, so-called caging groups, onto two different ligands recruiting Von Hippel-Lindau (VHL) and cereblon (CRBN) E3 ubiquitin ligases, our strategy enables light-triggered protein degradation for any small molecule warhead.","author":[{"dropping-particle":"","family":"Naro","given":"Yuta","non-dropping-particle":"","parse-names":false,"suffix":""},{"dropping-particle":"","family":"Darrah","given":"Kristie","non-dropping-particle":"","parse-names":false,"suffix":""},{"dropping-particle":"","family":"Deiters","given":"Alexander","non-dropping-particle":"","parse-names":false,"suffix":""}],"container-title":"Journal of the American Chemical Society","id":"ITEM-2","issue":"5","issued":{"date-parts":[["2020"]]},"page":"2193-2197","title":"Optical Control of Small Molecule-Induced Protein Degradation","type":"article-journal","volume":"142"},"uris":["http://www.mendeley.com/documents/?uuid=05505e89-223e-4729-aa00-d8d8a5aa3d58"]},{"id":"ITEM-3","itemData":{"DOI":"10.1021/jacs.9b06422","ISSN":"0002-7863","abstract":"Induction of protein degradation is emerging as a powerful strategy to modulate protein functions and alter cellular signaling pathways. Proteolysis-targeting chimeras (PROTACs) have been used to degrade a range of diverse proteins in vitro and in vivo. Here we present a type of photo-caged PROTACs (pc-PROTACs) to induce degradation activity with light. Photo-removable blocking groups were added to a degrader of Brd4, and the resulting molecule pc-PROTAC1 showed potent degradation activity in live cells only after light irradiation. Furthermore, this molecule efficiently degraded Brd4 and induced expected phenotypic changes in zebrafish. Additionally, this approach was successfully applied to construct pc-PROTAC3 of BTK. Thus, a general strategy to induce protein degradation with light was established to augment the chemists’ toolbox to study disease-relevant protein targets.","author":[{"dropping-particle":"","family":"Xue","given":"Gang","non-dropping-particle":"","parse-names":false,"suffix":""},{"dropping-particle":"","family":"Wang","given":"Kun","non-dropping-particle":"","parse-names":false,"suffix":""},{"dropping-particle":"","family":"Zhou","given":"Danli","non-dropping-particle":"","parse-names":false,"suffix":""},{"dropping-particle":"","family":"Zhong","given":"Hanbing","non-dropping-particle":"","parse-names":false,"suffix":""},{"dropping-particle":"","family":"Pan","given":"Zhengying","non-dropping-particle":"","parse-names":false,"suffix":""}],"container-title":"Journal of the American Chemical Society","id":"ITEM-3","issued":{"date-parts":[["2019"]]},"title":"Light-Induced Protein Degradation with Photocaged PROTACs","type":"article-journal"},"uris":["http://www.mendeley.com/documents/?uuid=acfff798-8cbc-46f9-8f8a-8d2087d7f3f3"]},{"id":"ITEM-4","itemData":{"DOI":"10.1126/sciadv.aay5154","ISSN":"23752548","abstract":"By hijacking endogenous E3 ligase to degrade protein targets via the ubiquitin-proteasome system, PROTACs (PRoteolysis TArgeting Chimeras) provide a new strategy to inhibit protein targets that were regarded as undruggable before. However, the catalytic nature of PROTAC potentially leads to uncontrolled degradation that causes systemic toxicity issues, limiting the application of PROTAC in the clinic. Here, we introduce a light-inducible switch on PROTACs, thereafter termed as opto-PROTAC, to enable the degradation of protein targets in a spatiotemporal manner. By adding a photolabile caging group on pomalidomide as a parental compound and two additional PROTACs, dBET1 and dALK, we demonstrated light-inducible protein degradation. These opto-PROTACs display no activities in the dark, while the restricted degradation can be induced at a specific time and rate by ultraviolet A irradiation. Our approach provides a generalizable platform for the development of light-controlled PROTACs and enables PROTAC to be a precision medicine.","author":[{"dropping-particle":"","family":"Liu","given":"Jing","non-dropping-particle":"","parse-names":false,"suffix":""},{"dropping-particle":"","family":"Chen","given":"He","non-dropping-particle":"","parse-names":false,"suffix":""},{"dropping-particle":"","family":"Ma","given":"Leina","non-dropping-particle":"","parse-names":false,"suffix":""},{"dropping-particle":"","family":"He","given":"Zhixiang","non-dropping-particle":"","parse-names":false,"suffix":""},{"dropping-particle":"","family":"Wang","given":"Dong","non-dropping-particle":"","parse-names":false,"suffix":""},{"dropping-particle":"","family":"Liu","given":"Yi","non-dropping-particle":"","parse-names":false,"suffix":""},{"dropping-particle":"","family":"Lin","given":"Qian","non-dropping-particle":"","parse-names":false,"suffix":""},{"dropping-particle":"","family":"Zhang","given":"Tinghu","non-dropping-particle":"","parse-names":false,"suffix":""},{"dropping-particle":"","family":"Gray","given":"Nathanael","non-dropping-particle":"","parse-names":false,"suffix":""},{"dropping-particle":"","family":"Kaniskan","given":"H. Ümit","non-dropping-particle":"","parse-names":false,"suffix":""},{"dropping-particle":"","family":"Jin","given":"Jian","non-dropping-particle":"","parse-names":false,"suffix":""},{"dropping-particle":"","family":"Wei","given":"Wenyi","non-dropping-particle":"","parse-names":false,"suffix":""}],"container-title":"Science Advances","id":"ITEM-4","issue":"8","issued":{"date-parts":[["2020"]]},"page":"1-12","title":"Light-induced control of protein destruction by opto-PROTAC","type":"article-journal","volume":"6"},"uris":["http://www.mendeley.com/documents/?uuid=b9400ffc-c167-4397-ace9-ccb18abc1b3e"]}],"mendeley":{"formattedCitation":"&lt;sup&gt;31–34&lt;/sup&gt;","plainTextFormattedCitation":"31–34","previouslyFormattedCitation":"&lt;sup&gt;31–34&lt;/sup&gt;"},"properties":{"noteIndex":0},"schema":"https://github.com/citation-style-language/schema/raw/master/csl-citation.json"}</w:instrText>
      </w:r>
      <w:r w:rsidR="0056585F"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31–34</w:t>
      </w:r>
      <w:r w:rsidR="0056585F"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w:t>
      </w:r>
    </w:p>
    <w:p w14:paraId="02158BFF" w14:textId="7CBACF28" w:rsidR="00476A88" w:rsidRDefault="00476A88" w:rsidP="00E911B7">
      <w:pPr>
        <w:autoSpaceDE w:val="0"/>
        <w:autoSpaceDN w:val="0"/>
        <w:adjustRightInd w:val="0"/>
        <w:spacing w:after="0" w:line="480" w:lineRule="auto"/>
        <w:jc w:val="both"/>
        <w:rPr>
          <w:rFonts w:ascii="Arial" w:eastAsia="TimesNewRomanPSMT" w:hAnsi="Arial" w:cs="Arial"/>
          <w:b/>
          <w:noProof/>
          <w:sz w:val="24"/>
          <w:szCs w:val="24"/>
        </w:rPr>
      </w:pPr>
    </w:p>
    <w:p w14:paraId="25AA2705" w14:textId="7FAE4746" w:rsidR="00E9410F" w:rsidRDefault="00E9410F" w:rsidP="00E911B7">
      <w:pPr>
        <w:autoSpaceDE w:val="0"/>
        <w:autoSpaceDN w:val="0"/>
        <w:adjustRightInd w:val="0"/>
        <w:spacing w:after="0" w:line="480" w:lineRule="auto"/>
        <w:jc w:val="both"/>
        <w:rPr>
          <w:rFonts w:ascii="Arial" w:eastAsia="TimesNewRomanPSMT" w:hAnsi="Arial" w:cs="Arial"/>
          <w:b/>
          <w:noProof/>
          <w:sz w:val="24"/>
          <w:szCs w:val="24"/>
        </w:rPr>
      </w:pPr>
    </w:p>
    <w:p w14:paraId="5BF13F6A" w14:textId="511AB06E" w:rsidR="00E9410F" w:rsidRDefault="00E9410F" w:rsidP="00E911B7">
      <w:pPr>
        <w:autoSpaceDE w:val="0"/>
        <w:autoSpaceDN w:val="0"/>
        <w:adjustRightInd w:val="0"/>
        <w:spacing w:after="0" w:line="480" w:lineRule="auto"/>
        <w:jc w:val="both"/>
        <w:rPr>
          <w:rFonts w:ascii="Arial" w:eastAsia="TimesNewRomanPSMT" w:hAnsi="Arial" w:cs="Arial"/>
          <w:b/>
          <w:noProof/>
          <w:sz w:val="24"/>
          <w:szCs w:val="24"/>
        </w:rPr>
      </w:pPr>
    </w:p>
    <w:p w14:paraId="2A824E92" w14:textId="6C58BB08" w:rsidR="00E9410F" w:rsidRDefault="00E9410F" w:rsidP="00E911B7">
      <w:pPr>
        <w:autoSpaceDE w:val="0"/>
        <w:autoSpaceDN w:val="0"/>
        <w:adjustRightInd w:val="0"/>
        <w:spacing w:after="0" w:line="480" w:lineRule="auto"/>
        <w:jc w:val="both"/>
        <w:rPr>
          <w:rFonts w:ascii="Arial" w:eastAsia="TimesNewRomanPSMT" w:hAnsi="Arial" w:cs="Arial"/>
          <w:b/>
          <w:noProof/>
          <w:sz w:val="24"/>
          <w:szCs w:val="24"/>
        </w:rPr>
      </w:pPr>
      <w:r>
        <w:rPr>
          <w:rFonts w:ascii="Arial" w:eastAsia="TimesNewRomanPSMT" w:hAnsi="Arial" w:cs="Arial"/>
          <w:b/>
          <w:noProof/>
          <w:sz w:val="24"/>
          <w:szCs w:val="24"/>
        </w:rPr>
        <w:drawing>
          <wp:anchor distT="0" distB="0" distL="114300" distR="114300" simplePos="0" relativeHeight="251717632" behindDoc="0" locked="0" layoutInCell="1" allowOverlap="1" wp14:anchorId="63B62723" wp14:editId="44F98241">
            <wp:simplePos x="0" y="0"/>
            <wp:positionH relativeFrom="column">
              <wp:posOffset>0</wp:posOffset>
            </wp:positionH>
            <wp:positionV relativeFrom="page">
              <wp:posOffset>914400</wp:posOffset>
            </wp:positionV>
            <wp:extent cx="5943600" cy="5215890"/>
            <wp:effectExtent l="0" t="0" r="0" b="381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5215890"/>
                    </a:xfrm>
                    <a:prstGeom prst="rect">
                      <a:avLst/>
                    </a:prstGeom>
                    <a:noFill/>
                  </pic:spPr>
                </pic:pic>
              </a:graphicData>
            </a:graphic>
            <wp14:sizeRelH relativeFrom="page">
              <wp14:pctWidth>0</wp14:pctWidth>
            </wp14:sizeRelH>
            <wp14:sizeRelV relativeFrom="page">
              <wp14:pctHeight>0</wp14:pctHeight>
            </wp14:sizeRelV>
          </wp:anchor>
        </w:drawing>
      </w:r>
    </w:p>
    <w:p w14:paraId="73C522A4" w14:textId="2655AFE7" w:rsidR="00E911B7" w:rsidRDefault="00E911B7" w:rsidP="00832F22">
      <w:pPr>
        <w:autoSpaceDE w:val="0"/>
        <w:autoSpaceDN w:val="0"/>
        <w:adjustRightInd w:val="0"/>
        <w:spacing w:after="0" w:line="480" w:lineRule="auto"/>
        <w:jc w:val="both"/>
        <w:rPr>
          <w:rFonts w:ascii="Arial" w:eastAsia="TimesNewRomanPSMT" w:hAnsi="Arial" w:cs="Arial"/>
          <w:sz w:val="24"/>
          <w:szCs w:val="24"/>
        </w:rPr>
      </w:pPr>
      <w:r w:rsidRPr="00E911B7">
        <w:rPr>
          <w:rFonts w:ascii="Arial" w:eastAsia="TimesNewRomanPSMT" w:hAnsi="Arial" w:cs="Arial"/>
          <w:b/>
          <w:sz w:val="24"/>
          <w:szCs w:val="24"/>
        </w:rPr>
        <w:t>Figure 2</w:t>
      </w:r>
      <w:r w:rsidRPr="00E911B7">
        <w:rPr>
          <w:rFonts w:ascii="Arial" w:eastAsia="TimesNewRomanPSMT" w:hAnsi="Arial" w:cs="Arial"/>
          <w:sz w:val="24"/>
          <w:szCs w:val="24"/>
        </w:rPr>
        <w:t>. Structure of the reported caged PROTACs. Each caged degrader is made of a warhead (depicted in blue), a linker (black), an</w:t>
      </w:r>
      <w:r w:rsidR="00860E8D">
        <w:rPr>
          <w:rFonts w:ascii="Arial" w:eastAsia="TimesNewRomanPSMT" w:hAnsi="Arial" w:cs="Arial"/>
          <w:sz w:val="24"/>
          <w:szCs w:val="24"/>
        </w:rPr>
        <w:t xml:space="preserve"> </w:t>
      </w:r>
      <w:r w:rsidRPr="00E911B7">
        <w:rPr>
          <w:rFonts w:ascii="Arial" w:eastAsia="TimesNewRomanPSMT" w:hAnsi="Arial" w:cs="Arial"/>
          <w:sz w:val="24"/>
          <w:szCs w:val="24"/>
        </w:rPr>
        <w:t>E3</w:t>
      </w:r>
      <w:r w:rsidR="00860E8D">
        <w:rPr>
          <w:rFonts w:ascii="Arial" w:eastAsia="TimesNewRomanPSMT" w:hAnsi="Arial" w:cs="Arial"/>
          <w:sz w:val="24"/>
          <w:szCs w:val="24"/>
        </w:rPr>
        <w:t xml:space="preserve"> </w:t>
      </w:r>
      <w:r w:rsidRPr="00E911B7">
        <w:rPr>
          <w:rFonts w:ascii="Arial" w:eastAsia="TimesNewRomanPSMT" w:hAnsi="Arial" w:cs="Arial"/>
          <w:sz w:val="24"/>
          <w:szCs w:val="24"/>
        </w:rPr>
        <w:t xml:space="preserve">ligase recruiter (green) and a photocleavable group (red). Compounds </w:t>
      </w:r>
      <w:r w:rsidRPr="00E911B7">
        <w:rPr>
          <w:rFonts w:ascii="Arial" w:eastAsia="TimesNewRomanPSMT" w:hAnsi="Arial" w:cs="Arial"/>
          <w:b/>
          <w:sz w:val="24"/>
          <w:szCs w:val="24"/>
        </w:rPr>
        <w:t>1</w:t>
      </w:r>
      <w:r w:rsidRPr="00E911B7">
        <w:rPr>
          <w:rFonts w:ascii="Arial" w:eastAsia="TimesNewRomanPSMT" w:hAnsi="Arial" w:cs="Arial"/>
          <w:sz w:val="24"/>
          <w:szCs w:val="24"/>
        </w:rPr>
        <w:t xml:space="preserve">, </w:t>
      </w:r>
      <w:r w:rsidRPr="00E911B7">
        <w:rPr>
          <w:rFonts w:ascii="Arial" w:eastAsia="TimesNewRomanPSMT" w:hAnsi="Arial" w:cs="Arial"/>
          <w:b/>
          <w:sz w:val="24"/>
          <w:szCs w:val="24"/>
        </w:rPr>
        <w:t>2</w:t>
      </w:r>
      <w:r w:rsidRPr="00E911B7">
        <w:rPr>
          <w:rFonts w:ascii="Arial" w:eastAsia="TimesNewRomanPSMT" w:hAnsi="Arial" w:cs="Arial"/>
          <w:sz w:val="24"/>
          <w:szCs w:val="24"/>
        </w:rPr>
        <w:t xml:space="preserve">, </w:t>
      </w:r>
      <w:r w:rsidRPr="00E911B7">
        <w:rPr>
          <w:rFonts w:ascii="Arial" w:eastAsia="TimesNewRomanPSMT" w:hAnsi="Arial" w:cs="Arial"/>
          <w:b/>
          <w:sz w:val="24"/>
          <w:szCs w:val="24"/>
        </w:rPr>
        <w:t>5</w:t>
      </w:r>
      <w:r w:rsidRPr="00E911B7">
        <w:rPr>
          <w:rFonts w:ascii="Arial" w:eastAsia="TimesNewRomanPSMT" w:hAnsi="Arial" w:cs="Arial"/>
          <w:sz w:val="24"/>
          <w:szCs w:val="24"/>
        </w:rPr>
        <w:t xml:space="preserve">, </w:t>
      </w:r>
      <w:r w:rsidRPr="00E911B7">
        <w:rPr>
          <w:rFonts w:ascii="Arial" w:eastAsia="TimesNewRomanPSMT" w:hAnsi="Arial" w:cs="Arial"/>
          <w:b/>
          <w:sz w:val="24"/>
          <w:szCs w:val="24"/>
        </w:rPr>
        <w:t>6</w:t>
      </w:r>
      <w:r w:rsidRPr="00E911B7">
        <w:rPr>
          <w:rFonts w:ascii="Arial" w:eastAsia="TimesNewRomanPSMT" w:hAnsi="Arial" w:cs="Arial"/>
          <w:sz w:val="24"/>
          <w:szCs w:val="24"/>
        </w:rPr>
        <w:t xml:space="preserve"> and </w:t>
      </w:r>
      <w:r w:rsidRPr="00E911B7">
        <w:rPr>
          <w:rFonts w:ascii="Arial" w:eastAsia="TimesNewRomanPSMT" w:hAnsi="Arial" w:cs="Arial"/>
          <w:b/>
          <w:sz w:val="24"/>
          <w:szCs w:val="24"/>
        </w:rPr>
        <w:t>8</w:t>
      </w:r>
      <w:r w:rsidRPr="00E911B7">
        <w:rPr>
          <w:rFonts w:ascii="Arial" w:eastAsia="TimesNewRomanPSMT" w:hAnsi="Arial" w:cs="Arial"/>
          <w:sz w:val="24"/>
          <w:szCs w:val="24"/>
        </w:rPr>
        <w:t xml:space="preserve"> were designed to degrade Bromodomain-containing protein 4 (BRD4) upon irradiation. Compound </w:t>
      </w:r>
      <w:r w:rsidRPr="00E911B7">
        <w:rPr>
          <w:rFonts w:ascii="Arial" w:eastAsia="TimesNewRomanPSMT" w:hAnsi="Arial" w:cs="Arial"/>
          <w:b/>
          <w:sz w:val="24"/>
          <w:szCs w:val="24"/>
        </w:rPr>
        <w:t>4</w:t>
      </w:r>
      <w:r w:rsidRPr="00E911B7">
        <w:rPr>
          <w:rFonts w:ascii="Arial" w:eastAsia="TimesNewRomanPSMT" w:hAnsi="Arial" w:cs="Arial"/>
          <w:sz w:val="24"/>
          <w:szCs w:val="24"/>
        </w:rPr>
        <w:t xml:space="preserve"> was designed to degrade the estrogen-related receptor alpha (ERRα) upon irradiation. Compounds </w:t>
      </w:r>
      <w:r w:rsidRPr="00E911B7">
        <w:rPr>
          <w:rFonts w:ascii="Arial" w:eastAsia="TimesNewRomanPSMT" w:hAnsi="Arial" w:cs="Arial"/>
          <w:b/>
          <w:sz w:val="24"/>
          <w:szCs w:val="24"/>
        </w:rPr>
        <w:t>3</w:t>
      </w:r>
      <w:r w:rsidRPr="00E911B7">
        <w:rPr>
          <w:rFonts w:ascii="Arial" w:eastAsia="TimesNewRomanPSMT" w:hAnsi="Arial" w:cs="Arial"/>
          <w:sz w:val="24"/>
          <w:szCs w:val="24"/>
        </w:rPr>
        <w:t xml:space="preserve"> and </w:t>
      </w:r>
      <w:r w:rsidRPr="00E911B7">
        <w:rPr>
          <w:rFonts w:ascii="Arial" w:eastAsia="TimesNewRomanPSMT" w:hAnsi="Arial" w:cs="Arial"/>
          <w:b/>
          <w:sz w:val="24"/>
          <w:szCs w:val="24"/>
        </w:rPr>
        <w:t>7</w:t>
      </w:r>
      <w:r w:rsidRPr="00E911B7">
        <w:rPr>
          <w:rFonts w:ascii="Arial" w:eastAsia="TimesNewRomanPSMT" w:hAnsi="Arial" w:cs="Arial"/>
          <w:sz w:val="24"/>
          <w:szCs w:val="24"/>
        </w:rPr>
        <w:t xml:space="preserve"> were designed to degrade Bruton tyrosine kinase (BTK) and anaplastic lymphoma kinase (ALK), respectively, upon irradiation.</w:t>
      </w:r>
    </w:p>
    <w:p w14:paraId="3B209BA0" w14:textId="1FE5FA31" w:rsidR="00832F22" w:rsidRPr="000E0DB5" w:rsidRDefault="00BA781A" w:rsidP="00832F22">
      <w:pPr>
        <w:autoSpaceDE w:val="0"/>
        <w:autoSpaceDN w:val="0"/>
        <w:adjustRightInd w:val="0"/>
        <w:spacing w:after="0" w:line="480" w:lineRule="auto"/>
        <w:jc w:val="both"/>
        <w:rPr>
          <w:rFonts w:ascii="Arial" w:eastAsia="TimesNewRomanPSMT" w:hAnsi="Arial" w:cs="Arial"/>
          <w:sz w:val="24"/>
          <w:szCs w:val="24"/>
        </w:rPr>
      </w:pPr>
      <w:r w:rsidRPr="00BA781A">
        <w:rPr>
          <w:rFonts w:ascii="Arial" w:eastAsia="TimesNewRomanPSMT" w:hAnsi="Arial" w:cs="Arial"/>
          <w:sz w:val="24"/>
          <w:szCs w:val="24"/>
        </w:rPr>
        <w:t xml:space="preserve">This design relies on the ability of the caged moiety to prevent crucial </w:t>
      </w:r>
      <w:r w:rsidR="000A29A6" w:rsidRPr="000E0DB5">
        <w:rPr>
          <w:rFonts w:ascii="Arial" w:eastAsia="TimesNewRomanPSMT" w:hAnsi="Arial" w:cs="Arial"/>
          <w:sz w:val="24"/>
          <w:szCs w:val="24"/>
        </w:rPr>
        <w:t xml:space="preserve">binding interactions with the corresponding E3 ligase, thus precluding formation of the key ternary complex needed for ubiquitin </w:t>
      </w:r>
      <w:r w:rsidR="00527B18" w:rsidRPr="005F21CE">
        <w:rPr>
          <w:rFonts w:ascii="Arial" w:eastAsia="TimesNewRomanPSMT" w:hAnsi="Arial" w:cs="Arial"/>
          <w:sz w:val="24"/>
          <w:szCs w:val="24"/>
        </w:rPr>
        <w:t>trans</w:t>
      </w:r>
      <w:r w:rsidR="000A29A6" w:rsidRPr="000E0DB5">
        <w:rPr>
          <w:rFonts w:ascii="Arial" w:eastAsia="TimesNewRomanPSMT" w:hAnsi="Arial" w:cs="Arial"/>
          <w:sz w:val="24"/>
          <w:szCs w:val="24"/>
        </w:rPr>
        <w:t xml:space="preserve">fer. Compounds </w:t>
      </w:r>
      <w:r w:rsidR="000A29A6" w:rsidRPr="000E0DB5">
        <w:rPr>
          <w:rFonts w:ascii="Arial" w:eastAsia="TimesNewRomanPSMT" w:hAnsi="Arial" w:cs="Arial"/>
          <w:b/>
          <w:bCs/>
          <w:sz w:val="24"/>
          <w:szCs w:val="24"/>
        </w:rPr>
        <w:t>2</w:t>
      </w:r>
      <w:r w:rsidR="000A29A6" w:rsidRPr="000E0DB5">
        <w:rPr>
          <w:rFonts w:ascii="Arial" w:eastAsia="TimesNewRomanPSMT" w:hAnsi="Arial" w:cs="Arial"/>
          <w:sz w:val="24"/>
          <w:szCs w:val="24"/>
        </w:rPr>
        <w:t>-</w:t>
      </w:r>
      <w:r w:rsidR="000A29A6" w:rsidRPr="000E0DB5">
        <w:rPr>
          <w:rFonts w:ascii="Arial" w:eastAsia="TimesNewRomanPSMT" w:hAnsi="Arial" w:cs="Arial"/>
          <w:b/>
          <w:bCs/>
          <w:sz w:val="24"/>
          <w:szCs w:val="24"/>
        </w:rPr>
        <w:t>8</w:t>
      </w:r>
      <w:r w:rsidR="000A29A6" w:rsidRPr="000E0DB5">
        <w:rPr>
          <w:rFonts w:ascii="Arial" w:eastAsia="TimesNewRomanPSMT" w:hAnsi="Arial" w:cs="Arial"/>
          <w:sz w:val="24"/>
          <w:szCs w:val="24"/>
        </w:rPr>
        <w:t xml:space="preserve"> </w:t>
      </w:r>
      <w:r w:rsidR="00D77DB7" w:rsidRPr="000E0DB5">
        <w:rPr>
          <w:rFonts w:ascii="Arial" w:eastAsia="TimesNewRomanPSMT" w:hAnsi="Arial" w:cs="Arial"/>
          <w:sz w:val="24"/>
          <w:szCs w:val="24"/>
        </w:rPr>
        <w:t xml:space="preserve">(Figure 2) </w:t>
      </w:r>
      <w:r w:rsidR="000A29A6" w:rsidRPr="000E0DB5">
        <w:rPr>
          <w:rFonts w:ascii="Arial" w:eastAsia="TimesNewRomanPSMT" w:hAnsi="Arial" w:cs="Arial"/>
          <w:sz w:val="24"/>
          <w:szCs w:val="24"/>
        </w:rPr>
        <w:t>demonstrated the versatility of the approach</w:t>
      </w:r>
      <w:r w:rsidR="00D77DB7" w:rsidRPr="000E0DB5">
        <w:rPr>
          <w:rFonts w:ascii="Arial" w:eastAsia="TimesNewRomanPSMT" w:hAnsi="Arial" w:cs="Arial"/>
          <w:sz w:val="24"/>
          <w:szCs w:val="24"/>
        </w:rPr>
        <w:t>,</w:t>
      </w:r>
      <w:r w:rsidR="000A29A6" w:rsidRPr="000E0DB5">
        <w:rPr>
          <w:rFonts w:ascii="Arial" w:eastAsia="TimesNewRomanPSMT" w:hAnsi="Arial" w:cs="Arial"/>
          <w:sz w:val="24"/>
          <w:szCs w:val="24"/>
        </w:rPr>
        <w:t xml:space="preserve"> </w:t>
      </w:r>
      <w:r w:rsidR="00467612" w:rsidRPr="000E0DB5">
        <w:rPr>
          <w:rFonts w:ascii="Arial" w:eastAsia="TimesNewRomanPSMT" w:hAnsi="Arial" w:cs="Arial"/>
          <w:sz w:val="24"/>
          <w:szCs w:val="24"/>
        </w:rPr>
        <w:t xml:space="preserve">and </w:t>
      </w:r>
      <w:r w:rsidR="000A29A6" w:rsidRPr="000E0DB5">
        <w:rPr>
          <w:rFonts w:ascii="Arial" w:eastAsia="TimesNewRomanPSMT" w:hAnsi="Arial" w:cs="Arial"/>
          <w:sz w:val="24"/>
          <w:szCs w:val="24"/>
        </w:rPr>
        <w:t>the range of targets degraded</w:t>
      </w:r>
      <w:r w:rsidR="00D77DB7" w:rsidRPr="000E0DB5">
        <w:rPr>
          <w:rFonts w:ascii="Arial" w:eastAsia="TimesNewRomanPSMT" w:hAnsi="Arial" w:cs="Arial"/>
          <w:sz w:val="24"/>
          <w:szCs w:val="24"/>
        </w:rPr>
        <w:t xml:space="preserve"> by these molecules following uncaging suggests</w:t>
      </w:r>
      <w:r w:rsidR="000A29A6" w:rsidRPr="000E0DB5">
        <w:rPr>
          <w:rFonts w:ascii="Arial" w:eastAsia="TimesNewRomanPSMT" w:hAnsi="Arial" w:cs="Arial"/>
          <w:sz w:val="24"/>
          <w:szCs w:val="24"/>
        </w:rPr>
        <w:t xml:space="preserve"> that cag</w:t>
      </w:r>
      <w:r w:rsidR="00D77DB7" w:rsidRPr="000E0DB5">
        <w:rPr>
          <w:rFonts w:ascii="Arial" w:eastAsia="TimesNewRomanPSMT" w:hAnsi="Arial" w:cs="Arial"/>
          <w:sz w:val="24"/>
          <w:szCs w:val="24"/>
        </w:rPr>
        <w:t>ing the</w:t>
      </w:r>
      <w:r w:rsidR="000A29A6" w:rsidRPr="000E0DB5">
        <w:rPr>
          <w:rFonts w:ascii="Arial" w:eastAsia="TimesNewRomanPSMT" w:hAnsi="Arial" w:cs="Arial"/>
          <w:sz w:val="24"/>
          <w:szCs w:val="24"/>
        </w:rPr>
        <w:t xml:space="preserve"> E3 binder </w:t>
      </w:r>
      <w:r w:rsidR="00D77DB7" w:rsidRPr="000E0DB5">
        <w:rPr>
          <w:rFonts w:ascii="Arial" w:eastAsia="TimesNewRomanPSMT" w:hAnsi="Arial" w:cs="Arial"/>
          <w:sz w:val="24"/>
          <w:szCs w:val="24"/>
        </w:rPr>
        <w:t>may deliver</w:t>
      </w:r>
      <w:r w:rsidR="000A29A6" w:rsidRPr="000E0DB5">
        <w:rPr>
          <w:rFonts w:ascii="Arial" w:eastAsia="TimesNewRomanPSMT" w:hAnsi="Arial" w:cs="Arial"/>
          <w:sz w:val="24"/>
          <w:szCs w:val="24"/>
        </w:rPr>
        <w:t xml:space="preserve"> optical control of </w:t>
      </w:r>
      <w:r w:rsidR="00D77DB7" w:rsidRPr="000E0DB5">
        <w:rPr>
          <w:rFonts w:ascii="Arial" w:eastAsia="TimesNewRomanPSMT" w:hAnsi="Arial" w:cs="Arial"/>
          <w:sz w:val="24"/>
          <w:szCs w:val="24"/>
        </w:rPr>
        <w:t>degradation for any functional PROTAC</w:t>
      </w:r>
      <w:r w:rsidR="000A29A6" w:rsidRPr="000E0DB5">
        <w:rPr>
          <w:rFonts w:ascii="Arial" w:eastAsia="TimesNewRomanPSMT" w:hAnsi="Arial" w:cs="Arial"/>
          <w:sz w:val="24"/>
          <w:szCs w:val="24"/>
        </w:rPr>
        <w:t>.</w:t>
      </w:r>
      <w:r w:rsidR="002968D3" w:rsidRPr="000E0DB5">
        <w:rPr>
          <w:rFonts w:ascii="Arial" w:eastAsia="TimesNewRomanPSMT" w:hAnsi="Arial" w:cs="Arial"/>
          <w:sz w:val="24"/>
          <w:szCs w:val="24"/>
        </w:rPr>
        <w:t xml:space="preserve"> </w:t>
      </w:r>
      <w:r w:rsidR="00D77DB7" w:rsidRPr="000E0DB5">
        <w:rPr>
          <w:rFonts w:ascii="Arial" w:eastAsia="TimesNewRomanPSMT" w:hAnsi="Arial" w:cs="Arial"/>
          <w:sz w:val="24"/>
          <w:szCs w:val="24"/>
        </w:rPr>
        <w:t>However,</w:t>
      </w:r>
      <w:r w:rsidR="002968D3" w:rsidRPr="000E0DB5">
        <w:rPr>
          <w:rFonts w:ascii="Arial" w:eastAsia="TimesNewRomanPSMT" w:hAnsi="Arial" w:cs="Arial"/>
          <w:sz w:val="24"/>
          <w:szCs w:val="24"/>
        </w:rPr>
        <w:t xml:space="preserve"> such caged PROTACs </w:t>
      </w:r>
      <w:r w:rsidR="00D77DB7" w:rsidRPr="000E0DB5">
        <w:rPr>
          <w:rFonts w:ascii="Arial" w:eastAsia="TimesNewRomanPSMT" w:hAnsi="Arial" w:cs="Arial"/>
          <w:sz w:val="24"/>
          <w:szCs w:val="24"/>
        </w:rPr>
        <w:t xml:space="preserve">may </w:t>
      </w:r>
      <w:r w:rsidR="002968D3" w:rsidRPr="000E0DB5">
        <w:rPr>
          <w:rFonts w:ascii="Arial" w:eastAsia="TimesNewRomanPSMT" w:hAnsi="Arial" w:cs="Arial"/>
          <w:sz w:val="24"/>
          <w:szCs w:val="24"/>
        </w:rPr>
        <w:t xml:space="preserve">still interact with the target of interest via their </w:t>
      </w:r>
      <w:r w:rsidR="00FF76AB" w:rsidRPr="000E0DB5">
        <w:rPr>
          <w:rFonts w:ascii="Arial" w:eastAsia="TimesNewRomanPSMT" w:hAnsi="Arial" w:cs="Arial"/>
          <w:sz w:val="24"/>
          <w:szCs w:val="24"/>
        </w:rPr>
        <w:t>warhead and</w:t>
      </w:r>
      <w:r w:rsidR="002968D3" w:rsidRPr="000E0DB5">
        <w:rPr>
          <w:rFonts w:ascii="Arial" w:eastAsia="TimesNewRomanPSMT" w:hAnsi="Arial" w:cs="Arial"/>
          <w:sz w:val="24"/>
          <w:szCs w:val="24"/>
        </w:rPr>
        <w:t xml:space="preserve"> may display </w:t>
      </w:r>
      <w:r w:rsidR="00832F22" w:rsidRPr="000E0DB5">
        <w:rPr>
          <w:rFonts w:ascii="Arial" w:eastAsia="TimesNewRomanPSMT" w:hAnsi="Arial" w:cs="Arial"/>
          <w:sz w:val="24"/>
          <w:szCs w:val="24"/>
        </w:rPr>
        <w:t>activity in a binding, biochemical or cellular assay (</w:t>
      </w:r>
      <w:r w:rsidR="0056585F" w:rsidRPr="000E0DB5">
        <w:rPr>
          <w:rFonts w:ascii="Arial" w:eastAsia="TimesNewRomanPSMT" w:hAnsi="Arial" w:cs="Arial"/>
          <w:sz w:val="24"/>
          <w:szCs w:val="24"/>
        </w:rPr>
        <w:t>vide infra</w:t>
      </w:r>
      <w:r w:rsidR="00832F22" w:rsidRPr="000E0DB5">
        <w:rPr>
          <w:rFonts w:ascii="Arial" w:eastAsia="TimesNewRomanPSMT" w:hAnsi="Arial" w:cs="Arial"/>
          <w:sz w:val="24"/>
          <w:szCs w:val="24"/>
        </w:rPr>
        <w:t xml:space="preserve">). </w:t>
      </w:r>
      <w:r w:rsidR="00D77DB7" w:rsidRPr="000E0DB5">
        <w:rPr>
          <w:rFonts w:ascii="Arial" w:eastAsia="TimesNewRomanPSMT" w:hAnsi="Arial" w:cs="Arial"/>
          <w:sz w:val="24"/>
          <w:szCs w:val="24"/>
        </w:rPr>
        <w:t>A</w:t>
      </w:r>
      <w:r w:rsidR="00832F22" w:rsidRPr="000E0DB5">
        <w:rPr>
          <w:rFonts w:ascii="Arial" w:eastAsia="TimesNewRomanPSMT" w:hAnsi="Arial" w:cs="Arial"/>
          <w:sz w:val="24"/>
          <w:szCs w:val="24"/>
        </w:rPr>
        <w:t xml:space="preserve"> caged degrader with attenuated or abolished </w:t>
      </w:r>
      <w:r w:rsidR="00D77DB7" w:rsidRPr="000E0DB5">
        <w:rPr>
          <w:rFonts w:ascii="Arial" w:eastAsia="TimesNewRomanPSMT" w:hAnsi="Arial" w:cs="Arial"/>
          <w:sz w:val="24"/>
          <w:szCs w:val="24"/>
        </w:rPr>
        <w:t xml:space="preserve">pharmacological </w:t>
      </w:r>
      <w:r w:rsidR="00832F22" w:rsidRPr="000E0DB5">
        <w:rPr>
          <w:rFonts w:ascii="Arial" w:eastAsia="TimesNewRomanPSMT" w:hAnsi="Arial" w:cs="Arial"/>
          <w:sz w:val="24"/>
          <w:szCs w:val="24"/>
        </w:rPr>
        <w:t xml:space="preserve">activity </w:t>
      </w:r>
      <w:r w:rsidR="00D77DB7" w:rsidRPr="000E0DB5">
        <w:rPr>
          <w:rFonts w:ascii="Arial" w:eastAsia="TimesNewRomanPSMT" w:hAnsi="Arial" w:cs="Arial"/>
          <w:sz w:val="24"/>
          <w:szCs w:val="24"/>
        </w:rPr>
        <w:t xml:space="preserve">may be </w:t>
      </w:r>
      <w:r w:rsidR="00832F22" w:rsidRPr="000E0DB5">
        <w:rPr>
          <w:rFonts w:ascii="Arial" w:eastAsia="TimesNewRomanPSMT" w:hAnsi="Arial" w:cs="Arial"/>
          <w:sz w:val="24"/>
          <w:szCs w:val="24"/>
        </w:rPr>
        <w:t>more advantageous</w:t>
      </w:r>
      <w:r w:rsidR="00D77DB7" w:rsidRPr="000E0DB5">
        <w:rPr>
          <w:rFonts w:ascii="Arial" w:eastAsia="TimesNewRomanPSMT" w:hAnsi="Arial" w:cs="Arial"/>
          <w:sz w:val="24"/>
          <w:szCs w:val="24"/>
        </w:rPr>
        <w:t>,</w:t>
      </w:r>
      <w:r w:rsidR="00832F22" w:rsidRPr="000E0DB5">
        <w:rPr>
          <w:rFonts w:ascii="Arial" w:eastAsia="TimesNewRomanPSMT" w:hAnsi="Arial" w:cs="Arial"/>
          <w:sz w:val="24"/>
          <w:szCs w:val="24"/>
        </w:rPr>
        <w:t xml:space="preserve"> as it may </w:t>
      </w:r>
      <w:r w:rsidR="00D77DB7" w:rsidRPr="000E0DB5">
        <w:rPr>
          <w:rFonts w:ascii="Arial" w:eastAsia="TimesNewRomanPSMT" w:hAnsi="Arial" w:cs="Arial"/>
          <w:sz w:val="24"/>
          <w:szCs w:val="24"/>
        </w:rPr>
        <w:t>leave</w:t>
      </w:r>
      <w:r w:rsidR="00832F22" w:rsidRPr="000E0DB5">
        <w:rPr>
          <w:rFonts w:ascii="Arial" w:eastAsia="TimesNewRomanPSMT" w:hAnsi="Arial" w:cs="Arial"/>
          <w:sz w:val="24"/>
          <w:szCs w:val="24"/>
        </w:rPr>
        <w:t xml:space="preserve"> the biological system </w:t>
      </w:r>
      <w:r w:rsidR="00D77DB7" w:rsidRPr="000E0DB5">
        <w:rPr>
          <w:rFonts w:ascii="Arial" w:eastAsia="TimesNewRomanPSMT" w:hAnsi="Arial" w:cs="Arial"/>
          <w:sz w:val="24"/>
          <w:szCs w:val="24"/>
        </w:rPr>
        <w:t xml:space="preserve">unperturbed prior to </w:t>
      </w:r>
      <w:r w:rsidR="00832F22" w:rsidRPr="000E0DB5">
        <w:rPr>
          <w:rFonts w:ascii="Arial" w:eastAsia="TimesNewRomanPSMT" w:hAnsi="Arial" w:cs="Arial"/>
          <w:sz w:val="24"/>
          <w:szCs w:val="24"/>
        </w:rPr>
        <w:t>irradiation.</w:t>
      </w:r>
      <w:r w:rsidR="00953FAE" w:rsidRPr="000E0DB5">
        <w:rPr>
          <w:rFonts w:ascii="Arial" w:eastAsia="TimesNewRomanPSMT" w:hAnsi="Arial" w:cs="Arial"/>
          <w:sz w:val="24"/>
          <w:szCs w:val="24"/>
        </w:rPr>
        <w:t xml:space="preserve"> However</w:t>
      </w:r>
      <w:r w:rsidR="00832F22" w:rsidRPr="000E0DB5">
        <w:rPr>
          <w:rFonts w:ascii="Arial" w:eastAsia="TimesNewRomanPSMT" w:hAnsi="Arial" w:cs="Arial"/>
          <w:sz w:val="24"/>
          <w:szCs w:val="24"/>
        </w:rPr>
        <w:t>, since degradation of a target protein often induces a greater pharmacodynamic response than its inhibition,</w:t>
      </w:r>
      <w:r w:rsidR="00384278">
        <w:rPr>
          <w:rFonts w:ascii="Arial" w:eastAsia="TimesNewRomanPSMT" w:hAnsi="Arial" w:cs="Arial"/>
          <w:sz w:val="24"/>
          <w:szCs w:val="24"/>
        </w:rPr>
        <w:fldChar w:fldCharType="begin" w:fldLock="1"/>
      </w:r>
      <w:r w:rsidR="00130665">
        <w:rPr>
          <w:rFonts w:ascii="Arial" w:eastAsia="TimesNewRomanPSMT" w:hAnsi="Arial" w:cs="Arial"/>
          <w:sz w:val="24"/>
          <w:szCs w:val="24"/>
        </w:rPr>
        <w:instrText>ADDIN CSL_CITATION {"citationItems":[{"id":"ITEM-1","itemData":{"DOI":"10.1182/blood-2018-07-862953","ISSN":"15280020","PMID":"30545835","abstract":"The covalent Bruton tyrosine kinase (BTK) inhibitor ibrutinib is highly efficacious against multiple B-cell malignancies. However, it is not selective for BTK, and multiple mechanisms of resistance, including the C481S-BTKmutation, can compromise its efficacy.We hypothesized that small-molecule-induced BTK degradation may overcome some of the limitations of traditional enzymatic inhibitors. Here, we demonstrate that BTK degradation results in potent suppression of signaling and proliferation in cancer cells and that BTK degraders efficiently degrade C481S-BTK. Moreover, we discovered DD-03-171, an optimized lead compound that exhibits enhanced antiproliferative effects on mantle cell lymphoma (MCL) cells in vitro by degrading BTK, IKFZ1, and IKFZ3 as well as efficacy against patient-derived xenografts in vivo. Thus, \"triple degradation\" may be an effective therapeutic approach for treating MCL and overcoming ibrutinib resistance, thereby addressing a major unmet need in the treatment of MCL and other B-cell lymphomas.","author":[{"dropping-particle":"","family":"Dobrovolsky","given":"Dennis","non-dropping-particle":"","parse-names":false,"suffix":""},{"dropping-particle":"","family":"Wang","given":"Eric S.","non-dropping-particle":"","parse-names":false,"suffix":""},{"dropping-particle":"","family":"Morrow","given":"Sara","non-dropping-particle":"","parse-names":false,"suffix":""},{"dropping-particle":"","family":"Leahy","given":"Catharine","non-dropping-particle":"","parse-names":false,"suffix":""},{"dropping-particle":"","family":"Faust","given":"Tyler","non-dropping-particle":"","parse-names":false,"suffix":""},{"dropping-particle":"","family":"Nowak","given":"Radoslaw P.","non-dropping-particle":"","parse-names":false,"suffix":""},{"dropping-particle":"","family":"Donovan","given":"Katherine A.","non-dropping-particle":"","parse-names":false,"suffix":""},{"dropping-particle":"","family":"Yang","given":"Guang","non-dropping-particle":"","parse-names":false,"suffix":""},{"dropping-particle":"","family":"Li","given":"Zhengnian","non-dropping-particle":"","parse-names":false,"suffix":""},{"dropping-particle":"","family":"Fischer","given":"Eric S.","non-dropping-particle":"","parse-names":false,"suffix":""},{"dropping-particle":"","family":"Treon","given":"Steven P.","non-dropping-particle":"","parse-names":false,"suffix":""},{"dropping-particle":"","family":"Weinstock","given":"David M.","non-dropping-particle":"","parse-names":false,"suffix":""},{"dropping-particle":"","family":"Gray","given":"Nathanael S.","non-dropping-particle":"","parse-names":false,"suffix":""}],"container-title":"Blood","id":"ITEM-1","issue":"9","issued":{"date-parts":[["2019"]]},"page":"952-961","title":"Bruton tyrosine kinase degradation as a therapeutic strategy for cancer","type":"article-journal","volume":"133"},"uris":["http://www.mendeley.com/documents/?uuid=5fdb81c1-6a68-47ed-80e1-b9454285973c"]}],"mendeley":{"formattedCitation":"&lt;sup&gt;41&lt;/sup&gt;","plainTextFormattedCitation":"41","previouslyFormattedCitation":"&lt;sup&gt;41&lt;/sup&gt;"},"properties":{"noteIndex":0},"schema":"https://github.com/citation-style-language/schema/raw/master/csl-citation.json"}</w:instrText>
      </w:r>
      <w:r w:rsidR="00384278">
        <w:rPr>
          <w:rFonts w:ascii="Arial" w:eastAsia="TimesNewRomanPSMT" w:hAnsi="Arial" w:cs="Arial"/>
          <w:sz w:val="24"/>
          <w:szCs w:val="24"/>
        </w:rPr>
        <w:fldChar w:fldCharType="separate"/>
      </w:r>
      <w:r w:rsidR="00384278" w:rsidRPr="00384278">
        <w:rPr>
          <w:rFonts w:ascii="Arial" w:eastAsia="TimesNewRomanPSMT" w:hAnsi="Arial" w:cs="Arial"/>
          <w:noProof/>
          <w:sz w:val="24"/>
          <w:szCs w:val="24"/>
          <w:vertAlign w:val="superscript"/>
        </w:rPr>
        <w:t>41</w:t>
      </w:r>
      <w:r w:rsidR="00384278">
        <w:rPr>
          <w:rFonts w:ascii="Arial" w:eastAsia="TimesNewRomanPSMT" w:hAnsi="Arial" w:cs="Arial"/>
          <w:sz w:val="24"/>
          <w:szCs w:val="24"/>
        </w:rPr>
        <w:fldChar w:fldCharType="end"/>
      </w:r>
      <w:r w:rsidR="00832F22" w:rsidRPr="000E0DB5">
        <w:rPr>
          <w:rFonts w:ascii="Arial" w:eastAsia="TimesNewRomanPSMT" w:hAnsi="Arial" w:cs="Arial"/>
          <w:sz w:val="24"/>
          <w:szCs w:val="24"/>
        </w:rPr>
        <w:t xml:space="preserve"> a caged</w:t>
      </w:r>
      <w:r w:rsidR="00832F22" w:rsidRPr="000E0DB5">
        <w:rPr>
          <w:rFonts w:ascii="Arial" w:eastAsia="TimesNewRomanPSMT" w:hAnsi="Arial" w:cs="Arial"/>
          <w:bCs/>
          <w:sz w:val="24"/>
          <w:szCs w:val="24"/>
        </w:rPr>
        <w:t xml:space="preserve"> degrader with fully retained inhibitory activity against its target </w:t>
      </w:r>
      <w:r w:rsidR="00832F22" w:rsidRPr="000E0DB5">
        <w:rPr>
          <w:rFonts w:ascii="Arial" w:eastAsia="TimesNewRomanPSMT" w:hAnsi="Arial" w:cs="Arial"/>
          <w:sz w:val="24"/>
          <w:szCs w:val="24"/>
        </w:rPr>
        <w:t xml:space="preserve">still represents a useful chemical tool </w:t>
      </w:r>
      <w:r w:rsidR="00D77DB7" w:rsidRPr="000E0DB5">
        <w:rPr>
          <w:rFonts w:ascii="Arial" w:eastAsia="TimesNewRomanPSMT" w:hAnsi="Arial" w:cs="Arial"/>
          <w:sz w:val="24"/>
          <w:szCs w:val="24"/>
        </w:rPr>
        <w:t xml:space="preserve">provided </w:t>
      </w:r>
      <w:r w:rsidR="00832F22" w:rsidRPr="000E0DB5">
        <w:rPr>
          <w:rFonts w:ascii="Arial" w:eastAsia="TimesNewRomanPSMT" w:hAnsi="Arial" w:cs="Arial"/>
          <w:sz w:val="24"/>
          <w:szCs w:val="24"/>
        </w:rPr>
        <w:t>its basal activity prior to irradiation is known or evaluated concurrently.</w:t>
      </w:r>
    </w:p>
    <w:p w14:paraId="0BB9A7A3" w14:textId="2CED3ACE" w:rsidR="00DB2518" w:rsidRPr="000E0DB5" w:rsidRDefault="00832F22" w:rsidP="00455C95">
      <w:pPr>
        <w:autoSpaceDE w:val="0"/>
        <w:autoSpaceDN w:val="0"/>
        <w:adjustRightInd w:val="0"/>
        <w:spacing w:after="0" w:line="480" w:lineRule="auto"/>
        <w:jc w:val="both"/>
        <w:rPr>
          <w:rFonts w:ascii="Arial" w:eastAsia="TimesNewRomanPSMT" w:hAnsi="Arial" w:cs="Arial"/>
          <w:sz w:val="24"/>
          <w:szCs w:val="24"/>
        </w:rPr>
      </w:pPr>
      <w:r w:rsidRPr="000E0DB5">
        <w:rPr>
          <w:rFonts w:ascii="Arial" w:eastAsia="TimesNewRomanPSMT" w:hAnsi="Arial" w:cs="Arial"/>
          <w:sz w:val="24"/>
          <w:szCs w:val="24"/>
        </w:rPr>
        <w:t>A second approach to generate a photoactiv</w:t>
      </w:r>
      <w:r w:rsidR="00506625" w:rsidRPr="000E0DB5">
        <w:rPr>
          <w:rFonts w:ascii="Arial" w:eastAsia="TimesNewRomanPSMT" w:hAnsi="Arial" w:cs="Arial"/>
          <w:sz w:val="24"/>
          <w:szCs w:val="24"/>
        </w:rPr>
        <w:t>atable</w:t>
      </w:r>
      <w:r w:rsidRPr="000E0DB5">
        <w:rPr>
          <w:rFonts w:ascii="Arial" w:eastAsia="TimesNewRomanPSMT" w:hAnsi="Arial" w:cs="Arial"/>
          <w:sz w:val="24"/>
          <w:szCs w:val="24"/>
        </w:rPr>
        <w:t xml:space="preserve"> PROTAC is to install the caging group on the target-binding moiety of the degrader</w:t>
      </w:r>
      <w:r w:rsidR="00C065E0">
        <w:rPr>
          <w:rFonts w:ascii="Arial" w:eastAsia="TimesNewRomanPSMT" w:hAnsi="Arial" w:cs="Arial"/>
          <w:sz w:val="24"/>
          <w:szCs w:val="24"/>
        </w:rPr>
        <w:t>,</w:t>
      </w:r>
      <w:r w:rsidRPr="000E0DB5">
        <w:rPr>
          <w:rFonts w:ascii="Arial" w:eastAsia="TimesNewRomanPSMT" w:hAnsi="Arial" w:cs="Arial"/>
          <w:sz w:val="24"/>
          <w:szCs w:val="24"/>
        </w:rPr>
        <w:t xml:space="preserve"> </w:t>
      </w:r>
      <w:r w:rsidR="00506625" w:rsidRPr="000E0DB5">
        <w:rPr>
          <w:rFonts w:ascii="Arial" w:eastAsia="TimesNewRomanPSMT" w:hAnsi="Arial" w:cs="Arial"/>
          <w:sz w:val="24"/>
          <w:szCs w:val="24"/>
        </w:rPr>
        <w:t>in which</w:t>
      </w:r>
      <w:r w:rsidR="00C065E0">
        <w:rPr>
          <w:rFonts w:ascii="Arial" w:eastAsia="TimesNewRomanPSMT" w:hAnsi="Arial" w:cs="Arial"/>
          <w:sz w:val="24"/>
          <w:szCs w:val="24"/>
        </w:rPr>
        <w:t xml:space="preserve"> case</w:t>
      </w:r>
      <w:r w:rsidR="005767ED">
        <w:rPr>
          <w:rFonts w:ascii="Arial" w:eastAsia="TimesNewRomanPSMT" w:hAnsi="Arial" w:cs="Arial"/>
          <w:sz w:val="24"/>
          <w:szCs w:val="24"/>
        </w:rPr>
        <w:t>,</w:t>
      </w:r>
      <w:r w:rsidR="00C065E0">
        <w:rPr>
          <w:rFonts w:ascii="Arial" w:eastAsia="TimesNewRomanPSMT" w:hAnsi="Arial" w:cs="Arial"/>
          <w:sz w:val="24"/>
          <w:szCs w:val="24"/>
        </w:rPr>
        <w:t xml:space="preserve"> </w:t>
      </w:r>
      <w:r w:rsidRPr="000E0DB5">
        <w:rPr>
          <w:rFonts w:ascii="Arial" w:eastAsia="TimesNewRomanPSMT" w:hAnsi="Arial" w:cs="Arial"/>
          <w:sz w:val="24"/>
          <w:szCs w:val="24"/>
        </w:rPr>
        <w:t>ternary complex formation is</w:t>
      </w:r>
      <w:r w:rsidR="00455C95" w:rsidRPr="000E0DB5">
        <w:rPr>
          <w:rFonts w:ascii="Arial" w:eastAsia="TimesNewRomanPSMT" w:hAnsi="Arial" w:cs="Arial"/>
          <w:sz w:val="24"/>
          <w:szCs w:val="24"/>
        </w:rPr>
        <w:t xml:space="preserve"> impeded due to lack of target engagement</w:t>
      </w:r>
      <w:r w:rsidR="00526556">
        <w:rPr>
          <w:rFonts w:ascii="Arial" w:eastAsia="TimesNewRomanPSMT" w:hAnsi="Arial" w:cs="Arial"/>
          <w:sz w:val="24"/>
          <w:szCs w:val="24"/>
        </w:rPr>
        <w:t xml:space="preserve"> </w:t>
      </w:r>
      <w:r w:rsidR="00526556" w:rsidRPr="00526556">
        <w:rPr>
          <w:rFonts w:ascii="Arial" w:eastAsia="TimesNewRomanPSMT" w:hAnsi="Arial" w:cs="Arial"/>
          <w:sz w:val="24"/>
          <w:szCs w:val="24"/>
        </w:rPr>
        <w:t>(Figure 1A)</w:t>
      </w:r>
      <w:r w:rsidR="00455C95" w:rsidRPr="000E0DB5">
        <w:rPr>
          <w:rFonts w:ascii="Arial" w:eastAsia="TimesNewRomanPSMT" w:hAnsi="Arial" w:cs="Arial"/>
          <w:sz w:val="24"/>
          <w:szCs w:val="24"/>
        </w:rPr>
        <w:t xml:space="preserve">. The only reported example of this kind is caged molecule </w:t>
      </w:r>
      <w:r w:rsidR="00455C95" w:rsidRPr="000E0DB5">
        <w:rPr>
          <w:rFonts w:ascii="Arial" w:eastAsia="TimesNewRomanPSMT" w:hAnsi="Arial" w:cs="Arial"/>
          <w:b/>
          <w:bCs/>
          <w:sz w:val="24"/>
          <w:szCs w:val="24"/>
        </w:rPr>
        <w:t>1</w:t>
      </w:r>
      <w:r w:rsidR="00455C95" w:rsidRPr="000E0DB5">
        <w:rPr>
          <w:rFonts w:ascii="Arial" w:eastAsia="TimesNewRomanPSMT" w:hAnsi="Arial" w:cs="Arial"/>
          <w:sz w:val="24"/>
          <w:szCs w:val="24"/>
        </w:rPr>
        <w:t xml:space="preserve"> which showed more than 100-fold loss in binding affinity against its target </w:t>
      </w:r>
      <w:r w:rsidR="00B05B1D" w:rsidRPr="000E0DB5">
        <w:rPr>
          <w:rFonts w:ascii="Arial" w:eastAsia="TimesNewRomanPSMT" w:hAnsi="Arial" w:cs="Arial"/>
          <w:sz w:val="24"/>
          <w:szCs w:val="24"/>
        </w:rPr>
        <w:t>bromodomain-containing protein 4 (</w:t>
      </w:r>
      <w:r w:rsidR="00455C95" w:rsidRPr="000E0DB5">
        <w:rPr>
          <w:rFonts w:ascii="Arial" w:eastAsia="TimesNewRomanPSMT" w:hAnsi="Arial" w:cs="Arial"/>
          <w:sz w:val="24"/>
          <w:szCs w:val="24"/>
        </w:rPr>
        <w:t>BRD4</w:t>
      </w:r>
      <w:r w:rsidR="00B05B1D" w:rsidRPr="000E0DB5">
        <w:rPr>
          <w:rFonts w:ascii="Arial" w:eastAsia="TimesNewRomanPSMT" w:hAnsi="Arial" w:cs="Arial"/>
          <w:sz w:val="24"/>
          <w:szCs w:val="24"/>
        </w:rPr>
        <w:t>)</w:t>
      </w:r>
      <w:r w:rsidR="00455C95" w:rsidRPr="000E0DB5">
        <w:rPr>
          <w:rFonts w:ascii="Arial" w:eastAsia="TimesNewRomanPSMT" w:hAnsi="Arial" w:cs="Arial"/>
          <w:sz w:val="24"/>
          <w:szCs w:val="24"/>
        </w:rPr>
        <w:t xml:space="preserve"> compared to parent inhibitor JQ1.</w:t>
      </w:r>
      <w:r w:rsidR="00DB2518"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{"citationItems":[{"id":"ITEM-1","itemData":{"DOI":"10.1021/jacs.9b06422","ISSN":"0002-7863","abstract":"Induction of protein degradation is emerging as a powerful strategy to modulate protein functions and alter cellular signaling pathways. Proteolysis-targeting chimeras (PROTACs) have been used to degrade a range of diverse proteins in vitro and in vivo. Here we present a type of photo-caged PROTACs (pc-PROTACs) to induce degradation activity with light. Photo-removable blocking groups were added to a degrader of Brd4, and the resulting molecule pc-PROTAC1 showed potent degradation activity in live cells only after light irradiation. Furthermore, this molecule efficiently degraded Brd4 and induced expected phenotypic changes in zebrafish. Additionally, this approach was successfully applied to construct pc-PROTAC3 of BTK. Thus, a general strategy to induce protein degradation with light was established to augment the chemists’ toolbox to study disease-relevant protein targets.","author":[{"dropping-particle":"","family":"Xue","given":"Gang","non-dropping-particle":"","parse-names":false,"suffix":""},{"dropping-particle":"","family":"Wang","given":"Kun","non-dropping-particle":"","parse-names":false,"suffix":""},{"dropping-particle":"","family":"Zhou","given":"Danli","non-dropping-particle":"","parse-names":false,"suffix":""},{"dropping-particle":"","family":"Zhong","given":"Hanbing","non-dropping-particle":"","parse-names":false,"suffix":""},{"dropping-particle":"","family":"Pan","given":"Zhengying","non-dropping-particle":"","parse-names":false,"suffix":""}],"container-title":"Journal of the American Chemical Society","id":"ITEM-1","issued":{"date-parts":[["2019"]]},"title":"Light-Induced Protein Degradation with Photocaged PROTACs","type":"article-journal"},"uris":["http://www.mendeley.com/documents/?uuid=acfff798-8cbc-46f9-8f8a-8d2087d7f3f3"]}],"mendeley":{"formattedCitation":"&lt;sup&gt;31&lt;/sup&gt;","plainTextFormattedCitation":"31","previouslyFormattedCitation":"&lt;sup&gt;31&lt;/sup&gt;"},"properties":{"noteIndex":0},"schema":"https://github.com/citation-style-language/schema/raw/master/csl-citation.json"}</w:instrText>
      </w:r>
      <w:r w:rsidR="00DB2518"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31</w:t>
      </w:r>
      <w:r w:rsidR="00DB2518" w:rsidRPr="000E0DB5">
        <w:rPr>
          <w:rFonts w:ascii="Arial" w:eastAsia="TimesNewRomanPSMT" w:hAnsi="Arial" w:cs="Arial"/>
          <w:sz w:val="24"/>
          <w:szCs w:val="24"/>
        </w:rPr>
        <w:fldChar w:fldCharType="end"/>
      </w:r>
      <w:r w:rsidR="00455C95" w:rsidRPr="000E0DB5">
        <w:rPr>
          <w:rFonts w:ascii="Arial" w:eastAsia="TimesNewRomanPSMT" w:hAnsi="Arial" w:cs="Arial"/>
          <w:sz w:val="24"/>
          <w:szCs w:val="24"/>
        </w:rPr>
        <w:t xml:space="preserve"> Unlike the first approach, this design leaves the E3 ligase recruiter of the PROTAC accessible and compound </w:t>
      </w:r>
      <w:r w:rsidR="00455C95" w:rsidRPr="000E0DB5">
        <w:rPr>
          <w:rFonts w:ascii="Arial" w:eastAsia="TimesNewRomanPSMT" w:hAnsi="Arial" w:cs="Arial"/>
          <w:b/>
          <w:sz w:val="24"/>
          <w:szCs w:val="24"/>
        </w:rPr>
        <w:t>1</w:t>
      </w:r>
      <w:r w:rsidR="00455C95" w:rsidRPr="000E0DB5">
        <w:rPr>
          <w:rFonts w:ascii="Arial" w:eastAsia="TimesNewRomanPSMT" w:hAnsi="Arial" w:cs="Arial"/>
          <w:sz w:val="24"/>
          <w:szCs w:val="24"/>
        </w:rPr>
        <w:t xml:space="preserve"> bears a thalidomide ligand that can interact with the E3 ligase </w:t>
      </w:r>
      <w:r w:rsidR="008D794F" w:rsidRPr="000E0DB5">
        <w:rPr>
          <w:rFonts w:ascii="Arial" w:eastAsia="TimesNewRomanPSMT" w:hAnsi="Arial" w:cs="Arial"/>
          <w:sz w:val="24"/>
          <w:szCs w:val="24"/>
        </w:rPr>
        <w:t>Cereblon</w:t>
      </w:r>
      <w:r w:rsidR="00455C95" w:rsidRPr="000E0DB5">
        <w:rPr>
          <w:rFonts w:ascii="Arial" w:eastAsia="TimesNewRomanPSMT" w:hAnsi="Arial" w:cs="Arial"/>
          <w:sz w:val="24"/>
          <w:szCs w:val="24"/>
        </w:rPr>
        <w:t xml:space="preserve">. </w:t>
      </w:r>
    </w:p>
    <w:p w14:paraId="7CE6FB0D" w14:textId="3D2339FB" w:rsidR="00455C95" w:rsidRPr="000E0DB5" w:rsidRDefault="00455C95" w:rsidP="00455C95">
      <w:pPr>
        <w:autoSpaceDE w:val="0"/>
        <w:autoSpaceDN w:val="0"/>
        <w:adjustRightInd w:val="0"/>
        <w:spacing w:after="0" w:line="480" w:lineRule="auto"/>
        <w:jc w:val="both"/>
        <w:rPr>
          <w:rFonts w:ascii="Arial" w:eastAsia="TimesNewRomanPSMT" w:hAnsi="Arial" w:cs="Arial"/>
          <w:sz w:val="24"/>
          <w:szCs w:val="24"/>
        </w:rPr>
      </w:pPr>
      <w:r w:rsidRPr="000E0DB5">
        <w:rPr>
          <w:rFonts w:ascii="Arial" w:eastAsia="TimesNewRomanPSMT" w:hAnsi="Arial" w:cs="Arial"/>
          <w:sz w:val="24"/>
          <w:szCs w:val="24"/>
        </w:rPr>
        <w:t xml:space="preserve">With regards to E3 ligase-mediated off-target effects due to PROTAC binding, Winter et al. have shown that the </w:t>
      </w:r>
      <w:r w:rsidR="00506625" w:rsidRPr="000E0DB5">
        <w:rPr>
          <w:rFonts w:ascii="Arial" w:eastAsia="TimesNewRomanPSMT" w:hAnsi="Arial" w:cs="Arial"/>
          <w:sz w:val="24"/>
          <w:szCs w:val="24"/>
        </w:rPr>
        <w:t>unc</w:t>
      </w:r>
      <w:r w:rsidRPr="000E0DB5">
        <w:rPr>
          <w:rFonts w:ascii="Arial" w:eastAsia="TimesNewRomanPSMT" w:hAnsi="Arial" w:cs="Arial"/>
          <w:sz w:val="24"/>
          <w:szCs w:val="24"/>
        </w:rPr>
        <w:t xml:space="preserve">aged </w:t>
      </w:r>
      <w:r w:rsidR="00506625" w:rsidRPr="000E0DB5">
        <w:rPr>
          <w:rFonts w:ascii="Arial" w:eastAsia="TimesNewRomanPSMT" w:hAnsi="Arial" w:cs="Arial"/>
          <w:sz w:val="24"/>
          <w:szCs w:val="24"/>
        </w:rPr>
        <w:t xml:space="preserve">PROTAC for </w:t>
      </w:r>
      <w:r w:rsidRPr="000E0DB5">
        <w:rPr>
          <w:rFonts w:ascii="Arial" w:eastAsia="TimesNewRomanPSMT" w:hAnsi="Arial" w:cs="Arial"/>
          <w:sz w:val="24"/>
          <w:szCs w:val="24"/>
        </w:rPr>
        <w:t xml:space="preserve">compound </w:t>
      </w:r>
      <w:r w:rsidRPr="000E0DB5">
        <w:rPr>
          <w:rFonts w:ascii="Arial" w:eastAsia="TimesNewRomanPSMT" w:hAnsi="Arial" w:cs="Arial"/>
          <w:b/>
          <w:bCs/>
          <w:sz w:val="24"/>
          <w:szCs w:val="24"/>
        </w:rPr>
        <w:t>1</w:t>
      </w:r>
      <w:r w:rsidRPr="000E0DB5">
        <w:rPr>
          <w:rFonts w:ascii="Arial" w:eastAsia="TimesNewRomanPSMT" w:hAnsi="Arial" w:cs="Arial"/>
          <w:sz w:val="24"/>
          <w:szCs w:val="24"/>
        </w:rPr>
        <w:t xml:space="preserve">, dBET1, recruits </w:t>
      </w:r>
      <w:r w:rsidR="008D794F" w:rsidRPr="000E0DB5">
        <w:rPr>
          <w:rFonts w:ascii="Arial" w:eastAsia="TimesNewRomanPSMT" w:hAnsi="Arial" w:cs="Arial"/>
          <w:sz w:val="24"/>
          <w:szCs w:val="24"/>
        </w:rPr>
        <w:t>Cereblon</w:t>
      </w:r>
      <w:r w:rsidRPr="000E0DB5">
        <w:rPr>
          <w:rFonts w:ascii="Arial" w:eastAsia="TimesNewRomanPSMT" w:hAnsi="Arial" w:cs="Arial"/>
          <w:sz w:val="24"/>
          <w:szCs w:val="24"/>
        </w:rPr>
        <w:t xml:space="preserve"> for degradation of BRD2-4 without inducing knockdown of the nuclear factor IKZF3.</w:t>
      </w:r>
      <w:r w:rsidR="005767ED">
        <w:rPr>
          <w:rFonts w:ascii="Arial" w:eastAsia="TimesNewRomanPSMT" w:hAnsi="Arial" w:cs="Arial"/>
          <w:sz w:val="24"/>
          <w:szCs w:val="24"/>
        </w:rPr>
        <w:fldChar w:fldCharType="begin" w:fldLock="1"/>
      </w:r>
      <w:r w:rsidR="00E936EA">
        <w:rPr>
          <w:rFonts w:ascii="Arial" w:eastAsia="TimesNewRomanPSMT" w:hAnsi="Arial" w:cs="Arial"/>
          <w:sz w:val="24"/>
          <w:szCs w:val="24"/>
        </w:rPr>
        <w:instrText>ADDIN CSL_CITATION {"citationItems":[{"id":"ITEM-1","itemData":{"DOI":"10.1126/science.aab1433","ISSN":"10959203","PMID":"25999370","abstract":"The development of effective pharmacological inhibitors of multidomain scaffold proteins, notably transcription factors, is a particularly challenging problem. In part, this is because many small-molecule antagonists disrupt the activity of only one domain in the target protein. We devised a chemical strategy that promotes ligand-dependent target protein degradation using as an example the transcriptional coactivator BRD4, a protein critical for cancer cell growth and survival. We appended a competitive antagonist of BET bromodomains to a phthalimide moiety to hijack the cereblon E3 ubiquitin ligase complex. The resultant compound, dBET1, induced highly selective cereblon-dependent BET protein degradation in vitro and in vivo and delayed leukemia progression in mice. A second series of probes resulted in selective degradation of the cytosolic protein FKBP12. This chemical strategy for controlling target protein stability may have implications for therapeutically targeting previously intractable proteins.","author":[{"dropping-particle":"","family":"Winter","given":"Georg E.","non-dropping-particle":"","parse-names":false,"suffix":""},{"dropping-particle":"","family":"Buckley","given":"Dennis L.","non-dropping-particle":"","parse-names":false,"suffix":""},{"dropping-particle":"","family":"Paulk","given":"Joshiawa","non-dropping-particle":"","parse-names":false,"suffix":""},{"dropping-particle":"","family":"Roberts","given":"Justin M.","non-dropping-particle":"","parse-names":false,"suffix":""},{"dropping-particle":"","family":"Souza","given":"Amanda","non-dropping-particle":"","parse-names":false,"suffix":""},{"dropping-particle":"","family":"Dhe-Paganon","given":"Sirano","non-dropping-particle":"","parse-names":false,"suffix":""},{"dropping-particle":"","family":"Bradner","given":"James E.","non-dropping-particle":"","parse-names":false,"suffix":""}],"container-title":"Science","id":"ITEM-1","issue":"6241","issued":{"date-parts":[["2015"]]},"page":"1376-1381","title":"Phthalimide conjugation as a strategy for in vivo target protein degradation","type":"article-journal","volume":"348"},"uris":["http://www.mendeley.com/documents/?uuid=d40dfdb1-2d21-4f47-a357-da8689d330ad"]}],"mendeley":{"formattedCitation":"&lt;sup&gt;42&lt;/sup&gt;","plainTextFormattedCitation":"42","previouslyFormattedCitation":"&lt;sup&gt;42&lt;/sup&gt;"},"properties":{"noteIndex":0},"schema":"https://github.com/citation-style-language/schema/raw/master/csl-citation.json"}</w:instrText>
      </w:r>
      <w:r w:rsidR="005767ED">
        <w:rPr>
          <w:rFonts w:ascii="Arial" w:eastAsia="TimesNewRomanPSMT" w:hAnsi="Arial" w:cs="Arial"/>
          <w:sz w:val="24"/>
          <w:szCs w:val="24"/>
        </w:rPr>
        <w:fldChar w:fldCharType="separate"/>
      </w:r>
      <w:r w:rsidR="005767ED" w:rsidRPr="005767ED">
        <w:rPr>
          <w:rFonts w:ascii="Arial" w:eastAsia="TimesNewRomanPSMT" w:hAnsi="Arial" w:cs="Arial"/>
          <w:noProof/>
          <w:sz w:val="24"/>
          <w:szCs w:val="24"/>
          <w:vertAlign w:val="superscript"/>
        </w:rPr>
        <w:t>42</w:t>
      </w:r>
      <w:r w:rsidR="005767ED">
        <w:rPr>
          <w:rFonts w:ascii="Arial" w:eastAsia="TimesNewRomanPSMT" w:hAnsi="Arial" w:cs="Arial"/>
          <w:sz w:val="24"/>
          <w:szCs w:val="24"/>
        </w:rPr>
        <w:fldChar w:fldCharType="end"/>
      </w:r>
      <w:r w:rsidRPr="000E0DB5">
        <w:rPr>
          <w:rFonts w:ascii="Arial" w:eastAsia="TimesNewRomanPSMT" w:hAnsi="Arial" w:cs="Arial"/>
          <w:sz w:val="24"/>
          <w:szCs w:val="24"/>
        </w:rPr>
        <w:t xml:space="preserve"> Although </w:t>
      </w:r>
      <w:r w:rsidR="008D794F" w:rsidRPr="000E0DB5">
        <w:rPr>
          <w:rFonts w:ascii="Arial" w:eastAsia="TimesNewRomanPSMT" w:hAnsi="Arial" w:cs="Arial"/>
          <w:sz w:val="24"/>
          <w:szCs w:val="24"/>
        </w:rPr>
        <w:t>Cereblon</w:t>
      </w:r>
      <w:r w:rsidRPr="000E0DB5">
        <w:rPr>
          <w:rFonts w:ascii="Arial" w:eastAsia="TimesNewRomanPSMT" w:hAnsi="Arial" w:cs="Arial"/>
          <w:sz w:val="24"/>
          <w:szCs w:val="24"/>
        </w:rPr>
        <w:t xml:space="preserve">-induced effects were not expected for caged PROTAC </w:t>
      </w:r>
      <w:r w:rsidRPr="000E0DB5">
        <w:rPr>
          <w:rFonts w:ascii="Arial" w:eastAsia="TimesNewRomanPSMT" w:hAnsi="Arial" w:cs="Arial"/>
          <w:b/>
          <w:bCs/>
          <w:sz w:val="24"/>
          <w:szCs w:val="24"/>
        </w:rPr>
        <w:t xml:space="preserve">1, </w:t>
      </w:r>
      <w:r w:rsidRPr="000E0DB5">
        <w:rPr>
          <w:rFonts w:ascii="Arial" w:eastAsia="TimesNewRomanPSMT" w:hAnsi="Arial" w:cs="Arial"/>
          <w:sz w:val="24"/>
          <w:szCs w:val="24"/>
        </w:rPr>
        <w:t>it is important to note that modulation of the E3 ligase partner can sometimes lead to unintentional degradation of novel protein substrates as demonstrated by the work of the Winter lab on phthalimide-based degraders.</w:t>
      </w:r>
      <w:r w:rsidR="00DB2518" w:rsidRPr="000E0DB5">
        <w:rPr>
          <w:rFonts w:ascii="Arial" w:eastAsia="TimesNewRomanPSMT" w:hAnsi="Arial" w:cs="Arial"/>
          <w:sz w:val="24"/>
          <w:szCs w:val="24"/>
        </w:rPr>
        <w:fldChar w:fldCharType="begin" w:fldLock="1"/>
      </w:r>
      <w:r w:rsidR="00130665">
        <w:rPr>
          <w:rFonts w:ascii="Arial" w:eastAsia="TimesNewRomanPSMT" w:hAnsi="Arial" w:cs="Arial"/>
          <w:sz w:val="24"/>
          <w:szCs w:val="24"/>
        </w:rPr>
        <w:instrText>ADDIN CSL_CITATION {"citationItems":[{"id":"ITEM-1","itemData":{"DOI":"10.1021/acschembio.7b00969","ISSN":"15548937","abstract":"© 2018 American Chemical Society. Protein degradation is an emerging therapeutic strategy with a unique molecular pharmacology that enables the disruption of all functions associated with a target. This is particularly relevant for proteins depending on molecular scaffolding, such as transcription factors or receptor tyrosine kinases (RTKs). To address tractability of multiple RTKs for chemical degradation by the E3 ligase CUL4-RBX1-DDB1-CRBN (CRL4CRBN), we synthesized a series of phthalimide degraders based on the promiscuous kinase inhibitors sunitinib and PHA665752. While both series failed to induce degradation of their consensus targets, individual molecules displayed pronounced efficacy in leukemia cell lines. Orthogonal target identification supported by molecular docking led us to identify the translation termination factor G1 to S phase transition 1 (GSPT1) as a converging off-target, resulting from inadvertent E3 ligase modulation. This research highlights the importance of monitoring degradation events that are independent of the respective targeting ligand as a unique feature of small-molecule degraders.","author":[{"dropping-particle":"","family":"Ishoey","given":"Mette","non-dropping-particle":"","parse-names":false,"suffix":""},{"dropping-particle":"","family":"Chorn","given":"Someth","non-dropping-particle":"","parse-names":false,"suffix":""},{"dropping-particle":"","family":"Singh","given":"Natesh","non-dropping-particle":"","parse-names":false,"suffix":""},{"dropping-particle":"","family":"Jaeger","given":"Martin G.","non-dropping-particle":"","parse-names":false,"suffix":""},{"dropping-particle":"","family":"Brand","given":"Matthias","non-dropping-particle":"","parse-names":false,"suffix":""},{"dropping-particle":"","family":"Paulk","given":"Joshiawa","non-dropping-particle":"","parse-names":false,"suffix":""},{"dropping-particle":"","family":"Bauer","given":"Sophie","non-dropping-particle":"","parse-names":false,"suffix":""},{"dropping-particle":"","family":"Erb","given":"Michael A.","non-dropping-particle":"","parse-names":false,"suffix":""},{"dropping-particle":"","family":"Parapatics","given":"Katja","non-dropping-particle":"","parse-names":false,"suffix":""},{"dropping-particle":"","family":"Müller","given":"André C.","non-dropping-particle":"","parse-names":false,"suffix":""},{"dropping-particle":"","family":"Bennett","given":"Keiryn L.","non-dropping-particle":"","parse-names":false,"suffix":""},{"dropping-particle":"","family":"Ecker","given":"Gerhard F.","non-dropping-particle":"","parse-names":false,"suffix":""},{"dropping-particle":"","family":"Bradner","given":"James E.","non-dropping-particle":"","parse-names":false,"suffix":""},{"dropping-particle":"","family":"Winter","given":"Georg E.","non-dropping-particle":"","parse-names":false,"suffix":""}],"container-title":"ACS Chemical Biology","id":"ITEM-1","issue":"3","issued":{"date-parts":[["2018"]]},"page":"553-560","title":"Translation Termination Factor GSPT1 Is a Phenotypically Relevant Off-Target of Heterobifunctional Phthalimide Degraders","type":"article-journal","volume":"13"},"uris":["http://www.mendeley.com/documents/?uuid=ca31e9bf-aa52-482a-bedf-bd0bf1cb4bd2"]}],"mendeley":{"formattedCitation":"&lt;sup&gt;43&lt;/sup&gt;","plainTextFormattedCitation":"43","previouslyFormattedCitation":"&lt;sup&gt;43&lt;/sup&gt;"},"properties":{"noteIndex":0},"schema":"https://github.com/citation-style-language/schema/raw/master/csl-citation.json"}</w:instrText>
      </w:r>
      <w:r w:rsidR="00DB2518" w:rsidRPr="000E0DB5">
        <w:rPr>
          <w:rFonts w:ascii="Arial" w:eastAsia="TimesNewRomanPSMT" w:hAnsi="Arial" w:cs="Arial"/>
          <w:sz w:val="24"/>
          <w:szCs w:val="24"/>
        </w:rPr>
        <w:fldChar w:fldCharType="separate"/>
      </w:r>
      <w:r w:rsidR="00384278" w:rsidRPr="00384278">
        <w:rPr>
          <w:rFonts w:ascii="Arial" w:eastAsia="TimesNewRomanPSMT" w:hAnsi="Arial" w:cs="Arial"/>
          <w:noProof/>
          <w:sz w:val="24"/>
          <w:szCs w:val="24"/>
          <w:vertAlign w:val="superscript"/>
        </w:rPr>
        <w:t>43</w:t>
      </w:r>
      <w:r w:rsidR="00DB2518"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In</w:t>
      </w:r>
      <w:r w:rsidR="00506625" w:rsidRPr="000E0DB5">
        <w:rPr>
          <w:rFonts w:ascii="Arial" w:eastAsia="TimesNewRomanPSMT" w:hAnsi="Arial" w:cs="Arial"/>
          <w:sz w:val="24"/>
          <w:szCs w:val="24"/>
        </w:rPr>
        <w:t xml:space="preserve"> contrast, in</w:t>
      </w:r>
      <w:r w:rsidRPr="000E0DB5">
        <w:rPr>
          <w:rFonts w:ascii="Arial" w:eastAsia="TimesNewRomanPSMT" w:hAnsi="Arial" w:cs="Arial"/>
          <w:sz w:val="24"/>
          <w:szCs w:val="24"/>
        </w:rPr>
        <w:t>direct modulation of secondary proteins with VHL E3 ligase recruiting PROTACs has not been reported</w:t>
      </w:r>
      <w:r w:rsidR="00506625" w:rsidRPr="000E0DB5">
        <w:rPr>
          <w:rFonts w:ascii="Arial" w:eastAsia="TimesNewRomanPSMT" w:hAnsi="Arial" w:cs="Arial"/>
          <w:sz w:val="24"/>
          <w:szCs w:val="24"/>
        </w:rPr>
        <w:t xml:space="preserve"> to date, and direct interference with </w:t>
      </w:r>
      <w:r w:rsidR="008F753E" w:rsidRPr="000E0DB5">
        <w:rPr>
          <w:rFonts w:ascii="Arial" w:eastAsia="TimesNewRomanPSMT" w:hAnsi="Arial" w:cs="Arial"/>
          <w:sz w:val="24"/>
          <w:szCs w:val="24"/>
        </w:rPr>
        <w:t xml:space="preserve">VHL </w:t>
      </w:r>
      <w:r w:rsidR="00506625" w:rsidRPr="000E0DB5">
        <w:rPr>
          <w:rFonts w:ascii="Arial" w:eastAsia="TimesNewRomanPSMT" w:hAnsi="Arial" w:cs="Arial"/>
          <w:sz w:val="24"/>
          <w:szCs w:val="24"/>
        </w:rPr>
        <w:t xml:space="preserve">HIF binding </w:t>
      </w:r>
      <w:r w:rsidR="008F753E" w:rsidRPr="000E0DB5">
        <w:rPr>
          <w:rFonts w:ascii="Arial" w:eastAsia="TimesNewRomanPSMT" w:hAnsi="Arial" w:cs="Arial"/>
          <w:sz w:val="24"/>
          <w:szCs w:val="24"/>
        </w:rPr>
        <w:t>or</w:t>
      </w:r>
      <w:r w:rsidR="00506625" w:rsidRPr="000E0DB5">
        <w:rPr>
          <w:rFonts w:ascii="Arial" w:eastAsia="TimesNewRomanPSMT" w:hAnsi="Arial" w:cs="Arial"/>
          <w:sz w:val="24"/>
          <w:szCs w:val="24"/>
        </w:rPr>
        <w:t xml:space="preserve"> hypoxia regulation generally requires compound concentrations </w:t>
      </w:r>
      <w:r w:rsidR="008F753E" w:rsidRPr="000E0DB5">
        <w:rPr>
          <w:rFonts w:ascii="Arial" w:eastAsia="TimesNewRomanPSMT" w:hAnsi="Arial" w:cs="Arial"/>
          <w:sz w:val="24"/>
          <w:szCs w:val="24"/>
        </w:rPr>
        <w:t>far in excess of those required for degradation by a PROTAC</w:t>
      </w:r>
      <w:r w:rsidRPr="000E0DB5">
        <w:rPr>
          <w:rFonts w:ascii="Arial" w:eastAsia="TimesNewRomanPSMT" w:hAnsi="Arial" w:cs="Arial"/>
          <w:sz w:val="24"/>
          <w:szCs w:val="24"/>
        </w:rPr>
        <w:t>.</w:t>
      </w:r>
      <w:r w:rsidR="00A337E2">
        <w:rPr>
          <w:rFonts w:ascii="Arial" w:eastAsia="TimesNewRomanPSMT" w:hAnsi="Arial" w:cs="Arial"/>
          <w:sz w:val="24"/>
          <w:szCs w:val="24"/>
        </w:rPr>
        <w:fldChar w:fldCharType="begin" w:fldLock="1"/>
      </w:r>
      <w:r w:rsidR="00130665">
        <w:rPr>
          <w:rFonts w:ascii="Arial" w:eastAsia="TimesNewRomanPSMT" w:hAnsi="Arial" w:cs="Arial"/>
          <w:sz w:val="24"/>
          <w:szCs w:val="24"/>
        </w:rPr>
        <w:instrText>ADDIN CSL_CITATION {"citationItems":[{"id":"ITEM-1","itemData":{"DOI":"10.1021/acschembio.5b00216","ISSN":"15548937","PMID":"26035625","abstract":"The Bromo- and Extra-Terminal (BET) proteins BRD2, BRD3, and BRD4 play important roles in transcriptional regulation, epigenetics, and cancer and are the targets of pan-BET selective bromodomain inhibitor JQ1. However, the lack of intra-BET selectivity limits the scope of current inhibitors as probes for target validation and could lead to unwanted side effects or toxicity in a therapeutic setting. We designed Proteolysis Targeted Chimeras (PROTACs) that tether JQ1 to a ligand for the E3 ubiquitin ligase VHL, aimed at triggering the intracellular destruction of BET proteins. Compound MZ1 potently and rapidly induces reversible, long-lasting, and unexpectedly selective removal of BRD4 over BRD2 and BRD3. The activity of MZ1 is dependent on binding to VHL but is achieved at a sufficiently low concentration not to induce stabilization of HIF-1α. Gene expression profiles of selected cancer-related genes responsive to JQ1 reveal distinct and more limited transcriptional responses induced by MZ1, consistent with selective suppression of BRD4. Our discovery opens up new opportunities to elucidate the cellular phenotypes and therapeutic implications associated with selective targeting of BRD4.","author":[{"dropping-particle":"","family":"Zengerle","given":"Michael","non-dropping-particle":"","parse-names":false,"suffix":""},{"dropping-particle":"","family":"Chan","given":"Kwok Ho","non-dropping-particle":"","parse-names":false,"suffix":""},{"dropping-particle":"","family":"Ciulli","given":"Alessio","non-dropping-particle":"","parse-names":false,"suffix":""}],"container-title":"ACS Chemical Biology","id":"ITEM-1","issue":"8","issued":{"date-parts":[["2015"]]},"page":"1770-1777","title":"Selective Small Molecule Induced Degradation of the BET Bromodomain Protein BRD4","type":"article-journal","volume":"10"},"uris":["http://www.mendeley.com/documents/?uuid=e747e638-859b-4ea8-9c1b-722d43e184d6"]}],"mendeley":{"formattedCitation":"&lt;sup&gt;44&lt;/sup&gt;","plainTextFormattedCitation":"44","previouslyFormattedCitation":"&lt;sup&gt;44&lt;/sup&gt;"},"properties":{"noteIndex":0},"schema":"https://github.com/citation-style-language/schema/raw/master/csl-citation.json"}</w:instrText>
      </w:r>
      <w:r w:rsidR="00A337E2">
        <w:rPr>
          <w:rFonts w:ascii="Arial" w:eastAsia="TimesNewRomanPSMT" w:hAnsi="Arial" w:cs="Arial"/>
          <w:sz w:val="24"/>
          <w:szCs w:val="24"/>
        </w:rPr>
        <w:fldChar w:fldCharType="separate"/>
      </w:r>
      <w:r w:rsidR="00384278" w:rsidRPr="00384278">
        <w:rPr>
          <w:rFonts w:ascii="Arial" w:eastAsia="TimesNewRomanPSMT" w:hAnsi="Arial" w:cs="Arial"/>
          <w:noProof/>
          <w:sz w:val="24"/>
          <w:szCs w:val="24"/>
          <w:vertAlign w:val="superscript"/>
        </w:rPr>
        <w:t>44</w:t>
      </w:r>
      <w:r w:rsidR="00A337E2">
        <w:rPr>
          <w:rFonts w:ascii="Arial" w:eastAsia="TimesNewRomanPSMT" w:hAnsi="Arial" w:cs="Arial"/>
          <w:sz w:val="24"/>
          <w:szCs w:val="24"/>
        </w:rPr>
        <w:fldChar w:fldCharType="end"/>
      </w:r>
      <w:r w:rsidRPr="000E0DB5">
        <w:rPr>
          <w:rFonts w:ascii="Arial" w:eastAsia="TimesNewRomanPSMT" w:hAnsi="Arial" w:cs="Arial"/>
          <w:sz w:val="24"/>
          <w:szCs w:val="24"/>
        </w:rPr>
        <w:t xml:space="preserve"> </w:t>
      </w:r>
    </w:p>
    <w:p w14:paraId="1BE4DE03" w14:textId="2915243E" w:rsidR="00BD5823" w:rsidRPr="000E0DB5" w:rsidRDefault="00253F61" w:rsidP="00832F22">
      <w:pPr>
        <w:autoSpaceDE w:val="0"/>
        <w:autoSpaceDN w:val="0"/>
        <w:adjustRightInd w:val="0"/>
        <w:spacing w:after="0" w:line="480" w:lineRule="auto"/>
        <w:jc w:val="both"/>
        <w:rPr>
          <w:rFonts w:ascii="Arial" w:eastAsia="TimesNewRomanPSMT" w:hAnsi="Arial" w:cs="Arial"/>
          <w:sz w:val="24"/>
          <w:szCs w:val="24"/>
        </w:rPr>
      </w:pPr>
      <w:r w:rsidRPr="000E0DB5">
        <w:rPr>
          <w:rFonts w:ascii="Arial" w:eastAsia="TimesNewRomanPSMT" w:hAnsi="Arial" w:cs="Arial"/>
          <w:sz w:val="24"/>
          <w:szCs w:val="24"/>
        </w:rPr>
        <w:t>Considering the importance of the linker in PROTAC mode of action,</w:t>
      </w:r>
      <w:r w:rsidR="00100E25" w:rsidRPr="000E0DB5">
        <w:rPr>
          <w:rFonts w:ascii="Arial" w:eastAsia="TimesNewRomanPSMT" w:hAnsi="Arial" w:cs="Arial"/>
          <w:sz w:val="24"/>
          <w:szCs w:val="24"/>
        </w:rPr>
        <w:fldChar w:fldCharType="begin" w:fldLock="1"/>
      </w:r>
      <w:r w:rsidR="00130665">
        <w:rPr>
          <w:rFonts w:ascii="Arial" w:eastAsia="TimesNewRomanPSMT" w:hAnsi="Arial" w:cs="Arial"/>
          <w:sz w:val="24"/>
          <w:szCs w:val="24"/>
        </w:rPr>
        <w:instrText>ADDIN CSL_CITATION {"citationItems":[{"id":"ITEM-1","itemData":{"DOI":"10.1016/j.ejmech.2020.112451","ISSN":"02235234","abstract":"We report the rational design of hetero-bifunctional small molecules that selectively target p38a and p38b for degradation These proteolysis targeted chimeras (PROTACs) are based on an ATP competitive inhibitor of p38a and p38b, which is linked to thalidomide analogues to recruit the Cereblon E3 ubiquitin ligase complex. Compound synthesis was facilitated by the use of a copper catalyzed \"click\" reaction. We show that optimization of the linker length and composition is crucial for the degradation-inducing activity of these PROTACs. We provide evidence that these chemical compounds can induce degradation of p38a and p38b but no other related kinases at nanomolar concentrations in several mammalian cell lines. Moreover, we show that the PROTACs mimic the effect of genetic deletion of p38a, and also induce p38a and p38b degradation upon administration to mice. Our compounds contribute to understanding the rational development of PROTACs, and will be a useful tool to validate functions of the p38 MAPK pathway and its involvement in pathologies.","author":[{"dropping-particle":"","family":"Donoghue","given":"Craig","non-dropping-particle":"","parse-names":false,"suffix":""},{"dropping-particle":"","family":"Cubillos-Rojas","given":"Monica","non-dropping-particle":"","parse-names":false,"suffix":""},{"dropping-particle":"","family":"Gutierrez-Prat","given":"Nuria","non-dropping-particle":"","parse-names":false,"suffix":""},{"dropping-particle":"","family":"Sanchez-Zarzalejo","given":"Carolina","non-dropping-particle":"","parse-names":false,"suffix":""},{"dropping-particle":"","family":"Verdaguer","given":"Xavier","non-dropping-particle":"","parse-names":false,"suffix":""},{"dropping-particle":"","family":"Riera","given":"Antoni","non-dropping-particle":"","parse-names":false,"suffix":""},{"dropping-particle":"","family":"Nebreda","given":"Angel R.","non-dropping-particle":"","parse-names":false,"suffix":""}],"container-title":"European Journal of Medicinal Chemistry","id":"ITEM-1","issued":{"date-parts":[["2020","9"]]},"page":"112451","publisher":"Elsevier Masson SAS","title":"Optimal linker length for small molecule PROTACs that selectively target p38α and p38β for degradation","type":"article-journal","volume":"201"},"uris":["http://www.mendeley.com/documents/?uuid=11c321f0-7333-4288-b45d-63a71912512f"]}],"mendeley":{"formattedCitation":"&lt;sup&gt;45&lt;/sup&gt;","plainTextFormattedCitation":"45","previouslyFormattedCitation":"&lt;sup&gt;45&lt;/sup&gt;"},"properties":{"noteIndex":0},"schema":"https://github.com/citation-style-language/schema/raw/master/csl-citation.json"}</w:instrText>
      </w:r>
      <w:r w:rsidR="00100E25" w:rsidRPr="000E0DB5">
        <w:rPr>
          <w:rFonts w:ascii="Arial" w:eastAsia="TimesNewRomanPSMT" w:hAnsi="Arial" w:cs="Arial"/>
          <w:sz w:val="24"/>
          <w:szCs w:val="24"/>
        </w:rPr>
        <w:fldChar w:fldCharType="separate"/>
      </w:r>
      <w:r w:rsidR="00384278" w:rsidRPr="00384278">
        <w:rPr>
          <w:rFonts w:ascii="Arial" w:eastAsia="TimesNewRomanPSMT" w:hAnsi="Arial" w:cs="Arial"/>
          <w:noProof/>
          <w:sz w:val="24"/>
          <w:szCs w:val="24"/>
          <w:vertAlign w:val="superscript"/>
        </w:rPr>
        <w:t>45</w:t>
      </w:r>
      <w:r w:rsidR="00100E25"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a final option to generate a caged degrader would be to insert the photolabile group on the linker itself (Figure 1A),</w:t>
      </w:r>
      <w:r w:rsidR="00E853BE" w:rsidRPr="000E0DB5">
        <w:rPr>
          <w:rFonts w:ascii="Arial" w:eastAsia="TimesNewRomanPSMT" w:hAnsi="Arial" w:cs="Arial"/>
          <w:sz w:val="24"/>
          <w:szCs w:val="24"/>
        </w:rPr>
        <w:t xml:space="preserve"> </w:t>
      </w:r>
      <w:r w:rsidR="008F753E" w:rsidRPr="000E0DB5">
        <w:rPr>
          <w:rFonts w:ascii="Arial" w:eastAsia="TimesNewRomanPSMT" w:hAnsi="Arial" w:cs="Arial"/>
          <w:sz w:val="24"/>
          <w:szCs w:val="24"/>
        </w:rPr>
        <w:t xml:space="preserve">particularly </w:t>
      </w:r>
      <w:r w:rsidR="00E853BE" w:rsidRPr="000E0DB5">
        <w:rPr>
          <w:rFonts w:ascii="Arial" w:eastAsia="TimesNewRomanPSMT" w:hAnsi="Arial" w:cs="Arial"/>
          <w:sz w:val="24"/>
          <w:szCs w:val="24"/>
        </w:rPr>
        <w:t xml:space="preserve">if chemical functionalization is impractical on </w:t>
      </w:r>
      <w:r w:rsidR="008F753E" w:rsidRPr="000E0DB5">
        <w:rPr>
          <w:rFonts w:ascii="Arial" w:eastAsia="TimesNewRomanPSMT" w:hAnsi="Arial" w:cs="Arial"/>
          <w:sz w:val="24"/>
          <w:szCs w:val="24"/>
        </w:rPr>
        <w:t>the ligands</w:t>
      </w:r>
      <w:r w:rsidR="00E853BE" w:rsidRPr="000E0DB5">
        <w:rPr>
          <w:rFonts w:ascii="Arial" w:eastAsia="TimesNewRomanPSMT" w:hAnsi="Arial" w:cs="Arial"/>
          <w:sz w:val="24"/>
          <w:szCs w:val="24"/>
        </w:rPr>
        <w:t xml:space="preserve"> of the degrader. </w:t>
      </w:r>
      <w:r w:rsidR="008F753E" w:rsidRPr="000E0DB5">
        <w:rPr>
          <w:rFonts w:ascii="Arial" w:eastAsia="TimesNewRomanPSMT" w:hAnsi="Arial" w:cs="Arial"/>
          <w:sz w:val="24"/>
          <w:szCs w:val="24"/>
        </w:rPr>
        <w:t>Such an approach</w:t>
      </w:r>
      <w:r w:rsidR="00E853BE" w:rsidRPr="000E0DB5">
        <w:rPr>
          <w:rFonts w:ascii="Arial" w:eastAsia="TimesNewRomanPSMT" w:hAnsi="Arial" w:cs="Arial"/>
          <w:sz w:val="24"/>
          <w:szCs w:val="24"/>
        </w:rPr>
        <w:t xml:space="preserve"> would rely on </w:t>
      </w:r>
      <w:r w:rsidR="008F753E" w:rsidRPr="000E0DB5">
        <w:rPr>
          <w:rFonts w:ascii="Arial" w:eastAsia="TimesNewRomanPSMT" w:hAnsi="Arial" w:cs="Arial"/>
          <w:sz w:val="24"/>
          <w:szCs w:val="24"/>
        </w:rPr>
        <w:t xml:space="preserve">an </w:t>
      </w:r>
      <w:r w:rsidR="009B686E" w:rsidRPr="000E0DB5">
        <w:rPr>
          <w:rFonts w:ascii="Arial" w:eastAsia="TimesNewRomanPSMT" w:hAnsi="Arial" w:cs="Arial"/>
          <w:sz w:val="24"/>
          <w:szCs w:val="24"/>
        </w:rPr>
        <w:t>unfavorable</w:t>
      </w:r>
      <w:r w:rsidR="00E853BE" w:rsidRPr="000E0DB5">
        <w:rPr>
          <w:rFonts w:ascii="Arial" w:eastAsia="TimesNewRomanPSMT" w:hAnsi="Arial" w:cs="Arial"/>
          <w:sz w:val="24"/>
          <w:szCs w:val="24"/>
        </w:rPr>
        <w:t xml:space="preserve"> conformation adopted by the caged linker via steric or stereoelectronic effect</w:t>
      </w:r>
      <w:r w:rsidR="008F753E" w:rsidRPr="000E0DB5">
        <w:rPr>
          <w:rFonts w:ascii="Arial" w:eastAsia="TimesNewRomanPSMT" w:hAnsi="Arial" w:cs="Arial"/>
          <w:sz w:val="24"/>
          <w:szCs w:val="24"/>
        </w:rPr>
        <w:t>s</w:t>
      </w:r>
      <w:r w:rsidR="00E853BE" w:rsidRPr="000E0DB5">
        <w:rPr>
          <w:rFonts w:ascii="Arial" w:eastAsia="TimesNewRomanPSMT" w:hAnsi="Arial" w:cs="Arial"/>
          <w:sz w:val="24"/>
          <w:szCs w:val="24"/>
        </w:rPr>
        <w:t xml:space="preserve"> to adversely impact ternary complex formation</w:t>
      </w:r>
      <w:r w:rsidR="008F753E" w:rsidRPr="000E0DB5">
        <w:rPr>
          <w:rFonts w:ascii="Arial" w:eastAsia="TimesNewRomanPSMT" w:hAnsi="Arial" w:cs="Arial"/>
          <w:sz w:val="24"/>
          <w:szCs w:val="24"/>
        </w:rPr>
        <w:t>, and could be enabled by</w:t>
      </w:r>
      <w:r w:rsidR="00E853BE" w:rsidRPr="000E0DB5">
        <w:rPr>
          <w:rFonts w:ascii="Arial" w:eastAsia="TimesNewRomanPSMT" w:hAnsi="Arial" w:cs="Arial"/>
          <w:sz w:val="24"/>
          <w:szCs w:val="24"/>
        </w:rPr>
        <w:t xml:space="preserve"> structural </w:t>
      </w:r>
      <w:r w:rsidR="008F753E" w:rsidRPr="000E0DB5">
        <w:rPr>
          <w:rFonts w:ascii="Arial" w:eastAsia="TimesNewRomanPSMT" w:hAnsi="Arial" w:cs="Arial"/>
          <w:sz w:val="24"/>
          <w:szCs w:val="24"/>
        </w:rPr>
        <w:t xml:space="preserve">data defining </w:t>
      </w:r>
      <w:r w:rsidR="00E853BE" w:rsidRPr="000E0DB5">
        <w:rPr>
          <w:rFonts w:ascii="Arial" w:eastAsia="TimesNewRomanPSMT" w:hAnsi="Arial" w:cs="Arial"/>
          <w:sz w:val="24"/>
          <w:szCs w:val="24"/>
        </w:rPr>
        <w:t xml:space="preserve">the linker orientation within the ternary complex formed </w:t>
      </w:r>
      <w:r w:rsidR="008F753E" w:rsidRPr="000E0DB5">
        <w:rPr>
          <w:rFonts w:ascii="Arial" w:eastAsia="TimesNewRomanPSMT" w:hAnsi="Arial" w:cs="Arial"/>
          <w:sz w:val="24"/>
          <w:szCs w:val="24"/>
        </w:rPr>
        <w:t xml:space="preserve">by </w:t>
      </w:r>
      <w:r w:rsidR="00E853BE" w:rsidRPr="000E0DB5">
        <w:rPr>
          <w:rFonts w:ascii="Arial" w:eastAsia="TimesNewRomanPSMT" w:hAnsi="Arial" w:cs="Arial"/>
          <w:sz w:val="24"/>
          <w:szCs w:val="24"/>
        </w:rPr>
        <w:t xml:space="preserve">the parent PROTAC. Otherwise, </w:t>
      </w:r>
      <w:r w:rsidR="008F753E" w:rsidRPr="000E0DB5">
        <w:rPr>
          <w:rFonts w:ascii="Arial" w:eastAsia="TimesNewRomanPSMT" w:hAnsi="Arial" w:cs="Arial"/>
          <w:sz w:val="24"/>
          <w:szCs w:val="24"/>
        </w:rPr>
        <w:t xml:space="preserve">the challenges of </w:t>
      </w:r>
      <w:r w:rsidR="00E853BE" w:rsidRPr="000E0DB5">
        <w:rPr>
          <w:rFonts w:ascii="Arial" w:eastAsia="TimesNewRomanPSMT" w:hAnsi="Arial" w:cs="Arial"/>
          <w:sz w:val="24"/>
          <w:szCs w:val="24"/>
        </w:rPr>
        <w:t>iterati</w:t>
      </w:r>
      <w:r w:rsidR="008F753E" w:rsidRPr="000E0DB5">
        <w:rPr>
          <w:rFonts w:ascii="Arial" w:eastAsia="TimesNewRomanPSMT" w:hAnsi="Arial" w:cs="Arial"/>
          <w:sz w:val="24"/>
          <w:szCs w:val="24"/>
        </w:rPr>
        <w:t>ng</w:t>
      </w:r>
      <w:r w:rsidR="00E853BE" w:rsidRPr="000E0DB5">
        <w:rPr>
          <w:rFonts w:ascii="Arial" w:eastAsia="TimesNewRomanPSMT" w:hAnsi="Arial" w:cs="Arial"/>
          <w:sz w:val="24"/>
          <w:szCs w:val="24"/>
        </w:rPr>
        <w:t xml:space="preserve"> caged linkers to identify a suitable inactive caged degrader</w:t>
      </w:r>
      <w:r w:rsidR="004949AE" w:rsidRPr="000E0DB5">
        <w:rPr>
          <w:rFonts w:ascii="Arial" w:eastAsia="TimesNewRomanPSMT" w:hAnsi="Arial" w:cs="Arial"/>
          <w:sz w:val="24"/>
          <w:szCs w:val="24"/>
        </w:rPr>
        <w:t xml:space="preserve"> suggest that</w:t>
      </w:r>
      <w:r w:rsidR="00E853BE" w:rsidRPr="000E0DB5">
        <w:rPr>
          <w:rFonts w:ascii="Arial" w:eastAsia="TimesNewRomanPSMT" w:hAnsi="Arial" w:cs="Arial"/>
          <w:sz w:val="24"/>
          <w:szCs w:val="24"/>
        </w:rPr>
        <w:t xml:space="preserve"> </w:t>
      </w:r>
      <w:r w:rsidR="009B686E" w:rsidRPr="000E0DB5">
        <w:rPr>
          <w:rFonts w:ascii="Arial" w:eastAsia="TimesNewRomanPSMT" w:hAnsi="Arial" w:cs="Arial"/>
          <w:sz w:val="24"/>
          <w:szCs w:val="24"/>
        </w:rPr>
        <w:t>functionalizing</w:t>
      </w:r>
      <w:r w:rsidR="00E853BE" w:rsidRPr="000E0DB5">
        <w:rPr>
          <w:rFonts w:ascii="Arial" w:eastAsia="TimesNewRomanPSMT" w:hAnsi="Arial" w:cs="Arial"/>
          <w:sz w:val="24"/>
          <w:szCs w:val="24"/>
        </w:rPr>
        <w:t xml:space="preserve"> the warhead or the E3 ligase ligand with a caging group </w:t>
      </w:r>
      <w:r w:rsidR="004949AE" w:rsidRPr="000E0DB5">
        <w:rPr>
          <w:rFonts w:ascii="Arial" w:eastAsia="TimesNewRomanPSMT" w:hAnsi="Arial" w:cs="Arial"/>
          <w:sz w:val="24"/>
          <w:szCs w:val="24"/>
        </w:rPr>
        <w:t>remains the</w:t>
      </w:r>
      <w:r w:rsidR="00E853BE" w:rsidRPr="000E0DB5">
        <w:rPr>
          <w:rFonts w:ascii="Arial" w:eastAsia="TimesNewRomanPSMT" w:hAnsi="Arial" w:cs="Arial"/>
          <w:sz w:val="24"/>
          <w:szCs w:val="24"/>
        </w:rPr>
        <w:t xml:space="preserve"> </w:t>
      </w:r>
      <w:r w:rsidR="001A684B">
        <w:rPr>
          <w:rFonts w:ascii="Arial" w:eastAsia="TimesNewRomanPSMT" w:hAnsi="Arial" w:cs="Arial"/>
          <w:sz w:val="24"/>
          <w:szCs w:val="24"/>
        </w:rPr>
        <w:t>most practical</w:t>
      </w:r>
      <w:r w:rsidR="004949AE" w:rsidRPr="000E0DB5">
        <w:rPr>
          <w:rFonts w:ascii="Arial" w:eastAsia="TimesNewRomanPSMT" w:hAnsi="Arial" w:cs="Arial"/>
          <w:sz w:val="24"/>
          <w:szCs w:val="24"/>
        </w:rPr>
        <w:t xml:space="preserve"> </w:t>
      </w:r>
      <w:r w:rsidR="00E853BE" w:rsidRPr="000E0DB5">
        <w:rPr>
          <w:rFonts w:ascii="Arial" w:eastAsia="TimesNewRomanPSMT" w:hAnsi="Arial" w:cs="Arial"/>
          <w:sz w:val="24"/>
          <w:szCs w:val="24"/>
        </w:rPr>
        <w:t>approach to obtain a caged PROTAC.</w:t>
      </w:r>
    </w:p>
    <w:p w14:paraId="345F3BA2" w14:textId="3E6DD06E" w:rsidR="00100E25" w:rsidRDefault="00A73E92" w:rsidP="00A73E92">
      <w:pPr>
        <w:tabs>
          <w:tab w:val="left" w:pos="2910"/>
        </w:tabs>
        <w:autoSpaceDE w:val="0"/>
        <w:autoSpaceDN w:val="0"/>
        <w:adjustRightInd w:val="0"/>
        <w:spacing w:after="0" w:line="480" w:lineRule="auto"/>
        <w:jc w:val="both"/>
        <w:rPr>
          <w:rFonts w:ascii="Arial" w:eastAsia="TimesNewRomanPSMT" w:hAnsi="Arial" w:cs="Arial"/>
          <w:b/>
          <w:sz w:val="24"/>
          <w:szCs w:val="24"/>
        </w:rPr>
      </w:pPr>
      <w:r>
        <w:rPr>
          <w:rFonts w:ascii="Arial" w:eastAsia="TimesNewRomanPSMT" w:hAnsi="Arial" w:cs="Arial"/>
          <w:b/>
          <w:sz w:val="24"/>
          <w:szCs w:val="24"/>
        </w:rPr>
        <w:tab/>
      </w:r>
    </w:p>
    <w:p w14:paraId="15E1E62D" w14:textId="16481A80" w:rsidR="00A73E92" w:rsidRDefault="00A73E92" w:rsidP="00A73E92">
      <w:pPr>
        <w:tabs>
          <w:tab w:val="left" w:pos="2910"/>
        </w:tabs>
        <w:autoSpaceDE w:val="0"/>
        <w:autoSpaceDN w:val="0"/>
        <w:adjustRightInd w:val="0"/>
        <w:spacing w:after="0" w:line="480" w:lineRule="auto"/>
        <w:jc w:val="both"/>
        <w:rPr>
          <w:rFonts w:ascii="Arial" w:eastAsia="TimesNewRomanPSMT" w:hAnsi="Arial" w:cs="Arial"/>
          <w:b/>
          <w:sz w:val="24"/>
          <w:szCs w:val="24"/>
        </w:rPr>
      </w:pPr>
    </w:p>
    <w:p w14:paraId="672D6548" w14:textId="5393719E" w:rsidR="00A73E92" w:rsidRDefault="00A73E92" w:rsidP="00A73E92">
      <w:pPr>
        <w:tabs>
          <w:tab w:val="left" w:pos="2910"/>
        </w:tabs>
        <w:autoSpaceDE w:val="0"/>
        <w:autoSpaceDN w:val="0"/>
        <w:adjustRightInd w:val="0"/>
        <w:spacing w:after="0" w:line="480" w:lineRule="auto"/>
        <w:jc w:val="both"/>
        <w:rPr>
          <w:rFonts w:ascii="Arial" w:eastAsia="TimesNewRomanPSMT" w:hAnsi="Arial" w:cs="Arial"/>
          <w:b/>
          <w:sz w:val="24"/>
          <w:szCs w:val="24"/>
        </w:rPr>
      </w:pPr>
    </w:p>
    <w:p w14:paraId="5A7A9AE8" w14:textId="77777777" w:rsidR="00A73E92" w:rsidRPr="000E0DB5" w:rsidRDefault="00A73E92" w:rsidP="00A73E92">
      <w:pPr>
        <w:tabs>
          <w:tab w:val="left" w:pos="2910"/>
        </w:tabs>
        <w:autoSpaceDE w:val="0"/>
        <w:autoSpaceDN w:val="0"/>
        <w:adjustRightInd w:val="0"/>
        <w:spacing w:after="0" w:line="480" w:lineRule="auto"/>
        <w:jc w:val="both"/>
        <w:rPr>
          <w:rFonts w:ascii="Arial" w:eastAsia="TimesNewRomanPSMT" w:hAnsi="Arial" w:cs="Arial"/>
          <w:b/>
          <w:sz w:val="24"/>
          <w:szCs w:val="24"/>
        </w:rPr>
      </w:pPr>
    </w:p>
    <w:p w14:paraId="6626E9D1" w14:textId="3087EE5E" w:rsidR="00BD5823" w:rsidRPr="00A7193E" w:rsidRDefault="00A7193E" w:rsidP="00832F22">
      <w:pPr>
        <w:autoSpaceDE w:val="0"/>
        <w:autoSpaceDN w:val="0"/>
        <w:adjustRightInd w:val="0"/>
        <w:spacing w:after="0" w:line="480" w:lineRule="auto"/>
        <w:jc w:val="both"/>
        <w:rPr>
          <w:rFonts w:ascii="Arial" w:eastAsia="TimesNewRomanPSMT" w:hAnsi="Arial" w:cs="Arial"/>
          <w:bCs/>
          <w:sz w:val="24"/>
          <w:szCs w:val="24"/>
        </w:rPr>
      </w:pPr>
      <w:r w:rsidRPr="00A7193E">
        <w:rPr>
          <w:rFonts w:ascii="Arial" w:eastAsia="TimesNewRomanPSMT" w:hAnsi="Arial" w:cs="Arial"/>
          <w:bCs/>
          <w:sz w:val="24"/>
          <w:szCs w:val="24"/>
        </w:rPr>
        <w:t xml:space="preserve">2.2 </w:t>
      </w:r>
      <w:r w:rsidR="00BD5823" w:rsidRPr="00A7193E">
        <w:rPr>
          <w:rFonts w:ascii="Arial" w:eastAsia="TimesNewRomanPSMT" w:hAnsi="Arial" w:cs="Arial"/>
          <w:bCs/>
          <w:sz w:val="24"/>
          <w:szCs w:val="24"/>
        </w:rPr>
        <w:t>C</w:t>
      </w:r>
      <w:r w:rsidR="00560DA1" w:rsidRPr="00A7193E">
        <w:rPr>
          <w:rFonts w:ascii="Arial" w:eastAsia="TimesNewRomanPSMT" w:hAnsi="Arial" w:cs="Arial"/>
          <w:bCs/>
          <w:sz w:val="24"/>
          <w:szCs w:val="24"/>
        </w:rPr>
        <w:t>AGING CHEMISTRY AND PHOTOCLEAVAGE</w:t>
      </w:r>
    </w:p>
    <w:p w14:paraId="5D7F66E7" w14:textId="2DB2A5B7" w:rsidR="004F5D43" w:rsidRDefault="00BD5823" w:rsidP="0018505C">
      <w:pPr>
        <w:autoSpaceDE w:val="0"/>
        <w:autoSpaceDN w:val="0"/>
        <w:adjustRightInd w:val="0"/>
        <w:spacing w:after="0" w:line="480" w:lineRule="auto"/>
        <w:jc w:val="both"/>
        <w:rPr>
          <w:rFonts w:ascii="Arial" w:eastAsia="TimesNewRomanPSMT" w:hAnsi="Arial" w:cs="Arial"/>
          <w:sz w:val="24"/>
          <w:szCs w:val="24"/>
        </w:rPr>
      </w:pPr>
      <w:r w:rsidRPr="000E0DB5">
        <w:rPr>
          <w:rFonts w:ascii="Arial" w:eastAsia="TimesNewRomanPSMT" w:hAnsi="Arial" w:cs="Arial"/>
          <w:sz w:val="24"/>
          <w:szCs w:val="24"/>
        </w:rPr>
        <w:t xml:space="preserve">With most </w:t>
      </w:r>
      <w:r w:rsidR="004949AE" w:rsidRPr="000E0DB5">
        <w:rPr>
          <w:rFonts w:ascii="Arial" w:eastAsia="TimesNewRomanPSMT" w:hAnsi="Arial" w:cs="Arial"/>
          <w:sz w:val="24"/>
          <w:szCs w:val="24"/>
        </w:rPr>
        <w:t xml:space="preserve">caged </w:t>
      </w:r>
      <w:r w:rsidRPr="000E0DB5">
        <w:rPr>
          <w:rFonts w:ascii="Arial" w:eastAsia="TimesNewRomanPSMT" w:hAnsi="Arial" w:cs="Arial"/>
          <w:sz w:val="24"/>
          <w:szCs w:val="24"/>
        </w:rPr>
        <w:t xml:space="preserve">PROTACs bearing the photoactivatable group on the E3 ligase recruiting moiety, successful synthesis of the caged molecule </w:t>
      </w:r>
      <w:r w:rsidR="004949AE" w:rsidRPr="000E0DB5">
        <w:rPr>
          <w:rFonts w:ascii="Arial" w:eastAsia="TimesNewRomanPSMT" w:hAnsi="Arial" w:cs="Arial"/>
          <w:sz w:val="24"/>
          <w:szCs w:val="24"/>
        </w:rPr>
        <w:t xml:space="preserve">is </w:t>
      </w:r>
      <w:r w:rsidRPr="000E0DB5">
        <w:rPr>
          <w:rFonts w:ascii="Arial" w:eastAsia="TimesNewRomanPSMT" w:hAnsi="Arial" w:cs="Arial"/>
          <w:sz w:val="24"/>
          <w:szCs w:val="24"/>
        </w:rPr>
        <w:t xml:space="preserve">dependent on the chemistry that </w:t>
      </w:r>
      <w:r w:rsidR="004949AE" w:rsidRPr="000E0DB5">
        <w:rPr>
          <w:rFonts w:ascii="Arial" w:eastAsia="TimesNewRomanPSMT" w:hAnsi="Arial" w:cs="Arial"/>
          <w:sz w:val="24"/>
          <w:szCs w:val="24"/>
        </w:rPr>
        <w:t xml:space="preserve">can </w:t>
      </w:r>
      <w:r w:rsidRPr="000E0DB5">
        <w:rPr>
          <w:rFonts w:ascii="Arial" w:eastAsia="TimesNewRomanPSMT" w:hAnsi="Arial" w:cs="Arial"/>
          <w:sz w:val="24"/>
          <w:szCs w:val="24"/>
        </w:rPr>
        <w:t xml:space="preserve">be performed on the E3 ligase ligand. With the exception of compound </w:t>
      </w:r>
      <w:r w:rsidRPr="000E0DB5">
        <w:rPr>
          <w:rFonts w:ascii="Arial" w:eastAsia="TimesNewRomanPSMT" w:hAnsi="Arial" w:cs="Arial"/>
          <w:b/>
          <w:bCs/>
          <w:sz w:val="24"/>
          <w:szCs w:val="24"/>
        </w:rPr>
        <w:t>4</w:t>
      </w:r>
      <w:r w:rsidRPr="000E0DB5">
        <w:rPr>
          <w:rFonts w:ascii="Arial" w:eastAsia="TimesNewRomanPSMT" w:hAnsi="Arial" w:cs="Arial"/>
          <w:sz w:val="24"/>
          <w:szCs w:val="24"/>
        </w:rPr>
        <w:t>, all reported caged degraders incorporated a 6-nitroveratryl derived group, also known</w:t>
      </w:r>
      <w:r w:rsidR="00A73E92">
        <w:rPr>
          <w:rFonts w:ascii="Arial" w:eastAsia="TimesNewRomanPSMT" w:hAnsi="Arial" w:cs="Arial"/>
          <w:sz w:val="24"/>
          <w:szCs w:val="24"/>
        </w:rPr>
        <w:t xml:space="preserve"> </w:t>
      </w:r>
      <w:r w:rsidR="00A73E92" w:rsidRPr="00A73E92">
        <w:rPr>
          <w:rFonts w:ascii="Arial" w:eastAsia="TimesNewRomanPSMT" w:hAnsi="Arial" w:cs="Arial"/>
          <w:sz w:val="24"/>
          <w:szCs w:val="24"/>
        </w:rPr>
        <w:t>as 4,5-dimethoxy-2-nitrobenzyl cage (DMNB) (Figure 2). DMNB is a frequently used photoprotecting group which can be activated using UV light with a maximum absorption at 365 nm,</w:t>
      </w:r>
      <w:r w:rsidR="00951B3F">
        <w:rPr>
          <w:rFonts w:ascii="Arial" w:eastAsia="TimesNewRomanPSMT" w:hAnsi="Arial" w:cs="Arial"/>
          <w:sz w:val="24"/>
          <w:szCs w:val="24"/>
        </w:rPr>
        <w:fldChar w:fldCharType="begin" w:fldLock="1"/>
      </w:r>
      <w:r w:rsidR="00130665">
        <w:rPr>
          <w:rFonts w:ascii="Arial" w:eastAsia="TimesNewRomanPSMT" w:hAnsi="Arial" w:cs="Arial"/>
          <w:sz w:val="24"/>
          <w:szCs w:val="24"/>
        </w:rPr>
        <w:instrText>ADDIN CSL_CITATION {"citationItems":[{"id":"ITEM-1","itemData":{"DOI":"10.1021/cr300177k","ISSN":"00092665","PMID":"23256727","author":[{"dropping-particle":"","family":"Klán","given":"Petr","non-dropping-particle":"","parse-names":false,"suffix":""},{"dropping-particle":"","family":"Šolomek","given":"Tomáš","non-dropping-particle":"","parse-names":false,"suffix":""},{"dropping-particle":"","family":"Bochet","given":"Christian G.","non-dropping-particle":"","parse-names":false,"suffix":""},{"dropping-particle":"","family":"Blanc","given":"Aurélien","non-dropping-particle":"","parse-names":false,"suffix":""},{"dropping-particle":"","family":"Givens","given":"Richard","non-dropping-particle":"","parse-names":false,"suffix":""},{"dropping-particle":"","family":"Rubina","given":"Marina","non-dropping-particle":"","parse-names":false,"suffix":""},{"dropping-particle":"","family":"Popik","given":"Vladimir","non-dropping-particle":"","parse-names":false,"suffix":""},{"dropping-particle":"","family":"Kostikov","given":"Alexey","non-dropping-particle":"","parse-names":false,"suffix":""},{"dropping-particle":"","family":"Wirz","given":"Jakob","non-dropping-particle":"","parse-names":false,"suffix":""}],"container-title":"Chemical Reviews","id":"ITEM-1","issue":"1","issued":{"date-parts":[["2013"]]},"page":"119-191","title":"Photoremovable protecting groups in chemistry and biology: Reaction mechanisms and efficacy","type":"article-journal","volume":"113"},"uris":["http://www.mendeley.com/documents/?uuid=78a32ac9-8ca6-4db0-8380-fe6d1e4f5ca3"]}],"mendeley":{"formattedCitation":"&lt;sup&gt;46&lt;/sup&gt;","plainTextFormattedCitation":"46","previouslyFormattedCitation":"&lt;sup&gt;46&lt;/sup&gt;"},"properties":{"noteIndex":0},"schema":"https://github.com/citation-style-language/schema/raw/master/csl-citation.json"}</w:instrText>
      </w:r>
      <w:r w:rsidR="00951B3F">
        <w:rPr>
          <w:rFonts w:ascii="Arial" w:eastAsia="TimesNewRomanPSMT" w:hAnsi="Arial" w:cs="Arial"/>
          <w:sz w:val="24"/>
          <w:szCs w:val="24"/>
        </w:rPr>
        <w:fldChar w:fldCharType="separate"/>
      </w:r>
      <w:r w:rsidR="00384278" w:rsidRPr="00384278">
        <w:rPr>
          <w:rFonts w:ascii="Arial" w:eastAsia="TimesNewRomanPSMT" w:hAnsi="Arial" w:cs="Arial"/>
          <w:noProof/>
          <w:sz w:val="24"/>
          <w:szCs w:val="24"/>
          <w:vertAlign w:val="superscript"/>
        </w:rPr>
        <w:t>46</w:t>
      </w:r>
      <w:r w:rsidR="00951B3F">
        <w:rPr>
          <w:rFonts w:ascii="Arial" w:eastAsia="TimesNewRomanPSMT" w:hAnsi="Arial" w:cs="Arial"/>
          <w:sz w:val="24"/>
          <w:szCs w:val="24"/>
        </w:rPr>
        <w:fldChar w:fldCharType="end"/>
      </w:r>
      <w:r w:rsidR="00A73E92" w:rsidRPr="00A73E92">
        <w:rPr>
          <w:rFonts w:ascii="Arial" w:eastAsia="TimesNewRomanPSMT" w:hAnsi="Arial" w:cs="Arial"/>
          <w:sz w:val="24"/>
          <w:szCs w:val="24"/>
        </w:rPr>
        <w:t xml:space="preserve"> and has been installed as a carbamate (compounds </w:t>
      </w:r>
      <w:r w:rsidR="00A73E92" w:rsidRPr="00951B3F">
        <w:rPr>
          <w:rFonts w:ascii="Arial" w:eastAsia="TimesNewRomanPSMT" w:hAnsi="Arial" w:cs="Arial"/>
          <w:b/>
          <w:bCs/>
          <w:sz w:val="24"/>
          <w:szCs w:val="24"/>
        </w:rPr>
        <w:t>2,</w:t>
      </w:r>
      <w:r w:rsidR="00A73E92" w:rsidRPr="00A73E92">
        <w:rPr>
          <w:rFonts w:ascii="Arial" w:eastAsia="TimesNewRomanPSMT" w:hAnsi="Arial" w:cs="Arial"/>
          <w:sz w:val="24"/>
          <w:szCs w:val="24"/>
        </w:rPr>
        <w:t xml:space="preserve"> </w:t>
      </w:r>
      <w:r w:rsidR="00A73E92" w:rsidRPr="00951B3F">
        <w:rPr>
          <w:rFonts w:ascii="Arial" w:eastAsia="TimesNewRomanPSMT" w:hAnsi="Arial" w:cs="Arial"/>
          <w:b/>
          <w:bCs/>
          <w:sz w:val="24"/>
          <w:szCs w:val="24"/>
        </w:rPr>
        <w:t>3</w:t>
      </w:r>
      <w:r w:rsidR="00A73E92" w:rsidRPr="00A73E92">
        <w:rPr>
          <w:rFonts w:ascii="Arial" w:eastAsia="TimesNewRomanPSMT" w:hAnsi="Arial" w:cs="Arial"/>
          <w:sz w:val="24"/>
          <w:szCs w:val="24"/>
        </w:rPr>
        <w:t xml:space="preserve">, </w:t>
      </w:r>
      <w:r w:rsidR="00A73E92" w:rsidRPr="00951B3F">
        <w:rPr>
          <w:rFonts w:ascii="Arial" w:eastAsia="TimesNewRomanPSMT" w:hAnsi="Arial" w:cs="Arial"/>
          <w:b/>
          <w:bCs/>
          <w:sz w:val="24"/>
          <w:szCs w:val="24"/>
        </w:rPr>
        <w:t>6</w:t>
      </w:r>
      <w:r w:rsidR="00A73E92" w:rsidRPr="00A73E92">
        <w:rPr>
          <w:rFonts w:ascii="Arial" w:eastAsia="TimesNewRomanPSMT" w:hAnsi="Arial" w:cs="Arial"/>
          <w:sz w:val="24"/>
          <w:szCs w:val="24"/>
        </w:rPr>
        <w:t xml:space="preserve"> and </w:t>
      </w:r>
      <w:r w:rsidR="00A73E92" w:rsidRPr="00951B3F">
        <w:rPr>
          <w:rFonts w:ascii="Arial" w:eastAsia="TimesNewRomanPSMT" w:hAnsi="Arial" w:cs="Arial"/>
          <w:b/>
          <w:bCs/>
          <w:sz w:val="24"/>
          <w:szCs w:val="24"/>
        </w:rPr>
        <w:t>7</w:t>
      </w:r>
      <w:r w:rsidR="00A73E92" w:rsidRPr="00A73E92">
        <w:rPr>
          <w:rFonts w:ascii="Arial" w:eastAsia="TimesNewRomanPSMT" w:hAnsi="Arial" w:cs="Arial"/>
          <w:sz w:val="24"/>
          <w:szCs w:val="24"/>
        </w:rPr>
        <w:t xml:space="preserve">), an ether (compounds </w:t>
      </w:r>
      <w:r w:rsidR="00A73E92" w:rsidRPr="00605FAA">
        <w:rPr>
          <w:rFonts w:ascii="Arial" w:eastAsia="TimesNewRomanPSMT" w:hAnsi="Arial" w:cs="Arial"/>
          <w:b/>
          <w:bCs/>
          <w:sz w:val="24"/>
          <w:szCs w:val="24"/>
        </w:rPr>
        <w:t>5</w:t>
      </w:r>
      <w:r w:rsidR="00A73E92" w:rsidRPr="00A73E92">
        <w:rPr>
          <w:rFonts w:ascii="Arial" w:eastAsia="TimesNewRomanPSMT" w:hAnsi="Arial" w:cs="Arial"/>
          <w:sz w:val="24"/>
          <w:szCs w:val="24"/>
        </w:rPr>
        <w:t xml:space="preserve"> and </w:t>
      </w:r>
      <w:r w:rsidR="00A73E92" w:rsidRPr="00605FAA">
        <w:rPr>
          <w:rFonts w:ascii="Arial" w:eastAsia="TimesNewRomanPSMT" w:hAnsi="Arial" w:cs="Arial"/>
          <w:b/>
          <w:bCs/>
          <w:sz w:val="24"/>
          <w:szCs w:val="24"/>
        </w:rPr>
        <w:t>8</w:t>
      </w:r>
      <w:r w:rsidR="00A73E92" w:rsidRPr="00A73E92">
        <w:rPr>
          <w:rFonts w:ascii="Arial" w:eastAsia="TimesNewRomanPSMT" w:hAnsi="Arial" w:cs="Arial"/>
          <w:sz w:val="24"/>
          <w:szCs w:val="24"/>
        </w:rPr>
        <w:t xml:space="preserve">) or a N-alkylated functionality (compound </w:t>
      </w:r>
      <w:r w:rsidR="00A73E92" w:rsidRPr="00605FAA">
        <w:rPr>
          <w:rFonts w:ascii="Arial" w:eastAsia="TimesNewRomanPSMT" w:hAnsi="Arial" w:cs="Arial"/>
          <w:b/>
          <w:bCs/>
          <w:sz w:val="24"/>
          <w:szCs w:val="24"/>
        </w:rPr>
        <w:t>1</w:t>
      </w:r>
      <w:r w:rsidR="00A73E92" w:rsidRPr="00A73E92">
        <w:rPr>
          <w:rFonts w:ascii="Arial" w:eastAsia="TimesNewRomanPSMT" w:hAnsi="Arial" w:cs="Arial"/>
          <w:sz w:val="24"/>
          <w:szCs w:val="24"/>
        </w:rPr>
        <w:t>). All final molecules were reported as stable intracellularly before irradiation as assessed by western blots.</w:t>
      </w:r>
      <w:r w:rsidRPr="000E0DB5">
        <w:rPr>
          <w:rFonts w:ascii="Arial" w:eastAsia="TimesNewRomanPSMT" w:hAnsi="Arial" w:cs="Arial"/>
          <w:sz w:val="24"/>
          <w:szCs w:val="24"/>
        </w:rPr>
        <w:t xml:space="preserve"> </w:t>
      </w:r>
    </w:p>
    <w:p w14:paraId="1CD0DA4F" w14:textId="16C59FC3" w:rsidR="001B3757" w:rsidRDefault="001B3757" w:rsidP="00A73E92">
      <w:pPr>
        <w:jc w:val="both"/>
        <w:rPr>
          <w:rFonts w:ascii="Arial" w:hAnsi="Arial" w:cs="Arial"/>
          <w:b/>
          <w:sz w:val="20"/>
          <w:szCs w:val="20"/>
        </w:rPr>
      </w:pPr>
      <w:r>
        <w:rPr>
          <w:rFonts w:ascii="Arial" w:hAnsi="Arial" w:cs="Arial"/>
          <w:b/>
          <w:noProof/>
          <w:sz w:val="20"/>
          <w:szCs w:val="20"/>
        </w:rPr>
        <w:drawing>
          <wp:anchor distT="0" distB="0" distL="114300" distR="114300" simplePos="0" relativeHeight="251718656" behindDoc="0" locked="0" layoutInCell="1" allowOverlap="1" wp14:anchorId="695A7390" wp14:editId="64F3A759">
            <wp:simplePos x="0" y="0"/>
            <wp:positionH relativeFrom="column">
              <wp:posOffset>0</wp:posOffset>
            </wp:positionH>
            <wp:positionV relativeFrom="page">
              <wp:posOffset>4845050</wp:posOffset>
            </wp:positionV>
            <wp:extent cx="5943600" cy="2519045"/>
            <wp:effectExtent l="0" t="0" r="0" b="0"/>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2519045"/>
                    </a:xfrm>
                    <a:prstGeom prst="rect">
                      <a:avLst/>
                    </a:prstGeom>
                    <a:noFill/>
                  </pic:spPr>
                </pic:pic>
              </a:graphicData>
            </a:graphic>
            <wp14:sizeRelH relativeFrom="page">
              <wp14:pctWidth>0</wp14:pctWidth>
            </wp14:sizeRelH>
            <wp14:sizeRelV relativeFrom="page">
              <wp14:pctHeight>0</wp14:pctHeight>
            </wp14:sizeRelV>
          </wp:anchor>
        </w:drawing>
      </w:r>
    </w:p>
    <w:p w14:paraId="7D784D31" w14:textId="67634ACE" w:rsidR="00A73E92" w:rsidRDefault="00A73E92" w:rsidP="0018505C">
      <w:pPr>
        <w:autoSpaceDE w:val="0"/>
        <w:autoSpaceDN w:val="0"/>
        <w:adjustRightInd w:val="0"/>
        <w:spacing w:after="0" w:line="480" w:lineRule="auto"/>
        <w:jc w:val="both"/>
        <w:rPr>
          <w:rFonts w:ascii="Arial" w:eastAsia="TimesNewRomanPSMT" w:hAnsi="Arial" w:cs="Arial"/>
          <w:b/>
          <w:bCs/>
          <w:sz w:val="24"/>
          <w:szCs w:val="24"/>
        </w:rPr>
      </w:pPr>
    </w:p>
    <w:p w14:paraId="189AF2D3" w14:textId="790E6434" w:rsidR="004F5D43" w:rsidRDefault="00A267FF" w:rsidP="0018505C">
      <w:pPr>
        <w:autoSpaceDE w:val="0"/>
        <w:autoSpaceDN w:val="0"/>
        <w:adjustRightInd w:val="0"/>
        <w:spacing w:after="0" w:line="480" w:lineRule="auto"/>
        <w:jc w:val="both"/>
        <w:rPr>
          <w:rFonts w:ascii="Arial" w:eastAsia="TimesNewRomanPSMT" w:hAnsi="Arial" w:cs="Arial"/>
          <w:sz w:val="24"/>
          <w:szCs w:val="24"/>
        </w:rPr>
      </w:pPr>
      <w:r w:rsidRPr="00A267FF">
        <w:rPr>
          <w:rFonts w:ascii="Arial" w:eastAsia="TimesNewRomanPSMT" w:hAnsi="Arial" w:cs="Arial"/>
          <w:b/>
          <w:bCs/>
          <w:sz w:val="24"/>
          <w:szCs w:val="24"/>
        </w:rPr>
        <w:t>Figure  3</w:t>
      </w:r>
      <w:r w:rsidRPr="00A267FF">
        <w:rPr>
          <w:rFonts w:ascii="Arial" w:eastAsia="TimesNewRomanPSMT" w:hAnsi="Arial" w:cs="Arial"/>
          <w:sz w:val="24"/>
          <w:szCs w:val="24"/>
        </w:rPr>
        <w:t xml:space="preserve">. Chemical functionalization of E3 ligase ligands with photolabile groups. Varied strategies have been used to introduce </w:t>
      </w:r>
      <w:r w:rsidR="00A7193E">
        <w:rPr>
          <w:rFonts w:ascii="Arial" w:eastAsia="TimesNewRomanPSMT" w:hAnsi="Arial" w:cs="Arial"/>
          <w:sz w:val="24"/>
          <w:szCs w:val="24"/>
        </w:rPr>
        <w:t xml:space="preserve">the </w:t>
      </w:r>
      <w:r w:rsidRPr="00A267FF">
        <w:rPr>
          <w:rFonts w:ascii="Arial" w:eastAsia="TimesNewRomanPSMT" w:hAnsi="Arial" w:cs="Arial"/>
          <w:sz w:val="24"/>
          <w:szCs w:val="24"/>
        </w:rPr>
        <w:t xml:space="preserve">caging groups via acylation or alkylation with most groups installed relatively early in the synthesis as direct chemical modification of the parent PROTAC in the final step </w:t>
      </w:r>
      <w:r w:rsidR="000E5DA5">
        <w:rPr>
          <w:rFonts w:ascii="Arial" w:eastAsia="TimesNewRomanPSMT" w:hAnsi="Arial" w:cs="Arial"/>
          <w:sz w:val="24"/>
          <w:szCs w:val="24"/>
        </w:rPr>
        <w:t>was</w:t>
      </w:r>
      <w:r w:rsidRPr="00A267FF">
        <w:rPr>
          <w:rFonts w:ascii="Arial" w:eastAsia="TimesNewRomanPSMT" w:hAnsi="Arial" w:cs="Arial"/>
          <w:sz w:val="24"/>
          <w:szCs w:val="24"/>
        </w:rPr>
        <w:t xml:space="preserve"> not always feasible. The yield reported represents the yield of the caging step. “Early” caging refers to a synthetic route in which the caging group was not directly attached to the parent PROTAC as opposed to “</w:t>
      </w:r>
      <w:r>
        <w:rPr>
          <w:rFonts w:ascii="Arial" w:eastAsia="TimesNewRomanPSMT" w:hAnsi="Arial" w:cs="Arial"/>
          <w:sz w:val="24"/>
          <w:szCs w:val="24"/>
        </w:rPr>
        <w:t>late</w:t>
      </w:r>
      <w:r w:rsidRPr="00A267FF">
        <w:rPr>
          <w:rFonts w:ascii="Arial" w:eastAsia="TimesNewRomanPSMT" w:hAnsi="Arial" w:cs="Arial"/>
          <w:sz w:val="24"/>
          <w:szCs w:val="24"/>
        </w:rPr>
        <w:t>” caging. DBU = 1,8-Diazabicyclo[5.4.0]undec-7-ene, DEACM = diethylamino coumarin, DIPEA = N,N-Diisopropylethylamine, DMNB = 4,5-dimethoxy-2-nitrobenzyl, NaHMDS = Sodium bis(trimethylsilyl)amide,  NPOM</w:t>
      </w:r>
      <w:r w:rsidR="00D73889">
        <w:rPr>
          <w:rFonts w:ascii="Arial" w:eastAsia="TimesNewRomanPSMT" w:hAnsi="Arial" w:cs="Arial"/>
          <w:sz w:val="24"/>
          <w:szCs w:val="24"/>
        </w:rPr>
        <w:t xml:space="preserve"> </w:t>
      </w:r>
      <w:r w:rsidRPr="00A267FF">
        <w:rPr>
          <w:rFonts w:ascii="Arial" w:eastAsia="TimesNewRomanPSMT" w:hAnsi="Arial" w:cs="Arial"/>
          <w:sz w:val="24"/>
          <w:szCs w:val="24"/>
        </w:rPr>
        <w:t>= 6-nitropiperonyloxymethyl.</w:t>
      </w:r>
    </w:p>
    <w:p w14:paraId="52FA0C0A" w14:textId="77777777" w:rsidR="004F5D43" w:rsidRDefault="004F5D43" w:rsidP="0018505C">
      <w:pPr>
        <w:autoSpaceDE w:val="0"/>
        <w:autoSpaceDN w:val="0"/>
        <w:adjustRightInd w:val="0"/>
        <w:spacing w:after="0" w:line="480" w:lineRule="auto"/>
        <w:jc w:val="both"/>
        <w:rPr>
          <w:rFonts w:ascii="Arial" w:eastAsia="TimesNewRomanPSMT" w:hAnsi="Arial" w:cs="Arial"/>
          <w:sz w:val="24"/>
          <w:szCs w:val="24"/>
        </w:rPr>
      </w:pPr>
    </w:p>
    <w:p w14:paraId="305ED59E" w14:textId="3A4AEAB0" w:rsidR="0016583B" w:rsidRPr="000E0DB5" w:rsidRDefault="0018505C" w:rsidP="0016583B">
      <w:pPr>
        <w:autoSpaceDE w:val="0"/>
        <w:autoSpaceDN w:val="0"/>
        <w:adjustRightInd w:val="0"/>
        <w:spacing w:after="0" w:line="480" w:lineRule="auto"/>
        <w:jc w:val="both"/>
        <w:rPr>
          <w:rFonts w:ascii="Arial" w:eastAsia="TimesNewRomanPSMT" w:hAnsi="Arial" w:cs="Arial"/>
          <w:bCs/>
          <w:sz w:val="24"/>
          <w:szCs w:val="24"/>
        </w:rPr>
      </w:pPr>
      <w:r w:rsidRPr="000E0DB5">
        <w:rPr>
          <w:rFonts w:ascii="Arial" w:eastAsia="TimesNewRomanPSMT" w:hAnsi="Arial" w:cs="Arial"/>
          <w:sz w:val="24"/>
          <w:szCs w:val="24"/>
        </w:rPr>
        <w:t xml:space="preserve">While thalidomide and its derivatives could be efficiently alkylated on their imide portion (Figure 3, caged PROTAC </w:t>
      </w:r>
      <w:r w:rsidRPr="000E0DB5">
        <w:rPr>
          <w:rFonts w:ascii="Arial" w:eastAsia="TimesNewRomanPSMT" w:hAnsi="Arial" w:cs="Arial"/>
          <w:b/>
          <w:bCs/>
          <w:sz w:val="24"/>
          <w:szCs w:val="24"/>
        </w:rPr>
        <w:t>5</w:t>
      </w:r>
      <w:r w:rsidRPr="000E0DB5">
        <w:rPr>
          <w:rFonts w:ascii="Arial" w:eastAsia="TimesNewRomanPSMT" w:hAnsi="Arial" w:cs="Arial"/>
          <w:sz w:val="24"/>
          <w:szCs w:val="24"/>
        </w:rPr>
        <w:t xml:space="preserve">), acylation to obtain a carbamate usually required a strong base and was achieved in moderate yields (Figure 3, caged PROTACs </w:t>
      </w:r>
      <w:r w:rsidRPr="000E0DB5">
        <w:rPr>
          <w:rFonts w:ascii="Arial" w:eastAsia="TimesNewRomanPSMT" w:hAnsi="Arial" w:cs="Arial"/>
          <w:b/>
          <w:bCs/>
          <w:sz w:val="24"/>
          <w:szCs w:val="24"/>
        </w:rPr>
        <w:t>2</w:t>
      </w:r>
      <w:r w:rsidRPr="000E0DB5">
        <w:rPr>
          <w:rFonts w:ascii="Arial" w:eastAsia="TimesNewRomanPSMT" w:hAnsi="Arial" w:cs="Arial"/>
          <w:sz w:val="24"/>
          <w:szCs w:val="24"/>
        </w:rPr>
        <w:t xml:space="preserve">, </w:t>
      </w:r>
      <w:r w:rsidRPr="000E0DB5">
        <w:rPr>
          <w:rFonts w:ascii="Arial" w:eastAsia="TimesNewRomanPSMT" w:hAnsi="Arial" w:cs="Arial"/>
          <w:b/>
          <w:bCs/>
          <w:sz w:val="24"/>
          <w:szCs w:val="24"/>
        </w:rPr>
        <w:t>6</w:t>
      </w:r>
      <w:r w:rsidRPr="000E0DB5">
        <w:rPr>
          <w:rFonts w:ascii="Arial" w:eastAsia="TimesNewRomanPSMT" w:hAnsi="Arial" w:cs="Arial"/>
          <w:sz w:val="24"/>
          <w:szCs w:val="24"/>
        </w:rPr>
        <w:t xml:space="preserve">, </w:t>
      </w:r>
      <w:r w:rsidRPr="000E0DB5">
        <w:rPr>
          <w:rFonts w:ascii="Arial" w:eastAsia="TimesNewRomanPSMT" w:hAnsi="Arial" w:cs="Arial"/>
          <w:b/>
          <w:bCs/>
          <w:sz w:val="24"/>
          <w:szCs w:val="24"/>
        </w:rPr>
        <w:t>7</w:t>
      </w:r>
      <w:r w:rsidRPr="000E0DB5">
        <w:rPr>
          <w:rFonts w:ascii="Arial" w:eastAsia="TimesNewRomanPSMT" w:hAnsi="Arial" w:cs="Arial"/>
          <w:sz w:val="24"/>
          <w:szCs w:val="24"/>
        </w:rPr>
        <w:t xml:space="preserve">). Late stage chemistry was also attempted to insert the DMNB group directly on the parent PROTAC of </w:t>
      </w:r>
      <w:r w:rsidRPr="000E0DB5">
        <w:rPr>
          <w:rFonts w:ascii="Arial" w:eastAsia="TimesNewRomanPSMT" w:hAnsi="Arial" w:cs="Arial"/>
          <w:b/>
          <w:bCs/>
          <w:sz w:val="24"/>
          <w:szCs w:val="24"/>
        </w:rPr>
        <w:t>3</w:t>
      </w:r>
      <w:r w:rsidR="00E80454" w:rsidRPr="00E80454">
        <w:rPr>
          <w:rFonts w:ascii="Arial" w:eastAsia="TimesNewRomanPSMT" w:hAnsi="Arial" w:cs="Arial"/>
          <w:sz w:val="24"/>
          <w:szCs w:val="24"/>
        </w:rPr>
        <w:t xml:space="preserve"> but it</w:t>
      </w:r>
      <w:r w:rsidR="00E80454">
        <w:rPr>
          <w:rFonts w:ascii="Arial" w:eastAsia="TimesNewRomanPSMT" w:hAnsi="Arial" w:cs="Arial"/>
          <w:sz w:val="24"/>
          <w:szCs w:val="24"/>
        </w:rPr>
        <w:t xml:space="preserve"> </w:t>
      </w:r>
      <w:r w:rsidR="00E80454" w:rsidRPr="00E80454">
        <w:rPr>
          <w:rFonts w:ascii="Arial" w:eastAsia="TimesNewRomanPSMT" w:hAnsi="Arial" w:cs="Arial"/>
          <w:sz w:val="24"/>
          <w:szCs w:val="24"/>
        </w:rPr>
        <w:t>delivered the caged molecule</w:t>
      </w:r>
      <w:r w:rsidR="00E80454">
        <w:rPr>
          <w:rFonts w:ascii="Arial" w:eastAsia="TimesNewRomanPSMT" w:hAnsi="Arial" w:cs="Arial"/>
          <w:sz w:val="24"/>
          <w:szCs w:val="24"/>
        </w:rPr>
        <w:t xml:space="preserve"> </w:t>
      </w:r>
      <w:r w:rsidR="00E80454" w:rsidRPr="00E80454">
        <w:rPr>
          <w:rFonts w:ascii="Arial" w:eastAsia="TimesNewRomanPSMT" w:hAnsi="Arial" w:cs="Arial"/>
          <w:sz w:val="24"/>
          <w:szCs w:val="24"/>
        </w:rPr>
        <w:t>in low yield</w:t>
      </w:r>
      <w:r w:rsidRPr="000E0DB5">
        <w:rPr>
          <w:rFonts w:ascii="Arial" w:eastAsia="TimesNewRomanPSMT" w:hAnsi="Arial" w:cs="Arial"/>
          <w:sz w:val="24"/>
          <w:szCs w:val="24"/>
        </w:rPr>
        <w:t>.</w:t>
      </w:r>
      <w:r w:rsidR="00E80454">
        <w:rPr>
          <w:rFonts w:ascii="Arial" w:eastAsia="TimesNewRomanPSMT" w:hAnsi="Arial" w:cs="Arial"/>
          <w:sz w:val="24"/>
          <w:szCs w:val="24"/>
        </w:rPr>
        <w:t xml:space="preserve"> A final</w:t>
      </w:r>
      <w:r w:rsidR="00E80454" w:rsidRPr="00E80454">
        <w:rPr>
          <w:rFonts w:ascii="Arial" w:eastAsia="TimesNewRomanPSMT" w:hAnsi="Arial" w:cs="Arial"/>
          <w:sz w:val="24"/>
          <w:szCs w:val="24"/>
        </w:rPr>
        <w:t xml:space="preserve"> caging step is advantageous</w:t>
      </w:r>
      <w:r w:rsidR="00E80454">
        <w:rPr>
          <w:rFonts w:ascii="Arial" w:eastAsia="TimesNewRomanPSMT" w:hAnsi="Arial" w:cs="Arial"/>
          <w:sz w:val="24"/>
          <w:szCs w:val="24"/>
        </w:rPr>
        <w:t>,</w:t>
      </w:r>
      <w:r w:rsidR="00E80454" w:rsidRPr="00E80454">
        <w:rPr>
          <w:rFonts w:ascii="Arial" w:eastAsia="TimesNewRomanPSMT" w:hAnsi="Arial" w:cs="Arial"/>
          <w:sz w:val="24"/>
          <w:szCs w:val="24"/>
        </w:rPr>
        <w:t xml:space="preserve"> since in theory,</w:t>
      </w:r>
      <w:r w:rsidR="00E80454">
        <w:rPr>
          <w:rFonts w:ascii="Arial" w:eastAsia="TimesNewRomanPSMT" w:hAnsi="Arial" w:cs="Arial"/>
          <w:sz w:val="24"/>
          <w:szCs w:val="24"/>
        </w:rPr>
        <w:t xml:space="preserve"> a</w:t>
      </w:r>
      <w:r w:rsidR="00E80454" w:rsidRPr="00E80454">
        <w:rPr>
          <w:rFonts w:ascii="Arial" w:eastAsia="TimesNewRomanPSMT" w:hAnsi="Arial" w:cs="Arial"/>
          <w:sz w:val="24"/>
          <w:szCs w:val="24"/>
        </w:rPr>
        <w:t xml:space="preserve"> small library of PROTACs </w:t>
      </w:r>
      <w:r w:rsidR="000413FE">
        <w:rPr>
          <w:rFonts w:ascii="Arial" w:eastAsia="TimesNewRomanPSMT" w:hAnsi="Arial" w:cs="Arial"/>
          <w:sz w:val="24"/>
          <w:szCs w:val="24"/>
        </w:rPr>
        <w:t>could</w:t>
      </w:r>
      <w:r w:rsidR="00E80454" w:rsidRPr="00E80454">
        <w:rPr>
          <w:rFonts w:ascii="Arial" w:eastAsia="TimesNewRomanPSMT" w:hAnsi="Arial" w:cs="Arial"/>
          <w:sz w:val="24"/>
          <w:szCs w:val="24"/>
        </w:rPr>
        <w:t xml:space="preserve"> be turned into a set of caged degraders </w:t>
      </w:r>
      <w:r w:rsidR="00E80454">
        <w:rPr>
          <w:rFonts w:ascii="Arial" w:eastAsia="TimesNewRomanPSMT" w:hAnsi="Arial" w:cs="Arial"/>
          <w:sz w:val="24"/>
          <w:szCs w:val="24"/>
        </w:rPr>
        <w:t>readily, p</w:t>
      </w:r>
      <w:r w:rsidR="00E80454" w:rsidRPr="00E80454">
        <w:rPr>
          <w:rFonts w:ascii="Arial" w:eastAsia="TimesNewRomanPSMT" w:hAnsi="Arial" w:cs="Arial"/>
          <w:sz w:val="24"/>
          <w:szCs w:val="24"/>
        </w:rPr>
        <w:t>rovided the warhead for the POI does not interfere with the chemistry</w:t>
      </w:r>
      <w:r w:rsidR="00E80454">
        <w:rPr>
          <w:rFonts w:ascii="Arial" w:eastAsia="TimesNewRomanPSMT" w:hAnsi="Arial" w:cs="Arial"/>
          <w:sz w:val="24"/>
          <w:szCs w:val="24"/>
        </w:rPr>
        <w:t xml:space="preserve"> </w:t>
      </w:r>
      <w:r w:rsidR="00120816">
        <w:rPr>
          <w:rFonts w:ascii="Arial" w:eastAsia="TimesNewRomanPSMT" w:hAnsi="Arial" w:cs="Arial"/>
          <w:sz w:val="24"/>
          <w:szCs w:val="24"/>
        </w:rPr>
        <w:t xml:space="preserve">to be </w:t>
      </w:r>
      <w:r w:rsidR="00E80454">
        <w:rPr>
          <w:rFonts w:ascii="Arial" w:eastAsia="TimesNewRomanPSMT" w:hAnsi="Arial" w:cs="Arial"/>
          <w:sz w:val="24"/>
          <w:szCs w:val="24"/>
        </w:rPr>
        <w:t xml:space="preserve">performed on the E3 ligand moiety. </w:t>
      </w:r>
      <w:r w:rsidR="00721907">
        <w:rPr>
          <w:rFonts w:ascii="Arial" w:eastAsia="TimesNewRomanPSMT" w:hAnsi="Arial" w:cs="Arial"/>
          <w:sz w:val="24"/>
          <w:szCs w:val="24"/>
        </w:rPr>
        <w:t>Comparable to</w:t>
      </w:r>
      <w:r w:rsidR="0016583B" w:rsidRPr="000E0DB5">
        <w:rPr>
          <w:rFonts w:ascii="Arial" w:eastAsia="TimesNewRomanPSMT" w:hAnsi="Arial" w:cs="Arial"/>
          <w:sz w:val="24"/>
          <w:szCs w:val="24"/>
        </w:rPr>
        <w:t xml:space="preserve"> the DMNB group, the </w:t>
      </w:r>
      <w:r w:rsidR="0016583B" w:rsidRPr="000E0DB5">
        <w:rPr>
          <w:rFonts w:ascii="Arial" w:eastAsia="TimesNewRomanPSMT" w:hAnsi="Arial" w:cs="Arial"/>
          <w:bCs/>
          <w:sz w:val="24"/>
          <w:szCs w:val="24"/>
        </w:rPr>
        <w:t xml:space="preserve">diethylamino coumarin </w:t>
      </w:r>
      <w:r w:rsidR="0016583B" w:rsidRPr="000E0DB5">
        <w:rPr>
          <w:rFonts w:ascii="Arial" w:eastAsia="TimesNewRomanPSMT" w:hAnsi="Arial" w:cs="Arial"/>
          <w:sz w:val="24"/>
          <w:szCs w:val="24"/>
        </w:rPr>
        <w:t>(DEA</w:t>
      </w:r>
      <w:r w:rsidR="00E377FA">
        <w:rPr>
          <w:rFonts w:ascii="Arial" w:eastAsia="TimesNewRomanPSMT" w:hAnsi="Arial" w:cs="Arial"/>
          <w:sz w:val="24"/>
          <w:szCs w:val="24"/>
        </w:rPr>
        <w:t>C</w:t>
      </w:r>
      <w:r w:rsidR="0016583B" w:rsidRPr="000E0DB5">
        <w:rPr>
          <w:rFonts w:ascii="Arial" w:eastAsia="TimesNewRomanPSMT" w:hAnsi="Arial" w:cs="Arial"/>
          <w:sz w:val="24"/>
          <w:szCs w:val="24"/>
        </w:rPr>
        <w:t xml:space="preserve">M) of </w:t>
      </w:r>
      <w:r w:rsidR="0016583B" w:rsidRPr="000E0DB5">
        <w:rPr>
          <w:rFonts w:ascii="Arial" w:eastAsia="TimesNewRomanPSMT" w:hAnsi="Arial" w:cs="Arial"/>
          <w:b/>
          <w:bCs/>
          <w:sz w:val="24"/>
          <w:szCs w:val="24"/>
        </w:rPr>
        <w:t>4</w:t>
      </w:r>
      <w:r w:rsidR="0016583B" w:rsidRPr="000E0DB5">
        <w:rPr>
          <w:rFonts w:ascii="Arial" w:eastAsia="TimesNewRomanPSMT" w:hAnsi="Arial" w:cs="Arial"/>
          <w:sz w:val="24"/>
          <w:szCs w:val="24"/>
        </w:rPr>
        <w:t xml:space="preserve"> could</w:t>
      </w:r>
      <w:r w:rsidR="0069700B">
        <w:rPr>
          <w:rFonts w:ascii="Arial" w:eastAsia="TimesNewRomanPSMT" w:hAnsi="Arial" w:cs="Arial"/>
          <w:sz w:val="24"/>
          <w:szCs w:val="24"/>
        </w:rPr>
        <w:t xml:space="preserve"> </w:t>
      </w:r>
      <w:r w:rsidR="0016583B" w:rsidRPr="000E0DB5">
        <w:rPr>
          <w:rFonts w:ascii="Arial" w:eastAsia="TimesNewRomanPSMT" w:hAnsi="Arial" w:cs="Arial"/>
          <w:sz w:val="24"/>
          <w:szCs w:val="24"/>
        </w:rPr>
        <w:t>be activated at 365</w:t>
      </w:r>
      <w:r w:rsidR="00E8108F">
        <w:rPr>
          <w:rFonts w:ascii="Arial" w:eastAsia="TimesNewRomanPSMT" w:hAnsi="Arial" w:cs="Arial"/>
          <w:sz w:val="24"/>
          <w:szCs w:val="24"/>
        </w:rPr>
        <w:t> </w:t>
      </w:r>
      <w:r w:rsidR="0016583B" w:rsidRPr="000E0DB5">
        <w:rPr>
          <w:rFonts w:ascii="Arial" w:eastAsia="TimesNewRomanPSMT" w:hAnsi="Arial" w:cs="Arial"/>
          <w:sz w:val="24"/>
          <w:szCs w:val="24"/>
        </w:rPr>
        <w:t>nm</w:t>
      </w:r>
      <w:r w:rsidR="0069700B">
        <w:rPr>
          <w:rFonts w:ascii="Arial" w:eastAsia="TimesNewRomanPSMT" w:hAnsi="Arial" w:cs="Arial"/>
          <w:sz w:val="24"/>
          <w:szCs w:val="24"/>
        </w:rPr>
        <w:t xml:space="preserve"> and </w:t>
      </w:r>
      <w:r w:rsidR="00120816">
        <w:rPr>
          <w:rFonts w:ascii="Arial" w:eastAsia="TimesNewRomanPSMT" w:hAnsi="Arial" w:cs="Arial"/>
          <w:sz w:val="24"/>
          <w:szCs w:val="24"/>
        </w:rPr>
        <w:t xml:space="preserve">also </w:t>
      </w:r>
      <w:r w:rsidR="0069700B">
        <w:rPr>
          <w:rFonts w:ascii="Arial" w:eastAsia="TimesNewRomanPSMT" w:hAnsi="Arial" w:cs="Arial"/>
          <w:sz w:val="24"/>
          <w:szCs w:val="24"/>
        </w:rPr>
        <w:t>at</w:t>
      </w:r>
      <w:r w:rsidR="00021BEF">
        <w:rPr>
          <w:rFonts w:ascii="Arial" w:eastAsia="TimesNewRomanPSMT" w:hAnsi="Arial" w:cs="Arial"/>
          <w:sz w:val="24"/>
          <w:szCs w:val="24"/>
        </w:rPr>
        <w:t xml:space="preserve"> the longer</w:t>
      </w:r>
      <w:r w:rsidR="0069700B">
        <w:rPr>
          <w:rFonts w:ascii="Arial" w:eastAsia="TimesNewRomanPSMT" w:hAnsi="Arial" w:cs="Arial"/>
          <w:sz w:val="24"/>
          <w:szCs w:val="24"/>
        </w:rPr>
        <w:t xml:space="preserve"> 405 nm</w:t>
      </w:r>
      <w:r w:rsidR="00021BEF">
        <w:rPr>
          <w:rFonts w:ascii="Arial" w:eastAsia="TimesNewRomanPSMT" w:hAnsi="Arial" w:cs="Arial"/>
          <w:sz w:val="24"/>
          <w:szCs w:val="24"/>
        </w:rPr>
        <w:t xml:space="preserve"> wavelength</w:t>
      </w:r>
      <w:r w:rsidR="0069700B">
        <w:rPr>
          <w:rFonts w:ascii="Arial" w:eastAsia="TimesNewRomanPSMT" w:hAnsi="Arial" w:cs="Arial"/>
          <w:sz w:val="24"/>
          <w:szCs w:val="24"/>
        </w:rPr>
        <w:t>.</w:t>
      </w:r>
      <w:r w:rsidR="00130665">
        <w:rPr>
          <w:rFonts w:ascii="Arial" w:eastAsia="TimesNewRomanPSMT" w:hAnsi="Arial" w:cs="Arial"/>
          <w:sz w:val="24"/>
          <w:szCs w:val="24"/>
        </w:rPr>
        <w:fldChar w:fldCharType="begin" w:fldLock="1"/>
      </w:r>
      <w:r w:rsidR="00251755">
        <w:rPr>
          <w:rFonts w:ascii="Arial" w:eastAsia="TimesNewRomanPSMT" w:hAnsi="Arial" w:cs="Arial"/>
          <w:sz w:val="24"/>
          <w:szCs w:val="24"/>
        </w:rPr>
        <w:instrText>ADDIN CSL_CITATION {"citationItems":[{"id":"ITEM-1","itemData":{"DOI":"10.1021/jacs.9b12718","ISSN":"15205126","abstract":"As an emerging approach to protein perturbation, small molecule-induced protein degradation has gained significant attention as both a chemical tool and a potential therapeutic. To enable discrete control over its function, we have developed a broadly applicable approach for the optical activation of small molecule-induced protein degradation. By installing two different photolabile protecting groups, so-called caging groups, onto two different ligands recruiting Von Hippel-Lindau (VHL) and cereblon (CRBN) E3 ubiquitin ligases, our strategy enables light-triggered protein degradation for any small molecule warhead.","author":[{"dropping-particle":"","family":"Naro","given":"Yuta","non-dropping-particle":"","parse-names":false,"suffix":""},{"dropping-particle":"","family":"Darrah","given":"Kristie","non-dropping-particle":"","parse-names":false,"suffix":""},{"dropping-particle":"","family":"Deiters","given":"Alexander","non-dropping-particle":"","parse-names":false,"suffix":""}],"container-title":"Journal of the American Chemical Society","id":"ITEM-1","issue":"5","issued":{"date-parts":[["2020"]]},"page":"2193-2197","title":"Optical Control of Small Molecule-Induced Protein Degradation","type":"article-journal","volume":"142"},"uris":["http://www.mendeley.com/documents/?uuid=05505e89-223e-4729-aa00-d8d8a5aa3d58"]}],"mendeley":{"formattedCitation":"&lt;sup&gt;32&lt;/sup&gt;","plainTextFormattedCitation":"32","previouslyFormattedCitation":"&lt;sup&gt;32&lt;/sup&gt;"},"properties":{"noteIndex":0},"schema":"https://github.com/citation-style-language/schema/raw/master/csl-citation.json"}</w:instrText>
      </w:r>
      <w:r w:rsidR="00130665">
        <w:rPr>
          <w:rFonts w:ascii="Arial" w:eastAsia="TimesNewRomanPSMT" w:hAnsi="Arial" w:cs="Arial"/>
          <w:sz w:val="24"/>
          <w:szCs w:val="24"/>
        </w:rPr>
        <w:fldChar w:fldCharType="separate"/>
      </w:r>
      <w:r w:rsidR="00130665" w:rsidRPr="00130665">
        <w:rPr>
          <w:rFonts w:ascii="Arial" w:eastAsia="TimesNewRomanPSMT" w:hAnsi="Arial" w:cs="Arial"/>
          <w:noProof/>
          <w:sz w:val="24"/>
          <w:szCs w:val="24"/>
          <w:vertAlign w:val="superscript"/>
        </w:rPr>
        <w:t>32</w:t>
      </w:r>
      <w:r w:rsidR="00130665">
        <w:rPr>
          <w:rFonts w:ascii="Arial" w:eastAsia="TimesNewRomanPSMT" w:hAnsi="Arial" w:cs="Arial"/>
          <w:sz w:val="24"/>
          <w:szCs w:val="24"/>
        </w:rPr>
        <w:fldChar w:fldCharType="end"/>
      </w:r>
    </w:p>
    <w:p w14:paraId="69A76408" w14:textId="32DDF190" w:rsidR="0016583B" w:rsidRPr="000E0DB5" w:rsidRDefault="0016583B" w:rsidP="0016583B">
      <w:pPr>
        <w:autoSpaceDE w:val="0"/>
        <w:autoSpaceDN w:val="0"/>
        <w:adjustRightInd w:val="0"/>
        <w:spacing w:after="0" w:line="480" w:lineRule="auto"/>
        <w:jc w:val="both"/>
        <w:rPr>
          <w:rFonts w:ascii="Arial" w:eastAsia="TimesNewRomanPSMT" w:hAnsi="Arial" w:cs="Arial"/>
          <w:sz w:val="24"/>
          <w:szCs w:val="24"/>
        </w:rPr>
      </w:pPr>
      <w:r w:rsidRPr="000E0DB5">
        <w:rPr>
          <w:rFonts w:ascii="Arial" w:eastAsia="TimesNewRomanPSMT" w:hAnsi="Arial" w:cs="Arial"/>
          <w:sz w:val="24"/>
          <w:szCs w:val="24"/>
        </w:rPr>
        <w:t xml:space="preserve">The photouncaging properties of the final molecules were evaluated in solution before initiating cell work. Upon irradiation for less than 180 seconds, greater than 50% uncaged material was observed in solution for most compounds (caged PROTACs </w:t>
      </w:r>
      <w:r w:rsidRPr="000E0DB5">
        <w:rPr>
          <w:rFonts w:ascii="Arial" w:eastAsia="TimesNewRomanPSMT" w:hAnsi="Arial" w:cs="Arial"/>
          <w:b/>
          <w:bCs/>
          <w:sz w:val="24"/>
          <w:szCs w:val="24"/>
        </w:rPr>
        <w:t>1</w:t>
      </w:r>
      <w:r w:rsidRPr="000E0DB5">
        <w:rPr>
          <w:rFonts w:ascii="Arial" w:eastAsia="TimesNewRomanPSMT" w:hAnsi="Arial" w:cs="Arial"/>
          <w:sz w:val="24"/>
          <w:szCs w:val="24"/>
        </w:rPr>
        <w:t xml:space="preserve">, </w:t>
      </w:r>
      <w:r w:rsidRPr="000E0DB5">
        <w:rPr>
          <w:rFonts w:ascii="Arial" w:eastAsia="TimesNewRomanPSMT" w:hAnsi="Arial" w:cs="Arial"/>
          <w:b/>
          <w:bCs/>
          <w:sz w:val="24"/>
          <w:szCs w:val="24"/>
        </w:rPr>
        <w:t>3</w:t>
      </w:r>
      <w:r w:rsidRPr="000E0DB5">
        <w:rPr>
          <w:rFonts w:ascii="Arial" w:eastAsia="TimesNewRomanPSMT" w:hAnsi="Arial" w:cs="Arial"/>
          <w:sz w:val="24"/>
          <w:szCs w:val="24"/>
        </w:rPr>
        <w:t xml:space="preserve">, </w:t>
      </w:r>
      <w:r w:rsidRPr="000E0DB5">
        <w:rPr>
          <w:rFonts w:ascii="Arial" w:eastAsia="TimesNewRomanPSMT" w:hAnsi="Arial" w:cs="Arial"/>
          <w:b/>
          <w:bCs/>
          <w:sz w:val="24"/>
          <w:szCs w:val="24"/>
        </w:rPr>
        <w:t>4</w:t>
      </w:r>
      <w:r w:rsidRPr="000E0DB5">
        <w:rPr>
          <w:rFonts w:ascii="Arial" w:eastAsia="TimesNewRomanPSMT" w:hAnsi="Arial" w:cs="Arial"/>
          <w:sz w:val="24"/>
          <w:szCs w:val="24"/>
        </w:rPr>
        <w:t xml:space="preserve">, </w:t>
      </w:r>
      <w:r w:rsidRPr="000E0DB5">
        <w:rPr>
          <w:rFonts w:ascii="Arial" w:eastAsia="TimesNewRomanPSMT" w:hAnsi="Arial" w:cs="Arial"/>
          <w:b/>
          <w:bCs/>
          <w:sz w:val="24"/>
          <w:szCs w:val="24"/>
        </w:rPr>
        <w:t>5</w:t>
      </w:r>
      <w:r w:rsidRPr="000E0DB5">
        <w:rPr>
          <w:rFonts w:ascii="Arial" w:eastAsia="TimesNewRomanPSMT" w:hAnsi="Arial" w:cs="Arial"/>
          <w:sz w:val="24"/>
          <w:szCs w:val="24"/>
        </w:rPr>
        <w:t xml:space="preserve"> and </w:t>
      </w:r>
      <w:r w:rsidRPr="000E0DB5">
        <w:rPr>
          <w:rFonts w:ascii="Arial" w:eastAsia="TimesNewRomanPSMT" w:hAnsi="Arial" w:cs="Arial"/>
          <w:b/>
          <w:bCs/>
          <w:sz w:val="24"/>
          <w:szCs w:val="24"/>
        </w:rPr>
        <w:t>8</w:t>
      </w:r>
      <w:r w:rsidRPr="000E0DB5">
        <w:rPr>
          <w:rFonts w:ascii="Arial" w:eastAsia="TimesNewRomanPSMT" w:hAnsi="Arial" w:cs="Arial"/>
          <w:sz w:val="24"/>
          <w:szCs w:val="24"/>
        </w:rPr>
        <w:t xml:space="preserve">). Interestingly, compound </w:t>
      </w:r>
      <w:r w:rsidRPr="000E0DB5">
        <w:rPr>
          <w:rFonts w:ascii="Arial" w:eastAsia="TimesNewRomanPSMT" w:hAnsi="Arial" w:cs="Arial"/>
          <w:b/>
          <w:bCs/>
          <w:sz w:val="24"/>
          <w:szCs w:val="24"/>
        </w:rPr>
        <w:t xml:space="preserve">2 </w:t>
      </w:r>
      <w:r w:rsidRPr="000E0DB5">
        <w:rPr>
          <w:rFonts w:ascii="Arial" w:eastAsia="TimesNewRomanPSMT" w:hAnsi="Arial" w:cs="Arial"/>
          <w:sz w:val="24"/>
          <w:szCs w:val="24"/>
        </w:rPr>
        <w:t>failed to release any significant amount of active PROTAC after irradiat</w:t>
      </w:r>
      <w:r w:rsidR="00FE70C9" w:rsidRPr="000E0DB5">
        <w:rPr>
          <w:rFonts w:ascii="Arial" w:eastAsia="TimesNewRomanPSMT" w:hAnsi="Arial" w:cs="Arial"/>
          <w:sz w:val="24"/>
          <w:szCs w:val="24"/>
        </w:rPr>
        <w:t>ion</w:t>
      </w:r>
      <w:r w:rsidRPr="000E0DB5">
        <w:rPr>
          <w:rFonts w:ascii="Arial" w:eastAsia="TimesNewRomanPSMT" w:hAnsi="Arial" w:cs="Arial"/>
          <w:sz w:val="24"/>
          <w:szCs w:val="24"/>
        </w:rPr>
        <w:t xml:space="preserve"> for 10 mins in </w:t>
      </w:r>
      <w:r w:rsidR="009736A8">
        <w:rPr>
          <w:rFonts w:ascii="Arial" w:eastAsia="TimesNewRomanPSMT" w:hAnsi="Arial" w:cs="Arial"/>
          <w:sz w:val="24"/>
          <w:szCs w:val="24"/>
        </w:rPr>
        <w:t>phosphate buffered saline (</w:t>
      </w:r>
      <w:r w:rsidRPr="000E0DB5">
        <w:rPr>
          <w:rFonts w:ascii="Arial" w:eastAsia="TimesNewRomanPSMT" w:hAnsi="Arial" w:cs="Arial"/>
          <w:sz w:val="24"/>
          <w:szCs w:val="24"/>
        </w:rPr>
        <w:t>PBS</w:t>
      </w:r>
      <w:r w:rsidR="009736A8">
        <w:rPr>
          <w:rFonts w:ascii="Arial" w:eastAsia="TimesNewRomanPSMT" w:hAnsi="Arial" w:cs="Arial"/>
          <w:sz w:val="24"/>
          <w:szCs w:val="24"/>
        </w:rPr>
        <w:t xml:space="preserve">) </w:t>
      </w:r>
      <w:r w:rsidRPr="000E0DB5">
        <w:rPr>
          <w:rFonts w:ascii="Arial" w:eastAsia="TimesNewRomanPSMT" w:hAnsi="Arial" w:cs="Arial"/>
          <w:sz w:val="24"/>
          <w:szCs w:val="24"/>
        </w:rPr>
        <w:t xml:space="preserve">solution and was eventually not tested in cells. On the contrary, compound </w:t>
      </w:r>
      <w:r w:rsidRPr="000E0DB5">
        <w:rPr>
          <w:rFonts w:ascii="Arial" w:eastAsia="TimesNewRomanPSMT" w:hAnsi="Arial" w:cs="Arial"/>
          <w:b/>
          <w:bCs/>
          <w:sz w:val="24"/>
          <w:szCs w:val="24"/>
        </w:rPr>
        <w:t>6</w:t>
      </w:r>
      <w:r w:rsidRPr="000E0DB5">
        <w:rPr>
          <w:rFonts w:ascii="Arial" w:eastAsia="TimesNewRomanPSMT" w:hAnsi="Arial" w:cs="Arial"/>
          <w:sz w:val="24"/>
          <w:szCs w:val="24"/>
        </w:rPr>
        <w:t xml:space="preserve"> which was made from the same precursor PROTAC as </w:t>
      </w:r>
      <w:r w:rsidRPr="000E0DB5">
        <w:rPr>
          <w:rFonts w:ascii="Arial" w:eastAsia="TimesNewRomanPSMT" w:hAnsi="Arial" w:cs="Arial"/>
          <w:b/>
          <w:bCs/>
          <w:sz w:val="24"/>
          <w:szCs w:val="24"/>
        </w:rPr>
        <w:t>2</w:t>
      </w:r>
      <w:r w:rsidRPr="000E0DB5">
        <w:rPr>
          <w:rFonts w:ascii="Arial" w:eastAsia="TimesNewRomanPSMT" w:hAnsi="Arial" w:cs="Arial"/>
          <w:sz w:val="24"/>
          <w:szCs w:val="24"/>
        </w:rPr>
        <w:t xml:space="preserve"> (dBET1) and carried </w:t>
      </w:r>
      <w:r w:rsidR="00FE70C9" w:rsidRPr="000E0DB5">
        <w:rPr>
          <w:rFonts w:ascii="Arial" w:eastAsia="TimesNewRomanPSMT" w:hAnsi="Arial" w:cs="Arial"/>
          <w:sz w:val="24"/>
          <w:szCs w:val="24"/>
        </w:rPr>
        <w:t xml:space="preserve">an </w:t>
      </w:r>
      <w:r w:rsidRPr="000E0DB5">
        <w:rPr>
          <w:rFonts w:ascii="Arial" w:eastAsia="TimesNewRomanPSMT" w:hAnsi="Arial" w:cs="Arial"/>
          <w:sz w:val="24"/>
          <w:szCs w:val="24"/>
        </w:rPr>
        <w:t>identical caging group under</w:t>
      </w:r>
      <w:r w:rsidR="00FE70C9" w:rsidRPr="000E0DB5">
        <w:rPr>
          <w:rFonts w:ascii="Arial" w:eastAsia="TimesNewRomanPSMT" w:hAnsi="Arial" w:cs="Arial"/>
          <w:sz w:val="24"/>
          <w:szCs w:val="24"/>
        </w:rPr>
        <w:t>went</w:t>
      </w:r>
      <w:r w:rsidRPr="000E0DB5">
        <w:rPr>
          <w:rFonts w:ascii="Arial" w:eastAsia="TimesNewRomanPSMT" w:hAnsi="Arial" w:cs="Arial"/>
          <w:sz w:val="24"/>
          <w:szCs w:val="24"/>
        </w:rPr>
        <w:t xml:space="preserve"> photolysis to release the active degrader, although a prolonged irradiation time was required to reach </w:t>
      </w:r>
      <w:r w:rsidR="00870525">
        <w:rPr>
          <w:rFonts w:ascii="Arial" w:eastAsia="TimesNewRomanPSMT" w:hAnsi="Arial" w:cs="Arial"/>
          <w:sz w:val="24"/>
          <w:szCs w:val="24"/>
        </w:rPr>
        <w:t>significant u</w:t>
      </w:r>
      <w:r w:rsidRPr="000E0DB5">
        <w:rPr>
          <w:rFonts w:ascii="Arial" w:eastAsia="TimesNewRomanPSMT" w:hAnsi="Arial" w:cs="Arial"/>
          <w:sz w:val="24"/>
          <w:szCs w:val="24"/>
        </w:rPr>
        <w:t>ncaging in solution (</w:t>
      </w:r>
      <w:r w:rsidR="00715475" w:rsidRPr="000E0DB5">
        <w:rPr>
          <w:rFonts w:ascii="Arial" w:eastAsia="TimesNewRomanPSMT" w:hAnsi="Arial" w:cs="Arial"/>
          <w:sz w:val="24"/>
          <w:szCs w:val="24"/>
        </w:rPr>
        <w:t>t</w:t>
      </w:r>
      <w:r w:rsidR="00715475" w:rsidRPr="000E0DB5">
        <w:rPr>
          <w:rFonts w:ascii="Arial" w:eastAsia="TimesNewRomanPSMT" w:hAnsi="Arial" w:cs="Arial"/>
          <w:sz w:val="24"/>
          <w:szCs w:val="24"/>
          <w:vertAlign w:val="subscript"/>
        </w:rPr>
        <w:t xml:space="preserve">1/2 </w:t>
      </w:r>
      <w:r w:rsidR="00715475" w:rsidRPr="000E0DB5">
        <w:rPr>
          <w:rFonts w:ascii="Arial" w:eastAsia="TimesNewRomanPSMT" w:hAnsi="Arial" w:cs="Arial"/>
          <w:sz w:val="24"/>
          <w:szCs w:val="24"/>
        </w:rPr>
        <w:t>= 58 mins</w:t>
      </w:r>
      <w:r w:rsidR="00715475">
        <w:rPr>
          <w:rFonts w:ascii="Arial" w:eastAsia="TimesNewRomanPSMT" w:hAnsi="Arial" w:cs="Arial"/>
          <w:sz w:val="24"/>
          <w:szCs w:val="24"/>
        </w:rPr>
        <w:t xml:space="preserve">, </w:t>
      </w:r>
      <w:r w:rsidR="00870525">
        <w:rPr>
          <w:rFonts w:ascii="Arial" w:eastAsia="TimesNewRomanPSMT" w:hAnsi="Arial" w:cs="Arial"/>
          <w:sz w:val="24"/>
          <w:szCs w:val="24"/>
        </w:rPr>
        <w:t xml:space="preserve">reported </w:t>
      </w:r>
      <w:r w:rsidR="00715475">
        <w:rPr>
          <w:rFonts w:ascii="Arial" w:eastAsia="TimesNewRomanPSMT" w:hAnsi="Arial" w:cs="Arial"/>
          <w:sz w:val="24"/>
          <w:szCs w:val="24"/>
        </w:rPr>
        <w:t xml:space="preserve">time to get 50% uncaging from a 1 mM solution of </w:t>
      </w:r>
      <w:r w:rsidR="00715475" w:rsidRPr="00715475">
        <w:rPr>
          <w:rFonts w:ascii="Arial" w:eastAsia="TimesNewRomanPSMT" w:hAnsi="Arial" w:cs="Arial"/>
          <w:b/>
          <w:bCs/>
          <w:sz w:val="24"/>
          <w:szCs w:val="24"/>
        </w:rPr>
        <w:t>6</w:t>
      </w:r>
      <w:r w:rsidR="00D03BA7">
        <w:rPr>
          <w:rFonts w:ascii="Arial" w:eastAsia="TimesNewRomanPSMT" w:hAnsi="Arial" w:cs="Arial"/>
          <w:b/>
          <w:bCs/>
          <w:sz w:val="24"/>
          <w:szCs w:val="24"/>
        </w:rPr>
        <w:t xml:space="preserve"> </w:t>
      </w:r>
      <w:r w:rsidR="00D03BA7" w:rsidRPr="00D03BA7">
        <w:rPr>
          <w:rFonts w:ascii="Arial" w:eastAsia="TimesNewRomanPSMT" w:hAnsi="Arial" w:cs="Arial"/>
          <w:sz w:val="24"/>
          <w:szCs w:val="24"/>
        </w:rPr>
        <w:t>as measured by UV-Vis</w:t>
      </w:r>
      <w:r w:rsidRPr="000E0DB5">
        <w:rPr>
          <w:rFonts w:ascii="Arial" w:eastAsia="TimesNewRomanPSMT" w:hAnsi="Arial" w:cs="Arial"/>
          <w:sz w:val="24"/>
          <w:szCs w:val="24"/>
        </w:rPr>
        <w:t xml:space="preserve">). </w:t>
      </w:r>
      <w:r w:rsidR="00FE70C9" w:rsidRPr="000E0DB5">
        <w:rPr>
          <w:rFonts w:ascii="Arial" w:eastAsia="TimesNewRomanPSMT" w:hAnsi="Arial" w:cs="Arial"/>
          <w:sz w:val="24"/>
          <w:szCs w:val="24"/>
        </w:rPr>
        <w:t>H</w:t>
      </w:r>
      <w:r w:rsidRPr="000E0DB5">
        <w:rPr>
          <w:rFonts w:ascii="Arial" w:eastAsia="TimesNewRomanPSMT" w:hAnsi="Arial" w:cs="Arial"/>
          <w:sz w:val="24"/>
          <w:szCs w:val="24"/>
        </w:rPr>
        <w:t xml:space="preserve">igh efficiency in releasing the parent molecule upon irradiation (i.e. good quantum yield) is often a desired feature </w:t>
      </w:r>
      <w:r w:rsidR="00FE70C9" w:rsidRPr="000E0DB5">
        <w:rPr>
          <w:rFonts w:ascii="Arial" w:eastAsia="TimesNewRomanPSMT" w:hAnsi="Arial" w:cs="Arial"/>
          <w:sz w:val="24"/>
          <w:szCs w:val="24"/>
        </w:rPr>
        <w:t xml:space="preserve">of </w:t>
      </w:r>
      <w:r w:rsidRPr="000E0DB5">
        <w:rPr>
          <w:rFonts w:ascii="Arial" w:eastAsia="TimesNewRomanPSMT" w:hAnsi="Arial" w:cs="Arial"/>
          <w:sz w:val="24"/>
          <w:szCs w:val="24"/>
        </w:rPr>
        <w:t xml:space="preserve">a </w:t>
      </w:r>
      <w:r w:rsidR="00FE70C9" w:rsidRPr="000E0DB5">
        <w:rPr>
          <w:rFonts w:ascii="Arial" w:eastAsia="TimesNewRomanPSMT" w:hAnsi="Arial" w:cs="Arial"/>
          <w:sz w:val="24"/>
          <w:szCs w:val="24"/>
        </w:rPr>
        <w:t xml:space="preserve">photocage, however, </w:t>
      </w:r>
      <w:r w:rsidRPr="000E0DB5">
        <w:rPr>
          <w:rFonts w:ascii="Arial" w:eastAsia="TimesNewRomanPSMT" w:hAnsi="Arial" w:cs="Arial"/>
          <w:sz w:val="24"/>
          <w:szCs w:val="24"/>
        </w:rPr>
        <w:t xml:space="preserve">the catalytic </w:t>
      </w:r>
      <w:r w:rsidR="00FE70C9" w:rsidRPr="000E0DB5">
        <w:rPr>
          <w:rFonts w:ascii="Arial" w:eastAsia="TimesNewRomanPSMT" w:hAnsi="Arial" w:cs="Arial"/>
          <w:sz w:val="24"/>
          <w:szCs w:val="24"/>
        </w:rPr>
        <w:t xml:space="preserve">mode of action </w:t>
      </w:r>
      <w:r w:rsidRPr="000E0DB5">
        <w:rPr>
          <w:rFonts w:ascii="Arial" w:eastAsia="TimesNewRomanPSMT" w:hAnsi="Arial" w:cs="Arial"/>
          <w:sz w:val="24"/>
          <w:szCs w:val="24"/>
        </w:rPr>
        <w:t xml:space="preserve">of PROTACs may </w:t>
      </w:r>
      <w:r w:rsidR="00FE70C9" w:rsidRPr="000E0DB5">
        <w:rPr>
          <w:rFonts w:ascii="Arial" w:eastAsia="TimesNewRomanPSMT" w:hAnsi="Arial" w:cs="Arial"/>
          <w:sz w:val="24"/>
          <w:szCs w:val="24"/>
        </w:rPr>
        <w:t>compensate for this limitation</w:t>
      </w:r>
      <w:r w:rsidRPr="000E0DB5">
        <w:rPr>
          <w:rFonts w:ascii="Arial" w:eastAsia="TimesNewRomanPSMT" w:hAnsi="Arial" w:cs="Arial"/>
          <w:sz w:val="24"/>
          <w:szCs w:val="24"/>
        </w:rPr>
        <w:t xml:space="preserve">. Despite much slower cleavage kinetics than other caged PROTACs, compounds </w:t>
      </w:r>
      <w:r w:rsidRPr="000E0DB5">
        <w:rPr>
          <w:rFonts w:ascii="Arial" w:eastAsia="TimesNewRomanPSMT" w:hAnsi="Arial" w:cs="Arial"/>
          <w:b/>
          <w:bCs/>
          <w:sz w:val="24"/>
          <w:szCs w:val="24"/>
        </w:rPr>
        <w:t>6</w:t>
      </w:r>
      <w:r w:rsidRPr="000E0DB5">
        <w:rPr>
          <w:rFonts w:ascii="Arial" w:eastAsia="TimesNewRomanPSMT" w:hAnsi="Arial" w:cs="Arial"/>
          <w:sz w:val="24"/>
          <w:szCs w:val="24"/>
        </w:rPr>
        <w:t xml:space="preserve"> and </w:t>
      </w:r>
      <w:r w:rsidRPr="000E0DB5">
        <w:rPr>
          <w:rFonts w:ascii="Arial" w:eastAsia="TimesNewRomanPSMT" w:hAnsi="Arial" w:cs="Arial"/>
          <w:b/>
          <w:bCs/>
          <w:sz w:val="24"/>
          <w:szCs w:val="24"/>
        </w:rPr>
        <w:t>7</w:t>
      </w:r>
      <w:r w:rsidRPr="000E0DB5">
        <w:rPr>
          <w:rFonts w:ascii="Arial" w:eastAsia="TimesNewRomanPSMT" w:hAnsi="Arial" w:cs="Arial"/>
          <w:sz w:val="24"/>
          <w:szCs w:val="24"/>
        </w:rPr>
        <w:t xml:space="preserve"> did degrade their respective target upon irradiation</w:t>
      </w:r>
      <w:r w:rsidR="00FE70C9" w:rsidRPr="000E0DB5">
        <w:rPr>
          <w:rFonts w:ascii="Arial" w:eastAsia="TimesNewRomanPSMT" w:hAnsi="Arial" w:cs="Arial"/>
          <w:sz w:val="24"/>
          <w:szCs w:val="24"/>
        </w:rPr>
        <w:t>,</w:t>
      </w:r>
      <w:r w:rsidRPr="000E0DB5">
        <w:rPr>
          <w:rFonts w:ascii="Arial" w:eastAsia="TimesNewRomanPSMT" w:hAnsi="Arial" w:cs="Arial"/>
          <w:sz w:val="24"/>
          <w:szCs w:val="24"/>
        </w:rPr>
        <w:t xml:space="preserve"> and within a concentration range close to their parent PROTAC. </w:t>
      </w:r>
    </w:p>
    <w:p w14:paraId="59A77E0E" w14:textId="76DA594E" w:rsidR="0091158F" w:rsidRPr="000E0DB5" w:rsidRDefault="0091158F" w:rsidP="0091158F">
      <w:pPr>
        <w:autoSpaceDE w:val="0"/>
        <w:autoSpaceDN w:val="0"/>
        <w:adjustRightInd w:val="0"/>
        <w:spacing w:after="0" w:line="480" w:lineRule="auto"/>
        <w:jc w:val="both"/>
        <w:rPr>
          <w:rFonts w:ascii="Arial" w:eastAsia="TimesNewRomanPSMT" w:hAnsi="Arial" w:cs="Arial"/>
          <w:sz w:val="24"/>
          <w:szCs w:val="24"/>
        </w:rPr>
      </w:pPr>
      <w:r w:rsidRPr="000E0DB5">
        <w:rPr>
          <w:rFonts w:ascii="Arial" w:eastAsia="TimesNewRomanPSMT" w:hAnsi="Arial" w:cs="Arial"/>
          <w:sz w:val="24"/>
          <w:szCs w:val="24"/>
        </w:rPr>
        <w:t xml:space="preserve">For VHL-based caged degraders </w:t>
      </w:r>
      <w:r w:rsidRPr="000E0DB5">
        <w:rPr>
          <w:rFonts w:ascii="Arial" w:eastAsia="TimesNewRomanPSMT" w:hAnsi="Arial" w:cs="Arial"/>
          <w:b/>
          <w:bCs/>
          <w:sz w:val="24"/>
          <w:szCs w:val="24"/>
        </w:rPr>
        <w:t>4</w:t>
      </w:r>
      <w:r w:rsidRPr="000E0DB5">
        <w:rPr>
          <w:rFonts w:ascii="Arial" w:eastAsia="TimesNewRomanPSMT" w:hAnsi="Arial" w:cs="Arial"/>
          <w:sz w:val="24"/>
          <w:szCs w:val="24"/>
        </w:rPr>
        <w:t xml:space="preserve"> and </w:t>
      </w:r>
      <w:r w:rsidRPr="000E0DB5">
        <w:rPr>
          <w:rFonts w:ascii="Arial" w:eastAsia="TimesNewRomanPSMT" w:hAnsi="Arial" w:cs="Arial"/>
          <w:b/>
          <w:bCs/>
          <w:sz w:val="24"/>
          <w:szCs w:val="24"/>
        </w:rPr>
        <w:t>8</w:t>
      </w:r>
      <w:r w:rsidRPr="000E0DB5">
        <w:rPr>
          <w:rFonts w:ascii="Arial" w:eastAsia="TimesNewRomanPSMT" w:hAnsi="Arial" w:cs="Arial"/>
          <w:sz w:val="24"/>
          <w:szCs w:val="24"/>
        </w:rPr>
        <w:t xml:space="preserve">, the chemistry was performed on the hydroxyl group of the VHL ligand. Naro et al. synthesized </w:t>
      </w:r>
      <w:r w:rsidR="00FE70C9" w:rsidRPr="000E0DB5">
        <w:rPr>
          <w:rFonts w:ascii="Arial" w:eastAsia="TimesNewRomanPSMT" w:hAnsi="Arial" w:cs="Arial"/>
          <w:sz w:val="24"/>
          <w:szCs w:val="24"/>
        </w:rPr>
        <w:t xml:space="preserve">a </w:t>
      </w:r>
      <w:r w:rsidRPr="000E0DB5">
        <w:rPr>
          <w:rFonts w:ascii="Arial" w:eastAsia="TimesNewRomanPSMT" w:hAnsi="Arial" w:cs="Arial"/>
          <w:sz w:val="24"/>
          <w:szCs w:val="24"/>
        </w:rPr>
        <w:t xml:space="preserve">DEACM caging group before O-acylating the parent PROTAC at the final stage with a reasonable yield, whereas our group used phase </w:t>
      </w:r>
      <w:r w:rsidR="00527B18" w:rsidRPr="009736A8">
        <w:rPr>
          <w:rFonts w:ascii="Arial" w:eastAsia="TimesNewRomanPSMT" w:hAnsi="Arial" w:cs="Arial"/>
          <w:sz w:val="24"/>
          <w:szCs w:val="24"/>
        </w:rPr>
        <w:t>trans</w:t>
      </w:r>
      <w:r w:rsidRPr="000E0DB5">
        <w:rPr>
          <w:rFonts w:ascii="Arial" w:eastAsia="TimesNewRomanPSMT" w:hAnsi="Arial" w:cs="Arial"/>
          <w:sz w:val="24"/>
          <w:szCs w:val="24"/>
        </w:rPr>
        <w:t xml:space="preserve">fer catalysis to successfully install the DMNB group </w:t>
      </w:r>
      <w:r w:rsidR="00FE70C9" w:rsidRPr="000E0DB5">
        <w:rPr>
          <w:rFonts w:ascii="Arial" w:eastAsia="TimesNewRomanPSMT" w:hAnsi="Arial" w:cs="Arial"/>
          <w:sz w:val="24"/>
          <w:szCs w:val="24"/>
        </w:rPr>
        <w:t xml:space="preserve">early on </w:t>
      </w:r>
      <w:r w:rsidRPr="000E0DB5">
        <w:rPr>
          <w:rFonts w:ascii="Arial" w:eastAsia="TimesNewRomanPSMT" w:hAnsi="Arial" w:cs="Arial"/>
          <w:sz w:val="24"/>
          <w:szCs w:val="24"/>
        </w:rPr>
        <w:t>via O-alkylation (Figure 3).</w:t>
      </w:r>
    </w:p>
    <w:p w14:paraId="38D89894" w14:textId="77777777" w:rsidR="007F50B2" w:rsidRPr="000E0DB5" w:rsidRDefault="007F50B2" w:rsidP="0091158F">
      <w:pPr>
        <w:autoSpaceDE w:val="0"/>
        <w:autoSpaceDN w:val="0"/>
        <w:adjustRightInd w:val="0"/>
        <w:spacing w:after="0" w:line="480" w:lineRule="auto"/>
        <w:jc w:val="both"/>
        <w:rPr>
          <w:rFonts w:ascii="Arial" w:eastAsia="TimesNewRomanPSMT" w:hAnsi="Arial" w:cs="Arial"/>
          <w:sz w:val="24"/>
          <w:szCs w:val="24"/>
        </w:rPr>
      </w:pPr>
    </w:p>
    <w:p w14:paraId="1D59E188" w14:textId="492B1391" w:rsidR="007F50B2" w:rsidRPr="00E936EA" w:rsidRDefault="00E936EA" w:rsidP="0018505C">
      <w:pPr>
        <w:autoSpaceDE w:val="0"/>
        <w:autoSpaceDN w:val="0"/>
        <w:adjustRightInd w:val="0"/>
        <w:spacing w:after="0" w:line="480" w:lineRule="auto"/>
        <w:jc w:val="both"/>
        <w:rPr>
          <w:rFonts w:ascii="Arial" w:eastAsia="TimesNewRomanPSMT" w:hAnsi="Arial" w:cs="Arial"/>
          <w:bCs/>
          <w:sz w:val="24"/>
          <w:szCs w:val="24"/>
        </w:rPr>
      </w:pPr>
      <w:r>
        <w:rPr>
          <w:rFonts w:ascii="Arial" w:eastAsia="TimesNewRomanPSMT" w:hAnsi="Arial" w:cs="Arial"/>
          <w:bCs/>
          <w:sz w:val="24"/>
          <w:szCs w:val="24"/>
        </w:rPr>
        <w:t xml:space="preserve">2.3 </w:t>
      </w:r>
      <w:r w:rsidR="002A0CAE" w:rsidRPr="00E936EA">
        <w:rPr>
          <w:rFonts w:ascii="Arial" w:eastAsia="TimesNewRomanPSMT" w:hAnsi="Arial" w:cs="Arial"/>
          <w:bCs/>
          <w:sz w:val="24"/>
          <w:szCs w:val="24"/>
        </w:rPr>
        <w:t>C</w:t>
      </w:r>
      <w:r w:rsidR="00EE5211" w:rsidRPr="00E936EA">
        <w:rPr>
          <w:rFonts w:ascii="Arial" w:eastAsia="TimesNewRomanPSMT" w:hAnsi="Arial" w:cs="Arial"/>
          <w:bCs/>
          <w:sz w:val="24"/>
          <w:szCs w:val="24"/>
        </w:rPr>
        <w:t>A</w:t>
      </w:r>
      <w:r w:rsidR="000C73BF" w:rsidRPr="00E936EA">
        <w:rPr>
          <w:rFonts w:ascii="Arial" w:eastAsia="TimesNewRomanPSMT" w:hAnsi="Arial" w:cs="Arial"/>
          <w:bCs/>
          <w:sz w:val="24"/>
          <w:szCs w:val="24"/>
        </w:rPr>
        <w:t>GED DEGRADERS IN ACTION</w:t>
      </w:r>
    </w:p>
    <w:p w14:paraId="32E7EFC2" w14:textId="06E5AA0A" w:rsidR="002A0CAE" w:rsidRPr="000E0DB5" w:rsidRDefault="002A0CAE" w:rsidP="002A0CAE">
      <w:pPr>
        <w:autoSpaceDE w:val="0"/>
        <w:autoSpaceDN w:val="0"/>
        <w:adjustRightInd w:val="0"/>
        <w:spacing w:after="0" w:line="480" w:lineRule="auto"/>
        <w:jc w:val="both"/>
        <w:rPr>
          <w:rFonts w:ascii="Arial" w:eastAsia="TimesNewRomanPSMT" w:hAnsi="Arial" w:cs="Arial"/>
          <w:bCs/>
          <w:i/>
          <w:iCs/>
          <w:sz w:val="24"/>
          <w:szCs w:val="24"/>
        </w:rPr>
      </w:pPr>
      <w:r w:rsidRPr="000E0DB5">
        <w:rPr>
          <w:rFonts w:ascii="Arial" w:eastAsia="TimesNewRomanPSMT" w:hAnsi="Arial" w:cs="Arial"/>
          <w:bCs/>
          <w:i/>
          <w:iCs/>
          <w:sz w:val="24"/>
          <w:szCs w:val="24"/>
        </w:rPr>
        <w:t xml:space="preserve">Bromodomain-containing protein 4 (BRD4) </w:t>
      </w:r>
    </w:p>
    <w:p w14:paraId="18FD4B3C" w14:textId="70A23D30" w:rsidR="009E4846" w:rsidRDefault="002A0CAE" w:rsidP="009E4846">
      <w:pPr>
        <w:autoSpaceDE w:val="0"/>
        <w:autoSpaceDN w:val="0"/>
        <w:adjustRightInd w:val="0"/>
        <w:spacing w:after="0" w:line="480" w:lineRule="auto"/>
        <w:jc w:val="both"/>
        <w:rPr>
          <w:rFonts w:ascii="Arial" w:eastAsia="TimesNewRomanPSMT" w:hAnsi="Arial" w:cs="Arial"/>
          <w:b/>
          <w:bCs/>
          <w:sz w:val="24"/>
          <w:szCs w:val="24"/>
        </w:rPr>
      </w:pPr>
      <w:r w:rsidRPr="000E0DB5">
        <w:rPr>
          <w:rFonts w:ascii="Arial" w:eastAsia="TimesNewRomanPSMT" w:hAnsi="Arial" w:cs="Arial"/>
          <w:sz w:val="24"/>
          <w:szCs w:val="24"/>
        </w:rPr>
        <w:t>Degradation of bromodomain and extra terminal (BET) proteins with PROTACs has been explored extensively,</w:t>
      </w:r>
      <w:r w:rsidR="00BC1D90" w:rsidRPr="000E0DB5">
        <w:rPr>
          <w:rFonts w:ascii="Arial" w:eastAsia="TimesNewRomanPSMT" w:hAnsi="Arial" w:cs="Arial"/>
          <w:sz w:val="24"/>
          <w:szCs w:val="24"/>
        </w:rPr>
        <w:fldChar w:fldCharType="begin" w:fldLock="1"/>
      </w:r>
      <w:r w:rsidR="00130665">
        <w:rPr>
          <w:rFonts w:ascii="Arial" w:eastAsia="TimesNewRomanPSMT" w:hAnsi="Arial" w:cs="Arial"/>
          <w:sz w:val="24"/>
          <w:szCs w:val="24"/>
        </w:rPr>
        <w:instrText>ADDIN CSL_CITATION {"citationItems":[{"id":"ITEM-1","itemData":{"DOI":"10.1016/j.ddtec.2019.04.001","ISSN":"17406749","abstract":"The PROteolysis TArgeting Chimeric (PROTAC) concept has provided an opportunity for the discovery and development of a completely new type of therapy involving induction of protein degradation. The BET proteins, comprised of BRD2, BRD3, BRD4 and the testis-specific BRDT protein, are epigenetic readers and master transcription coactivators. Extremely potent and efficacious small-molecule PROTAC degraders of the BET proteins, based on available, potent and selective BET inhibitors, have been reported. BET degraders differ from BET inhibitors in their cellular potency, phenotypic effects, pharmacokinetic properties and toxicity profiles. Herein, we provide a review of BET degraders and the differential outcome observed in the cellular and animal models for BET degraders in comparison to BET inhibitors.","author":[{"dropping-particle":"","family":"Yang","given":"Chao Yie","non-dropping-particle":"","parse-names":false,"suffix":""},{"dropping-particle":"","family":"Qin","given":"Chong","non-dropping-particle":"","parse-names":false,"suffix":""},{"dropping-particle":"","family":"Bai","given":"Longchuan","non-dropping-particle":"","parse-names":false,"suffix":""},{"dropping-particle":"","family":"Wang","given":"Shaomeng","non-dropping-particle":"","parse-names":false,"suffix":""}],"container-title":"Drug Discovery Today: Technologies","id":"ITEM-1","issue":"xx","issued":{"date-parts":[["2019"]]},"page":"43-51","publisher":"Elsevier Ltd","title":"Small-molecule PROTAC degraders of the Bromodomain and Extra Terminal (BET) proteins — A review","type":"article-journal","volume":"31"},"uris":["http://www.mendeley.com/documents/?uuid=d235e862-8c9d-4c8d-8356-76c639bce262"]}],"mendeley":{"formattedCitation":"&lt;sup&gt;47&lt;/sup&gt;","plainTextFormattedCitation":"47","previouslyFormattedCitation":"&lt;sup&gt;47&lt;/sup&gt;"},"properties":{"noteIndex":0},"schema":"https://github.com/citation-style-language/schema/raw/master/csl-citation.json"}</w:instrText>
      </w:r>
      <w:r w:rsidR="00BC1D90" w:rsidRPr="000E0DB5">
        <w:rPr>
          <w:rFonts w:ascii="Arial" w:eastAsia="TimesNewRomanPSMT" w:hAnsi="Arial" w:cs="Arial"/>
          <w:sz w:val="24"/>
          <w:szCs w:val="24"/>
        </w:rPr>
        <w:fldChar w:fldCharType="separate"/>
      </w:r>
      <w:r w:rsidR="00384278" w:rsidRPr="00384278">
        <w:rPr>
          <w:rFonts w:ascii="Arial" w:eastAsia="TimesNewRomanPSMT" w:hAnsi="Arial" w:cs="Arial"/>
          <w:noProof/>
          <w:sz w:val="24"/>
          <w:szCs w:val="24"/>
          <w:vertAlign w:val="superscript"/>
        </w:rPr>
        <w:t>47</w:t>
      </w:r>
      <w:r w:rsidR="00BC1D90"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and BETs are often used </w:t>
      </w:r>
      <w:r w:rsidR="00FE70C9" w:rsidRPr="000E0DB5">
        <w:rPr>
          <w:rFonts w:ascii="Arial" w:eastAsia="TimesNewRomanPSMT" w:hAnsi="Arial" w:cs="Arial"/>
          <w:sz w:val="24"/>
          <w:szCs w:val="24"/>
        </w:rPr>
        <w:t xml:space="preserve">as targets </w:t>
      </w:r>
      <w:r w:rsidRPr="000E0DB5">
        <w:rPr>
          <w:rFonts w:ascii="Arial" w:eastAsia="TimesNewRomanPSMT" w:hAnsi="Arial" w:cs="Arial"/>
          <w:sz w:val="24"/>
          <w:szCs w:val="24"/>
        </w:rPr>
        <w:t>to validate new assays and methodologies related to targeted protein degradation.</w:t>
      </w:r>
      <w:r w:rsidRPr="000E0DB5">
        <w:rPr>
          <w:rFonts w:ascii="Arial" w:eastAsia="TimesNewRomanPSMT" w:hAnsi="Arial" w:cs="Arial"/>
          <w:b/>
          <w:bCs/>
          <w:sz w:val="24"/>
          <w:szCs w:val="24"/>
        </w:rPr>
        <w:t xml:space="preserve"> </w:t>
      </w:r>
      <w:r w:rsidR="006478EE" w:rsidRPr="000E0DB5">
        <w:rPr>
          <w:rFonts w:ascii="Arial" w:eastAsia="TimesNewRomanPSMT" w:hAnsi="Arial" w:cs="Arial"/>
          <w:sz w:val="24"/>
          <w:szCs w:val="24"/>
        </w:rPr>
        <w:t>BRD</w:t>
      </w:r>
      <w:r w:rsidR="009A3ABE" w:rsidRPr="000E0DB5">
        <w:rPr>
          <w:rFonts w:ascii="Arial" w:eastAsia="TimesNewRomanPSMT" w:hAnsi="Arial" w:cs="Arial"/>
          <w:sz w:val="24"/>
          <w:szCs w:val="24"/>
        </w:rPr>
        <w:t>4</w:t>
      </w:r>
      <w:r w:rsidR="00B7257D" w:rsidRPr="000E0DB5">
        <w:rPr>
          <w:rFonts w:ascii="Arial" w:eastAsia="TimesNewRomanPSMT" w:hAnsi="Arial" w:cs="Arial"/>
          <w:sz w:val="24"/>
          <w:szCs w:val="24"/>
        </w:rPr>
        <w:t xml:space="preserve"> </w:t>
      </w:r>
      <w:r w:rsidR="00FE70C9" w:rsidRPr="000E0DB5">
        <w:rPr>
          <w:rFonts w:ascii="Arial" w:eastAsia="TimesNewRomanPSMT" w:hAnsi="Arial" w:cs="Arial"/>
          <w:sz w:val="24"/>
          <w:szCs w:val="24"/>
        </w:rPr>
        <w:t xml:space="preserve">is also </w:t>
      </w:r>
      <w:r w:rsidR="00B7257D" w:rsidRPr="000E0DB5">
        <w:rPr>
          <w:rFonts w:ascii="Arial" w:eastAsia="TimesNewRomanPSMT" w:hAnsi="Arial" w:cs="Arial"/>
          <w:sz w:val="24"/>
          <w:szCs w:val="24"/>
        </w:rPr>
        <w:t>an important</w:t>
      </w:r>
      <w:r w:rsidR="009A3ABE" w:rsidRPr="000E0DB5">
        <w:rPr>
          <w:rFonts w:ascii="Arial" w:eastAsia="TimesNewRomanPSMT" w:hAnsi="Arial" w:cs="Arial"/>
          <w:sz w:val="24"/>
          <w:szCs w:val="24"/>
        </w:rPr>
        <w:t xml:space="preserve"> target in oncology due to its role in regulation of several genes associated with cell proliferation and maintenance of cell cycle.</w:t>
      </w:r>
      <w:r w:rsidR="00B7257D" w:rsidRPr="000E0DB5">
        <w:rPr>
          <w:rFonts w:ascii="Arial" w:eastAsia="TimesNewRomanPSMT" w:hAnsi="Arial" w:cs="Arial"/>
          <w:sz w:val="24"/>
          <w:szCs w:val="24"/>
        </w:rPr>
        <w:fldChar w:fldCharType="begin" w:fldLock="1"/>
      </w:r>
      <w:r w:rsidR="00130665">
        <w:rPr>
          <w:rFonts w:ascii="Arial" w:eastAsia="TimesNewRomanPSMT" w:hAnsi="Arial" w:cs="Arial"/>
          <w:sz w:val="24"/>
          <w:szCs w:val="24"/>
        </w:rPr>
        <w:instrText>ADDIN CSL_CITATION {"citationItems":[{"id":"ITEM-1","itemData":{"DOI":"10.1038/nature10334","ISSN":"0028-0836","author":[{"dropping-particle":"","family":"Zuber","given":"Johannes","non-dropping-particle":"","parse-names":false,"suffix":""},{"dropping-particle":"","family":"Shi","given":"Junwei","non-dropping-particle":"","parse-names":false,"suffix":""},{"dropping-particle":"","family":"Wang","given":"Eric","non-dropping-particle":"","parse-names":false,"suffix":""},{"dropping-particle":"","family":"Rappaport","given":"Amy R","non-dropping-particle":"","parse-names":false,"suffix":""},{"dropping-particle":"","family":"Herrmann","given":"Harald","non-dropping-particle":"","parse-names":false,"suffix":""},{"dropping-particle":"","family":"Sison","given":"Edward A","non-dropping-particle":"","parse-names":false,"suffix":""},{"dropping-particle":"","family":"Magoon","given":"Daniel","non-dropping-particle":"","parse-names":false,"suffix":""},{"dropping-particle":"","family":"Qi","given":"Jun","non-dropping-particle":"","parse-names":false,"suffix":""},{"dropping-particle":"","family":"Blatt","given":"Katharina","non-dropping-particle":"","parse-names":false,"suffix":""},{"dropping-particle":"","family":"Wunderlich","given":"Mark","non-dropping-particle":"","parse-names":false,"suffix":""},{"dropping-particle":"","family":"Taylor","given":"Meredith J.","non-dropping-particle":"","parse-names":false,"suffix":""},{"dropping-particle":"","family":"Johns","given":"Christopher","non-dropping-particle":"","parse-names":false,"suffix":""},{"dropping-particle":"","family":"Chicas","given":"Agustin","non-dropping-particle":"","parse-names":false,"suffix":""},{"dropping-particle":"","family":"Mulloy","given":"James C","non-dropping-particle":"","parse-names":false,"suffix":""},{"dropping-particle":"","family":"Kogan","given":"Scott C","non-dropping-particle":"","parse-names":false,"suffix":""},{"dropping-particle":"","family":"Brown","given":"Patrick","non-dropping-particle":"","parse-names":false,"suffix":""},{"dropping-particle":"","family":"Valent","given":"Peter","non-dropping-particle":"","parse-names":false,"suffix":""},{"dropping-particle":"","family":"Bradner","given":"James E","non-dropping-particle":"","parse-names":false,"suffix":""},{"dropping-particle":"","family":"Lowe","given":"Scott W","non-dropping-particle":"","parse-names":false,"suffix":""},{"dropping-particle":"","family":"Vakoc","given":"Christopher R.","non-dropping-particle":"","parse-names":false,"suffix":""}],"container-title":"Nature","id":"ITEM-1","issue":"7370","issued":{"date-parts":[["2011","10","3"]]},"page":"524-528","title":"RNAi screen identifies Brd4 as a therapeutic target in acute myeloid leukaemia","type":"article-journal","volume":"478"},"uris":["http://www.mendeley.com/documents/?uuid=24f77997-69ad-4202-bbc8-c0c594e845dd"]}],"mendeley":{"formattedCitation":"&lt;sup&gt;48&lt;/sup&gt;","plainTextFormattedCitation":"48","previouslyFormattedCitation":"&lt;sup&gt;48&lt;/sup&gt;"},"properties":{"noteIndex":0},"schema":"https://github.com/citation-style-language/schema/raw/master/csl-citation.json"}</w:instrText>
      </w:r>
      <w:r w:rsidR="00B7257D" w:rsidRPr="000E0DB5">
        <w:rPr>
          <w:rFonts w:ascii="Arial" w:eastAsia="TimesNewRomanPSMT" w:hAnsi="Arial" w:cs="Arial"/>
          <w:sz w:val="24"/>
          <w:szCs w:val="24"/>
        </w:rPr>
        <w:fldChar w:fldCharType="separate"/>
      </w:r>
      <w:r w:rsidR="00384278" w:rsidRPr="00384278">
        <w:rPr>
          <w:rFonts w:ascii="Arial" w:eastAsia="TimesNewRomanPSMT" w:hAnsi="Arial" w:cs="Arial"/>
          <w:noProof/>
          <w:sz w:val="24"/>
          <w:szCs w:val="24"/>
          <w:vertAlign w:val="superscript"/>
        </w:rPr>
        <w:t>48</w:t>
      </w:r>
      <w:r w:rsidR="00B7257D" w:rsidRPr="000E0DB5">
        <w:rPr>
          <w:rFonts w:ascii="Arial" w:eastAsia="TimesNewRomanPSMT" w:hAnsi="Arial" w:cs="Arial"/>
          <w:sz w:val="24"/>
          <w:szCs w:val="24"/>
        </w:rPr>
        <w:fldChar w:fldCharType="end"/>
      </w:r>
      <w:r w:rsidR="009A3ABE" w:rsidRPr="000E0DB5">
        <w:rPr>
          <w:rFonts w:ascii="Arial" w:eastAsia="TimesNewRomanPSMT" w:hAnsi="Arial" w:cs="Arial"/>
          <w:sz w:val="24"/>
          <w:szCs w:val="24"/>
        </w:rPr>
        <w:t xml:space="preserve"> Therefore, controlling BRD4 stability with light-activated degraders would provide a compelling way to modulate cancer cell proliferation in a spatiotemporal manner. BRD4 degraders such as dBET1, MZ1 or ARV-825 are </w:t>
      </w:r>
      <w:r w:rsidR="00FE70C9" w:rsidRPr="000E0DB5">
        <w:rPr>
          <w:rFonts w:ascii="Arial" w:eastAsia="TimesNewRomanPSMT" w:hAnsi="Arial" w:cs="Arial"/>
          <w:sz w:val="24"/>
          <w:szCs w:val="24"/>
        </w:rPr>
        <w:t>well-</w:t>
      </w:r>
      <w:r w:rsidR="009A3ABE" w:rsidRPr="000E0DB5">
        <w:rPr>
          <w:rFonts w:ascii="Arial" w:eastAsia="TimesNewRomanPSMT" w:hAnsi="Arial" w:cs="Arial"/>
          <w:sz w:val="24"/>
          <w:szCs w:val="24"/>
        </w:rPr>
        <w:t>validated chemical tools</w:t>
      </w:r>
      <w:r w:rsidR="00FE70C9" w:rsidRPr="000E0DB5">
        <w:rPr>
          <w:rFonts w:ascii="Arial" w:eastAsia="TimesNewRomanPSMT" w:hAnsi="Arial" w:cs="Arial"/>
          <w:sz w:val="24"/>
          <w:szCs w:val="24"/>
        </w:rPr>
        <w:t xml:space="preserve"> with potent cellular activity</w:t>
      </w:r>
      <w:r w:rsidR="00B7257D" w:rsidRPr="000E0DB5">
        <w:rPr>
          <w:rFonts w:ascii="Arial" w:eastAsia="TimesNewRomanPSMT" w:hAnsi="Arial" w:cs="Arial"/>
          <w:sz w:val="24"/>
          <w:szCs w:val="24"/>
        </w:rPr>
        <w:t>,</w:t>
      </w:r>
      <w:r w:rsidR="00E936EA">
        <w:rPr>
          <w:rFonts w:ascii="Arial" w:eastAsia="TimesNewRomanPSMT" w:hAnsi="Arial" w:cs="Arial"/>
          <w:sz w:val="24"/>
          <w:szCs w:val="24"/>
        </w:rPr>
        <w:fldChar w:fldCharType="begin" w:fldLock="1"/>
      </w:r>
      <w:r w:rsidR="002C6D4C">
        <w:rPr>
          <w:rFonts w:ascii="Arial" w:eastAsia="TimesNewRomanPSMT" w:hAnsi="Arial" w:cs="Arial"/>
          <w:sz w:val="24"/>
          <w:szCs w:val="24"/>
        </w:rPr>
        <w:instrText>ADDIN CSL_CITATION {"citationItems":[{"id":"ITEM-1","itemData":{"DOI":"10.1126/science.aab1433","ISSN":"10959203","PMID":"25999370","abstract":"The development of effective pharmacological inhibitors of multidomain scaffold proteins, notably transcription factors, is a particularly challenging problem. In part, this is because many small-molecule antagonists disrupt the activity of only one domain in the target protein. We devised a chemical strategy that promotes ligand-dependent target protein degradation using as an example the transcriptional coactivator BRD4, a protein critical for cancer cell growth and survival. We appended a competitive antagonist of BET bromodomains to a phthalimide moiety to hijack the cereblon E3 ubiquitin ligase complex. The resultant compound, dBET1, induced highly selective cereblon-dependent BET protein degradation in vitro and in vivo and delayed leukemia progression in mice. A second series of probes resulted in selective degradation of the cytosolic protein FKBP12. This chemical strategy for controlling target protein stability may have implications for therapeutically targeting previously intractable proteins.","author":[{"dropping-particle":"","family":"Winter","given":"Georg E.","non-dropping-particle":"","parse-names":false,"suffix":""},{"dropping-particle":"","family":"Buckley","given":"Dennis L.","non-dropping-particle":"","parse-names":false,"suffix":""},{"dropping-particle":"","family":"Paulk","given":"Joshiawa","non-dropping-particle":"","parse-names":false,"suffix":""},{"dropping-particle":"","family":"Roberts","given":"Justin M.","non-dropping-particle":"","parse-names":false,"suffix":""},{"dropping-particle":"","family":"Souza","given":"Amanda","non-dropping-particle":"","parse-names":false,"suffix":""},{"dropping-particle":"","family":"Dhe-Paganon","given":"Sirano","non-dropping-particle":"","parse-names":false,"suffix":""},{"dropping-particle":"","family":"Bradner","given":"James E.","non-dropping-particle":"","parse-names":false,"suffix":""}],"container-title":"Science","id":"ITEM-1","issue":"6241","issued":{"date-parts":[["2015"]]},"page":"1376-1381","title":"Phthalimide conjugation as a strategy for in vivo target protein degradation","type":"article-journal","volume":"348"},"uris":["http://www.mendeley.com/documents/?uuid=d40dfdb1-2d21-4f47-a357-da8689d330ad"]},{"id":"ITEM-2","itemData":{"DOI":"10.1021/acschembio.5b00216","ISSN":"15548937","PMID":"26035625","abstract":"The Bromo- and Extra-Terminal (BET) proteins BRD2, BRD3, and BRD4 play important roles in transcriptional regulation, epigenetics, and cancer and are the targets of pan-BET selective bromodomain inhibitor JQ1. However, the lack of intra-BET selectivity limits the scope of current inhibitors as probes for target validation and could lead to unwanted side effects or toxicity in a therapeutic setting. We designed Proteolysis Targeted Chimeras (PROTACs) that tether JQ1 to a ligand for the E3 ubiquitin ligase VHL, aimed at triggering the intracellular destruction of BET proteins. Compound MZ1 potently and rapidly induces reversible, long-lasting, and unexpectedly selective removal of BRD4 over BRD2 and BRD3. The activity of MZ1 is dependent on binding to VHL but is achieved at a sufficiently low concentration not to induce stabilization of HIF-1α. Gene expression profiles of selected cancer-related genes responsive to JQ1 reveal distinct and more limited transcriptional responses induced by MZ1, consistent with selective suppression of BRD4. Our discovery opens up new opportunities to elucidate the cellular phenotypes and therapeutic implications associated with selective targeting of BRD4.","author":[{"dropping-particle":"","family":"Zengerle","given":"Michael","non-dropping-particle":"","parse-names":false,"suffix":""},{"dropping-particle":"","family":"Chan","given":"Kwok Ho","non-dropping-particle":"","parse-names":false,"suffix":""},{"dropping-particle":"","family":"Ciulli","given":"Alessio","non-dropping-particle":"","parse-names":false,"suffix":""}],"container-title":"ACS Chemical Biology","id":"ITEM-2","issue":"8","issued":{"date-parts":[["2015"]]},"page":"1770-1777","title":"Selective Small Molecule Induced Degradation of the BET Bromodomain Protein BRD4","type":"article-journal","volume":"10"},"uris":["http://www.mendeley.com/documents/?uuid=e747e638-859b-4ea8-9c1b-722d43e184d6"]},{"id":"ITEM-3","itemData":{"DOI":"10.1016/j.chembiol.2015.05.009","ISSN":"10745521","abstract":"BRD4, a bromodomain and extraterminal domain (BET) family member, is an attractive target in multiple pathological settings, particularly cancer. While BRD4 inhibitors have shown some promise in MYC-driven malignancies such as Burkitt's lymphoma (BL), we show that BRD4 inhibitors lead to robust BRD4 protein accumulation, which may account for their limited suppression of MYC expression, modest antiproliferative activity, and lack of apoptotic induction. To address these limitations we designed ARV-825, a hetero-bifunctional PROTAC (Proteolysis Targeting Chimera) that recruits BRD4 to the E3 ubiquitin ligase cereblon, leading to fast, efficient, and prolonged degradation of BRD4 in all BL cell lines tested. Consequently, ARV-825 more effectively suppresses c-MYC levels and downstream signaling than small-molecule BRD4 inhibitors, resulting in more effective cell proliferation inhibition and apoptosis induction in BL. Our findings provide strong evidence that cereblon-based PROTACs provide a better and more efficient strategy in targeting BRD4 than traditional small-molecule inhibitors.","author":[{"dropping-particle":"","family":"Lu","given":"Jing","non-dropping-particle":"","parse-names":false,"suffix":""},{"dropping-particle":"","family":"Qian","given":"Yimin","non-dropping-particle":"","parse-names":false,"suffix":""},{"dropping-particle":"","family":"Altieri","given":"Martha","non-dropping-particle":"","parse-names":false,"suffix":""},{"dropping-particle":"","family":"Dong","given":"Hanqing","non-dropping-particle":"","parse-names":false,"suffix":""},{"dropping-particle":"","family":"Wang","given":"Jing","non-dropping-particle":"","parse-names":false,"suffix":""},{"dropping-particle":"","family":"Raina","given":"Kanak","non-dropping-particle":"","parse-names":false,"suffix":""},{"dropping-particle":"","family":"Hines","given":"John","non-dropping-particle":"","parse-names":false,"suffix":""},{"dropping-particle":"","family":"Winkler","given":"James D.","non-dropping-particle":"","parse-names":false,"suffix":""},{"dropping-particle":"","family":"Crew","given":"Andrew P.","non-dropping-particle":"","parse-names":false,"suffix":""},{"dropping-particle":"","family":"Coleman","given":"Kevin","non-dropping-particle":"","parse-names":false,"suffix":""},{"dropping-particle":"","family":"Crews","given":"Craig M.","non-dropping-particle":"","parse-names":false,"suffix":""}],"container-title":"Chemistry and Biology","id":"ITEM-3","issue":"6","issued":{"date-parts":[["2015"]]},"page":"755-763","publisher":"Elsevier","title":"Hijacking the E3 Ubiquitin Ligase Cereblon to Efficiently Target BRD4","type":"article-journal","volume":"22"},"uris":["http://www.mendeley.com/documents/?uuid=f10b8114-544d-44fd-9622-6294f4fbb2cb"]}],"mendeley":{"formattedCitation":"&lt;sup&gt;42,44,49&lt;/sup&gt;","plainTextFormattedCitation":"42,44,49","previouslyFormattedCitation":"&lt;sup&gt;42,44,49&lt;/sup&gt;"},"properties":{"noteIndex":0},"schema":"https://github.com/citation-style-language/schema/raw/master/csl-citation.json"}</w:instrText>
      </w:r>
      <w:r w:rsidR="00E936EA">
        <w:rPr>
          <w:rFonts w:ascii="Arial" w:eastAsia="TimesNewRomanPSMT" w:hAnsi="Arial" w:cs="Arial"/>
          <w:sz w:val="24"/>
          <w:szCs w:val="24"/>
        </w:rPr>
        <w:fldChar w:fldCharType="separate"/>
      </w:r>
      <w:r w:rsidR="00E936EA" w:rsidRPr="00E936EA">
        <w:rPr>
          <w:rFonts w:ascii="Arial" w:eastAsia="TimesNewRomanPSMT" w:hAnsi="Arial" w:cs="Arial"/>
          <w:noProof/>
          <w:sz w:val="24"/>
          <w:szCs w:val="24"/>
          <w:vertAlign w:val="superscript"/>
        </w:rPr>
        <w:t>42,44,49</w:t>
      </w:r>
      <w:r w:rsidR="00E936EA">
        <w:rPr>
          <w:rFonts w:ascii="Arial" w:eastAsia="TimesNewRomanPSMT" w:hAnsi="Arial" w:cs="Arial"/>
          <w:sz w:val="24"/>
          <w:szCs w:val="24"/>
        </w:rPr>
        <w:fldChar w:fldCharType="end"/>
      </w:r>
      <w:r w:rsidR="009A3ABE" w:rsidRPr="000E0DB5">
        <w:rPr>
          <w:rFonts w:ascii="Arial" w:eastAsia="TimesNewRomanPSMT" w:hAnsi="Arial" w:cs="Arial"/>
          <w:b/>
          <w:bCs/>
          <w:sz w:val="24"/>
          <w:szCs w:val="24"/>
        </w:rPr>
        <w:t xml:space="preserve"> </w:t>
      </w:r>
      <w:r w:rsidR="009A3ABE" w:rsidRPr="000E0DB5">
        <w:rPr>
          <w:rFonts w:ascii="Arial" w:eastAsia="TimesNewRomanPSMT" w:hAnsi="Arial" w:cs="Arial"/>
          <w:sz w:val="24"/>
          <w:szCs w:val="24"/>
        </w:rPr>
        <w:t>and have shown promising pharmacodynamic effects in preclinical mouse models.</w:t>
      </w:r>
      <w:r w:rsidR="00E33C8C" w:rsidRPr="000E0DB5">
        <w:rPr>
          <w:rFonts w:ascii="Arial" w:eastAsia="TimesNewRomanPSMT" w:hAnsi="Arial" w:cs="Arial"/>
          <w:sz w:val="24"/>
          <w:szCs w:val="24"/>
        </w:rPr>
        <w:fldChar w:fldCharType="begin" w:fldLock="1"/>
      </w:r>
      <w:r w:rsidR="002C6D4C">
        <w:rPr>
          <w:rFonts w:ascii="Arial" w:eastAsia="TimesNewRomanPSMT" w:hAnsi="Arial" w:cs="Arial"/>
          <w:sz w:val="24"/>
          <w:szCs w:val="24"/>
        </w:rPr>
        <w:instrText>ADDIN CSL_CITATION {"citationItems":[{"id":"ITEM-1","itemData":{"DOI":"10.1186/s13046-019-1387-5","ISBN":"1304601913875","ISSN":"17569966","abstract":"Background: Triple negative breast cancer (TNBC) is an incurable disease where novel therapeutic strategies are needed. Proteolysis targeting chimeric (PROTAC) are novel compounds that promote protein degradation by binding to an ubiquitin ligase. In this work, we explored the antitumoral activity of two novel BET-PROTACs, MZ1 and ARV-825, in TNBC, ovarian cancer and in a BET inhibitor resistant model. Methods: OVCAR3, SKOV3, BT549, MDA-MB-231 cell lines and the JQ1 resistant cell line MDA-MB-231R were evaluated. MTTs, colony-forming assay, three-dimensional cultures in matrigel, flow cytometry, and western blots were performed to explore the anti-proliferative effect and biochemical mechanism of action of MZ1 and ARV-825. In vivo studies included BALB/c nu/nu mice engrafted with MDA-MB-231R cells. Results: The BET-PROTACs MZ1 and ARV-825 efficiently downregulated the protein expression levels of the BET protein BRD4, in MDA-MB-231 and MDA-MB-231R. MZ1 and ARV-825 also showed an antiproliferative effect on sensitive and resistant cells. This effect was corroborated in other triple negative (BT549) and ovarian cancer (SKOV3, OVCAR3) cell lines. MZ1 provoked G2/M arrest in MDA-MB-231. In addition, a profound effect on caspase-dependent apoptosis was observed in both sensitive and resistant cells. No synergistic activity was observed when it was combined with docetaxel, cisplatin or olaparib. Finally, in vivo administration of MZ1 rescued tumor growth in a JQ1-resistant xenograft model, reducing the expression levels of BRD4. Conclusions: Using both in vitro and in vivo approaches, we describe the profound activity of BET-PROTACs in parental and BETi-resistant TNBC models. This data provides options for further clinical development of these agents in TNBC.","author":[{"dropping-particle":"","family":"Noblejas-López","given":"María Del Mar","non-dropping-particle":"","parse-names":false,"suffix":""},{"dropping-particle":"","family":"Nieto-Jimenez","given":"Cristina","non-dropping-particle":"","parse-names":false,"suffix":""},{"dropping-particle":"","family":"Burgos","given":"Miguel","non-dropping-particle":"","parse-names":false,"suffix":""},{"dropping-particle":"","family":"Gómez-Juárez","given":"Mónica","non-dropping-particle":"","parse-names":false,"suffix":""},{"dropping-particle":"","family":"Montero","given":"Juan Carlos","non-dropping-particle":"","parse-names":false,"suffix":""},{"dropping-particle":"","family":"Esparís-Ogando","given":"Azucena","non-dropping-particle":"","parse-names":false,"suffix":""},{"dropping-particle":"","family":"Pandiella","given":"Atanasio","non-dropping-particle":"","parse-names":false,"suffix":""},{"dropping-particle":"","family":"Galán-Moya","given":"Eva M.","non-dropping-particle":"","parse-names":false,"suffix":""},{"dropping-particle":"","family":"Ocaña","given":"Alberto","non-dropping-particle":"","parse-names":false,"suffix":""}],"container-title":"Journal of Experimental and Clinical Cancer Research","id":"ITEM-1","issue":"1","issued":{"date-parts":[["2019"]]},"page":"1-9","publisher":"Journal of Experimental &amp; Clinical Cancer Research","title":"Activity of BET-proteolysis targeting chimeric (PROTAC) compounds in triple negative breast cancer","type":"article-journal","volume":"38"},"uris":["http://www.mendeley.com/documents/?uuid=491b9011-284e-4a6a-8fb8-722f43c66f7a"]},{"id":"ITEM-2","itemData":{"DOI":"10.1038/leu.2017.207","ISSN":"14765551","PMID":"28663582","abstract":"Bromodomain extraterminal protein (BETP) inhibitors transcriptionally repress oncoproteins and nuclear factor-κ B (NF-κ B) target genes that undermines the growth and survival of mantle cell lymphoma (MCL) cells. However, BET bromodomain inhibitor (BETi) treatment causes accumulation of BETPs, associated with reversible binding and incomplete inhibition of BRD4 that potentially compromises the activity of BETi in MCL cells. Unlike BETi, BET-PROTACs (proteolysis-targeting chimera) ARV-825 and ARV-771 (Arvinas, Inc.) recruit and utilize an E3-ubiquitin ligase to effectively degrade BETPs in MCL cells. BET-PROTACs induce more apoptosis than BETi of MCL cells, including those resistant to ibrutinib. BET-PROTAC treatment induced more perturbations in the mRNA and protein expressions than BETi, with depletion of c-Myc, CDK4, cyclin D1 and the NF-κ B transcriptional targets Bcl-xL, XIAP and BTK, while inducing the levels of HEXIM1, NOXA and CDKN1A/p21. Treatment with ARV-771, which possesses superior pharmacological properties compared with ARV-825, inhibited the in vivo growth and induced greater survival improvement than the BETi OTX015 of immune-depleted mice engrafted with MCL cells. Cotreatment of ARV-771 with ibrutinib or the BCL2 antagonist venetoclax or CDK4/6 inhibitor palbociclib synergistically induced apoptosis of MCL cells. These studies highlight promising and superior preclinical activity of BET-PROTAC than BETi, requiring further in vivo evaluation of BET-PROTAC as a therapy for ibrutinib-sensitive or -resistant MCL.","author":[{"dropping-particle":"","family":"Sun","given":"B.","non-dropping-particle":"","parse-names":false,"suffix":""},{"dropping-particle":"","family":"Fiskus","given":"W.","non-dropping-particle":"","parse-names":false,"suffix":""},{"dropping-particle":"","family":"Qian","given":"Y.","non-dropping-particle":"","parse-names":false,"suffix":""},{"dropping-particle":"","family":"Rajapakshe","given":"K.","non-dropping-particle":"","parse-names":false,"suffix":""},{"dropping-particle":"","family":"Raina","given":"K.","non-dropping-particle":"","parse-names":false,"suffix":""},{"dropping-particle":"","family":"Coleman","given":"K. G.","non-dropping-particle":"","parse-names":false,"suffix":""},{"dropping-particle":"","family":"Crew","given":"A. P.","non-dropping-particle":"","parse-names":false,"suffix":""},{"dropping-particle":"","family":"Shen","given":"A.","non-dropping-particle":"","parse-names":false,"suffix":""},{"dropping-particle":"","family":"Saenz","given":"D. T.","non-dropping-particle":"","parse-names":false,"suffix":""},{"dropping-particle":"","family":"Mill","given":"C. P.","non-dropping-particle":"","parse-names":false,"suffix":""},{"dropping-particle":"","family":"Nowak","given":"A. J.","non-dropping-particle":"","parse-names":false,"suffix":""},{"dropping-particle":"","family":"Jain","given":"N.","non-dropping-particle":"","parse-names":false,"suffix":""},{"dropping-particle":"","family":"Zhang","given":"L.","non-dropping-particle":"","parse-names":false,"suffix":""},{"dropping-particle":"","family":"Wang","given":"M.","non-dropping-particle":"","parse-names":false,"suffix":""},{"dropping-particle":"","family":"Khoury","given":"J. D.","non-dropping-particle":"","parse-names":false,"suffix":""},{"dropping-particle":"","family":"Coarfa","given":"C.","non-dropping-particle":"","parse-names":false,"suffix":""},{"dropping-particle":"","family":"Crews","given":"C. M.","non-dropping-particle":"","parse-names":false,"suffix":""},{"dropping-particle":"","family":"Bhalla","given":"K. N.","non-dropping-particle":"","parse-names":false,"suffix":""}],"container-title":"Leukemia","id":"ITEM-2","issue":"2","issued":{"date-parts":[["2018"]]},"page":"343-352","publisher":"Nature Publishing Group","title":"BET protein proteolysis targeting chimera (PROTAC) exerts potent lethal activity against mantle cell lymphoma cells","type":"article-journal","volume":"32"},"uris":["http://www.mendeley.com/documents/?uuid=ed85a867-64a8-454f-8cee-9d181729e437"]}],"mendeley":{"formattedCitation":"&lt;sup&gt;50,51&lt;/sup&gt;","plainTextFormattedCitation":"50,51","previouslyFormattedCitation":"&lt;sup&gt;50,51&lt;/sup&gt;"},"properties":{"noteIndex":0},"schema":"https://github.com/citation-style-language/schema/raw/master/csl-citation.json"}</w:instrText>
      </w:r>
      <w:r w:rsidR="00E33C8C" w:rsidRPr="000E0DB5">
        <w:rPr>
          <w:rFonts w:ascii="Arial" w:eastAsia="TimesNewRomanPSMT" w:hAnsi="Arial" w:cs="Arial"/>
          <w:sz w:val="24"/>
          <w:szCs w:val="24"/>
        </w:rPr>
        <w:fldChar w:fldCharType="separate"/>
      </w:r>
      <w:r w:rsidR="00E936EA" w:rsidRPr="00E936EA">
        <w:rPr>
          <w:rFonts w:ascii="Arial" w:eastAsia="TimesNewRomanPSMT" w:hAnsi="Arial" w:cs="Arial"/>
          <w:noProof/>
          <w:sz w:val="24"/>
          <w:szCs w:val="24"/>
          <w:vertAlign w:val="superscript"/>
        </w:rPr>
        <w:t>50,51</w:t>
      </w:r>
      <w:r w:rsidR="00E33C8C" w:rsidRPr="000E0DB5">
        <w:rPr>
          <w:rFonts w:ascii="Arial" w:eastAsia="TimesNewRomanPSMT" w:hAnsi="Arial" w:cs="Arial"/>
          <w:sz w:val="24"/>
          <w:szCs w:val="24"/>
        </w:rPr>
        <w:fldChar w:fldCharType="end"/>
      </w:r>
      <w:r w:rsidR="009A3ABE" w:rsidRPr="000E0DB5">
        <w:rPr>
          <w:rFonts w:ascii="Arial" w:eastAsia="TimesNewRomanPSMT" w:hAnsi="Arial" w:cs="Arial"/>
          <w:b/>
          <w:bCs/>
          <w:sz w:val="24"/>
          <w:szCs w:val="24"/>
        </w:rPr>
        <w:t xml:space="preserve"> </w:t>
      </w:r>
      <w:r w:rsidR="00E936EA">
        <w:rPr>
          <w:rFonts w:ascii="Arial" w:eastAsia="TimesNewRomanPSMT" w:hAnsi="Arial" w:cs="Arial"/>
          <w:b/>
          <w:bCs/>
          <w:sz w:val="24"/>
          <w:szCs w:val="24"/>
        </w:rPr>
        <w:tab/>
      </w:r>
    </w:p>
    <w:p w14:paraId="306F9BA7" w14:textId="2A35C536" w:rsidR="00A00D09" w:rsidRDefault="009A3ABE" w:rsidP="00A00D09">
      <w:pPr>
        <w:autoSpaceDE w:val="0"/>
        <w:autoSpaceDN w:val="0"/>
        <w:adjustRightInd w:val="0"/>
        <w:spacing w:after="0" w:line="480" w:lineRule="auto"/>
        <w:jc w:val="both"/>
        <w:rPr>
          <w:rFonts w:ascii="Arial" w:eastAsia="TimesNewRomanPSMT" w:hAnsi="Arial" w:cs="Arial"/>
          <w:sz w:val="24"/>
          <w:szCs w:val="24"/>
        </w:rPr>
      </w:pPr>
      <w:r w:rsidRPr="000E0DB5">
        <w:rPr>
          <w:rFonts w:ascii="Arial" w:eastAsia="TimesNewRomanPSMT" w:hAnsi="Arial" w:cs="Arial"/>
          <w:sz w:val="24"/>
          <w:szCs w:val="24"/>
        </w:rPr>
        <w:t xml:space="preserve">The BRD4-targeting caged PROTACs reviewed here are directly or closely related to dBET1 (compounds </w:t>
      </w:r>
      <w:r w:rsidRPr="000E0DB5">
        <w:rPr>
          <w:rFonts w:ascii="Arial" w:eastAsia="TimesNewRomanPSMT" w:hAnsi="Arial" w:cs="Arial"/>
          <w:b/>
          <w:bCs/>
          <w:sz w:val="24"/>
          <w:szCs w:val="24"/>
        </w:rPr>
        <w:t>1</w:t>
      </w:r>
      <w:r w:rsidRPr="000E0DB5">
        <w:rPr>
          <w:rFonts w:ascii="Arial" w:eastAsia="TimesNewRomanPSMT" w:hAnsi="Arial" w:cs="Arial"/>
          <w:sz w:val="24"/>
          <w:szCs w:val="24"/>
        </w:rPr>
        <w:t xml:space="preserve">, </w:t>
      </w:r>
      <w:r w:rsidRPr="000E0DB5">
        <w:rPr>
          <w:rFonts w:ascii="Arial" w:eastAsia="TimesNewRomanPSMT" w:hAnsi="Arial" w:cs="Arial"/>
          <w:b/>
          <w:bCs/>
          <w:sz w:val="24"/>
          <w:szCs w:val="24"/>
        </w:rPr>
        <w:t>2</w:t>
      </w:r>
      <w:r w:rsidRPr="000E0DB5">
        <w:rPr>
          <w:rFonts w:ascii="Arial" w:eastAsia="TimesNewRomanPSMT" w:hAnsi="Arial" w:cs="Arial"/>
          <w:sz w:val="24"/>
          <w:szCs w:val="24"/>
        </w:rPr>
        <w:t xml:space="preserve">, </w:t>
      </w:r>
      <w:r w:rsidRPr="000E0DB5">
        <w:rPr>
          <w:rFonts w:ascii="Arial" w:eastAsia="TimesNewRomanPSMT" w:hAnsi="Arial" w:cs="Arial"/>
          <w:b/>
          <w:bCs/>
          <w:sz w:val="24"/>
          <w:szCs w:val="24"/>
        </w:rPr>
        <w:t>5</w:t>
      </w:r>
      <w:r w:rsidRPr="000E0DB5">
        <w:rPr>
          <w:rFonts w:ascii="Arial" w:eastAsia="TimesNewRomanPSMT" w:hAnsi="Arial" w:cs="Arial"/>
          <w:sz w:val="24"/>
          <w:szCs w:val="24"/>
        </w:rPr>
        <w:t xml:space="preserve">, </w:t>
      </w:r>
      <w:r w:rsidRPr="000E0DB5">
        <w:rPr>
          <w:rFonts w:ascii="Arial" w:eastAsia="TimesNewRomanPSMT" w:hAnsi="Arial" w:cs="Arial"/>
          <w:b/>
          <w:bCs/>
          <w:sz w:val="24"/>
          <w:szCs w:val="24"/>
        </w:rPr>
        <w:t>6</w:t>
      </w:r>
      <w:r w:rsidRPr="000E0DB5">
        <w:rPr>
          <w:rFonts w:ascii="Arial" w:eastAsia="TimesNewRomanPSMT" w:hAnsi="Arial" w:cs="Arial"/>
          <w:sz w:val="24"/>
          <w:szCs w:val="24"/>
        </w:rPr>
        <w:t xml:space="preserve">) or MZ1 (compound </w:t>
      </w:r>
      <w:r w:rsidRPr="000E0DB5">
        <w:rPr>
          <w:rFonts w:ascii="Arial" w:eastAsia="TimesNewRomanPSMT" w:hAnsi="Arial" w:cs="Arial"/>
          <w:b/>
          <w:bCs/>
          <w:sz w:val="24"/>
          <w:szCs w:val="24"/>
        </w:rPr>
        <w:t>8</w:t>
      </w:r>
      <w:r w:rsidRPr="000E0DB5">
        <w:rPr>
          <w:rFonts w:ascii="Arial" w:eastAsia="TimesNewRomanPSMT" w:hAnsi="Arial" w:cs="Arial"/>
          <w:sz w:val="24"/>
          <w:szCs w:val="24"/>
        </w:rPr>
        <w:t>).</w:t>
      </w:r>
      <w:r w:rsidR="009E4846">
        <w:rPr>
          <w:rFonts w:ascii="Arial" w:eastAsia="TimesNewRomanPSMT" w:hAnsi="Arial" w:cs="Arial"/>
          <w:sz w:val="24"/>
          <w:szCs w:val="24"/>
        </w:rPr>
        <w:t xml:space="preserve"> </w:t>
      </w:r>
      <w:r w:rsidR="00A54039" w:rsidRPr="000E0DB5">
        <w:rPr>
          <w:rFonts w:ascii="Arial" w:eastAsia="TimesNewRomanPSMT" w:hAnsi="Arial" w:cs="Arial"/>
          <w:sz w:val="24"/>
          <w:szCs w:val="24"/>
        </w:rPr>
        <w:t xml:space="preserve">Consistent with their fast uncaging kinetics, caged compounds </w:t>
      </w:r>
      <w:r w:rsidR="00A54039" w:rsidRPr="000E0DB5">
        <w:rPr>
          <w:rFonts w:ascii="Arial" w:eastAsia="TimesNewRomanPSMT" w:hAnsi="Arial" w:cs="Arial"/>
          <w:b/>
          <w:bCs/>
          <w:sz w:val="24"/>
          <w:szCs w:val="24"/>
        </w:rPr>
        <w:t>1</w:t>
      </w:r>
      <w:r w:rsidR="00A54039" w:rsidRPr="000E0DB5">
        <w:rPr>
          <w:rFonts w:ascii="Arial" w:eastAsia="TimesNewRomanPSMT" w:hAnsi="Arial" w:cs="Arial"/>
          <w:sz w:val="24"/>
          <w:szCs w:val="24"/>
        </w:rPr>
        <w:t xml:space="preserve">, </w:t>
      </w:r>
      <w:r w:rsidR="00A54039" w:rsidRPr="000E0DB5">
        <w:rPr>
          <w:rFonts w:ascii="Arial" w:eastAsia="TimesNewRomanPSMT" w:hAnsi="Arial" w:cs="Arial"/>
          <w:b/>
          <w:bCs/>
          <w:sz w:val="24"/>
          <w:szCs w:val="24"/>
        </w:rPr>
        <w:t>5</w:t>
      </w:r>
      <w:r w:rsidR="00A54039" w:rsidRPr="000E0DB5">
        <w:rPr>
          <w:rFonts w:ascii="Arial" w:eastAsia="TimesNewRomanPSMT" w:hAnsi="Arial" w:cs="Arial"/>
          <w:sz w:val="24"/>
          <w:szCs w:val="24"/>
        </w:rPr>
        <w:t xml:space="preserve"> and </w:t>
      </w:r>
      <w:r w:rsidR="00A54039" w:rsidRPr="000E0DB5">
        <w:rPr>
          <w:rFonts w:ascii="Arial" w:eastAsia="TimesNewRomanPSMT" w:hAnsi="Arial" w:cs="Arial"/>
          <w:b/>
          <w:bCs/>
          <w:sz w:val="24"/>
          <w:szCs w:val="24"/>
        </w:rPr>
        <w:t xml:space="preserve">8 </w:t>
      </w:r>
      <w:r w:rsidR="00A54039" w:rsidRPr="000E0DB5">
        <w:rPr>
          <w:rFonts w:ascii="Arial" w:eastAsia="TimesNewRomanPSMT" w:hAnsi="Arial" w:cs="Arial"/>
          <w:sz w:val="24"/>
          <w:szCs w:val="24"/>
        </w:rPr>
        <w:t xml:space="preserve">tested at 1 μM, achieved complete degradation of BRD4 in various cell lines </w:t>
      </w:r>
      <w:r w:rsidR="00195700" w:rsidRPr="000E0DB5">
        <w:rPr>
          <w:rFonts w:ascii="Arial" w:eastAsia="TimesNewRomanPSMT" w:hAnsi="Arial" w:cs="Arial"/>
          <w:sz w:val="24"/>
          <w:szCs w:val="24"/>
        </w:rPr>
        <w:t xml:space="preserve">following </w:t>
      </w:r>
      <w:r w:rsidR="00A54039" w:rsidRPr="000E0DB5">
        <w:rPr>
          <w:rFonts w:ascii="Arial" w:eastAsia="TimesNewRomanPSMT" w:hAnsi="Arial" w:cs="Arial"/>
          <w:sz w:val="24"/>
          <w:szCs w:val="24"/>
        </w:rPr>
        <w:t>irradiation at 365</w:t>
      </w:r>
      <w:r w:rsidR="00E61ED8">
        <w:rPr>
          <w:rFonts w:ascii="Arial" w:eastAsia="TimesNewRomanPSMT" w:hAnsi="Arial" w:cs="Arial"/>
          <w:sz w:val="24"/>
          <w:szCs w:val="24"/>
        </w:rPr>
        <w:t> </w:t>
      </w:r>
      <w:r w:rsidR="00A54039" w:rsidRPr="000E0DB5">
        <w:rPr>
          <w:rFonts w:ascii="Arial" w:eastAsia="TimesNewRomanPSMT" w:hAnsi="Arial" w:cs="Arial"/>
          <w:sz w:val="24"/>
          <w:szCs w:val="24"/>
        </w:rPr>
        <w:t>nm for 180 seconds or less. Depletion of BRD4 was generally more pronounced with longer irradiation times</w:t>
      </w:r>
      <w:r w:rsidR="00195700" w:rsidRPr="000E0DB5">
        <w:rPr>
          <w:rFonts w:ascii="Arial" w:eastAsia="TimesNewRomanPSMT" w:hAnsi="Arial" w:cs="Arial"/>
          <w:sz w:val="24"/>
          <w:szCs w:val="24"/>
        </w:rPr>
        <w:t>,</w:t>
      </w:r>
      <w:r w:rsidR="00A54039" w:rsidRPr="000E0DB5">
        <w:rPr>
          <w:rFonts w:ascii="Arial" w:eastAsia="TimesNewRomanPSMT" w:hAnsi="Arial" w:cs="Arial"/>
          <w:sz w:val="24"/>
          <w:szCs w:val="24"/>
        </w:rPr>
        <w:t xml:space="preserve"> and the kinetics of degradation were very similar to the parent PROTAC using equal concentrations of caged material. The observed knockdown was also confirmed to be E3 ligase</w:t>
      </w:r>
      <w:r w:rsidR="004C229F" w:rsidRPr="000E0DB5">
        <w:rPr>
          <w:rFonts w:ascii="Arial" w:eastAsia="TimesNewRomanPSMT" w:hAnsi="Arial" w:cs="Arial"/>
          <w:sz w:val="24"/>
          <w:szCs w:val="24"/>
        </w:rPr>
        <w:t>-</w:t>
      </w:r>
      <w:r w:rsidR="00A54039" w:rsidRPr="000E0DB5">
        <w:rPr>
          <w:rFonts w:ascii="Arial" w:eastAsia="TimesNewRomanPSMT" w:hAnsi="Arial" w:cs="Arial"/>
          <w:sz w:val="24"/>
          <w:szCs w:val="24"/>
        </w:rPr>
        <w:t xml:space="preserve"> and proteasome-dependent for all compounds</w:t>
      </w:r>
      <w:r w:rsidR="004025FC">
        <w:rPr>
          <w:rFonts w:ascii="Arial" w:eastAsia="TimesNewRomanPSMT" w:hAnsi="Arial" w:cs="Arial"/>
          <w:sz w:val="24"/>
          <w:szCs w:val="24"/>
        </w:rPr>
        <w:t xml:space="preserve"> and </w:t>
      </w:r>
      <w:r w:rsidR="00A54039" w:rsidRPr="000E0DB5">
        <w:rPr>
          <w:rFonts w:ascii="Arial" w:eastAsia="TimesNewRomanPSMT" w:hAnsi="Arial" w:cs="Arial"/>
          <w:sz w:val="24"/>
          <w:szCs w:val="24"/>
        </w:rPr>
        <w:t xml:space="preserve">the caged PROTACs </w:t>
      </w:r>
      <w:r w:rsidR="00A54039" w:rsidRPr="000E0DB5">
        <w:rPr>
          <w:rFonts w:ascii="Arial" w:eastAsia="TimesNewRomanPSMT" w:hAnsi="Arial" w:cs="Arial"/>
          <w:b/>
          <w:bCs/>
          <w:sz w:val="24"/>
          <w:szCs w:val="24"/>
        </w:rPr>
        <w:t>1</w:t>
      </w:r>
      <w:r w:rsidR="00A54039" w:rsidRPr="000E0DB5">
        <w:rPr>
          <w:rFonts w:ascii="Arial" w:eastAsia="TimesNewRomanPSMT" w:hAnsi="Arial" w:cs="Arial"/>
          <w:sz w:val="24"/>
          <w:szCs w:val="24"/>
        </w:rPr>
        <w:t xml:space="preserve">, </w:t>
      </w:r>
      <w:r w:rsidR="00A54039" w:rsidRPr="000E0DB5">
        <w:rPr>
          <w:rFonts w:ascii="Arial" w:eastAsia="TimesNewRomanPSMT" w:hAnsi="Arial" w:cs="Arial"/>
          <w:b/>
          <w:bCs/>
          <w:sz w:val="24"/>
          <w:szCs w:val="24"/>
        </w:rPr>
        <w:t xml:space="preserve">5 </w:t>
      </w:r>
      <w:r w:rsidR="00A54039" w:rsidRPr="000E0DB5">
        <w:rPr>
          <w:rFonts w:ascii="Arial" w:eastAsia="TimesNewRomanPSMT" w:hAnsi="Arial" w:cs="Arial"/>
          <w:sz w:val="24"/>
          <w:szCs w:val="24"/>
        </w:rPr>
        <w:t xml:space="preserve">and </w:t>
      </w:r>
      <w:r w:rsidR="00A54039" w:rsidRPr="000E0DB5">
        <w:rPr>
          <w:rFonts w:ascii="Arial" w:eastAsia="TimesNewRomanPSMT" w:hAnsi="Arial" w:cs="Arial"/>
          <w:b/>
          <w:bCs/>
          <w:sz w:val="24"/>
          <w:szCs w:val="24"/>
        </w:rPr>
        <w:t>6</w:t>
      </w:r>
      <w:r w:rsidR="00A54039" w:rsidRPr="000E0DB5">
        <w:rPr>
          <w:rFonts w:ascii="Arial" w:eastAsia="TimesNewRomanPSMT" w:hAnsi="Arial" w:cs="Arial"/>
          <w:sz w:val="24"/>
          <w:szCs w:val="24"/>
        </w:rPr>
        <w:t xml:space="preserve"> negatively impacted cell survival</w:t>
      </w:r>
      <w:r w:rsidR="0026341D">
        <w:rPr>
          <w:rFonts w:ascii="Arial" w:eastAsia="TimesNewRomanPSMT" w:hAnsi="Arial" w:cs="Arial"/>
          <w:sz w:val="24"/>
          <w:szCs w:val="24"/>
        </w:rPr>
        <w:t xml:space="preserve"> u</w:t>
      </w:r>
      <w:r w:rsidR="00A54039" w:rsidRPr="000E0DB5">
        <w:rPr>
          <w:rFonts w:ascii="Arial" w:eastAsia="TimesNewRomanPSMT" w:hAnsi="Arial" w:cs="Arial"/>
          <w:sz w:val="24"/>
          <w:szCs w:val="24"/>
        </w:rPr>
        <w:t xml:space="preserve">pon irradiation (up to 39% reduction in cell viability for </w:t>
      </w:r>
      <w:r w:rsidR="00A54039" w:rsidRPr="000E0DB5">
        <w:rPr>
          <w:rFonts w:ascii="Arial" w:eastAsia="TimesNewRomanPSMT" w:hAnsi="Arial" w:cs="Arial"/>
          <w:b/>
          <w:bCs/>
          <w:sz w:val="24"/>
          <w:szCs w:val="24"/>
        </w:rPr>
        <w:t>5</w:t>
      </w:r>
      <w:r w:rsidR="00A54039" w:rsidRPr="000E0DB5">
        <w:rPr>
          <w:rFonts w:ascii="Arial" w:eastAsia="TimesNewRomanPSMT" w:hAnsi="Arial" w:cs="Arial"/>
          <w:sz w:val="24"/>
          <w:szCs w:val="24"/>
        </w:rPr>
        <w:t xml:space="preserve">). Work in our laboratory demonstrated that treatment of HeLa cells with caged PROTAC </w:t>
      </w:r>
      <w:r w:rsidR="00A54039" w:rsidRPr="000E0DB5">
        <w:rPr>
          <w:rFonts w:ascii="Arial" w:eastAsia="TimesNewRomanPSMT" w:hAnsi="Arial" w:cs="Arial"/>
          <w:b/>
          <w:bCs/>
          <w:sz w:val="24"/>
          <w:szCs w:val="24"/>
        </w:rPr>
        <w:t>8</w:t>
      </w:r>
      <w:r w:rsidR="00A54039" w:rsidRPr="000E0DB5">
        <w:rPr>
          <w:rFonts w:ascii="Arial" w:eastAsia="TimesNewRomanPSMT" w:hAnsi="Arial" w:cs="Arial"/>
          <w:sz w:val="24"/>
          <w:szCs w:val="24"/>
        </w:rPr>
        <w:t xml:space="preserve"> had a cytostatic effect </w:t>
      </w:r>
      <w:r w:rsidR="00195700" w:rsidRPr="000E0DB5">
        <w:rPr>
          <w:rFonts w:ascii="Arial" w:eastAsia="TimesNewRomanPSMT" w:hAnsi="Arial" w:cs="Arial"/>
          <w:sz w:val="24"/>
          <w:szCs w:val="24"/>
        </w:rPr>
        <w:t xml:space="preserve">prior to </w:t>
      </w:r>
      <w:r w:rsidR="00A54039" w:rsidRPr="000E0DB5">
        <w:rPr>
          <w:rFonts w:ascii="Arial" w:eastAsia="TimesNewRomanPSMT" w:hAnsi="Arial" w:cs="Arial"/>
          <w:sz w:val="24"/>
          <w:szCs w:val="24"/>
        </w:rPr>
        <w:t>irradiation (</w:t>
      </w:r>
      <w:r w:rsidR="00195700" w:rsidRPr="000E0DB5">
        <w:rPr>
          <w:rFonts w:ascii="Arial" w:eastAsia="TimesNewRomanPSMT" w:hAnsi="Arial" w:cs="Arial"/>
          <w:sz w:val="24"/>
          <w:szCs w:val="24"/>
        </w:rPr>
        <w:t xml:space="preserve">an </w:t>
      </w:r>
      <w:r w:rsidR="00A54039" w:rsidRPr="000E0DB5">
        <w:rPr>
          <w:rFonts w:ascii="Arial" w:eastAsia="TimesNewRomanPSMT" w:hAnsi="Arial" w:cs="Arial"/>
          <w:sz w:val="24"/>
          <w:szCs w:val="24"/>
        </w:rPr>
        <w:t xml:space="preserve">effect attributed to BRD4 </w:t>
      </w:r>
      <w:r w:rsidR="00A00D09" w:rsidRPr="000E0DB5">
        <w:rPr>
          <w:rFonts w:ascii="Arial" w:eastAsia="TimesNewRomanPSMT" w:hAnsi="Arial" w:cs="Arial"/>
          <w:sz w:val="24"/>
          <w:szCs w:val="24"/>
        </w:rPr>
        <w:t xml:space="preserve">inhibition by the free JQ1 warhead) but led to strong cytotoxicity post uncaging (Figure 4A). The consistent increase in toxicity observed upon photolysis of the caged degraders was </w:t>
      </w:r>
      <w:r w:rsidR="00A00D09">
        <w:rPr>
          <w:rFonts w:ascii="Arial" w:eastAsia="TimesNewRomanPSMT" w:hAnsi="Arial" w:cs="Arial"/>
          <w:sz w:val="24"/>
          <w:szCs w:val="24"/>
        </w:rPr>
        <w:t xml:space="preserve">not </w:t>
      </w:r>
      <w:r w:rsidR="00A00D09" w:rsidRPr="000E0DB5">
        <w:rPr>
          <w:rFonts w:ascii="Arial" w:eastAsia="TimesNewRomanPSMT" w:hAnsi="Arial" w:cs="Arial"/>
          <w:sz w:val="24"/>
          <w:szCs w:val="24"/>
        </w:rPr>
        <w:t>related to irradiation alone</w:t>
      </w:r>
      <w:r w:rsidR="00441914">
        <w:rPr>
          <w:rFonts w:ascii="Arial" w:eastAsia="TimesNewRomanPSMT" w:hAnsi="Arial" w:cs="Arial"/>
          <w:sz w:val="24"/>
          <w:szCs w:val="24"/>
        </w:rPr>
        <w:t>,</w:t>
      </w:r>
      <w:r w:rsidR="001935DA">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{"citationItems":[{"id":"ITEM-1","itemData":{"DOI":"10.1126/sciadv.aay5154","ISSN":"23752548","abstract":"By hijacking endogenous E3 ligase to degrade protein targets via the ubiquitin-proteasome system, PROTACs (PRoteolysis TArgeting Chimeras) provide a new strategy to inhibit protein targets that were regarded as undruggable before. However, the catalytic nature of PROTAC potentially leads to uncontrolled degradation that causes systemic toxicity issues, limiting the application of PROTAC in the clinic. Here, we introduce a light-inducible switch on PROTACs, thereafter termed as opto-PROTAC, to enable the degradation of protein targets in a spatiotemporal manner. By adding a photolabile caging group on pomalidomide as a parental compound and two additional PROTACs, dBET1 and dALK, we demonstrated light-inducible protein degradation. These opto-PROTACs display no activities in the dark, while the restricted degradation can be induced at a specific time and rate by ultraviolet A irradiation. Our approach provides a generalizable platform for the development of light-controlled PROTACs and enables PROTAC to be a precision medicine.","author":[{"dropping-particle":"","family":"Liu","given":"Jing","non-dropping-particle":"","parse-names":false,"suffix":""},{"dropping-particle":"","family":"Chen","given":"He","non-dropping-particle":"","parse-names":false,"suffix":""},{"dropping-particle":"","family":"Ma","given":"Leina","non-dropping-particle":"","parse-names":false,"suffix":""},{"dropping-particle":"","family":"He","given":"Zhixiang","non-dropping-particle":"","parse-names":false,"suffix":""},{"dropping-particle":"","family":"Wang","given":"Dong","non-dropping-particle":"","parse-names":false,"suffix":""},{"dropping-particle":"","family":"Liu","given":"Yi","non-dropping-particle":"","parse-names":false,"suffix":""},{"dropping-particle":"","family":"Lin","given":"Qian","non-dropping-particle":"","parse-names":false,"suffix":""},{"dropping-particle":"","family":"Zhang","given":"Tinghu","non-dropping-particle":"","parse-names":false,"suffix":""},{"dropping-particle":"","family":"Gray","given":"Nathanael","non-dropping-particle":"","parse-names":false,"suffix":""},{"dropping-particle":"","family":"Kaniskan","given":"H. Ümit","non-dropping-particle":"","parse-names":false,"suffix":""},{"dropping-particle":"","family":"Jin","given":"Jian","non-dropping-particle":"","parse-names":false,"suffix":""},{"dropping-particle":"","family":"Wei","given":"Wenyi","non-dropping-particle":"","parse-names":false,"suffix":""}],"container-title":"Science Advances","id":"ITEM-1","issue":"8","issued":{"date-parts":[["2020"]]},"page":"1-12","title":"Light-induced control of protein destruction by opto-PROTAC","type":"article-journal","volume":"6"},"uris":["http://www.mendeley.com/documents/?uuid=b9400ffc-c167-4397-ace9-ccb18abc1b3e"]}],"mendeley":{"formattedCitation":"&lt;sup&gt;34&lt;/sup&gt;","plainTextFormattedCitation":"34","previouslyFormattedCitation":"&lt;sup&gt;34&lt;/sup&gt;"},"properties":{"noteIndex":0},"schema":"https://github.com/citation-style-language/schema/raw/master/csl-citation.json"}</w:instrText>
      </w:r>
      <w:r w:rsidR="001935DA">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34</w:t>
      </w:r>
      <w:r w:rsidR="001935DA">
        <w:rPr>
          <w:rFonts w:ascii="Arial" w:eastAsia="TimesNewRomanPSMT" w:hAnsi="Arial" w:cs="Arial"/>
          <w:sz w:val="24"/>
          <w:szCs w:val="24"/>
        </w:rPr>
        <w:fldChar w:fldCharType="end"/>
      </w:r>
      <w:r w:rsidR="001935DA">
        <w:rPr>
          <w:rFonts w:ascii="Arial" w:eastAsia="TimesNewRomanPSMT" w:hAnsi="Arial" w:cs="Arial"/>
          <w:sz w:val="24"/>
          <w:szCs w:val="24"/>
        </w:rPr>
        <w:t xml:space="preserve"> </w:t>
      </w:r>
      <w:r w:rsidR="00441914">
        <w:rPr>
          <w:rFonts w:ascii="Arial" w:eastAsia="TimesNewRomanPSMT" w:hAnsi="Arial" w:cs="Arial"/>
          <w:sz w:val="24"/>
          <w:szCs w:val="24"/>
        </w:rPr>
        <w:t xml:space="preserve">nor did </w:t>
      </w:r>
      <w:r w:rsidR="00A00D09" w:rsidRPr="000E0DB5">
        <w:rPr>
          <w:rFonts w:ascii="Arial" w:eastAsia="TimesNewRomanPSMT" w:hAnsi="Arial" w:cs="Arial"/>
          <w:sz w:val="24"/>
          <w:szCs w:val="24"/>
        </w:rPr>
        <w:t>the by-product generated during photoactivation</w:t>
      </w:r>
      <w:r w:rsidR="00441914">
        <w:rPr>
          <w:rFonts w:ascii="Arial" w:eastAsia="TimesNewRomanPSMT" w:hAnsi="Arial" w:cs="Arial"/>
          <w:sz w:val="24"/>
          <w:szCs w:val="24"/>
        </w:rPr>
        <w:t xml:space="preserve"> </w:t>
      </w:r>
      <w:r w:rsidR="00A00D09">
        <w:rPr>
          <w:rFonts w:ascii="Arial" w:eastAsia="TimesNewRomanPSMT" w:hAnsi="Arial" w:cs="Arial"/>
          <w:sz w:val="24"/>
          <w:szCs w:val="24"/>
        </w:rPr>
        <w:t>affect</w:t>
      </w:r>
      <w:r w:rsidR="001935DA">
        <w:rPr>
          <w:rFonts w:ascii="Arial" w:eastAsia="TimesNewRomanPSMT" w:hAnsi="Arial" w:cs="Arial"/>
          <w:sz w:val="24"/>
          <w:szCs w:val="24"/>
        </w:rPr>
        <w:t>ed</w:t>
      </w:r>
      <w:r w:rsidR="00A00D09">
        <w:rPr>
          <w:rFonts w:ascii="Arial" w:eastAsia="TimesNewRomanPSMT" w:hAnsi="Arial" w:cs="Arial"/>
          <w:sz w:val="24"/>
          <w:szCs w:val="24"/>
        </w:rPr>
        <w:t xml:space="preserve"> BRD4 levels</w:t>
      </w:r>
      <w:r w:rsidR="00A00D09" w:rsidRPr="000E0DB5">
        <w:rPr>
          <w:rFonts w:ascii="Arial" w:eastAsia="TimesNewRomanPSMT" w:hAnsi="Arial" w:cs="Arial"/>
          <w:sz w:val="24"/>
          <w:szCs w:val="24"/>
        </w:rPr>
        <w:t>.</w:t>
      </w:r>
      <w:r w:rsidR="00A00D09">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{"citationItems":[{"id":"ITEM-1","itemData":{"DOI":"10.1021/jacs.9b12718","ISSN":"15205126","abstract":"As an emerging approach to protein perturbation, small molecule-induced protein degradation has gained significant attention as both a chemical tool and a potential therapeutic. To enable discrete control over its function, we have developed a broadly applicable approach for the optical activation of small molecule-induced protein degradation. By installing two different photolabile protecting groups, so-called caging groups, onto two different ligands recruiting Von Hippel-Lindau (VHL) and cereblon (CRBN) E3 ubiquitin ligases, our strategy enables light-triggered protein degradation for any small molecule warhead.","author":[{"dropping-particle":"","family":"Naro","given":"Yuta","non-dropping-particle":"","parse-names":false,"suffix":""},{"dropping-particle":"","family":"Darrah","given":"Kristie","non-dropping-particle":"","parse-names":false,"suffix":""},{"dropping-particle":"","family":"Deiters","given":"Alexander","non-dropping-particle":"","parse-names":false,"suffix":""}],"container-title":"Journal of the American Chemical Society","id":"ITEM-1","issue":"5","issued":{"date-parts":[["2020"]]},"page":"2193-2197","title":"Optical Control of Small Molecule-Induced Protein Degradation","type":"article-journal","volume":"142"},"uris":["http://www.mendeley.com/documents/?uuid=28c7b08f-b1cd-4fa5-b88e-4a2add233c2c"]}],"mendeley":{"formattedCitation":"&lt;sup&gt;32&lt;/sup&gt;","plainTextFormattedCitation":"32","previouslyFormattedCitation":"&lt;sup&gt;32&lt;/sup&gt;"},"properties":{"noteIndex":0},"schema":"https://github.com/citation-style-language/schema/raw/master/csl-citation.json"}</w:instrText>
      </w:r>
      <w:r w:rsidR="00A00D09">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32</w:t>
      </w:r>
      <w:r w:rsidR="00A00D09">
        <w:rPr>
          <w:rFonts w:ascii="Arial" w:eastAsia="TimesNewRomanPSMT" w:hAnsi="Arial" w:cs="Arial"/>
          <w:sz w:val="24"/>
          <w:szCs w:val="24"/>
        </w:rPr>
        <w:fldChar w:fldCharType="end"/>
      </w:r>
      <w:r w:rsidR="00A00D09" w:rsidRPr="000E0DB5">
        <w:rPr>
          <w:rFonts w:ascii="Arial" w:eastAsia="TimesNewRomanPSMT" w:hAnsi="Arial" w:cs="Arial"/>
          <w:sz w:val="24"/>
          <w:szCs w:val="24"/>
        </w:rPr>
        <w:t xml:space="preserve"> </w:t>
      </w:r>
    </w:p>
    <w:p w14:paraId="24983510" w14:textId="3A917896" w:rsidR="00F808AE" w:rsidRDefault="00A00D09" w:rsidP="00A00D09">
      <w:pPr>
        <w:autoSpaceDE w:val="0"/>
        <w:autoSpaceDN w:val="0"/>
        <w:adjustRightInd w:val="0"/>
        <w:spacing w:after="0" w:line="480" w:lineRule="auto"/>
        <w:jc w:val="both"/>
        <w:rPr>
          <w:rFonts w:ascii="Arial" w:eastAsia="TimesNewRomanPSMT" w:hAnsi="Arial" w:cs="Arial"/>
          <w:sz w:val="24"/>
          <w:szCs w:val="24"/>
        </w:rPr>
      </w:pPr>
      <w:r w:rsidRPr="000E0DB5">
        <w:rPr>
          <w:rFonts w:ascii="Arial" w:eastAsia="TimesNewRomanPSMT" w:hAnsi="Arial" w:cs="Arial"/>
          <w:sz w:val="24"/>
          <w:szCs w:val="24"/>
        </w:rPr>
        <w:t xml:space="preserve">To take light-induced degradation with caged molecules one step further, Xue et al. have investigated the knockdown of BRD4 with compound </w:t>
      </w:r>
      <w:r w:rsidRPr="000E0DB5">
        <w:rPr>
          <w:rFonts w:ascii="Arial" w:eastAsia="TimesNewRomanPSMT" w:hAnsi="Arial" w:cs="Arial"/>
          <w:b/>
          <w:bCs/>
          <w:sz w:val="24"/>
          <w:szCs w:val="24"/>
        </w:rPr>
        <w:t>1</w:t>
      </w:r>
      <w:r w:rsidRPr="000E0DB5">
        <w:rPr>
          <w:rFonts w:ascii="Arial" w:eastAsia="TimesNewRomanPSMT" w:hAnsi="Arial" w:cs="Arial"/>
          <w:sz w:val="24"/>
          <w:szCs w:val="24"/>
        </w:rPr>
        <w:t xml:space="preserve"> in a Zebrafish model, a widely used species in drug discovery and developmental biology.</w:t>
      </w:r>
      <w:r w:rsidRPr="000E0DB5">
        <w:rPr>
          <w:rFonts w:ascii="Arial" w:eastAsia="TimesNewRomanPSMT" w:hAnsi="Arial" w:cs="Arial"/>
          <w:sz w:val="24"/>
          <w:szCs w:val="24"/>
        </w:rPr>
        <w:fldChar w:fldCharType="begin" w:fldLock="1"/>
      </w:r>
      <w:r w:rsidR="002C6D4C">
        <w:rPr>
          <w:rFonts w:ascii="Arial" w:eastAsia="TimesNewRomanPSMT" w:hAnsi="Arial" w:cs="Arial"/>
          <w:sz w:val="24"/>
          <w:szCs w:val="24"/>
        </w:rPr>
        <w:instrText>ADDIN CSL_CITATION {"citationItems":[{"id":"ITEM-1","itemData":{"DOI":"10.1021/acs.chemrestox.9b00335","ISSN":"15205010","PMID":"31625720","abstract":"Unpredicted human safety events in clinical trials for new drugs are costly in terms of human health and money. The drug discovery industry attempts to minimize those events with diligent preclinical safety testing. Current standard practices are good at preventing toxic compounds from being tested in the clinic; however, false negative preclinical toxicity results are still a reality. Continual improvement must be pursued in the preclinical realm. Higher-quality therapies can be brought forward with more information about potential toxicities and associated mechanisms. The zebrafish model is a bridge between in vitro assays and mammalian in vivo studies. This model is powerful in its breadth of application and tractability for research. In the past two decades, our understanding of disease biology and drug toxicity has grown significantly owing to thousands of studies on this tiny vertebrate. This Review summarizes challenges and strengths of the model, discusses the 3Rs value that it can deliver, highlights translatable and untranslatable biology, and brings together reports from recent studies with zebrafish focusing on new drug discovery toxicology.","author":[{"dropping-particle":"","family":"Cassar","given":"Steven","non-dropping-particle":"","parse-names":false,"suffix":""},{"dropping-particle":"","family":"Adatto","given":"Isaac","non-dropping-particle":"","parse-names":false,"suffix":""},{"dropping-particle":"","family":"Freeman","given":"Jennifer L.","non-dropping-particle":"","parse-names":false,"suffix":""},{"dropping-particle":"","family":"Gamse","given":"Joshua T.","non-dropping-particle":"","parse-names":false,"suffix":""},{"dropping-particle":"","family":"Iturria","given":"Iñaki","non-dropping-particle":"","parse-names":false,"suffix":""},{"dropping-particle":"","family":"Lawrence","given":"Christian","non-dropping-particle":"","parse-names":false,"suffix":""},{"dropping-particle":"","family":"Muriana","given":"Arantza","non-dropping-particle":"","parse-names":false,"suffix":""},{"dropping-particle":"","family":"Peterson","given":"Randall T.","non-dropping-particle":"","parse-names":false,"suffix":""},{"dropping-particle":"","family":"Cruchten","given":"Steven","non-dropping-particle":"Van","parse-names":false,"suffix":""},{"dropping-particle":"","family":"Zon","given":"Leonard I.","non-dropping-particle":"","parse-names":false,"suffix":""}],"container-title":"Chemical Research in Toxicology","id":"ITEM-1","issue":"1","issued":{"date-parts":[["2020"]]},"page":"95-118","title":"Use of Zebrafish in Drug Discovery Toxicology","type":"article-journal","volume":"33"},"uris":["http://www.mendeley.com/documents/?uuid=3f5ab010-113b-4c51-b0f8-b89d418f5d3b"]}],"mendeley":{"formattedCitation":"&lt;sup&gt;52&lt;/sup&gt;","plainTextFormattedCitation":"52","previouslyFormattedCitation":"&lt;sup&gt;52&lt;/sup&gt;"},"properties":{"noteIndex":0},"schema":"https://github.com/citation-style-language/schema/raw/master/csl-citation.json"}</w:instrText>
      </w:r>
      <w:r w:rsidRPr="000E0DB5">
        <w:rPr>
          <w:rFonts w:ascii="Arial" w:eastAsia="TimesNewRomanPSMT" w:hAnsi="Arial" w:cs="Arial"/>
          <w:sz w:val="24"/>
          <w:szCs w:val="24"/>
        </w:rPr>
        <w:fldChar w:fldCharType="separate"/>
      </w:r>
      <w:r w:rsidR="00E936EA" w:rsidRPr="00E936EA">
        <w:rPr>
          <w:rFonts w:ascii="Arial" w:eastAsia="TimesNewRomanPSMT" w:hAnsi="Arial" w:cs="Arial"/>
          <w:noProof/>
          <w:sz w:val="24"/>
          <w:szCs w:val="24"/>
          <w:vertAlign w:val="superscript"/>
        </w:rPr>
        <w:t>52</w:t>
      </w:r>
      <w:r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The high BRD4 expression levels during fish embryogenesis combined with the transparency of the embryos allowed the authors to look at light-induced phenotypes originating from BRD4 depletion (Figure 4B and 4C).</w:t>
      </w:r>
      <w:r>
        <w:rPr>
          <w:rFonts w:ascii="Arial" w:eastAsia="TimesNewRomanPSMT" w:hAnsi="Arial" w:cs="Arial"/>
          <w:sz w:val="24"/>
          <w:szCs w:val="24"/>
        </w:rPr>
        <w:t xml:space="preserve"> </w:t>
      </w:r>
      <w:r w:rsidRPr="000E0DB5">
        <w:rPr>
          <w:rFonts w:ascii="Arial" w:eastAsia="TimesNewRomanPSMT" w:hAnsi="Arial" w:cs="Arial"/>
          <w:sz w:val="24"/>
          <w:szCs w:val="24"/>
        </w:rPr>
        <w:t xml:space="preserve">While non-irradiated embryos treated with </w:t>
      </w:r>
      <w:r w:rsidRPr="000E0DB5">
        <w:rPr>
          <w:rFonts w:ascii="Arial" w:eastAsia="TimesNewRomanPSMT" w:hAnsi="Arial" w:cs="Arial"/>
          <w:b/>
          <w:bCs/>
          <w:sz w:val="24"/>
          <w:szCs w:val="24"/>
        </w:rPr>
        <w:t>1</w:t>
      </w:r>
      <w:r w:rsidRPr="000E0DB5">
        <w:rPr>
          <w:rFonts w:ascii="Arial" w:eastAsia="TimesNewRomanPSMT" w:hAnsi="Arial" w:cs="Arial"/>
          <w:sz w:val="24"/>
          <w:szCs w:val="24"/>
        </w:rPr>
        <w:t xml:space="preserve"> developed a full yolk</w:t>
      </w:r>
      <w:r w:rsidR="000C122A">
        <w:rPr>
          <w:rFonts w:ascii="Arial" w:eastAsia="TimesNewRomanPSMT" w:hAnsi="Arial" w:cs="Arial"/>
          <w:sz w:val="24"/>
          <w:szCs w:val="24"/>
        </w:rPr>
        <w:t xml:space="preserve"> </w:t>
      </w:r>
      <w:r w:rsidRPr="000E0DB5">
        <w:rPr>
          <w:rFonts w:ascii="Arial" w:eastAsia="TimesNewRomanPSMT" w:hAnsi="Arial" w:cs="Arial"/>
          <w:sz w:val="24"/>
          <w:szCs w:val="24"/>
        </w:rPr>
        <w:t xml:space="preserve">per the </w:t>
      </w:r>
    </w:p>
    <w:p w14:paraId="7D80727F" w14:textId="6705F0E7" w:rsidR="00A00D09" w:rsidRDefault="004864B3" w:rsidP="00A54039">
      <w:pPr>
        <w:autoSpaceDE w:val="0"/>
        <w:autoSpaceDN w:val="0"/>
        <w:adjustRightInd w:val="0"/>
        <w:spacing w:after="0" w:line="480" w:lineRule="auto"/>
        <w:jc w:val="both"/>
        <w:rPr>
          <w:rFonts w:ascii="Arial" w:eastAsia="TimesNewRomanPSMT" w:hAnsi="Arial" w:cs="Arial"/>
          <w:sz w:val="24"/>
          <w:szCs w:val="24"/>
        </w:rPr>
      </w:pPr>
      <w:r>
        <w:rPr>
          <w:rFonts w:ascii="Arial" w:eastAsia="TimesNewRomanPSMT" w:hAnsi="Arial" w:cs="Arial"/>
          <w:noProof/>
          <w:sz w:val="24"/>
          <w:szCs w:val="24"/>
        </w:rPr>
        <w:drawing>
          <wp:anchor distT="0" distB="0" distL="114300" distR="114300" simplePos="0" relativeHeight="251714560" behindDoc="0" locked="0" layoutInCell="1" allowOverlap="1" wp14:anchorId="77FD0D42" wp14:editId="353B339F">
            <wp:simplePos x="0" y="0"/>
            <wp:positionH relativeFrom="column">
              <wp:posOffset>438150</wp:posOffset>
            </wp:positionH>
            <wp:positionV relativeFrom="page">
              <wp:posOffset>1054100</wp:posOffset>
            </wp:positionV>
            <wp:extent cx="5207635" cy="4017645"/>
            <wp:effectExtent l="0" t="0" r="0" b="190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07635" cy="4017645"/>
                    </a:xfrm>
                    <a:prstGeom prst="rect">
                      <a:avLst/>
                    </a:prstGeom>
                    <a:noFill/>
                  </pic:spPr>
                </pic:pic>
              </a:graphicData>
            </a:graphic>
            <wp14:sizeRelH relativeFrom="page">
              <wp14:pctWidth>0</wp14:pctWidth>
            </wp14:sizeRelH>
            <wp14:sizeRelV relativeFrom="page">
              <wp14:pctHeight>0</wp14:pctHeight>
            </wp14:sizeRelV>
          </wp:anchor>
        </w:drawing>
      </w:r>
    </w:p>
    <w:p w14:paraId="50D98579" w14:textId="3601B4A5" w:rsidR="00A00D09" w:rsidRDefault="00A00D09" w:rsidP="00A00D09">
      <w:pPr>
        <w:autoSpaceDE w:val="0"/>
        <w:autoSpaceDN w:val="0"/>
        <w:adjustRightInd w:val="0"/>
        <w:spacing w:after="0" w:line="480" w:lineRule="auto"/>
        <w:jc w:val="both"/>
        <w:rPr>
          <w:rFonts w:ascii="Arial" w:eastAsia="TimesNewRomanPSMT" w:hAnsi="Arial" w:cs="Arial"/>
          <w:sz w:val="24"/>
          <w:szCs w:val="24"/>
          <w:lang w:val="de-DE"/>
        </w:rPr>
      </w:pPr>
      <w:r w:rsidRPr="00D03BA7">
        <w:rPr>
          <w:rFonts w:ascii="Arial" w:eastAsia="TimesNewRomanPSMT" w:hAnsi="Arial" w:cs="Arial"/>
          <w:b/>
          <w:sz w:val="24"/>
          <w:szCs w:val="24"/>
        </w:rPr>
        <w:t>Figure 4</w:t>
      </w:r>
      <w:r w:rsidRPr="00D03BA7">
        <w:rPr>
          <w:rFonts w:ascii="Arial" w:eastAsia="TimesNewRomanPSMT" w:hAnsi="Arial" w:cs="Arial"/>
          <w:sz w:val="24"/>
          <w:szCs w:val="24"/>
        </w:rPr>
        <w:t xml:space="preserve">. Effect of caged PROTACs on cell proliferation and in Zebrafish. (A) HeLa cells were treated with DMSO, caged PROTAC </w:t>
      </w:r>
      <w:r w:rsidRPr="00D03BA7">
        <w:rPr>
          <w:rFonts w:ascii="Arial" w:eastAsia="TimesNewRomanPSMT" w:hAnsi="Arial" w:cs="Arial"/>
          <w:b/>
          <w:sz w:val="24"/>
          <w:szCs w:val="24"/>
        </w:rPr>
        <w:t>8</w:t>
      </w:r>
      <w:r w:rsidRPr="00D03BA7">
        <w:rPr>
          <w:rFonts w:ascii="Arial" w:eastAsia="TimesNewRomanPSMT" w:hAnsi="Arial" w:cs="Arial"/>
          <w:sz w:val="24"/>
          <w:szCs w:val="24"/>
        </w:rPr>
        <w:t xml:space="preserve"> (1 μM) or the uncaged parent PROTAC of </w:t>
      </w:r>
      <w:r w:rsidRPr="00D03BA7">
        <w:rPr>
          <w:rFonts w:ascii="Arial" w:eastAsia="TimesNewRomanPSMT" w:hAnsi="Arial" w:cs="Arial"/>
          <w:b/>
          <w:sz w:val="24"/>
          <w:szCs w:val="24"/>
        </w:rPr>
        <w:t>8</w:t>
      </w:r>
      <w:r w:rsidRPr="00D03BA7">
        <w:rPr>
          <w:rFonts w:ascii="Arial" w:eastAsia="TimesNewRomanPSMT" w:hAnsi="Arial" w:cs="Arial"/>
          <w:sz w:val="24"/>
          <w:szCs w:val="24"/>
        </w:rPr>
        <w:t xml:space="preserve"> (1 μM) either without initial irradiation or with a 60</w:t>
      </w:r>
      <w:r w:rsidR="00913511">
        <w:rPr>
          <w:rFonts w:ascii="Arial" w:eastAsia="TimesNewRomanPSMT" w:hAnsi="Arial" w:cs="Arial"/>
          <w:sz w:val="24"/>
          <w:szCs w:val="24"/>
        </w:rPr>
        <w:t>-</w:t>
      </w:r>
      <w:r w:rsidRPr="00D03BA7">
        <w:rPr>
          <w:rFonts w:ascii="Arial" w:eastAsia="TimesNewRomanPSMT" w:hAnsi="Arial" w:cs="Arial"/>
          <w:sz w:val="24"/>
          <w:szCs w:val="24"/>
        </w:rPr>
        <w:t>second irradiation time at 365 nm. Cell count was followed over 6 days.</w:t>
      </w:r>
      <w:r w:rsidRPr="00D03BA7">
        <w:rPr>
          <w:rFonts w:ascii="Arial" w:eastAsia="TimesNewRomanPSMT" w:hAnsi="Arial" w:cs="Arial"/>
          <w:sz w:val="24"/>
          <w:szCs w:val="24"/>
          <w:lang w:val="de-DE"/>
        </w:rPr>
        <w:t xml:space="preserve"> (B) </w:t>
      </w:r>
      <w:r w:rsidRPr="00D03BA7">
        <w:rPr>
          <w:rFonts w:ascii="Arial" w:eastAsia="TimesNewRomanPSMT" w:hAnsi="Arial" w:cs="Arial"/>
          <w:sz w:val="24"/>
          <w:szCs w:val="24"/>
        </w:rPr>
        <w:t xml:space="preserve">Phenotype of zebrafish embryos treated with dBET1 and caged PROTAC </w:t>
      </w:r>
      <w:r w:rsidRPr="00D03BA7">
        <w:rPr>
          <w:rFonts w:ascii="Arial" w:eastAsia="TimesNewRomanPSMT" w:hAnsi="Arial" w:cs="Arial"/>
          <w:b/>
          <w:sz w:val="24"/>
          <w:szCs w:val="24"/>
        </w:rPr>
        <w:t>1</w:t>
      </w:r>
      <w:r w:rsidRPr="00D03BA7">
        <w:rPr>
          <w:rFonts w:ascii="Arial" w:eastAsia="TimesNewRomanPSMT" w:hAnsi="Arial" w:cs="Arial"/>
          <w:sz w:val="24"/>
          <w:szCs w:val="24"/>
        </w:rPr>
        <w:t xml:space="preserve"> at 24 and 36 hours post-fertilization (hpf). (C) Expression of Brd4 protein in </w:t>
      </w:r>
      <w:r w:rsidRPr="00D03BA7">
        <w:rPr>
          <w:rFonts w:ascii="Arial" w:eastAsia="TimesNewRomanPSMT" w:hAnsi="Arial" w:cs="Arial"/>
          <w:sz w:val="24"/>
          <w:szCs w:val="24"/>
          <w:lang w:val="de-DE"/>
        </w:rPr>
        <w:t xml:space="preserve">treated embryos examined by Western blot. </w:t>
      </w:r>
      <w:r w:rsidRPr="00D03BA7">
        <w:rPr>
          <w:rFonts w:ascii="Arial" w:eastAsia="TimesNewRomanPSMT" w:hAnsi="Arial" w:cs="Arial"/>
          <w:sz w:val="24"/>
          <w:szCs w:val="24"/>
        </w:rPr>
        <w:t>Images adapted with permission from Ref. [</w:t>
      </w:r>
      <w:r w:rsidR="001935DA">
        <w:rPr>
          <w:rFonts w:ascii="Arial" w:eastAsia="TimesNewRomanPSMT" w:hAnsi="Arial" w:cs="Arial"/>
          <w:sz w:val="24"/>
          <w:szCs w:val="24"/>
        </w:rPr>
        <w:t>3</w:t>
      </w:r>
      <w:r w:rsidR="00813131">
        <w:rPr>
          <w:rFonts w:ascii="Arial" w:eastAsia="TimesNewRomanPSMT" w:hAnsi="Arial" w:cs="Arial"/>
          <w:sz w:val="24"/>
          <w:szCs w:val="24"/>
        </w:rPr>
        <w:t>1</w:t>
      </w:r>
      <w:r w:rsidRPr="00D03BA7">
        <w:rPr>
          <w:rFonts w:ascii="Arial" w:eastAsia="TimesNewRomanPSMT" w:hAnsi="Arial" w:cs="Arial"/>
          <w:sz w:val="24"/>
          <w:szCs w:val="24"/>
        </w:rPr>
        <w:t xml:space="preserve">]. </w:t>
      </w:r>
      <w:r w:rsidRPr="00D03BA7">
        <w:rPr>
          <w:rFonts w:ascii="Arial" w:eastAsia="TimesNewRomanPSMT" w:hAnsi="Arial" w:cs="Arial"/>
          <w:sz w:val="24"/>
          <w:szCs w:val="24"/>
          <w:lang w:val="de-DE"/>
        </w:rPr>
        <w:t>Copyright 2019 American Chemical Society.</w:t>
      </w:r>
    </w:p>
    <w:p w14:paraId="26772F24" w14:textId="77777777" w:rsidR="00F808AE" w:rsidRDefault="00F808AE" w:rsidP="00A00D09">
      <w:pPr>
        <w:autoSpaceDE w:val="0"/>
        <w:autoSpaceDN w:val="0"/>
        <w:adjustRightInd w:val="0"/>
        <w:spacing w:after="0" w:line="480" w:lineRule="auto"/>
        <w:jc w:val="both"/>
        <w:rPr>
          <w:rFonts w:ascii="Arial" w:eastAsia="TimesNewRomanPSMT" w:hAnsi="Arial" w:cs="Arial"/>
          <w:sz w:val="24"/>
          <w:szCs w:val="24"/>
          <w:lang w:val="de-DE"/>
        </w:rPr>
      </w:pPr>
    </w:p>
    <w:p w14:paraId="5039BF55" w14:textId="234F92F1" w:rsidR="00A00D09" w:rsidRPr="00D03BA7" w:rsidRDefault="00F808AE" w:rsidP="00A00D09">
      <w:pPr>
        <w:autoSpaceDE w:val="0"/>
        <w:autoSpaceDN w:val="0"/>
        <w:adjustRightInd w:val="0"/>
        <w:spacing w:after="0" w:line="480" w:lineRule="auto"/>
        <w:jc w:val="both"/>
        <w:rPr>
          <w:rFonts w:ascii="Arial" w:eastAsia="TimesNewRomanPSMT" w:hAnsi="Arial" w:cs="Arial"/>
          <w:sz w:val="24"/>
          <w:szCs w:val="24"/>
        </w:rPr>
      </w:pPr>
      <w:r w:rsidRPr="00F808AE">
        <w:rPr>
          <w:rFonts w:ascii="Arial" w:eastAsia="TimesNewRomanPSMT" w:hAnsi="Arial" w:cs="Arial"/>
          <w:sz w:val="24"/>
          <w:szCs w:val="24"/>
        </w:rPr>
        <w:t>DMSO control, embryos irradiated at 365 nm for 10 minutes fail to grow a yolk extension in presence of 1, analogous to treatment with dBET1.</w:t>
      </w:r>
    </w:p>
    <w:p w14:paraId="4E37263C" w14:textId="771DC64B" w:rsidR="003B3C19" w:rsidRDefault="00A00D09" w:rsidP="00A00D09">
      <w:pPr>
        <w:autoSpaceDE w:val="0"/>
        <w:autoSpaceDN w:val="0"/>
        <w:adjustRightInd w:val="0"/>
        <w:spacing w:after="0" w:line="480" w:lineRule="auto"/>
        <w:jc w:val="both"/>
        <w:rPr>
          <w:rFonts w:ascii="Arial" w:eastAsia="TimesNewRomanPSMT" w:hAnsi="Arial" w:cs="Arial"/>
          <w:sz w:val="24"/>
          <w:szCs w:val="24"/>
        </w:rPr>
      </w:pPr>
      <w:r w:rsidRPr="000E0DB5">
        <w:rPr>
          <w:rFonts w:ascii="Arial" w:eastAsia="TimesNewRomanPSMT" w:hAnsi="Arial" w:cs="Arial"/>
          <w:sz w:val="24"/>
          <w:szCs w:val="24"/>
        </w:rPr>
        <w:t>This result represents the first use of light-activated degraders in a complex multicellular organism, and further highlights the important distinction between the pharmacological consequences of inhibition versus degradation.</w:t>
      </w:r>
    </w:p>
    <w:p w14:paraId="6DAB2C1F" w14:textId="6C2B6934" w:rsidR="00B4049B" w:rsidRPr="000E0DB5" w:rsidRDefault="00B4049B" w:rsidP="00A54039">
      <w:pPr>
        <w:autoSpaceDE w:val="0"/>
        <w:autoSpaceDN w:val="0"/>
        <w:adjustRightInd w:val="0"/>
        <w:spacing w:after="0" w:line="480" w:lineRule="auto"/>
        <w:jc w:val="both"/>
        <w:rPr>
          <w:rFonts w:ascii="Arial" w:eastAsia="TimesNewRomanPSMT" w:hAnsi="Arial" w:cs="Arial"/>
          <w:i/>
          <w:iCs/>
          <w:sz w:val="24"/>
          <w:szCs w:val="24"/>
        </w:rPr>
      </w:pPr>
      <w:r w:rsidRPr="000E0DB5">
        <w:rPr>
          <w:rFonts w:ascii="Arial" w:eastAsia="TimesNewRomanPSMT" w:hAnsi="Arial" w:cs="Arial"/>
          <w:i/>
          <w:iCs/>
          <w:sz w:val="24"/>
          <w:szCs w:val="24"/>
        </w:rPr>
        <w:t>Estrogen-related receptor alpha (ERRα)</w:t>
      </w:r>
    </w:p>
    <w:p w14:paraId="1E28074B" w14:textId="7E74C9E0" w:rsidR="003B3C19" w:rsidRPr="000E0DB5" w:rsidRDefault="00B4049B" w:rsidP="00B4049B">
      <w:pPr>
        <w:autoSpaceDE w:val="0"/>
        <w:autoSpaceDN w:val="0"/>
        <w:adjustRightInd w:val="0"/>
        <w:spacing w:after="0" w:line="480" w:lineRule="auto"/>
        <w:jc w:val="both"/>
        <w:rPr>
          <w:rFonts w:ascii="Arial" w:eastAsia="TimesNewRomanPSMT" w:hAnsi="Arial" w:cs="Arial"/>
          <w:sz w:val="24"/>
          <w:szCs w:val="24"/>
        </w:rPr>
      </w:pPr>
      <w:r w:rsidRPr="000E0DB5">
        <w:rPr>
          <w:rFonts w:ascii="Arial" w:eastAsia="TimesNewRomanPSMT" w:hAnsi="Arial" w:cs="Arial"/>
          <w:sz w:val="24"/>
          <w:szCs w:val="24"/>
        </w:rPr>
        <w:t>In addition to BRD4, Naro et al. applied the photocaging strategy to a PROTAC targeting estrogen-related receptor alpha (ERRα),</w:t>
      </w:r>
      <w:r w:rsidR="0087378A" w:rsidRPr="000E0DB5">
        <w:rPr>
          <w:rFonts w:ascii="Arial" w:eastAsia="TimesNewRomanPSMT" w:hAnsi="Arial" w:cs="Arial"/>
          <w:sz w:val="24"/>
          <w:szCs w:val="24"/>
        </w:rPr>
        <w:t xml:space="preserve"> </w:t>
      </w:r>
      <w:r w:rsidRPr="000E0DB5">
        <w:rPr>
          <w:rFonts w:ascii="Arial" w:eastAsia="TimesNewRomanPSMT" w:hAnsi="Arial" w:cs="Arial"/>
          <w:sz w:val="24"/>
          <w:szCs w:val="24"/>
        </w:rPr>
        <w:t>an orphan receptor with roles in metabolism, homeostasis, and breast cancer.</w:t>
      </w:r>
      <w:r w:rsidR="0087378A" w:rsidRPr="000E0DB5">
        <w:rPr>
          <w:rFonts w:ascii="Arial" w:eastAsia="TimesNewRomanPSMT" w:hAnsi="Arial" w:cs="Arial"/>
          <w:sz w:val="24"/>
          <w:szCs w:val="24"/>
        </w:rPr>
        <w:fldChar w:fldCharType="begin" w:fldLock="1"/>
      </w:r>
      <w:r w:rsidR="002C6D4C">
        <w:rPr>
          <w:rFonts w:ascii="Arial" w:eastAsia="TimesNewRomanPSMT" w:hAnsi="Arial" w:cs="Arial"/>
          <w:sz w:val="24"/>
          <w:szCs w:val="24"/>
        </w:rPr>
        <w:instrText>ADDIN CSL_CITATION {"citationItems":[{"id":"ITEM-1","itemData":{"DOI":"10.1038/sigtrans.2017.35","ISSN":"20593635","abstract":"Estrogen-related receptor alpha (ERRα) is an orphan nuclear factor that is a master regulator of cellular energy metabolism. ERRα is overexpressed in a variety of tumors, including ovarian, prostate, colorectal, cervical and breast, and is associated with a more aggressive tumor and a worse outcome. In breast cancer, specifically, high ERRα expression is associated with an increased rate of recurrence and a poor prognosis. Because of the common functions of ERRα and the mTORC1/S6K1 signaling pathway in regulation of cellular metabolism and breast cancer pathogenesis, we focused on investigating the biochemical relationship between ERRα and S6K1. We found that ERRα negatively regulates S6K1 expression by directly binding to its promoter. Downregulation of ERRα expression sensitized ERα-negative breast cancer cells to mTORC1/S6K1 inhibitors. Therefore, our results show that combinatorial inhibition of ERRα and mTORC1/S6K1 may have clinical utility in treatment of triple-negative breast cancer, and warrants further investigation.","author":[{"dropping-particle":"","family":"Berman","given":"Adi Y.","non-dropping-particle":"","parse-names":false,"suffix":""},{"dropping-particle":"","family":"Manna","given":"Subrata","non-dropping-particle":"","parse-names":false,"suffix":""},{"dropping-particle":"","family":"Schwartz","given":"Naomi S.","non-dropping-particle":"","parse-names":false,"suffix":""},{"dropping-particle":"","family":"Katz","given":"Yardena E.","non-dropping-particle":"","parse-names":false,"suffix":""},{"dropping-particle":"","family":"Sun","given":"Yang","non-dropping-particle":"","parse-names":false,"suffix":""},{"dropping-particle":"","family":"Behrmann","given":"Catherine A.","non-dropping-particle":"","parse-names":false,"suffix":""},{"dropping-particle":"","family":"Yu","given":"Jane J.","non-dropping-particle":"","parse-names":false,"suffix":""},{"dropping-particle":"","family":"Plas","given":"David R.","non-dropping-particle":"","parse-names":false,"suffix":""},{"dropping-particle":"","family":"Alayev","given":"Anya","non-dropping-particle":"","parse-names":false,"suffix":""},{"dropping-particle":"","family":"Holz","given":"Marina K.","non-dropping-particle":"","parse-names":false,"suffix":""}],"container-title":"Signal Transduction and Targeted Therapy","id":"ITEM-1","issue":"April","issued":{"date-parts":[["2017"]]},"page":"1-9","publisher":"The Author(s)","title":"ERRα regulates the growth of triple-negative breast cancer cells via S6K1-dependent mechanism","type":"article-journal","volume":"2"},"uris":["http://www.mendeley.com/documents/?uuid=5d70116b-c385-456f-a652-2e27634430ab"]}],"mendeley":{"formattedCitation":"&lt;sup&gt;53&lt;/sup&gt;","plainTextFormattedCitation":"53","previouslyFormattedCitation":"&lt;sup&gt;53&lt;/sup&gt;"},"properties":{"noteIndex":0},"schema":"https://github.com/citation-style-language/schema/raw/master/csl-citation.json"}</w:instrText>
      </w:r>
      <w:r w:rsidR="0087378A" w:rsidRPr="000E0DB5">
        <w:rPr>
          <w:rFonts w:ascii="Arial" w:eastAsia="TimesNewRomanPSMT" w:hAnsi="Arial" w:cs="Arial"/>
          <w:sz w:val="24"/>
          <w:szCs w:val="24"/>
        </w:rPr>
        <w:fldChar w:fldCharType="separate"/>
      </w:r>
      <w:r w:rsidR="00E936EA" w:rsidRPr="00E936EA">
        <w:rPr>
          <w:rFonts w:ascii="Arial" w:eastAsia="TimesNewRomanPSMT" w:hAnsi="Arial" w:cs="Arial"/>
          <w:noProof/>
          <w:sz w:val="24"/>
          <w:szCs w:val="24"/>
          <w:vertAlign w:val="superscript"/>
        </w:rPr>
        <w:t>53</w:t>
      </w:r>
      <w:r w:rsidR="0087378A"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The parent PROTAC of </w:t>
      </w:r>
      <w:r w:rsidRPr="000E0DB5">
        <w:rPr>
          <w:rFonts w:ascii="Arial" w:eastAsia="TimesNewRomanPSMT" w:hAnsi="Arial" w:cs="Arial"/>
          <w:b/>
          <w:bCs/>
          <w:sz w:val="24"/>
          <w:szCs w:val="24"/>
        </w:rPr>
        <w:t xml:space="preserve">4 </w:t>
      </w:r>
      <w:r w:rsidRPr="000E0DB5">
        <w:rPr>
          <w:rFonts w:ascii="Arial" w:eastAsia="TimesNewRomanPSMT" w:hAnsi="Arial" w:cs="Arial"/>
          <w:sz w:val="24"/>
          <w:szCs w:val="24"/>
        </w:rPr>
        <w:t>was reported by Bondeson et al. in 2015 and achieved significant reduction of ERRα receptor levels both in MCF</w:t>
      </w:r>
      <w:r w:rsidR="008064CE">
        <w:rPr>
          <w:rFonts w:ascii="Arial" w:eastAsia="TimesNewRomanPSMT" w:hAnsi="Arial" w:cs="Arial"/>
          <w:sz w:val="24"/>
          <w:szCs w:val="24"/>
        </w:rPr>
        <w:t>-</w:t>
      </w:r>
      <w:r w:rsidRPr="000E0DB5">
        <w:rPr>
          <w:rFonts w:ascii="Arial" w:eastAsia="TimesNewRomanPSMT" w:hAnsi="Arial" w:cs="Arial"/>
          <w:sz w:val="24"/>
          <w:szCs w:val="24"/>
        </w:rPr>
        <w:t>7 cells and in mice.</w:t>
      </w:r>
      <w:r w:rsidR="0087378A"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{"citationItems":[{"id":"ITEM-1","itemData":{"DOI":"10.1038/nchembio.1858","ISSN":"15524469","abstract":"The current predominant therapeutic paradigm is based on maximizing drug-receptor occupancy to achieve clinical benefit. This strategy, however, generally requires excessive drug concentrations to ensure sufficient occupancy, often leading to adverse side effects. Here, we describe major improvements to the proteolysis targeting chimeras (PROTACs) method, a chemical knockdown strategy in which a heterobifunctional molecule recruits a specific protein target to an E3 ubiquitin ligase, resulting in the target's ubiquitination and degradation. These compounds behave catalytically in their ability to induce the ubiquitination of super-stoichiometric quantities of proteins, providing efficacy that is not limited by equilibrium occupancy. We present two PROTACs that are capable of specifically reducing protein levels by &gt;90% at nanomolar concentrations. In addition, mouse studies indicate that they provide broad tissue distribution and knockdown of the targeted protein in tumor xenografts. Together, these data demonstrate a protein knockdown system combining many of the favorable properties of small-molecule agents with the potent protein knockdown of RNAi and CRISPR.","author":[{"dropping-particle":"","family":"Bondeson","given":"Daniel P.","non-dropping-particle":"","parse-names":false,"suffix":""},{"dropping-particle":"","family":"Mares","given":"Alina","non-dropping-particle":"","parse-names":false,"suffix":""},{"dropping-particle":"","family":"Smith","given":"Ian E.D.","non-dropping-particle":"","parse-names":false,"suffix":""},{"dropping-particle":"","family":"Ko","given":"Eunhwa","non-dropping-particle":"","parse-names":false,"suffix":""},{"dropping-particle":"","family":"Campos","given":"Sebastien","non-dropping-particle":"","parse-names":false,"suffix":""},{"dropping-particle":"","family":"Miah","given":"Afjal H.","non-dropping-particle":"","parse-names":false,"suffix":""},{"dropping-particle":"","family":"Mulholland","given":"Katie E.","non-dropping-particle":"","parse-names":false,"suffix":""},{"dropping-particle":"","family":"Routly","given":"Natasha","non-dropping-particle":"","parse-names":false,"suffix":""},{"dropping-particle":"","family":"Buckley","given":"Dennis L.","non-dropping-particle":"","parse-names":false,"suffix":""},{"dropping-particle":"","family":"Gustafson","given":"Jeffrey L.","non-dropping-particle":"","parse-names":false,"suffix":""},{"dropping-particle":"","family":"Zinn","given":"Nico","non-dropping-particle":"","parse-names":false,"suffix":""},{"dropping-particle":"","family":"Grandi","given":"Paola","non-dropping-particle":"","parse-names":false,"suffix":""},{"dropping-particle":"","family":"Shimamura","given":"Satoko","non-dropping-particle":"","parse-names":false,"suffix":""},{"dropping-particle":"","family":"Bergamini","given":"Giovanna","non-dropping-particle":"","parse-names":false,"suffix":""},{"dropping-particle":"","family":"Faelth-Savitski","given":"Maria","non-dropping-particle":"","parse-names":false,"suffix":""},{"dropping-particle":"","family":"Bantscheff","given":"Marcus","non-dropping-particle":"","parse-names":false,"suffix":""},{"dropping-particle":"","family":"Cox","given":"Carly","non-dropping-particle":"","parse-names":false,"suffix":""},{"dropping-particle":"","family":"Gordon","given":"Deborah A.","non-dropping-particle":"","parse-names":false,"suffix":""},{"dropping-particle":"","family":"Willard","given":"Ryan R.","non-dropping-particle":"","parse-names":false,"suffix":""},{"dropping-particle":"","family":"Flanagan","given":"John J.","non-dropping-particle":"","parse-names":false,"suffix":""},{"dropping-particle":"","family":"Casillas","given":"Linda N.","non-dropping-particle":"","parse-names":false,"suffix":""},{"dropping-particle":"","family":"Votta","given":"Bartholomew J.","non-dropping-particle":"","parse-names":false,"suffix":""},{"dropping-particle":"","family":"Besten","given":"Willem","non-dropping-particle":"Den","parse-names":false,"suffix":""},{"dropping-particle":"","family":"Famm","given":"Kristoffer","non-dropping-particle":"","parse-names":false,"suffix":""},{"dropping-particle":"","family":"Kruidenier","given":"Laurens","non-dropping-particle":"","parse-names":false,"suffix":""},{"dropping-particle":"","family":"Carter","given":"Paul S.","non-dropping-particle":"","parse-names":false,"suffix":""},{"dropping-particle":"","family":"Harling","given":"John D.","non-dropping-particle":"","parse-names":false,"suffix":""},{"dropping-particle":"","family":"Churcher","given":"Ian","non-dropping-particle":"","parse-names":false,"suffix":""},{"dropping-particle":"","family":"Crews","given":"Craig M.","non-dropping-particle":"","parse-names":false,"suffix":""}],"container-title":"Nature Chemical Biology","id":"ITEM-1","issue":"8","issued":{"date-parts":[["2015"]]},"page":"611-617","title":"Catalytic in vivo protein knockdown by small-molecule PROTACs","type":"article-journal","volume":"11"},"uris":["http://www.mendeley.com/documents/?uuid=9107d32f-6436-4607-9e1b-fb9286525740"]}],"mendeley":{"formattedCitation":"&lt;sup&gt;16&lt;/sup&gt;","plainTextFormattedCitation":"16","previouslyFormattedCitation":"&lt;sup&gt;16&lt;/sup&gt;"},"properties":{"noteIndex":0},"schema":"https://github.com/citation-style-language/schema/raw/master/csl-citation.json"}</w:instrText>
      </w:r>
      <w:r w:rsidR="0087378A"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16</w:t>
      </w:r>
      <w:r w:rsidR="0087378A"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The caged degrader </w:t>
      </w:r>
      <w:r w:rsidRPr="000E0DB5">
        <w:rPr>
          <w:rFonts w:ascii="Arial" w:eastAsia="TimesNewRomanPSMT" w:hAnsi="Arial" w:cs="Arial"/>
          <w:b/>
          <w:bCs/>
          <w:sz w:val="24"/>
          <w:szCs w:val="24"/>
        </w:rPr>
        <w:t>4</w:t>
      </w:r>
      <w:r w:rsidRPr="000E0DB5">
        <w:rPr>
          <w:rFonts w:ascii="Arial" w:eastAsia="TimesNewRomanPSMT" w:hAnsi="Arial" w:cs="Arial"/>
          <w:sz w:val="24"/>
          <w:szCs w:val="24"/>
        </w:rPr>
        <w:t xml:space="preserve"> was unable to degrade ERRα in the same cell line until it was uncaged by UV light. The relevance of the approach was also highlighted by triggering estrogen receptor alpha (ERα) -dependent </w:t>
      </w:r>
      <w:r w:rsidR="00527B18" w:rsidRPr="007633C0">
        <w:rPr>
          <w:rFonts w:ascii="Arial" w:eastAsia="TimesNewRomanPSMT" w:hAnsi="Arial" w:cs="Arial"/>
          <w:sz w:val="24"/>
          <w:szCs w:val="24"/>
        </w:rPr>
        <w:t>trans</w:t>
      </w:r>
      <w:r w:rsidRPr="000E0DB5">
        <w:rPr>
          <w:rFonts w:ascii="Arial" w:eastAsia="TimesNewRomanPSMT" w:hAnsi="Arial" w:cs="Arial"/>
          <w:sz w:val="24"/>
          <w:szCs w:val="24"/>
        </w:rPr>
        <w:t>cription (normally repressed in presence of ERRα) in MCF</w:t>
      </w:r>
      <w:r w:rsidR="008064CE">
        <w:rPr>
          <w:rFonts w:ascii="Arial" w:eastAsia="TimesNewRomanPSMT" w:hAnsi="Arial" w:cs="Arial"/>
          <w:sz w:val="24"/>
          <w:szCs w:val="24"/>
        </w:rPr>
        <w:t>-</w:t>
      </w:r>
      <w:r w:rsidRPr="000E0DB5">
        <w:rPr>
          <w:rFonts w:ascii="Arial" w:eastAsia="TimesNewRomanPSMT" w:hAnsi="Arial" w:cs="Arial"/>
          <w:sz w:val="24"/>
          <w:szCs w:val="24"/>
        </w:rPr>
        <w:t>7 cell</w:t>
      </w:r>
      <w:r w:rsidR="00205856">
        <w:rPr>
          <w:rFonts w:ascii="Arial" w:eastAsia="TimesNewRomanPSMT" w:hAnsi="Arial" w:cs="Arial"/>
          <w:sz w:val="24"/>
          <w:szCs w:val="24"/>
        </w:rPr>
        <w:t xml:space="preserve">s transfected with </w:t>
      </w:r>
      <w:r w:rsidR="00205856" w:rsidRPr="00205856">
        <w:rPr>
          <w:rFonts w:ascii="Arial" w:eastAsia="TimesNewRomanPSMT" w:hAnsi="Arial" w:cs="Arial"/>
          <w:sz w:val="24"/>
          <w:szCs w:val="24"/>
        </w:rPr>
        <w:t>a luciferase reporter gene</w:t>
      </w:r>
      <w:r w:rsidRPr="000E0DB5">
        <w:rPr>
          <w:rFonts w:ascii="Arial" w:eastAsia="TimesNewRomanPSMT" w:hAnsi="Arial" w:cs="Arial"/>
          <w:sz w:val="24"/>
          <w:szCs w:val="24"/>
        </w:rPr>
        <w:t>. ERα-mediated</w:t>
      </w:r>
      <w:r w:rsidR="00205856">
        <w:rPr>
          <w:rFonts w:ascii="Arial" w:eastAsia="TimesNewRomanPSMT" w:hAnsi="Arial" w:cs="Arial"/>
          <w:sz w:val="24"/>
          <w:szCs w:val="24"/>
        </w:rPr>
        <w:t xml:space="preserve"> transcription (monitored via the luciferase signal)</w:t>
      </w:r>
      <w:r w:rsidRPr="000E0DB5">
        <w:rPr>
          <w:rFonts w:ascii="Arial" w:eastAsia="TimesNewRomanPSMT" w:hAnsi="Arial" w:cs="Arial"/>
          <w:sz w:val="24"/>
          <w:szCs w:val="24"/>
        </w:rPr>
        <w:t xml:space="preserve"> was </w:t>
      </w:r>
      <w:r w:rsidR="00195700" w:rsidRPr="000E0DB5">
        <w:rPr>
          <w:rFonts w:ascii="Arial" w:eastAsia="TimesNewRomanPSMT" w:hAnsi="Arial" w:cs="Arial"/>
          <w:sz w:val="24"/>
          <w:szCs w:val="24"/>
        </w:rPr>
        <w:t>triggered by</w:t>
      </w:r>
      <w:r w:rsidRPr="000E0DB5">
        <w:rPr>
          <w:rFonts w:ascii="Arial" w:eastAsia="TimesNewRomanPSMT" w:hAnsi="Arial" w:cs="Arial"/>
          <w:sz w:val="24"/>
          <w:szCs w:val="24"/>
        </w:rPr>
        <w:t xml:space="preserve"> degradation of ERRα</w:t>
      </w:r>
      <w:r w:rsidR="00195700" w:rsidRPr="000E0DB5">
        <w:rPr>
          <w:rFonts w:ascii="Arial" w:eastAsia="TimesNewRomanPSMT" w:hAnsi="Arial" w:cs="Arial"/>
          <w:sz w:val="24"/>
          <w:szCs w:val="24"/>
        </w:rPr>
        <w:t>, which was in turn initiated</w:t>
      </w:r>
      <w:r w:rsidRPr="000E0DB5">
        <w:rPr>
          <w:rFonts w:ascii="Arial" w:eastAsia="TimesNewRomanPSMT" w:hAnsi="Arial" w:cs="Arial"/>
          <w:sz w:val="24"/>
          <w:szCs w:val="24"/>
        </w:rPr>
        <w:t xml:space="preserve"> </w:t>
      </w:r>
      <w:r w:rsidR="00B73D68">
        <w:rPr>
          <w:rFonts w:ascii="Arial" w:eastAsia="TimesNewRomanPSMT" w:hAnsi="Arial" w:cs="Arial"/>
          <w:sz w:val="24"/>
          <w:szCs w:val="24"/>
        </w:rPr>
        <w:t>upon</w:t>
      </w:r>
      <w:r w:rsidRPr="000E0DB5">
        <w:rPr>
          <w:rFonts w:ascii="Arial" w:eastAsia="TimesNewRomanPSMT" w:hAnsi="Arial" w:cs="Arial"/>
          <w:sz w:val="24"/>
          <w:szCs w:val="24"/>
        </w:rPr>
        <w:t xml:space="preserve"> uncaging of </w:t>
      </w:r>
      <w:r w:rsidRPr="000E0DB5">
        <w:rPr>
          <w:rFonts w:ascii="Arial" w:eastAsia="TimesNewRomanPSMT" w:hAnsi="Arial" w:cs="Arial"/>
          <w:b/>
          <w:bCs/>
          <w:sz w:val="24"/>
          <w:szCs w:val="24"/>
        </w:rPr>
        <w:t>4</w:t>
      </w:r>
      <w:r w:rsidRPr="000E0DB5">
        <w:rPr>
          <w:rFonts w:ascii="Arial" w:eastAsia="TimesNewRomanPSMT" w:hAnsi="Arial" w:cs="Arial"/>
          <w:sz w:val="24"/>
          <w:szCs w:val="24"/>
        </w:rPr>
        <w:t>.</w:t>
      </w:r>
    </w:p>
    <w:p w14:paraId="3EB4BB80" w14:textId="1C87084A" w:rsidR="00B4049B" w:rsidRPr="000E0DB5" w:rsidRDefault="00B4049B" w:rsidP="00B4049B">
      <w:pPr>
        <w:autoSpaceDE w:val="0"/>
        <w:autoSpaceDN w:val="0"/>
        <w:adjustRightInd w:val="0"/>
        <w:spacing w:after="0" w:line="480" w:lineRule="auto"/>
        <w:jc w:val="both"/>
        <w:rPr>
          <w:rFonts w:ascii="Arial" w:eastAsia="TimesNewRomanPSMT" w:hAnsi="Arial" w:cs="Arial"/>
          <w:i/>
          <w:iCs/>
          <w:sz w:val="24"/>
          <w:szCs w:val="24"/>
        </w:rPr>
      </w:pPr>
      <w:r w:rsidRPr="000E0DB5">
        <w:rPr>
          <w:rFonts w:ascii="Arial" w:eastAsia="TimesNewRomanPSMT" w:hAnsi="Arial" w:cs="Arial"/>
          <w:i/>
          <w:iCs/>
          <w:sz w:val="24"/>
          <w:szCs w:val="24"/>
        </w:rPr>
        <w:t>Bruton tyrosine kinase (BTK) and anaplastic lymphoma kinase (ALK)</w:t>
      </w:r>
    </w:p>
    <w:p w14:paraId="0BF6644E" w14:textId="445C9960" w:rsidR="000314A6" w:rsidRDefault="00B76BFA" w:rsidP="00B4049B">
      <w:pPr>
        <w:autoSpaceDE w:val="0"/>
        <w:autoSpaceDN w:val="0"/>
        <w:adjustRightInd w:val="0"/>
        <w:spacing w:after="0" w:line="480" w:lineRule="auto"/>
        <w:jc w:val="both"/>
        <w:rPr>
          <w:rFonts w:ascii="Arial" w:eastAsia="TimesNewRomanPSMT" w:hAnsi="Arial" w:cs="Arial"/>
          <w:sz w:val="24"/>
          <w:szCs w:val="24"/>
        </w:rPr>
      </w:pPr>
      <w:r w:rsidRPr="000E0DB5">
        <w:rPr>
          <w:rFonts w:ascii="Arial" w:eastAsia="TimesNewRomanPSMT" w:hAnsi="Arial" w:cs="Arial"/>
          <w:sz w:val="24"/>
          <w:szCs w:val="24"/>
        </w:rPr>
        <w:t>Unsurprisingly g</w:t>
      </w:r>
      <w:r w:rsidR="00B4049B" w:rsidRPr="000E0DB5">
        <w:rPr>
          <w:rFonts w:ascii="Arial" w:eastAsia="TimesNewRomanPSMT" w:hAnsi="Arial" w:cs="Arial"/>
          <w:sz w:val="24"/>
          <w:szCs w:val="24"/>
        </w:rPr>
        <w:t xml:space="preserve">iven their attractiveness as therapeutic targets in cancer, several kinases have been targeted successfully </w:t>
      </w:r>
      <w:r w:rsidRPr="000E0DB5">
        <w:rPr>
          <w:rFonts w:ascii="Arial" w:eastAsia="TimesNewRomanPSMT" w:hAnsi="Arial" w:cs="Arial"/>
          <w:sz w:val="24"/>
          <w:szCs w:val="24"/>
        </w:rPr>
        <w:t xml:space="preserve">with </w:t>
      </w:r>
      <w:r w:rsidR="00B4049B" w:rsidRPr="000E0DB5">
        <w:rPr>
          <w:rFonts w:ascii="Arial" w:eastAsia="TimesNewRomanPSMT" w:hAnsi="Arial" w:cs="Arial"/>
          <w:sz w:val="24"/>
          <w:szCs w:val="24"/>
        </w:rPr>
        <w:t>PROTACs</w:t>
      </w:r>
      <w:r w:rsidR="002C6D4C">
        <w:rPr>
          <w:rFonts w:ascii="Arial" w:eastAsia="TimesNewRomanPSMT" w:hAnsi="Arial" w:cs="Arial"/>
          <w:sz w:val="24"/>
          <w:szCs w:val="24"/>
        </w:rPr>
        <w:t xml:space="preserve">. </w:t>
      </w:r>
      <w:r w:rsidR="00B4049B" w:rsidRPr="000E0DB5">
        <w:rPr>
          <w:rFonts w:ascii="Arial" w:eastAsia="TimesNewRomanPSMT" w:hAnsi="Arial" w:cs="Arial"/>
          <w:sz w:val="24"/>
          <w:szCs w:val="24"/>
        </w:rPr>
        <w:t>This includes cyclic dependent kinases (CDKs),</w:t>
      </w:r>
      <w:r w:rsidR="009C4AF9">
        <w:rPr>
          <w:rFonts w:ascii="Arial" w:eastAsia="TimesNewRomanPSMT" w:hAnsi="Arial" w:cs="Arial"/>
          <w:sz w:val="24"/>
          <w:szCs w:val="24"/>
        </w:rPr>
        <w:fldChar w:fldCharType="begin" w:fldLock="1"/>
      </w:r>
      <w:r w:rsidR="005D6924">
        <w:rPr>
          <w:rFonts w:ascii="Arial" w:eastAsia="TimesNewRomanPSMT" w:hAnsi="Arial" w:cs="Arial"/>
          <w:sz w:val="24"/>
          <w:szCs w:val="24"/>
        </w:rPr>
        <w:instrText>ADDIN CSL_CITATION {"citationItems":[{"id":"ITEM-1","itemData":{"DOI":"10.1016/j.bmcl.2019.03.035","ISSN":"14643405","abstract":"Development of selective kinase inhibitors that target the ATP binding site continues to be a challenge largely due to similar binding pockets. Palbociclib is a cyclin-dependent kinase inhibitor that targets the ATP binding site of CDK4 and CDK6 with similar potency. The enzymatic function associated with the kinase can be effectively probed using kinase inhibitors however the kinase-independent functions cannot. Herein, we report a palbociclib based PROTAC that selectively degrades CDK6 while sparing the homolog CDK4. We used competition studies to characterize the binding and mechanism of CDK6 degradation.","author":[{"dropping-particle":"","family":"Rana","given":"Sandeep","non-dropping-particle":"","parse-names":false,"suffix":""},{"dropping-particle":"","family":"Bendjennat","given":"Mourad","non-dropping-particle":"","parse-names":false,"suffix":""},{"dropping-particle":"","family":"Kour","given":"Smit","non-dropping-particle":"","parse-names":false,"suffix":""},{"dropping-particle":"","family":"King","given":"Hannah M.","non-dropping-particle":"","parse-names":false,"suffix":""},{"dropping-particle":"","family":"Kizhake","given":"Smitha","non-dropping-particle":"","parse-names":false,"suffix":""},{"dropping-particle":"","family":"Zahid","given":"Muhammad","non-dropping-particle":"","parse-names":false,"suffix":""},{"dropping-particle":"","family":"Natarajan","given":"Amarnath","non-dropping-particle":"","parse-names":false,"suffix":""}],"container-title":"Bioorganic and Medicinal Chemistry Letters","id":"ITEM-1","issue":"11","issued":{"date-parts":[["2019"]]},"page":"1375-1379","publisher":"Elsevier","title":"Selective degradation of CDK6 by a palbociclib based PROTAC","type":"article-journal","volume":"29"},"uris":["http://www.mendeley.com/documents/?uuid=ebb69ab6-20c1-4503-9fb1-9b71dfc11aab"]}],"mendeley":{"formattedCitation":"&lt;sup&gt;54&lt;/sup&gt;","plainTextFormattedCitation":"54","previouslyFormattedCitation":"&lt;sup&gt;55&lt;/sup&gt;"},"properties":{"noteIndex":0},"schema":"https://github.com/citation-style-language/schema/raw/master/csl-citation.json"}</w:instrText>
      </w:r>
      <w:r w:rsidR="009C4AF9">
        <w:rPr>
          <w:rFonts w:ascii="Arial" w:eastAsia="TimesNewRomanPSMT" w:hAnsi="Arial" w:cs="Arial"/>
          <w:sz w:val="24"/>
          <w:szCs w:val="24"/>
        </w:rPr>
        <w:fldChar w:fldCharType="separate"/>
      </w:r>
      <w:r w:rsidR="005D6924" w:rsidRPr="005D6924">
        <w:rPr>
          <w:rFonts w:ascii="Arial" w:eastAsia="TimesNewRomanPSMT" w:hAnsi="Arial" w:cs="Arial"/>
          <w:noProof/>
          <w:sz w:val="24"/>
          <w:szCs w:val="24"/>
          <w:vertAlign w:val="superscript"/>
        </w:rPr>
        <w:t>54</w:t>
      </w:r>
      <w:r w:rsidR="009C4AF9">
        <w:rPr>
          <w:rFonts w:ascii="Arial" w:eastAsia="TimesNewRomanPSMT" w:hAnsi="Arial" w:cs="Arial"/>
          <w:sz w:val="24"/>
          <w:szCs w:val="24"/>
        </w:rPr>
        <w:fldChar w:fldCharType="end"/>
      </w:r>
      <w:r w:rsidR="00B4049B" w:rsidRPr="000E0DB5">
        <w:rPr>
          <w:rFonts w:ascii="Arial" w:eastAsia="TimesNewRomanPSMT" w:hAnsi="Arial" w:cs="Arial"/>
          <w:sz w:val="24"/>
          <w:szCs w:val="24"/>
        </w:rPr>
        <w:t xml:space="preserve"> focal-adhesion kinase (FAK),</w:t>
      </w:r>
      <w:r w:rsidR="004750FD" w:rsidRPr="000E0DB5">
        <w:rPr>
          <w:rFonts w:ascii="Arial" w:eastAsia="TimesNewRomanPSMT" w:hAnsi="Arial" w:cs="Arial"/>
          <w:sz w:val="24"/>
          <w:szCs w:val="24"/>
        </w:rPr>
        <w:fldChar w:fldCharType="begin" w:fldLock="1"/>
      </w:r>
      <w:r w:rsidR="005D6924">
        <w:rPr>
          <w:rFonts w:ascii="Arial" w:eastAsia="TimesNewRomanPSMT" w:hAnsi="Arial" w:cs="Arial"/>
          <w:sz w:val="24"/>
          <w:szCs w:val="24"/>
        </w:rPr>
        <w:instrText>ADDIN CSL_CITATION {"citationItems":[{"id":"ITEM-1","itemData":{"DOI":"10.1021/acs.jmedchem.8b01826","ISSN":"15204804","abstract":"Focal adhesion tyrosine kinase (PTK2) is often overexpressed in human hepatocellular carcinoma (HCC), and several reports have linked PTK2 depletion and/or pharmacological inhibition to reduced tumorigenicity. However, the clinical relevance of targeting PTK2 still remains to be proven. Here, we present two highly selective and functional PTK2 proteolysis-targeting chimeras utilizing von Hippel-Lindau and cereblon ligands to hijack E3 ligases for PTK2 degradation. BI-3663 (cereblon-based) degrades PTK2 with a median DC50 of 30 nM to &gt;80% across a panel of 11 HCC cell lines. Despite effective PTK2 degradation, these compounds did not phenocopy the reported antiproliferative effects of PTK2 depletion in any of the cell lines tested. By disclosing these compounds, we hope to provide valuable tools for the study of PTK2 degradation across different biological systems.","author":[{"dropping-particle":"","family":"Popow","given":"Johannes","non-dropping-particle":"","parse-names":false,"suffix":""},{"dropping-particle":"","family":"Arnhof","given":"Heribert","non-dropping-particle":"","parse-names":false,"suffix":""},{"dropping-particle":"","family":"Bader","given":"Gerd","non-dropping-particle":"","parse-names":false,"suffix":""},{"dropping-particle":"","family":"Berger","given":"Helmut","non-dropping-particle":"","parse-names":false,"suffix":""},{"dropping-particle":"","family":"Ciulli","given":"Alessio","non-dropping-particle":"","parse-names":false,"suffix":""},{"dropping-particle":"","family":"Covini","given":"David","non-dropping-particle":"","parse-names":false,"suffix":""},{"dropping-particle":"","family":"Dank","given":"Christian","non-dropping-particle":"","parse-names":false,"suffix":""},{"dropping-particle":"","family":"Gmaschitz","given":"Teresa","non-dropping-particle":"","parse-names":false,"suffix":""},{"dropping-particle":"","family":"Greb","given":"Peter","non-dropping-particle":"","parse-names":false,"suffix":""},{"dropping-particle":"","family":"Karolyi-Özguer","given":"Jale","non-dropping-particle":"","parse-names":false,"suffix":""},{"dropping-particle":"","family":"Koegl","given":"Manfred","non-dropping-particle":"","parse-names":false,"suffix":""},{"dropping-particle":"","family":"McConnell","given":"Darryl B.","non-dropping-particle":"","parse-names":false,"suffix":""},{"dropping-particle":"","family":"Pearson","given":"Mark","non-dropping-particle":"","parse-names":false,"suffix":""},{"dropping-particle":"","family":"Rieger","given":"Maria","non-dropping-particle":"","parse-names":false,"suffix":""},{"dropping-particle":"","family":"Rinnenthal","given":"Joerg","non-dropping-particle":"","parse-names":false,"suffix":""},{"dropping-particle":"","family":"Roessler","given":"Vanessa","non-dropping-particle":"","parse-names":false,"suffix":""},{"dropping-particle":"","family":"Schrenk","given":"Andreas","non-dropping-particle":"","parse-names":false,"suffix":""},{"dropping-particle":"","family":"Spina","given":"Markus","non-dropping-particle":"","parse-names":false,"suffix":""},{"dropping-particle":"","family":"Steurer","given":"Steffen","non-dropping-particle":"","parse-names":false,"suffix":""},{"dropping-particle":"","family":"Trainor","given":"Nicole","non-dropping-particle":"","parse-names":false,"suffix":""},{"dropping-particle":"","family":"Traxler","given":"Elisabeth","non-dropping-particle":"","parse-names":false,"suffix":""},{"dropping-particle":"","family":"Wieshofer","given":"Corinna","non-dropping-particle":"","parse-names":false,"suffix":""},{"dropping-particle":"","family":"Zoephel","given":"Andreas","non-dropping-particle":"","parse-names":false,"suffix":""},{"dropping-particle":"","family":"Ettmayer","given":"Peter","non-dropping-particle":"","parse-names":false,"suffix":""}],"container-title":"Journal of Medicinal Chemistry","id":"ITEM-1","issue":"5","issued":{"date-parts":[["2019"]]},"page":"2508-2520","title":"Highly Selective PTK2 Proteolysis Targeting Chimeras to Probe Focal Adhesion Kinase Scaffolding Functions","type":"article-journal","volume":"62"},"uris":["http://www.mendeley.com/documents/?uuid=e95913f1-8ac8-4a82-9e4f-6652ea913bc0"]}],"mendeley":{"formattedCitation":"&lt;sup&gt;55&lt;/sup&gt;","plainTextFormattedCitation":"55","previouslyFormattedCitation":"&lt;sup&gt;56&lt;/sup&gt;"},"properties":{"noteIndex":0},"schema":"https://github.com/citation-style-language/schema/raw/master/csl-citation.json"}</w:instrText>
      </w:r>
      <w:r w:rsidR="004750FD" w:rsidRPr="000E0DB5">
        <w:rPr>
          <w:rFonts w:ascii="Arial" w:eastAsia="TimesNewRomanPSMT" w:hAnsi="Arial" w:cs="Arial"/>
          <w:sz w:val="24"/>
          <w:szCs w:val="24"/>
        </w:rPr>
        <w:fldChar w:fldCharType="separate"/>
      </w:r>
      <w:r w:rsidR="005D6924" w:rsidRPr="005D6924">
        <w:rPr>
          <w:rFonts w:ascii="Arial" w:eastAsia="TimesNewRomanPSMT" w:hAnsi="Arial" w:cs="Arial"/>
          <w:noProof/>
          <w:sz w:val="24"/>
          <w:szCs w:val="24"/>
          <w:vertAlign w:val="superscript"/>
        </w:rPr>
        <w:t>55</w:t>
      </w:r>
      <w:r w:rsidR="004750FD" w:rsidRPr="000E0DB5">
        <w:rPr>
          <w:rFonts w:ascii="Arial" w:eastAsia="TimesNewRomanPSMT" w:hAnsi="Arial" w:cs="Arial"/>
          <w:sz w:val="24"/>
          <w:szCs w:val="24"/>
        </w:rPr>
        <w:fldChar w:fldCharType="end"/>
      </w:r>
      <w:r w:rsidR="00B4049B" w:rsidRPr="000E0DB5">
        <w:rPr>
          <w:rFonts w:ascii="Arial" w:eastAsia="TimesNewRomanPSMT" w:hAnsi="Arial" w:cs="Arial"/>
          <w:sz w:val="24"/>
          <w:szCs w:val="24"/>
        </w:rPr>
        <w:t xml:space="preserve"> </w:t>
      </w:r>
      <w:r w:rsidRPr="000E0DB5">
        <w:rPr>
          <w:rFonts w:ascii="Arial" w:eastAsia="TimesNewRomanPSMT" w:hAnsi="Arial" w:cs="Arial"/>
          <w:sz w:val="24"/>
          <w:szCs w:val="24"/>
        </w:rPr>
        <w:t>TANK</w:t>
      </w:r>
      <w:r w:rsidR="00B4049B" w:rsidRPr="000E0DB5">
        <w:rPr>
          <w:rFonts w:ascii="Arial" w:eastAsia="TimesNewRomanPSMT" w:hAnsi="Arial" w:cs="Arial"/>
          <w:sz w:val="24"/>
          <w:szCs w:val="24"/>
        </w:rPr>
        <w:t>-binding kinase (TBK)</w:t>
      </w:r>
      <w:r w:rsidR="00F53E04" w:rsidRPr="000E0DB5">
        <w:rPr>
          <w:rFonts w:ascii="Arial" w:eastAsia="TimesNewRomanPSMT" w:hAnsi="Arial" w:cs="Arial"/>
          <w:sz w:val="24"/>
          <w:szCs w:val="24"/>
        </w:rPr>
        <w:t>,</w:t>
      </w:r>
      <w:r w:rsidR="00A045F5" w:rsidRPr="000E0DB5">
        <w:rPr>
          <w:rFonts w:ascii="Arial" w:eastAsia="TimesNewRomanPSMT" w:hAnsi="Arial" w:cs="Arial"/>
          <w:sz w:val="24"/>
          <w:szCs w:val="24"/>
        </w:rPr>
        <w:fldChar w:fldCharType="begin" w:fldLock="1"/>
      </w:r>
      <w:r w:rsidR="005D6924">
        <w:rPr>
          <w:rFonts w:ascii="Arial" w:eastAsia="TimesNewRomanPSMT" w:hAnsi="Arial" w:cs="Arial"/>
          <w:sz w:val="24"/>
          <w:szCs w:val="24"/>
        </w:rPr>
        <w:instrText>ADDIN CSL_CITATION {"citationItems":[{"id":"ITEM-1","itemData":{"DOI":"10.1021/acs.jmedchem.7b00635","ISSN":"15204804","abstract":"Proteolysis targeting chimeras (PROTACs) are bifunctional molecules that recruit an E3 ligase to a target protein to facilitate ubiquitination and subsequent degradation of that protein. While the field of targeted degraders is still relatively young, the potential for this modality to become a differentiated and therapeutic reality is strong, such that both academic and pharmaceutical institutions are now entering this interesting area of research. In this article, we describe a broadly applicable process for identifying degrader hits based on the serine/threonine kinase TANK-binding kinase 1 (TBK1) and have generalized the key structural elements associated with degradation activities. Compound 3i is a potent hit (TBK1 DC 50 = 12 nM, D max = 96%) with excellent selectivity against a related kinase IKKε, which was further used as a chemical tool to assess TBK1 as a target in mutant K-Ras cancer cells.","author":[{"dropping-particle":"","family":"Crew","given":"Andrew P.","non-dropping-particle":"","parse-names":false,"suffix":""},{"dropping-particle":"","family":"Raina","given":"Kanak","non-dropping-particle":"","parse-names":false,"suffix":""},{"dropping-particle":"","family":"Dong","given":"Hanqing","non-dropping-particle":"","parse-names":false,"suffix":""},{"dropping-particle":"","family":"Qian","given":"Yimin","non-dropping-particle":"","parse-names":false,"suffix":""},{"dropping-particle":"","family":"Wang","given":"Jing","non-dropping-particle":"","parse-names":false,"suffix":""},{"dropping-particle":"","family":"Vigil","given":"Dominico","non-dropping-particle":"","parse-names":false,"suffix":""},{"dropping-particle":"V.","family":"Serebrenik","given":"Yevgeniy","non-dropping-particle":"","parse-names":false,"suffix":""},{"dropping-particle":"","family":"Hamman","given":"Brian D.","non-dropping-particle":"","parse-names":false,"suffix":""},{"dropping-particle":"","family":"Morgan","given":"Alicia","non-dropping-particle":"","parse-names":false,"suffix":""},{"dropping-particle":"","family":"Ferraro","given":"Caterina","non-dropping-particle":"","parse-names":false,"suffix":""},{"dropping-particle":"","family":"Siu","given":"Kam","non-dropping-particle":"","parse-names":false,"suffix":""},{"dropping-particle":"","family":"Neklesa","given":"Taavi K.","non-dropping-particle":"","parse-names":false,"suffix":""},{"dropping-particle":"","family":"Winkler","given":"James D.","non-dropping-particle":"","parse-names":false,"suffix":""},{"dropping-particle":"","family":"Coleman","given":"Kevin G.","non-dropping-particle":"","parse-names":false,"suffix":""},{"dropping-particle":"","family":"Crews","given":"Craig M.","non-dropping-particle":"","parse-names":false,"suffix":""}],"container-title":"Journal of Medicinal Chemistry","id":"ITEM-1","issue":"2","issued":{"date-parts":[["2018"]]},"page":"583-598","title":"Identification and Characterization of von Hippel-Lindau-Recruiting Proteolysis Targeting Chimeras (PROTACs) of TANK-Binding Kinase 1","type":"article-journal","volume":"61"},"uris":["http://www.mendeley.com/documents/?uuid=f05234f2-bb9e-42bb-b6d0-a65a4f93f534"]}],"mendeley":{"formattedCitation":"&lt;sup&gt;56&lt;/sup&gt;","plainTextFormattedCitation":"56","previouslyFormattedCitation":"&lt;sup&gt;57&lt;/sup&gt;"},"properties":{"noteIndex":0},"schema":"https://github.com/citation-style-language/schema/raw/master/csl-citation.json"}</w:instrText>
      </w:r>
      <w:r w:rsidR="00A045F5" w:rsidRPr="000E0DB5">
        <w:rPr>
          <w:rFonts w:ascii="Arial" w:eastAsia="TimesNewRomanPSMT" w:hAnsi="Arial" w:cs="Arial"/>
          <w:sz w:val="24"/>
          <w:szCs w:val="24"/>
        </w:rPr>
        <w:fldChar w:fldCharType="separate"/>
      </w:r>
      <w:r w:rsidR="005D6924" w:rsidRPr="005D6924">
        <w:rPr>
          <w:rFonts w:ascii="Arial" w:eastAsia="TimesNewRomanPSMT" w:hAnsi="Arial" w:cs="Arial"/>
          <w:noProof/>
          <w:sz w:val="24"/>
          <w:szCs w:val="24"/>
          <w:vertAlign w:val="superscript"/>
        </w:rPr>
        <w:t>56</w:t>
      </w:r>
      <w:r w:rsidR="00A045F5" w:rsidRPr="000E0DB5">
        <w:rPr>
          <w:rFonts w:ascii="Arial" w:eastAsia="TimesNewRomanPSMT" w:hAnsi="Arial" w:cs="Arial"/>
          <w:sz w:val="24"/>
          <w:szCs w:val="24"/>
        </w:rPr>
        <w:fldChar w:fldCharType="end"/>
      </w:r>
      <w:r w:rsidR="00B4049B" w:rsidRPr="000E0DB5">
        <w:rPr>
          <w:rFonts w:ascii="Arial" w:eastAsia="TimesNewRomanPSMT" w:hAnsi="Arial" w:cs="Arial"/>
          <w:b/>
          <w:bCs/>
          <w:sz w:val="24"/>
          <w:szCs w:val="24"/>
        </w:rPr>
        <w:t xml:space="preserve"> </w:t>
      </w:r>
      <w:r w:rsidR="00B4049B" w:rsidRPr="000E0DB5">
        <w:rPr>
          <w:rFonts w:ascii="Arial" w:eastAsia="TimesNewRomanPSMT" w:hAnsi="Arial" w:cs="Arial"/>
          <w:sz w:val="24"/>
          <w:szCs w:val="24"/>
        </w:rPr>
        <w:t>and receptor tyrosine kinases (RTKs).</w:t>
      </w:r>
      <w:r w:rsidR="00F53E04"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{"citationItems":[{"id":"ITEM-1","itemData":{"DOI":"10.1016/j.chembiol.2017.09.009","ISSN":"24519448","abstract":"Proteolysis targeting chimera (PROTAC) technology has emerged over the last two decades as a powerful tool for targeted degradation of endogenous proteins. Herein we describe the development of PROTACs for receptor tyrosine kinases, a protein family yet to be targeted for induced protein degradation. The use of VHL-recruiting PROTACs against this protein family reveals several advantages of degradation over inhibition alone: direct comparisons of fully functional, target-degrading PROTACs with target-inhibiting variants that contain an inactivated E3 ligase-recruiting ligand show that degradation leads to more potent inhibition of cell proliferation and a more durable and sustained downstream signaling response, and thus addresses the kinome rewiring challenge seen with many receptor tyrosine kinase inhibitors. Combined, these findings demonstrate the ability to target receptor tyrosine kinases for degradation using the PROTAC technology and outline the advantages of this degradation-based approach. Burslem, Smith et al. describe the development of PROTACs capable of degrading transmembrane receptor tyrosine kinases and further highlight the advantages of degradation over inhibition in terms of potency, duration of effect, and combating compensatory signaling.","author":[{"dropping-particle":"","family":"Burslem","given":"George M.","non-dropping-particle":"","parse-names":false,"suffix":""},{"dropping-particle":"","family":"Smith","given":"Blake E.","non-dropping-particle":"","parse-names":false,"suffix":""},{"dropping-particle":"","family":"Lai","given":"Ashton C.","non-dropping-particle":"","parse-names":false,"suffix":""},{"dropping-particle":"","family":"Jaime-Figueroa","given":"Saul","non-dropping-particle":"","parse-names":false,"suffix":""},{"dropping-particle":"","family":"McQuaid","given":"Daniel C.","non-dropping-particle":"","parse-names":false,"suffix":""},{"dropping-particle":"","family":"Bondeson","given":"Daniel P.","non-dropping-particle":"","parse-names":false,"suffix":""},{"dropping-particle":"","family":"Toure","given":"Momar","non-dropping-particle":"","parse-names":false,"suffix":""},{"dropping-particle":"","family":"Dong","given":"Hanqing","non-dropping-particle":"","parse-names":false,"suffix":""},{"dropping-particle":"","family":"Qian","given":"Yimin","non-dropping-particle":"","parse-names":false,"suffix":""},{"dropping-particle":"","family":"Wang","given":"Jing","non-dropping-particle":"","parse-names":false,"suffix":""},{"dropping-particle":"","family":"Crew","given":"Andrew P.","non-dropping-particle":"","parse-names":false,"suffix":""},{"dropping-particle":"","family":"Hines","given":"John","non-dropping-particle":"","parse-names":false,"suffix":""},{"dropping-particle":"","family":"Crews","given":"Craig M.","non-dropping-particle":"","parse-names":false,"suffix":""}],"container-title":"Cell Chemical Biology","id":"ITEM-1","issue":"1","issued":{"date-parts":[["2018"]]},"page":"67-77.e3","publisher":"Elsevier Ltd.","title":"The Advantages of Targeted Protein Degradation Over Inhibition: An RTK Case Study","type":"article-journal","volume":"25"},"uris":["http://www.mendeley.com/documents/?uuid=fa5fc696-4f08-4044-9975-f5a594025fdd"]}],"mendeley":{"formattedCitation":"&lt;sup&gt;17&lt;/sup&gt;","plainTextFormattedCitation":"17","previouslyFormattedCitation":"&lt;sup&gt;17&lt;/sup&gt;"},"properties":{"noteIndex":0},"schema":"https://github.com/citation-style-language/schema/raw/master/csl-citation.json"}</w:instrText>
      </w:r>
      <w:r w:rsidR="00F53E04"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17</w:t>
      </w:r>
      <w:r w:rsidR="00F53E04" w:rsidRPr="000E0DB5">
        <w:rPr>
          <w:rFonts w:ascii="Arial" w:eastAsia="TimesNewRomanPSMT" w:hAnsi="Arial" w:cs="Arial"/>
          <w:sz w:val="24"/>
          <w:szCs w:val="24"/>
        </w:rPr>
        <w:fldChar w:fldCharType="end"/>
      </w:r>
      <w:r w:rsidR="00B4049B" w:rsidRPr="000E0DB5">
        <w:rPr>
          <w:rFonts w:ascii="Arial" w:eastAsia="TimesNewRomanPSMT" w:hAnsi="Arial" w:cs="Arial"/>
          <w:sz w:val="24"/>
          <w:szCs w:val="24"/>
        </w:rPr>
        <w:t xml:space="preserve"> Caged PROTAC </w:t>
      </w:r>
      <w:r w:rsidR="00B4049B" w:rsidRPr="000E0DB5">
        <w:rPr>
          <w:rFonts w:ascii="Arial" w:eastAsia="TimesNewRomanPSMT" w:hAnsi="Arial" w:cs="Arial"/>
          <w:b/>
          <w:bCs/>
          <w:sz w:val="24"/>
          <w:szCs w:val="24"/>
        </w:rPr>
        <w:t>3</w:t>
      </w:r>
      <w:r w:rsidR="00B4049B" w:rsidRPr="000E0DB5">
        <w:rPr>
          <w:rFonts w:ascii="Arial" w:eastAsia="TimesNewRomanPSMT" w:hAnsi="Arial" w:cs="Arial"/>
          <w:sz w:val="24"/>
          <w:szCs w:val="24"/>
        </w:rPr>
        <w:t>, which is derived from MT-802, a potent Bruton tyrosine kinase (BTK) degrader developed by the Crews’ lab</w:t>
      </w:r>
      <w:r w:rsidR="00F53E04" w:rsidRPr="000E0DB5">
        <w:rPr>
          <w:rFonts w:ascii="Arial" w:eastAsia="TimesNewRomanPSMT" w:hAnsi="Arial" w:cs="Arial"/>
          <w:sz w:val="24"/>
          <w:szCs w:val="24"/>
        </w:rPr>
        <w:t>,</w:t>
      </w:r>
      <w:r w:rsidR="00F53E04" w:rsidRPr="000E0DB5">
        <w:rPr>
          <w:rFonts w:ascii="Arial" w:eastAsia="TimesNewRomanPSMT" w:hAnsi="Arial" w:cs="Arial"/>
          <w:sz w:val="24"/>
          <w:szCs w:val="24"/>
        </w:rPr>
        <w:fldChar w:fldCharType="begin" w:fldLock="1"/>
      </w:r>
      <w:r w:rsidR="005D6924">
        <w:rPr>
          <w:rFonts w:ascii="Arial" w:eastAsia="TimesNewRomanPSMT" w:hAnsi="Arial" w:cs="Arial"/>
          <w:sz w:val="24"/>
          <w:szCs w:val="24"/>
        </w:rPr>
        <w:instrText>ADDIN CSL_CITATION {"citationItems":[{"id":"ITEM-1","itemData":{"DOI":"10.1021/acs.biochem.8b00391","ISSN":"15204995","abstract":"Copyright © 2018 American Chemical Society. Inhibition of Bruton's tyrosine kinase (BTK) with the irreversible inhibitor ibrutinib has emerged as a transformative treatment option for patients with chronic lymphocytic leukemia (CLL) and other B-cell malignancies, yet &gt;80% of CLL patients develop resistance due to a cysteine to serine mutation at the site covalently bound by ibrutinib (C481S). Currently, an effective treatment option for C481S patients exhibiting relapse to ibrutinib does not exist, and these patients have poor outcomes. To address this, we have developed a PROteolysis TArgeting Chimera (PROTAC) that induces degradation of both wild-type and C481S mutant BTK. We selected a lead PROTAC, MT-802, from several candidates on the basis of its potency to induce BTK knockdown. MT-802 recruits BTK to the cereblon E3 ubiquitin ligase complex to trigger BTK ubiquitination and degradation via the proteasome. MT-802 binds fewer off-target kinases than ibrutinib does and retains an equivalent potency (&gt;99% degradation at nanomolar concentrations) against wild-type and C481S BTK. In cells isolated from CLL patients with the C481S mutation, MT-802 is able to reduce the pool of active, phosphorylated BTK whereas ibrutinib cannot. Collectively, these data provide a basis for further preclinical study of BTK PROTACs as a novel strategy for treatment of C481S mutant CLL.","author":[{"dropping-particle":"","family":"Buhimschi","given":"Alexandru D.","non-dropping-particle":"","parse-names":false,"suffix":""},{"dropping-particle":"","family":"Armstrong","given":"Haley A.","non-dropping-particle":"","parse-names":false,"suffix":""},{"dropping-particle":"","family":"Toure","given":"Momar","non-dropping-particle":"","parse-names":false,"suffix":""},{"dropping-particle":"","family":"Jaime-Figueroa","given":"Saul","non-dropping-particle":"","parse-names":false,"suffix":""},{"dropping-particle":"","family":"Chen","given":"Timothy L.","non-dropping-particle":"","parse-names":false,"suffix":""},{"dropping-particle":"","family":"Lehman","given":"Amy M.","non-dropping-particle":"","parse-names":false,"suffix":""},{"dropping-particle":"","family":"Woyach","given":"Jennifer A.","non-dropping-particle":"","parse-names":false,"suffix":""},{"dropping-particle":"","family":"Johnson","given":"Amy J.","non-dropping-particle":"","parse-names":false,"suffix":""},{"dropping-particle":"","family":"Byrd","given":"John C.","non-dropping-particle":"","parse-names":false,"suffix":""},{"dropping-particle":"","family":"Crews","given":"Craig M.","non-dropping-particle":"","parse-names":false,"suffix":""}],"container-title":"Biochemistry","id":"ITEM-1","issue":"26","issued":{"date-parts":[["2018"]]},"page":"3564-3575","title":"Targeting the C481S Ibrutinib-Resistance Mutation in Bruton's Tyrosine Kinase Using PROTAC-Mediated Degradation","type":"article-journal","volume":"57"},"uris":["http://www.mendeley.com/documents/?uuid=179a0989-7bca-4a66-812b-9cc3582db276"]}],"mendeley":{"formattedCitation":"&lt;sup&gt;57&lt;/sup&gt;","plainTextFormattedCitation":"57","previouslyFormattedCitation":"&lt;sup&gt;58&lt;/sup&gt;"},"properties":{"noteIndex":0},"schema":"https://github.com/citation-style-language/schema/raw/master/csl-citation.json"}</w:instrText>
      </w:r>
      <w:r w:rsidR="00F53E04" w:rsidRPr="000E0DB5">
        <w:rPr>
          <w:rFonts w:ascii="Arial" w:eastAsia="TimesNewRomanPSMT" w:hAnsi="Arial" w:cs="Arial"/>
          <w:sz w:val="24"/>
          <w:szCs w:val="24"/>
        </w:rPr>
        <w:fldChar w:fldCharType="separate"/>
      </w:r>
      <w:r w:rsidR="005D6924" w:rsidRPr="005D6924">
        <w:rPr>
          <w:rFonts w:ascii="Arial" w:eastAsia="TimesNewRomanPSMT" w:hAnsi="Arial" w:cs="Arial"/>
          <w:noProof/>
          <w:sz w:val="24"/>
          <w:szCs w:val="24"/>
          <w:vertAlign w:val="superscript"/>
        </w:rPr>
        <w:t>57</w:t>
      </w:r>
      <w:r w:rsidR="00F53E04" w:rsidRPr="000E0DB5">
        <w:rPr>
          <w:rFonts w:ascii="Arial" w:eastAsia="TimesNewRomanPSMT" w:hAnsi="Arial" w:cs="Arial"/>
          <w:sz w:val="24"/>
          <w:szCs w:val="24"/>
        </w:rPr>
        <w:fldChar w:fldCharType="end"/>
      </w:r>
      <w:r w:rsidR="00B4049B" w:rsidRPr="000E0DB5">
        <w:rPr>
          <w:rFonts w:ascii="Arial" w:eastAsia="TimesNewRomanPSMT" w:hAnsi="Arial" w:cs="Arial"/>
          <w:sz w:val="24"/>
          <w:szCs w:val="24"/>
        </w:rPr>
        <w:t xml:space="preserve"> substantially decrease</w:t>
      </w:r>
      <w:r w:rsidRPr="000E0DB5">
        <w:rPr>
          <w:rFonts w:ascii="Arial" w:eastAsia="TimesNewRomanPSMT" w:hAnsi="Arial" w:cs="Arial"/>
          <w:sz w:val="24"/>
          <w:szCs w:val="24"/>
        </w:rPr>
        <w:t>d</w:t>
      </w:r>
      <w:r w:rsidR="00B4049B" w:rsidRPr="000E0DB5">
        <w:rPr>
          <w:rFonts w:ascii="Arial" w:eastAsia="TimesNewRomanPSMT" w:hAnsi="Arial" w:cs="Arial"/>
          <w:sz w:val="24"/>
          <w:szCs w:val="24"/>
        </w:rPr>
        <w:t xml:space="preserve"> BTK levels in a dose-dependent manner only </w:t>
      </w:r>
      <w:r w:rsidRPr="000E0DB5">
        <w:rPr>
          <w:rFonts w:ascii="Arial" w:eastAsia="TimesNewRomanPSMT" w:hAnsi="Arial" w:cs="Arial"/>
          <w:sz w:val="24"/>
          <w:szCs w:val="24"/>
        </w:rPr>
        <w:t xml:space="preserve">following </w:t>
      </w:r>
      <w:r w:rsidR="00B4049B" w:rsidRPr="000E0DB5">
        <w:rPr>
          <w:rFonts w:ascii="Arial" w:eastAsia="TimesNewRomanPSMT" w:hAnsi="Arial" w:cs="Arial"/>
          <w:sz w:val="24"/>
          <w:szCs w:val="24"/>
        </w:rPr>
        <w:t xml:space="preserve">irradiation at 365 nm. Likewise, </w:t>
      </w:r>
      <w:r w:rsidR="00B4049B" w:rsidRPr="000E0DB5">
        <w:rPr>
          <w:rFonts w:ascii="Arial" w:eastAsia="TimesNewRomanPSMT" w:hAnsi="Arial" w:cs="Arial"/>
          <w:b/>
          <w:bCs/>
          <w:sz w:val="24"/>
          <w:szCs w:val="24"/>
        </w:rPr>
        <w:t>7</w:t>
      </w:r>
      <w:r w:rsidR="00B4049B" w:rsidRPr="000E0DB5">
        <w:rPr>
          <w:rFonts w:ascii="Arial" w:eastAsia="TimesNewRomanPSMT" w:hAnsi="Arial" w:cs="Arial"/>
          <w:sz w:val="24"/>
          <w:szCs w:val="24"/>
        </w:rPr>
        <w:t xml:space="preserve"> was designed by caging </w:t>
      </w:r>
      <w:r w:rsidR="004D2C15">
        <w:rPr>
          <w:rFonts w:ascii="Arial" w:eastAsia="TimesNewRomanPSMT" w:hAnsi="Arial" w:cs="Arial"/>
          <w:sz w:val="24"/>
          <w:szCs w:val="24"/>
        </w:rPr>
        <w:t xml:space="preserve">the </w:t>
      </w:r>
      <w:r w:rsidR="00B4049B" w:rsidRPr="000E0DB5">
        <w:rPr>
          <w:rFonts w:ascii="Arial" w:eastAsia="TimesNewRomanPSMT" w:hAnsi="Arial" w:cs="Arial"/>
          <w:sz w:val="24"/>
          <w:szCs w:val="24"/>
        </w:rPr>
        <w:t>anaplastic lymphoma kinase (ALK) degrader MS4078.</w:t>
      </w:r>
      <w:r w:rsidR="00F53E04" w:rsidRPr="000E0DB5">
        <w:rPr>
          <w:rFonts w:ascii="Arial" w:eastAsia="TimesNewRomanPSMT" w:hAnsi="Arial" w:cs="Arial"/>
          <w:sz w:val="24"/>
          <w:szCs w:val="24"/>
        </w:rPr>
        <w:fldChar w:fldCharType="begin" w:fldLock="1"/>
      </w:r>
      <w:r w:rsidR="005D6924">
        <w:rPr>
          <w:rFonts w:ascii="Arial" w:eastAsia="TimesNewRomanPSMT" w:hAnsi="Arial" w:cs="Arial"/>
          <w:sz w:val="24"/>
          <w:szCs w:val="24"/>
        </w:rPr>
        <w:instrText>ADDIN CSL_CITATION {"citationItems":[{"id":"ITEM-1","itemData":{"DOI":"10.1016/j.ejmech.2018.03.071","ISSN":"17683254","abstract":"Anaplastic lymphoma kinase (ALK) activation has been associated with many types of human cancer. Significant efforts have been devoted to the development of ALK inhibitors to antagonize the kinase activity of ALK. Four ALK inhibitors have been approved by the FDA to date for treating patients with ALK-positive non-small cell lung cancers (NSCLC). However, drug resistance has been observed in the majority of patients treated with these inhibitors. New therapeutic strategies (e.g., compounds with novel mechanisms of action) are needed to overcome the drug resistance issue. The emerging PROTAC (Proteolysis Targeting Chimera) technology has been successfully applied to selective degradation of multiple protein targets, but not ALK. Since ALK protein levels are not important for viability in mammals, ALK PROTACs could lead to novel therapeutics with minimal toxicity. Here we report the design, synthesis and biological evaluation of novel PROTACs (degraders) of ALK. MS4077 (5) and MS4078 (6) potently decreased cellular levels of oncogenic active ALK fusion proteins in a concentration- and time-dependent manner in SU-DHL-1 lymphoma and NCI-H2228 lung cancer cells. The ALK protein degradation induced by compounds 5 and 6 was cereblon and proteasome dependent. In addition, compounds 5 and 6 potently inhibited proliferation of SU-DHL-1 cells. Furthermore, compound 6 displayed good plasma exposure in a mouse pharmacokinetic study, thus is suitable for in vivo efficacy studies. We also developed MS4748 (7) and MS4740 (8), very close analogs of 5 and 6 respectively, which are incapable to degrade the ALK fusion proteins, as negative controls. Compounds 5–8 are valuable chemical tools for investigating effects of ALK pharmacological degradation. Our study paved the way for developing the next generation of ALK PROTACs.","author":[{"dropping-particle":"","family":"Zhang","given":"Chengwei","non-dropping-particle":"","parse-names":false,"suffix":""},{"dropping-particle":"","family":"Han","given":"Xiao Ran","non-dropping-particle":"","parse-names":false,"suffix":""},{"dropping-particle":"","family":"Yang","given":"Xiaobao","non-dropping-particle":"","parse-names":false,"suffix":""},{"dropping-particle":"","family":"Jiang","given":"Biao","non-dropping-particle":"","parse-names":false,"suffix":""},{"dropping-particle":"","family":"Liu","given":"Jing","non-dropping-particle":"","parse-names":false,"suffix":""},{"dropping-particle":"","family":"Xiong","given":"Yue","non-dropping-particle":"","parse-names":false,"suffix":""},{"dropping-particle":"","family":"Jin","given":"Jian","non-dropping-particle":"","parse-names":false,"suffix":""}],"container-title":"European Journal of Medicinal Chemistry","id":"ITEM-1","issued":{"date-parts":[["2018"]]},"page":"304-314","publisher":"Elsevier Masson SAS","title":"Proteolysis Targeting Chimeras (PROTACs) of Anaplastic Lymphoma Kinase (ALK)","type":"article-journal","volume":"151"},"uris":["http://www.mendeley.com/documents/?uuid=f0137eb4-ed45-4632-87ed-bda64cf4a73d"]}],"mendeley":{"formattedCitation":"&lt;sup&gt;58&lt;/sup&gt;","plainTextFormattedCitation":"58","previouslyFormattedCitation":"&lt;sup&gt;59&lt;/sup&gt;"},"properties":{"noteIndex":0},"schema":"https://github.com/citation-style-language/schema/raw/master/csl-citation.json"}</w:instrText>
      </w:r>
      <w:r w:rsidR="00F53E04" w:rsidRPr="000E0DB5">
        <w:rPr>
          <w:rFonts w:ascii="Arial" w:eastAsia="TimesNewRomanPSMT" w:hAnsi="Arial" w:cs="Arial"/>
          <w:sz w:val="24"/>
          <w:szCs w:val="24"/>
        </w:rPr>
        <w:fldChar w:fldCharType="separate"/>
      </w:r>
      <w:r w:rsidR="005D6924" w:rsidRPr="005D6924">
        <w:rPr>
          <w:rFonts w:ascii="Arial" w:eastAsia="TimesNewRomanPSMT" w:hAnsi="Arial" w:cs="Arial"/>
          <w:noProof/>
          <w:sz w:val="24"/>
          <w:szCs w:val="24"/>
          <w:vertAlign w:val="superscript"/>
        </w:rPr>
        <w:t>58</w:t>
      </w:r>
      <w:r w:rsidR="00F53E04" w:rsidRPr="000E0DB5">
        <w:rPr>
          <w:rFonts w:ascii="Arial" w:eastAsia="TimesNewRomanPSMT" w:hAnsi="Arial" w:cs="Arial"/>
          <w:sz w:val="24"/>
          <w:szCs w:val="24"/>
        </w:rPr>
        <w:fldChar w:fldCharType="end"/>
      </w:r>
      <w:r w:rsidR="00B4049B" w:rsidRPr="000E0DB5">
        <w:rPr>
          <w:rFonts w:ascii="Arial" w:eastAsia="TimesNewRomanPSMT" w:hAnsi="Arial" w:cs="Arial"/>
          <w:sz w:val="24"/>
          <w:szCs w:val="24"/>
        </w:rPr>
        <w:t xml:space="preserve"> Photoirradiation of </w:t>
      </w:r>
      <w:r w:rsidR="00B4049B" w:rsidRPr="000E0DB5">
        <w:rPr>
          <w:rFonts w:ascii="Arial" w:eastAsia="TimesNewRomanPSMT" w:hAnsi="Arial" w:cs="Arial"/>
          <w:b/>
          <w:bCs/>
          <w:sz w:val="24"/>
          <w:szCs w:val="24"/>
        </w:rPr>
        <w:t>7</w:t>
      </w:r>
      <w:r w:rsidR="00B4049B" w:rsidRPr="000E0DB5">
        <w:rPr>
          <w:rFonts w:ascii="Arial" w:eastAsia="TimesNewRomanPSMT" w:hAnsi="Arial" w:cs="Arial"/>
          <w:sz w:val="24"/>
          <w:szCs w:val="24"/>
        </w:rPr>
        <w:t xml:space="preserve"> strongly reduced cellular levels of oncogenic active ALK fusion proteins, EML4-ALK and NPM-ALK, in NCI-H2228 lung cancer cells and SU-DHL-1 lymphoma cells, respectively. </w:t>
      </w:r>
      <w:r w:rsidR="00FF6B21" w:rsidRPr="00FF6B21">
        <w:rPr>
          <w:rFonts w:ascii="Arial" w:eastAsia="TimesNewRomanPSMT" w:hAnsi="Arial" w:cs="Arial"/>
          <w:sz w:val="24"/>
          <w:szCs w:val="24"/>
        </w:rPr>
        <w:t xml:space="preserve">To </w:t>
      </w:r>
      <w:r w:rsidR="00FF6B21">
        <w:rPr>
          <w:rFonts w:ascii="Arial" w:eastAsia="TimesNewRomanPSMT" w:hAnsi="Arial" w:cs="Arial"/>
          <w:sz w:val="24"/>
          <w:szCs w:val="24"/>
        </w:rPr>
        <w:t>achieve</w:t>
      </w:r>
      <w:r w:rsidR="00FF6B21" w:rsidRPr="00FF6B21">
        <w:rPr>
          <w:rFonts w:ascii="Arial" w:eastAsia="TimesNewRomanPSMT" w:hAnsi="Arial" w:cs="Arial"/>
          <w:sz w:val="24"/>
          <w:szCs w:val="24"/>
        </w:rPr>
        <w:t xml:space="preserve"> </w:t>
      </w:r>
      <w:r w:rsidR="00FF6B21">
        <w:rPr>
          <w:rFonts w:ascii="Arial" w:eastAsia="TimesNewRomanPSMT" w:hAnsi="Arial" w:cs="Arial"/>
          <w:sz w:val="24"/>
          <w:szCs w:val="24"/>
        </w:rPr>
        <w:t>an</w:t>
      </w:r>
      <w:r w:rsidR="00FF6B21" w:rsidRPr="00FF6B21">
        <w:rPr>
          <w:rFonts w:ascii="Arial" w:eastAsia="TimesNewRomanPSMT" w:hAnsi="Arial" w:cs="Arial"/>
          <w:sz w:val="24"/>
          <w:szCs w:val="24"/>
        </w:rPr>
        <w:t xml:space="preserve"> antiproliferative effect</w:t>
      </w:r>
      <w:r w:rsidR="00FF6B21">
        <w:rPr>
          <w:rFonts w:ascii="Arial" w:eastAsia="TimesNewRomanPSMT" w:hAnsi="Arial" w:cs="Arial"/>
          <w:sz w:val="24"/>
          <w:szCs w:val="24"/>
        </w:rPr>
        <w:t xml:space="preserve"> to the same extent as </w:t>
      </w:r>
      <w:r w:rsidR="00FF6B21" w:rsidRPr="00FF6B21">
        <w:rPr>
          <w:rFonts w:ascii="Arial" w:eastAsia="TimesNewRomanPSMT" w:hAnsi="Arial" w:cs="Arial"/>
          <w:sz w:val="24"/>
          <w:szCs w:val="24"/>
        </w:rPr>
        <w:t>MS4078</w:t>
      </w:r>
      <w:r w:rsidR="00FF6B21">
        <w:rPr>
          <w:rFonts w:ascii="Arial" w:eastAsia="TimesNewRomanPSMT" w:hAnsi="Arial" w:cs="Arial"/>
          <w:sz w:val="24"/>
          <w:szCs w:val="24"/>
        </w:rPr>
        <w:t xml:space="preserve"> </w:t>
      </w:r>
      <w:r w:rsidR="00FF6B21" w:rsidRPr="00FF6B21">
        <w:rPr>
          <w:rFonts w:ascii="Arial" w:eastAsia="TimesNewRomanPSMT" w:hAnsi="Arial" w:cs="Arial"/>
          <w:sz w:val="24"/>
          <w:szCs w:val="24"/>
        </w:rPr>
        <w:t>on</w:t>
      </w:r>
      <w:r w:rsidR="00FF6B21">
        <w:rPr>
          <w:rFonts w:ascii="Arial" w:eastAsia="TimesNewRomanPSMT" w:hAnsi="Arial" w:cs="Arial"/>
          <w:sz w:val="24"/>
          <w:szCs w:val="24"/>
        </w:rPr>
        <w:t xml:space="preserve"> </w:t>
      </w:r>
      <w:r w:rsidR="00FF6B21" w:rsidRPr="00FF6B21">
        <w:rPr>
          <w:rFonts w:ascii="Arial" w:eastAsia="TimesNewRomanPSMT" w:hAnsi="Arial" w:cs="Arial"/>
          <w:sz w:val="24"/>
          <w:szCs w:val="24"/>
        </w:rPr>
        <w:t>SU-DHL-</w:t>
      </w:r>
      <w:r w:rsidR="00FF6B21">
        <w:rPr>
          <w:rFonts w:ascii="Arial" w:eastAsia="TimesNewRomanPSMT" w:hAnsi="Arial" w:cs="Arial"/>
          <w:sz w:val="24"/>
          <w:szCs w:val="24"/>
        </w:rPr>
        <w:t xml:space="preserve">1 cells, </w:t>
      </w:r>
      <w:r w:rsidR="00FF6B21" w:rsidRPr="00FF6B21">
        <w:rPr>
          <w:rFonts w:ascii="Arial" w:eastAsia="TimesNewRomanPSMT" w:hAnsi="Arial" w:cs="Arial"/>
          <w:sz w:val="24"/>
          <w:szCs w:val="24"/>
        </w:rPr>
        <w:t xml:space="preserve">caged PROTAC </w:t>
      </w:r>
      <w:r w:rsidR="00FF6B21" w:rsidRPr="00FF6B21">
        <w:rPr>
          <w:rFonts w:ascii="Arial" w:eastAsia="TimesNewRomanPSMT" w:hAnsi="Arial" w:cs="Arial"/>
          <w:b/>
          <w:bCs/>
          <w:sz w:val="24"/>
          <w:szCs w:val="24"/>
        </w:rPr>
        <w:t>7</w:t>
      </w:r>
      <w:r w:rsidR="00FF6B21" w:rsidRPr="00FF6B21">
        <w:rPr>
          <w:rFonts w:ascii="Arial" w:eastAsia="TimesNewRomanPSMT" w:hAnsi="Arial" w:cs="Arial"/>
          <w:sz w:val="24"/>
          <w:szCs w:val="24"/>
        </w:rPr>
        <w:t xml:space="preserve"> required activation by UV light</w:t>
      </w:r>
      <w:r w:rsidR="00B4049B" w:rsidRPr="000E0DB5">
        <w:rPr>
          <w:rFonts w:ascii="Arial" w:eastAsia="TimesNewRomanPSMT" w:hAnsi="Arial" w:cs="Arial"/>
          <w:sz w:val="24"/>
          <w:szCs w:val="24"/>
        </w:rPr>
        <w:t>.</w:t>
      </w:r>
    </w:p>
    <w:p w14:paraId="70368874" w14:textId="77777777" w:rsidR="0037775F" w:rsidRDefault="0037775F" w:rsidP="00B4049B">
      <w:pPr>
        <w:autoSpaceDE w:val="0"/>
        <w:autoSpaceDN w:val="0"/>
        <w:adjustRightInd w:val="0"/>
        <w:spacing w:after="0" w:line="480" w:lineRule="auto"/>
        <w:jc w:val="both"/>
        <w:rPr>
          <w:rFonts w:ascii="Arial" w:eastAsia="TimesNewRomanPSMT" w:hAnsi="Arial" w:cs="Arial"/>
          <w:sz w:val="24"/>
          <w:szCs w:val="24"/>
        </w:rPr>
      </w:pPr>
    </w:p>
    <w:p w14:paraId="03F01E2C" w14:textId="0751B56D" w:rsidR="000314A6" w:rsidRPr="000E0DB5" w:rsidRDefault="000D0C73" w:rsidP="00A54039">
      <w:pPr>
        <w:autoSpaceDE w:val="0"/>
        <w:autoSpaceDN w:val="0"/>
        <w:adjustRightInd w:val="0"/>
        <w:spacing w:after="0" w:line="480" w:lineRule="auto"/>
        <w:jc w:val="both"/>
        <w:rPr>
          <w:rFonts w:ascii="Arial" w:eastAsia="TimesNewRomanPSMT" w:hAnsi="Arial" w:cs="Arial"/>
          <w:b/>
          <w:bCs/>
          <w:sz w:val="24"/>
          <w:szCs w:val="24"/>
        </w:rPr>
      </w:pPr>
      <w:r>
        <w:rPr>
          <w:rFonts w:ascii="Arial" w:eastAsia="TimesNewRomanPSMT" w:hAnsi="Arial" w:cs="Arial"/>
          <w:b/>
          <w:bCs/>
          <w:sz w:val="24"/>
          <w:szCs w:val="24"/>
        </w:rPr>
        <w:t xml:space="preserve">3. </w:t>
      </w:r>
      <w:r w:rsidR="00E27993" w:rsidRPr="000E0DB5">
        <w:rPr>
          <w:rFonts w:ascii="Arial" w:eastAsia="TimesNewRomanPSMT" w:hAnsi="Arial" w:cs="Arial"/>
          <w:b/>
          <w:bCs/>
          <w:sz w:val="24"/>
          <w:szCs w:val="24"/>
        </w:rPr>
        <w:t>PHOTOSWITCHABLE DEGRADERS: REVERSIBLE ACTIVATION</w:t>
      </w:r>
    </w:p>
    <w:p w14:paraId="0B606E07" w14:textId="22F07204" w:rsidR="008624C7" w:rsidRPr="000E0DB5" w:rsidRDefault="00B76BFA" w:rsidP="008624C7">
      <w:pPr>
        <w:autoSpaceDE w:val="0"/>
        <w:autoSpaceDN w:val="0"/>
        <w:adjustRightInd w:val="0"/>
        <w:spacing w:after="0" w:line="480" w:lineRule="auto"/>
        <w:jc w:val="both"/>
        <w:rPr>
          <w:rFonts w:ascii="Arial" w:eastAsia="TimesNewRomanPSMT" w:hAnsi="Arial" w:cs="Arial"/>
          <w:b/>
          <w:bCs/>
          <w:sz w:val="24"/>
          <w:szCs w:val="24"/>
        </w:rPr>
      </w:pPr>
      <w:r w:rsidRPr="000E0DB5">
        <w:rPr>
          <w:rFonts w:ascii="Arial" w:eastAsia="TimesNewRomanPSMT" w:hAnsi="Arial" w:cs="Arial"/>
          <w:sz w:val="24"/>
          <w:szCs w:val="24"/>
        </w:rPr>
        <w:t>T</w:t>
      </w:r>
      <w:r w:rsidR="008624C7" w:rsidRPr="000E0DB5">
        <w:rPr>
          <w:rFonts w:ascii="Arial" w:eastAsia="TimesNewRomanPSMT" w:hAnsi="Arial" w:cs="Arial"/>
          <w:sz w:val="24"/>
          <w:szCs w:val="24"/>
        </w:rPr>
        <w:t xml:space="preserve">he examples above clearly demonstrate the potential of caged degraders as chemical tools to trigger </w:t>
      </w:r>
      <w:r w:rsidRPr="000E0DB5">
        <w:rPr>
          <w:rFonts w:ascii="Arial" w:eastAsia="TimesNewRomanPSMT" w:hAnsi="Arial" w:cs="Arial"/>
          <w:sz w:val="24"/>
          <w:szCs w:val="24"/>
        </w:rPr>
        <w:t xml:space="preserve">target protein </w:t>
      </w:r>
      <w:r w:rsidR="008624C7" w:rsidRPr="000E0DB5">
        <w:rPr>
          <w:rFonts w:ascii="Arial" w:eastAsia="TimesNewRomanPSMT" w:hAnsi="Arial" w:cs="Arial"/>
          <w:sz w:val="24"/>
          <w:szCs w:val="24"/>
        </w:rPr>
        <w:t xml:space="preserve">knockdown with </w:t>
      </w:r>
      <w:r w:rsidR="00064E1F">
        <w:rPr>
          <w:rFonts w:ascii="Arial" w:eastAsia="TimesNewRomanPSMT" w:hAnsi="Arial" w:cs="Arial"/>
          <w:sz w:val="24"/>
          <w:szCs w:val="24"/>
        </w:rPr>
        <w:t xml:space="preserve">timely </w:t>
      </w:r>
      <w:r w:rsidR="00A61A51">
        <w:rPr>
          <w:rFonts w:ascii="Arial" w:eastAsia="TimesNewRomanPSMT" w:hAnsi="Arial" w:cs="Arial"/>
          <w:sz w:val="24"/>
          <w:szCs w:val="24"/>
        </w:rPr>
        <w:t>precision</w:t>
      </w:r>
      <w:r w:rsidR="008624C7" w:rsidRPr="000E0DB5">
        <w:rPr>
          <w:rFonts w:ascii="Arial" w:eastAsia="TimesNewRomanPSMT" w:hAnsi="Arial" w:cs="Arial"/>
          <w:sz w:val="24"/>
          <w:szCs w:val="24"/>
        </w:rPr>
        <w:t xml:space="preserve">. </w:t>
      </w:r>
      <w:r w:rsidRPr="000E0DB5">
        <w:rPr>
          <w:rFonts w:ascii="Arial" w:eastAsia="TimesNewRomanPSMT" w:hAnsi="Arial" w:cs="Arial"/>
          <w:sz w:val="24"/>
          <w:szCs w:val="24"/>
        </w:rPr>
        <w:t>However</w:t>
      </w:r>
      <w:r w:rsidR="008624C7" w:rsidRPr="000E0DB5">
        <w:rPr>
          <w:rFonts w:ascii="Arial" w:eastAsia="TimesNewRomanPSMT" w:hAnsi="Arial" w:cs="Arial"/>
          <w:sz w:val="24"/>
          <w:szCs w:val="24"/>
        </w:rPr>
        <w:t>, the caging strategy activat</w:t>
      </w:r>
      <w:r w:rsidRPr="000E0DB5">
        <w:rPr>
          <w:rFonts w:ascii="Arial" w:eastAsia="TimesNewRomanPSMT" w:hAnsi="Arial" w:cs="Arial"/>
          <w:sz w:val="24"/>
          <w:szCs w:val="24"/>
        </w:rPr>
        <w:t>es</w:t>
      </w:r>
      <w:r w:rsidR="008624C7" w:rsidRPr="000E0DB5">
        <w:rPr>
          <w:rFonts w:ascii="Arial" w:eastAsia="TimesNewRomanPSMT" w:hAnsi="Arial" w:cs="Arial"/>
          <w:sz w:val="24"/>
          <w:szCs w:val="24"/>
        </w:rPr>
        <w:t xml:space="preserve"> proteolysis in an irreversible manner</w:t>
      </w:r>
      <w:r w:rsidRPr="000E0DB5">
        <w:rPr>
          <w:rFonts w:ascii="Arial" w:eastAsia="TimesNewRomanPSMT" w:hAnsi="Arial" w:cs="Arial"/>
          <w:sz w:val="24"/>
          <w:szCs w:val="24"/>
        </w:rPr>
        <w:t>,</w:t>
      </w:r>
      <w:r w:rsidR="008624C7" w:rsidRPr="000E0DB5">
        <w:rPr>
          <w:rFonts w:ascii="Arial" w:eastAsia="TimesNewRomanPSMT" w:hAnsi="Arial" w:cs="Arial"/>
          <w:sz w:val="24"/>
          <w:szCs w:val="24"/>
        </w:rPr>
        <w:t xml:space="preserve"> without the possibility to </w:t>
      </w:r>
      <w:r w:rsidRPr="000E0DB5">
        <w:rPr>
          <w:rFonts w:ascii="Arial" w:eastAsia="TimesNewRomanPSMT" w:hAnsi="Arial" w:cs="Arial"/>
          <w:sz w:val="24"/>
          <w:szCs w:val="24"/>
        </w:rPr>
        <w:t xml:space="preserve">switch off </w:t>
      </w:r>
      <w:r w:rsidR="008624C7" w:rsidRPr="000E0DB5">
        <w:rPr>
          <w:rFonts w:ascii="Arial" w:eastAsia="TimesNewRomanPSMT" w:hAnsi="Arial" w:cs="Arial"/>
          <w:sz w:val="24"/>
          <w:szCs w:val="24"/>
        </w:rPr>
        <w:t xml:space="preserve">the degradation </w:t>
      </w:r>
      <w:r w:rsidRPr="000E0DB5">
        <w:rPr>
          <w:rFonts w:ascii="Arial" w:eastAsia="TimesNewRomanPSMT" w:hAnsi="Arial" w:cs="Arial"/>
          <w:sz w:val="24"/>
          <w:szCs w:val="24"/>
        </w:rPr>
        <w:t>event</w:t>
      </w:r>
      <w:r w:rsidR="008624C7" w:rsidRPr="000E0DB5">
        <w:rPr>
          <w:rFonts w:ascii="Arial" w:eastAsia="TimesNewRomanPSMT" w:hAnsi="Arial" w:cs="Arial"/>
          <w:sz w:val="24"/>
          <w:szCs w:val="24"/>
        </w:rPr>
        <w:t xml:space="preserve">. Conversely, being able to trigger </w:t>
      </w:r>
      <w:r w:rsidRPr="000E0DB5">
        <w:rPr>
          <w:rFonts w:ascii="Arial" w:eastAsia="TimesNewRomanPSMT" w:hAnsi="Arial" w:cs="Arial"/>
          <w:sz w:val="24"/>
          <w:szCs w:val="24"/>
        </w:rPr>
        <w:t xml:space="preserve">and </w:t>
      </w:r>
      <w:r w:rsidR="008624C7" w:rsidRPr="000E0DB5">
        <w:rPr>
          <w:rFonts w:ascii="Arial" w:eastAsia="TimesNewRomanPSMT" w:hAnsi="Arial" w:cs="Arial"/>
          <w:sz w:val="24"/>
          <w:szCs w:val="24"/>
        </w:rPr>
        <w:t>halt protein degradation on demand would provide a subtle way to control cellular protein levels and associated biological functions. Astute structural modifications of bifunctional degraders with photoswitchable motifs has been devised to accomplish such reversible control.</w:t>
      </w:r>
    </w:p>
    <w:p w14:paraId="6C838952" w14:textId="77777777" w:rsidR="009929AB" w:rsidRPr="000E0DB5" w:rsidRDefault="009929AB" w:rsidP="008624C7">
      <w:pPr>
        <w:autoSpaceDE w:val="0"/>
        <w:autoSpaceDN w:val="0"/>
        <w:adjustRightInd w:val="0"/>
        <w:spacing w:after="0" w:line="480" w:lineRule="auto"/>
        <w:jc w:val="both"/>
        <w:rPr>
          <w:rFonts w:ascii="Arial" w:eastAsia="TimesNewRomanPSMT" w:hAnsi="Arial" w:cs="Arial"/>
          <w:b/>
          <w:bCs/>
          <w:sz w:val="24"/>
          <w:szCs w:val="24"/>
        </w:rPr>
      </w:pPr>
    </w:p>
    <w:p w14:paraId="1919DAFB" w14:textId="41D3CAE5" w:rsidR="00D84E6F" w:rsidRPr="000D0C73" w:rsidRDefault="000D0C73" w:rsidP="008624C7">
      <w:pPr>
        <w:autoSpaceDE w:val="0"/>
        <w:autoSpaceDN w:val="0"/>
        <w:adjustRightInd w:val="0"/>
        <w:spacing w:after="0" w:line="480" w:lineRule="auto"/>
        <w:jc w:val="both"/>
        <w:rPr>
          <w:rFonts w:ascii="Arial" w:eastAsia="TimesNewRomanPSMT" w:hAnsi="Arial" w:cs="Arial"/>
          <w:bCs/>
          <w:sz w:val="24"/>
          <w:szCs w:val="24"/>
        </w:rPr>
      </w:pPr>
      <w:r>
        <w:rPr>
          <w:rFonts w:ascii="Arial" w:eastAsia="TimesNewRomanPSMT" w:hAnsi="Arial" w:cs="Arial"/>
          <w:bCs/>
          <w:sz w:val="24"/>
          <w:szCs w:val="24"/>
        </w:rPr>
        <w:t xml:space="preserve">3.1 </w:t>
      </w:r>
      <w:r w:rsidR="009929AB" w:rsidRPr="000D0C73">
        <w:rPr>
          <w:rFonts w:ascii="Arial" w:eastAsia="TimesNewRomanPSMT" w:hAnsi="Arial" w:cs="Arial"/>
          <w:bCs/>
          <w:sz w:val="24"/>
          <w:szCs w:val="24"/>
        </w:rPr>
        <w:t>P</w:t>
      </w:r>
      <w:r w:rsidR="000314A6" w:rsidRPr="000D0C73">
        <w:rPr>
          <w:rFonts w:ascii="Arial" w:eastAsia="TimesNewRomanPSMT" w:hAnsi="Arial" w:cs="Arial"/>
          <w:bCs/>
          <w:sz w:val="24"/>
          <w:szCs w:val="24"/>
        </w:rPr>
        <w:t>HOTOSWITCH DESIGN: AZOBENZENE AT THE FOREFRONT</w:t>
      </w:r>
    </w:p>
    <w:p w14:paraId="34A9E795" w14:textId="4FE2C7BC" w:rsidR="00375189" w:rsidRPr="000E0DB5" w:rsidRDefault="009929AB" w:rsidP="00506ED3">
      <w:pPr>
        <w:autoSpaceDE w:val="0"/>
        <w:autoSpaceDN w:val="0"/>
        <w:adjustRightInd w:val="0"/>
        <w:spacing w:after="0" w:line="480" w:lineRule="auto"/>
        <w:jc w:val="both"/>
        <w:rPr>
          <w:rFonts w:ascii="Arial" w:eastAsia="TimesNewRomanPSMT" w:hAnsi="Arial" w:cs="Arial"/>
          <w:sz w:val="24"/>
          <w:szCs w:val="24"/>
        </w:rPr>
      </w:pPr>
      <w:r w:rsidRPr="000E0DB5">
        <w:rPr>
          <w:rFonts w:ascii="Arial" w:eastAsia="TimesNewRomanPSMT" w:hAnsi="Arial" w:cs="Arial"/>
          <w:sz w:val="24"/>
          <w:szCs w:val="24"/>
        </w:rPr>
        <w:t>Using geometrical isomerism to reversibly control biological processes has been exemplified extensively with azobenzene photoswitches</w:t>
      </w:r>
      <w:r w:rsidR="00491B39" w:rsidRPr="000E0DB5">
        <w:rPr>
          <w:rFonts w:ascii="Arial" w:eastAsia="TimesNewRomanPSMT" w:hAnsi="Arial" w:cs="Arial"/>
          <w:sz w:val="24"/>
          <w:szCs w:val="24"/>
        </w:rPr>
        <w:t>,</w:t>
      </w:r>
      <w:r w:rsidR="008C4326"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{"citationItems":[{"id":"ITEM-1","itemData":{"DOI":"10.1002/anie.201700171","ISSN":"15213773","PMID":"28521066","abstract":"Biological processes are naturally regulated with high spatial and temporal control, as is perhaps most evident in metazoan embryogenesis. Chemical tools have been extensively utilized in cell and developmental biology to investigate cellular processes, and conditional control methods have expanded applications of these technologies toward resolving complex biological questions. Light represents an excellent external trigger since it can be controlled with very high spatial and temporal precision. To this end, several optically regulated tools have been developed and applied to living systems. In this review we discuss recent developments of optochemical tools, including small molecules, peptides, proteins, and nucleic acids that can be irreversibly or reversibly controlled through light irradiation, with a focus on applications in cells and animals.","author":[{"dropping-particle":"","family":"Ankenbruck","given":"Nicholas","non-dropping-particle":"","parse-names":false,"suffix":""},{"dropping-particle":"","family":"Courtney","given":"Taylor","non-dropping-particle":"","parse-names":false,"suffix":""},{"dropping-particle":"","family":"Naro","given":"Yuta","non-dropping-particle":"","parse-names":false,"suffix":""},{"dropping-particle":"","family":"Deiters","given":"Alexander","non-dropping-particle":"","parse-names":false,"suffix":""}],"container-title":"Angewandte Chemie - International Edition","id":"ITEM-1","issue":"11","issued":{"date-parts":[["2018"]]},"page":"2768-2798","title":"Optochemical Control of Biological Processes in Cells and Animals","type":"article-journal","volume":"57"},"uris":["http://www.mendeley.com/documents/?uuid=b13bfe74-500d-49d4-a1eb-0b9a5eda44e8"]}],"mendeley":{"formattedCitation":"&lt;sup&gt;24&lt;/sup&gt;","plainTextFormattedCitation":"24","previouslyFormattedCitation":"&lt;sup&gt;24&lt;/sup&gt;"},"properties":{"noteIndex":0},"schema":"https://github.com/citation-style-language/schema/raw/master/csl-citation.json"}</w:instrText>
      </w:r>
      <w:r w:rsidR="008C4326"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24</w:t>
      </w:r>
      <w:r w:rsidR="008C4326"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w:t>
      </w:r>
      <w:r w:rsidR="00491B39" w:rsidRPr="000E0DB5">
        <w:rPr>
          <w:rFonts w:ascii="Arial" w:eastAsia="TimesNewRomanPSMT" w:hAnsi="Arial" w:cs="Arial"/>
          <w:sz w:val="24"/>
          <w:szCs w:val="24"/>
        </w:rPr>
        <w:t>and t</w:t>
      </w:r>
      <w:r w:rsidRPr="000E0DB5">
        <w:rPr>
          <w:rFonts w:ascii="Arial" w:eastAsia="TimesNewRomanPSMT" w:hAnsi="Arial" w:cs="Arial"/>
          <w:sz w:val="24"/>
          <w:szCs w:val="24"/>
        </w:rPr>
        <w:t xml:space="preserve">heir chemical tractability and tunable properties </w:t>
      </w:r>
      <w:r w:rsidR="00491B39" w:rsidRPr="000E0DB5">
        <w:rPr>
          <w:rFonts w:ascii="Arial" w:eastAsia="TimesNewRomanPSMT" w:hAnsi="Arial" w:cs="Arial"/>
          <w:sz w:val="24"/>
          <w:szCs w:val="24"/>
        </w:rPr>
        <w:t xml:space="preserve">also make </w:t>
      </w:r>
      <w:r w:rsidRPr="000E0DB5">
        <w:rPr>
          <w:rFonts w:ascii="Arial" w:eastAsia="TimesNewRomanPSMT" w:hAnsi="Arial" w:cs="Arial"/>
          <w:sz w:val="24"/>
          <w:szCs w:val="24"/>
        </w:rPr>
        <w:t xml:space="preserve">them an appropriate choice </w:t>
      </w:r>
      <w:r w:rsidR="00491B39" w:rsidRPr="000E0DB5">
        <w:rPr>
          <w:rFonts w:ascii="Arial" w:eastAsia="TimesNewRomanPSMT" w:hAnsi="Arial" w:cs="Arial"/>
          <w:sz w:val="24"/>
          <w:szCs w:val="24"/>
        </w:rPr>
        <w:t>for</w:t>
      </w:r>
      <w:r w:rsidRPr="000E0DB5">
        <w:rPr>
          <w:rFonts w:ascii="Arial" w:eastAsia="TimesNewRomanPSMT" w:hAnsi="Arial" w:cs="Arial"/>
          <w:sz w:val="24"/>
          <w:szCs w:val="24"/>
        </w:rPr>
        <w:t xml:space="preserve"> photoswitchable PROTACs.</w:t>
      </w:r>
      <w:r w:rsidR="008C4326" w:rsidRPr="000E0DB5">
        <w:rPr>
          <w:rFonts w:ascii="Arial" w:eastAsia="TimesNewRomanPSMT" w:hAnsi="Arial" w:cs="Arial"/>
          <w:sz w:val="24"/>
          <w:szCs w:val="24"/>
        </w:rPr>
        <w:fldChar w:fldCharType="begin" w:fldLock="1"/>
      </w:r>
      <w:r w:rsidR="005D6924">
        <w:rPr>
          <w:rFonts w:ascii="Arial" w:eastAsia="TimesNewRomanPSMT" w:hAnsi="Arial" w:cs="Arial"/>
          <w:sz w:val="24"/>
          <w:szCs w:val="24"/>
        </w:rPr>
        <w:instrText>ADDIN CSL_CITATION {"citationItems":[{"id":"ITEM-1","itemData":{"DOI":"10.1039/c1cs15023e","ISSN":"14604744","abstract":"The photoisomerization of azobenzene has been known for almost 75 years but only recently has this process been widely applied to biological systems. The central challenge of how to productively couple the isomerization process to a large functional change in a biomolecule has been met in a number of instances and it appears that effective photocontrol of a large variety of biomolecules may be possible. This critical review summarizes key properties of azobenzene that enable its use as a photoswitch in biological systems and describes strategies for using azobenzene photoswitches to drive functional changes in peptides, proteins, nucleic acids, lipids, and carbohydrates (192 references). © 2011 The Royal Society of Chemistry.","author":[{"dropping-particle":"","family":"Beharry","given":"Andrew A.","non-dropping-particle":"","parse-names":false,"suffix":""},{"dropping-particle":"","family":"Woolley","given":"G. Andrew","non-dropping-particle":"","parse-names":false,"suffix":""}],"container-title":"Chemical Society Reviews","id":"ITEM-1","issue":"8","issued":{"date-parts":[["2011"]]},"page":"4422-4437","title":"Azobenzene photoswitches for biomolecules","type":"article-journal","volume":"40"},"uris":["http://www.mendeley.com/documents/?uuid=482b02ba-fc30-40ef-acfb-168dff80015e"]}],"mendeley":{"formattedCitation":"&lt;sup&gt;59&lt;/sup&gt;","plainTextFormattedCitation":"59","previouslyFormattedCitation":"&lt;sup&gt;60&lt;/sup&gt;"},"properties":{"noteIndex":0},"schema":"https://github.com/citation-style-language/schema/raw/master/csl-citation.json"}</w:instrText>
      </w:r>
      <w:r w:rsidR="008C4326" w:rsidRPr="000E0DB5">
        <w:rPr>
          <w:rFonts w:ascii="Arial" w:eastAsia="TimesNewRomanPSMT" w:hAnsi="Arial" w:cs="Arial"/>
          <w:sz w:val="24"/>
          <w:szCs w:val="24"/>
        </w:rPr>
        <w:fldChar w:fldCharType="separate"/>
      </w:r>
      <w:r w:rsidR="005D6924" w:rsidRPr="005D6924">
        <w:rPr>
          <w:rFonts w:ascii="Arial" w:eastAsia="TimesNewRomanPSMT" w:hAnsi="Arial" w:cs="Arial"/>
          <w:noProof/>
          <w:sz w:val="24"/>
          <w:szCs w:val="24"/>
          <w:vertAlign w:val="superscript"/>
        </w:rPr>
        <w:t>59</w:t>
      </w:r>
      <w:r w:rsidR="008C4326"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It was </w:t>
      </w:r>
      <w:r w:rsidR="001A0EF6" w:rsidRPr="000E0DB5">
        <w:rPr>
          <w:rFonts w:ascii="Arial" w:eastAsia="TimesNewRomanPSMT" w:hAnsi="Arial" w:cs="Arial"/>
          <w:sz w:val="24"/>
          <w:szCs w:val="24"/>
        </w:rPr>
        <w:t>hypothesized</w:t>
      </w:r>
      <w:r w:rsidRPr="000E0DB5">
        <w:rPr>
          <w:rFonts w:ascii="Arial" w:eastAsia="TimesNewRomanPSMT" w:hAnsi="Arial" w:cs="Arial"/>
          <w:sz w:val="24"/>
          <w:szCs w:val="24"/>
        </w:rPr>
        <w:t xml:space="preserve"> that incorporation of an azobenzene motif into a bifunctional molecule would allow for major changes in binary and ternary binding interactions to take place upon irradiation due to </w:t>
      </w:r>
      <w:r w:rsidR="00527B18" w:rsidRPr="000E0DB5">
        <w:rPr>
          <w:rFonts w:ascii="Arial" w:eastAsia="TimesNewRomanPSMT" w:hAnsi="Arial" w:cs="Arial"/>
          <w:i/>
          <w:iCs/>
          <w:sz w:val="24"/>
          <w:szCs w:val="24"/>
        </w:rPr>
        <w:t>cis</w:t>
      </w:r>
      <w:r w:rsidRPr="000E0DB5">
        <w:rPr>
          <w:rFonts w:ascii="Arial" w:eastAsia="TimesNewRomanPSMT" w:hAnsi="Arial" w:cs="Arial"/>
          <w:sz w:val="24"/>
          <w:szCs w:val="24"/>
        </w:rPr>
        <w:t>/</w:t>
      </w:r>
      <w:r w:rsidR="00527B18" w:rsidRPr="000E0DB5">
        <w:rPr>
          <w:rFonts w:ascii="Arial" w:eastAsia="TimesNewRomanPSMT" w:hAnsi="Arial" w:cs="Arial"/>
          <w:i/>
          <w:iCs/>
          <w:sz w:val="24"/>
          <w:szCs w:val="24"/>
        </w:rPr>
        <w:t>trans</w:t>
      </w:r>
      <w:r w:rsidRPr="000E0DB5">
        <w:rPr>
          <w:rFonts w:ascii="Arial" w:eastAsia="TimesNewRomanPSMT" w:hAnsi="Arial" w:cs="Arial"/>
          <w:sz w:val="24"/>
          <w:szCs w:val="24"/>
        </w:rPr>
        <w:t xml:space="preserve"> isomerism. This change in configuration would then </w:t>
      </w:r>
      <w:r w:rsidR="00527B18" w:rsidRPr="00057EC1">
        <w:rPr>
          <w:rFonts w:ascii="Arial" w:eastAsia="TimesNewRomanPSMT" w:hAnsi="Arial" w:cs="Arial"/>
          <w:sz w:val="24"/>
          <w:szCs w:val="24"/>
        </w:rPr>
        <w:t>trans</w:t>
      </w:r>
      <w:r w:rsidRPr="000E0DB5">
        <w:rPr>
          <w:rFonts w:ascii="Arial" w:eastAsia="TimesNewRomanPSMT" w:hAnsi="Arial" w:cs="Arial"/>
          <w:sz w:val="24"/>
          <w:szCs w:val="24"/>
        </w:rPr>
        <w:t xml:space="preserve">late into </w:t>
      </w:r>
      <w:r w:rsidR="00491B39" w:rsidRPr="000E0DB5">
        <w:rPr>
          <w:rFonts w:ascii="Arial" w:eastAsia="TimesNewRomanPSMT" w:hAnsi="Arial" w:cs="Arial"/>
          <w:sz w:val="24"/>
          <w:szCs w:val="24"/>
        </w:rPr>
        <w:t xml:space="preserve">a </w:t>
      </w:r>
      <w:r w:rsidRPr="000E0DB5">
        <w:rPr>
          <w:rFonts w:ascii="Arial" w:eastAsia="TimesNewRomanPSMT" w:hAnsi="Arial" w:cs="Arial"/>
          <w:sz w:val="24"/>
          <w:szCs w:val="24"/>
        </w:rPr>
        <w:t>distinct degradation profile for each isomer (Figure 5A)</w:t>
      </w:r>
      <w:r w:rsidR="00506ED3" w:rsidRPr="000E0DB5">
        <w:rPr>
          <w:rFonts w:ascii="Arial" w:eastAsia="TimesNewRomanPSMT" w:hAnsi="Arial" w:cs="Arial"/>
          <w:sz w:val="24"/>
          <w:szCs w:val="24"/>
        </w:rPr>
        <w:t>.</w:t>
      </w:r>
      <w:r w:rsidR="00497ED4" w:rsidRPr="000E0DB5">
        <w:rPr>
          <w:rFonts w:ascii="Arial" w:eastAsia="TimesNewRomanPSMT" w:hAnsi="Arial" w:cs="Arial"/>
          <w:sz w:val="24"/>
          <w:szCs w:val="24"/>
        </w:rPr>
        <w:t xml:space="preserve"> </w:t>
      </w:r>
      <w:r w:rsidR="00375189" w:rsidRPr="000E0DB5">
        <w:rPr>
          <w:rFonts w:ascii="Arial" w:eastAsia="TimesNewRomanPSMT" w:hAnsi="Arial" w:cs="Arial"/>
          <w:sz w:val="24"/>
          <w:szCs w:val="24"/>
        </w:rPr>
        <w:t xml:space="preserve">As a consequence, turning </w:t>
      </w:r>
      <w:r w:rsidR="00491B39" w:rsidRPr="000E0DB5">
        <w:rPr>
          <w:rFonts w:ascii="Arial" w:eastAsia="TimesNewRomanPSMT" w:hAnsi="Arial" w:cs="Arial"/>
          <w:sz w:val="24"/>
          <w:szCs w:val="24"/>
        </w:rPr>
        <w:t xml:space="preserve">proteolysis </w:t>
      </w:r>
      <w:r w:rsidR="00375189" w:rsidRPr="000E0DB5">
        <w:rPr>
          <w:rFonts w:ascii="Arial" w:eastAsia="TimesNewRomanPSMT" w:hAnsi="Arial" w:cs="Arial"/>
          <w:sz w:val="24"/>
          <w:szCs w:val="24"/>
        </w:rPr>
        <w:t xml:space="preserve">on </w:t>
      </w:r>
      <w:r w:rsidR="00491B39" w:rsidRPr="000E0DB5">
        <w:rPr>
          <w:rFonts w:ascii="Arial" w:eastAsia="TimesNewRomanPSMT" w:hAnsi="Arial" w:cs="Arial"/>
          <w:sz w:val="24"/>
          <w:szCs w:val="24"/>
        </w:rPr>
        <w:t xml:space="preserve">or </w:t>
      </w:r>
      <w:r w:rsidR="00375189" w:rsidRPr="000E0DB5">
        <w:rPr>
          <w:rFonts w:ascii="Arial" w:eastAsia="TimesNewRomanPSMT" w:hAnsi="Arial" w:cs="Arial"/>
          <w:sz w:val="24"/>
          <w:szCs w:val="24"/>
        </w:rPr>
        <w:t xml:space="preserve">off would be feasible with </w:t>
      </w:r>
      <w:r w:rsidR="00491B39" w:rsidRPr="000E0DB5">
        <w:rPr>
          <w:rFonts w:ascii="Arial" w:eastAsia="TimesNewRomanPSMT" w:hAnsi="Arial" w:cs="Arial"/>
          <w:sz w:val="24"/>
          <w:szCs w:val="24"/>
        </w:rPr>
        <w:t>a single</w:t>
      </w:r>
      <w:r w:rsidR="00375189" w:rsidRPr="000E0DB5">
        <w:rPr>
          <w:rFonts w:ascii="Arial" w:eastAsia="TimesNewRomanPSMT" w:hAnsi="Arial" w:cs="Arial"/>
          <w:sz w:val="24"/>
          <w:szCs w:val="24"/>
        </w:rPr>
        <w:t xml:space="preserve"> molecule</w:t>
      </w:r>
      <w:r w:rsidR="00491B39" w:rsidRPr="000E0DB5">
        <w:rPr>
          <w:rFonts w:ascii="Arial" w:eastAsia="TimesNewRomanPSMT" w:hAnsi="Arial" w:cs="Arial"/>
          <w:sz w:val="24"/>
          <w:szCs w:val="24"/>
        </w:rPr>
        <w:t>,</w:t>
      </w:r>
      <w:r w:rsidR="00375189" w:rsidRPr="000E0DB5">
        <w:rPr>
          <w:rFonts w:ascii="Arial" w:eastAsia="TimesNewRomanPSMT" w:hAnsi="Arial" w:cs="Arial"/>
          <w:sz w:val="24"/>
          <w:szCs w:val="24"/>
        </w:rPr>
        <w:t xml:space="preserve"> simply </w:t>
      </w:r>
      <w:r w:rsidR="00491B39" w:rsidRPr="000E0DB5">
        <w:rPr>
          <w:rFonts w:ascii="Arial" w:eastAsia="TimesNewRomanPSMT" w:hAnsi="Arial" w:cs="Arial"/>
          <w:sz w:val="24"/>
          <w:szCs w:val="24"/>
        </w:rPr>
        <w:t xml:space="preserve">by </w:t>
      </w:r>
      <w:r w:rsidR="00375189" w:rsidRPr="000E0DB5">
        <w:rPr>
          <w:rFonts w:ascii="Arial" w:eastAsia="TimesNewRomanPSMT" w:hAnsi="Arial" w:cs="Arial"/>
          <w:sz w:val="24"/>
          <w:szCs w:val="24"/>
        </w:rPr>
        <w:t>switching between the two geometrical isomers.</w:t>
      </w:r>
    </w:p>
    <w:p w14:paraId="3F53E68A" w14:textId="6AA173C5" w:rsidR="00FD0E93" w:rsidRDefault="00D951CA" w:rsidP="00375189">
      <w:pPr>
        <w:tabs>
          <w:tab w:val="left" w:pos="2480"/>
        </w:tabs>
        <w:spacing w:line="480" w:lineRule="auto"/>
        <w:jc w:val="both"/>
        <w:rPr>
          <w:rFonts w:ascii="Arial" w:eastAsia="TimesNewRomanPSMT" w:hAnsi="Arial" w:cs="Arial"/>
          <w:sz w:val="24"/>
          <w:szCs w:val="24"/>
        </w:rPr>
      </w:pPr>
      <w:r>
        <w:rPr>
          <w:rFonts w:ascii="Arial" w:eastAsia="TimesNewRomanPSMT" w:hAnsi="Arial" w:cs="Arial"/>
          <w:noProof/>
          <w:sz w:val="24"/>
          <w:szCs w:val="24"/>
        </w:rPr>
        <w:drawing>
          <wp:anchor distT="0" distB="0" distL="114300" distR="114300" simplePos="0" relativeHeight="251719680" behindDoc="0" locked="0" layoutInCell="1" allowOverlap="1" wp14:anchorId="6F85C6ED" wp14:editId="486C4F81">
            <wp:simplePos x="0" y="0"/>
            <wp:positionH relativeFrom="column">
              <wp:posOffset>0</wp:posOffset>
            </wp:positionH>
            <wp:positionV relativeFrom="page">
              <wp:posOffset>914400</wp:posOffset>
            </wp:positionV>
            <wp:extent cx="6000115" cy="5257800"/>
            <wp:effectExtent l="0" t="0" r="0" b="0"/>
            <wp:wrapTopAndBottom/>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00115" cy="5257800"/>
                    </a:xfrm>
                    <a:prstGeom prst="rect">
                      <a:avLst/>
                    </a:prstGeom>
                    <a:noFill/>
                  </pic:spPr>
                </pic:pic>
              </a:graphicData>
            </a:graphic>
            <wp14:sizeRelH relativeFrom="page">
              <wp14:pctWidth>0</wp14:pctWidth>
            </wp14:sizeRelH>
            <wp14:sizeRelV relativeFrom="page">
              <wp14:pctHeight>0</wp14:pctHeight>
            </wp14:sizeRelV>
          </wp:anchor>
        </w:drawing>
      </w:r>
    </w:p>
    <w:p w14:paraId="5EAB85DA" w14:textId="753ADC8D" w:rsidR="000708A1" w:rsidRDefault="00C57941" w:rsidP="005228E3">
      <w:pPr>
        <w:tabs>
          <w:tab w:val="left" w:pos="2480"/>
        </w:tabs>
        <w:spacing w:line="480" w:lineRule="auto"/>
        <w:jc w:val="both"/>
        <w:rPr>
          <w:rFonts w:ascii="Arial" w:eastAsia="TimesNewRomanPSMT" w:hAnsi="Arial" w:cs="Arial"/>
          <w:sz w:val="24"/>
          <w:szCs w:val="24"/>
        </w:rPr>
      </w:pPr>
      <w:bookmarkStart w:id="0" w:name="_Hlk48752255"/>
      <w:r w:rsidRPr="008D391F">
        <w:rPr>
          <w:rFonts w:ascii="Arial" w:eastAsia="TimesNewRomanPSMT" w:hAnsi="Arial" w:cs="Arial"/>
          <w:b/>
          <w:sz w:val="24"/>
          <w:szCs w:val="24"/>
        </w:rPr>
        <w:t>Figure 5</w:t>
      </w:r>
      <w:r w:rsidRPr="008D391F">
        <w:rPr>
          <w:rFonts w:ascii="Arial" w:eastAsia="TimesNewRomanPSMT" w:hAnsi="Arial" w:cs="Arial"/>
          <w:sz w:val="24"/>
          <w:szCs w:val="24"/>
        </w:rPr>
        <w:t xml:space="preserve">. Photoswitchable degrader design, structures, and activity profiles. </w:t>
      </w:r>
      <w:bookmarkEnd w:id="0"/>
      <w:r w:rsidRPr="008D391F">
        <w:rPr>
          <w:rFonts w:ascii="Arial" w:eastAsia="TimesNewRomanPSMT" w:hAnsi="Arial" w:cs="Arial"/>
          <w:sz w:val="24"/>
          <w:szCs w:val="24"/>
        </w:rPr>
        <w:t xml:space="preserve">(A) The azobenzene motif delivers two geometrical isomers: the </w:t>
      </w:r>
      <w:r w:rsidRPr="008D391F">
        <w:rPr>
          <w:rFonts w:ascii="Arial" w:eastAsia="TimesNewRomanPSMT" w:hAnsi="Arial" w:cs="Arial"/>
          <w:i/>
          <w:iCs/>
          <w:sz w:val="24"/>
          <w:szCs w:val="24"/>
        </w:rPr>
        <w:t>cis</w:t>
      </w:r>
      <w:r w:rsidRPr="008D391F">
        <w:rPr>
          <w:rFonts w:ascii="Arial" w:eastAsia="TimesNewRomanPSMT" w:hAnsi="Arial" w:cs="Arial"/>
          <w:sz w:val="24"/>
          <w:szCs w:val="24"/>
        </w:rPr>
        <w:t xml:space="preserve"> isomer can be obtained by irradiation of the </w:t>
      </w:r>
      <w:r w:rsidRPr="008D391F">
        <w:rPr>
          <w:rFonts w:ascii="Arial" w:eastAsia="TimesNewRomanPSMT" w:hAnsi="Arial" w:cs="Arial"/>
          <w:i/>
          <w:iCs/>
          <w:sz w:val="24"/>
          <w:szCs w:val="24"/>
        </w:rPr>
        <w:t>trans</w:t>
      </w:r>
      <w:r w:rsidRPr="008D391F">
        <w:rPr>
          <w:rFonts w:ascii="Arial" w:eastAsia="TimesNewRomanPSMT" w:hAnsi="Arial" w:cs="Arial"/>
          <w:sz w:val="24"/>
          <w:szCs w:val="24"/>
        </w:rPr>
        <w:t xml:space="preserve"> isomer with a specific wavelength λ</w:t>
      </w:r>
      <w:r w:rsidRPr="008D391F">
        <w:rPr>
          <w:rFonts w:ascii="Arial" w:eastAsia="TimesNewRomanPSMT" w:hAnsi="Arial" w:cs="Arial"/>
          <w:sz w:val="24"/>
          <w:szCs w:val="24"/>
          <w:vertAlign w:val="subscript"/>
        </w:rPr>
        <w:t>1</w:t>
      </w:r>
      <w:r w:rsidRPr="008D391F">
        <w:rPr>
          <w:rFonts w:ascii="Arial" w:eastAsia="TimesNewRomanPSMT" w:hAnsi="Arial" w:cs="Arial"/>
          <w:sz w:val="24"/>
          <w:szCs w:val="24"/>
        </w:rPr>
        <w:t xml:space="preserve"> and inversely, the </w:t>
      </w:r>
      <w:r w:rsidRPr="008D391F">
        <w:rPr>
          <w:rFonts w:ascii="Arial" w:eastAsia="TimesNewRomanPSMT" w:hAnsi="Arial" w:cs="Arial"/>
          <w:i/>
          <w:iCs/>
          <w:sz w:val="24"/>
          <w:szCs w:val="24"/>
        </w:rPr>
        <w:t>trans</w:t>
      </w:r>
      <w:r w:rsidRPr="008D391F">
        <w:rPr>
          <w:rFonts w:ascii="Arial" w:eastAsia="TimesNewRomanPSMT" w:hAnsi="Arial" w:cs="Arial"/>
          <w:sz w:val="24"/>
          <w:szCs w:val="24"/>
        </w:rPr>
        <w:t xml:space="preserve"> isomer can be generated from the </w:t>
      </w:r>
      <w:r w:rsidRPr="008D391F">
        <w:rPr>
          <w:rFonts w:ascii="Arial" w:eastAsia="TimesNewRomanPSMT" w:hAnsi="Arial" w:cs="Arial"/>
          <w:i/>
          <w:iCs/>
          <w:sz w:val="24"/>
          <w:szCs w:val="24"/>
        </w:rPr>
        <w:t xml:space="preserve">cis </w:t>
      </w:r>
      <w:r w:rsidRPr="008D391F">
        <w:rPr>
          <w:rFonts w:ascii="Arial" w:eastAsia="TimesNewRomanPSMT" w:hAnsi="Arial" w:cs="Arial"/>
          <w:sz w:val="24"/>
          <w:szCs w:val="24"/>
        </w:rPr>
        <w:t>with either another wavelength λ</w:t>
      </w:r>
      <w:r w:rsidRPr="008D391F">
        <w:rPr>
          <w:rFonts w:ascii="Arial" w:eastAsia="TimesNewRomanPSMT" w:hAnsi="Arial" w:cs="Arial"/>
          <w:sz w:val="24"/>
          <w:szCs w:val="24"/>
          <w:vertAlign w:val="subscript"/>
        </w:rPr>
        <w:t>2</w:t>
      </w:r>
      <w:r w:rsidRPr="008D391F">
        <w:rPr>
          <w:rFonts w:ascii="Arial" w:eastAsia="TimesNewRomanPSMT" w:hAnsi="Arial" w:cs="Arial"/>
          <w:sz w:val="24"/>
          <w:szCs w:val="24"/>
        </w:rPr>
        <w:t xml:space="preserve"> or by thermal relaxation. The difference in conformation between the two isomers affects binding interactions and allows degradation to occur with only one isomer (</w:t>
      </w:r>
      <w:r w:rsidRPr="008D391F">
        <w:rPr>
          <w:rFonts w:ascii="Arial" w:eastAsia="TimesNewRomanPSMT" w:hAnsi="Arial" w:cs="Arial"/>
          <w:i/>
          <w:iCs/>
          <w:sz w:val="24"/>
          <w:szCs w:val="24"/>
        </w:rPr>
        <w:t>cis</w:t>
      </w:r>
      <w:r w:rsidRPr="008D391F">
        <w:rPr>
          <w:rFonts w:ascii="Arial" w:eastAsia="TimesNewRomanPSMT" w:hAnsi="Arial" w:cs="Arial"/>
          <w:sz w:val="24"/>
          <w:szCs w:val="24"/>
        </w:rPr>
        <w:t xml:space="preserve"> or </w:t>
      </w:r>
      <w:r w:rsidRPr="008D391F">
        <w:rPr>
          <w:rFonts w:ascii="Arial" w:eastAsia="TimesNewRomanPSMT" w:hAnsi="Arial" w:cs="Arial"/>
          <w:i/>
          <w:iCs/>
          <w:sz w:val="24"/>
          <w:szCs w:val="24"/>
        </w:rPr>
        <w:t>trans</w:t>
      </w:r>
      <w:r w:rsidRPr="008D391F">
        <w:rPr>
          <w:rFonts w:ascii="Arial" w:eastAsia="TimesNewRomanPSMT" w:hAnsi="Arial" w:cs="Arial"/>
          <w:sz w:val="24"/>
          <w:szCs w:val="24"/>
        </w:rPr>
        <w:t xml:space="preserve">) but not the other. (B) </w:t>
      </w:r>
      <w:bookmarkStart w:id="1" w:name="_Hlk54642671"/>
      <w:r w:rsidRPr="008D391F">
        <w:rPr>
          <w:rFonts w:ascii="Arial" w:eastAsia="TimesNewRomanPSMT" w:hAnsi="Arial" w:cs="Arial"/>
          <w:sz w:val="24"/>
          <w:szCs w:val="24"/>
        </w:rPr>
        <w:t>Structure of the reported photoswitchable PROTAC</w:t>
      </w:r>
      <w:r w:rsidR="00EC40E1">
        <w:rPr>
          <w:rFonts w:ascii="Arial" w:eastAsia="TimesNewRomanPSMT" w:hAnsi="Arial" w:cs="Arial"/>
          <w:sz w:val="24"/>
          <w:szCs w:val="24"/>
        </w:rPr>
        <w:t xml:space="preserve"> </w:t>
      </w:r>
      <w:r w:rsidR="00EC40E1" w:rsidRPr="00EC40E1">
        <w:rPr>
          <w:rFonts w:ascii="Arial" w:eastAsia="TimesNewRomanPSMT" w:hAnsi="Arial" w:cs="Arial"/>
          <w:b/>
          <w:bCs/>
          <w:sz w:val="24"/>
          <w:szCs w:val="24"/>
        </w:rPr>
        <w:t>9</w:t>
      </w:r>
      <w:r w:rsidR="00EC40E1">
        <w:rPr>
          <w:rFonts w:ascii="Arial" w:eastAsia="TimesNewRomanPSMT" w:hAnsi="Arial" w:cs="Arial"/>
          <w:b/>
          <w:bCs/>
          <w:sz w:val="24"/>
          <w:szCs w:val="24"/>
        </w:rPr>
        <w:t xml:space="preserve"> </w:t>
      </w:r>
      <w:r w:rsidR="00EC40E1" w:rsidRPr="00EC40E1">
        <w:rPr>
          <w:rFonts w:ascii="Arial" w:eastAsia="TimesNewRomanPSMT" w:hAnsi="Arial" w:cs="Arial"/>
          <w:sz w:val="24"/>
          <w:szCs w:val="24"/>
        </w:rPr>
        <w:t>(left)</w:t>
      </w:r>
      <w:r w:rsidRPr="00EC40E1">
        <w:rPr>
          <w:rFonts w:ascii="Arial" w:eastAsia="TimesNewRomanPSMT" w:hAnsi="Arial" w:cs="Arial"/>
          <w:sz w:val="24"/>
          <w:szCs w:val="24"/>
        </w:rPr>
        <w:t>.</w:t>
      </w:r>
      <w:r w:rsidR="008F776D" w:rsidRPr="008F776D">
        <w:t xml:space="preserve"> </w:t>
      </w:r>
      <w:bookmarkStart w:id="2" w:name="_Hlk54729169"/>
      <w:r w:rsidR="008F776D" w:rsidRPr="008F776D">
        <w:rPr>
          <w:rFonts w:ascii="Arial" w:eastAsia="TimesNewRomanPSMT" w:hAnsi="Arial" w:cs="Arial"/>
          <w:sz w:val="24"/>
          <w:szCs w:val="24"/>
        </w:rPr>
        <w:t>Each degrader is made of a warhead (depicted in blue), an E3 ligase recruiter (green) and a photoswitch (red) as part of the linker (black)</w:t>
      </w:r>
      <w:bookmarkEnd w:id="2"/>
      <w:r w:rsidR="008F776D" w:rsidRPr="008F776D">
        <w:rPr>
          <w:rFonts w:ascii="Arial" w:eastAsia="TimesNewRomanPSMT" w:hAnsi="Arial" w:cs="Arial"/>
          <w:sz w:val="24"/>
          <w:szCs w:val="24"/>
        </w:rPr>
        <w:t xml:space="preserve">. </w:t>
      </w:r>
      <w:r w:rsidRPr="008D391F">
        <w:rPr>
          <w:rFonts w:ascii="Arial" w:eastAsia="TimesNewRomanPSMT" w:hAnsi="Arial" w:cs="Arial"/>
          <w:sz w:val="24"/>
          <w:szCs w:val="24"/>
        </w:rPr>
        <w:t xml:space="preserve"> </w:t>
      </w:r>
      <w:bookmarkEnd w:id="1"/>
      <w:r w:rsidR="00EC40E1" w:rsidRPr="008D391F">
        <w:rPr>
          <w:rFonts w:ascii="Arial" w:eastAsia="TimesNewRomanPSMT" w:hAnsi="Arial" w:cs="Arial"/>
          <w:sz w:val="24"/>
          <w:szCs w:val="24"/>
        </w:rPr>
        <w:t xml:space="preserve">Immunoblot analysis after treatment of Ramos cells with compound </w:t>
      </w:r>
      <w:r w:rsidR="00EC40E1" w:rsidRPr="008D391F">
        <w:rPr>
          <w:rFonts w:ascii="Arial" w:eastAsia="TimesNewRomanPSMT" w:hAnsi="Arial" w:cs="Arial"/>
          <w:b/>
          <w:sz w:val="24"/>
          <w:szCs w:val="24"/>
        </w:rPr>
        <w:t>9</w:t>
      </w:r>
      <w:r w:rsidR="00EC40E1">
        <w:rPr>
          <w:rFonts w:ascii="Arial" w:eastAsia="TimesNewRomanPSMT" w:hAnsi="Arial" w:cs="Arial"/>
          <w:b/>
          <w:sz w:val="24"/>
          <w:szCs w:val="24"/>
        </w:rPr>
        <w:t xml:space="preserve"> </w:t>
      </w:r>
      <w:r w:rsidR="00EC40E1" w:rsidRPr="00EC40E1">
        <w:rPr>
          <w:rFonts w:ascii="Arial" w:eastAsia="TimesNewRomanPSMT" w:hAnsi="Arial" w:cs="Arial"/>
          <w:bCs/>
          <w:sz w:val="24"/>
          <w:szCs w:val="24"/>
        </w:rPr>
        <w:t>(right)</w:t>
      </w:r>
      <w:r w:rsidR="00EC40E1" w:rsidRPr="008D391F">
        <w:rPr>
          <w:rFonts w:ascii="Arial" w:eastAsia="TimesNewRomanPSMT" w:hAnsi="Arial" w:cs="Arial"/>
          <w:sz w:val="24"/>
          <w:szCs w:val="24"/>
        </w:rPr>
        <w:t xml:space="preserve">. The </w:t>
      </w:r>
      <w:r w:rsidR="00EC40E1" w:rsidRPr="008D391F">
        <w:rPr>
          <w:rFonts w:ascii="Arial" w:eastAsia="TimesNewRomanPSMT" w:hAnsi="Arial" w:cs="Arial"/>
          <w:i/>
          <w:iCs/>
          <w:sz w:val="24"/>
          <w:szCs w:val="24"/>
        </w:rPr>
        <w:t>trans</w:t>
      </w:r>
      <w:r w:rsidR="00EC40E1" w:rsidRPr="008D391F">
        <w:rPr>
          <w:rFonts w:ascii="Arial" w:eastAsia="TimesNewRomanPSMT" w:hAnsi="Arial" w:cs="Arial"/>
          <w:sz w:val="24"/>
          <w:szCs w:val="24"/>
        </w:rPr>
        <w:t xml:space="preserve"> isomer of </w:t>
      </w:r>
      <w:r w:rsidR="00EC40E1" w:rsidRPr="008D391F">
        <w:rPr>
          <w:rFonts w:ascii="Arial" w:eastAsia="TimesNewRomanPSMT" w:hAnsi="Arial" w:cs="Arial"/>
          <w:b/>
          <w:sz w:val="24"/>
          <w:szCs w:val="24"/>
        </w:rPr>
        <w:t>9</w:t>
      </w:r>
      <w:r w:rsidR="00EC40E1" w:rsidRPr="008D391F">
        <w:rPr>
          <w:rFonts w:ascii="Arial" w:eastAsia="TimesNewRomanPSMT" w:hAnsi="Arial" w:cs="Arial"/>
          <w:sz w:val="24"/>
          <w:szCs w:val="24"/>
        </w:rPr>
        <w:t xml:space="preserve"> degraded BRD2 while the </w:t>
      </w:r>
      <w:r w:rsidR="00EC40E1" w:rsidRPr="008D391F">
        <w:rPr>
          <w:rFonts w:ascii="Arial" w:eastAsia="TimesNewRomanPSMT" w:hAnsi="Arial" w:cs="Arial"/>
          <w:i/>
          <w:iCs/>
          <w:sz w:val="24"/>
          <w:szCs w:val="24"/>
        </w:rPr>
        <w:t>cis</w:t>
      </w:r>
      <w:r w:rsidR="00EC40E1" w:rsidRPr="008D391F">
        <w:rPr>
          <w:rFonts w:ascii="Arial" w:eastAsia="TimesNewRomanPSMT" w:hAnsi="Arial" w:cs="Arial"/>
          <w:sz w:val="24"/>
          <w:szCs w:val="24"/>
        </w:rPr>
        <w:t xml:space="preserve"> isomer did not affect BRD2 levels. Image adapted with permission from Ref.[</w:t>
      </w:r>
      <w:r w:rsidR="00EC40E1">
        <w:rPr>
          <w:rFonts w:ascii="Arial" w:eastAsia="TimesNewRomanPSMT" w:hAnsi="Arial" w:cs="Arial"/>
          <w:sz w:val="24"/>
          <w:szCs w:val="24"/>
        </w:rPr>
        <w:t>35</w:t>
      </w:r>
      <w:r w:rsidR="00EC40E1" w:rsidRPr="008D391F">
        <w:rPr>
          <w:rFonts w:ascii="Arial" w:eastAsia="TimesNewRomanPSMT" w:hAnsi="Arial" w:cs="Arial"/>
          <w:sz w:val="24"/>
          <w:szCs w:val="24"/>
        </w:rPr>
        <w:t>]. Copyright 2019 American Chemical Society.</w:t>
      </w:r>
      <w:r w:rsidR="00EC40E1">
        <w:rPr>
          <w:rFonts w:ascii="Arial" w:eastAsia="TimesNewRomanPSMT" w:hAnsi="Arial" w:cs="Arial"/>
          <w:sz w:val="24"/>
          <w:szCs w:val="24"/>
        </w:rPr>
        <w:t xml:space="preserve"> </w:t>
      </w:r>
      <w:r w:rsidRPr="008D391F">
        <w:rPr>
          <w:rFonts w:ascii="Arial" w:eastAsia="TimesNewRomanPSMT" w:hAnsi="Arial" w:cs="Arial"/>
          <w:sz w:val="24"/>
          <w:szCs w:val="24"/>
        </w:rPr>
        <w:t>(</w:t>
      </w:r>
      <w:r w:rsidR="00EC40E1">
        <w:rPr>
          <w:rFonts w:ascii="Arial" w:eastAsia="TimesNewRomanPSMT" w:hAnsi="Arial" w:cs="Arial"/>
          <w:sz w:val="24"/>
          <w:szCs w:val="24"/>
        </w:rPr>
        <w:t>C</w:t>
      </w:r>
      <w:r w:rsidRPr="008D391F">
        <w:rPr>
          <w:rFonts w:ascii="Arial" w:eastAsia="TimesNewRomanPSMT" w:hAnsi="Arial" w:cs="Arial"/>
          <w:sz w:val="24"/>
          <w:szCs w:val="24"/>
        </w:rPr>
        <w:t xml:space="preserve">) </w:t>
      </w:r>
      <w:r w:rsidR="00EC40E1" w:rsidRPr="008D391F">
        <w:rPr>
          <w:rFonts w:ascii="Arial" w:eastAsia="TimesNewRomanPSMT" w:hAnsi="Arial" w:cs="Arial"/>
          <w:sz w:val="24"/>
          <w:szCs w:val="24"/>
        </w:rPr>
        <w:t>Structure of the reported photoswitchable PROTAC</w:t>
      </w:r>
      <w:r w:rsidR="00EC40E1">
        <w:rPr>
          <w:rFonts w:ascii="Arial" w:eastAsia="TimesNewRomanPSMT" w:hAnsi="Arial" w:cs="Arial"/>
          <w:sz w:val="24"/>
          <w:szCs w:val="24"/>
        </w:rPr>
        <w:t xml:space="preserve"> </w:t>
      </w:r>
      <w:r w:rsidR="00EC40E1">
        <w:rPr>
          <w:rFonts w:ascii="Arial" w:eastAsia="TimesNewRomanPSMT" w:hAnsi="Arial" w:cs="Arial"/>
          <w:b/>
          <w:bCs/>
          <w:sz w:val="24"/>
          <w:szCs w:val="24"/>
        </w:rPr>
        <w:t xml:space="preserve">10 </w:t>
      </w:r>
      <w:r w:rsidR="00EC40E1" w:rsidRPr="00EC40E1">
        <w:rPr>
          <w:rFonts w:ascii="Arial" w:eastAsia="TimesNewRomanPSMT" w:hAnsi="Arial" w:cs="Arial"/>
          <w:sz w:val="24"/>
          <w:szCs w:val="24"/>
        </w:rPr>
        <w:t>(left).</w:t>
      </w:r>
      <w:r w:rsidR="00EC40E1">
        <w:rPr>
          <w:rFonts w:ascii="Arial" w:eastAsia="TimesNewRomanPSMT" w:hAnsi="Arial" w:cs="Arial"/>
          <w:sz w:val="24"/>
          <w:szCs w:val="24"/>
        </w:rPr>
        <w:t xml:space="preserve"> </w:t>
      </w:r>
      <w:r w:rsidRPr="008D391F">
        <w:rPr>
          <w:rFonts w:ascii="Arial" w:eastAsia="TimesNewRomanPSMT" w:hAnsi="Arial" w:cs="Arial"/>
          <w:sz w:val="24"/>
          <w:szCs w:val="24"/>
        </w:rPr>
        <w:t xml:space="preserve">Immunoblot analysis after treatment of RS4;11 cells with compound </w:t>
      </w:r>
      <w:r w:rsidRPr="008D391F">
        <w:rPr>
          <w:rFonts w:ascii="Arial" w:eastAsia="TimesNewRomanPSMT" w:hAnsi="Arial" w:cs="Arial"/>
          <w:b/>
          <w:sz w:val="24"/>
          <w:szCs w:val="24"/>
        </w:rPr>
        <w:t>10</w:t>
      </w:r>
      <w:r w:rsidR="00EC40E1">
        <w:rPr>
          <w:rFonts w:ascii="Arial" w:eastAsia="TimesNewRomanPSMT" w:hAnsi="Arial" w:cs="Arial"/>
          <w:b/>
          <w:sz w:val="24"/>
          <w:szCs w:val="24"/>
        </w:rPr>
        <w:t xml:space="preserve"> </w:t>
      </w:r>
      <w:r w:rsidR="00EC40E1" w:rsidRPr="00EC40E1">
        <w:rPr>
          <w:rFonts w:ascii="Arial" w:eastAsia="TimesNewRomanPSMT" w:hAnsi="Arial" w:cs="Arial"/>
          <w:bCs/>
          <w:sz w:val="24"/>
          <w:szCs w:val="24"/>
        </w:rPr>
        <w:t>(right)</w:t>
      </w:r>
      <w:r w:rsidRPr="00EC40E1">
        <w:rPr>
          <w:rFonts w:ascii="Arial" w:eastAsia="TimesNewRomanPSMT" w:hAnsi="Arial" w:cs="Arial"/>
          <w:bCs/>
          <w:sz w:val="24"/>
          <w:szCs w:val="24"/>
        </w:rPr>
        <w:t>.</w:t>
      </w:r>
      <w:r w:rsidRPr="008D391F">
        <w:rPr>
          <w:rFonts w:ascii="Arial" w:eastAsia="TimesNewRomanPSMT" w:hAnsi="Arial" w:cs="Arial"/>
          <w:b/>
          <w:sz w:val="24"/>
          <w:szCs w:val="24"/>
        </w:rPr>
        <w:t xml:space="preserve"> </w:t>
      </w:r>
      <w:r w:rsidRPr="008D391F">
        <w:rPr>
          <w:rFonts w:ascii="Arial" w:eastAsia="TimesNewRomanPSMT" w:hAnsi="Arial" w:cs="Arial"/>
          <w:sz w:val="24"/>
          <w:szCs w:val="24"/>
        </w:rPr>
        <w:t xml:space="preserve">The </w:t>
      </w:r>
      <w:r w:rsidRPr="002E3D37">
        <w:rPr>
          <w:rFonts w:ascii="Arial" w:eastAsia="TimesNewRomanPSMT" w:hAnsi="Arial" w:cs="Arial"/>
          <w:i/>
          <w:iCs/>
          <w:sz w:val="24"/>
          <w:szCs w:val="24"/>
        </w:rPr>
        <w:t>cis</w:t>
      </w:r>
      <w:r w:rsidRPr="008D391F">
        <w:rPr>
          <w:rFonts w:ascii="Arial" w:eastAsia="TimesNewRomanPSMT" w:hAnsi="Arial" w:cs="Arial"/>
          <w:sz w:val="24"/>
          <w:szCs w:val="24"/>
        </w:rPr>
        <w:t xml:space="preserve"> isomer of </w:t>
      </w:r>
      <w:r w:rsidRPr="008D391F">
        <w:rPr>
          <w:rFonts w:ascii="Arial" w:eastAsia="TimesNewRomanPSMT" w:hAnsi="Arial" w:cs="Arial"/>
          <w:b/>
          <w:sz w:val="24"/>
          <w:szCs w:val="24"/>
        </w:rPr>
        <w:t>10</w:t>
      </w:r>
      <w:r w:rsidRPr="008D391F">
        <w:rPr>
          <w:rFonts w:ascii="Arial" w:eastAsia="TimesNewRomanPSMT" w:hAnsi="Arial" w:cs="Arial"/>
          <w:sz w:val="24"/>
          <w:szCs w:val="24"/>
        </w:rPr>
        <w:t xml:space="preserve"> knocked down BRD2, BRD3 and BRD4 while the </w:t>
      </w:r>
      <w:r w:rsidRPr="008D391F">
        <w:rPr>
          <w:rFonts w:ascii="Arial" w:eastAsia="TimesNewRomanPSMT" w:hAnsi="Arial" w:cs="Arial"/>
          <w:i/>
          <w:iCs/>
          <w:sz w:val="24"/>
          <w:szCs w:val="24"/>
        </w:rPr>
        <w:t>trans</w:t>
      </w:r>
      <w:r w:rsidRPr="008D391F">
        <w:rPr>
          <w:rFonts w:ascii="Arial" w:eastAsia="TimesNewRomanPSMT" w:hAnsi="Arial" w:cs="Arial"/>
          <w:sz w:val="24"/>
          <w:szCs w:val="24"/>
        </w:rPr>
        <w:t xml:space="preserve"> isomer did not degrade any BRD. Image adapted with permission from Ref.[</w:t>
      </w:r>
      <w:r w:rsidR="003F42BE">
        <w:rPr>
          <w:rFonts w:ascii="Arial" w:eastAsia="TimesNewRomanPSMT" w:hAnsi="Arial" w:cs="Arial"/>
          <w:sz w:val="24"/>
          <w:szCs w:val="24"/>
        </w:rPr>
        <w:t>3</w:t>
      </w:r>
      <w:r w:rsidR="00D766BF">
        <w:rPr>
          <w:rFonts w:ascii="Arial" w:eastAsia="TimesNewRomanPSMT" w:hAnsi="Arial" w:cs="Arial"/>
          <w:sz w:val="24"/>
          <w:szCs w:val="24"/>
        </w:rPr>
        <w:t>6</w:t>
      </w:r>
      <w:r w:rsidRPr="008D391F">
        <w:rPr>
          <w:rFonts w:ascii="Arial" w:eastAsia="TimesNewRomanPSMT" w:hAnsi="Arial" w:cs="Arial"/>
          <w:sz w:val="24"/>
          <w:szCs w:val="24"/>
        </w:rPr>
        <w:t>]</w:t>
      </w:r>
      <w:r w:rsidRPr="00C57941">
        <w:rPr>
          <w:rFonts w:ascii="Arial" w:eastAsia="TimesNewRomanPSMT" w:hAnsi="Arial" w:cs="Arial"/>
          <w:sz w:val="24"/>
          <w:szCs w:val="24"/>
        </w:rPr>
        <w:t xml:space="preserve"> </w:t>
      </w:r>
      <w:r w:rsidRPr="008D391F">
        <w:rPr>
          <w:rFonts w:ascii="Arial" w:eastAsia="TimesNewRomanPSMT" w:hAnsi="Arial" w:cs="Arial"/>
          <w:sz w:val="24"/>
          <w:szCs w:val="24"/>
        </w:rPr>
        <w:t>Copyright 2020 AAAS. (</w:t>
      </w:r>
      <w:r w:rsidR="00EC40E1">
        <w:rPr>
          <w:rFonts w:ascii="Arial" w:eastAsia="TimesNewRomanPSMT" w:hAnsi="Arial" w:cs="Arial"/>
          <w:sz w:val="24"/>
          <w:szCs w:val="24"/>
        </w:rPr>
        <w:t xml:space="preserve">D) </w:t>
      </w:r>
      <w:r w:rsidR="00EC40E1" w:rsidRPr="00EC40E1">
        <w:rPr>
          <w:rFonts w:ascii="Arial" w:eastAsia="TimesNewRomanPSMT" w:hAnsi="Arial" w:cs="Arial"/>
          <w:sz w:val="24"/>
          <w:szCs w:val="24"/>
        </w:rPr>
        <w:t xml:space="preserve">Structure of the reported photoswitchable PROTAC </w:t>
      </w:r>
      <w:r w:rsidR="00EC40E1" w:rsidRPr="00EC40E1">
        <w:rPr>
          <w:rFonts w:ascii="Arial" w:eastAsia="TimesNewRomanPSMT" w:hAnsi="Arial" w:cs="Arial"/>
          <w:b/>
          <w:bCs/>
          <w:sz w:val="24"/>
          <w:szCs w:val="24"/>
        </w:rPr>
        <w:t>1</w:t>
      </w:r>
      <w:r w:rsidR="00EC40E1">
        <w:rPr>
          <w:rFonts w:ascii="Arial" w:eastAsia="TimesNewRomanPSMT" w:hAnsi="Arial" w:cs="Arial"/>
          <w:b/>
          <w:bCs/>
          <w:sz w:val="24"/>
          <w:szCs w:val="24"/>
        </w:rPr>
        <w:t>1</w:t>
      </w:r>
      <w:r w:rsidR="00EC40E1" w:rsidRPr="00EC40E1">
        <w:rPr>
          <w:rFonts w:ascii="Arial" w:eastAsia="TimesNewRomanPSMT" w:hAnsi="Arial" w:cs="Arial"/>
          <w:sz w:val="24"/>
          <w:szCs w:val="24"/>
        </w:rPr>
        <w:t xml:space="preserve"> (left). </w:t>
      </w:r>
      <w:r w:rsidRPr="008D391F">
        <w:rPr>
          <w:rFonts w:ascii="Arial" w:eastAsia="TimesNewRomanPSMT" w:hAnsi="Arial" w:cs="Arial"/>
          <w:sz w:val="24"/>
          <w:szCs w:val="24"/>
        </w:rPr>
        <w:t xml:space="preserve"> Immunoblot analysis following treatment of K562 cells with compound </w:t>
      </w:r>
      <w:r w:rsidRPr="008D391F">
        <w:rPr>
          <w:rFonts w:ascii="Arial" w:eastAsia="TimesNewRomanPSMT" w:hAnsi="Arial" w:cs="Arial"/>
          <w:b/>
          <w:sz w:val="24"/>
          <w:szCs w:val="24"/>
        </w:rPr>
        <w:t>11</w:t>
      </w:r>
      <w:r w:rsidR="00EC40E1">
        <w:rPr>
          <w:rFonts w:ascii="Arial" w:eastAsia="TimesNewRomanPSMT" w:hAnsi="Arial" w:cs="Arial"/>
          <w:b/>
          <w:sz w:val="24"/>
          <w:szCs w:val="24"/>
        </w:rPr>
        <w:t xml:space="preserve"> </w:t>
      </w:r>
      <w:r w:rsidR="00EC40E1" w:rsidRPr="00EC40E1">
        <w:rPr>
          <w:rFonts w:ascii="Arial" w:eastAsia="TimesNewRomanPSMT" w:hAnsi="Arial" w:cs="Arial"/>
          <w:bCs/>
          <w:sz w:val="24"/>
          <w:szCs w:val="24"/>
        </w:rPr>
        <w:t>(right)</w:t>
      </w:r>
      <w:r w:rsidRPr="008D391F">
        <w:rPr>
          <w:rFonts w:ascii="Arial" w:eastAsia="TimesNewRomanPSMT" w:hAnsi="Arial" w:cs="Arial"/>
          <w:b/>
          <w:sz w:val="24"/>
          <w:szCs w:val="24"/>
        </w:rPr>
        <w:t xml:space="preserve">. </w:t>
      </w:r>
      <w:r w:rsidRPr="008D391F">
        <w:rPr>
          <w:rFonts w:ascii="Arial" w:eastAsia="TimesNewRomanPSMT" w:hAnsi="Arial" w:cs="Arial"/>
          <w:sz w:val="24"/>
          <w:szCs w:val="24"/>
        </w:rPr>
        <w:t xml:space="preserve">The </w:t>
      </w:r>
      <w:r w:rsidRPr="00C57941">
        <w:rPr>
          <w:rFonts w:ascii="Arial" w:eastAsia="TimesNewRomanPSMT" w:hAnsi="Arial" w:cs="Arial"/>
          <w:i/>
          <w:iCs/>
          <w:sz w:val="24"/>
          <w:szCs w:val="24"/>
        </w:rPr>
        <w:t>trans</w:t>
      </w:r>
      <w:r w:rsidRPr="008D391F">
        <w:rPr>
          <w:rFonts w:ascii="Arial" w:eastAsia="TimesNewRomanPSMT" w:hAnsi="Arial" w:cs="Arial"/>
          <w:sz w:val="24"/>
          <w:szCs w:val="24"/>
        </w:rPr>
        <w:t xml:space="preserve"> isomer of </w:t>
      </w:r>
      <w:r w:rsidRPr="008D391F">
        <w:rPr>
          <w:rFonts w:ascii="Arial" w:eastAsia="TimesNewRomanPSMT" w:hAnsi="Arial" w:cs="Arial"/>
          <w:b/>
          <w:sz w:val="24"/>
          <w:szCs w:val="24"/>
        </w:rPr>
        <w:t xml:space="preserve">11 </w:t>
      </w:r>
      <w:r w:rsidRPr="008D391F">
        <w:rPr>
          <w:rFonts w:ascii="Arial" w:eastAsia="TimesNewRomanPSMT" w:hAnsi="Arial" w:cs="Arial"/>
          <w:sz w:val="24"/>
          <w:szCs w:val="24"/>
        </w:rPr>
        <w:t xml:space="preserve">was efficient in reducing levels of BCR-ABL and ABL while its </w:t>
      </w:r>
      <w:r w:rsidRPr="00C57941">
        <w:rPr>
          <w:rFonts w:ascii="Arial" w:eastAsia="TimesNewRomanPSMT" w:hAnsi="Arial" w:cs="Arial"/>
          <w:i/>
          <w:iCs/>
          <w:sz w:val="24"/>
          <w:szCs w:val="24"/>
        </w:rPr>
        <w:t>cis</w:t>
      </w:r>
      <w:r w:rsidRPr="008D391F">
        <w:rPr>
          <w:rFonts w:ascii="Arial" w:eastAsia="TimesNewRomanPSMT" w:hAnsi="Arial" w:cs="Arial"/>
          <w:sz w:val="24"/>
          <w:szCs w:val="24"/>
        </w:rPr>
        <w:t xml:space="preserve"> counterpart showed no degradation activity. Image adapted with</w:t>
      </w:r>
      <w:r>
        <w:rPr>
          <w:rFonts w:ascii="Arial" w:eastAsia="TimesNewRomanPSMT" w:hAnsi="Arial" w:cs="Arial"/>
          <w:sz w:val="24"/>
          <w:szCs w:val="24"/>
        </w:rPr>
        <w:t xml:space="preserve"> </w:t>
      </w:r>
      <w:r w:rsidRPr="008D391F">
        <w:rPr>
          <w:rFonts w:ascii="Arial" w:eastAsia="TimesNewRomanPSMT" w:hAnsi="Arial" w:cs="Arial"/>
          <w:sz w:val="24"/>
          <w:szCs w:val="24"/>
        </w:rPr>
        <w:t>permission from Ref.[</w:t>
      </w:r>
      <w:r w:rsidR="003F42BE">
        <w:rPr>
          <w:rFonts w:ascii="Arial" w:eastAsia="TimesNewRomanPSMT" w:hAnsi="Arial" w:cs="Arial"/>
          <w:sz w:val="24"/>
          <w:szCs w:val="24"/>
        </w:rPr>
        <w:t>3</w:t>
      </w:r>
      <w:r w:rsidR="00D766BF">
        <w:rPr>
          <w:rFonts w:ascii="Arial" w:eastAsia="TimesNewRomanPSMT" w:hAnsi="Arial" w:cs="Arial"/>
          <w:sz w:val="24"/>
          <w:szCs w:val="24"/>
        </w:rPr>
        <w:t>7</w:t>
      </w:r>
      <w:r w:rsidRPr="008D391F">
        <w:rPr>
          <w:rFonts w:ascii="Arial" w:eastAsia="TimesNewRomanPSMT" w:hAnsi="Arial" w:cs="Arial"/>
          <w:sz w:val="24"/>
          <w:szCs w:val="24"/>
        </w:rPr>
        <w:t>]. Copyright 2020 American Chemical Society</w:t>
      </w:r>
      <w:r>
        <w:rPr>
          <w:rFonts w:ascii="Arial" w:eastAsia="TimesNewRomanPSMT" w:hAnsi="Arial" w:cs="Arial"/>
          <w:sz w:val="24"/>
          <w:szCs w:val="24"/>
        </w:rPr>
        <w:t>.</w:t>
      </w:r>
    </w:p>
    <w:p w14:paraId="28B03B81" w14:textId="77777777" w:rsidR="000708A1" w:rsidRDefault="000708A1" w:rsidP="00DF5D79">
      <w:pPr>
        <w:tabs>
          <w:tab w:val="left" w:pos="2480"/>
        </w:tabs>
        <w:spacing w:after="0" w:line="480" w:lineRule="auto"/>
        <w:jc w:val="both"/>
        <w:rPr>
          <w:rFonts w:ascii="Arial" w:eastAsia="TimesNewRomanPSMT" w:hAnsi="Arial" w:cs="Arial"/>
          <w:sz w:val="24"/>
          <w:szCs w:val="24"/>
        </w:rPr>
      </w:pPr>
    </w:p>
    <w:p w14:paraId="40DD626D" w14:textId="259017E5" w:rsidR="000764B4" w:rsidRPr="000E0DB5" w:rsidRDefault="00375189" w:rsidP="00DF5D79">
      <w:pPr>
        <w:tabs>
          <w:tab w:val="left" w:pos="2480"/>
        </w:tabs>
        <w:spacing w:after="0" w:line="480" w:lineRule="auto"/>
        <w:jc w:val="both"/>
        <w:rPr>
          <w:rFonts w:ascii="Arial" w:eastAsia="TimesNewRomanPSMT" w:hAnsi="Arial" w:cs="Arial"/>
          <w:sz w:val="24"/>
          <w:szCs w:val="24"/>
        </w:rPr>
      </w:pPr>
      <w:r w:rsidRPr="000E0DB5">
        <w:rPr>
          <w:rFonts w:ascii="Arial" w:eastAsia="TimesNewRomanPSMT" w:hAnsi="Arial" w:cs="Arial"/>
          <w:sz w:val="24"/>
          <w:szCs w:val="24"/>
        </w:rPr>
        <w:t xml:space="preserve">As previously mentioned, the linker that connects the two ligands of a PROTAC plays a critical role in </w:t>
      </w:r>
      <w:r w:rsidR="00491B39" w:rsidRPr="000E0DB5">
        <w:rPr>
          <w:rFonts w:ascii="Arial" w:eastAsia="TimesNewRomanPSMT" w:hAnsi="Arial" w:cs="Arial"/>
          <w:sz w:val="24"/>
          <w:szCs w:val="24"/>
        </w:rPr>
        <w:t xml:space="preserve">a </w:t>
      </w:r>
      <w:r w:rsidRPr="000E0DB5">
        <w:rPr>
          <w:rFonts w:ascii="Arial" w:eastAsia="TimesNewRomanPSMT" w:hAnsi="Arial" w:cs="Arial"/>
          <w:sz w:val="24"/>
          <w:szCs w:val="24"/>
        </w:rPr>
        <w:t>degrader’s efficacy.</w:t>
      </w:r>
      <w:r w:rsidR="008C4326"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{"citationItems":[{"id":"ITEM-1","itemData":{"DOI":"10.1021/acs.jmedchem.7b01272","ISSN":"15204804","abstract":"Los microorganismos han sido considerados como agentes causantes de biodeterioro de obras de arte, sin embargo, en la actualidad se empiezan a utilizar para la limpieza de restos de compuestos orgánicos y costras salinas difíciles de eliminar por los métodos tradicionales de restauración. Este trabajo desarrolla el uso de Pseudomonas stutzeri para la “biolimpieza” de pinturas murales, con la intención de eliminar restos de materia orgánica de antiguas restauraciones o eflorescencias salinas insolubles. Para ello se ensayan distintas cepas de Pseudomonas stutzeri de colecciones tipo y distintos soportes que facilite su aplicación directa sobre obra real. Los métodos obtenidos en las pruebas previas se aplican de manera experimental sobre fragmentos de las pinturas murales de la Iglesia de los Santos Juanes de Valencia.","author":[{"dropping-particle":"","family":"Churcher","given":"Ian","non-dropping-particle":"","parse-names":false,"suffix":""}],"container-title":"Journal of Medicinal Chemistry","id":"ITEM-1","issue":"2","issued":{"date-parts":[["2018"]]},"page":"444-452","title":"Protac-Induced Protein Degradation in Drug Discovery: Breaking the Rules or Just Making New Ones?","type":"article-journal","volume":"61"},"uris":["http://www.mendeley.com/documents/?uuid=bfccc318-8ad8-4d21-9297-d6112e72ef24"]}],"mendeley":{"formattedCitation":"&lt;sup&gt;13&lt;/sup&gt;","plainTextFormattedCitation":"13","previouslyFormattedCitation":"&lt;sup&gt;13&lt;/sup&gt;"},"properties":{"noteIndex":0},"schema":"https://github.com/citation-style-language/schema/raw/master/csl-citation.json"}</w:instrText>
      </w:r>
      <w:r w:rsidR="008C4326"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13</w:t>
      </w:r>
      <w:r w:rsidR="008C4326" w:rsidRPr="000E0DB5">
        <w:rPr>
          <w:rFonts w:ascii="Arial" w:eastAsia="TimesNewRomanPSMT" w:hAnsi="Arial" w:cs="Arial"/>
          <w:sz w:val="24"/>
          <w:szCs w:val="24"/>
        </w:rPr>
        <w:fldChar w:fldCharType="end"/>
      </w:r>
      <w:r w:rsidR="008C4326" w:rsidRPr="000E0DB5">
        <w:rPr>
          <w:rFonts w:ascii="Arial" w:eastAsia="TimesNewRomanPSMT" w:hAnsi="Arial" w:cs="Arial"/>
          <w:sz w:val="24"/>
          <w:szCs w:val="24"/>
        </w:rPr>
        <w:t xml:space="preserve"> </w:t>
      </w:r>
      <w:r w:rsidRPr="000E0DB5">
        <w:rPr>
          <w:rFonts w:ascii="Arial" w:eastAsia="TimesNewRomanPSMT" w:hAnsi="Arial" w:cs="Arial"/>
          <w:sz w:val="24"/>
          <w:szCs w:val="24"/>
        </w:rPr>
        <w:t>Parameters such as  composition and length of the linker</w:t>
      </w:r>
      <w:r w:rsidR="00491B39" w:rsidRPr="000E0DB5">
        <w:rPr>
          <w:rFonts w:ascii="Arial" w:eastAsia="TimesNewRomanPSMT" w:hAnsi="Arial" w:cs="Arial"/>
          <w:sz w:val="24"/>
          <w:szCs w:val="24"/>
        </w:rPr>
        <w:t xml:space="preserve"> can</w:t>
      </w:r>
      <w:r w:rsidRPr="000E0DB5">
        <w:rPr>
          <w:rFonts w:ascii="Arial" w:eastAsia="TimesNewRomanPSMT" w:hAnsi="Arial" w:cs="Arial"/>
          <w:sz w:val="24"/>
          <w:szCs w:val="24"/>
        </w:rPr>
        <w:t xml:space="preserve"> have a</w:t>
      </w:r>
      <w:r w:rsidR="00491B39" w:rsidRPr="000E0DB5">
        <w:rPr>
          <w:rFonts w:ascii="Arial" w:eastAsia="TimesNewRomanPSMT" w:hAnsi="Arial" w:cs="Arial"/>
          <w:sz w:val="24"/>
          <w:szCs w:val="24"/>
        </w:rPr>
        <w:t xml:space="preserve"> profound</w:t>
      </w:r>
      <w:r w:rsidRPr="000E0DB5">
        <w:rPr>
          <w:rFonts w:ascii="Arial" w:eastAsia="TimesNewRomanPSMT" w:hAnsi="Arial" w:cs="Arial"/>
          <w:sz w:val="24"/>
          <w:szCs w:val="24"/>
        </w:rPr>
        <w:t xml:space="preserve"> impact on </w:t>
      </w:r>
      <w:r w:rsidR="00491B39" w:rsidRPr="000E0DB5">
        <w:rPr>
          <w:rFonts w:ascii="Arial" w:eastAsia="TimesNewRomanPSMT" w:hAnsi="Arial" w:cs="Arial"/>
          <w:sz w:val="24"/>
          <w:szCs w:val="24"/>
        </w:rPr>
        <w:t xml:space="preserve">a </w:t>
      </w:r>
      <w:r w:rsidRPr="000E0DB5">
        <w:rPr>
          <w:rFonts w:ascii="Arial" w:eastAsia="TimesNewRomanPSMT" w:hAnsi="Arial" w:cs="Arial"/>
          <w:sz w:val="24"/>
          <w:szCs w:val="24"/>
        </w:rPr>
        <w:t>degrader’s physicochemical properties as well as its conformation.</w:t>
      </w:r>
      <w:r w:rsidR="008C4326" w:rsidRPr="000E0DB5">
        <w:rPr>
          <w:rFonts w:ascii="Arial" w:eastAsia="TimesNewRomanPSMT" w:hAnsi="Arial" w:cs="Arial"/>
          <w:sz w:val="24"/>
          <w:szCs w:val="24"/>
        </w:rPr>
        <w:fldChar w:fldCharType="begin" w:fldLock="1"/>
      </w:r>
      <w:r w:rsidR="005D6924">
        <w:rPr>
          <w:rFonts w:ascii="Arial" w:eastAsia="TimesNewRomanPSMT" w:hAnsi="Arial" w:cs="Arial"/>
          <w:sz w:val="24"/>
          <w:szCs w:val="24"/>
        </w:rPr>
        <w:instrText>ADDIN CSL_CITATION {"citationItems":[{"id":"ITEM-1","itemData":{"DOI":"10.1038/nchembio.2329","ISSN":"15524469","abstract":"Inducing macromolecular interactions with small molecules to activate cellular signaling is a challenging goal. PROTACs (proteolysis-targeting chimeras) are bifunctional molecules that recruit a target protein in proximity to an E3 ubiquitin ligase to trigger protein degradation. Structural elucidation of the key ternary ligase-PROTAC-target species and its impact on target degradation selectivity remain elusive. We solved the crystal structure of Brd4 degrader MZ1 in complex with human VHL and the Brd4 bromodomain (Brd4BD2). The ligand folds into itself to allow formation of specific intermolecular interactions in the ternary complex. Isothermal titration calorimetry studies, supported by surface mutagenesis and proximity assays, are consistent with pronounced cooperative formation of ternary complexes with Brd4BD2. Structure-based-designed compound AT1 exhibits highly selective depletion of Brd4 in cells. Our results elucidate how PROTAC-induced de novo contacts dictate preferential recruitment of a target protein into a stable and cooperative complex with an E3 ligase for selective degradation.","author":[{"dropping-particle":"","family":"Gadd","given":"Morgan S.","non-dropping-particle":"","parse-names":false,"suffix":""},{"dropping-particle":"","family":"Testa","given":"Andrea","non-dropping-particle":"","parse-names":false,"suffix":""},{"dropping-particle":"","family":"Lucas","given":"Xavier","non-dropping-particle":"","parse-names":false,"suffix":""},{"dropping-particle":"","family":"Chan","given":"Kwok Ho","non-dropping-particle":"","parse-names":false,"suffix":""},{"dropping-particle":"","family":"Chen","given":"Wenzhang","non-dropping-particle":"","parse-names":false,"suffix":""},{"dropping-particle":"","family":"Lamont","given":"Douglas J.","non-dropping-particle":"","parse-names":false,"suffix":""},{"dropping-particle":"","family":"Zengerle","given":"Michael","non-dropping-particle":"","parse-names":false,"suffix":""},{"dropping-particle":"","family":"Ciulli","given":"Alessio","non-dropping-particle":"","parse-names":false,"suffix":""}],"container-title":"Nature Chemical Biology","id":"ITEM-1","issue":"5","issued":{"date-parts":[["2017"]]},"page":"514-521","publisher":"Nature Publishing Group","title":"Structural basis of PROTAC cooperative recognition for selective protein degradation","type":"article-journal","volume":"13"},"uris":["http://www.mendeley.com/documents/?uuid=6f49840c-59f9-47c1-a7b7-b7fb1ec05560"]}],"mendeley":{"formattedCitation":"&lt;sup&gt;60&lt;/sup&gt;","plainTextFormattedCitation":"60","previouslyFormattedCitation":"&lt;sup&gt;61&lt;/sup&gt;"},"properties":{"noteIndex":0},"schema":"https://github.com/citation-style-language/schema/raw/master/csl-citation.json"}</w:instrText>
      </w:r>
      <w:r w:rsidR="008C4326" w:rsidRPr="000E0DB5">
        <w:rPr>
          <w:rFonts w:ascii="Arial" w:eastAsia="TimesNewRomanPSMT" w:hAnsi="Arial" w:cs="Arial"/>
          <w:sz w:val="24"/>
          <w:szCs w:val="24"/>
        </w:rPr>
        <w:fldChar w:fldCharType="separate"/>
      </w:r>
      <w:r w:rsidR="005D6924" w:rsidRPr="005D6924">
        <w:rPr>
          <w:rFonts w:ascii="Arial" w:eastAsia="TimesNewRomanPSMT" w:hAnsi="Arial" w:cs="Arial"/>
          <w:noProof/>
          <w:sz w:val="24"/>
          <w:szCs w:val="24"/>
          <w:vertAlign w:val="superscript"/>
        </w:rPr>
        <w:t>60</w:t>
      </w:r>
      <w:r w:rsidR="008C4326"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Taking this into account, </w:t>
      </w:r>
      <w:r w:rsidR="00491B39" w:rsidRPr="000E0DB5">
        <w:rPr>
          <w:rFonts w:ascii="Arial" w:eastAsia="TimesNewRomanPSMT" w:hAnsi="Arial" w:cs="Arial"/>
          <w:sz w:val="24"/>
          <w:szCs w:val="24"/>
        </w:rPr>
        <w:t xml:space="preserve">the </w:t>
      </w:r>
      <w:r w:rsidRPr="000E0DB5">
        <w:rPr>
          <w:rFonts w:ascii="Arial" w:eastAsia="TimesNewRomanPSMT" w:hAnsi="Arial" w:cs="Arial"/>
          <w:sz w:val="24"/>
          <w:szCs w:val="24"/>
        </w:rPr>
        <w:t xml:space="preserve">Carreira and Jian </w:t>
      </w:r>
      <w:r w:rsidR="00491B39" w:rsidRPr="000E0DB5">
        <w:rPr>
          <w:rFonts w:ascii="Arial" w:eastAsia="TimesNewRomanPSMT" w:hAnsi="Arial" w:cs="Arial"/>
          <w:sz w:val="24"/>
          <w:szCs w:val="24"/>
        </w:rPr>
        <w:t xml:space="preserve">labs </w:t>
      </w:r>
      <w:r w:rsidRPr="000E0DB5">
        <w:rPr>
          <w:rFonts w:ascii="Arial" w:eastAsia="TimesNewRomanPSMT" w:hAnsi="Arial" w:cs="Arial"/>
          <w:sz w:val="24"/>
          <w:szCs w:val="24"/>
        </w:rPr>
        <w:t>engineered the azobenzene switch as a central linker positioned between the E3 ligand and the warhead against the target protein (Figure 5B</w:t>
      </w:r>
      <w:r w:rsidR="00973FA3">
        <w:rPr>
          <w:rFonts w:ascii="Arial" w:eastAsia="TimesNewRomanPSMT" w:hAnsi="Arial" w:cs="Arial"/>
          <w:sz w:val="24"/>
          <w:szCs w:val="24"/>
        </w:rPr>
        <w:t xml:space="preserve"> and 5D</w:t>
      </w:r>
      <w:r w:rsidRPr="000E0DB5">
        <w:rPr>
          <w:rFonts w:ascii="Arial" w:eastAsia="TimesNewRomanPSMT" w:hAnsi="Arial" w:cs="Arial"/>
          <w:sz w:val="24"/>
          <w:szCs w:val="24"/>
        </w:rPr>
        <w:t xml:space="preserve">, compounds </w:t>
      </w:r>
      <w:r w:rsidRPr="000E0DB5">
        <w:rPr>
          <w:rFonts w:ascii="Arial" w:eastAsia="TimesNewRomanPSMT" w:hAnsi="Arial" w:cs="Arial"/>
          <w:b/>
          <w:bCs/>
          <w:sz w:val="24"/>
          <w:szCs w:val="24"/>
        </w:rPr>
        <w:t>9</w:t>
      </w:r>
      <w:r w:rsidRPr="000E0DB5">
        <w:rPr>
          <w:rFonts w:ascii="Arial" w:eastAsia="TimesNewRomanPSMT" w:hAnsi="Arial" w:cs="Arial"/>
          <w:sz w:val="24"/>
          <w:szCs w:val="24"/>
        </w:rPr>
        <w:t xml:space="preserve"> and </w:t>
      </w:r>
      <w:r w:rsidRPr="000E0DB5">
        <w:rPr>
          <w:rFonts w:ascii="Arial" w:eastAsia="TimesNewRomanPSMT" w:hAnsi="Arial" w:cs="Arial"/>
          <w:b/>
          <w:bCs/>
          <w:sz w:val="24"/>
          <w:szCs w:val="24"/>
        </w:rPr>
        <w:t>11</w:t>
      </w:r>
      <w:r w:rsidRPr="000E0DB5">
        <w:rPr>
          <w:rFonts w:ascii="Arial" w:eastAsia="TimesNewRomanPSMT" w:hAnsi="Arial" w:cs="Arial"/>
          <w:sz w:val="24"/>
          <w:szCs w:val="24"/>
        </w:rPr>
        <w:t>).</w:t>
      </w:r>
      <w:r w:rsidR="008836D6"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{"citationItems":[{"id":"ITEM-1","itemData":{"DOI":"10.1021/acscentsci.9b00713","ISSN":"2374-7943","abstract":"Off-target effects are persistent issues of modern inhibition-based therapies. By merging the strategies of photopharmacology and small molecule degraders, we introduce a novel concept for persistent spatiotemporal control of induced protein degradation that potentially prevents off-target toxicity. Building on the successful principle of bifunctional all-small molecule Proteolysis Targeting Chimeras (PROTACs), we designed photoswitchable PROTACs (photoPROTACs) by including ortho-F4-azobenzene linkers between both warhead ligands. This highly bistable yet photoswitchable structural component leads to reversible control over the topological distance between both ligands. The azo-cis-isomer is observed to be inactive because the distance defined by the linker is prohibitively short to permit complex formation between the protein binding partners. By contrast, the azo-trans-isomer is active because it can engage both protein partners to form the necessary and productive ternary complex. Importantly, due to the bistable nature of the ortho-F4-azobenzene moiety employed, the photostationary state of the photoPROTAC is persistent, with no need for continuous irradiation. This technique offers reversible on/off switching of protein degradation that is compatible with an intracellular environment and, therefore, could be vastly useful in experimental probing of biological signaling pathways – especially those crucial for oncogenic signal transduction. Additionally, this strategy may be suitable for therapeutic implementation in a wide variety of disease phenotypes. By enabling reversible activation and deactivation of protein degradation, photoPROTACs offer advantages over conventional photocaging strategies that irreversibly release active agents.","author":[{"dropping-particle":"","family":"Pfaff","given":"Patrick","non-dropping-particle":"","parse-names":false,"suffix":""},{"dropping-particle":"","family":"Samarasinghe","given":"Kusal T. G.","non-dropping-particle":"","parse-names":false,"suffix":""},{"dropping-particle":"","family":"Crews","given":"Craig M.","non-dropping-particle":"","parse-names":false,"suffix":""},{"dropping-particle":"","family":"Carreira","given":"Erick M.","non-dropping-particle":"","parse-names":false,"suffix":""}],"container-title":"ACS Central Science","id":"ITEM-1","issued":{"date-parts":[["2019"]]},"title":"Reversible Spatiotemporal Control of Induced Protein Degradation by Bistable PhotoPROTACs","type":"article-journal"},"uris":["http://www.mendeley.com/documents/?uuid=a14f581d-92bb-442f-8dad-99ace1b2bd3e"]},{"id":"ITEM-2","itemData":{"DOI":"10.1021/acs.jmedchem.9b02058","ISSN":"15204804","PMID":"32153174","abstract":"Reversibly altering endogenous protein levels are persistent issues. Herein, we designed photoswitchable azobenzene-proteolysis targeting chimeras (Azo-PROTACs) by including azobenzene moieties between ligands for the E3 ligase and the protein of interest. Azo-PROTACs are light-controlled small-molecule tools for protein knockdown in cells. The light-induced configuration change can switch the active state to induce protein degradation activity, which can be reversely controlled by light exposure in intact cells. We compared the protein degradation abilities of Azo-PROTACs with different configurations and linker lengths. Using the stable form with the best degradation ability against the BCR-ABL fusion and ABL proteins in myelogenous leukemia K562 cells, we showed that Azo-PROTAC combines the potent protein knockdown and facile cell uptake properties of the small-molecule PROTAC with a reversible photoswitchability, offering a promising chemical knockdown strategy based on the light-induced reversible on/off properties.","author":[{"dropping-particle":"","family":"Jin","given":"Yu Hui","non-dropping-particle":"","parse-names":false,"suffix":""},{"dropping-particle":"","family":"Lu","given":"Meng Chen","non-dropping-particle":"","parse-names":false,"suffix":""},{"dropping-particle":"","family":"Wang","given":"Yan","non-dropping-particle":"","parse-names":false,"suffix":""},{"dropping-particle":"","family":"Shan","given":"Wen Xin","non-dropping-particle":"","parse-names":false,"suffix":""},{"dropping-particle":"","family":"Wang","given":"Xuan Yu","non-dropping-particle":"","parse-names":false,"suffix":""},{"dropping-particle":"","family":"You","given":"Qi Dong","non-dropping-particle":"","parse-names":false,"suffix":""},{"dropping-particle":"","family":"Jiang","given":"Zheng Yu","non-dropping-particle":"","parse-names":false,"suffix":""}],"container-title":"Journal of Medicinal Chemistry","id":"ITEM-2","issue":"9","issued":{"date-parts":[["2020"]]},"page":"4644-4654","title":"Azo-protac: Novel light-controlled small-molecule tool for protein knockdown","type":"article-journal","volume":"63"},"uris":["http://www.mendeley.com/documents/?uuid=6f14a23f-7b03-41d9-a739-eeb800f1fbb8"]}],"mendeley":{"formattedCitation":"&lt;sup&gt;35,37&lt;/sup&gt;","plainTextFormattedCitation":"35,37","previouslyFormattedCitation":"&lt;sup&gt;35,37&lt;/sup&gt;"},"properties":{"noteIndex":0},"schema":"https://github.com/citation-style-language/schema/raw/master/csl-citation.json"}</w:instrText>
      </w:r>
      <w:r w:rsidR="008836D6"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35,37</w:t>
      </w:r>
      <w:r w:rsidR="008836D6" w:rsidRPr="000E0DB5">
        <w:rPr>
          <w:rFonts w:ascii="Arial" w:eastAsia="TimesNewRomanPSMT" w:hAnsi="Arial" w:cs="Arial"/>
          <w:sz w:val="24"/>
          <w:szCs w:val="24"/>
        </w:rPr>
        <w:fldChar w:fldCharType="end"/>
      </w:r>
      <w:r w:rsidRPr="000E0DB5">
        <w:rPr>
          <w:rFonts w:ascii="Arial" w:eastAsia="TimesNewRomanPSMT" w:hAnsi="Arial" w:cs="Arial"/>
          <w:b/>
          <w:bCs/>
          <w:sz w:val="24"/>
          <w:szCs w:val="24"/>
        </w:rPr>
        <w:t xml:space="preserve"> </w:t>
      </w:r>
      <w:r w:rsidRPr="000E0DB5">
        <w:rPr>
          <w:rFonts w:ascii="Arial" w:eastAsia="TimesNewRomanPSMT" w:hAnsi="Arial" w:cs="Arial"/>
          <w:sz w:val="24"/>
          <w:szCs w:val="24"/>
        </w:rPr>
        <w:t xml:space="preserve">Moreover, in their search for a bistable PROTAC which does not require continuous irradiation (i.e. thermodynamically stable as a </w:t>
      </w:r>
      <w:r w:rsidR="00527B18" w:rsidRPr="000E0DB5">
        <w:rPr>
          <w:rFonts w:ascii="Arial" w:eastAsia="TimesNewRomanPSMT" w:hAnsi="Arial" w:cs="Arial"/>
          <w:i/>
          <w:iCs/>
          <w:sz w:val="24"/>
          <w:szCs w:val="24"/>
        </w:rPr>
        <w:t>trans</w:t>
      </w:r>
      <w:r w:rsidRPr="000E0DB5">
        <w:rPr>
          <w:rFonts w:ascii="Arial" w:eastAsia="TimesNewRomanPSMT" w:hAnsi="Arial" w:cs="Arial"/>
          <w:sz w:val="24"/>
          <w:szCs w:val="24"/>
        </w:rPr>
        <w:t xml:space="preserve"> isomer with a long </w:t>
      </w:r>
      <w:r w:rsidR="00527B18" w:rsidRPr="000E0DB5">
        <w:rPr>
          <w:rFonts w:ascii="Arial" w:eastAsia="TimesNewRomanPSMT" w:hAnsi="Arial" w:cs="Arial"/>
          <w:i/>
          <w:iCs/>
          <w:sz w:val="24"/>
          <w:szCs w:val="24"/>
        </w:rPr>
        <w:t>cis</w:t>
      </w:r>
      <w:r w:rsidRPr="000E0DB5">
        <w:rPr>
          <w:rFonts w:ascii="Arial" w:eastAsia="TimesNewRomanPSMT" w:hAnsi="Arial" w:cs="Arial"/>
          <w:sz w:val="24"/>
          <w:szCs w:val="24"/>
        </w:rPr>
        <w:t xml:space="preserve"> thermal half-life), </w:t>
      </w:r>
      <w:r w:rsidR="000B7B2D" w:rsidRPr="000E0DB5">
        <w:rPr>
          <w:rFonts w:ascii="Arial" w:eastAsia="TimesNewRomanPSMT" w:hAnsi="Arial" w:cs="Arial"/>
          <w:sz w:val="24"/>
          <w:szCs w:val="24"/>
        </w:rPr>
        <w:t xml:space="preserve">the </w:t>
      </w:r>
      <w:r w:rsidRPr="000E0DB5">
        <w:rPr>
          <w:rFonts w:ascii="Arial" w:eastAsia="TimesNewRomanPSMT" w:hAnsi="Arial" w:cs="Arial"/>
          <w:sz w:val="24"/>
          <w:szCs w:val="24"/>
        </w:rPr>
        <w:t xml:space="preserve">Carreira lab incorporated into compound </w:t>
      </w:r>
      <w:r w:rsidRPr="000E0DB5">
        <w:rPr>
          <w:rFonts w:ascii="Arial" w:eastAsia="TimesNewRomanPSMT" w:hAnsi="Arial" w:cs="Arial"/>
          <w:b/>
          <w:bCs/>
          <w:sz w:val="24"/>
          <w:szCs w:val="24"/>
        </w:rPr>
        <w:t>9</w:t>
      </w:r>
      <w:r w:rsidRPr="000E0DB5">
        <w:rPr>
          <w:rFonts w:ascii="Arial" w:eastAsia="TimesNewRomanPSMT" w:hAnsi="Arial" w:cs="Arial"/>
          <w:sz w:val="24"/>
          <w:szCs w:val="24"/>
        </w:rPr>
        <w:t xml:space="preserve"> an </w:t>
      </w:r>
      <w:bookmarkStart w:id="3" w:name="_Hlk42017764"/>
      <w:r w:rsidRPr="000E0DB5">
        <w:rPr>
          <w:rFonts w:ascii="Arial" w:eastAsia="TimesNewRomanPSMT" w:hAnsi="Arial" w:cs="Arial"/>
          <w:i/>
          <w:iCs/>
          <w:sz w:val="24"/>
          <w:szCs w:val="24"/>
        </w:rPr>
        <w:t>ortho</w:t>
      </w:r>
      <w:r w:rsidRPr="000E0DB5">
        <w:rPr>
          <w:rFonts w:ascii="Arial" w:eastAsia="TimesNewRomanPSMT" w:hAnsi="Arial" w:cs="Arial"/>
          <w:sz w:val="24"/>
          <w:szCs w:val="24"/>
        </w:rPr>
        <w:t>-F</w:t>
      </w:r>
      <w:r w:rsidRPr="000E0DB5">
        <w:rPr>
          <w:rFonts w:ascii="Arial" w:eastAsia="TimesNewRomanPSMT" w:hAnsi="Arial" w:cs="Arial"/>
          <w:sz w:val="24"/>
          <w:szCs w:val="24"/>
          <w:vertAlign w:val="subscript"/>
        </w:rPr>
        <w:t>4</w:t>
      </w:r>
      <w:r w:rsidRPr="000E0DB5">
        <w:rPr>
          <w:rFonts w:ascii="Arial" w:eastAsia="TimesNewRomanPSMT" w:hAnsi="Arial" w:cs="Arial"/>
          <w:sz w:val="24"/>
          <w:szCs w:val="24"/>
        </w:rPr>
        <w:t xml:space="preserve">-azobenzene </w:t>
      </w:r>
      <w:bookmarkEnd w:id="3"/>
      <w:r w:rsidRPr="000E0DB5">
        <w:rPr>
          <w:rFonts w:ascii="Arial" w:eastAsia="TimesNewRomanPSMT" w:hAnsi="Arial" w:cs="Arial"/>
          <w:sz w:val="24"/>
          <w:szCs w:val="24"/>
        </w:rPr>
        <w:t xml:space="preserve">motif reported </w:t>
      </w:r>
      <w:r w:rsidR="000B7B2D" w:rsidRPr="000E0DB5">
        <w:rPr>
          <w:rFonts w:ascii="Arial" w:eastAsia="TimesNewRomanPSMT" w:hAnsi="Arial" w:cs="Arial"/>
          <w:sz w:val="24"/>
          <w:szCs w:val="24"/>
        </w:rPr>
        <w:t xml:space="preserve">to possess </w:t>
      </w:r>
      <w:r w:rsidRPr="000E0DB5">
        <w:rPr>
          <w:rFonts w:ascii="Arial" w:eastAsia="TimesNewRomanPSMT" w:hAnsi="Arial" w:cs="Arial"/>
          <w:sz w:val="24"/>
          <w:szCs w:val="24"/>
        </w:rPr>
        <w:t xml:space="preserve"> </w:t>
      </w:r>
    </w:p>
    <w:tbl>
      <w:tblPr>
        <w:tblpPr w:leftFromText="180" w:rightFromText="180" w:vertAnchor="page" w:horzAnchor="margin" w:tblpY="1441"/>
        <w:tblW w:w="93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20" w:firstRow="1" w:lastRow="0" w:firstColumn="0" w:lastColumn="0" w:noHBand="0" w:noVBand="0"/>
      </w:tblPr>
      <w:tblGrid>
        <w:gridCol w:w="2693"/>
        <w:gridCol w:w="2159"/>
        <w:gridCol w:w="2340"/>
        <w:gridCol w:w="2168"/>
      </w:tblGrid>
      <w:tr w:rsidR="000764B4" w:rsidRPr="00E31804" w14:paraId="1B409215" w14:textId="77777777" w:rsidTr="000764B4">
        <w:trPr>
          <w:trHeight w:val="269"/>
        </w:trPr>
        <w:tc>
          <w:tcPr>
            <w:tcW w:w="2693"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0815C89E" w14:textId="77777777" w:rsidR="000764B4" w:rsidRPr="00E31804" w:rsidRDefault="000764B4" w:rsidP="000764B4">
            <w:pPr>
              <w:pStyle w:val="TCTableBody"/>
              <w:jc w:val="center"/>
              <w:rPr>
                <w:b/>
                <w:bCs/>
              </w:rPr>
            </w:pPr>
            <w:r w:rsidRPr="00E31804">
              <w:rPr>
                <w:b/>
                <w:bCs/>
              </w:rPr>
              <w:t>Characteristics</w:t>
            </w:r>
          </w:p>
        </w:tc>
        <w:tc>
          <w:tcPr>
            <w:tcW w:w="2159"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46BE00C8" w14:textId="77777777" w:rsidR="000764B4" w:rsidRPr="00E31804" w:rsidRDefault="000764B4" w:rsidP="000764B4">
            <w:pPr>
              <w:pStyle w:val="TCTableBody"/>
              <w:jc w:val="center"/>
              <w:rPr>
                <w:b/>
                <w:bCs/>
              </w:rPr>
            </w:pPr>
            <w:r w:rsidRPr="00E31804">
              <w:rPr>
                <w:b/>
                <w:bCs/>
              </w:rPr>
              <w:t>9</w:t>
            </w:r>
          </w:p>
        </w:tc>
        <w:tc>
          <w:tcPr>
            <w:tcW w:w="234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0230D905" w14:textId="77777777" w:rsidR="000764B4" w:rsidRPr="00E31804" w:rsidRDefault="000764B4" w:rsidP="000764B4">
            <w:pPr>
              <w:pStyle w:val="TCTableBody"/>
              <w:jc w:val="center"/>
              <w:rPr>
                <w:b/>
                <w:bCs/>
              </w:rPr>
            </w:pPr>
            <w:r w:rsidRPr="00E31804">
              <w:rPr>
                <w:b/>
                <w:bCs/>
              </w:rPr>
              <w:t>10</w:t>
            </w:r>
          </w:p>
        </w:tc>
        <w:tc>
          <w:tcPr>
            <w:tcW w:w="2168"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2702388F" w14:textId="77777777" w:rsidR="000764B4" w:rsidRPr="00E31804" w:rsidRDefault="000764B4" w:rsidP="000764B4">
            <w:pPr>
              <w:pStyle w:val="TCTableBody"/>
              <w:jc w:val="center"/>
              <w:rPr>
                <w:b/>
                <w:bCs/>
              </w:rPr>
            </w:pPr>
            <w:r w:rsidRPr="00E31804">
              <w:rPr>
                <w:b/>
                <w:bCs/>
              </w:rPr>
              <w:t>11</w:t>
            </w:r>
          </w:p>
        </w:tc>
      </w:tr>
      <w:tr w:rsidR="000764B4" w:rsidRPr="00E31804" w14:paraId="249CAD6B" w14:textId="77777777" w:rsidTr="000764B4">
        <w:trPr>
          <w:trHeight w:val="269"/>
        </w:trPr>
        <w:tc>
          <w:tcPr>
            <w:tcW w:w="2693" w:type="dxa"/>
            <w:tcBorders>
              <w:top w:val="single" w:sz="6" w:space="0" w:color="000000"/>
              <w:left w:val="single" w:sz="6" w:space="0" w:color="000000"/>
              <w:bottom w:val="single" w:sz="6" w:space="0" w:color="000000"/>
              <w:right w:val="single" w:sz="6" w:space="0" w:color="000000"/>
            </w:tcBorders>
            <w:shd w:val="clear" w:color="auto" w:fill="auto"/>
          </w:tcPr>
          <w:p w14:paraId="1730E8BA" w14:textId="77777777" w:rsidR="000764B4" w:rsidRPr="00E31804" w:rsidRDefault="000764B4" w:rsidP="000764B4">
            <w:pPr>
              <w:pStyle w:val="TCTableBody"/>
              <w:jc w:val="center"/>
            </w:pPr>
            <w:r w:rsidRPr="00E31804">
              <w:t>Photoswitch type</w:t>
            </w:r>
          </w:p>
        </w:tc>
        <w:tc>
          <w:tcPr>
            <w:tcW w:w="2159" w:type="dxa"/>
            <w:tcBorders>
              <w:top w:val="single" w:sz="6" w:space="0" w:color="000000"/>
              <w:left w:val="single" w:sz="6" w:space="0" w:color="000000"/>
              <w:bottom w:val="single" w:sz="6" w:space="0" w:color="000000"/>
              <w:right w:val="single" w:sz="6" w:space="0" w:color="000000"/>
            </w:tcBorders>
            <w:shd w:val="clear" w:color="auto" w:fill="auto"/>
          </w:tcPr>
          <w:p w14:paraId="4A5CEAC8" w14:textId="77777777" w:rsidR="000764B4" w:rsidRPr="00E31804" w:rsidRDefault="000764B4" w:rsidP="000764B4">
            <w:pPr>
              <w:pStyle w:val="TCTableBody"/>
              <w:jc w:val="center"/>
            </w:pPr>
            <w:r w:rsidRPr="00E31804">
              <w:t>ortho-F4-azobenzene</w:t>
            </w:r>
          </w:p>
        </w:tc>
        <w:tc>
          <w:tcPr>
            <w:tcW w:w="2340" w:type="dxa"/>
            <w:tcBorders>
              <w:top w:val="single" w:sz="6" w:space="0" w:color="000000"/>
              <w:left w:val="single" w:sz="6" w:space="0" w:color="000000"/>
              <w:bottom w:val="single" w:sz="6" w:space="0" w:color="000000"/>
              <w:right w:val="single" w:sz="6" w:space="0" w:color="000000"/>
            </w:tcBorders>
            <w:shd w:val="clear" w:color="auto" w:fill="auto"/>
          </w:tcPr>
          <w:p w14:paraId="69A7D1DF" w14:textId="77777777" w:rsidR="000764B4" w:rsidRPr="00E31804" w:rsidRDefault="000764B4" w:rsidP="000764B4">
            <w:pPr>
              <w:pStyle w:val="TCTableBody"/>
              <w:jc w:val="center"/>
            </w:pPr>
            <w:r w:rsidRPr="00E31804">
              <w:t>azobenzene</w:t>
            </w:r>
          </w:p>
        </w:tc>
        <w:tc>
          <w:tcPr>
            <w:tcW w:w="2168" w:type="dxa"/>
            <w:tcBorders>
              <w:top w:val="single" w:sz="6" w:space="0" w:color="000000"/>
              <w:left w:val="single" w:sz="6" w:space="0" w:color="000000"/>
              <w:bottom w:val="single" w:sz="6" w:space="0" w:color="000000"/>
              <w:right w:val="single" w:sz="6" w:space="0" w:color="000000"/>
            </w:tcBorders>
            <w:shd w:val="clear" w:color="auto" w:fill="auto"/>
          </w:tcPr>
          <w:p w14:paraId="662B4255" w14:textId="77777777" w:rsidR="000764B4" w:rsidRPr="00E31804" w:rsidRDefault="000764B4" w:rsidP="000764B4">
            <w:pPr>
              <w:pStyle w:val="TCTableBody"/>
              <w:jc w:val="center"/>
            </w:pPr>
            <w:r w:rsidRPr="00E31804">
              <w:t>azobenzene</w:t>
            </w:r>
          </w:p>
        </w:tc>
      </w:tr>
      <w:tr w:rsidR="000764B4" w:rsidRPr="00E31804" w14:paraId="22A32884" w14:textId="77777777" w:rsidTr="000764B4">
        <w:trPr>
          <w:trHeight w:val="269"/>
        </w:trPr>
        <w:tc>
          <w:tcPr>
            <w:tcW w:w="2693"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29B5A2FC" w14:textId="77777777" w:rsidR="000764B4" w:rsidRPr="00E31804" w:rsidRDefault="000764B4" w:rsidP="000764B4">
            <w:pPr>
              <w:pStyle w:val="TCTableBody"/>
              <w:jc w:val="center"/>
            </w:pPr>
            <w:r w:rsidRPr="00E31804">
              <w:t>Activity profile obtained</w:t>
            </w:r>
          </w:p>
        </w:tc>
        <w:tc>
          <w:tcPr>
            <w:tcW w:w="2159"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383A7178" w14:textId="77777777" w:rsidR="000764B4" w:rsidRPr="00E31804" w:rsidRDefault="000764B4" w:rsidP="000764B4">
            <w:pPr>
              <w:pStyle w:val="TCTableBody"/>
              <w:jc w:val="center"/>
            </w:pPr>
            <w:r w:rsidRPr="00E31804">
              <w:t>trans active / cis inactive</w:t>
            </w:r>
          </w:p>
        </w:tc>
        <w:tc>
          <w:tcPr>
            <w:tcW w:w="234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351FCCDB" w14:textId="77777777" w:rsidR="000764B4" w:rsidRPr="00E31804" w:rsidRDefault="000764B4" w:rsidP="000764B4">
            <w:pPr>
              <w:pStyle w:val="TCTableBody"/>
              <w:jc w:val="center"/>
            </w:pPr>
            <w:r w:rsidRPr="00E31804">
              <w:t>cis active / trans inactive</w:t>
            </w:r>
          </w:p>
        </w:tc>
        <w:tc>
          <w:tcPr>
            <w:tcW w:w="2168"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2002B33F" w14:textId="77777777" w:rsidR="000764B4" w:rsidRPr="00E31804" w:rsidRDefault="000764B4" w:rsidP="000764B4">
            <w:pPr>
              <w:pStyle w:val="TCTableBody"/>
              <w:jc w:val="center"/>
            </w:pPr>
            <w:r w:rsidRPr="00E31804">
              <w:t>trans active / cis inactive</w:t>
            </w:r>
          </w:p>
        </w:tc>
      </w:tr>
      <w:tr w:rsidR="000764B4" w:rsidRPr="00E31804" w14:paraId="194B77A9" w14:textId="77777777" w:rsidTr="000764B4">
        <w:trPr>
          <w:trHeight w:val="269"/>
        </w:trPr>
        <w:tc>
          <w:tcPr>
            <w:tcW w:w="2693" w:type="dxa"/>
            <w:tcBorders>
              <w:top w:val="single" w:sz="6" w:space="0" w:color="000000"/>
              <w:left w:val="single" w:sz="6" w:space="0" w:color="000000"/>
              <w:bottom w:val="single" w:sz="6" w:space="0" w:color="000000"/>
              <w:right w:val="single" w:sz="6" w:space="0" w:color="000000"/>
            </w:tcBorders>
            <w:shd w:val="clear" w:color="auto" w:fill="auto"/>
          </w:tcPr>
          <w:p w14:paraId="6856255F" w14:textId="77777777" w:rsidR="000764B4" w:rsidRPr="00E31804" w:rsidRDefault="000764B4" w:rsidP="000764B4">
            <w:pPr>
              <w:pStyle w:val="TCTableBody"/>
              <w:jc w:val="center"/>
            </w:pPr>
            <w:r w:rsidRPr="00E31804">
              <w:t>E3 ligand / E3 recruited</w:t>
            </w:r>
          </w:p>
        </w:tc>
        <w:tc>
          <w:tcPr>
            <w:tcW w:w="2159" w:type="dxa"/>
            <w:tcBorders>
              <w:top w:val="single" w:sz="6" w:space="0" w:color="000000"/>
              <w:left w:val="single" w:sz="6" w:space="0" w:color="000000"/>
              <w:bottom w:val="single" w:sz="6" w:space="0" w:color="000000"/>
              <w:right w:val="single" w:sz="6" w:space="0" w:color="000000"/>
            </w:tcBorders>
            <w:shd w:val="clear" w:color="auto" w:fill="auto"/>
          </w:tcPr>
          <w:p w14:paraId="4BE48A0C" w14:textId="77777777" w:rsidR="000764B4" w:rsidRPr="00E31804" w:rsidRDefault="000764B4" w:rsidP="000764B4">
            <w:pPr>
              <w:pStyle w:val="TCTableBody"/>
              <w:jc w:val="center"/>
            </w:pPr>
            <w:r w:rsidRPr="00E31804">
              <w:t>VH032 / VHL</w:t>
            </w:r>
          </w:p>
        </w:tc>
        <w:tc>
          <w:tcPr>
            <w:tcW w:w="2340" w:type="dxa"/>
            <w:tcBorders>
              <w:top w:val="single" w:sz="6" w:space="0" w:color="000000"/>
              <w:left w:val="single" w:sz="6" w:space="0" w:color="000000"/>
              <w:bottom w:val="single" w:sz="6" w:space="0" w:color="000000"/>
              <w:right w:val="single" w:sz="6" w:space="0" w:color="000000"/>
            </w:tcBorders>
            <w:shd w:val="clear" w:color="auto" w:fill="auto"/>
          </w:tcPr>
          <w:p w14:paraId="1990D4B7" w14:textId="0C7743DB" w:rsidR="000764B4" w:rsidRPr="00E31804" w:rsidRDefault="000764B4" w:rsidP="000764B4">
            <w:pPr>
              <w:pStyle w:val="TCTableBody"/>
              <w:jc w:val="center"/>
            </w:pPr>
            <w:r w:rsidRPr="00E31804">
              <w:t xml:space="preserve">lenalidomide / </w:t>
            </w:r>
            <w:r w:rsidR="00E963CF" w:rsidRPr="00E31804">
              <w:t>Cereblon</w:t>
            </w:r>
          </w:p>
        </w:tc>
        <w:tc>
          <w:tcPr>
            <w:tcW w:w="2168" w:type="dxa"/>
            <w:tcBorders>
              <w:top w:val="single" w:sz="6" w:space="0" w:color="000000"/>
              <w:left w:val="single" w:sz="6" w:space="0" w:color="000000"/>
              <w:bottom w:val="single" w:sz="6" w:space="0" w:color="000000"/>
              <w:right w:val="single" w:sz="6" w:space="0" w:color="000000"/>
            </w:tcBorders>
            <w:shd w:val="clear" w:color="auto" w:fill="auto"/>
          </w:tcPr>
          <w:p w14:paraId="643D289A" w14:textId="0E1166B9" w:rsidR="000764B4" w:rsidRPr="00E31804" w:rsidRDefault="000764B4" w:rsidP="000764B4">
            <w:pPr>
              <w:pStyle w:val="TCTableBody"/>
              <w:jc w:val="center"/>
            </w:pPr>
            <w:r w:rsidRPr="00E31804">
              <w:t xml:space="preserve">lenalidomide / </w:t>
            </w:r>
            <w:r w:rsidR="00E963CF" w:rsidRPr="00E31804">
              <w:t>Cereblon</w:t>
            </w:r>
          </w:p>
        </w:tc>
      </w:tr>
      <w:tr w:rsidR="000764B4" w:rsidRPr="00E31804" w14:paraId="38E1D867" w14:textId="77777777" w:rsidTr="000764B4">
        <w:trPr>
          <w:trHeight w:val="269"/>
        </w:trPr>
        <w:tc>
          <w:tcPr>
            <w:tcW w:w="2693"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7F3A4E74" w14:textId="77777777" w:rsidR="000764B4" w:rsidRPr="00E31804" w:rsidRDefault="000764B4" w:rsidP="000764B4">
            <w:pPr>
              <w:pStyle w:val="TCTableBody"/>
              <w:jc w:val="center"/>
            </w:pPr>
            <w:r w:rsidRPr="00E31804">
              <w:t>Warhead / Protein degraded</w:t>
            </w:r>
          </w:p>
        </w:tc>
        <w:tc>
          <w:tcPr>
            <w:tcW w:w="2159"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7AE0C3F4" w14:textId="77777777" w:rsidR="000764B4" w:rsidRPr="00E31804" w:rsidRDefault="000764B4" w:rsidP="000764B4">
            <w:pPr>
              <w:pStyle w:val="TCTableBody"/>
              <w:jc w:val="center"/>
            </w:pPr>
            <w:r w:rsidRPr="00E31804">
              <w:t>JQ1 / BRD2</w:t>
            </w:r>
          </w:p>
        </w:tc>
        <w:tc>
          <w:tcPr>
            <w:tcW w:w="234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1BCA65BF" w14:textId="77777777" w:rsidR="000764B4" w:rsidRPr="00E31804" w:rsidRDefault="000764B4" w:rsidP="000764B4">
            <w:pPr>
              <w:pStyle w:val="TCTableBody"/>
              <w:jc w:val="center"/>
            </w:pPr>
            <w:r w:rsidRPr="00E31804">
              <w:t>JQ1 / BRD4</w:t>
            </w:r>
          </w:p>
        </w:tc>
        <w:tc>
          <w:tcPr>
            <w:tcW w:w="2168"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3EAE1ED6" w14:textId="77777777" w:rsidR="000764B4" w:rsidRPr="00E31804" w:rsidRDefault="000764B4" w:rsidP="000764B4">
            <w:pPr>
              <w:pStyle w:val="TCTableBody"/>
              <w:jc w:val="center"/>
            </w:pPr>
            <w:r w:rsidRPr="00E31804">
              <w:t>Dasatinib / BCR-ABL</w:t>
            </w:r>
          </w:p>
        </w:tc>
      </w:tr>
      <w:tr w:rsidR="000764B4" w:rsidRPr="00E31804" w14:paraId="60F4306E" w14:textId="77777777" w:rsidTr="000764B4">
        <w:trPr>
          <w:trHeight w:val="269"/>
        </w:trPr>
        <w:tc>
          <w:tcPr>
            <w:tcW w:w="2693" w:type="dxa"/>
            <w:tcBorders>
              <w:top w:val="single" w:sz="6" w:space="0" w:color="000000"/>
              <w:left w:val="single" w:sz="6" w:space="0" w:color="000000"/>
              <w:bottom w:val="single" w:sz="6" w:space="0" w:color="000000"/>
              <w:right w:val="single" w:sz="6" w:space="0" w:color="000000"/>
            </w:tcBorders>
            <w:shd w:val="clear" w:color="auto" w:fill="auto"/>
          </w:tcPr>
          <w:p w14:paraId="4B37A708" w14:textId="77777777" w:rsidR="000764B4" w:rsidRPr="00E31804" w:rsidRDefault="000764B4" w:rsidP="000764B4">
            <w:pPr>
              <w:pStyle w:val="TCTableBody"/>
              <w:jc w:val="center"/>
            </w:pPr>
            <w:r w:rsidRPr="00E31804">
              <w:t>Isoform degradation profile</w:t>
            </w:r>
          </w:p>
        </w:tc>
        <w:tc>
          <w:tcPr>
            <w:tcW w:w="2159" w:type="dxa"/>
            <w:tcBorders>
              <w:top w:val="single" w:sz="6" w:space="0" w:color="000000"/>
              <w:left w:val="single" w:sz="6" w:space="0" w:color="000000"/>
              <w:bottom w:val="single" w:sz="6" w:space="0" w:color="000000"/>
              <w:right w:val="single" w:sz="6" w:space="0" w:color="000000"/>
            </w:tcBorders>
            <w:shd w:val="clear" w:color="auto" w:fill="auto"/>
          </w:tcPr>
          <w:p w14:paraId="310FBFEA" w14:textId="77777777" w:rsidR="000764B4" w:rsidRPr="00E31804" w:rsidRDefault="000764B4" w:rsidP="000764B4">
            <w:pPr>
              <w:pStyle w:val="TCTableBody"/>
              <w:jc w:val="center"/>
            </w:pPr>
            <w:r w:rsidRPr="00E31804">
              <w:t>BRD4 not degraded</w:t>
            </w:r>
          </w:p>
        </w:tc>
        <w:tc>
          <w:tcPr>
            <w:tcW w:w="2340" w:type="dxa"/>
            <w:tcBorders>
              <w:top w:val="single" w:sz="6" w:space="0" w:color="000000"/>
              <w:left w:val="single" w:sz="6" w:space="0" w:color="000000"/>
              <w:bottom w:val="single" w:sz="6" w:space="0" w:color="000000"/>
              <w:right w:val="single" w:sz="6" w:space="0" w:color="000000"/>
            </w:tcBorders>
            <w:shd w:val="clear" w:color="auto" w:fill="auto"/>
          </w:tcPr>
          <w:p w14:paraId="44423DF6" w14:textId="77777777" w:rsidR="000764B4" w:rsidRPr="00E31804" w:rsidRDefault="000764B4" w:rsidP="000764B4">
            <w:pPr>
              <w:pStyle w:val="TCTableBody"/>
              <w:jc w:val="center"/>
            </w:pPr>
            <w:r w:rsidRPr="00E31804">
              <w:t>BRD4, BRD3 &gt; BRD2</w:t>
            </w:r>
          </w:p>
        </w:tc>
        <w:tc>
          <w:tcPr>
            <w:tcW w:w="2168" w:type="dxa"/>
            <w:tcBorders>
              <w:top w:val="single" w:sz="6" w:space="0" w:color="000000"/>
              <w:left w:val="single" w:sz="6" w:space="0" w:color="000000"/>
              <w:bottom w:val="single" w:sz="6" w:space="0" w:color="000000"/>
              <w:right w:val="single" w:sz="6" w:space="0" w:color="000000"/>
            </w:tcBorders>
            <w:shd w:val="clear" w:color="auto" w:fill="auto"/>
          </w:tcPr>
          <w:p w14:paraId="3C4FEAEC" w14:textId="77777777" w:rsidR="000764B4" w:rsidRPr="00E31804" w:rsidRDefault="000764B4" w:rsidP="000764B4">
            <w:pPr>
              <w:pStyle w:val="TCTableBody"/>
              <w:jc w:val="center"/>
            </w:pPr>
            <w:r w:rsidRPr="00E31804">
              <w:t>ABL degrade</w:t>
            </w:r>
            <w:r>
              <w:t>d</w:t>
            </w:r>
          </w:p>
        </w:tc>
      </w:tr>
      <w:tr w:rsidR="000764B4" w:rsidRPr="00E31804" w14:paraId="6DEB5382" w14:textId="77777777" w:rsidTr="000764B4">
        <w:trPr>
          <w:trHeight w:val="269"/>
        </w:trPr>
        <w:tc>
          <w:tcPr>
            <w:tcW w:w="2693"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12F2DDDB" w14:textId="77777777" w:rsidR="000764B4" w:rsidRPr="00E31804" w:rsidRDefault="000764B4" w:rsidP="000764B4">
            <w:pPr>
              <w:pStyle w:val="TCTableBody"/>
              <w:jc w:val="center"/>
            </w:pPr>
            <w:r w:rsidRPr="00E31804">
              <w:t>Main irradiation mode[a]</w:t>
            </w:r>
          </w:p>
        </w:tc>
        <w:tc>
          <w:tcPr>
            <w:tcW w:w="2159"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0A35D1A2" w14:textId="77777777" w:rsidR="000764B4" w:rsidRPr="00E31804" w:rsidRDefault="000764B4" w:rsidP="000764B4">
            <w:pPr>
              <w:pStyle w:val="TCTableBody"/>
              <w:jc w:val="center"/>
            </w:pPr>
            <w:r w:rsidRPr="00E31804">
              <w:t>Single initial irradiation</w:t>
            </w:r>
          </w:p>
        </w:tc>
        <w:tc>
          <w:tcPr>
            <w:tcW w:w="234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4DB7FABC" w14:textId="77777777" w:rsidR="000764B4" w:rsidRPr="00E31804" w:rsidRDefault="000764B4" w:rsidP="000764B4">
            <w:pPr>
              <w:pStyle w:val="TCTableBody"/>
              <w:jc w:val="center"/>
            </w:pPr>
            <w:r w:rsidRPr="00E31804">
              <w:t>Continuous pulse irradiation</w:t>
            </w:r>
          </w:p>
        </w:tc>
        <w:tc>
          <w:tcPr>
            <w:tcW w:w="2168"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261AD1B2" w14:textId="77777777" w:rsidR="000764B4" w:rsidRPr="00E31804" w:rsidRDefault="000764B4" w:rsidP="000764B4">
            <w:pPr>
              <w:pStyle w:val="TCTableBody"/>
              <w:jc w:val="center"/>
            </w:pPr>
            <w:r w:rsidRPr="00E31804">
              <w:t>Single initial irradiation</w:t>
            </w:r>
          </w:p>
        </w:tc>
      </w:tr>
      <w:tr w:rsidR="000764B4" w:rsidRPr="00E31804" w14:paraId="7AD7C078" w14:textId="77777777" w:rsidTr="000764B4">
        <w:trPr>
          <w:trHeight w:val="269"/>
        </w:trPr>
        <w:tc>
          <w:tcPr>
            <w:tcW w:w="2693" w:type="dxa"/>
            <w:tcBorders>
              <w:top w:val="single" w:sz="6" w:space="0" w:color="000000"/>
              <w:left w:val="single" w:sz="6" w:space="0" w:color="000000"/>
              <w:bottom w:val="single" w:sz="6" w:space="0" w:color="000000"/>
              <w:right w:val="single" w:sz="6" w:space="0" w:color="000000"/>
            </w:tcBorders>
            <w:shd w:val="clear" w:color="auto" w:fill="auto"/>
          </w:tcPr>
          <w:p w14:paraId="77EF84C1" w14:textId="77777777" w:rsidR="000764B4" w:rsidRPr="00E31804" w:rsidRDefault="000764B4" w:rsidP="000764B4">
            <w:pPr>
              <w:pStyle w:val="TCTableBody"/>
              <w:jc w:val="center"/>
            </w:pPr>
            <w:r w:rsidRPr="00E31804">
              <w:t>λ  trans to cis / PSS[b]</w:t>
            </w:r>
          </w:p>
        </w:tc>
        <w:tc>
          <w:tcPr>
            <w:tcW w:w="2159" w:type="dxa"/>
            <w:tcBorders>
              <w:top w:val="single" w:sz="6" w:space="0" w:color="000000"/>
              <w:left w:val="single" w:sz="6" w:space="0" w:color="000000"/>
              <w:bottom w:val="single" w:sz="6" w:space="0" w:color="000000"/>
              <w:right w:val="single" w:sz="6" w:space="0" w:color="000000"/>
            </w:tcBorders>
            <w:shd w:val="clear" w:color="auto" w:fill="auto"/>
          </w:tcPr>
          <w:p w14:paraId="3AC4DAEC" w14:textId="77777777" w:rsidR="000764B4" w:rsidRPr="00E31804" w:rsidRDefault="000764B4" w:rsidP="000764B4">
            <w:pPr>
              <w:pStyle w:val="TCTableBody"/>
              <w:jc w:val="center"/>
            </w:pPr>
            <w:r w:rsidRPr="00E31804">
              <w:t>530 nm / 68% cis</w:t>
            </w:r>
          </w:p>
        </w:tc>
        <w:tc>
          <w:tcPr>
            <w:tcW w:w="2340" w:type="dxa"/>
            <w:tcBorders>
              <w:top w:val="single" w:sz="6" w:space="0" w:color="000000"/>
              <w:left w:val="single" w:sz="6" w:space="0" w:color="000000"/>
              <w:bottom w:val="single" w:sz="6" w:space="0" w:color="000000"/>
              <w:right w:val="single" w:sz="6" w:space="0" w:color="000000"/>
            </w:tcBorders>
            <w:shd w:val="clear" w:color="auto" w:fill="auto"/>
          </w:tcPr>
          <w:p w14:paraId="2D0F5E7C" w14:textId="77777777" w:rsidR="000764B4" w:rsidRPr="00E31804" w:rsidRDefault="000764B4" w:rsidP="000764B4">
            <w:pPr>
              <w:pStyle w:val="TCTableBody"/>
              <w:jc w:val="center"/>
            </w:pPr>
            <w:r w:rsidRPr="00E31804">
              <w:t>390 nm / &gt;90% cis</w:t>
            </w:r>
          </w:p>
        </w:tc>
        <w:tc>
          <w:tcPr>
            <w:tcW w:w="2168" w:type="dxa"/>
            <w:tcBorders>
              <w:top w:val="single" w:sz="6" w:space="0" w:color="000000"/>
              <w:left w:val="single" w:sz="6" w:space="0" w:color="000000"/>
              <w:bottom w:val="single" w:sz="6" w:space="0" w:color="000000"/>
              <w:right w:val="single" w:sz="6" w:space="0" w:color="000000"/>
            </w:tcBorders>
            <w:shd w:val="clear" w:color="auto" w:fill="auto"/>
          </w:tcPr>
          <w:p w14:paraId="41A89137" w14:textId="77777777" w:rsidR="000764B4" w:rsidRPr="00E31804" w:rsidRDefault="000764B4" w:rsidP="000764B4">
            <w:pPr>
              <w:pStyle w:val="TCTableBody"/>
              <w:jc w:val="center"/>
            </w:pPr>
            <w:r w:rsidRPr="00E31804">
              <w:t>UVC[c]</w:t>
            </w:r>
          </w:p>
        </w:tc>
      </w:tr>
      <w:tr w:rsidR="000764B4" w:rsidRPr="00E31804" w14:paraId="3D383AD8" w14:textId="77777777" w:rsidTr="000764B4">
        <w:trPr>
          <w:trHeight w:val="269"/>
        </w:trPr>
        <w:tc>
          <w:tcPr>
            <w:tcW w:w="2693"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41FFC576" w14:textId="77777777" w:rsidR="000764B4" w:rsidRPr="00E31804" w:rsidRDefault="000764B4" w:rsidP="000764B4">
            <w:pPr>
              <w:pStyle w:val="TCTableBody"/>
              <w:jc w:val="center"/>
            </w:pPr>
            <w:r w:rsidRPr="00E31804">
              <w:t>λ  cis to trans  / PSS[b]</w:t>
            </w:r>
          </w:p>
        </w:tc>
        <w:tc>
          <w:tcPr>
            <w:tcW w:w="2159"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0C47221A" w14:textId="77777777" w:rsidR="000764B4" w:rsidRPr="00E31804" w:rsidRDefault="000764B4" w:rsidP="000764B4">
            <w:pPr>
              <w:pStyle w:val="TCTableBody"/>
              <w:jc w:val="center"/>
            </w:pPr>
            <w:r w:rsidRPr="00E31804">
              <w:t>415 nm / 95% trans</w:t>
            </w:r>
          </w:p>
        </w:tc>
        <w:tc>
          <w:tcPr>
            <w:tcW w:w="234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1FF3F7F2" w14:textId="77777777" w:rsidR="000764B4" w:rsidRPr="00E31804" w:rsidRDefault="000764B4" w:rsidP="000764B4">
            <w:pPr>
              <w:pStyle w:val="TCTableBody"/>
              <w:jc w:val="center"/>
            </w:pPr>
            <w:r w:rsidRPr="00E31804">
              <w:t>&gt;450 nm / &gt;70% trans</w:t>
            </w:r>
          </w:p>
        </w:tc>
        <w:tc>
          <w:tcPr>
            <w:tcW w:w="2168"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6D7BB0BD" w14:textId="77777777" w:rsidR="000764B4" w:rsidRPr="00E31804" w:rsidRDefault="000764B4" w:rsidP="000764B4">
            <w:pPr>
              <w:pStyle w:val="TCTableBody"/>
              <w:jc w:val="center"/>
            </w:pPr>
            <w:r w:rsidRPr="00E31804">
              <w:t>White light[c]</w:t>
            </w:r>
          </w:p>
        </w:tc>
      </w:tr>
      <w:tr w:rsidR="000764B4" w:rsidRPr="00E31804" w14:paraId="43C9CF60" w14:textId="77777777" w:rsidTr="000764B4">
        <w:trPr>
          <w:trHeight w:val="269"/>
        </w:trPr>
        <w:tc>
          <w:tcPr>
            <w:tcW w:w="2693" w:type="dxa"/>
            <w:tcBorders>
              <w:top w:val="single" w:sz="6" w:space="0" w:color="000000"/>
              <w:left w:val="single" w:sz="6" w:space="0" w:color="000000"/>
              <w:bottom w:val="single" w:sz="6" w:space="0" w:color="000000"/>
              <w:right w:val="single" w:sz="6" w:space="0" w:color="000000"/>
            </w:tcBorders>
            <w:shd w:val="clear" w:color="auto" w:fill="auto"/>
          </w:tcPr>
          <w:p w14:paraId="313657CC" w14:textId="77777777" w:rsidR="000764B4" w:rsidRDefault="000764B4" w:rsidP="000764B4">
            <w:pPr>
              <w:pStyle w:val="TCTableBody"/>
              <w:jc w:val="center"/>
            </w:pPr>
            <w:r w:rsidRPr="00E31804">
              <w:t>cis half-life</w:t>
            </w:r>
          </w:p>
          <w:p w14:paraId="0CD2F319" w14:textId="77777777" w:rsidR="000764B4" w:rsidRPr="00E31804" w:rsidRDefault="000764B4" w:rsidP="000764B4">
            <w:pPr>
              <w:pStyle w:val="TCTableBody"/>
              <w:jc w:val="center"/>
            </w:pPr>
            <w:r w:rsidRPr="00E31804">
              <w:t>thermal relaxation[d]</w:t>
            </w:r>
          </w:p>
        </w:tc>
        <w:tc>
          <w:tcPr>
            <w:tcW w:w="2159" w:type="dxa"/>
            <w:tcBorders>
              <w:top w:val="single" w:sz="6" w:space="0" w:color="000000"/>
              <w:left w:val="single" w:sz="6" w:space="0" w:color="000000"/>
              <w:bottom w:val="single" w:sz="6" w:space="0" w:color="000000"/>
              <w:right w:val="single" w:sz="6" w:space="0" w:color="000000"/>
            </w:tcBorders>
            <w:shd w:val="clear" w:color="auto" w:fill="auto"/>
          </w:tcPr>
          <w:p w14:paraId="13C4AC39" w14:textId="77777777" w:rsidR="000764B4" w:rsidRPr="00E31804" w:rsidRDefault="000764B4" w:rsidP="000764B4">
            <w:pPr>
              <w:pStyle w:val="TCTableBody"/>
              <w:jc w:val="center"/>
            </w:pPr>
            <w:r w:rsidRPr="00E31804">
              <w:t>several days (37˚C, DMSO)</w:t>
            </w:r>
          </w:p>
        </w:tc>
        <w:tc>
          <w:tcPr>
            <w:tcW w:w="2340" w:type="dxa"/>
            <w:tcBorders>
              <w:top w:val="single" w:sz="6" w:space="0" w:color="000000"/>
              <w:left w:val="single" w:sz="6" w:space="0" w:color="000000"/>
              <w:bottom w:val="single" w:sz="6" w:space="0" w:color="000000"/>
              <w:right w:val="single" w:sz="6" w:space="0" w:color="000000"/>
            </w:tcBorders>
            <w:shd w:val="clear" w:color="auto" w:fill="auto"/>
          </w:tcPr>
          <w:p w14:paraId="7B0FCBA3" w14:textId="77777777" w:rsidR="000764B4" w:rsidRPr="00E31804" w:rsidRDefault="000764B4" w:rsidP="000764B4">
            <w:pPr>
              <w:pStyle w:val="TCTableBody"/>
              <w:jc w:val="center"/>
            </w:pPr>
            <w:r w:rsidRPr="00E31804">
              <w:t>8.8 h (37˚C, DMSO)</w:t>
            </w:r>
          </w:p>
        </w:tc>
        <w:tc>
          <w:tcPr>
            <w:tcW w:w="2168" w:type="dxa"/>
            <w:tcBorders>
              <w:top w:val="single" w:sz="6" w:space="0" w:color="000000"/>
              <w:left w:val="single" w:sz="6" w:space="0" w:color="000000"/>
              <w:bottom w:val="single" w:sz="6" w:space="0" w:color="000000"/>
              <w:right w:val="single" w:sz="6" w:space="0" w:color="000000"/>
            </w:tcBorders>
            <w:shd w:val="clear" w:color="auto" w:fill="auto"/>
          </w:tcPr>
          <w:p w14:paraId="2804309D" w14:textId="77777777" w:rsidR="000764B4" w:rsidRPr="00E31804" w:rsidRDefault="000764B4" w:rsidP="000764B4">
            <w:pPr>
              <w:pStyle w:val="TCTableBody"/>
              <w:jc w:val="center"/>
            </w:pPr>
            <w:r w:rsidRPr="00E31804">
              <w:t>10.3 h (25˚C)</w:t>
            </w:r>
          </w:p>
        </w:tc>
      </w:tr>
      <w:tr w:rsidR="000764B4" w:rsidRPr="00E31804" w14:paraId="04D99A41" w14:textId="77777777" w:rsidTr="000764B4">
        <w:trPr>
          <w:trHeight w:val="269"/>
        </w:trPr>
        <w:tc>
          <w:tcPr>
            <w:tcW w:w="2693"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302575A2" w14:textId="77777777" w:rsidR="000764B4" w:rsidRPr="00E31804" w:rsidRDefault="000764B4" w:rsidP="000764B4">
            <w:pPr>
              <w:pStyle w:val="TCTableBody"/>
              <w:jc w:val="center"/>
            </w:pPr>
            <w:r w:rsidRPr="00E31804">
              <w:t>photoswitch resistance</w:t>
            </w:r>
          </w:p>
        </w:tc>
        <w:tc>
          <w:tcPr>
            <w:tcW w:w="2159"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281EA6F0" w14:textId="77777777" w:rsidR="000764B4" w:rsidRPr="00E31804" w:rsidRDefault="000764B4" w:rsidP="000764B4">
            <w:pPr>
              <w:pStyle w:val="TCTableBody"/>
              <w:jc w:val="center"/>
            </w:pPr>
            <w:r w:rsidRPr="00E31804">
              <w:t>---</w:t>
            </w:r>
          </w:p>
        </w:tc>
        <w:tc>
          <w:tcPr>
            <w:tcW w:w="234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3AF70BEC" w14:textId="77777777" w:rsidR="000764B4" w:rsidRPr="00E31804" w:rsidRDefault="000764B4" w:rsidP="000764B4">
            <w:pPr>
              <w:pStyle w:val="TCTableBody"/>
              <w:jc w:val="center"/>
            </w:pPr>
            <w:r w:rsidRPr="00E31804">
              <w:t>multiple cycles tested</w:t>
            </w:r>
          </w:p>
        </w:tc>
        <w:tc>
          <w:tcPr>
            <w:tcW w:w="2168"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32912232" w14:textId="77777777" w:rsidR="000764B4" w:rsidRPr="00E31804" w:rsidRDefault="000764B4" w:rsidP="000764B4">
            <w:pPr>
              <w:pStyle w:val="TCTableBody"/>
              <w:jc w:val="center"/>
            </w:pPr>
            <w:r w:rsidRPr="00E31804">
              <w:t>5 cycles tested</w:t>
            </w:r>
          </w:p>
        </w:tc>
      </w:tr>
      <w:tr w:rsidR="000764B4" w:rsidRPr="00E31804" w14:paraId="50ABA297" w14:textId="77777777" w:rsidTr="000764B4">
        <w:trPr>
          <w:trHeight w:val="269"/>
        </w:trPr>
        <w:tc>
          <w:tcPr>
            <w:tcW w:w="2693" w:type="dxa"/>
            <w:tcBorders>
              <w:top w:val="single" w:sz="6" w:space="0" w:color="000000"/>
              <w:left w:val="single" w:sz="6" w:space="0" w:color="000000"/>
              <w:bottom w:val="single" w:sz="6" w:space="0" w:color="000000"/>
              <w:right w:val="single" w:sz="6" w:space="0" w:color="000000"/>
            </w:tcBorders>
            <w:shd w:val="clear" w:color="auto" w:fill="auto"/>
          </w:tcPr>
          <w:p w14:paraId="2AFF6B08" w14:textId="77777777" w:rsidR="000764B4" w:rsidRPr="00E31804" w:rsidRDefault="000764B4" w:rsidP="000764B4">
            <w:pPr>
              <w:pStyle w:val="TCTableBody"/>
              <w:jc w:val="center"/>
            </w:pPr>
            <w:bookmarkStart w:id="4" w:name="_Hlk54565421"/>
            <w:r w:rsidRPr="00E31804">
              <w:t xml:space="preserve">In-cell </w:t>
            </w:r>
            <w:r>
              <w:t>activation and deactivation of</w:t>
            </w:r>
            <w:r w:rsidRPr="00E31804">
              <w:t xml:space="preserve"> degradation</w:t>
            </w:r>
            <w:bookmarkEnd w:id="4"/>
          </w:p>
        </w:tc>
        <w:tc>
          <w:tcPr>
            <w:tcW w:w="2159" w:type="dxa"/>
            <w:tcBorders>
              <w:top w:val="single" w:sz="6" w:space="0" w:color="000000"/>
              <w:left w:val="single" w:sz="6" w:space="0" w:color="000000"/>
              <w:bottom w:val="single" w:sz="6" w:space="0" w:color="000000"/>
              <w:right w:val="single" w:sz="6" w:space="0" w:color="000000"/>
            </w:tcBorders>
            <w:shd w:val="clear" w:color="auto" w:fill="auto"/>
          </w:tcPr>
          <w:p w14:paraId="23B9ED52" w14:textId="77777777" w:rsidR="000764B4" w:rsidRPr="00E31804" w:rsidRDefault="000764B4" w:rsidP="000764B4">
            <w:pPr>
              <w:pStyle w:val="TCTableBody"/>
              <w:jc w:val="center"/>
            </w:pPr>
            <w:r w:rsidRPr="00E31804">
              <w:t>achieved</w:t>
            </w:r>
          </w:p>
        </w:tc>
        <w:tc>
          <w:tcPr>
            <w:tcW w:w="2340" w:type="dxa"/>
            <w:tcBorders>
              <w:top w:val="single" w:sz="6" w:space="0" w:color="000000"/>
              <w:left w:val="single" w:sz="6" w:space="0" w:color="000000"/>
              <w:bottom w:val="single" w:sz="6" w:space="0" w:color="000000"/>
              <w:right w:val="single" w:sz="6" w:space="0" w:color="000000"/>
            </w:tcBorders>
            <w:shd w:val="clear" w:color="auto" w:fill="auto"/>
          </w:tcPr>
          <w:p w14:paraId="2ED22D58" w14:textId="77777777" w:rsidR="000764B4" w:rsidRPr="00E31804" w:rsidRDefault="000764B4" w:rsidP="000764B4">
            <w:pPr>
              <w:pStyle w:val="TCTableBody"/>
              <w:jc w:val="center"/>
            </w:pPr>
            <w:r w:rsidRPr="00E31804">
              <w:t>achieved</w:t>
            </w:r>
          </w:p>
        </w:tc>
        <w:tc>
          <w:tcPr>
            <w:tcW w:w="2168" w:type="dxa"/>
            <w:tcBorders>
              <w:top w:val="single" w:sz="6" w:space="0" w:color="000000"/>
              <w:left w:val="single" w:sz="6" w:space="0" w:color="000000"/>
              <w:bottom w:val="single" w:sz="6" w:space="0" w:color="000000"/>
              <w:right w:val="single" w:sz="6" w:space="0" w:color="000000"/>
            </w:tcBorders>
            <w:shd w:val="clear" w:color="auto" w:fill="auto"/>
          </w:tcPr>
          <w:p w14:paraId="5022588B" w14:textId="77777777" w:rsidR="000764B4" w:rsidRPr="00E31804" w:rsidRDefault="000764B4" w:rsidP="000764B4">
            <w:pPr>
              <w:pStyle w:val="TCTableBody"/>
              <w:jc w:val="center"/>
            </w:pPr>
            <w:r w:rsidRPr="00E31804">
              <w:t>achieved</w:t>
            </w:r>
          </w:p>
        </w:tc>
      </w:tr>
      <w:tr w:rsidR="000764B4" w:rsidRPr="00E31804" w14:paraId="5AE70960" w14:textId="77777777" w:rsidTr="000764B4">
        <w:trPr>
          <w:trHeight w:val="269"/>
        </w:trPr>
        <w:tc>
          <w:tcPr>
            <w:tcW w:w="2693"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63894961" w14:textId="77777777" w:rsidR="000764B4" w:rsidRPr="00E31804" w:rsidRDefault="000764B4" w:rsidP="000764B4">
            <w:pPr>
              <w:pStyle w:val="TCTableBody"/>
              <w:jc w:val="center"/>
            </w:pPr>
            <w:r w:rsidRPr="00E31804">
              <w:t>Stability towards GSH reduction</w:t>
            </w:r>
          </w:p>
        </w:tc>
        <w:tc>
          <w:tcPr>
            <w:tcW w:w="2159"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24D0F5DE" w14:textId="77777777" w:rsidR="000764B4" w:rsidRPr="00E31804" w:rsidRDefault="000764B4" w:rsidP="000764B4">
            <w:pPr>
              <w:pStyle w:val="TCTableBody"/>
              <w:jc w:val="center"/>
            </w:pPr>
            <w:r w:rsidRPr="00E31804">
              <w:t>stable</w:t>
            </w:r>
          </w:p>
        </w:tc>
        <w:tc>
          <w:tcPr>
            <w:tcW w:w="234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7F750123" w14:textId="77777777" w:rsidR="000764B4" w:rsidRPr="00E31804" w:rsidRDefault="000764B4" w:rsidP="000764B4">
            <w:pPr>
              <w:pStyle w:val="TCTableBody"/>
              <w:jc w:val="center"/>
            </w:pPr>
            <w:r w:rsidRPr="00E31804">
              <w:t>---</w:t>
            </w:r>
          </w:p>
        </w:tc>
        <w:tc>
          <w:tcPr>
            <w:tcW w:w="2168"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46B9A475" w14:textId="77777777" w:rsidR="000764B4" w:rsidRPr="00E31804" w:rsidRDefault="000764B4" w:rsidP="000764B4">
            <w:pPr>
              <w:pStyle w:val="TCTableBody"/>
              <w:jc w:val="center"/>
            </w:pPr>
            <w:r w:rsidRPr="00E31804">
              <w:t>stable</w:t>
            </w:r>
          </w:p>
        </w:tc>
      </w:tr>
    </w:tbl>
    <w:p w14:paraId="0E996424" w14:textId="77777777" w:rsidR="000764B4" w:rsidRDefault="000764B4" w:rsidP="00DF5D79">
      <w:pPr>
        <w:tabs>
          <w:tab w:val="left" w:pos="2480"/>
        </w:tabs>
        <w:spacing w:after="0" w:line="480" w:lineRule="auto"/>
        <w:jc w:val="both"/>
        <w:rPr>
          <w:rFonts w:ascii="Arial" w:eastAsia="TimesNewRomanPSMT" w:hAnsi="Arial" w:cs="Arial"/>
          <w:sz w:val="24"/>
          <w:szCs w:val="24"/>
        </w:rPr>
      </w:pPr>
    </w:p>
    <w:p w14:paraId="4C66FD7E" w14:textId="77777777" w:rsidR="000764B4" w:rsidRDefault="000764B4" w:rsidP="000764B4">
      <w:pPr>
        <w:tabs>
          <w:tab w:val="left" w:pos="2480"/>
        </w:tabs>
        <w:spacing w:after="0" w:line="480" w:lineRule="auto"/>
        <w:jc w:val="both"/>
        <w:rPr>
          <w:rFonts w:ascii="Arial" w:eastAsia="TimesNewRomanPSMT" w:hAnsi="Arial" w:cs="Arial"/>
          <w:sz w:val="24"/>
          <w:szCs w:val="24"/>
        </w:rPr>
      </w:pPr>
      <w:r w:rsidRPr="00B42DF1">
        <w:rPr>
          <w:rFonts w:ascii="Arial" w:eastAsia="TimesNewRomanPSMT" w:hAnsi="Arial" w:cs="Arial"/>
          <w:b/>
          <w:sz w:val="24"/>
          <w:szCs w:val="24"/>
        </w:rPr>
        <w:t>Table 1</w:t>
      </w:r>
      <w:r w:rsidRPr="00B42DF1">
        <w:rPr>
          <w:rFonts w:ascii="Arial" w:eastAsia="TimesNewRomanPSMT" w:hAnsi="Arial" w:cs="Arial"/>
          <w:sz w:val="24"/>
          <w:szCs w:val="24"/>
        </w:rPr>
        <w:t>. Diverse characteristics and degradation profiles (</w:t>
      </w:r>
      <w:r w:rsidRPr="00B42DF1">
        <w:rPr>
          <w:rFonts w:ascii="Arial" w:eastAsia="TimesNewRomanPSMT" w:hAnsi="Arial" w:cs="Arial"/>
          <w:i/>
          <w:iCs/>
          <w:sz w:val="24"/>
          <w:szCs w:val="24"/>
        </w:rPr>
        <w:t>cis</w:t>
      </w:r>
      <w:r w:rsidRPr="00B42DF1">
        <w:rPr>
          <w:rFonts w:ascii="Arial" w:eastAsia="TimesNewRomanPSMT" w:hAnsi="Arial" w:cs="Arial"/>
          <w:sz w:val="24"/>
          <w:szCs w:val="24"/>
        </w:rPr>
        <w:t xml:space="preserve"> vs </w:t>
      </w:r>
      <w:r w:rsidRPr="00B42DF1">
        <w:rPr>
          <w:rFonts w:ascii="Arial" w:eastAsia="TimesNewRomanPSMT" w:hAnsi="Arial" w:cs="Arial"/>
          <w:i/>
          <w:iCs/>
          <w:sz w:val="24"/>
          <w:szCs w:val="24"/>
        </w:rPr>
        <w:t>trans</w:t>
      </w:r>
      <w:r w:rsidRPr="00B42DF1">
        <w:rPr>
          <w:rFonts w:ascii="Arial" w:eastAsia="TimesNewRomanPSMT" w:hAnsi="Arial" w:cs="Arial"/>
          <w:sz w:val="24"/>
          <w:szCs w:val="24"/>
        </w:rPr>
        <w:t xml:space="preserve">) of photoswitchable degraders </w:t>
      </w:r>
      <w:r w:rsidRPr="00B42DF1">
        <w:rPr>
          <w:rFonts w:ascii="Arial" w:eastAsia="TimesNewRomanPSMT" w:hAnsi="Arial" w:cs="Arial"/>
          <w:b/>
          <w:sz w:val="24"/>
          <w:szCs w:val="24"/>
        </w:rPr>
        <w:t>9</w:t>
      </w:r>
      <w:r w:rsidRPr="00B42DF1">
        <w:rPr>
          <w:rFonts w:ascii="Arial" w:eastAsia="TimesNewRomanPSMT" w:hAnsi="Arial" w:cs="Arial"/>
          <w:sz w:val="24"/>
          <w:szCs w:val="24"/>
        </w:rPr>
        <w:t xml:space="preserve">, </w:t>
      </w:r>
      <w:r w:rsidRPr="00B42DF1">
        <w:rPr>
          <w:rFonts w:ascii="Arial" w:eastAsia="TimesNewRomanPSMT" w:hAnsi="Arial" w:cs="Arial"/>
          <w:b/>
          <w:sz w:val="24"/>
          <w:szCs w:val="24"/>
        </w:rPr>
        <w:t>10</w:t>
      </w:r>
      <w:r w:rsidRPr="00B42DF1">
        <w:rPr>
          <w:rFonts w:ascii="Arial" w:eastAsia="TimesNewRomanPSMT" w:hAnsi="Arial" w:cs="Arial"/>
          <w:sz w:val="24"/>
          <w:szCs w:val="24"/>
        </w:rPr>
        <w:t xml:space="preserve"> and </w:t>
      </w:r>
      <w:r w:rsidRPr="00B42DF1">
        <w:rPr>
          <w:rFonts w:ascii="Arial" w:eastAsia="TimesNewRomanPSMT" w:hAnsi="Arial" w:cs="Arial"/>
          <w:b/>
          <w:sz w:val="24"/>
          <w:szCs w:val="24"/>
        </w:rPr>
        <w:t>11</w:t>
      </w:r>
      <w:r w:rsidRPr="00B42DF1">
        <w:rPr>
          <w:rFonts w:ascii="Arial" w:eastAsia="TimesNewRomanPSMT" w:hAnsi="Arial" w:cs="Arial"/>
          <w:sz w:val="24"/>
          <w:szCs w:val="24"/>
        </w:rPr>
        <w:t xml:space="preserve">. The type of photoswitch, E3 ligase ligand and warhead used can all affect degradation. [a] Varied light sources used in these studies; refer to original publications for details. [b] PSS = photostationary state, reported as percentage of </w:t>
      </w:r>
      <w:r w:rsidRPr="00B42DF1">
        <w:rPr>
          <w:rFonts w:ascii="Arial" w:eastAsia="TimesNewRomanPSMT" w:hAnsi="Arial" w:cs="Arial"/>
          <w:i/>
          <w:iCs/>
          <w:sz w:val="24"/>
          <w:szCs w:val="24"/>
        </w:rPr>
        <w:t>cis</w:t>
      </w:r>
      <w:r w:rsidRPr="00B42DF1">
        <w:rPr>
          <w:rFonts w:ascii="Arial" w:eastAsia="TimesNewRomanPSMT" w:hAnsi="Arial" w:cs="Arial"/>
          <w:sz w:val="24"/>
          <w:szCs w:val="24"/>
        </w:rPr>
        <w:t xml:space="preserve"> at equilibrium after irradiation at λ. [c] wavelength not specified, no PSS data. [d] measured in the dark.</w:t>
      </w:r>
    </w:p>
    <w:p w14:paraId="79EFDD70" w14:textId="77777777" w:rsidR="000764B4" w:rsidRDefault="000764B4" w:rsidP="00DF5D79">
      <w:pPr>
        <w:tabs>
          <w:tab w:val="left" w:pos="2480"/>
        </w:tabs>
        <w:spacing w:after="0" w:line="480" w:lineRule="auto"/>
        <w:jc w:val="both"/>
        <w:rPr>
          <w:rFonts w:ascii="Arial" w:eastAsia="TimesNewRomanPSMT" w:hAnsi="Arial" w:cs="Arial"/>
          <w:sz w:val="24"/>
          <w:szCs w:val="24"/>
        </w:rPr>
      </w:pPr>
    </w:p>
    <w:p w14:paraId="3369EC3A" w14:textId="0DBCF03E" w:rsidR="00DF5D79" w:rsidRDefault="00375189" w:rsidP="00DF5D79">
      <w:pPr>
        <w:tabs>
          <w:tab w:val="left" w:pos="2480"/>
        </w:tabs>
        <w:spacing w:after="0" w:line="480" w:lineRule="auto"/>
        <w:jc w:val="both"/>
        <w:rPr>
          <w:rFonts w:ascii="Arial" w:eastAsia="TimesNewRomanPSMT" w:hAnsi="Arial" w:cs="Arial"/>
          <w:sz w:val="24"/>
          <w:szCs w:val="24"/>
        </w:rPr>
      </w:pPr>
      <w:r w:rsidRPr="000E0DB5">
        <w:rPr>
          <w:rFonts w:ascii="Arial" w:eastAsia="TimesNewRomanPSMT" w:hAnsi="Arial" w:cs="Arial"/>
          <w:sz w:val="24"/>
          <w:szCs w:val="24"/>
        </w:rPr>
        <w:t>prolonged half-</w:t>
      </w:r>
      <w:r w:rsidR="000B7B2D" w:rsidRPr="000E0DB5">
        <w:rPr>
          <w:rFonts w:ascii="Arial" w:eastAsia="TimesNewRomanPSMT" w:hAnsi="Arial" w:cs="Arial"/>
          <w:sz w:val="24"/>
          <w:szCs w:val="24"/>
        </w:rPr>
        <w:t>life</w:t>
      </w:r>
      <w:r w:rsidRPr="000E0DB5">
        <w:rPr>
          <w:rFonts w:ascii="Arial" w:eastAsia="TimesNewRomanPSMT" w:hAnsi="Arial" w:cs="Arial"/>
          <w:sz w:val="24"/>
          <w:szCs w:val="24"/>
        </w:rPr>
        <w:t>.</w:t>
      </w:r>
      <w:r w:rsidR="008836D6" w:rsidRPr="000E0DB5">
        <w:rPr>
          <w:rFonts w:ascii="Arial" w:eastAsia="TimesNewRomanPSMT" w:hAnsi="Arial" w:cs="Arial"/>
          <w:sz w:val="24"/>
          <w:szCs w:val="24"/>
        </w:rPr>
        <w:fldChar w:fldCharType="begin" w:fldLock="1"/>
      </w:r>
      <w:r w:rsidR="005D6924">
        <w:rPr>
          <w:rFonts w:ascii="Arial" w:eastAsia="TimesNewRomanPSMT" w:hAnsi="Arial" w:cs="Arial"/>
          <w:sz w:val="24"/>
          <w:szCs w:val="24"/>
        </w:rPr>
        <w:instrText>ADDIN CSL_CITATION {"citationItems":[{"id":"ITEM-1","itemData":{"DOI":"10.1021/ja310323y","ISSN":"00027863","abstract":"Azobenzene functionalized with ortho-fluorine atoms has a lower energy of the n-orbital of the Z-isomer, resulting in a separation of t</w:instrText>
      </w:r>
      <w:r w:rsidR="005D6924">
        <w:rPr>
          <w:rFonts w:ascii="Arial" w:eastAsia="TimesNewRomanPSMT" w:hAnsi="Arial" w:cs="Arial" w:hint="eastAsia"/>
          <w:sz w:val="24"/>
          <w:szCs w:val="24"/>
        </w:rPr>
        <w:instrText>he E and Z isomers' n</w:instrText>
      </w:r>
      <w:r w:rsidR="005D6924">
        <w:rPr>
          <w:rFonts w:ascii="Arial" w:eastAsia="TimesNewRomanPSMT" w:hAnsi="Arial" w:cs="Arial" w:hint="eastAsia"/>
          <w:sz w:val="24"/>
          <w:szCs w:val="24"/>
        </w:rPr>
        <w:instrText>→π</w:instrText>
      </w:r>
      <w:r w:rsidR="005D6924">
        <w:rPr>
          <w:rFonts w:ascii="Arial" w:eastAsia="TimesNewRomanPSMT" w:hAnsi="Arial" w:cs="Arial" w:hint="eastAsia"/>
          <w:sz w:val="24"/>
          <w:szCs w:val="24"/>
        </w:rPr>
        <w:instrText>* absorption bands. Introducing para-substituents allows for further tuning of the absorption spectra of o-fluoroazobenzenes. In particular, electron-withdrawing ester groups give rise to a 50 nm separation of the n</w:instrText>
      </w:r>
      <w:r w:rsidR="005D6924">
        <w:rPr>
          <w:rFonts w:ascii="Arial" w:eastAsia="TimesNewRomanPSMT" w:hAnsi="Arial" w:cs="Arial" w:hint="eastAsia"/>
          <w:sz w:val="24"/>
          <w:szCs w:val="24"/>
        </w:rPr>
        <w:instrText>→π</w:instrText>
      </w:r>
      <w:r w:rsidR="005D6924">
        <w:rPr>
          <w:rFonts w:ascii="Arial" w:eastAsia="TimesNewRomanPSMT" w:hAnsi="Arial" w:cs="Arial" w:hint="eastAsia"/>
          <w:sz w:val="24"/>
          <w:szCs w:val="24"/>
        </w:rPr>
        <w:instrText>* transitions. Green and blue light can therefore be used to induce E</w:instrText>
      </w:r>
      <w:r w:rsidR="005D6924">
        <w:rPr>
          <w:rFonts w:ascii="Arial" w:eastAsia="TimesNewRomanPSMT" w:hAnsi="Arial" w:cs="Arial" w:hint="eastAsia"/>
          <w:sz w:val="24"/>
          <w:szCs w:val="24"/>
        </w:rPr>
        <w:instrText>→</w:instrText>
      </w:r>
      <w:r w:rsidR="005D6924">
        <w:rPr>
          <w:rFonts w:ascii="Arial" w:eastAsia="TimesNewRomanPSMT" w:hAnsi="Arial" w:cs="Arial" w:hint="eastAsia"/>
          <w:sz w:val="24"/>
          <w:szCs w:val="24"/>
        </w:rPr>
        <w:instrText>Z and Z</w:instrText>
      </w:r>
      <w:r w:rsidR="005D6924">
        <w:rPr>
          <w:rFonts w:ascii="Arial" w:eastAsia="TimesNewRomanPSMT" w:hAnsi="Arial" w:cs="Arial" w:hint="eastAsia"/>
          <w:sz w:val="24"/>
          <w:szCs w:val="24"/>
        </w:rPr>
        <w:instrText>→</w:instrText>
      </w:r>
      <w:r w:rsidR="005D6924">
        <w:rPr>
          <w:rFonts w:ascii="Arial" w:eastAsia="TimesNewRomanPSMT" w:hAnsi="Arial" w:cs="Arial" w:hint="eastAsia"/>
          <w:sz w:val="24"/>
          <w:szCs w:val="24"/>
        </w:rPr>
        <w:instrText xml:space="preserve">E isomerizations, respectively. The o-fluoroazobenzene scaffold is readily synthesized and can be inserted into larger structures via its aryl termini. These new azobenzene derivatives can be </w:instrText>
      </w:r>
      <w:r w:rsidR="005D6924">
        <w:rPr>
          <w:rFonts w:ascii="Arial" w:eastAsia="TimesNewRomanPSMT" w:hAnsi="Arial" w:cs="Arial"/>
          <w:sz w:val="24"/>
          <w:szCs w:val="24"/>
        </w:rPr>
        <w:instrText>switched in both ways with high photoconversions, and their Z-isomers display a remarkably long thermal half-life. © 2012 American Chemical Society.","author":[{"dropping-particle":"","family":"Bléger","given":"David","non-dropping-particle":"","parse-names":false,"suffix":""},{"dropping-particle":"","family":"Schwarz","given":"Jutta","non-dropping-particle":"","parse-names":false,"suffix":""},{"dropping-particle":"","family":"Brouwer","given":"Albert M.","non-dropping-particle":"","parse-names":false,"suffix":""},{"dropping-particle":"","family":"Hecht","given":"Stefan","non-dropping-particle":"","parse-names":false,"suffix":""}],"container-title":"Journal of the American Chemical Society","id":"ITEM-1","issue":"51","issued":{"date-parts":[["2012"]]},"page":"20597-20600","title":"O -fluoroazobenzenes as readily synthesized photoswitches offering nearly quantitative two-way isomerization with visible light","type":"article-journal","volume":"134"},"uris":["http://www.mendeley.com/documents/?uuid=a50e871a-7fcc-4a20-b643-a95627ed2255"]}],"mendeley":{"formattedCitation":"&lt;sup&gt;61&lt;/sup&gt;","plainTextFormattedCitation":"61","previouslyFormattedCitation":"&lt;sup&gt;62&lt;/sup&gt;"},"properties":{"noteIndex":0},"schema":"https://github.com/citation-style-language/schema/raw/master/csl-citation.json"}</w:instrText>
      </w:r>
      <w:r w:rsidR="008836D6" w:rsidRPr="000E0DB5">
        <w:rPr>
          <w:rFonts w:ascii="Arial" w:eastAsia="TimesNewRomanPSMT" w:hAnsi="Arial" w:cs="Arial"/>
          <w:sz w:val="24"/>
          <w:szCs w:val="24"/>
        </w:rPr>
        <w:fldChar w:fldCharType="separate"/>
      </w:r>
      <w:r w:rsidR="005D6924" w:rsidRPr="005D6924">
        <w:rPr>
          <w:rFonts w:ascii="Arial" w:eastAsia="TimesNewRomanPSMT" w:hAnsi="Arial" w:cs="Arial"/>
          <w:noProof/>
          <w:sz w:val="24"/>
          <w:szCs w:val="24"/>
          <w:vertAlign w:val="superscript"/>
        </w:rPr>
        <w:t>61</w:t>
      </w:r>
      <w:r w:rsidR="008836D6" w:rsidRPr="000E0DB5">
        <w:rPr>
          <w:rFonts w:ascii="Arial" w:eastAsia="TimesNewRomanPSMT" w:hAnsi="Arial" w:cs="Arial"/>
          <w:sz w:val="24"/>
          <w:szCs w:val="24"/>
        </w:rPr>
        <w:fldChar w:fldCharType="end"/>
      </w:r>
      <w:r w:rsidR="00571BC4">
        <w:rPr>
          <w:rFonts w:ascii="Arial" w:eastAsia="TimesNewRomanPSMT" w:hAnsi="Arial" w:cs="Arial"/>
          <w:sz w:val="24"/>
          <w:szCs w:val="24"/>
        </w:rPr>
        <w:t xml:space="preserve"> </w:t>
      </w:r>
      <w:r w:rsidR="00FE3ACD">
        <w:rPr>
          <w:rFonts w:ascii="Arial" w:eastAsia="TimesNewRomanPSMT" w:hAnsi="Arial" w:cs="Arial"/>
          <w:sz w:val="24"/>
          <w:szCs w:val="24"/>
        </w:rPr>
        <w:t>B</w:t>
      </w:r>
      <w:r w:rsidR="00FA49AB">
        <w:rPr>
          <w:rFonts w:ascii="Arial" w:eastAsia="TimesNewRomanPSMT" w:hAnsi="Arial" w:cs="Arial"/>
          <w:sz w:val="24"/>
          <w:szCs w:val="24"/>
        </w:rPr>
        <w:t>i</w:t>
      </w:r>
      <w:r w:rsidR="00FA49AB" w:rsidRPr="00FA49AB">
        <w:rPr>
          <w:rFonts w:ascii="Arial" w:eastAsia="TimesNewRomanPSMT" w:hAnsi="Arial" w:cs="Arial"/>
          <w:sz w:val="24"/>
          <w:szCs w:val="24"/>
        </w:rPr>
        <w:t xml:space="preserve">stable </w:t>
      </w:r>
      <w:r w:rsidR="00FA49AB" w:rsidRPr="00FA49AB">
        <w:rPr>
          <w:rFonts w:ascii="Arial" w:eastAsia="TimesNewRomanPSMT" w:hAnsi="Arial" w:cs="Arial"/>
          <w:i/>
          <w:iCs/>
          <w:sz w:val="24"/>
          <w:szCs w:val="24"/>
        </w:rPr>
        <w:t>cis</w:t>
      </w:r>
      <w:r w:rsidR="00FA49AB" w:rsidRPr="00FA49AB">
        <w:rPr>
          <w:rFonts w:ascii="Arial" w:eastAsia="TimesNewRomanPSMT" w:hAnsi="Arial" w:cs="Arial"/>
          <w:sz w:val="24"/>
          <w:szCs w:val="24"/>
        </w:rPr>
        <w:t>/</w:t>
      </w:r>
      <w:r w:rsidR="00FA49AB" w:rsidRPr="00FA49AB">
        <w:rPr>
          <w:rFonts w:ascii="Arial" w:eastAsia="TimesNewRomanPSMT" w:hAnsi="Arial" w:cs="Arial"/>
          <w:i/>
          <w:iCs/>
          <w:sz w:val="24"/>
          <w:szCs w:val="24"/>
        </w:rPr>
        <w:t>trans</w:t>
      </w:r>
      <w:r w:rsidR="00B00498">
        <w:rPr>
          <w:rFonts w:ascii="Arial" w:eastAsia="TimesNewRomanPSMT" w:hAnsi="Arial" w:cs="Arial"/>
          <w:sz w:val="24"/>
          <w:szCs w:val="24"/>
        </w:rPr>
        <w:t xml:space="preserve"> </w:t>
      </w:r>
      <w:r w:rsidR="00FA49AB" w:rsidRPr="00FA49AB">
        <w:rPr>
          <w:rFonts w:ascii="Arial" w:eastAsia="TimesNewRomanPSMT" w:hAnsi="Arial" w:cs="Arial"/>
          <w:sz w:val="24"/>
          <w:szCs w:val="24"/>
        </w:rPr>
        <w:t xml:space="preserve">isomers </w:t>
      </w:r>
      <w:r w:rsidR="007B55F1">
        <w:rPr>
          <w:rFonts w:ascii="Arial" w:eastAsia="TimesNewRomanPSMT" w:hAnsi="Arial" w:cs="Arial"/>
          <w:sz w:val="24"/>
          <w:szCs w:val="24"/>
        </w:rPr>
        <w:t>may prove</w:t>
      </w:r>
      <w:r w:rsidR="00FA49AB" w:rsidRPr="00FA49AB">
        <w:rPr>
          <w:rFonts w:ascii="Arial" w:eastAsia="TimesNewRomanPSMT" w:hAnsi="Arial" w:cs="Arial"/>
          <w:sz w:val="24"/>
          <w:szCs w:val="24"/>
        </w:rPr>
        <w:t xml:space="preserve"> beneficial to outcompete fast protein resynthesis </w:t>
      </w:r>
      <w:r w:rsidR="007B55F1">
        <w:rPr>
          <w:rFonts w:ascii="Arial" w:eastAsia="TimesNewRomanPSMT" w:hAnsi="Arial" w:cs="Arial"/>
          <w:sz w:val="24"/>
          <w:szCs w:val="24"/>
        </w:rPr>
        <w:t>(</w:t>
      </w:r>
      <w:r w:rsidR="004C7834">
        <w:rPr>
          <w:rFonts w:ascii="Arial" w:eastAsia="TimesNewRomanPSMT" w:hAnsi="Arial" w:cs="Arial"/>
          <w:sz w:val="24"/>
          <w:szCs w:val="24"/>
        </w:rPr>
        <w:t>i</w:t>
      </w:r>
      <w:r w:rsidR="00742FCD">
        <w:rPr>
          <w:rFonts w:ascii="Arial" w:eastAsia="TimesNewRomanPSMT" w:hAnsi="Arial" w:cs="Arial"/>
          <w:sz w:val="24"/>
          <w:szCs w:val="24"/>
        </w:rPr>
        <w:t>.</w:t>
      </w:r>
      <w:r w:rsidR="004C7834">
        <w:rPr>
          <w:rFonts w:ascii="Arial" w:eastAsia="TimesNewRomanPSMT" w:hAnsi="Arial" w:cs="Arial"/>
          <w:sz w:val="24"/>
          <w:szCs w:val="24"/>
        </w:rPr>
        <w:t>e.</w:t>
      </w:r>
      <w:r w:rsidR="00571BC4">
        <w:rPr>
          <w:rFonts w:ascii="Arial" w:eastAsia="TimesNewRomanPSMT" w:hAnsi="Arial" w:cs="Arial"/>
          <w:sz w:val="24"/>
          <w:szCs w:val="24"/>
        </w:rPr>
        <w:t xml:space="preserve"> </w:t>
      </w:r>
      <w:r w:rsidR="007B55F1">
        <w:rPr>
          <w:rFonts w:ascii="Arial" w:eastAsia="TimesNewRomanPSMT" w:hAnsi="Arial" w:cs="Arial"/>
          <w:sz w:val="24"/>
          <w:szCs w:val="24"/>
        </w:rPr>
        <w:t>i</w:t>
      </w:r>
      <w:r w:rsidR="007B55F1" w:rsidRPr="007B55F1">
        <w:rPr>
          <w:rFonts w:ascii="Arial" w:eastAsia="TimesNewRomanPSMT" w:hAnsi="Arial" w:cs="Arial"/>
          <w:sz w:val="24"/>
          <w:szCs w:val="24"/>
        </w:rPr>
        <w:t xml:space="preserve">n the case of proteins </w:t>
      </w:r>
      <w:r w:rsidR="00571BC4">
        <w:rPr>
          <w:rFonts w:ascii="Arial" w:eastAsia="TimesNewRomanPSMT" w:hAnsi="Arial" w:cs="Arial"/>
          <w:sz w:val="24"/>
          <w:szCs w:val="24"/>
        </w:rPr>
        <w:t xml:space="preserve">with </w:t>
      </w:r>
      <w:r w:rsidR="007B55F1" w:rsidRPr="007B55F1">
        <w:rPr>
          <w:rFonts w:ascii="Arial" w:eastAsia="TimesNewRomanPSMT" w:hAnsi="Arial" w:cs="Arial"/>
          <w:sz w:val="24"/>
          <w:szCs w:val="24"/>
        </w:rPr>
        <w:t>a high turnover</w:t>
      </w:r>
      <w:r w:rsidR="007B55F1">
        <w:rPr>
          <w:rFonts w:ascii="Arial" w:eastAsia="TimesNewRomanPSMT" w:hAnsi="Arial" w:cs="Arial"/>
          <w:sz w:val="24"/>
          <w:szCs w:val="24"/>
        </w:rPr>
        <w:t xml:space="preserve">), </w:t>
      </w:r>
      <w:r w:rsidR="00734E1F">
        <w:rPr>
          <w:rFonts w:ascii="Arial" w:eastAsia="TimesNewRomanPSMT" w:hAnsi="Arial" w:cs="Arial"/>
          <w:sz w:val="24"/>
          <w:szCs w:val="24"/>
        </w:rPr>
        <w:t xml:space="preserve">as </w:t>
      </w:r>
      <w:r w:rsidR="007B55F1">
        <w:rPr>
          <w:rFonts w:ascii="Arial" w:eastAsia="TimesNewRomanPSMT" w:hAnsi="Arial" w:cs="Arial"/>
          <w:sz w:val="24"/>
          <w:szCs w:val="24"/>
        </w:rPr>
        <w:t>higher</w:t>
      </w:r>
      <w:r w:rsidR="00734E1F">
        <w:rPr>
          <w:rFonts w:ascii="Arial" w:eastAsia="TimesNewRomanPSMT" w:hAnsi="Arial" w:cs="Arial"/>
          <w:sz w:val="24"/>
          <w:szCs w:val="24"/>
        </w:rPr>
        <w:t xml:space="preserve"> concentrations</w:t>
      </w:r>
      <w:r w:rsidR="00FA49AB" w:rsidRPr="00FA49AB">
        <w:rPr>
          <w:rFonts w:ascii="Arial" w:eastAsia="TimesNewRomanPSMT" w:hAnsi="Arial" w:cs="Arial"/>
          <w:sz w:val="24"/>
          <w:szCs w:val="24"/>
        </w:rPr>
        <w:t xml:space="preserve"> </w:t>
      </w:r>
      <w:r w:rsidR="00734E1F">
        <w:rPr>
          <w:rFonts w:ascii="Arial" w:eastAsia="TimesNewRomanPSMT" w:hAnsi="Arial" w:cs="Arial"/>
          <w:sz w:val="24"/>
          <w:szCs w:val="24"/>
        </w:rPr>
        <w:t>of</w:t>
      </w:r>
      <w:r w:rsidR="00FA49AB" w:rsidRPr="00FA49AB">
        <w:rPr>
          <w:rFonts w:ascii="Arial" w:eastAsia="TimesNewRomanPSMT" w:hAnsi="Arial" w:cs="Arial"/>
          <w:sz w:val="24"/>
          <w:szCs w:val="24"/>
        </w:rPr>
        <w:t xml:space="preserve"> the </w:t>
      </w:r>
      <w:r w:rsidR="00734E1F">
        <w:rPr>
          <w:rFonts w:ascii="Arial" w:eastAsia="TimesNewRomanPSMT" w:hAnsi="Arial" w:cs="Arial"/>
          <w:sz w:val="24"/>
          <w:szCs w:val="24"/>
        </w:rPr>
        <w:t xml:space="preserve">desired </w:t>
      </w:r>
      <w:r w:rsidR="00FA49AB" w:rsidRPr="00FA49AB">
        <w:rPr>
          <w:rFonts w:ascii="Arial" w:eastAsia="TimesNewRomanPSMT" w:hAnsi="Arial" w:cs="Arial"/>
          <w:sz w:val="24"/>
          <w:szCs w:val="24"/>
        </w:rPr>
        <w:t>isomer</w:t>
      </w:r>
      <w:r w:rsidR="00734E1F">
        <w:rPr>
          <w:rFonts w:ascii="Arial" w:eastAsia="TimesNewRomanPSMT" w:hAnsi="Arial" w:cs="Arial"/>
          <w:sz w:val="24"/>
          <w:szCs w:val="24"/>
        </w:rPr>
        <w:t xml:space="preserve"> would be maintained</w:t>
      </w:r>
      <w:r w:rsidR="007B55F1">
        <w:rPr>
          <w:rFonts w:ascii="Arial" w:eastAsia="TimesNewRomanPSMT" w:hAnsi="Arial" w:cs="Arial"/>
          <w:sz w:val="24"/>
          <w:szCs w:val="24"/>
        </w:rPr>
        <w:t xml:space="preserve"> </w:t>
      </w:r>
      <w:r w:rsidR="004C7834">
        <w:rPr>
          <w:rFonts w:ascii="Arial" w:eastAsia="TimesNewRomanPSMT" w:hAnsi="Arial" w:cs="Arial"/>
          <w:sz w:val="24"/>
          <w:szCs w:val="24"/>
        </w:rPr>
        <w:t xml:space="preserve">without light stimulation </w:t>
      </w:r>
      <w:r w:rsidR="00571BC4">
        <w:rPr>
          <w:rFonts w:ascii="Arial" w:eastAsia="TimesNewRomanPSMT" w:hAnsi="Arial" w:cs="Arial"/>
          <w:sz w:val="24"/>
          <w:szCs w:val="24"/>
        </w:rPr>
        <w:t>contrary</w:t>
      </w:r>
      <w:r w:rsidR="004A42BA">
        <w:rPr>
          <w:rFonts w:ascii="Arial" w:eastAsia="TimesNewRomanPSMT" w:hAnsi="Arial" w:cs="Arial"/>
          <w:sz w:val="24"/>
          <w:szCs w:val="24"/>
        </w:rPr>
        <w:t xml:space="preserve"> to fast</w:t>
      </w:r>
      <w:r w:rsidR="008D6D26">
        <w:rPr>
          <w:rFonts w:ascii="Arial" w:eastAsia="TimesNewRomanPSMT" w:hAnsi="Arial" w:cs="Arial"/>
          <w:sz w:val="24"/>
          <w:szCs w:val="24"/>
        </w:rPr>
        <w:t xml:space="preserve"> </w:t>
      </w:r>
      <w:r w:rsidR="004A42BA">
        <w:rPr>
          <w:rFonts w:ascii="Arial" w:eastAsia="TimesNewRomanPSMT" w:hAnsi="Arial" w:cs="Arial"/>
          <w:sz w:val="24"/>
          <w:szCs w:val="24"/>
        </w:rPr>
        <w:t>relaxing switches.</w:t>
      </w:r>
    </w:p>
    <w:p w14:paraId="567DFAAD" w14:textId="5FDCB744" w:rsidR="00203FFC" w:rsidRPr="00742FCD" w:rsidRDefault="00375189" w:rsidP="00742FCD">
      <w:pPr>
        <w:tabs>
          <w:tab w:val="left" w:pos="2480"/>
        </w:tabs>
        <w:spacing w:line="480" w:lineRule="auto"/>
        <w:jc w:val="both"/>
        <w:rPr>
          <w:rFonts w:ascii="Arial" w:eastAsia="TimesNewRomanPSMT" w:hAnsi="Arial" w:cs="Arial"/>
          <w:b/>
          <w:bCs/>
          <w:sz w:val="24"/>
          <w:szCs w:val="24"/>
        </w:rPr>
      </w:pPr>
      <w:r w:rsidRPr="000E0DB5">
        <w:rPr>
          <w:rFonts w:ascii="Arial" w:eastAsia="TimesNewRomanPSMT" w:hAnsi="Arial" w:cs="Arial"/>
          <w:sz w:val="24"/>
          <w:szCs w:val="24"/>
        </w:rPr>
        <w:t xml:space="preserve">In parallel, </w:t>
      </w:r>
      <w:r w:rsidR="000B7B2D" w:rsidRPr="000E0DB5">
        <w:rPr>
          <w:rFonts w:ascii="Arial" w:eastAsia="TimesNewRomanPSMT" w:hAnsi="Arial" w:cs="Arial"/>
          <w:sz w:val="24"/>
          <w:szCs w:val="24"/>
        </w:rPr>
        <w:t xml:space="preserve">the </w:t>
      </w:r>
      <w:r w:rsidRPr="000E0DB5">
        <w:rPr>
          <w:rFonts w:ascii="Arial" w:eastAsia="TimesNewRomanPSMT" w:hAnsi="Arial" w:cs="Arial"/>
          <w:sz w:val="24"/>
          <w:szCs w:val="24"/>
        </w:rPr>
        <w:t xml:space="preserve">Trauner lab investigated multiple positions for the azobenzene group and their most promising molecule </w:t>
      </w:r>
      <w:r w:rsidR="000B7B2D" w:rsidRPr="000E0DB5">
        <w:rPr>
          <w:rFonts w:ascii="Arial" w:eastAsia="TimesNewRomanPSMT" w:hAnsi="Arial" w:cs="Arial"/>
          <w:sz w:val="24"/>
          <w:szCs w:val="24"/>
        </w:rPr>
        <w:t xml:space="preserve">adapted </w:t>
      </w:r>
      <w:r w:rsidRPr="000E0DB5">
        <w:rPr>
          <w:rFonts w:ascii="Arial" w:eastAsia="TimesNewRomanPSMT" w:hAnsi="Arial" w:cs="Arial"/>
          <w:sz w:val="24"/>
          <w:szCs w:val="24"/>
        </w:rPr>
        <w:t>the phenyl ring of the E3 ligase ligand lenalidomide as an integral part of the photoswitch (Figure 5</w:t>
      </w:r>
      <w:r w:rsidR="00742FCD">
        <w:rPr>
          <w:rFonts w:ascii="Arial" w:eastAsia="TimesNewRomanPSMT" w:hAnsi="Arial" w:cs="Arial"/>
          <w:sz w:val="24"/>
          <w:szCs w:val="24"/>
        </w:rPr>
        <w:t>C</w:t>
      </w:r>
      <w:r w:rsidRPr="000E0DB5">
        <w:rPr>
          <w:rFonts w:ascii="Arial" w:eastAsia="TimesNewRomanPSMT" w:hAnsi="Arial" w:cs="Arial"/>
          <w:sz w:val="24"/>
          <w:szCs w:val="24"/>
        </w:rPr>
        <w:t xml:space="preserve">, compound </w:t>
      </w:r>
      <w:r w:rsidRPr="000E0DB5">
        <w:rPr>
          <w:rFonts w:ascii="Arial" w:eastAsia="TimesNewRomanPSMT" w:hAnsi="Arial" w:cs="Arial"/>
          <w:b/>
          <w:bCs/>
          <w:sz w:val="24"/>
          <w:szCs w:val="24"/>
        </w:rPr>
        <w:t>10</w:t>
      </w:r>
      <w:r w:rsidRPr="000E0DB5">
        <w:rPr>
          <w:rFonts w:ascii="Arial" w:eastAsia="TimesNewRomanPSMT" w:hAnsi="Arial" w:cs="Arial"/>
          <w:sz w:val="24"/>
          <w:szCs w:val="24"/>
        </w:rPr>
        <w:t>).</w:t>
      </w:r>
      <w:r w:rsidR="003F5372" w:rsidRPr="000E0DB5">
        <w:rPr>
          <w:rFonts w:ascii="Arial" w:eastAsia="TimesNewRomanPSMT" w:hAnsi="Arial" w:cs="Arial"/>
          <w:sz w:val="24"/>
          <w:szCs w:val="24"/>
        </w:rPr>
        <w:fldChar w:fldCharType="begin" w:fldLock="1"/>
      </w:r>
      <w:r w:rsidR="009C4AF9">
        <w:rPr>
          <w:rFonts w:ascii="Arial" w:eastAsia="TimesNewRomanPSMT" w:hAnsi="Arial" w:cs="Arial"/>
          <w:sz w:val="24"/>
          <w:szCs w:val="24"/>
        </w:rPr>
        <w:instrText>ADDIN CSL_CITATION {"citationItems":[{"id":"ITEM-1","itemData":{"DOI":"10.1126/sciadv.aay5064","ISSN":"23752548","abstract":"PROTACs (PROteolysis TArgeting Chimeras) are bifunctional molecules that target proteins for ubiquitylation by an E3 ligase complex and subsequent degradation by the proteasome. They have emerged as powerful tools to control the levels of specific cellular proteins. We now introduce photoswitchable PROTACs that can be activated with the spatiotemporal precision that light provides. These trifunctional molecules, which we named PHOTACs (PHOtochemically TArgeting Chimeras), consist of a ligand for an E3 ligase, a photoswitch, and a ligand for a protein of interest. We demonstrate this concept by using PHOTACs that target either BET family proteins (BRD2,3,4) or FKBP12. Our lead compounds display little or no activity in the dark but can be reversibly activated with different wavelengths of light. Our modular approach provides a method for the optical control of protein levels with photopharmacology and could lead to new types of precision therapeutics that avoid undesired systemic toxicity.","author":[{"dropping-particle":"","family":"Reynders","given":"Martin","non-dropping-particle":"","parse-names":false,"suffix":""},{"dropping-particle":"","family":"Matsuura","given":"Bryan S.","non-dropping-particle":"","parse-names":false,"suffix":""},{"dropping-particle":"","family":"Bérouti","given":"Marleen","non-dropping-particle":"","parse-names":false,"suffix":""},{"dropping-particle":"","family":"Simoneschi","given":"Daniele","non-dropping-particle":"","parse-names":false,"suffix":""},{"dropping-particle":"","family":"Marzio","given":"Antonio","non-dropping-particle":"","parse-names":false,"suffix":""},{"dropping-particle":"","family":"Pagano","given":"Michele","non-dropping-particle":"","parse-names":false,"suffix":""},{"dropping-particle":"","family":"Trauner","given":"Dirk","non-dropping-particle":"","parse-names":false,"suffix":""}],"container-title":"Science Advances","id":"ITEM-1","issue":"8","issued":{"date-parts":[["2020"]]},"title":"PHOTACs enable optical control of protein degradation","type":"article-journal","volume":"6"},"uris":["http://www.mendeley.com/documents/?uuid=975cf789-f684-4dcb-946f-b89ddfa6b008"]}],"mendeley":{"formattedCitation":"&lt;sup&gt;36&lt;/sup&gt;","plainTextFormattedCitation":"36","previouslyFormattedCitation":"&lt;sup&gt;36&lt;/sup&gt;"},"properties":{"noteIndex":0},"schema":"https://github.com/citation-style-language/schema/raw/master/csl-citation.json"}</w:instrText>
      </w:r>
      <w:r w:rsidR="003F5372" w:rsidRPr="000E0DB5">
        <w:rPr>
          <w:rFonts w:ascii="Arial" w:eastAsia="TimesNewRomanPSMT" w:hAnsi="Arial" w:cs="Arial"/>
          <w:sz w:val="24"/>
          <w:szCs w:val="24"/>
        </w:rPr>
        <w:fldChar w:fldCharType="separate"/>
      </w:r>
      <w:r w:rsidR="00F6529F" w:rsidRPr="00F6529F">
        <w:rPr>
          <w:rFonts w:ascii="Arial" w:eastAsia="TimesNewRomanPSMT" w:hAnsi="Arial" w:cs="Arial"/>
          <w:noProof/>
          <w:sz w:val="24"/>
          <w:szCs w:val="24"/>
          <w:vertAlign w:val="superscript"/>
        </w:rPr>
        <w:t>36</w:t>
      </w:r>
      <w:r w:rsidR="003F5372"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w:t>
      </w:r>
      <w:r w:rsidR="00E07CE1" w:rsidRPr="000E0DB5">
        <w:rPr>
          <w:rFonts w:ascii="Arial" w:eastAsia="TimesNewRomanPSMT" w:hAnsi="Arial" w:cs="Arial"/>
          <w:sz w:val="24"/>
          <w:szCs w:val="24"/>
        </w:rPr>
        <w:t xml:space="preserve">Synthesis of the highlighted tool compounds </w:t>
      </w:r>
      <w:r w:rsidR="00E07CE1" w:rsidRPr="000E0DB5">
        <w:rPr>
          <w:rFonts w:ascii="Arial" w:eastAsia="TimesNewRomanPSMT" w:hAnsi="Arial" w:cs="Arial"/>
          <w:b/>
          <w:bCs/>
          <w:sz w:val="24"/>
          <w:szCs w:val="24"/>
        </w:rPr>
        <w:t>9-11</w:t>
      </w:r>
      <w:r w:rsidR="00E07CE1" w:rsidRPr="000E0DB5">
        <w:rPr>
          <w:rFonts w:ascii="Arial" w:eastAsia="TimesNewRomanPSMT" w:hAnsi="Arial" w:cs="Arial"/>
          <w:sz w:val="24"/>
          <w:szCs w:val="24"/>
        </w:rPr>
        <w:t xml:space="preserve"> was mainly achieved via conventional azo coupling to obtain the photoswitch followed by additional amide bond formation steps </w:t>
      </w:r>
      <w:r w:rsidR="00DE79F7" w:rsidRPr="00DE79F7">
        <w:rPr>
          <w:rFonts w:ascii="Arial" w:eastAsia="TimesNewRomanPSMT" w:hAnsi="Arial" w:cs="Arial"/>
          <w:sz w:val="24"/>
          <w:szCs w:val="24"/>
        </w:rPr>
        <w:t>to reach several final molecules in a modular fashion. Key features are summarized in Table 1 and underscore the diversity in optical properties and degradation profiles that can be obtained using an azobenzene photoswitch.</w:t>
      </w:r>
    </w:p>
    <w:p w14:paraId="6E135289" w14:textId="7C0652A2" w:rsidR="00DF08D1" w:rsidRDefault="00B75DC9" w:rsidP="00DF08D1">
      <w:pPr>
        <w:tabs>
          <w:tab w:val="left" w:pos="2480"/>
        </w:tabs>
        <w:spacing w:line="480" w:lineRule="auto"/>
        <w:jc w:val="both"/>
        <w:rPr>
          <w:rFonts w:ascii="Arial" w:eastAsia="TimesNewRomanPSMT" w:hAnsi="Arial" w:cs="Arial"/>
          <w:sz w:val="24"/>
          <w:szCs w:val="24"/>
        </w:rPr>
      </w:pPr>
      <w:r w:rsidRPr="000E0DB5">
        <w:rPr>
          <w:rFonts w:ascii="Arial" w:eastAsia="TimesNewRomanPSMT" w:hAnsi="Arial" w:cs="Arial"/>
          <w:sz w:val="24"/>
          <w:szCs w:val="24"/>
        </w:rPr>
        <w:t xml:space="preserve">Overall, the thermodynamically more stable </w:t>
      </w:r>
      <w:r w:rsidR="00527B18" w:rsidRPr="000E0DB5">
        <w:rPr>
          <w:rFonts w:ascii="Arial" w:eastAsia="TimesNewRomanPSMT" w:hAnsi="Arial" w:cs="Arial"/>
          <w:i/>
          <w:iCs/>
          <w:sz w:val="24"/>
          <w:szCs w:val="24"/>
        </w:rPr>
        <w:t>trans</w:t>
      </w:r>
      <w:r w:rsidRPr="000E0DB5">
        <w:rPr>
          <w:rFonts w:ascii="Arial" w:eastAsia="TimesNewRomanPSMT" w:hAnsi="Arial" w:cs="Arial"/>
          <w:sz w:val="24"/>
          <w:szCs w:val="24"/>
        </w:rPr>
        <w:t xml:space="preserve"> isomer could be switched to its </w:t>
      </w:r>
      <w:r w:rsidR="00527B18" w:rsidRPr="000E0DB5">
        <w:rPr>
          <w:rFonts w:ascii="Arial" w:eastAsia="TimesNewRomanPSMT" w:hAnsi="Arial" w:cs="Arial"/>
          <w:i/>
          <w:iCs/>
          <w:sz w:val="24"/>
          <w:szCs w:val="24"/>
        </w:rPr>
        <w:t>cis</w:t>
      </w:r>
      <w:r w:rsidRPr="000E0DB5">
        <w:rPr>
          <w:rFonts w:ascii="Arial" w:eastAsia="TimesNewRomanPSMT" w:hAnsi="Arial" w:cs="Arial"/>
          <w:sz w:val="24"/>
          <w:szCs w:val="24"/>
        </w:rPr>
        <w:t xml:space="preserve"> counterpart using UV or visible light and conversion was achieved with satisfactory to excellent photostationary state (PSS) ratios (68% </w:t>
      </w:r>
      <w:r w:rsidR="00527B18" w:rsidRPr="000E0DB5">
        <w:rPr>
          <w:rFonts w:ascii="Arial" w:eastAsia="TimesNewRomanPSMT" w:hAnsi="Arial" w:cs="Arial"/>
          <w:i/>
          <w:iCs/>
          <w:sz w:val="24"/>
          <w:szCs w:val="24"/>
        </w:rPr>
        <w:t>cis</w:t>
      </w:r>
      <w:r w:rsidRPr="000E0DB5">
        <w:rPr>
          <w:rFonts w:ascii="Arial" w:eastAsia="TimesNewRomanPSMT" w:hAnsi="Arial" w:cs="Arial"/>
          <w:sz w:val="24"/>
          <w:szCs w:val="24"/>
        </w:rPr>
        <w:t xml:space="preserve"> for </w:t>
      </w:r>
      <w:r w:rsidRPr="000E0DB5">
        <w:rPr>
          <w:rFonts w:ascii="Arial" w:eastAsia="TimesNewRomanPSMT" w:hAnsi="Arial" w:cs="Arial"/>
          <w:b/>
          <w:bCs/>
          <w:sz w:val="24"/>
          <w:szCs w:val="24"/>
        </w:rPr>
        <w:t>9</w:t>
      </w:r>
      <w:r w:rsidRPr="000E0DB5">
        <w:rPr>
          <w:rFonts w:ascii="Arial" w:eastAsia="TimesNewRomanPSMT" w:hAnsi="Arial" w:cs="Arial"/>
          <w:sz w:val="24"/>
          <w:szCs w:val="24"/>
        </w:rPr>
        <w:t xml:space="preserve">, above 90% </w:t>
      </w:r>
      <w:r w:rsidR="00527B18" w:rsidRPr="000E0DB5">
        <w:rPr>
          <w:rFonts w:ascii="Arial" w:eastAsia="TimesNewRomanPSMT" w:hAnsi="Arial" w:cs="Arial"/>
          <w:i/>
          <w:iCs/>
          <w:sz w:val="24"/>
          <w:szCs w:val="24"/>
        </w:rPr>
        <w:t>cis</w:t>
      </w:r>
      <w:r w:rsidRPr="000E0DB5">
        <w:rPr>
          <w:rFonts w:ascii="Arial" w:eastAsia="TimesNewRomanPSMT" w:hAnsi="Arial" w:cs="Arial"/>
          <w:sz w:val="24"/>
          <w:szCs w:val="24"/>
        </w:rPr>
        <w:t xml:space="preserve"> for </w:t>
      </w:r>
      <w:r w:rsidRPr="000E0DB5">
        <w:rPr>
          <w:rFonts w:ascii="Arial" w:eastAsia="TimesNewRomanPSMT" w:hAnsi="Arial" w:cs="Arial"/>
          <w:b/>
          <w:bCs/>
          <w:sz w:val="24"/>
          <w:szCs w:val="24"/>
        </w:rPr>
        <w:t>10</w:t>
      </w:r>
      <w:r w:rsidRPr="000E0DB5">
        <w:rPr>
          <w:rFonts w:ascii="Arial" w:eastAsia="TimesNewRomanPSMT" w:hAnsi="Arial" w:cs="Arial"/>
          <w:sz w:val="24"/>
          <w:szCs w:val="24"/>
        </w:rPr>
        <w:t xml:space="preserve">). Compound </w:t>
      </w:r>
      <w:r w:rsidRPr="000E0DB5">
        <w:rPr>
          <w:rFonts w:ascii="Arial" w:eastAsia="TimesNewRomanPSMT" w:hAnsi="Arial" w:cs="Arial"/>
          <w:b/>
          <w:bCs/>
          <w:sz w:val="24"/>
          <w:szCs w:val="24"/>
        </w:rPr>
        <w:t xml:space="preserve">9 </w:t>
      </w:r>
      <w:r w:rsidRPr="000E0DB5">
        <w:rPr>
          <w:rFonts w:ascii="Arial" w:eastAsia="TimesNewRomanPSMT" w:hAnsi="Arial" w:cs="Arial"/>
          <w:sz w:val="24"/>
          <w:szCs w:val="24"/>
        </w:rPr>
        <w:t xml:space="preserve">was reported as </w:t>
      </w:r>
      <w:r w:rsidR="00DD3060" w:rsidRPr="000E0DB5">
        <w:rPr>
          <w:rFonts w:ascii="Arial" w:eastAsia="TimesNewRomanPSMT" w:hAnsi="Arial" w:cs="Arial"/>
          <w:sz w:val="24"/>
          <w:szCs w:val="24"/>
        </w:rPr>
        <w:t>bistable since</w:t>
      </w:r>
      <w:r w:rsidRPr="000E0DB5">
        <w:rPr>
          <w:rFonts w:ascii="Arial" w:eastAsia="TimesNewRomanPSMT" w:hAnsi="Arial" w:cs="Arial"/>
          <w:sz w:val="24"/>
          <w:szCs w:val="24"/>
        </w:rPr>
        <w:t xml:space="preserve"> thermal back </w:t>
      </w:r>
      <w:r w:rsidR="00615A4A" w:rsidRPr="000E0DB5">
        <w:rPr>
          <w:rFonts w:ascii="Arial" w:eastAsia="TimesNewRomanPSMT" w:hAnsi="Arial" w:cs="Arial"/>
          <w:sz w:val="24"/>
          <w:szCs w:val="24"/>
        </w:rPr>
        <w:t>isomerization</w:t>
      </w:r>
      <w:r w:rsidRPr="000E0DB5">
        <w:rPr>
          <w:rFonts w:ascii="Arial" w:eastAsia="TimesNewRomanPSMT" w:hAnsi="Arial" w:cs="Arial"/>
          <w:sz w:val="24"/>
          <w:szCs w:val="24"/>
        </w:rPr>
        <w:t xml:space="preserve"> from </w:t>
      </w:r>
      <w:r w:rsidR="00527B18" w:rsidRPr="000E0DB5">
        <w:rPr>
          <w:rFonts w:ascii="Arial" w:eastAsia="TimesNewRomanPSMT" w:hAnsi="Arial" w:cs="Arial"/>
          <w:i/>
          <w:iCs/>
          <w:sz w:val="24"/>
          <w:szCs w:val="24"/>
        </w:rPr>
        <w:t>cis</w:t>
      </w:r>
      <w:r w:rsidRPr="000E0DB5">
        <w:rPr>
          <w:rFonts w:ascii="Arial" w:eastAsia="TimesNewRomanPSMT" w:hAnsi="Arial" w:cs="Arial"/>
          <w:sz w:val="24"/>
          <w:szCs w:val="24"/>
        </w:rPr>
        <w:t xml:space="preserve"> to </w:t>
      </w:r>
      <w:r w:rsidR="00527B18" w:rsidRPr="000E0DB5">
        <w:rPr>
          <w:rFonts w:ascii="Arial" w:eastAsia="TimesNewRomanPSMT" w:hAnsi="Arial" w:cs="Arial"/>
          <w:i/>
          <w:iCs/>
          <w:sz w:val="24"/>
          <w:szCs w:val="24"/>
        </w:rPr>
        <w:t>trans</w:t>
      </w:r>
      <w:r w:rsidRPr="000E0DB5">
        <w:rPr>
          <w:rFonts w:ascii="Arial" w:eastAsia="TimesNewRomanPSMT" w:hAnsi="Arial" w:cs="Arial"/>
          <w:sz w:val="24"/>
          <w:szCs w:val="24"/>
        </w:rPr>
        <w:t xml:space="preserve"> was not observed after incubation at 37˚C for several days in solution. Although reasonable </w:t>
      </w:r>
      <w:r w:rsidR="00527B18" w:rsidRPr="000E0DB5">
        <w:rPr>
          <w:rFonts w:ascii="Arial" w:eastAsia="TimesNewRomanPSMT" w:hAnsi="Arial" w:cs="Arial"/>
          <w:i/>
          <w:iCs/>
          <w:sz w:val="24"/>
          <w:szCs w:val="24"/>
        </w:rPr>
        <w:t>cis</w:t>
      </w:r>
      <w:r w:rsidRPr="000E0DB5">
        <w:rPr>
          <w:rFonts w:ascii="Arial" w:eastAsia="TimesNewRomanPSMT" w:hAnsi="Arial" w:cs="Arial"/>
          <w:sz w:val="24"/>
          <w:szCs w:val="24"/>
        </w:rPr>
        <w:t xml:space="preserve"> thermal half-lives were obtained for </w:t>
      </w:r>
      <w:r w:rsidRPr="000E0DB5">
        <w:rPr>
          <w:rFonts w:ascii="Arial" w:eastAsia="TimesNewRomanPSMT" w:hAnsi="Arial" w:cs="Arial"/>
          <w:b/>
          <w:bCs/>
          <w:sz w:val="24"/>
          <w:szCs w:val="24"/>
        </w:rPr>
        <w:t>10</w:t>
      </w:r>
      <w:r w:rsidRPr="000E0DB5">
        <w:rPr>
          <w:rFonts w:ascii="Arial" w:eastAsia="TimesNewRomanPSMT" w:hAnsi="Arial" w:cs="Arial"/>
          <w:sz w:val="24"/>
          <w:szCs w:val="24"/>
        </w:rPr>
        <w:t xml:space="preserve"> and </w:t>
      </w:r>
      <w:r w:rsidRPr="000E0DB5">
        <w:rPr>
          <w:rFonts w:ascii="Arial" w:eastAsia="TimesNewRomanPSMT" w:hAnsi="Arial" w:cs="Arial"/>
          <w:b/>
          <w:bCs/>
          <w:sz w:val="24"/>
          <w:szCs w:val="24"/>
        </w:rPr>
        <w:t>11</w:t>
      </w:r>
      <w:r w:rsidRPr="000E0DB5">
        <w:rPr>
          <w:rFonts w:ascii="Arial" w:eastAsia="TimesNewRomanPSMT" w:hAnsi="Arial" w:cs="Arial"/>
          <w:sz w:val="24"/>
          <w:szCs w:val="24"/>
        </w:rPr>
        <w:t xml:space="preserve"> (8.8 h and 10.3 h, respectively), the active </w:t>
      </w:r>
      <w:r w:rsidR="00527B18" w:rsidRPr="000E0DB5">
        <w:rPr>
          <w:rFonts w:ascii="Arial" w:eastAsia="TimesNewRomanPSMT" w:hAnsi="Arial" w:cs="Arial"/>
          <w:i/>
          <w:iCs/>
          <w:sz w:val="24"/>
          <w:szCs w:val="24"/>
        </w:rPr>
        <w:t>cis</w:t>
      </w:r>
      <w:r w:rsidRPr="000E0DB5">
        <w:rPr>
          <w:rFonts w:ascii="Arial" w:eastAsia="TimesNewRomanPSMT" w:hAnsi="Arial" w:cs="Arial"/>
          <w:sz w:val="24"/>
          <w:szCs w:val="24"/>
        </w:rPr>
        <w:t xml:space="preserve"> isomer of </w:t>
      </w:r>
      <w:r w:rsidRPr="000E0DB5">
        <w:rPr>
          <w:rFonts w:ascii="Arial" w:eastAsia="TimesNewRomanPSMT" w:hAnsi="Arial" w:cs="Arial"/>
          <w:b/>
          <w:bCs/>
          <w:sz w:val="24"/>
          <w:szCs w:val="24"/>
        </w:rPr>
        <w:t xml:space="preserve">10 </w:t>
      </w:r>
      <w:r w:rsidRPr="000E0DB5">
        <w:rPr>
          <w:rFonts w:ascii="Arial" w:eastAsia="TimesNewRomanPSMT" w:hAnsi="Arial" w:cs="Arial"/>
          <w:sz w:val="24"/>
          <w:szCs w:val="24"/>
        </w:rPr>
        <w:t xml:space="preserve">was mainly tested under continuous pulse irradiation to maximize the intracellular concentration of </w:t>
      </w:r>
      <w:r w:rsidR="00421C8E" w:rsidRPr="000E0DB5">
        <w:rPr>
          <w:rFonts w:ascii="Arial" w:eastAsia="TimesNewRomanPSMT" w:hAnsi="Arial" w:cs="Arial"/>
          <w:sz w:val="24"/>
          <w:szCs w:val="24"/>
        </w:rPr>
        <w:t xml:space="preserve">the </w:t>
      </w:r>
      <w:r w:rsidRPr="000E0DB5">
        <w:rPr>
          <w:rFonts w:ascii="Arial" w:eastAsia="TimesNewRomanPSMT" w:hAnsi="Arial" w:cs="Arial"/>
          <w:sz w:val="24"/>
          <w:szCs w:val="24"/>
        </w:rPr>
        <w:t>active isomer over</w:t>
      </w:r>
      <w:r w:rsidR="00421C8E" w:rsidRPr="000E0DB5">
        <w:rPr>
          <w:rFonts w:ascii="Arial" w:eastAsia="TimesNewRomanPSMT" w:hAnsi="Arial" w:cs="Arial"/>
          <w:sz w:val="24"/>
          <w:szCs w:val="24"/>
        </w:rPr>
        <w:t xml:space="preserve"> </w:t>
      </w:r>
      <w:r w:rsidRPr="000E0DB5">
        <w:rPr>
          <w:rFonts w:ascii="Arial" w:eastAsia="TimesNewRomanPSMT" w:hAnsi="Arial" w:cs="Arial"/>
          <w:sz w:val="24"/>
          <w:szCs w:val="24"/>
        </w:rPr>
        <w:t xml:space="preserve">time. Apart from thermal relaxation, switching back to the </w:t>
      </w:r>
      <w:r w:rsidR="00527B18" w:rsidRPr="000E0DB5">
        <w:rPr>
          <w:rFonts w:ascii="Arial" w:eastAsia="TimesNewRomanPSMT" w:hAnsi="Arial" w:cs="Arial"/>
          <w:i/>
          <w:iCs/>
          <w:sz w:val="24"/>
          <w:szCs w:val="24"/>
        </w:rPr>
        <w:t>trans</w:t>
      </w:r>
      <w:r w:rsidRPr="000E0DB5">
        <w:rPr>
          <w:rFonts w:ascii="Arial" w:eastAsia="TimesNewRomanPSMT" w:hAnsi="Arial" w:cs="Arial"/>
          <w:sz w:val="24"/>
          <w:szCs w:val="24"/>
        </w:rPr>
        <w:t xml:space="preserve"> isomer could also be realized for </w:t>
      </w:r>
      <w:r w:rsidRPr="000E0DB5">
        <w:rPr>
          <w:rFonts w:ascii="Arial" w:eastAsia="TimesNewRomanPSMT" w:hAnsi="Arial" w:cs="Arial"/>
          <w:b/>
          <w:bCs/>
          <w:sz w:val="24"/>
          <w:szCs w:val="24"/>
        </w:rPr>
        <w:t>9</w:t>
      </w:r>
      <w:r w:rsidRPr="000E0DB5">
        <w:rPr>
          <w:rFonts w:ascii="Arial" w:eastAsia="TimesNewRomanPSMT" w:hAnsi="Arial" w:cs="Arial"/>
          <w:sz w:val="24"/>
          <w:szCs w:val="24"/>
        </w:rPr>
        <w:t xml:space="preserve"> and </w:t>
      </w:r>
      <w:r w:rsidRPr="000E0DB5">
        <w:rPr>
          <w:rFonts w:ascii="Arial" w:eastAsia="TimesNewRomanPSMT" w:hAnsi="Arial" w:cs="Arial"/>
          <w:b/>
          <w:bCs/>
          <w:sz w:val="24"/>
          <w:szCs w:val="24"/>
        </w:rPr>
        <w:t>10</w:t>
      </w:r>
      <w:r w:rsidRPr="000E0DB5">
        <w:rPr>
          <w:rFonts w:ascii="Arial" w:eastAsia="TimesNewRomanPSMT" w:hAnsi="Arial" w:cs="Arial"/>
          <w:sz w:val="24"/>
          <w:szCs w:val="24"/>
        </w:rPr>
        <w:t xml:space="preserve"> with good PSS using another wavelength</w:t>
      </w:r>
      <w:r w:rsidR="00421C8E" w:rsidRPr="000E0DB5">
        <w:rPr>
          <w:rFonts w:ascii="Arial" w:eastAsia="TimesNewRomanPSMT" w:hAnsi="Arial" w:cs="Arial"/>
          <w:sz w:val="24"/>
          <w:szCs w:val="24"/>
        </w:rPr>
        <w:t xml:space="preserve"> of light</w:t>
      </w:r>
      <w:r w:rsidRPr="000E0DB5">
        <w:rPr>
          <w:rFonts w:ascii="Arial" w:eastAsia="TimesNewRomanPSMT" w:hAnsi="Arial" w:cs="Arial"/>
          <w:sz w:val="24"/>
          <w:szCs w:val="24"/>
        </w:rPr>
        <w:t xml:space="preserve"> (Table 1). Lastly, in addition to </w:t>
      </w:r>
      <w:r w:rsidR="00C94E31" w:rsidRPr="000E0DB5">
        <w:rPr>
          <w:rFonts w:ascii="Arial" w:eastAsia="TimesNewRomanPSMT" w:hAnsi="Arial" w:cs="Arial"/>
          <w:sz w:val="24"/>
          <w:szCs w:val="24"/>
        </w:rPr>
        <w:t>favorable</w:t>
      </w:r>
      <w:r w:rsidRPr="000E0DB5">
        <w:rPr>
          <w:rFonts w:ascii="Arial" w:eastAsia="TimesNewRomanPSMT" w:hAnsi="Arial" w:cs="Arial"/>
          <w:sz w:val="24"/>
          <w:szCs w:val="24"/>
        </w:rPr>
        <w:t xml:space="preserve"> photochemical properties, the</w:t>
      </w:r>
      <w:r w:rsidR="00421C8E" w:rsidRPr="000E0DB5">
        <w:rPr>
          <w:rFonts w:ascii="Arial" w:eastAsia="TimesNewRomanPSMT" w:hAnsi="Arial" w:cs="Arial"/>
          <w:sz w:val="24"/>
          <w:szCs w:val="24"/>
        </w:rPr>
        <w:t>se</w:t>
      </w:r>
      <w:r w:rsidRPr="000E0DB5">
        <w:rPr>
          <w:rFonts w:ascii="Arial" w:eastAsia="TimesNewRomanPSMT" w:hAnsi="Arial" w:cs="Arial"/>
          <w:sz w:val="24"/>
          <w:szCs w:val="24"/>
        </w:rPr>
        <w:t xml:space="preserve"> novel photoswitchable degraders demonstrated good stability after multiple irradiation cycles and could withstand glutathione</w:t>
      </w:r>
      <w:r w:rsidR="00421C8E" w:rsidRPr="000E0DB5">
        <w:rPr>
          <w:rFonts w:ascii="Arial" w:eastAsia="TimesNewRomanPSMT" w:hAnsi="Arial" w:cs="Arial"/>
          <w:sz w:val="24"/>
          <w:szCs w:val="24"/>
        </w:rPr>
        <w:t xml:space="preserve"> without detectable reduction, suggesting they should be stable in cells</w:t>
      </w:r>
      <w:r w:rsidRPr="000E0DB5">
        <w:rPr>
          <w:rFonts w:ascii="Arial" w:eastAsia="TimesNewRomanPSMT" w:hAnsi="Arial" w:cs="Arial"/>
          <w:sz w:val="24"/>
          <w:szCs w:val="24"/>
        </w:rPr>
        <w:t>.</w:t>
      </w:r>
    </w:p>
    <w:p w14:paraId="199D1DF2" w14:textId="77777777" w:rsidR="000F026B" w:rsidRPr="00DF08D1" w:rsidRDefault="000F026B" w:rsidP="00DF08D1">
      <w:pPr>
        <w:tabs>
          <w:tab w:val="left" w:pos="2480"/>
        </w:tabs>
        <w:spacing w:line="480" w:lineRule="auto"/>
        <w:jc w:val="both"/>
        <w:rPr>
          <w:rFonts w:ascii="Arial" w:eastAsia="TimesNewRomanPSMT" w:hAnsi="Arial" w:cs="Arial"/>
          <w:sz w:val="24"/>
          <w:szCs w:val="24"/>
        </w:rPr>
      </w:pPr>
    </w:p>
    <w:p w14:paraId="77AB07FD" w14:textId="2B88E0E0" w:rsidR="002A7792" w:rsidRPr="000F026B" w:rsidRDefault="000F026B" w:rsidP="002A0A72">
      <w:pPr>
        <w:tabs>
          <w:tab w:val="left" w:pos="5488"/>
          <w:tab w:val="left" w:pos="6435"/>
        </w:tabs>
        <w:spacing w:line="480" w:lineRule="auto"/>
        <w:jc w:val="both"/>
        <w:rPr>
          <w:rFonts w:ascii="Arial" w:eastAsia="TimesNewRomanPSMT" w:hAnsi="Arial" w:cs="Arial"/>
          <w:sz w:val="24"/>
          <w:szCs w:val="24"/>
        </w:rPr>
      </w:pPr>
      <w:r>
        <w:rPr>
          <w:rFonts w:ascii="Arial" w:eastAsia="TimesNewRomanPSMT" w:hAnsi="Arial" w:cs="Arial"/>
          <w:sz w:val="24"/>
          <w:szCs w:val="24"/>
        </w:rPr>
        <w:t xml:space="preserve">3.2 </w:t>
      </w:r>
      <w:r w:rsidR="00BA65B6" w:rsidRPr="000F026B">
        <w:rPr>
          <w:rFonts w:ascii="Arial" w:eastAsia="TimesNewRomanPSMT" w:hAnsi="Arial" w:cs="Arial"/>
          <w:sz w:val="24"/>
          <w:szCs w:val="24"/>
        </w:rPr>
        <w:t xml:space="preserve">TAMING THE CHIMERA: </w:t>
      </w:r>
      <w:r w:rsidR="00BA65B6" w:rsidRPr="000F026B">
        <w:rPr>
          <w:rFonts w:ascii="Arial" w:eastAsia="TimesNewRomanPSMT" w:hAnsi="Arial" w:cs="Arial"/>
          <w:i/>
          <w:iCs/>
          <w:sz w:val="24"/>
          <w:szCs w:val="24"/>
        </w:rPr>
        <w:t>ON/OFF</w:t>
      </w:r>
      <w:r w:rsidR="004A482D" w:rsidRPr="000F026B">
        <w:rPr>
          <w:rFonts w:ascii="Arial" w:eastAsia="TimesNewRomanPSMT" w:hAnsi="Arial" w:cs="Arial"/>
          <w:sz w:val="24"/>
          <w:szCs w:val="24"/>
        </w:rPr>
        <w:t xml:space="preserve"> </w:t>
      </w:r>
      <w:r w:rsidR="00BA65B6" w:rsidRPr="000F026B">
        <w:rPr>
          <w:rFonts w:ascii="Arial" w:eastAsia="TimesNewRomanPSMT" w:hAnsi="Arial" w:cs="Arial"/>
          <w:sz w:val="24"/>
          <w:szCs w:val="24"/>
        </w:rPr>
        <w:t>SWITCHING</w:t>
      </w:r>
      <w:r w:rsidR="009570D0" w:rsidRPr="000F026B">
        <w:rPr>
          <w:rFonts w:ascii="Arial" w:eastAsia="TimesNewRomanPSMT" w:hAnsi="Arial" w:cs="Arial"/>
          <w:sz w:val="24"/>
          <w:szCs w:val="24"/>
        </w:rPr>
        <w:tab/>
      </w:r>
    </w:p>
    <w:p w14:paraId="0F8F5A12" w14:textId="0E7A82FD" w:rsidR="0083425F" w:rsidRDefault="004A482D" w:rsidP="002A0A72">
      <w:pPr>
        <w:tabs>
          <w:tab w:val="left" w:pos="5488"/>
          <w:tab w:val="left" w:pos="6435"/>
        </w:tabs>
        <w:spacing w:line="480" w:lineRule="auto"/>
        <w:jc w:val="both"/>
        <w:rPr>
          <w:rFonts w:ascii="Arial" w:eastAsia="TimesNewRomanPSMT" w:hAnsi="Arial" w:cs="Arial"/>
          <w:sz w:val="24"/>
          <w:szCs w:val="24"/>
        </w:rPr>
      </w:pPr>
      <w:r w:rsidRPr="000E0DB5">
        <w:rPr>
          <w:rFonts w:ascii="Arial" w:eastAsia="TimesNewRomanPSMT" w:hAnsi="Arial" w:cs="Arial"/>
          <w:sz w:val="24"/>
          <w:szCs w:val="24"/>
        </w:rPr>
        <w:t xml:space="preserve">With regard to degradation activity, the azobenzene photoswitch was generally well tolerated as </w:t>
      </w:r>
      <w:r w:rsidR="00421C8E" w:rsidRPr="000E0DB5">
        <w:rPr>
          <w:rFonts w:ascii="Arial" w:eastAsia="TimesNewRomanPSMT" w:hAnsi="Arial" w:cs="Arial"/>
          <w:sz w:val="24"/>
          <w:szCs w:val="24"/>
        </w:rPr>
        <w:t>an a</w:t>
      </w:r>
      <w:r w:rsidRPr="000E0DB5">
        <w:rPr>
          <w:rFonts w:ascii="Arial" w:eastAsia="TimesNewRomanPSMT" w:hAnsi="Arial" w:cs="Arial"/>
          <w:sz w:val="24"/>
          <w:szCs w:val="24"/>
        </w:rPr>
        <w:t xml:space="preserve">typical linker. The two isomers from compound </w:t>
      </w:r>
      <w:r w:rsidRPr="000E0DB5">
        <w:rPr>
          <w:rFonts w:ascii="Arial" w:eastAsia="TimesNewRomanPSMT" w:hAnsi="Arial" w:cs="Arial"/>
          <w:b/>
          <w:bCs/>
          <w:sz w:val="24"/>
          <w:szCs w:val="24"/>
        </w:rPr>
        <w:t>9</w:t>
      </w:r>
      <w:r w:rsidRPr="000E0DB5">
        <w:rPr>
          <w:rFonts w:ascii="Arial" w:eastAsia="TimesNewRomanPSMT" w:hAnsi="Arial" w:cs="Arial"/>
          <w:sz w:val="24"/>
          <w:szCs w:val="24"/>
        </w:rPr>
        <w:t>, based on pan-BET degrader ARV-771,</w:t>
      </w:r>
      <w:r w:rsidR="002A0A72" w:rsidRPr="000E0DB5">
        <w:rPr>
          <w:rFonts w:ascii="Arial" w:eastAsia="TimesNewRomanPSMT" w:hAnsi="Arial" w:cs="Arial"/>
          <w:sz w:val="24"/>
          <w:szCs w:val="24"/>
        </w:rPr>
        <w:fldChar w:fldCharType="begin" w:fldLock="1"/>
      </w:r>
      <w:r w:rsidR="005D6924">
        <w:rPr>
          <w:rFonts w:ascii="Arial" w:eastAsia="TimesNewRomanPSMT" w:hAnsi="Arial" w:cs="Arial"/>
          <w:sz w:val="24"/>
          <w:szCs w:val="24"/>
        </w:rPr>
        <w:instrText>ADDIN CSL_CITATION {"citationItems":[{"id":"ITEM-1","itemData":{"DOI":"10.1073/pnas.1521738113","ISSN":"10916490","abstract":"Prostate cancer has the second highest incidence among cancers in men worldwide and is the second leading cause of cancer deaths of men in the United States. Although androgen deprivation can initially lead to remission, the disease often progresses to castration-resistant prostate cancer (CRPC), which is still reliant on androgen receptor (AR) signaling and is associated with a poor prognosis. Some success against CRPC has been achieved by drugs that target AR signaling, but secondary resistance invariably emerges, and new therapies are urgently needed. Recently, inhibitors of bromodomain and extraterminal (BET) family proteins have shown growth-inhibitory activity in preclinical models of CRPC. Here, we demonstrate that ARV-771, a small-molecule pan-BET degrader based on proteolysis-targeting chimera (PROTAC) technology, demonstrates dramatically improved efficacy in cellular models of CRPC as compared with BET inhibition. Unlike BET inhibitors, ARV-771 results in suppression of both AR signaling and AR levels and leads to tumor regression in a CRPC mouse xenograft model. This study is, to our knowledge, the first to demonstrate efficacy with a small-molecule BET degrader in a solid-tumor malignancy and potentially represents an important therapeutic advance in the treatment of CRPC.","author":[{"dropping-particle":"","family":"Raina","given":"Kanak","non-dropping-particle":"","parse-names":false,"suffix":""},{"dropping-particle":"","family":"Lu","given":"Jing","non-dropping-particle":"","parse-names":false,"suffix":""},{"dropping-particle":"","family":"Qian","given":"Yimin","non-dropping-particle":"","parse-names":false,"suffix":""},{"dropping-particle":"","family":"Altieri","given":"Martha","non-dropping-particle":"","parse-names":false,"suffix":""},{"dropping-particle":"","family":"Gordon","given":"Deborah","non-dropping-particle":"","parse-names":false,"suffix":""},{"dropping-particle":"","family":"Rossi","given":"Ann Marie K.","non-dropping-particle":"","parse-names":false,"suffix":""},{"dropping-particle":"","family":"Wang","given":"Jing","non-dropping-particle":"","parse-names":false,"suffix":""},{"dropping-particle":"","family":"Chen","given":"Xin","non-dropping-particle":"","parse-names":false,"suffix":""},{"dropping-particle":"","family":"Dong","given":"Hanqing","non-dropping-particle":"","parse-names":false,"suffix":""},{"dropping-particle":"","family":"Siu","given":"Kam","non-dropping-particle":"","parse-names":false,"suffix":""},{"dropping-particle":"","family":"Winkler","given":"James D.","non-dropping-particle":"","parse-names":false,"suffix":""},{"dropping-particle":"","family":"Crew","given":"Andrew P.","non-dropping-particle":"","parse-names":false,"suffix":""},{"dropping-particle":"","family":"Crews","given":"Craig M.","non-dropping-particle":"","parse-names":false,"suffix":""},{"dropping-particle":"","family":"Coleman","given":"Kevin G.","non-dropping-particle":"","parse-names":false,"suffix":""}],"container-title":"Proceedings of the National Academy of Sciences of the United States of America","id":"ITEM-1","issue":"26","issued":{"date-parts":[["2016"]]},"page":"7124-7129","title":"PROTAC-induced BET protein degradation as a therapy for castration-resistant prostate cancer","type":"article-journal","volume":"113"},"uris":["http://www.mendeley.com/documents/?uuid=aefcd360-762f-4270-aa02-7e1bda3a3d20"]}],"mendeley":{"formattedCitation":"&lt;sup&gt;62&lt;/sup&gt;","plainTextFormattedCitation":"62","previouslyFormattedCitation":"&lt;sup&gt;63&lt;/sup&gt;"},"properties":{"noteIndex":0},"schema":"https://github.com/citation-style-language/schema/raw/master/csl-citation.json"}</w:instrText>
      </w:r>
      <w:r w:rsidR="002A0A72" w:rsidRPr="000E0DB5">
        <w:rPr>
          <w:rFonts w:ascii="Arial" w:eastAsia="TimesNewRomanPSMT" w:hAnsi="Arial" w:cs="Arial"/>
          <w:sz w:val="24"/>
          <w:szCs w:val="24"/>
        </w:rPr>
        <w:fldChar w:fldCharType="separate"/>
      </w:r>
      <w:r w:rsidR="005D6924" w:rsidRPr="005D6924">
        <w:rPr>
          <w:rFonts w:ascii="Arial" w:eastAsia="TimesNewRomanPSMT" w:hAnsi="Arial" w:cs="Arial"/>
          <w:noProof/>
          <w:sz w:val="24"/>
          <w:szCs w:val="24"/>
          <w:vertAlign w:val="superscript"/>
        </w:rPr>
        <w:t>62</w:t>
      </w:r>
      <w:r w:rsidR="002A0A72" w:rsidRPr="000E0DB5">
        <w:rPr>
          <w:rFonts w:ascii="Arial" w:eastAsia="TimesNewRomanPSMT" w:hAnsi="Arial" w:cs="Arial"/>
          <w:sz w:val="24"/>
          <w:szCs w:val="24"/>
        </w:rPr>
        <w:fldChar w:fldCharType="end"/>
      </w:r>
      <w:r w:rsidR="005F2865" w:rsidRPr="000E0DB5">
        <w:rPr>
          <w:rFonts w:ascii="Arial" w:eastAsia="TimesNewRomanPSMT" w:hAnsi="Arial" w:cs="Arial"/>
          <w:sz w:val="24"/>
          <w:szCs w:val="24"/>
        </w:rPr>
        <w:t xml:space="preserve"> </w:t>
      </w:r>
      <w:r w:rsidRPr="000E0DB5">
        <w:rPr>
          <w:rFonts w:ascii="Arial" w:eastAsia="TimesNewRomanPSMT" w:hAnsi="Arial" w:cs="Arial"/>
          <w:sz w:val="24"/>
          <w:szCs w:val="24"/>
        </w:rPr>
        <w:t>displayed a different degradation profile towards BRD2 (</w:t>
      </w:r>
      <w:r w:rsidR="00527B18" w:rsidRPr="000E0DB5">
        <w:rPr>
          <w:rFonts w:ascii="Arial" w:eastAsia="TimesNewRomanPSMT" w:hAnsi="Arial" w:cs="Arial"/>
          <w:i/>
          <w:iCs/>
          <w:sz w:val="24"/>
          <w:szCs w:val="24"/>
        </w:rPr>
        <w:t>trans</w:t>
      </w:r>
      <w:r w:rsidRPr="000E0DB5">
        <w:rPr>
          <w:rFonts w:ascii="Arial" w:eastAsia="TimesNewRomanPSMT" w:hAnsi="Arial" w:cs="Arial"/>
          <w:sz w:val="24"/>
          <w:szCs w:val="24"/>
        </w:rPr>
        <w:t xml:space="preserve"> active, </w:t>
      </w:r>
      <w:r w:rsidR="00527B18" w:rsidRPr="000E0DB5">
        <w:rPr>
          <w:rFonts w:ascii="Arial" w:eastAsia="TimesNewRomanPSMT" w:hAnsi="Arial" w:cs="Arial"/>
          <w:i/>
          <w:iCs/>
          <w:sz w:val="24"/>
          <w:szCs w:val="24"/>
        </w:rPr>
        <w:t>cis</w:t>
      </w:r>
      <w:r w:rsidRPr="000E0DB5">
        <w:rPr>
          <w:rFonts w:ascii="Arial" w:eastAsia="TimesNewRomanPSMT" w:hAnsi="Arial" w:cs="Arial"/>
          <w:sz w:val="24"/>
          <w:szCs w:val="24"/>
        </w:rPr>
        <w:t xml:space="preserve"> inactive) while leaving BRD4 unaffected (Figure 5</w:t>
      </w:r>
      <w:r w:rsidR="00DF08D1">
        <w:rPr>
          <w:rFonts w:ascii="Arial" w:eastAsia="TimesNewRomanPSMT" w:hAnsi="Arial" w:cs="Arial"/>
          <w:sz w:val="24"/>
          <w:szCs w:val="24"/>
        </w:rPr>
        <w:t>B</w:t>
      </w:r>
      <w:r w:rsidRPr="000E0DB5">
        <w:rPr>
          <w:rFonts w:ascii="Arial" w:eastAsia="TimesNewRomanPSMT" w:hAnsi="Arial" w:cs="Arial"/>
          <w:sz w:val="24"/>
          <w:szCs w:val="24"/>
        </w:rPr>
        <w:t xml:space="preserve">).This selectivity towards BRD2 was partly attributed to the unusual inverse amide bond connecting JQ1 to the </w:t>
      </w:r>
      <w:r w:rsidRPr="000E0DB5">
        <w:rPr>
          <w:rFonts w:ascii="Arial" w:eastAsia="TimesNewRomanPSMT" w:hAnsi="Arial" w:cs="Arial"/>
          <w:i/>
          <w:iCs/>
          <w:sz w:val="24"/>
          <w:szCs w:val="24"/>
        </w:rPr>
        <w:t>ortho</w:t>
      </w:r>
      <w:r w:rsidRPr="000E0DB5">
        <w:rPr>
          <w:rFonts w:ascii="Arial" w:eastAsia="TimesNewRomanPSMT" w:hAnsi="Arial" w:cs="Arial"/>
          <w:sz w:val="24"/>
          <w:szCs w:val="24"/>
        </w:rPr>
        <w:t>-F</w:t>
      </w:r>
      <w:r w:rsidRPr="000E0DB5">
        <w:rPr>
          <w:rFonts w:ascii="Arial" w:eastAsia="TimesNewRomanPSMT" w:hAnsi="Arial" w:cs="Arial"/>
          <w:sz w:val="24"/>
          <w:szCs w:val="24"/>
          <w:vertAlign w:val="subscript"/>
        </w:rPr>
        <w:t>4</w:t>
      </w:r>
      <w:r w:rsidRPr="000E0DB5">
        <w:rPr>
          <w:rFonts w:ascii="Arial" w:eastAsia="TimesNewRomanPSMT" w:hAnsi="Arial" w:cs="Arial"/>
          <w:sz w:val="24"/>
          <w:szCs w:val="24"/>
        </w:rPr>
        <w:t xml:space="preserve">-azobenzene moiety. In contrast, compound </w:t>
      </w:r>
      <w:r w:rsidRPr="000E0DB5">
        <w:rPr>
          <w:rFonts w:ascii="Arial" w:eastAsia="TimesNewRomanPSMT" w:hAnsi="Arial" w:cs="Arial"/>
          <w:b/>
          <w:bCs/>
          <w:sz w:val="24"/>
          <w:szCs w:val="24"/>
        </w:rPr>
        <w:t>10</w:t>
      </w:r>
      <w:r w:rsidRPr="000E0DB5">
        <w:rPr>
          <w:rFonts w:ascii="Arial" w:eastAsia="TimesNewRomanPSMT" w:hAnsi="Arial" w:cs="Arial"/>
          <w:sz w:val="24"/>
          <w:szCs w:val="24"/>
        </w:rPr>
        <w:t xml:space="preserve"> showed an opposite activity profile with the </w:t>
      </w:r>
      <w:r w:rsidR="00527B18" w:rsidRPr="000E0DB5">
        <w:rPr>
          <w:rFonts w:ascii="Arial" w:eastAsia="TimesNewRomanPSMT" w:hAnsi="Arial" w:cs="Arial"/>
          <w:i/>
          <w:iCs/>
          <w:sz w:val="24"/>
          <w:szCs w:val="24"/>
        </w:rPr>
        <w:t>cis</w:t>
      </w:r>
      <w:r w:rsidRPr="000E0DB5">
        <w:rPr>
          <w:rFonts w:ascii="Arial" w:eastAsia="TimesNewRomanPSMT" w:hAnsi="Arial" w:cs="Arial"/>
          <w:sz w:val="24"/>
          <w:szCs w:val="24"/>
        </w:rPr>
        <w:t xml:space="preserve"> isomer able to degrade BRD3, BRD4 and to a lesser extent BRD2, whereas the </w:t>
      </w:r>
      <w:r w:rsidR="00527B18" w:rsidRPr="000E0DB5">
        <w:rPr>
          <w:rFonts w:ascii="Arial" w:eastAsia="TimesNewRomanPSMT" w:hAnsi="Arial" w:cs="Arial"/>
          <w:i/>
          <w:iCs/>
          <w:sz w:val="24"/>
          <w:szCs w:val="24"/>
        </w:rPr>
        <w:t>trans</w:t>
      </w:r>
      <w:r w:rsidRPr="000E0DB5">
        <w:rPr>
          <w:rFonts w:ascii="Arial" w:eastAsia="TimesNewRomanPSMT" w:hAnsi="Arial" w:cs="Arial"/>
          <w:sz w:val="24"/>
          <w:szCs w:val="24"/>
        </w:rPr>
        <w:t xml:space="preserve"> isomer was completely inactive towards all BRDs (Figure 5</w:t>
      </w:r>
      <w:r w:rsidR="00DF08D1">
        <w:rPr>
          <w:rFonts w:ascii="Arial" w:eastAsia="TimesNewRomanPSMT" w:hAnsi="Arial" w:cs="Arial"/>
          <w:sz w:val="24"/>
          <w:szCs w:val="24"/>
        </w:rPr>
        <w:t>C</w:t>
      </w:r>
      <w:r w:rsidRPr="000E0DB5">
        <w:rPr>
          <w:rFonts w:ascii="Arial" w:eastAsia="TimesNewRomanPSMT" w:hAnsi="Arial" w:cs="Arial"/>
          <w:sz w:val="24"/>
          <w:szCs w:val="24"/>
        </w:rPr>
        <w:t xml:space="preserve">). With the photoswitch embedded in the E3 ligase ligand, considerable changes in binary interactions (with </w:t>
      </w:r>
      <w:r w:rsidR="000F026B">
        <w:rPr>
          <w:rFonts w:ascii="Arial" w:eastAsia="TimesNewRomanPSMT" w:hAnsi="Arial" w:cs="Arial"/>
          <w:sz w:val="24"/>
          <w:szCs w:val="24"/>
        </w:rPr>
        <w:t>C</w:t>
      </w:r>
      <w:r w:rsidR="000F026B" w:rsidRPr="000E0DB5">
        <w:rPr>
          <w:rFonts w:ascii="Arial" w:eastAsia="TimesNewRomanPSMT" w:hAnsi="Arial" w:cs="Arial"/>
          <w:sz w:val="24"/>
          <w:szCs w:val="24"/>
        </w:rPr>
        <w:t>ereblon</w:t>
      </w:r>
      <w:r w:rsidRPr="000E0DB5">
        <w:rPr>
          <w:rFonts w:ascii="Arial" w:eastAsia="TimesNewRomanPSMT" w:hAnsi="Arial" w:cs="Arial"/>
          <w:sz w:val="24"/>
          <w:szCs w:val="24"/>
        </w:rPr>
        <w:t xml:space="preserve"> E3 ligase) but also in ternary complex formation </w:t>
      </w:r>
      <w:r w:rsidR="00BA45F6" w:rsidRPr="000E0DB5">
        <w:rPr>
          <w:rFonts w:ascii="Arial" w:eastAsia="TimesNewRomanPSMT" w:hAnsi="Arial" w:cs="Arial"/>
          <w:sz w:val="24"/>
          <w:szCs w:val="24"/>
        </w:rPr>
        <w:t>would be</w:t>
      </w:r>
      <w:r w:rsidRPr="000E0DB5">
        <w:rPr>
          <w:rFonts w:ascii="Arial" w:eastAsia="TimesNewRomanPSMT" w:hAnsi="Arial" w:cs="Arial"/>
          <w:sz w:val="24"/>
          <w:szCs w:val="24"/>
        </w:rPr>
        <w:t xml:space="preserve"> expected upon isomerization of </w:t>
      </w:r>
      <w:r w:rsidRPr="000E0DB5">
        <w:rPr>
          <w:rFonts w:ascii="Arial" w:eastAsia="TimesNewRomanPSMT" w:hAnsi="Arial" w:cs="Arial"/>
          <w:b/>
          <w:bCs/>
          <w:sz w:val="24"/>
          <w:szCs w:val="24"/>
        </w:rPr>
        <w:t>10</w:t>
      </w:r>
      <w:r w:rsidRPr="000E0DB5">
        <w:rPr>
          <w:rFonts w:ascii="Arial" w:eastAsia="TimesNewRomanPSMT" w:hAnsi="Arial" w:cs="Arial"/>
          <w:sz w:val="24"/>
          <w:szCs w:val="24"/>
        </w:rPr>
        <w:t xml:space="preserve"> and presumably le</w:t>
      </w:r>
      <w:r w:rsidR="00BA45F6" w:rsidRPr="000E0DB5">
        <w:rPr>
          <w:rFonts w:ascii="Arial" w:eastAsia="TimesNewRomanPSMT" w:hAnsi="Arial" w:cs="Arial"/>
          <w:sz w:val="24"/>
          <w:szCs w:val="24"/>
        </w:rPr>
        <w:t>a</w:t>
      </w:r>
      <w:r w:rsidRPr="000E0DB5">
        <w:rPr>
          <w:rFonts w:ascii="Arial" w:eastAsia="TimesNewRomanPSMT" w:hAnsi="Arial" w:cs="Arial"/>
          <w:sz w:val="24"/>
          <w:szCs w:val="24"/>
        </w:rPr>
        <w:t xml:space="preserve">d to this distinctive degradation outcome. As for compound </w:t>
      </w:r>
      <w:r w:rsidRPr="000E0DB5">
        <w:rPr>
          <w:rFonts w:ascii="Arial" w:eastAsia="TimesNewRomanPSMT" w:hAnsi="Arial" w:cs="Arial"/>
          <w:b/>
          <w:bCs/>
          <w:sz w:val="24"/>
          <w:szCs w:val="24"/>
        </w:rPr>
        <w:t xml:space="preserve">11, </w:t>
      </w:r>
      <w:r w:rsidRPr="000E0DB5">
        <w:rPr>
          <w:rFonts w:ascii="Arial" w:eastAsia="TimesNewRomanPSMT" w:hAnsi="Arial" w:cs="Arial"/>
          <w:sz w:val="24"/>
          <w:szCs w:val="24"/>
        </w:rPr>
        <w:t xml:space="preserve">its </w:t>
      </w:r>
      <w:r w:rsidR="00527B18" w:rsidRPr="000E0DB5">
        <w:rPr>
          <w:rFonts w:ascii="Arial" w:eastAsia="TimesNewRomanPSMT" w:hAnsi="Arial" w:cs="Arial"/>
          <w:i/>
          <w:iCs/>
          <w:sz w:val="24"/>
          <w:szCs w:val="24"/>
        </w:rPr>
        <w:t>trans</w:t>
      </w:r>
      <w:r w:rsidRPr="000E0DB5">
        <w:rPr>
          <w:rFonts w:ascii="Arial" w:eastAsia="TimesNewRomanPSMT" w:hAnsi="Arial" w:cs="Arial"/>
          <w:sz w:val="24"/>
          <w:szCs w:val="24"/>
        </w:rPr>
        <w:t xml:space="preserve"> isomer degraded BCR-ABL fusion protein and ABL while its </w:t>
      </w:r>
      <w:r w:rsidR="00527B18" w:rsidRPr="000E0DB5">
        <w:rPr>
          <w:rFonts w:ascii="Arial" w:eastAsia="TimesNewRomanPSMT" w:hAnsi="Arial" w:cs="Arial"/>
          <w:i/>
          <w:iCs/>
          <w:sz w:val="24"/>
          <w:szCs w:val="24"/>
        </w:rPr>
        <w:t>cis</w:t>
      </w:r>
      <w:r w:rsidRPr="000E0DB5">
        <w:rPr>
          <w:rFonts w:ascii="Arial" w:eastAsia="TimesNewRomanPSMT" w:hAnsi="Arial" w:cs="Arial"/>
          <w:sz w:val="24"/>
          <w:szCs w:val="24"/>
        </w:rPr>
        <w:t xml:space="preserve"> isomer did not affect the levels of those proteins (Figure 5</w:t>
      </w:r>
      <w:r w:rsidR="00DF08D1">
        <w:rPr>
          <w:rFonts w:ascii="Arial" w:eastAsia="TimesNewRomanPSMT" w:hAnsi="Arial" w:cs="Arial"/>
          <w:sz w:val="24"/>
          <w:szCs w:val="24"/>
        </w:rPr>
        <w:t>D</w:t>
      </w:r>
      <w:r w:rsidRPr="000E0DB5">
        <w:rPr>
          <w:rFonts w:ascii="Arial" w:eastAsia="TimesNewRomanPSMT" w:hAnsi="Arial" w:cs="Arial"/>
          <w:sz w:val="24"/>
          <w:szCs w:val="24"/>
        </w:rPr>
        <w:t xml:space="preserve">). It is worth noting that although the pairs of isomers </w:t>
      </w:r>
      <w:r w:rsidR="00BA45F6" w:rsidRPr="000E0DB5">
        <w:rPr>
          <w:rFonts w:ascii="Arial" w:eastAsia="TimesNewRomanPSMT" w:hAnsi="Arial" w:cs="Arial"/>
          <w:sz w:val="24"/>
          <w:szCs w:val="24"/>
        </w:rPr>
        <w:t xml:space="preserve">of </w:t>
      </w:r>
      <w:r w:rsidRPr="000E0DB5">
        <w:rPr>
          <w:rFonts w:ascii="Arial" w:eastAsia="TimesNewRomanPSMT" w:hAnsi="Arial" w:cs="Arial"/>
          <w:b/>
          <w:bCs/>
          <w:sz w:val="24"/>
          <w:szCs w:val="24"/>
        </w:rPr>
        <w:t>9</w:t>
      </w:r>
      <w:r w:rsidRPr="000E0DB5">
        <w:rPr>
          <w:rFonts w:ascii="Arial" w:eastAsia="TimesNewRomanPSMT" w:hAnsi="Arial" w:cs="Arial"/>
          <w:sz w:val="24"/>
          <w:szCs w:val="24"/>
        </w:rPr>
        <w:t xml:space="preserve">, </w:t>
      </w:r>
      <w:r w:rsidRPr="000E0DB5">
        <w:rPr>
          <w:rFonts w:ascii="Arial" w:eastAsia="TimesNewRomanPSMT" w:hAnsi="Arial" w:cs="Arial"/>
          <w:b/>
          <w:bCs/>
          <w:sz w:val="24"/>
          <w:szCs w:val="24"/>
        </w:rPr>
        <w:t>10</w:t>
      </w:r>
      <w:r w:rsidRPr="000E0DB5">
        <w:rPr>
          <w:rFonts w:ascii="Arial" w:eastAsia="TimesNewRomanPSMT" w:hAnsi="Arial" w:cs="Arial"/>
          <w:sz w:val="24"/>
          <w:szCs w:val="24"/>
        </w:rPr>
        <w:t xml:space="preserve"> and </w:t>
      </w:r>
      <w:r w:rsidRPr="000E0DB5">
        <w:rPr>
          <w:rFonts w:ascii="Arial" w:eastAsia="TimesNewRomanPSMT" w:hAnsi="Arial" w:cs="Arial"/>
          <w:b/>
          <w:bCs/>
          <w:sz w:val="24"/>
          <w:szCs w:val="24"/>
        </w:rPr>
        <w:t>11</w:t>
      </w:r>
      <w:r w:rsidRPr="000E0DB5">
        <w:rPr>
          <w:rFonts w:ascii="Arial" w:eastAsia="TimesNewRomanPSMT" w:hAnsi="Arial" w:cs="Arial"/>
          <w:sz w:val="24"/>
          <w:szCs w:val="24"/>
        </w:rPr>
        <w:t xml:space="preserve"> showed remarkably</w:t>
      </w:r>
      <w:r w:rsidR="00DF08D1">
        <w:rPr>
          <w:rFonts w:ascii="Arial" w:eastAsia="TimesNewRomanPSMT" w:hAnsi="Arial" w:cs="Arial"/>
          <w:sz w:val="24"/>
          <w:szCs w:val="24"/>
        </w:rPr>
        <w:t xml:space="preserve"> </w:t>
      </w:r>
      <w:r w:rsidRPr="000E0DB5">
        <w:rPr>
          <w:rFonts w:ascii="Arial" w:eastAsia="TimesNewRomanPSMT" w:hAnsi="Arial" w:cs="Arial"/>
          <w:sz w:val="24"/>
          <w:szCs w:val="24"/>
        </w:rPr>
        <w:t xml:space="preserve">unique degradation profiles between </w:t>
      </w:r>
      <w:r w:rsidR="00527B18" w:rsidRPr="000E0DB5">
        <w:rPr>
          <w:rFonts w:ascii="Arial" w:eastAsia="TimesNewRomanPSMT" w:hAnsi="Arial" w:cs="Arial"/>
          <w:i/>
          <w:iCs/>
          <w:sz w:val="24"/>
          <w:szCs w:val="24"/>
        </w:rPr>
        <w:t>cis</w:t>
      </w:r>
      <w:r w:rsidRPr="000E0DB5">
        <w:rPr>
          <w:rFonts w:ascii="Arial" w:eastAsia="TimesNewRomanPSMT" w:hAnsi="Arial" w:cs="Arial"/>
          <w:sz w:val="24"/>
          <w:szCs w:val="24"/>
        </w:rPr>
        <w:t xml:space="preserve"> and </w:t>
      </w:r>
      <w:r w:rsidR="00527B18" w:rsidRPr="000E0DB5">
        <w:rPr>
          <w:rFonts w:ascii="Arial" w:eastAsia="TimesNewRomanPSMT" w:hAnsi="Arial" w:cs="Arial"/>
          <w:i/>
          <w:iCs/>
          <w:sz w:val="24"/>
          <w:szCs w:val="24"/>
        </w:rPr>
        <w:t>trans</w:t>
      </w:r>
      <w:r w:rsidRPr="000E0DB5">
        <w:rPr>
          <w:rFonts w:ascii="Arial" w:eastAsia="TimesNewRomanPSMT" w:hAnsi="Arial" w:cs="Arial"/>
          <w:sz w:val="24"/>
          <w:szCs w:val="24"/>
        </w:rPr>
        <w:t xml:space="preserve">, many of the related compounds </w:t>
      </w:r>
      <w:r w:rsidR="001A415B" w:rsidRPr="000E0DB5">
        <w:rPr>
          <w:rFonts w:ascii="Arial" w:eastAsia="TimesNewRomanPSMT" w:hAnsi="Arial" w:cs="Arial"/>
          <w:sz w:val="24"/>
          <w:szCs w:val="24"/>
        </w:rPr>
        <w:t>synthesized</w:t>
      </w:r>
      <w:r w:rsidRPr="000E0DB5">
        <w:rPr>
          <w:rFonts w:ascii="Arial" w:eastAsia="TimesNewRomanPSMT" w:hAnsi="Arial" w:cs="Arial"/>
          <w:sz w:val="24"/>
          <w:szCs w:val="24"/>
        </w:rPr>
        <w:t xml:space="preserve"> in the course of those studies did not exhibit a clear</w:t>
      </w:r>
      <w:r w:rsidR="00BA45F6" w:rsidRPr="000E0DB5">
        <w:rPr>
          <w:rFonts w:ascii="Arial" w:eastAsia="TimesNewRomanPSMT" w:hAnsi="Arial" w:cs="Arial"/>
          <w:sz w:val="24"/>
          <w:szCs w:val="24"/>
        </w:rPr>
        <w:t>ly</w:t>
      </w:r>
      <w:r w:rsidRPr="000E0DB5">
        <w:rPr>
          <w:rFonts w:ascii="Arial" w:eastAsia="TimesNewRomanPSMT" w:hAnsi="Arial" w:cs="Arial"/>
          <w:sz w:val="24"/>
          <w:szCs w:val="24"/>
        </w:rPr>
        <w:t xml:space="preserve"> </w:t>
      </w:r>
      <w:r w:rsidR="00BA45F6" w:rsidRPr="000E0DB5">
        <w:rPr>
          <w:rFonts w:ascii="Arial" w:eastAsia="TimesNewRomanPSMT" w:hAnsi="Arial" w:cs="Arial"/>
          <w:sz w:val="24"/>
          <w:szCs w:val="24"/>
        </w:rPr>
        <w:t xml:space="preserve">differentiated </w:t>
      </w:r>
      <w:r w:rsidRPr="000E0DB5">
        <w:rPr>
          <w:rFonts w:ascii="Arial" w:eastAsia="TimesNewRomanPSMT" w:hAnsi="Arial" w:cs="Arial"/>
          <w:sz w:val="24"/>
          <w:szCs w:val="24"/>
        </w:rPr>
        <w:t>effect. The extensive investigation from Trauner’s lab which reported a total of 1</w:t>
      </w:r>
      <w:r w:rsidR="00CA3A1E">
        <w:rPr>
          <w:rFonts w:ascii="Arial" w:eastAsia="TimesNewRomanPSMT" w:hAnsi="Arial" w:cs="Arial"/>
          <w:sz w:val="24"/>
          <w:szCs w:val="24"/>
        </w:rPr>
        <w:t>9</w:t>
      </w:r>
      <w:r w:rsidRPr="000E0DB5">
        <w:rPr>
          <w:rFonts w:ascii="Arial" w:eastAsia="TimesNewRomanPSMT" w:hAnsi="Arial" w:cs="Arial"/>
          <w:sz w:val="24"/>
          <w:szCs w:val="24"/>
        </w:rPr>
        <w:t xml:space="preserve"> photoswitchable degraders </w:t>
      </w:r>
      <w:r w:rsidR="00CA3A1E">
        <w:rPr>
          <w:rFonts w:ascii="Arial" w:eastAsia="TimesNewRomanPSMT" w:hAnsi="Arial" w:cs="Arial"/>
          <w:sz w:val="24"/>
          <w:szCs w:val="24"/>
        </w:rPr>
        <w:t>including</w:t>
      </w:r>
      <w:r w:rsidRPr="000E0DB5">
        <w:rPr>
          <w:rFonts w:ascii="Arial" w:eastAsia="TimesNewRomanPSMT" w:hAnsi="Arial" w:cs="Arial"/>
          <w:sz w:val="24"/>
          <w:szCs w:val="24"/>
        </w:rPr>
        <w:t xml:space="preserve"> </w:t>
      </w:r>
      <w:r w:rsidR="004C010F">
        <w:rPr>
          <w:rFonts w:ascii="Arial" w:eastAsia="TimesNewRomanPSMT" w:hAnsi="Arial" w:cs="Arial"/>
          <w:sz w:val="24"/>
          <w:szCs w:val="24"/>
        </w:rPr>
        <w:t xml:space="preserve">6 </w:t>
      </w:r>
      <w:r w:rsidR="00BE4602">
        <w:rPr>
          <w:rFonts w:ascii="Arial" w:eastAsia="TimesNewRomanPSMT" w:hAnsi="Arial" w:cs="Arial"/>
          <w:sz w:val="24"/>
          <w:szCs w:val="24"/>
        </w:rPr>
        <w:t xml:space="preserve">targeting </w:t>
      </w:r>
      <w:r w:rsidRPr="000E0DB5">
        <w:rPr>
          <w:rFonts w:ascii="Arial" w:eastAsia="TimesNewRomanPSMT" w:hAnsi="Arial" w:cs="Arial"/>
          <w:sz w:val="24"/>
          <w:szCs w:val="24"/>
        </w:rPr>
        <w:t xml:space="preserve">the prolyl </w:t>
      </w:r>
      <w:r w:rsidR="00527B18" w:rsidRPr="000E0DB5">
        <w:rPr>
          <w:rFonts w:ascii="Arial" w:eastAsia="TimesNewRomanPSMT" w:hAnsi="Arial" w:cs="Arial"/>
          <w:i/>
          <w:iCs/>
          <w:sz w:val="24"/>
          <w:szCs w:val="24"/>
        </w:rPr>
        <w:t>cis</w:t>
      </w:r>
      <w:r w:rsidRPr="000E0DB5">
        <w:rPr>
          <w:rFonts w:ascii="Arial" w:eastAsia="TimesNewRomanPSMT" w:hAnsi="Arial" w:cs="Arial"/>
          <w:sz w:val="24"/>
          <w:szCs w:val="24"/>
        </w:rPr>
        <w:t>-</w:t>
      </w:r>
      <w:r w:rsidR="00527B18" w:rsidRPr="000E0DB5">
        <w:rPr>
          <w:rFonts w:ascii="Arial" w:eastAsia="TimesNewRomanPSMT" w:hAnsi="Arial" w:cs="Arial"/>
          <w:i/>
          <w:iCs/>
          <w:sz w:val="24"/>
          <w:szCs w:val="24"/>
        </w:rPr>
        <w:t>trans</w:t>
      </w:r>
      <w:r w:rsidRPr="000E0DB5">
        <w:rPr>
          <w:rFonts w:ascii="Arial" w:eastAsia="TimesNewRomanPSMT" w:hAnsi="Arial" w:cs="Arial"/>
          <w:sz w:val="24"/>
          <w:szCs w:val="24"/>
        </w:rPr>
        <w:t xml:space="preserve"> isomerase FKBP12 suggests that linker length is one critical factor among </w:t>
      </w:r>
      <w:r w:rsidR="00BA45F6" w:rsidRPr="000E0DB5">
        <w:rPr>
          <w:rFonts w:ascii="Arial" w:eastAsia="TimesNewRomanPSMT" w:hAnsi="Arial" w:cs="Arial"/>
          <w:sz w:val="24"/>
          <w:szCs w:val="24"/>
        </w:rPr>
        <w:t xml:space="preserve">several </w:t>
      </w:r>
      <w:r w:rsidRPr="000E0DB5">
        <w:rPr>
          <w:rFonts w:ascii="Arial" w:eastAsia="TimesNewRomanPSMT" w:hAnsi="Arial" w:cs="Arial"/>
          <w:sz w:val="24"/>
          <w:szCs w:val="24"/>
        </w:rPr>
        <w:t>influencing the activity profile of the two geometrical isomers</w:t>
      </w:r>
      <w:r w:rsidR="004046C8">
        <w:rPr>
          <w:rFonts w:ascii="Arial" w:eastAsia="TimesNewRomanPSMT" w:hAnsi="Arial" w:cs="Arial"/>
          <w:sz w:val="24"/>
          <w:szCs w:val="24"/>
        </w:rPr>
        <w:t xml:space="preserve"> (Figure 6)</w:t>
      </w:r>
      <w:r w:rsidRPr="000E0DB5">
        <w:rPr>
          <w:rFonts w:ascii="Arial" w:eastAsia="TimesNewRomanPSMT" w:hAnsi="Arial" w:cs="Arial"/>
          <w:sz w:val="24"/>
          <w:szCs w:val="24"/>
        </w:rPr>
        <w:t>. Taken together, those results highlight the need for additional tools to guide the design of reversible light-activated degraders</w:t>
      </w:r>
      <w:r w:rsidR="00BA45F6" w:rsidRPr="000E0DB5">
        <w:rPr>
          <w:rFonts w:ascii="Arial" w:eastAsia="TimesNewRomanPSMT" w:hAnsi="Arial" w:cs="Arial"/>
          <w:sz w:val="24"/>
          <w:szCs w:val="24"/>
        </w:rPr>
        <w:t>,</w:t>
      </w:r>
      <w:r w:rsidRPr="000E0DB5">
        <w:rPr>
          <w:rFonts w:ascii="Arial" w:eastAsia="TimesNewRomanPSMT" w:hAnsi="Arial" w:cs="Arial"/>
          <w:sz w:val="24"/>
          <w:szCs w:val="24"/>
        </w:rPr>
        <w:t xml:space="preserve"> and </w:t>
      </w:r>
      <w:r w:rsidR="00BA45F6" w:rsidRPr="000E0DB5">
        <w:rPr>
          <w:rFonts w:ascii="Arial" w:eastAsia="TimesNewRomanPSMT" w:hAnsi="Arial" w:cs="Arial"/>
          <w:sz w:val="24"/>
          <w:szCs w:val="24"/>
        </w:rPr>
        <w:t xml:space="preserve">to </w:t>
      </w:r>
      <w:r w:rsidRPr="000E0DB5">
        <w:rPr>
          <w:rFonts w:ascii="Arial" w:eastAsia="TimesNewRomanPSMT" w:hAnsi="Arial" w:cs="Arial"/>
          <w:sz w:val="24"/>
          <w:szCs w:val="24"/>
        </w:rPr>
        <w:t xml:space="preserve">better understand their mode of action. </w:t>
      </w:r>
    </w:p>
    <w:p w14:paraId="06C7FC9C" w14:textId="24BC2CC1" w:rsidR="0083425F" w:rsidRDefault="0083425F" w:rsidP="002A0A72">
      <w:pPr>
        <w:tabs>
          <w:tab w:val="left" w:pos="5488"/>
          <w:tab w:val="left" w:pos="6435"/>
        </w:tabs>
        <w:spacing w:line="480" w:lineRule="auto"/>
        <w:jc w:val="both"/>
        <w:rPr>
          <w:rFonts w:ascii="Arial" w:eastAsia="TimesNewRomanPSMT" w:hAnsi="Arial" w:cs="Arial"/>
          <w:noProof/>
          <w:sz w:val="24"/>
          <w:szCs w:val="24"/>
        </w:rPr>
      </w:pPr>
    </w:p>
    <w:p w14:paraId="620DAAB9" w14:textId="4DAB8682" w:rsidR="00593270" w:rsidRDefault="00593270" w:rsidP="002A0A72">
      <w:pPr>
        <w:tabs>
          <w:tab w:val="left" w:pos="5488"/>
          <w:tab w:val="left" w:pos="6435"/>
        </w:tabs>
        <w:spacing w:line="480" w:lineRule="auto"/>
        <w:jc w:val="both"/>
        <w:rPr>
          <w:rFonts w:ascii="Arial" w:eastAsia="TimesNewRomanPSMT" w:hAnsi="Arial" w:cs="Arial"/>
          <w:noProof/>
          <w:sz w:val="24"/>
          <w:szCs w:val="24"/>
        </w:rPr>
      </w:pPr>
    </w:p>
    <w:p w14:paraId="48540683" w14:textId="5A8AAEE6" w:rsidR="00593270" w:rsidRDefault="00593270" w:rsidP="002A0A72">
      <w:pPr>
        <w:tabs>
          <w:tab w:val="left" w:pos="5488"/>
          <w:tab w:val="left" w:pos="6435"/>
        </w:tabs>
        <w:spacing w:line="480" w:lineRule="auto"/>
        <w:jc w:val="both"/>
        <w:rPr>
          <w:rFonts w:ascii="Arial" w:eastAsia="TimesNewRomanPSMT" w:hAnsi="Arial" w:cs="Arial"/>
          <w:noProof/>
          <w:sz w:val="24"/>
          <w:szCs w:val="24"/>
        </w:rPr>
      </w:pPr>
    </w:p>
    <w:p w14:paraId="15648932" w14:textId="449BE4D6" w:rsidR="00593270" w:rsidRDefault="00593270" w:rsidP="002A0A72">
      <w:pPr>
        <w:tabs>
          <w:tab w:val="left" w:pos="5488"/>
          <w:tab w:val="left" w:pos="6435"/>
        </w:tabs>
        <w:spacing w:line="480" w:lineRule="auto"/>
        <w:jc w:val="both"/>
        <w:rPr>
          <w:rFonts w:ascii="Arial" w:eastAsia="TimesNewRomanPSMT" w:hAnsi="Arial" w:cs="Arial"/>
          <w:noProof/>
          <w:sz w:val="24"/>
          <w:szCs w:val="24"/>
        </w:rPr>
      </w:pPr>
      <w:r>
        <w:rPr>
          <w:rFonts w:ascii="Arial" w:eastAsia="TimesNewRomanPSMT" w:hAnsi="Arial" w:cs="Arial"/>
          <w:noProof/>
          <w:sz w:val="24"/>
          <w:szCs w:val="24"/>
        </w:rPr>
        <w:drawing>
          <wp:anchor distT="0" distB="0" distL="114300" distR="114300" simplePos="0" relativeHeight="251720704" behindDoc="0" locked="0" layoutInCell="1" allowOverlap="1" wp14:anchorId="043F3B08" wp14:editId="773CF276">
            <wp:simplePos x="0" y="0"/>
            <wp:positionH relativeFrom="column">
              <wp:posOffset>342900</wp:posOffset>
            </wp:positionH>
            <wp:positionV relativeFrom="page">
              <wp:posOffset>1143000</wp:posOffset>
            </wp:positionV>
            <wp:extent cx="5295900" cy="2587625"/>
            <wp:effectExtent l="0" t="0" r="0" b="3175"/>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95900" cy="2587625"/>
                    </a:xfrm>
                    <a:prstGeom prst="rect">
                      <a:avLst/>
                    </a:prstGeom>
                    <a:noFill/>
                  </pic:spPr>
                </pic:pic>
              </a:graphicData>
            </a:graphic>
            <wp14:sizeRelH relativeFrom="page">
              <wp14:pctWidth>0</wp14:pctWidth>
            </wp14:sizeRelH>
            <wp14:sizeRelV relativeFrom="page">
              <wp14:pctHeight>0</wp14:pctHeight>
            </wp14:sizeRelV>
          </wp:anchor>
        </w:drawing>
      </w:r>
    </w:p>
    <w:p w14:paraId="2DAD598D" w14:textId="762A0201" w:rsidR="00593270" w:rsidRDefault="00593270" w:rsidP="002A0A72">
      <w:pPr>
        <w:tabs>
          <w:tab w:val="left" w:pos="5488"/>
          <w:tab w:val="left" w:pos="6435"/>
        </w:tabs>
        <w:spacing w:line="480" w:lineRule="auto"/>
        <w:jc w:val="both"/>
        <w:rPr>
          <w:rFonts w:ascii="Arial" w:eastAsia="TimesNewRomanPSMT" w:hAnsi="Arial" w:cs="Arial"/>
          <w:sz w:val="24"/>
          <w:szCs w:val="24"/>
        </w:rPr>
      </w:pPr>
    </w:p>
    <w:p w14:paraId="26519494" w14:textId="38F81C13" w:rsidR="001A529C" w:rsidRDefault="00DE2161" w:rsidP="0083425F">
      <w:pPr>
        <w:tabs>
          <w:tab w:val="left" w:pos="5488"/>
          <w:tab w:val="left" w:pos="6435"/>
        </w:tabs>
        <w:spacing w:after="0" w:line="480" w:lineRule="auto"/>
        <w:jc w:val="both"/>
        <w:rPr>
          <w:rFonts w:ascii="Arial" w:eastAsia="TimesNewRomanPSMT" w:hAnsi="Arial" w:cs="Arial"/>
          <w:sz w:val="24"/>
          <w:szCs w:val="24"/>
        </w:rPr>
      </w:pPr>
      <w:r w:rsidRPr="008D391F">
        <w:rPr>
          <w:rFonts w:ascii="Arial" w:eastAsia="TimesNewRomanPSMT" w:hAnsi="Arial" w:cs="Arial"/>
          <w:b/>
          <w:sz w:val="24"/>
          <w:szCs w:val="24"/>
        </w:rPr>
        <w:t xml:space="preserve">Figure </w:t>
      </w:r>
      <w:r>
        <w:rPr>
          <w:rFonts w:ascii="Arial" w:eastAsia="TimesNewRomanPSMT" w:hAnsi="Arial" w:cs="Arial"/>
          <w:b/>
          <w:sz w:val="24"/>
          <w:szCs w:val="24"/>
        </w:rPr>
        <w:t>6</w:t>
      </w:r>
      <w:r w:rsidRPr="008D391F">
        <w:rPr>
          <w:rFonts w:ascii="Arial" w:eastAsia="TimesNewRomanPSMT" w:hAnsi="Arial" w:cs="Arial"/>
          <w:sz w:val="24"/>
          <w:szCs w:val="24"/>
        </w:rPr>
        <w:t xml:space="preserve">. </w:t>
      </w:r>
      <w:r>
        <w:rPr>
          <w:rFonts w:ascii="Arial" w:eastAsia="TimesNewRomanPSMT" w:hAnsi="Arial" w:cs="Arial"/>
          <w:sz w:val="24"/>
          <w:szCs w:val="24"/>
        </w:rPr>
        <w:t>Influence of the linker length on FKBP12 photoswitchable PROTAC degradation</w:t>
      </w:r>
      <w:r w:rsidR="00BD431F">
        <w:rPr>
          <w:rFonts w:ascii="Arial" w:eastAsia="TimesNewRomanPSMT" w:hAnsi="Arial" w:cs="Arial"/>
          <w:sz w:val="24"/>
          <w:szCs w:val="24"/>
        </w:rPr>
        <w:t xml:space="preserve"> profile</w:t>
      </w:r>
      <w:r w:rsidRPr="008D391F">
        <w:rPr>
          <w:rFonts w:ascii="Arial" w:eastAsia="TimesNewRomanPSMT" w:hAnsi="Arial" w:cs="Arial"/>
          <w:sz w:val="24"/>
          <w:szCs w:val="24"/>
        </w:rPr>
        <w:t>.</w:t>
      </w:r>
      <w:r w:rsidR="005B51CE" w:rsidRPr="005B51CE">
        <w:rPr>
          <w:rFonts w:ascii="Arial" w:eastAsia="TimesNewRomanPSMT" w:hAnsi="Arial" w:cs="Arial"/>
          <w:b/>
          <w:bCs/>
          <w:sz w:val="24"/>
          <w:szCs w:val="24"/>
        </w:rPr>
        <w:t xml:space="preserve"> </w:t>
      </w:r>
      <w:r w:rsidR="003161FB">
        <w:rPr>
          <w:rFonts w:ascii="Arial" w:eastAsia="TimesNewRomanPSMT" w:hAnsi="Arial" w:cs="Arial"/>
          <w:sz w:val="24"/>
          <w:szCs w:val="24"/>
        </w:rPr>
        <w:t>The</w:t>
      </w:r>
      <w:r w:rsidR="003161FB" w:rsidRPr="008F776D">
        <w:rPr>
          <w:rFonts w:ascii="Arial" w:eastAsia="TimesNewRomanPSMT" w:hAnsi="Arial" w:cs="Arial"/>
          <w:sz w:val="24"/>
          <w:szCs w:val="24"/>
        </w:rPr>
        <w:t xml:space="preserve"> warhead </w:t>
      </w:r>
      <w:r w:rsidR="003161FB">
        <w:rPr>
          <w:rFonts w:ascii="Arial" w:eastAsia="TimesNewRomanPSMT" w:hAnsi="Arial" w:cs="Arial"/>
          <w:sz w:val="24"/>
          <w:szCs w:val="24"/>
        </w:rPr>
        <w:t xml:space="preserve">is </w:t>
      </w:r>
      <w:r w:rsidR="003161FB" w:rsidRPr="008F776D">
        <w:rPr>
          <w:rFonts w:ascii="Arial" w:eastAsia="TimesNewRomanPSMT" w:hAnsi="Arial" w:cs="Arial"/>
          <w:sz w:val="24"/>
          <w:szCs w:val="24"/>
        </w:rPr>
        <w:t xml:space="preserve">depicted in blue, </w:t>
      </w:r>
      <w:r w:rsidR="003161FB">
        <w:rPr>
          <w:rFonts w:ascii="Arial" w:eastAsia="TimesNewRomanPSMT" w:hAnsi="Arial" w:cs="Arial"/>
          <w:sz w:val="24"/>
          <w:szCs w:val="24"/>
        </w:rPr>
        <w:t>the</w:t>
      </w:r>
      <w:r w:rsidR="003161FB" w:rsidRPr="008F776D">
        <w:rPr>
          <w:rFonts w:ascii="Arial" w:eastAsia="TimesNewRomanPSMT" w:hAnsi="Arial" w:cs="Arial"/>
          <w:sz w:val="24"/>
          <w:szCs w:val="24"/>
        </w:rPr>
        <w:t xml:space="preserve"> E3 ligase recruiter</w:t>
      </w:r>
      <w:r w:rsidR="003161FB">
        <w:rPr>
          <w:rFonts w:ascii="Arial" w:eastAsia="TimesNewRomanPSMT" w:hAnsi="Arial" w:cs="Arial"/>
          <w:sz w:val="24"/>
          <w:szCs w:val="24"/>
        </w:rPr>
        <w:t xml:space="preserve"> in </w:t>
      </w:r>
      <w:r w:rsidR="003161FB" w:rsidRPr="008F776D">
        <w:rPr>
          <w:rFonts w:ascii="Arial" w:eastAsia="TimesNewRomanPSMT" w:hAnsi="Arial" w:cs="Arial"/>
          <w:sz w:val="24"/>
          <w:szCs w:val="24"/>
        </w:rPr>
        <w:t xml:space="preserve">green and </w:t>
      </w:r>
      <w:r w:rsidR="003161FB">
        <w:rPr>
          <w:rFonts w:ascii="Arial" w:eastAsia="TimesNewRomanPSMT" w:hAnsi="Arial" w:cs="Arial"/>
          <w:sz w:val="24"/>
          <w:szCs w:val="24"/>
        </w:rPr>
        <w:t>the</w:t>
      </w:r>
      <w:r w:rsidR="003161FB" w:rsidRPr="008F776D">
        <w:rPr>
          <w:rFonts w:ascii="Arial" w:eastAsia="TimesNewRomanPSMT" w:hAnsi="Arial" w:cs="Arial"/>
          <w:sz w:val="24"/>
          <w:szCs w:val="24"/>
        </w:rPr>
        <w:t xml:space="preserve"> photoswitch </w:t>
      </w:r>
      <w:r w:rsidR="003161FB">
        <w:rPr>
          <w:rFonts w:ascii="Arial" w:eastAsia="TimesNewRomanPSMT" w:hAnsi="Arial" w:cs="Arial"/>
          <w:sz w:val="24"/>
          <w:szCs w:val="24"/>
        </w:rPr>
        <w:t>formin</w:t>
      </w:r>
      <w:r w:rsidR="005F7093">
        <w:rPr>
          <w:rFonts w:ascii="Arial" w:eastAsia="TimesNewRomanPSMT" w:hAnsi="Arial" w:cs="Arial"/>
          <w:sz w:val="24"/>
          <w:szCs w:val="24"/>
        </w:rPr>
        <w:t>g</w:t>
      </w:r>
      <w:r w:rsidR="003161FB" w:rsidRPr="008F776D">
        <w:rPr>
          <w:rFonts w:ascii="Arial" w:eastAsia="TimesNewRomanPSMT" w:hAnsi="Arial" w:cs="Arial"/>
          <w:sz w:val="24"/>
          <w:szCs w:val="24"/>
        </w:rPr>
        <w:t xml:space="preserve"> part of the </w:t>
      </w:r>
      <w:r w:rsidR="005F7093">
        <w:rPr>
          <w:rFonts w:ascii="Arial" w:eastAsia="TimesNewRomanPSMT" w:hAnsi="Arial" w:cs="Arial"/>
          <w:sz w:val="24"/>
          <w:szCs w:val="24"/>
        </w:rPr>
        <w:t xml:space="preserve">black </w:t>
      </w:r>
      <w:r w:rsidR="003161FB" w:rsidRPr="008F776D">
        <w:rPr>
          <w:rFonts w:ascii="Arial" w:eastAsia="TimesNewRomanPSMT" w:hAnsi="Arial" w:cs="Arial"/>
          <w:sz w:val="24"/>
          <w:szCs w:val="24"/>
        </w:rPr>
        <w:t>linker</w:t>
      </w:r>
      <w:r w:rsidR="005F7093">
        <w:rPr>
          <w:rFonts w:ascii="Arial" w:eastAsia="TimesNewRomanPSMT" w:hAnsi="Arial" w:cs="Arial"/>
          <w:sz w:val="24"/>
          <w:szCs w:val="24"/>
        </w:rPr>
        <w:t xml:space="preserve"> is depicted in red</w:t>
      </w:r>
      <w:r w:rsidR="003161FB">
        <w:rPr>
          <w:rFonts w:ascii="Arial" w:eastAsia="TimesNewRomanPSMT" w:hAnsi="Arial" w:cs="Arial"/>
          <w:sz w:val="24"/>
          <w:szCs w:val="24"/>
        </w:rPr>
        <w:t xml:space="preserve">. </w:t>
      </w:r>
      <w:r w:rsidR="005B51CE" w:rsidRPr="005B51CE">
        <w:rPr>
          <w:rFonts w:ascii="Arial" w:eastAsia="TimesNewRomanPSMT" w:hAnsi="Arial" w:cs="Arial"/>
          <w:sz w:val="24"/>
          <w:szCs w:val="24"/>
        </w:rPr>
        <w:t>RS4;11 cells</w:t>
      </w:r>
      <w:r w:rsidR="005B51CE">
        <w:rPr>
          <w:rFonts w:ascii="Arial" w:eastAsia="TimesNewRomanPSMT" w:hAnsi="Arial" w:cs="Arial"/>
          <w:sz w:val="24"/>
          <w:szCs w:val="24"/>
        </w:rPr>
        <w:t xml:space="preserve"> were treated with various FKBP12</w:t>
      </w:r>
      <w:r w:rsidR="00CA3A1E">
        <w:rPr>
          <w:rFonts w:ascii="Arial" w:eastAsia="TimesNewRomanPSMT" w:hAnsi="Arial" w:cs="Arial"/>
          <w:sz w:val="24"/>
          <w:szCs w:val="24"/>
        </w:rPr>
        <w:t xml:space="preserve"> targeting</w:t>
      </w:r>
      <w:r w:rsidR="005B51CE">
        <w:rPr>
          <w:rFonts w:ascii="Arial" w:eastAsia="TimesNewRomanPSMT" w:hAnsi="Arial" w:cs="Arial"/>
          <w:sz w:val="24"/>
          <w:szCs w:val="24"/>
        </w:rPr>
        <w:t xml:space="preserve"> photoswitchable</w:t>
      </w:r>
      <w:r w:rsidR="00CA3A1E">
        <w:rPr>
          <w:rFonts w:ascii="Arial" w:eastAsia="TimesNewRomanPSMT" w:hAnsi="Arial" w:cs="Arial"/>
          <w:sz w:val="24"/>
          <w:szCs w:val="24"/>
        </w:rPr>
        <w:t xml:space="preserve"> </w:t>
      </w:r>
      <w:r w:rsidR="005B51CE">
        <w:rPr>
          <w:rFonts w:ascii="Arial" w:eastAsia="TimesNewRomanPSMT" w:hAnsi="Arial" w:cs="Arial"/>
          <w:sz w:val="24"/>
          <w:szCs w:val="24"/>
        </w:rPr>
        <w:t>compou</w:t>
      </w:r>
      <w:r w:rsidR="00CA3A1E">
        <w:rPr>
          <w:rFonts w:ascii="Arial" w:eastAsia="TimesNewRomanPSMT" w:hAnsi="Arial" w:cs="Arial"/>
          <w:sz w:val="24"/>
          <w:szCs w:val="24"/>
        </w:rPr>
        <w:t>nds</w:t>
      </w:r>
      <w:r w:rsidR="005B51CE">
        <w:rPr>
          <w:rFonts w:ascii="Arial" w:eastAsia="TimesNewRomanPSMT" w:hAnsi="Arial" w:cs="Arial"/>
          <w:sz w:val="24"/>
          <w:szCs w:val="24"/>
        </w:rPr>
        <w:t xml:space="preserve"> </w:t>
      </w:r>
      <w:r w:rsidR="005B51CE" w:rsidRPr="005B51CE">
        <w:rPr>
          <w:rFonts w:ascii="Arial" w:eastAsia="TimesNewRomanPSMT" w:hAnsi="Arial" w:cs="Arial"/>
          <w:sz w:val="24"/>
          <w:szCs w:val="24"/>
        </w:rPr>
        <w:t>for 4</w:t>
      </w:r>
      <w:r w:rsidR="002F0937">
        <w:rPr>
          <w:rFonts w:ascii="Arial" w:eastAsia="TimesNewRomanPSMT" w:hAnsi="Arial" w:cs="Arial"/>
          <w:sz w:val="24"/>
          <w:szCs w:val="24"/>
        </w:rPr>
        <w:t xml:space="preserve"> </w:t>
      </w:r>
      <w:r w:rsidR="005B51CE" w:rsidRPr="005B51CE">
        <w:rPr>
          <w:rFonts w:ascii="Arial" w:eastAsia="TimesNewRomanPSMT" w:hAnsi="Arial" w:cs="Arial"/>
          <w:sz w:val="24"/>
          <w:szCs w:val="24"/>
        </w:rPr>
        <w:t>h at different</w:t>
      </w:r>
      <w:r w:rsidR="005B51CE">
        <w:rPr>
          <w:rFonts w:ascii="Arial" w:eastAsia="TimesNewRomanPSMT" w:hAnsi="Arial" w:cs="Arial"/>
          <w:sz w:val="24"/>
          <w:szCs w:val="24"/>
        </w:rPr>
        <w:t xml:space="preserve"> </w:t>
      </w:r>
      <w:r w:rsidR="005B51CE" w:rsidRPr="005B51CE">
        <w:rPr>
          <w:rFonts w:ascii="Arial" w:eastAsia="TimesNewRomanPSMT" w:hAnsi="Arial" w:cs="Arial"/>
          <w:sz w:val="24"/>
          <w:szCs w:val="24"/>
        </w:rPr>
        <w:t>concentrations. Cells were either irradiated with pulses of 390 nm light (</w:t>
      </w:r>
      <w:r w:rsidR="005B51CE" w:rsidRPr="005B51CE">
        <w:rPr>
          <w:rFonts w:ascii="Arial" w:eastAsia="TimesNewRomanPSMT" w:hAnsi="Arial" w:cs="Arial"/>
          <w:i/>
          <w:iCs/>
          <w:sz w:val="24"/>
          <w:szCs w:val="24"/>
        </w:rPr>
        <w:t>cis</w:t>
      </w:r>
      <w:r w:rsidR="005B51CE">
        <w:rPr>
          <w:rFonts w:ascii="Arial" w:eastAsia="TimesNewRomanPSMT" w:hAnsi="Arial" w:cs="Arial"/>
          <w:sz w:val="24"/>
          <w:szCs w:val="24"/>
        </w:rPr>
        <w:t xml:space="preserve">) </w:t>
      </w:r>
      <w:r w:rsidR="005B51CE" w:rsidRPr="005B51CE">
        <w:rPr>
          <w:rFonts w:ascii="Arial" w:eastAsia="TimesNewRomanPSMT" w:hAnsi="Arial" w:cs="Arial"/>
          <w:sz w:val="24"/>
          <w:szCs w:val="24"/>
        </w:rPr>
        <w:t>or kept the dark (</w:t>
      </w:r>
      <w:r w:rsidR="005B51CE" w:rsidRPr="005B51CE">
        <w:rPr>
          <w:rFonts w:ascii="Arial" w:eastAsia="TimesNewRomanPSMT" w:hAnsi="Arial" w:cs="Arial"/>
          <w:i/>
          <w:iCs/>
          <w:sz w:val="24"/>
          <w:szCs w:val="24"/>
        </w:rPr>
        <w:t>trans</w:t>
      </w:r>
      <w:r w:rsidR="005B51CE" w:rsidRPr="005B51CE">
        <w:rPr>
          <w:rFonts w:ascii="Arial" w:eastAsia="TimesNewRomanPSMT" w:hAnsi="Arial" w:cs="Arial"/>
          <w:sz w:val="24"/>
          <w:szCs w:val="24"/>
        </w:rPr>
        <w:t>).</w:t>
      </w:r>
      <w:r w:rsidR="003161FB">
        <w:rPr>
          <w:rFonts w:ascii="Arial" w:eastAsia="TimesNewRomanPSMT" w:hAnsi="Arial" w:cs="Arial"/>
          <w:sz w:val="24"/>
          <w:szCs w:val="24"/>
        </w:rPr>
        <w:t xml:space="preserve"> </w:t>
      </w:r>
    </w:p>
    <w:p w14:paraId="4FA0A2D1" w14:textId="77777777" w:rsidR="0083425F" w:rsidRDefault="0083425F" w:rsidP="0083425F">
      <w:pPr>
        <w:tabs>
          <w:tab w:val="left" w:pos="5488"/>
          <w:tab w:val="left" w:pos="6435"/>
        </w:tabs>
        <w:spacing w:after="0" w:line="480" w:lineRule="auto"/>
        <w:jc w:val="both"/>
        <w:rPr>
          <w:rFonts w:ascii="Arial" w:eastAsia="TimesNewRomanPSMT" w:hAnsi="Arial" w:cs="Arial"/>
          <w:sz w:val="24"/>
          <w:szCs w:val="24"/>
        </w:rPr>
      </w:pPr>
    </w:p>
    <w:p w14:paraId="74CFF5D1" w14:textId="2BE9AD2C" w:rsidR="00087243" w:rsidRDefault="000379C7" w:rsidP="007F2429">
      <w:pPr>
        <w:spacing w:line="480" w:lineRule="auto"/>
        <w:jc w:val="both"/>
        <w:rPr>
          <w:rFonts w:ascii="Arial" w:eastAsia="TimesNewRomanPSMT" w:hAnsi="Arial" w:cs="Arial"/>
          <w:sz w:val="24"/>
          <w:szCs w:val="24"/>
        </w:rPr>
      </w:pPr>
      <w:r>
        <w:rPr>
          <w:rFonts w:ascii="Arial" w:eastAsia="TimesNewRomanPSMT" w:hAnsi="Arial" w:cs="Arial"/>
          <w:sz w:val="24"/>
          <w:szCs w:val="24"/>
        </w:rPr>
        <w:t>Finally</w:t>
      </w:r>
      <w:r w:rsidR="002A0A72" w:rsidRPr="000E0DB5">
        <w:rPr>
          <w:rFonts w:ascii="Arial" w:eastAsia="TimesNewRomanPSMT" w:hAnsi="Arial" w:cs="Arial"/>
          <w:sz w:val="24"/>
          <w:szCs w:val="24"/>
        </w:rPr>
        <w:t xml:space="preserve">, </w:t>
      </w:r>
      <w:r w:rsidR="00BA45F6" w:rsidRPr="000E0DB5">
        <w:rPr>
          <w:rFonts w:ascii="Arial" w:eastAsia="TimesNewRomanPSMT" w:hAnsi="Arial" w:cs="Arial"/>
          <w:sz w:val="24"/>
          <w:szCs w:val="24"/>
        </w:rPr>
        <w:t xml:space="preserve">reversible </w:t>
      </w:r>
      <w:r w:rsidR="00F40510" w:rsidRPr="000E0DB5">
        <w:rPr>
          <w:rFonts w:ascii="Arial" w:eastAsia="TimesNewRomanPSMT" w:hAnsi="Arial" w:cs="Arial"/>
          <w:sz w:val="24"/>
          <w:szCs w:val="24"/>
        </w:rPr>
        <w:t>initiat</w:t>
      </w:r>
      <w:r w:rsidR="00BA45F6" w:rsidRPr="000E0DB5">
        <w:rPr>
          <w:rFonts w:ascii="Arial" w:eastAsia="TimesNewRomanPSMT" w:hAnsi="Arial" w:cs="Arial"/>
          <w:sz w:val="24"/>
          <w:szCs w:val="24"/>
        </w:rPr>
        <w:t>ion</w:t>
      </w:r>
      <w:r w:rsidR="00F40510" w:rsidRPr="000E0DB5">
        <w:rPr>
          <w:rFonts w:ascii="Arial" w:eastAsia="TimesNewRomanPSMT" w:hAnsi="Arial" w:cs="Arial"/>
          <w:sz w:val="24"/>
          <w:szCs w:val="24"/>
        </w:rPr>
        <w:t xml:space="preserve"> </w:t>
      </w:r>
      <w:r w:rsidR="00BA45F6" w:rsidRPr="000E0DB5">
        <w:rPr>
          <w:rFonts w:ascii="Arial" w:eastAsia="TimesNewRomanPSMT" w:hAnsi="Arial" w:cs="Arial"/>
          <w:sz w:val="24"/>
          <w:szCs w:val="24"/>
        </w:rPr>
        <w:t xml:space="preserve">or </w:t>
      </w:r>
      <w:r w:rsidR="00F40510" w:rsidRPr="000E0DB5">
        <w:rPr>
          <w:rFonts w:ascii="Arial" w:eastAsia="TimesNewRomanPSMT" w:hAnsi="Arial" w:cs="Arial"/>
          <w:sz w:val="24"/>
          <w:szCs w:val="24"/>
        </w:rPr>
        <w:t xml:space="preserve">arrest </w:t>
      </w:r>
      <w:r w:rsidR="00BA45F6" w:rsidRPr="000E0DB5">
        <w:rPr>
          <w:rFonts w:ascii="Arial" w:eastAsia="TimesNewRomanPSMT" w:hAnsi="Arial" w:cs="Arial"/>
          <w:sz w:val="24"/>
          <w:szCs w:val="24"/>
        </w:rPr>
        <w:t xml:space="preserve">of </w:t>
      </w:r>
      <w:r w:rsidR="00F40510" w:rsidRPr="000E0DB5">
        <w:rPr>
          <w:rFonts w:ascii="Arial" w:eastAsia="TimesNewRomanPSMT" w:hAnsi="Arial" w:cs="Arial"/>
          <w:sz w:val="24"/>
          <w:szCs w:val="24"/>
        </w:rPr>
        <w:t xml:space="preserve">proteolysis </w:t>
      </w:r>
      <w:r w:rsidRPr="000379C7">
        <w:rPr>
          <w:rFonts w:ascii="Arial" w:eastAsia="TimesNewRomanPSMT" w:hAnsi="Arial" w:cs="Arial"/>
          <w:sz w:val="24"/>
          <w:szCs w:val="24"/>
        </w:rPr>
        <w:t xml:space="preserve">upon photoisomerization </w:t>
      </w:r>
      <w:r w:rsidR="00F40510" w:rsidRPr="000E0DB5">
        <w:rPr>
          <w:rFonts w:ascii="Arial" w:eastAsia="TimesNewRomanPSMT" w:hAnsi="Arial" w:cs="Arial"/>
          <w:sz w:val="24"/>
          <w:szCs w:val="24"/>
        </w:rPr>
        <w:t xml:space="preserve">was an important proof of concept result </w:t>
      </w:r>
      <w:r w:rsidR="00BA45F6" w:rsidRPr="000E0DB5">
        <w:rPr>
          <w:rFonts w:ascii="Arial" w:eastAsia="TimesNewRomanPSMT" w:hAnsi="Arial" w:cs="Arial"/>
          <w:sz w:val="24"/>
          <w:szCs w:val="24"/>
        </w:rPr>
        <w:t xml:space="preserve">demonstrated </w:t>
      </w:r>
      <w:r w:rsidR="00F40510" w:rsidRPr="000E0DB5">
        <w:rPr>
          <w:rFonts w:ascii="Arial" w:eastAsia="TimesNewRomanPSMT" w:hAnsi="Arial" w:cs="Arial"/>
          <w:sz w:val="24"/>
          <w:szCs w:val="24"/>
        </w:rPr>
        <w:t xml:space="preserve">with compounds </w:t>
      </w:r>
      <w:r w:rsidR="00F40510" w:rsidRPr="000E0DB5">
        <w:rPr>
          <w:rFonts w:ascii="Arial" w:eastAsia="TimesNewRomanPSMT" w:hAnsi="Arial" w:cs="Arial"/>
          <w:b/>
          <w:bCs/>
          <w:sz w:val="24"/>
          <w:szCs w:val="24"/>
        </w:rPr>
        <w:t xml:space="preserve">9, 10 </w:t>
      </w:r>
      <w:r w:rsidR="00F40510" w:rsidRPr="000E0DB5">
        <w:rPr>
          <w:rFonts w:ascii="Arial" w:eastAsia="TimesNewRomanPSMT" w:hAnsi="Arial" w:cs="Arial"/>
          <w:sz w:val="24"/>
          <w:szCs w:val="24"/>
        </w:rPr>
        <w:t>and</w:t>
      </w:r>
      <w:r w:rsidR="00F40510" w:rsidRPr="000E0DB5">
        <w:rPr>
          <w:rFonts w:ascii="Arial" w:eastAsia="TimesNewRomanPSMT" w:hAnsi="Arial" w:cs="Arial"/>
          <w:b/>
          <w:bCs/>
          <w:sz w:val="24"/>
          <w:szCs w:val="24"/>
        </w:rPr>
        <w:t xml:space="preserve"> 11</w:t>
      </w:r>
      <w:r w:rsidR="00F40510" w:rsidRPr="000E0DB5">
        <w:rPr>
          <w:rFonts w:ascii="Arial" w:eastAsia="TimesNewRomanPSMT" w:hAnsi="Arial" w:cs="Arial"/>
          <w:sz w:val="24"/>
          <w:szCs w:val="24"/>
        </w:rPr>
        <w:t xml:space="preserve">. In-cell bidirectional switching was </w:t>
      </w:r>
      <w:r w:rsidR="005175F4">
        <w:rPr>
          <w:rFonts w:ascii="Arial" w:eastAsia="TimesNewRomanPSMT" w:hAnsi="Arial" w:cs="Arial"/>
          <w:sz w:val="24"/>
          <w:szCs w:val="24"/>
        </w:rPr>
        <w:t>achieved</w:t>
      </w:r>
      <w:r w:rsidR="00F40510" w:rsidRPr="000E0DB5">
        <w:rPr>
          <w:rFonts w:ascii="Arial" w:eastAsia="TimesNewRomanPSMT" w:hAnsi="Arial" w:cs="Arial"/>
          <w:sz w:val="24"/>
          <w:szCs w:val="24"/>
        </w:rPr>
        <w:t xml:space="preserve"> using two separate wavelengths and could also be accomplished via thermal relaxation in the case of </w:t>
      </w:r>
      <w:r w:rsidR="00F40510" w:rsidRPr="000E0DB5">
        <w:rPr>
          <w:rFonts w:ascii="Arial" w:eastAsia="TimesNewRomanPSMT" w:hAnsi="Arial" w:cs="Arial"/>
          <w:b/>
          <w:bCs/>
          <w:sz w:val="24"/>
          <w:szCs w:val="24"/>
        </w:rPr>
        <w:t>10</w:t>
      </w:r>
      <w:r w:rsidR="00F40510" w:rsidRPr="000E0DB5">
        <w:rPr>
          <w:rFonts w:ascii="Arial" w:eastAsia="TimesNewRomanPSMT" w:hAnsi="Arial" w:cs="Arial"/>
          <w:sz w:val="24"/>
          <w:szCs w:val="24"/>
        </w:rPr>
        <w:t xml:space="preserve">. This two-way on/off mechanism, which is strictly dependent on the photoswitchable PROTAC configuration, undoubtedly represents an important milestone in the spatiotemporal control of protein stability with a small molecule. To further illustrate the benefit of this approach, the effect of photoswitchable degrader </w:t>
      </w:r>
      <w:r w:rsidR="00F40510" w:rsidRPr="000E0DB5">
        <w:rPr>
          <w:rFonts w:ascii="Arial" w:eastAsia="TimesNewRomanPSMT" w:hAnsi="Arial" w:cs="Arial"/>
          <w:b/>
          <w:bCs/>
          <w:sz w:val="24"/>
          <w:szCs w:val="24"/>
        </w:rPr>
        <w:t xml:space="preserve">10 </w:t>
      </w:r>
      <w:r w:rsidR="00F40510" w:rsidRPr="000E0DB5">
        <w:rPr>
          <w:rFonts w:ascii="Arial" w:eastAsia="TimesNewRomanPSMT" w:hAnsi="Arial" w:cs="Arial"/>
          <w:sz w:val="24"/>
          <w:szCs w:val="24"/>
        </w:rPr>
        <w:t xml:space="preserve">on cell viability </w:t>
      </w:r>
      <w:r w:rsidR="00BA45F6" w:rsidRPr="000E0DB5">
        <w:rPr>
          <w:rFonts w:ascii="Arial" w:eastAsia="TimesNewRomanPSMT" w:hAnsi="Arial" w:cs="Arial"/>
          <w:sz w:val="24"/>
          <w:szCs w:val="24"/>
        </w:rPr>
        <w:t xml:space="preserve">was </w:t>
      </w:r>
      <w:r w:rsidR="00F40510" w:rsidRPr="000E0DB5">
        <w:rPr>
          <w:rFonts w:ascii="Arial" w:eastAsia="TimesNewRomanPSMT" w:hAnsi="Arial" w:cs="Arial"/>
          <w:sz w:val="24"/>
          <w:szCs w:val="24"/>
        </w:rPr>
        <w:t xml:space="preserve">correlated </w:t>
      </w:r>
      <w:r w:rsidR="00BA45F6" w:rsidRPr="000E0DB5">
        <w:rPr>
          <w:rFonts w:ascii="Arial" w:eastAsia="TimesNewRomanPSMT" w:hAnsi="Arial" w:cs="Arial"/>
          <w:sz w:val="24"/>
          <w:szCs w:val="24"/>
        </w:rPr>
        <w:t xml:space="preserve">with </w:t>
      </w:r>
      <w:r w:rsidR="00F40510" w:rsidRPr="000E0DB5">
        <w:rPr>
          <w:rFonts w:ascii="Arial" w:eastAsia="TimesNewRomanPSMT" w:hAnsi="Arial" w:cs="Arial"/>
          <w:sz w:val="24"/>
          <w:szCs w:val="24"/>
        </w:rPr>
        <w:t xml:space="preserve">degradation of BRDs by the </w:t>
      </w:r>
      <w:r w:rsidR="00527B18" w:rsidRPr="000E0DB5">
        <w:rPr>
          <w:rFonts w:ascii="Arial" w:eastAsia="TimesNewRomanPSMT" w:hAnsi="Arial" w:cs="Arial"/>
          <w:i/>
          <w:iCs/>
          <w:sz w:val="24"/>
          <w:szCs w:val="24"/>
        </w:rPr>
        <w:t>cis</w:t>
      </w:r>
      <w:r w:rsidR="00F40510" w:rsidRPr="000E0DB5">
        <w:rPr>
          <w:rFonts w:ascii="Arial" w:eastAsia="TimesNewRomanPSMT" w:hAnsi="Arial" w:cs="Arial"/>
          <w:sz w:val="24"/>
          <w:szCs w:val="24"/>
        </w:rPr>
        <w:t xml:space="preserve"> isomer. </w:t>
      </w:r>
      <w:r w:rsidR="00F40510" w:rsidRPr="000E0DB5">
        <w:rPr>
          <w:rFonts w:ascii="Arial" w:eastAsia="TimesNewRomanPSMT" w:hAnsi="Arial" w:cs="Arial"/>
          <w:b/>
          <w:bCs/>
          <w:sz w:val="24"/>
          <w:szCs w:val="24"/>
        </w:rPr>
        <w:t>10</w:t>
      </w:r>
      <w:r w:rsidR="00F40510" w:rsidRPr="000E0DB5">
        <w:rPr>
          <w:rFonts w:ascii="Arial" w:eastAsia="TimesNewRomanPSMT" w:hAnsi="Arial" w:cs="Arial"/>
          <w:sz w:val="24"/>
          <w:szCs w:val="24"/>
        </w:rPr>
        <w:t xml:space="preserve"> was seven times more toxic when irradiated at 390 nm (</w:t>
      </w:r>
      <w:r w:rsidR="00527B18" w:rsidRPr="000E0DB5">
        <w:rPr>
          <w:rFonts w:ascii="Arial" w:eastAsia="TimesNewRomanPSMT" w:hAnsi="Arial" w:cs="Arial"/>
          <w:i/>
          <w:iCs/>
          <w:sz w:val="24"/>
          <w:szCs w:val="24"/>
        </w:rPr>
        <w:t>cis</w:t>
      </w:r>
      <w:r w:rsidR="00F40510" w:rsidRPr="000E0DB5">
        <w:rPr>
          <w:rFonts w:ascii="Arial" w:eastAsia="TimesNewRomanPSMT" w:hAnsi="Arial" w:cs="Arial"/>
          <w:sz w:val="24"/>
          <w:szCs w:val="24"/>
        </w:rPr>
        <w:t xml:space="preserve"> isomer) than when incubated in the dark (</w:t>
      </w:r>
      <w:r w:rsidR="00527B18" w:rsidRPr="000E0DB5">
        <w:rPr>
          <w:rFonts w:ascii="Arial" w:eastAsia="TimesNewRomanPSMT" w:hAnsi="Arial" w:cs="Arial"/>
          <w:i/>
          <w:iCs/>
          <w:sz w:val="24"/>
          <w:szCs w:val="24"/>
        </w:rPr>
        <w:t>trans</w:t>
      </w:r>
      <w:r w:rsidR="00F40510" w:rsidRPr="000E0DB5">
        <w:rPr>
          <w:rFonts w:ascii="Arial" w:eastAsia="TimesNewRomanPSMT" w:hAnsi="Arial" w:cs="Arial"/>
          <w:sz w:val="24"/>
          <w:szCs w:val="24"/>
        </w:rPr>
        <w:t xml:space="preserve"> isomer). </w:t>
      </w:r>
    </w:p>
    <w:p w14:paraId="22F2ECFA" w14:textId="77777777" w:rsidR="00607644" w:rsidRDefault="00607644" w:rsidP="007F2429">
      <w:pPr>
        <w:spacing w:line="480" w:lineRule="auto"/>
        <w:jc w:val="both"/>
        <w:rPr>
          <w:rFonts w:ascii="Arial" w:eastAsia="TimesNewRomanPSMT" w:hAnsi="Arial" w:cs="Arial"/>
          <w:sz w:val="24"/>
          <w:szCs w:val="24"/>
        </w:rPr>
      </w:pPr>
    </w:p>
    <w:p w14:paraId="1F55D07D" w14:textId="66FEDA3D" w:rsidR="00750FFD" w:rsidRPr="000E0DB5" w:rsidRDefault="003212B5" w:rsidP="007F2429">
      <w:pPr>
        <w:spacing w:line="480" w:lineRule="auto"/>
        <w:jc w:val="both"/>
        <w:rPr>
          <w:rFonts w:ascii="Arial" w:eastAsia="TimesNewRomanPSMT" w:hAnsi="Arial" w:cs="Arial"/>
          <w:b/>
          <w:bCs/>
          <w:sz w:val="24"/>
          <w:szCs w:val="24"/>
        </w:rPr>
      </w:pPr>
      <w:r>
        <w:rPr>
          <w:rFonts w:ascii="Arial" w:eastAsia="TimesNewRomanPSMT" w:hAnsi="Arial" w:cs="Arial"/>
          <w:b/>
          <w:bCs/>
          <w:sz w:val="24"/>
          <w:szCs w:val="24"/>
        </w:rPr>
        <w:t xml:space="preserve">4. </w:t>
      </w:r>
      <w:r w:rsidR="007F2429" w:rsidRPr="000E0DB5">
        <w:rPr>
          <w:rFonts w:ascii="Arial" w:eastAsia="TimesNewRomanPSMT" w:hAnsi="Arial" w:cs="Arial"/>
          <w:b/>
          <w:bCs/>
          <w:sz w:val="24"/>
          <w:szCs w:val="24"/>
        </w:rPr>
        <w:t>S</w:t>
      </w:r>
      <w:r w:rsidR="00E70DD4" w:rsidRPr="000E0DB5">
        <w:rPr>
          <w:rFonts w:ascii="Arial" w:eastAsia="TimesNewRomanPSMT" w:hAnsi="Arial" w:cs="Arial"/>
          <w:b/>
          <w:bCs/>
          <w:sz w:val="24"/>
          <w:szCs w:val="24"/>
        </w:rPr>
        <w:t>UMMARY AND OUTLOOK</w:t>
      </w:r>
    </w:p>
    <w:p w14:paraId="74839712" w14:textId="77E5A17B" w:rsidR="007F2429" w:rsidRPr="000E0DB5" w:rsidRDefault="007F2429" w:rsidP="007F2429">
      <w:pPr>
        <w:spacing w:line="480" w:lineRule="auto"/>
        <w:jc w:val="both"/>
        <w:rPr>
          <w:rFonts w:ascii="Arial" w:eastAsia="TimesNewRomanPSMT" w:hAnsi="Arial" w:cs="Arial"/>
          <w:sz w:val="24"/>
          <w:szCs w:val="24"/>
        </w:rPr>
      </w:pPr>
      <w:r w:rsidRPr="000E0DB5">
        <w:rPr>
          <w:rFonts w:ascii="Arial" w:eastAsia="TimesNewRomanPSMT" w:hAnsi="Arial" w:cs="Arial"/>
          <w:sz w:val="24"/>
          <w:szCs w:val="24"/>
        </w:rPr>
        <w:t xml:space="preserve">Bifunctional degraders can </w:t>
      </w:r>
      <w:r w:rsidR="00BA45F6" w:rsidRPr="000E0DB5">
        <w:rPr>
          <w:rFonts w:ascii="Arial" w:eastAsia="TimesNewRomanPSMT" w:hAnsi="Arial" w:cs="Arial"/>
          <w:sz w:val="24"/>
          <w:szCs w:val="24"/>
        </w:rPr>
        <w:t xml:space="preserve">be </w:t>
      </w:r>
      <w:r w:rsidRPr="000E0DB5">
        <w:rPr>
          <w:rFonts w:ascii="Arial" w:eastAsia="TimesNewRomanPSMT" w:hAnsi="Arial" w:cs="Arial"/>
          <w:sz w:val="24"/>
          <w:szCs w:val="24"/>
        </w:rPr>
        <w:t>engineered into light-</w:t>
      </w:r>
      <w:r w:rsidR="00292E53">
        <w:rPr>
          <w:rFonts w:ascii="Arial" w:eastAsia="TimesNewRomanPSMT" w:hAnsi="Arial" w:cs="Arial"/>
          <w:sz w:val="24"/>
          <w:szCs w:val="24"/>
        </w:rPr>
        <w:t>activated</w:t>
      </w:r>
      <w:r w:rsidR="00D35323">
        <w:rPr>
          <w:rFonts w:ascii="Arial" w:eastAsia="TimesNewRomanPSMT" w:hAnsi="Arial" w:cs="Arial"/>
          <w:sz w:val="24"/>
          <w:szCs w:val="24"/>
        </w:rPr>
        <w:t xml:space="preserve"> </w:t>
      </w:r>
      <w:r w:rsidRPr="000E0DB5">
        <w:rPr>
          <w:rFonts w:ascii="Arial" w:eastAsia="TimesNewRomanPSMT" w:hAnsi="Arial" w:cs="Arial"/>
          <w:sz w:val="24"/>
          <w:szCs w:val="24"/>
        </w:rPr>
        <w:t>chemical tools with photocaging or photoswitchable functionalities</w:t>
      </w:r>
      <w:r w:rsidR="00BA45F6" w:rsidRPr="000E0DB5">
        <w:rPr>
          <w:rFonts w:ascii="Arial" w:eastAsia="TimesNewRomanPSMT" w:hAnsi="Arial" w:cs="Arial"/>
          <w:sz w:val="24"/>
          <w:szCs w:val="24"/>
        </w:rPr>
        <w:t>,</w:t>
      </w:r>
      <w:r w:rsidRPr="000E0DB5">
        <w:rPr>
          <w:rFonts w:ascii="Arial" w:eastAsia="TimesNewRomanPSMT" w:hAnsi="Arial" w:cs="Arial"/>
          <w:sz w:val="24"/>
          <w:szCs w:val="24"/>
        </w:rPr>
        <w:t xml:space="preserve"> provid</w:t>
      </w:r>
      <w:r w:rsidR="00BA45F6" w:rsidRPr="000E0DB5">
        <w:rPr>
          <w:rFonts w:ascii="Arial" w:eastAsia="TimesNewRomanPSMT" w:hAnsi="Arial" w:cs="Arial"/>
          <w:sz w:val="24"/>
          <w:szCs w:val="24"/>
        </w:rPr>
        <w:t>ing</w:t>
      </w:r>
      <w:r w:rsidRPr="000E0DB5">
        <w:rPr>
          <w:rFonts w:ascii="Arial" w:eastAsia="TimesNewRomanPSMT" w:hAnsi="Arial" w:cs="Arial"/>
          <w:sz w:val="24"/>
          <w:szCs w:val="24"/>
        </w:rPr>
        <w:t xml:space="preserve"> a compelling method for the spatiotemporal control of protein stability. Inherently, caged degraders can only switch on proteolysis via a relatively fast uncaging mechanism</w:t>
      </w:r>
      <w:r w:rsidR="009848F2">
        <w:rPr>
          <w:rFonts w:ascii="Arial" w:eastAsia="TimesNewRomanPSMT" w:hAnsi="Arial" w:cs="Arial"/>
          <w:sz w:val="24"/>
          <w:szCs w:val="24"/>
        </w:rPr>
        <w:t>,</w:t>
      </w:r>
      <w:r w:rsidRPr="000E0DB5">
        <w:rPr>
          <w:rFonts w:ascii="Arial" w:eastAsia="TimesNewRomanPSMT" w:hAnsi="Arial" w:cs="Arial"/>
          <w:sz w:val="24"/>
          <w:szCs w:val="24"/>
        </w:rPr>
        <w:t xml:space="preserve"> </w:t>
      </w:r>
      <w:r w:rsidR="00337B44">
        <w:rPr>
          <w:rFonts w:ascii="Arial" w:eastAsia="TimesNewRomanPSMT" w:hAnsi="Arial" w:cs="Arial"/>
          <w:sz w:val="24"/>
          <w:szCs w:val="24"/>
        </w:rPr>
        <w:t>mainly</w:t>
      </w:r>
      <w:r w:rsidR="00576F31">
        <w:rPr>
          <w:rFonts w:ascii="Arial" w:eastAsia="TimesNewRomanPSMT" w:hAnsi="Arial" w:cs="Arial"/>
          <w:sz w:val="24"/>
          <w:szCs w:val="24"/>
        </w:rPr>
        <w:t xml:space="preserve"> </w:t>
      </w:r>
      <w:r w:rsidR="00576F31" w:rsidRPr="00576F31">
        <w:rPr>
          <w:rFonts w:ascii="Arial" w:eastAsia="TimesNewRomanPSMT" w:hAnsi="Arial" w:cs="Arial"/>
          <w:sz w:val="24"/>
          <w:szCs w:val="24"/>
        </w:rPr>
        <w:t>triggered by UV</w:t>
      </w:r>
      <w:r w:rsidR="00576F31">
        <w:rPr>
          <w:rFonts w:ascii="Arial" w:eastAsia="TimesNewRomanPSMT" w:hAnsi="Arial" w:cs="Arial"/>
          <w:sz w:val="24"/>
          <w:szCs w:val="24"/>
        </w:rPr>
        <w:t xml:space="preserve"> </w:t>
      </w:r>
      <w:r w:rsidR="00576F31" w:rsidRPr="00576F31">
        <w:rPr>
          <w:rFonts w:ascii="Arial" w:eastAsia="TimesNewRomanPSMT" w:hAnsi="Arial" w:cs="Arial"/>
          <w:sz w:val="24"/>
          <w:szCs w:val="24"/>
        </w:rPr>
        <w:t>light</w:t>
      </w:r>
      <w:r w:rsidR="009848F2">
        <w:rPr>
          <w:rFonts w:ascii="Arial" w:eastAsia="TimesNewRomanPSMT" w:hAnsi="Arial" w:cs="Arial"/>
          <w:sz w:val="24"/>
          <w:szCs w:val="24"/>
        </w:rPr>
        <w:t>,</w:t>
      </w:r>
      <w:r w:rsidR="00576F31" w:rsidRPr="00576F31">
        <w:rPr>
          <w:rFonts w:ascii="Arial" w:eastAsia="TimesNewRomanPSMT" w:hAnsi="Arial" w:cs="Arial"/>
          <w:sz w:val="24"/>
          <w:szCs w:val="24"/>
        </w:rPr>
        <w:t xml:space="preserve"> </w:t>
      </w:r>
      <w:r w:rsidR="00576F31">
        <w:rPr>
          <w:rFonts w:ascii="Arial" w:eastAsia="TimesNewRomanPSMT" w:hAnsi="Arial" w:cs="Arial"/>
          <w:sz w:val="24"/>
          <w:szCs w:val="24"/>
        </w:rPr>
        <w:t xml:space="preserve">and </w:t>
      </w:r>
      <w:r w:rsidR="00865E29">
        <w:rPr>
          <w:rFonts w:ascii="Arial" w:eastAsia="TimesNewRomanPSMT" w:hAnsi="Arial" w:cs="Arial"/>
          <w:sz w:val="24"/>
          <w:szCs w:val="24"/>
        </w:rPr>
        <w:t>which</w:t>
      </w:r>
      <w:r w:rsidRPr="000E0DB5">
        <w:rPr>
          <w:rFonts w:ascii="Arial" w:eastAsia="TimesNewRomanPSMT" w:hAnsi="Arial" w:cs="Arial"/>
          <w:sz w:val="24"/>
          <w:szCs w:val="24"/>
        </w:rPr>
        <w:t xml:space="preserve"> generates a by-product. As for photoswitchable degraders, the</w:t>
      </w:r>
      <w:r w:rsidR="009848F2">
        <w:rPr>
          <w:rFonts w:ascii="Arial" w:eastAsia="TimesNewRomanPSMT" w:hAnsi="Arial" w:cs="Arial"/>
          <w:sz w:val="24"/>
          <w:szCs w:val="24"/>
        </w:rPr>
        <w:t>ir azobenzene motif</w:t>
      </w:r>
      <w:r w:rsidRPr="000E0DB5">
        <w:rPr>
          <w:rFonts w:ascii="Arial" w:eastAsia="TimesNewRomanPSMT" w:hAnsi="Arial" w:cs="Arial"/>
          <w:sz w:val="24"/>
          <w:szCs w:val="24"/>
        </w:rPr>
        <w:t xml:space="preserve"> </w:t>
      </w:r>
      <w:r w:rsidR="001F568E" w:rsidRPr="001F568E">
        <w:rPr>
          <w:rFonts w:ascii="Arial" w:eastAsia="TimesNewRomanPSMT" w:hAnsi="Arial" w:cs="Arial"/>
          <w:sz w:val="24"/>
          <w:szCs w:val="24"/>
        </w:rPr>
        <w:t>allow</w:t>
      </w:r>
      <w:r w:rsidR="001F568E">
        <w:rPr>
          <w:rFonts w:ascii="Arial" w:eastAsia="TimesNewRomanPSMT" w:hAnsi="Arial" w:cs="Arial"/>
          <w:sz w:val="24"/>
          <w:szCs w:val="24"/>
        </w:rPr>
        <w:t>s</w:t>
      </w:r>
      <w:r w:rsidR="001F568E" w:rsidRPr="001F568E">
        <w:rPr>
          <w:rFonts w:ascii="Arial" w:eastAsia="TimesNewRomanPSMT" w:hAnsi="Arial" w:cs="Arial"/>
          <w:sz w:val="24"/>
          <w:szCs w:val="24"/>
        </w:rPr>
        <w:t xml:space="preserve"> isomerization within the visible wavelength range </w:t>
      </w:r>
      <w:r w:rsidR="001F568E">
        <w:rPr>
          <w:rFonts w:ascii="Arial" w:eastAsia="TimesNewRomanPSMT" w:hAnsi="Arial" w:cs="Arial"/>
          <w:sz w:val="24"/>
          <w:szCs w:val="24"/>
        </w:rPr>
        <w:t xml:space="preserve">and </w:t>
      </w:r>
      <w:r w:rsidRPr="000E0DB5">
        <w:rPr>
          <w:rFonts w:ascii="Arial" w:eastAsia="TimesNewRomanPSMT" w:hAnsi="Arial" w:cs="Arial"/>
          <w:sz w:val="24"/>
          <w:szCs w:val="24"/>
        </w:rPr>
        <w:t>offer</w:t>
      </w:r>
      <w:r w:rsidR="001F568E">
        <w:rPr>
          <w:rFonts w:ascii="Arial" w:eastAsia="TimesNewRomanPSMT" w:hAnsi="Arial" w:cs="Arial"/>
          <w:sz w:val="24"/>
          <w:szCs w:val="24"/>
        </w:rPr>
        <w:t xml:space="preserve">s </w:t>
      </w:r>
      <w:r w:rsidRPr="000E0DB5">
        <w:rPr>
          <w:rFonts w:ascii="Arial" w:eastAsia="TimesNewRomanPSMT" w:hAnsi="Arial" w:cs="Arial"/>
          <w:sz w:val="24"/>
          <w:szCs w:val="24"/>
        </w:rPr>
        <w:t>a bidirectional on/off handle</w:t>
      </w:r>
      <w:r w:rsidR="001F568E">
        <w:rPr>
          <w:rFonts w:ascii="Arial" w:eastAsia="TimesNewRomanPSMT" w:hAnsi="Arial" w:cs="Arial"/>
          <w:sz w:val="24"/>
          <w:szCs w:val="24"/>
        </w:rPr>
        <w:t xml:space="preserve"> with</w:t>
      </w:r>
      <w:r w:rsidR="00BA45F6" w:rsidRPr="000E0DB5">
        <w:rPr>
          <w:rFonts w:ascii="Arial" w:eastAsia="TimesNewRomanPSMT" w:hAnsi="Arial" w:cs="Arial"/>
          <w:sz w:val="24"/>
          <w:szCs w:val="24"/>
        </w:rPr>
        <w:t xml:space="preserve"> </w:t>
      </w:r>
      <w:r w:rsidRPr="000E0DB5">
        <w:rPr>
          <w:rFonts w:ascii="Arial" w:eastAsia="TimesNewRomanPSMT" w:hAnsi="Arial" w:cs="Arial"/>
          <w:sz w:val="24"/>
          <w:szCs w:val="24"/>
        </w:rPr>
        <w:t>a</w:t>
      </w:r>
      <w:r w:rsidR="001F568E">
        <w:rPr>
          <w:rFonts w:ascii="Arial" w:eastAsia="TimesNewRomanPSMT" w:hAnsi="Arial" w:cs="Arial"/>
          <w:sz w:val="24"/>
          <w:szCs w:val="24"/>
        </w:rPr>
        <w:t xml:space="preserve"> </w:t>
      </w:r>
      <w:r w:rsidRPr="000E0DB5">
        <w:rPr>
          <w:rFonts w:ascii="Arial" w:eastAsia="TimesNewRomanPSMT" w:hAnsi="Arial" w:cs="Arial"/>
          <w:sz w:val="24"/>
          <w:szCs w:val="24"/>
        </w:rPr>
        <w:t>superior level of control</w:t>
      </w:r>
      <w:r w:rsidR="00E91024">
        <w:rPr>
          <w:rFonts w:ascii="Arial" w:eastAsia="TimesNewRomanPSMT" w:hAnsi="Arial" w:cs="Arial"/>
          <w:sz w:val="24"/>
          <w:szCs w:val="24"/>
        </w:rPr>
        <w:t>,</w:t>
      </w:r>
      <w:r w:rsidRPr="000E0DB5">
        <w:rPr>
          <w:rFonts w:ascii="Arial" w:eastAsia="TimesNewRomanPSMT" w:hAnsi="Arial" w:cs="Arial"/>
          <w:sz w:val="24"/>
          <w:szCs w:val="24"/>
        </w:rPr>
        <w:t xml:space="preserve"> even </w:t>
      </w:r>
      <w:r w:rsidR="00BA45F6" w:rsidRPr="000E0DB5">
        <w:rPr>
          <w:rFonts w:ascii="Arial" w:eastAsia="TimesNewRomanPSMT" w:hAnsi="Arial" w:cs="Arial"/>
          <w:sz w:val="24"/>
          <w:szCs w:val="24"/>
        </w:rPr>
        <w:t>though they may not deliver</w:t>
      </w:r>
      <w:r w:rsidRPr="000E0DB5">
        <w:rPr>
          <w:rFonts w:ascii="Arial" w:eastAsia="TimesNewRomanPSMT" w:hAnsi="Arial" w:cs="Arial"/>
          <w:sz w:val="24"/>
          <w:szCs w:val="24"/>
        </w:rPr>
        <w:t xml:space="preserve"> quantitative switching.</w:t>
      </w:r>
      <w:r w:rsidR="00257910">
        <w:rPr>
          <w:rFonts w:ascii="Arial" w:eastAsia="TimesNewRomanPSMT" w:hAnsi="Arial" w:cs="Arial"/>
          <w:sz w:val="24"/>
          <w:szCs w:val="24"/>
        </w:rPr>
        <w:t xml:space="preserve"> Indeed</w:t>
      </w:r>
      <w:r w:rsidR="009F7157" w:rsidRPr="000E0DB5">
        <w:rPr>
          <w:rFonts w:ascii="Arial" w:eastAsia="TimesNewRomanPSMT" w:hAnsi="Arial" w:cs="Arial"/>
          <w:sz w:val="24"/>
          <w:szCs w:val="24"/>
        </w:rPr>
        <w:t>, residual activity from small quantities of active isomer present in the PSS may compromise the pharmacological applications of switchable PROTACs and the stringency of switching required is likely to depend on the specific application. Furthermore, we note that PROTACs already present difficult profiles for oral delivery</w:t>
      </w:r>
      <w:r w:rsidR="00772860">
        <w:rPr>
          <w:rFonts w:ascii="Arial" w:eastAsia="TimesNewRomanPSMT" w:hAnsi="Arial" w:cs="Arial"/>
          <w:color w:val="FF0000"/>
          <w:sz w:val="24"/>
          <w:szCs w:val="24"/>
        </w:rPr>
        <w:t xml:space="preserve"> </w:t>
      </w:r>
      <w:r w:rsidR="009F7157" w:rsidRPr="000E0DB5">
        <w:rPr>
          <w:rFonts w:ascii="Arial" w:eastAsia="TimesNewRomanPSMT" w:hAnsi="Arial" w:cs="Arial"/>
          <w:sz w:val="24"/>
          <w:szCs w:val="24"/>
        </w:rPr>
        <w:t>and balancing the physicochemical properties of two PROTAC isomers may present additional challenges of optimization.</w:t>
      </w:r>
    </w:p>
    <w:p w14:paraId="7747741D" w14:textId="5A95F79A" w:rsidR="007F2429" w:rsidRPr="000E0DB5" w:rsidRDefault="007F2429" w:rsidP="007F2429">
      <w:pPr>
        <w:spacing w:line="480" w:lineRule="auto"/>
        <w:jc w:val="both"/>
        <w:rPr>
          <w:rFonts w:ascii="Arial" w:eastAsia="TimesNewRomanPSMT" w:hAnsi="Arial" w:cs="Arial"/>
          <w:sz w:val="24"/>
          <w:szCs w:val="24"/>
        </w:rPr>
      </w:pPr>
      <w:r w:rsidRPr="000E0DB5">
        <w:rPr>
          <w:rFonts w:ascii="Arial" w:eastAsia="TimesNewRomanPSMT" w:hAnsi="Arial" w:cs="Arial"/>
          <w:sz w:val="24"/>
          <w:szCs w:val="24"/>
        </w:rPr>
        <w:t>Although bistab</w:t>
      </w:r>
      <w:r w:rsidR="00BA45F6" w:rsidRPr="000E0DB5">
        <w:rPr>
          <w:rFonts w:ascii="Arial" w:eastAsia="TimesNewRomanPSMT" w:hAnsi="Arial" w:cs="Arial"/>
          <w:sz w:val="24"/>
          <w:szCs w:val="24"/>
        </w:rPr>
        <w:t>le</w:t>
      </w:r>
      <w:r w:rsidRPr="000E0DB5">
        <w:rPr>
          <w:rFonts w:ascii="Arial" w:eastAsia="TimesNewRomanPSMT" w:hAnsi="Arial" w:cs="Arial"/>
          <w:sz w:val="24"/>
          <w:szCs w:val="24"/>
        </w:rPr>
        <w:t xml:space="preserve"> switchable degraders </w:t>
      </w:r>
      <w:r w:rsidR="007E46DF">
        <w:rPr>
          <w:rFonts w:ascii="Arial" w:eastAsia="TimesNewRomanPSMT" w:hAnsi="Arial" w:cs="Arial"/>
          <w:sz w:val="24"/>
          <w:szCs w:val="24"/>
        </w:rPr>
        <w:t xml:space="preserve">(such as compound </w:t>
      </w:r>
      <w:r w:rsidR="007E46DF" w:rsidRPr="007E46DF">
        <w:rPr>
          <w:rFonts w:ascii="Arial" w:eastAsia="TimesNewRomanPSMT" w:hAnsi="Arial" w:cs="Arial"/>
          <w:b/>
          <w:bCs/>
          <w:sz w:val="24"/>
          <w:szCs w:val="24"/>
        </w:rPr>
        <w:t>9</w:t>
      </w:r>
      <w:r w:rsidR="007E46DF">
        <w:rPr>
          <w:rFonts w:ascii="Arial" w:eastAsia="TimesNewRomanPSMT" w:hAnsi="Arial" w:cs="Arial"/>
          <w:b/>
          <w:bCs/>
          <w:sz w:val="24"/>
          <w:szCs w:val="24"/>
        </w:rPr>
        <w:t>)</w:t>
      </w:r>
      <w:r w:rsidR="007E46DF">
        <w:rPr>
          <w:rFonts w:ascii="Arial" w:eastAsia="TimesNewRomanPSMT" w:hAnsi="Arial" w:cs="Arial"/>
          <w:sz w:val="24"/>
          <w:szCs w:val="24"/>
        </w:rPr>
        <w:t xml:space="preserve"> </w:t>
      </w:r>
      <w:r w:rsidRPr="000E0DB5">
        <w:rPr>
          <w:rFonts w:ascii="Arial" w:eastAsia="TimesNewRomanPSMT" w:hAnsi="Arial" w:cs="Arial"/>
          <w:sz w:val="24"/>
          <w:szCs w:val="24"/>
        </w:rPr>
        <w:t xml:space="preserve">avoid the need for continuous irradiation, fast relaxing switches may find useful applications, particularly if sustained degradation can be attained after </w:t>
      </w:r>
      <w:r w:rsidR="00BA45F6" w:rsidRPr="000E0DB5">
        <w:rPr>
          <w:rFonts w:ascii="Arial" w:eastAsia="TimesNewRomanPSMT" w:hAnsi="Arial" w:cs="Arial"/>
          <w:sz w:val="24"/>
          <w:szCs w:val="24"/>
        </w:rPr>
        <w:t xml:space="preserve">transient generation of </w:t>
      </w:r>
      <w:r w:rsidRPr="000E0DB5">
        <w:rPr>
          <w:rFonts w:ascii="Arial" w:eastAsia="TimesNewRomanPSMT" w:hAnsi="Arial" w:cs="Arial"/>
          <w:sz w:val="24"/>
          <w:szCs w:val="24"/>
        </w:rPr>
        <w:t xml:space="preserve">the </w:t>
      </w:r>
      <w:r w:rsidR="00BA45F6" w:rsidRPr="000E0DB5">
        <w:rPr>
          <w:rFonts w:ascii="Arial" w:eastAsia="TimesNewRomanPSMT" w:hAnsi="Arial" w:cs="Arial"/>
          <w:sz w:val="24"/>
          <w:szCs w:val="24"/>
        </w:rPr>
        <w:t xml:space="preserve">bioactive </w:t>
      </w:r>
      <w:r w:rsidR="00527B18" w:rsidRPr="000E0DB5">
        <w:rPr>
          <w:rFonts w:ascii="Arial" w:eastAsia="TimesNewRomanPSMT" w:hAnsi="Arial" w:cs="Arial"/>
          <w:i/>
          <w:iCs/>
          <w:sz w:val="24"/>
          <w:szCs w:val="24"/>
        </w:rPr>
        <w:t>cis</w:t>
      </w:r>
      <w:r w:rsidRPr="000E0DB5">
        <w:rPr>
          <w:rFonts w:ascii="Arial" w:eastAsia="TimesNewRomanPSMT" w:hAnsi="Arial" w:cs="Arial"/>
          <w:sz w:val="24"/>
          <w:szCs w:val="24"/>
        </w:rPr>
        <w:t xml:space="preserve"> isomer and </w:t>
      </w:r>
      <w:r w:rsidR="00526A4B" w:rsidRPr="000E0DB5">
        <w:rPr>
          <w:rFonts w:ascii="Arial" w:eastAsia="TimesNewRomanPSMT" w:hAnsi="Arial" w:cs="Arial"/>
          <w:sz w:val="24"/>
          <w:szCs w:val="24"/>
        </w:rPr>
        <w:t>on</w:t>
      </w:r>
      <w:r w:rsidR="00BA45F6" w:rsidRPr="000E0DB5">
        <w:rPr>
          <w:rFonts w:ascii="Arial" w:eastAsia="TimesNewRomanPSMT" w:hAnsi="Arial" w:cs="Arial"/>
          <w:sz w:val="24"/>
          <w:szCs w:val="24"/>
        </w:rPr>
        <w:t>-</w:t>
      </w:r>
      <w:r w:rsidR="00526A4B" w:rsidRPr="000E0DB5">
        <w:rPr>
          <w:rFonts w:ascii="Arial" w:eastAsia="TimesNewRomanPSMT" w:hAnsi="Arial" w:cs="Arial"/>
          <w:sz w:val="24"/>
          <w:szCs w:val="24"/>
        </w:rPr>
        <w:t xml:space="preserve"> or </w:t>
      </w:r>
      <w:r w:rsidRPr="000E0DB5">
        <w:rPr>
          <w:rFonts w:ascii="Arial" w:eastAsia="TimesNewRomanPSMT" w:hAnsi="Arial" w:cs="Arial"/>
          <w:sz w:val="24"/>
          <w:szCs w:val="24"/>
        </w:rPr>
        <w:t>off-target toxicities minimi</w:t>
      </w:r>
      <w:r w:rsidR="00760728" w:rsidRPr="000E0DB5">
        <w:rPr>
          <w:rFonts w:ascii="Arial" w:eastAsia="TimesNewRomanPSMT" w:hAnsi="Arial" w:cs="Arial"/>
          <w:sz w:val="24"/>
          <w:szCs w:val="24"/>
        </w:rPr>
        <w:t>z</w:t>
      </w:r>
      <w:r w:rsidRPr="000E0DB5">
        <w:rPr>
          <w:rFonts w:ascii="Arial" w:eastAsia="TimesNewRomanPSMT" w:hAnsi="Arial" w:cs="Arial"/>
          <w:sz w:val="24"/>
          <w:szCs w:val="24"/>
        </w:rPr>
        <w:t xml:space="preserve">ed by subsequent fast inactivation. </w:t>
      </w:r>
      <w:r w:rsidR="009F7157" w:rsidRPr="000E0DB5">
        <w:rPr>
          <w:rFonts w:ascii="Arial" w:eastAsia="TimesNewRomanPSMT" w:hAnsi="Arial" w:cs="Arial"/>
          <w:sz w:val="24"/>
          <w:szCs w:val="24"/>
        </w:rPr>
        <w:t xml:space="preserve">A tight-binding PROTAC could be retained by its target proteins for </w:t>
      </w:r>
      <w:r w:rsidR="009D74F6" w:rsidRPr="000E0DB5">
        <w:rPr>
          <w:rFonts w:ascii="Arial" w:eastAsia="TimesNewRomanPSMT" w:hAnsi="Arial" w:cs="Arial"/>
          <w:sz w:val="24"/>
          <w:szCs w:val="24"/>
        </w:rPr>
        <w:t>a</w:t>
      </w:r>
      <w:r w:rsidR="009F7157" w:rsidRPr="000E0DB5">
        <w:rPr>
          <w:rFonts w:ascii="Arial" w:eastAsia="TimesNewRomanPSMT" w:hAnsi="Arial" w:cs="Arial"/>
          <w:sz w:val="24"/>
          <w:szCs w:val="24"/>
        </w:rPr>
        <w:t xml:space="preserve"> </w:t>
      </w:r>
      <w:r w:rsidR="009D74F6">
        <w:rPr>
          <w:rFonts w:ascii="Arial" w:eastAsia="TimesNewRomanPSMT" w:hAnsi="Arial" w:cs="Arial"/>
          <w:sz w:val="24"/>
          <w:szCs w:val="24"/>
        </w:rPr>
        <w:t>prolonged</w:t>
      </w:r>
      <w:r w:rsidR="009F7157" w:rsidRPr="000E0DB5">
        <w:rPr>
          <w:rFonts w:ascii="Arial" w:eastAsia="TimesNewRomanPSMT" w:hAnsi="Arial" w:cs="Arial"/>
          <w:sz w:val="24"/>
          <w:szCs w:val="24"/>
        </w:rPr>
        <w:t xml:space="preserve"> period in the cell, and thermal reversion may assist in taming extended pharmacodynamics. </w:t>
      </w:r>
      <w:r w:rsidRPr="000E0DB5">
        <w:rPr>
          <w:rFonts w:ascii="Arial" w:eastAsia="TimesNewRomanPSMT" w:hAnsi="Arial" w:cs="Arial"/>
          <w:sz w:val="24"/>
          <w:szCs w:val="24"/>
        </w:rPr>
        <w:t>De</w:t>
      </w:r>
      <w:r w:rsidR="00527B18" w:rsidRPr="000E0DB5">
        <w:rPr>
          <w:rFonts w:ascii="Arial" w:eastAsia="TimesNewRomanPSMT" w:hAnsi="Arial" w:cs="Arial"/>
          <w:sz w:val="24"/>
          <w:szCs w:val="24"/>
        </w:rPr>
        <w:t>cis</w:t>
      </w:r>
      <w:r w:rsidRPr="000E0DB5">
        <w:rPr>
          <w:rFonts w:ascii="Arial" w:eastAsia="TimesNewRomanPSMT" w:hAnsi="Arial" w:cs="Arial"/>
          <w:sz w:val="24"/>
          <w:szCs w:val="24"/>
        </w:rPr>
        <w:t>ions on optimal half-lives needed for th</w:t>
      </w:r>
      <w:r w:rsidR="002539C0">
        <w:rPr>
          <w:rFonts w:ascii="Arial" w:eastAsia="TimesNewRomanPSMT" w:hAnsi="Arial" w:cs="Arial"/>
          <w:sz w:val="24"/>
          <w:szCs w:val="24"/>
        </w:rPr>
        <w:t>e active isomer</w:t>
      </w:r>
      <w:r w:rsidRPr="000E0DB5">
        <w:rPr>
          <w:rFonts w:ascii="Arial" w:eastAsia="TimesNewRomanPSMT" w:hAnsi="Arial" w:cs="Arial"/>
          <w:sz w:val="24"/>
          <w:szCs w:val="24"/>
        </w:rPr>
        <w:t xml:space="preserve"> may ultimately depend on the target protein and specific applications pursued</w:t>
      </w:r>
      <w:r w:rsidR="00BA45F6" w:rsidRPr="000E0DB5">
        <w:rPr>
          <w:rFonts w:ascii="Arial" w:eastAsia="TimesNewRomanPSMT" w:hAnsi="Arial" w:cs="Arial"/>
          <w:sz w:val="24"/>
          <w:szCs w:val="24"/>
        </w:rPr>
        <w:t xml:space="preserve">, and it remains unclear whether this automatic </w:t>
      </w:r>
      <w:r w:rsidR="00A3125F">
        <w:rPr>
          <w:rFonts w:ascii="Arial" w:eastAsia="TimesNewRomanPSMT" w:hAnsi="Arial" w:cs="Arial"/>
          <w:sz w:val="24"/>
          <w:szCs w:val="24"/>
        </w:rPr>
        <w:t>“</w:t>
      </w:r>
      <w:r w:rsidR="00BA45F6" w:rsidRPr="000E0DB5">
        <w:rPr>
          <w:rFonts w:ascii="Arial" w:eastAsia="TimesNewRomanPSMT" w:hAnsi="Arial" w:cs="Arial"/>
          <w:sz w:val="24"/>
          <w:szCs w:val="24"/>
        </w:rPr>
        <w:t>switch off</w:t>
      </w:r>
      <w:r w:rsidR="00A3125F">
        <w:rPr>
          <w:rFonts w:ascii="Arial" w:eastAsia="TimesNewRomanPSMT" w:hAnsi="Arial" w:cs="Arial"/>
          <w:sz w:val="24"/>
          <w:szCs w:val="24"/>
        </w:rPr>
        <w:t>”</w:t>
      </w:r>
      <w:r w:rsidR="00BA45F6" w:rsidRPr="000E0DB5">
        <w:rPr>
          <w:rFonts w:ascii="Arial" w:eastAsia="TimesNewRomanPSMT" w:hAnsi="Arial" w:cs="Arial"/>
          <w:sz w:val="24"/>
          <w:szCs w:val="24"/>
        </w:rPr>
        <w:t xml:space="preserve"> characteristic would offer any benefit over tuning </w:t>
      </w:r>
      <w:r w:rsidR="009F7157" w:rsidRPr="000E0DB5">
        <w:rPr>
          <w:rFonts w:ascii="Arial" w:eastAsia="TimesNewRomanPSMT" w:hAnsi="Arial" w:cs="Arial"/>
          <w:sz w:val="24"/>
          <w:szCs w:val="24"/>
        </w:rPr>
        <w:t xml:space="preserve">half-life through </w:t>
      </w:r>
      <w:r w:rsidR="00BA45F6" w:rsidRPr="000E0DB5">
        <w:rPr>
          <w:rFonts w:ascii="Arial" w:eastAsia="TimesNewRomanPSMT" w:hAnsi="Arial" w:cs="Arial"/>
          <w:sz w:val="24"/>
          <w:szCs w:val="24"/>
        </w:rPr>
        <w:t xml:space="preserve">inactivation </w:t>
      </w:r>
      <w:r w:rsidR="009F7157" w:rsidRPr="000E0DB5">
        <w:rPr>
          <w:rFonts w:ascii="Arial" w:eastAsia="TimesNewRomanPSMT" w:hAnsi="Arial" w:cs="Arial"/>
          <w:sz w:val="24"/>
          <w:szCs w:val="24"/>
        </w:rPr>
        <w:t>by</w:t>
      </w:r>
      <w:r w:rsidR="00BA45F6" w:rsidRPr="000E0DB5">
        <w:rPr>
          <w:rFonts w:ascii="Arial" w:eastAsia="TimesNewRomanPSMT" w:hAnsi="Arial" w:cs="Arial"/>
          <w:sz w:val="24"/>
          <w:szCs w:val="24"/>
        </w:rPr>
        <w:t xml:space="preserve"> metabolism </w:t>
      </w:r>
      <w:r w:rsidR="009F7157" w:rsidRPr="000E0DB5">
        <w:rPr>
          <w:rFonts w:ascii="Arial" w:eastAsia="TimesNewRomanPSMT" w:hAnsi="Arial" w:cs="Arial"/>
          <w:sz w:val="24"/>
          <w:szCs w:val="24"/>
        </w:rPr>
        <w:t>or</w:t>
      </w:r>
      <w:r w:rsidR="00BA45F6" w:rsidRPr="000E0DB5">
        <w:rPr>
          <w:rFonts w:ascii="Arial" w:eastAsia="TimesNewRomanPSMT" w:hAnsi="Arial" w:cs="Arial"/>
          <w:sz w:val="24"/>
          <w:szCs w:val="24"/>
        </w:rPr>
        <w:t xml:space="preserve"> excretion</w:t>
      </w:r>
      <w:r w:rsidRPr="000E0DB5">
        <w:rPr>
          <w:rFonts w:ascii="Arial" w:eastAsia="TimesNewRomanPSMT" w:hAnsi="Arial" w:cs="Arial"/>
          <w:sz w:val="24"/>
          <w:szCs w:val="24"/>
        </w:rPr>
        <w:t>.</w:t>
      </w:r>
      <w:r w:rsidR="00BA45F6" w:rsidRPr="000E0DB5">
        <w:rPr>
          <w:rFonts w:ascii="Arial" w:eastAsia="TimesNewRomanPSMT" w:hAnsi="Arial" w:cs="Arial"/>
          <w:sz w:val="24"/>
          <w:szCs w:val="24"/>
        </w:rPr>
        <w:t xml:space="preserve"> </w:t>
      </w:r>
    </w:p>
    <w:p w14:paraId="0B3E7001" w14:textId="131396D6" w:rsidR="007F2429" w:rsidRPr="000E0DB5" w:rsidRDefault="007F2429" w:rsidP="007F2429">
      <w:pPr>
        <w:spacing w:line="480" w:lineRule="auto"/>
        <w:jc w:val="both"/>
        <w:rPr>
          <w:rFonts w:ascii="Arial" w:eastAsia="TimesNewRomanPSMT" w:hAnsi="Arial" w:cs="Arial"/>
          <w:sz w:val="24"/>
          <w:szCs w:val="24"/>
        </w:rPr>
      </w:pPr>
      <w:r w:rsidRPr="000E0DB5">
        <w:rPr>
          <w:rFonts w:ascii="Arial" w:eastAsia="TimesNewRomanPSMT" w:hAnsi="Arial" w:cs="Arial"/>
          <w:sz w:val="24"/>
          <w:szCs w:val="24"/>
        </w:rPr>
        <w:t xml:space="preserve">We also note that caging of </w:t>
      </w:r>
      <w:r w:rsidR="009F7157" w:rsidRPr="000E0DB5">
        <w:rPr>
          <w:rFonts w:ascii="Arial" w:eastAsia="TimesNewRomanPSMT" w:hAnsi="Arial" w:cs="Arial"/>
          <w:sz w:val="24"/>
          <w:szCs w:val="24"/>
        </w:rPr>
        <w:t xml:space="preserve">the </w:t>
      </w:r>
      <w:r w:rsidRPr="000E0DB5">
        <w:rPr>
          <w:rFonts w:ascii="Arial" w:eastAsia="TimesNewRomanPSMT" w:hAnsi="Arial" w:cs="Arial"/>
          <w:sz w:val="24"/>
          <w:szCs w:val="24"/>
        </w:rPr>
        <w:t xml:space="preserve">E3 ligase </w:t>
      </w:r>
      <w:r w:rsidR="009F7157" w:rsidRPr="000E0DB5">
        <w:rPr>
          <w:rFonts w:ascii="Arial" w:eastAsia="TimesNewRomanPSMT" w:hAnsi="Arial" w:cs="Arial"/>
          <w:sz w:val="24"/>
          <w:szCs w:val="24"/>
        </w:rPr>
        <w:t xml:space="preserve">component of a PROTAC </w:t>
      </w:r>
      <w:r w:rsidRPr="000E0DB5">
        <w:rPr>
          <w:rFonts w:ascii="Arial" w:eastAsia="TimesNewRomanPSMT" w:hAnsi="Arial" w:cs="Arial"/>
          <w:sz w:val="24"/>
          <w:szCs w:val="24"/>
        </w:rPr>
        <w:t xml:space="preserve">(compounds </w:t>
      </w:r>
      <w:r w:rsidRPr="000E0DB5">
        <w:rPr>
          <w:rFonts w:ascii="Arial" w:eastAsia="TimesNewRomanPSMT" w:hAnsi="Arial" w:cs="Arial"/>
          <w:b/>
          <w:bCs/>
          <w:sz w:val="24"/>
          <w:szCs w:val="24"/>
        </w:rPr>
        <w:t>3-8</w:t>
      </w:r>
      <w:r w:rsidRPr="000E0DB5">
        <w:rPr>
          <w:rFonts w:ascii="Arial" w:eastAsia="TimesNewRomanPSMT" w:hAnsi="Arial" w:cs="Arial"/>
          <w:sz w:val="24"/>
          <w:szCs w:val="24"/>
        </w:rPr>
        <w:t xml:space="preserve">) is straightforward, highly modular, and offers a </w:t>
      </w:r>
      <w:r w:rsidR="009F7157" w:rsidRPr="000E0DB5">
        <w:rPr>
          <w:rFonts w:ascii="Arial" w:eastAsia="TimesNewRomanPSMT" w:hAnsi="Arial" w:cs="Arial"/>
          <w:sz w:val="24"/>
          <w:szCs w:val="24"/>
        </w:rPr>
        <w:t xml:space="preserve">mechanistically </w:t>
      </w:r>
      <w:r w:rsidRPr="000E0DB5">
        <w:rPr>
          <w:rFonts w:ascii="Arial" w:eastAsia="TimesNewRomanPSMT" w:hAnsi="Arial" w:cs="Arial"/>
          <w:sz w:val="24"/>
          <w:szCs w:val="24"/>
        </w:rPr>
        <w:t xml:space="preserve">predictable outcome in </w:t>
      </w:r>
      <w:r w:rsidR="009F7157" w:rsidRPr="000E0DB5">
        <w:rPr>
          <w:rFonts w:ascii="Arial" w:eastAsia="TimesNewRomanPSMT" w:hAnsi="Arial" w:cs="Arial"/>
          <w:sz w:val="24"/>
          <w:szCs w:val="24"/>
        </w:rPr>
        <w:t xml:space="preserve">switching on </w:t>
      </w:r>
      <w:r w:rsidRPr="000E0DB5">
        <w:rPr>
          <w:rFonts w:ascii="Arial" w:eastAsia="TimesNewRomanPSMT" w:hAnsi="Arial" w:cs="Arial"/>
          <w:sz w:val="24"/>
          <w:szCs w:val="24"/>
        </w:rPr>
        <w:t xml:space="preserve">degradation upon photoirradiation. In comparison, the reports </w:t>
      </w:r>
      <w:r w:rsidR="009F7157" w:rsidRPr="000E0DB5">
        <w:rPr>
          <w:rFonts w:ascii="Arial" w:eastAsia="TimesNewRomanPSMT" w:hAnsi="Arial" w:cs="Arial"/>
          <w:sz w:val="24"/>
          <w:szCs w:val="24"/>
        </w:rPr>
        <w:t xml:space="preserve">to date </w:t>
      </w:r>
      <w:r w:rsidRPr="000E0DB5">
        <w:rPr>
          <w:rFonts w:ascii="Arial" w:eastAsia="TimesNewRomanPSMT" w:hAnsi="Arial" w:cs="Arial"/>
          <w:sz w:val="24"/>
          <w:szCs w:val="24"/>
        </w:rPr>
        <w:t xml:space="preserve">on photoswitchable degraders reveal that incorporation of a photoswitch into a bifunctional molecule can be explorative and identification of geometrical isomers with distinct degradation </w:t>
      </w:r>
      <w:r w:rsidR="00B47C12">
        <w:rPr>
          <w:rFonts w:ascii="Arial" w:eastAsia="TimesNewRomanPSMT" w:hAnsi="Arial" w:cs="Arial"/>
          <w:sz w:val="24"/>
          <w:szCs w:val="24"/>
        </w:rPr>
        <w:t>potency</w:t>
      </w:r>
      <w:r w:rsidRPr="000E0DB5">
        <w:rPr>
          <w:rFonts w:ascii="Arial" w:eastAsia="TimesNewRomanPSMT" w:hAnsi="Arial" w:cs="Arial"/>
          <w:sz w:val="24"/>
          <w:szCs w:val="24"/>
        </w:rPr>
        <w:t xml:space="preserve"> may require multiple </w:t>
      </w:r>
      <w:r w:rsidR="00E671D5" w:rsidRPr="000E0DB5">
        <w:rPr>
          <w:rFonts w:ascii="Arial" w:eastAsia="TimesNewRomanPSMT" w:hAnsi="Arial" w:cs="Arial"/>
          <w:sz w:val="24"/>
          <w:szCs w:val="24"/>
        </w:rPr>
        <w:t xml:space="preserve">synthetic </w:t>
      </w:r>
      <w:r w:rsidR="0094454F" w:rsidRPr="000E0DB5">
        <w:rPr>
          <w:rFonts w:ascii="Arial" w:eastAsia="TimesNewRomanPSMT" w:hAnsi="Arial" w:cs="Arial"/>
          <w:sz w:val="24"/>
          <w:szCs w:val="24"/>
        </w:rPr>
        <w:t>iterations</w:t>
      </w:r>
      <w:r w:rsidRPr="000E0DB5">
        <w:rPr>
          <w:rFonts w:ascii="Arial" w:eastAsia="TimesNewRomanPSMT" w:hAnsi="Arial" w:cs="Arial"/>
          <w:sz w:val="24"/>
          <w:szCs w:val="24"/>
        </w:rPr>
        <w:t xml:space="preserve">. More importantly, explanation of the observed </w:t>
      </w:r>
      <w:r w:rsidR="009F7157" w:rsidRPr="000E0DB5">
        <w:rPr>
          <w:rFonts w:ascii="Arial" w:eastAsia="TimesNewRomanPSMT" w:hAnsi="Arial" w:cs="Arial"/>
          <w:sz w:val="24"/>
          <w:szCs w:val="24"/>
        </w:rPr>
        <w:t>structure-</w:t>
      </w:r>
      <w:r w:rsidRPr="000E0DB5">
        <w:rPr>
          <w:rFonts w:ascii="Arial" w:eastAsia="TimesNewRomanPSMT" w:hAnsi="Arial" w:cs="Arial"/>
          <w:sz w:val="24"/>
          <w:szCs w:val="24"/>
        </w:rPr>
        <w:t xml:space="preserve">degradation </w:t>
      </w:r>
      <w:r w:rsidR="009F7157" w:rsidRPr="000E0DB5">
        <w:rPr>
          <w:rFonts w:ascii="Arial" w:eastAsia="TimesNewRomanPSMT" w:hAnsi="Arial" w:cs="Arial"/>
          <w:sz w:val="24"/>
          <w:szCs w:val="24"/>
        </w:rPr>
        <w:t>profiles</w:t>
      </w:r>
      <w:r w:rsidR="00B9788D">
        <w:rPr>
          <w:rFonts w:ascii="Arial" w:eastAsia="TimesNewRomanPSMT" w:hAnsi="Arial" w:cs="Arial"/>
          <w:sz w:val="24"/>
          <w:szCs w:val="24"/>
        </w:rPr>
        <w:t xml:space="preserve"> (which</w:t>
      </w:r>
      <w:r w:rsidR="00DE7E4C">
        <w:rPr>
          <w:rFonts w:ascii="Arial" w:eastAsia="TimesNewRomanPSMT" w:hAnsi="Arial" w:cs="Arial"/>
          <w:sz w:val="24"/>
          <w:szCs w:val="24"/>
        </w:rPr>
        <w:t xml:space="preserve"> may also be</w:t>
      </w:r>
      <w:r w:rsidR="00AD7B71">
        <w:rPr>
          <w:rFonts w:ascii="Arial" w:eastAsia="TimesNewRomanPSMT" w:hAnsi="Arial" w:cs="Arial"/>
          <w:sz w:val="24"/>
          <w:szCs w:val="24"/>
        </w:rPr>
        <w:t xml:space="preserve"> </w:t>
      </w:r>
      <w:r w:rsidR="00B9788D">
        <w:rPr>
          <w:rFonts w:ascii="Arial" w:eastAsia="TimesNewRomanPSMT" w:hAnsi="Arial" w:cs="Arial"/>
          <w:sz w:val="24"/>
          <w:szCs w:val="24"/>
        </w:rPr>
        <w:t>target-dependent)</w:t>
      </w:r>
      <w:r w:rsidR="009F7157" w:rsidRPr="000E0DB5">
        <w:rPr>
          <w:rFonts w:ascii="Arial" w:eastAsia="TimesNewRomanPSMT" w:hAnsi="Arial" w:cs="Arial"/>
          <w:sz w:val="24"/>
          <w:szCs w:val="24"/>
        </w:rPr>
        <w:t xml:space="preserve"> </w:t>
      </w:r>
      <w:r w:rsidRPr="000E0DB5">
        <w:rPr>
          <w:rFonts w:ascii="Arial" w:eastAsia="TimesNewRomanPSMT" w:hAnsi="Arial" w:cs="Arial"/>
          <w:sz w:val="24"/>
          <w:szCs w:val="24"/>
        </w:rPr>
        <w:t xml:space="preserve">has yet to be provided </w:t>
      </w:r>
      <w:r w:rsidR="009F7157" w:rsidRPr="000E0DB5">
        <w:rPr>
          <w:rFonts w:ascii="Arial" w:eastAsia="TimesNewRomanPSMT" w:hAnsi="Arial" w:cs="Arial"/>
          <w:sz w:val="24"/>
          <w:szCs w:val="24"/>
        </w:rPr>
        <w:t xml:space="preserve">at a molecular level </w:t>
      </w:r>
      <w:r w:rsidRPr="000E0DB5">
        <w:rPr>
          <w:rFonts w:ascii="Arial" w:eastAsia="TimesNewRomanPSMT" w:hAnsi="Arial" w:cs="Arial"/>
          <w:sz w:val="24"/>
          <w:szCs w:val="24"/>
        </w:rPr>
        <w:t>for photoswitchable degraders</w:t>
      </w:r>
      <w:r w:rsidR="009F7157" w:rsidRPr="000E0DB5">
        <w:rPr>
          <w:rFonts w:ascii="Arial" w:eastAsia="TimesNewRomanPSMT" w:hAnsi="Arial" w:cs="Arial"/>
          <w:sz w:val="24"/>
          <w:szCs w:val="24"/>
        </w:rPr>
        <w:t>,</w:t>
      </w:r>
      <w:r w:rsidRPr="000E0DB5">
        <w:rPr>
          <w:rFonts w:ascii="Arial" w:eastAsia="TimesNewRomanPSMT" w:hAnsi="Arial" w:cs="Arial"/>
          <w:sz w:val="24"/>
          <w:szCs w:val="24"/>
        </w:rPr>
        <w:t xml:space="preserve"> and will certainly </w:t>
      </w:r>
      <w:r w:rsidR="009F7157" w:rsidRPr="000E0DB5">
        <w:rPr>
          <w:rFonts w:ascii="Arial" w:eastAsia="TimesNewRomanPSMT" w:hAnsi="Arial" w:cs="Arial"/>
          <w:sz w:val="24"/>
          <w:szCs w:val="24"/>
        </w:rPr>
        <w:t xml:space="preserve">require </w:t>
      </w:r>
      <w:r w:rsidRPr="000E0DB5">
        <w:rPr>
          <w:rFonts w:ascii="Arial" w:eastAsia="TimesNewRomanPSMT" w:hAnsi="Arial" w:cs="Arial"/>
          <w:sz w:val="24"/>
          <w:szCs w:val="24"/>
        </w:rPr>
        <w:t>a combination of biophysical and computational methods not only to understand the data a posteriori</w:t>
      </w:r>
      <w:r w:rsidR="009F7157" w:rsidRPr="000E0DB5">
        <w:rPr>
          <w:rFonts w:ascii="Arial" w:eastAsia="TimesNewRomanPSMT" w:hAnsi="Arial" w:cs="Arial"/>
          <w:sz w:val="24"/>
          <w:szCs w:val="24"/>
        </w:rPr>
        <w:t>,</w:t>
      </w:r>
      <w:r w:rsidRPr="000E0DB5">
        <w:rPr>
          <w:rFonts w:ascii="Arial" w:eastAsia="TimesNewRomanPSMT" w:hAnsi="Arial" w:cs="Arial"/>
          <w:sz w:val="24"/>
          <w:szCs w:val="24"/>
        </w:rPr>
        <w:t xml:space="preserve"> but also to guide future design. </w:t>
      </w:r>
    </w:p>
    <w:p w14:paraId="755B8664" w14:textId="5CEE8945" w:rsidR="007F2429" w:rsidRPr="000E0DB5" w:rsidRDefault="007F2429" w:rsidP="007F2429">
      <w:pPr>
        <w:spacing w:line="480" w:lineRule="auto"/>
        <w:jc w:val="both"/>
        <w:rPr>
          <w:rFonts w:ascii="Arial" w:eastAsia="TimesNewRomanPSMT" w:hAnsi="Arial" w:cs="Arial"/>
          <w:sz w:val="24"/>
          <w:szCs w:val="24"/>
        </w:rPr>
      </w:pPr>
      <w:r w:rsidRPr="000E0DB5">
        <w:rPr>
          <w:rFonts w:ascii="Arial" w:eastAsia="TimesNewRomanPSMT" w:hAnsi="Arial" w:cs="Arial"/>
          <w:sz w:val="24"/>
          <w:szCs w:val="24"/>
        </w:rPr>
        <w:t xml:space="preserve">Selective </w:t>
      </w:r>
      <w:r w:rsidR="000E0DB5" w:rsidRPr="000E0DB5">
        <w:rPr>
          <w:rFonts w:ascii="Arial" w:eastAsia="TimesNewRomanPSMT" w:hAnsi="Arial" w:cs="Arial"/>
          <w:sz w:val="24"/>
          <w:szCs w:val="24"/>
        </w:rPr>
        <w:t xml:space="preserve">and differential </w:t>
      </w:r>
      <w:r w:rsidRPr="000E0DB5">
        <w:rPr>
          <w:rFonts w:ascii="Arial" w:eastAsia="TimesNewRomanPSMT" w:hAnsi="Arial" w:cs="Arial"/>
          <w:sz w:val="24"/>
          <w:szCs w:val="24"/>
        </w:rPr>
        <w:t>degradation of closely related proteins (i.e. proteins within a subfamily or isoforms) is another aspect worth</w:t>
      </w:r>
      <w:r w:rsidR="000E0DB5" w:rsidRPr="000E0DB5">
        <w:rPr>
          <w:rFonts w:ascii="Arial" w:eastAsia="TimesNewRomanPSMT" w:hAnsi="Arial" w:cs="Arial"/>
          <w:sz w:val="24"/>
          <w:szCs w:val="24"/>
        </w:rPr>
        <w:t>y of</w:t>
      </w:r>
      <w:r w:rsidRPr="000E0DB5">
        <w:rPr>
          <w:rFonts w:ascii="Arial" w:eastAsia="TimesNewRomanPSMT" w:hAnsi="Arial" w:cs="Arial"/>
          <w:sz w:val="24"/>
          <w:szCs w:val="24"/>
        </w:rPr>
        <w:t xml:space="preserve"> </w:t>
      </w:r>
      <w:r w:rsidR="000E0DB5" w:rsidRPr="000E0DB5">
        <w:rPr>
          <w:rFonts w:ascii="Arial" w:eastAsia="TimesNewRomanPSMT" w:hAnsi="Arial" w:cs="Arial"/>
          <w:sz w:val="24"/>
          <w:szCs w:val="24"/>
        </w:rPr>
        <w:t xml:space="preserve">investigation </w:t>
      </w:r>
      <w:r w:rsidRPr="000E0DB5">
        <w:rPr>
          <w:rFonts w:ascii="Arial" w:eastAsia="TimesNewRomanPSMT" w:hAnsi="Arial" w:cs="Arial"/>
          <w:sz w:val="24"/>
          <w:szCs w:val="24"/>
        </w:rPr>
        <w:t>with photoswitchable degraders. This singular characteristic of PROTACs has mainly been described for kinase-targeting degraders</w:t>
      </w:r>
      <w:r w:rsidR="00D632D4" w:rsidRPr="000E0DB5">
        <w:rPr>
          <w:rFonts w:ascii="Arial" w:eastAsia="TimesNewRomanPSMT" w:hAnsi="Arial" w:cs="Arial"/>
          <w:sz w:val="24"/>
          <w:szCs w:val="24"/>
        </w:rPr>
        <w:t>,</w:t>
      </w:r>
      <w:r w:rsidR="00D632D4" w:rsidRPr="000E0DB5">
        <w:rPr>
          <w:rFonts w:ascii="Arial" w:eastAsia="TimesNewRomanPSMT" w:hAnsi="Arial" w:cs="Arial"/>
          <w:sz w:val="24"/>
          <w:szCs w:val="24"/>
        </w:rPr>
        <w:fldChar w:fldCharType="begin" w:fldLock="1"/>
      </w:r>
      <w:r w:rsidR="005D6924">
        <w:rPr>
          <w:rFonts w:ascii="Arial" w:eastAsia="TimesNewRomanPSMT" w:hAnsi="Arial" w:cs="Arial"/>
          <w:sz w:val="24"/>
          <w:szCs w:val="24"/>
        </w:rPr>
        <w:instrText>ADDIN CSL_CITATION {"citationItems":[{"id":"ITEM-1","itemData":{"DOI":"10.1016/j.chembiol.2017.10.005","ISSN":"24519448","abstract":"Heterobifunctional molecules that recruit E3 ubiquitin ligases, such as cereblon, for targeted protein degradation represent an emerging pharmacological strategy. A major unanswered question is how generally applicable this strategy is to all protein targets. In this study, we designed a multi-kinase degrader by conjugating a highly promiscuous kinase inhibitor with a cereblon-binding ligand, and used quantitative proteomics to discover 28 kinases, including BTK, PTK2, PTK2B, FLT3, AURKA, AURKB, TEC, ULK1, ITK, and nine members of the CDK family, as degradable. This set of kinases is only a fraction of the intracellular targets bound by the degrader, demonstrating that successful degradation requires more than target engagement. The results guided us to develop selective degraders for FLT3 and BTK, with potentials to improve disease treatment. Together, this study demonstrates an efficient approach to triage a gene family of interest to identify readily degradable targets for further studies and pre-clinical developments. Heterobifunctional protein degrader is an emerging pharmacological strategy. Using a multi-kinase degrader, Huang et al. greatly expanded the number of known degradable kinases, and demonstrated an efficient approach to triage a gene family for actionable targets with potential therapeutic impacts.","author":[{"dropping-particle":"","family":"Huang","given":"Hai Tsang","non-dropping-particle":"","parse-names":false,"suffix":""},{"dropping-particle":"","family":"Dobrovolsky","given":"Dennis","non-dropping-particle":"","parse-names":false,"suffix":""},{"dropping-particle":"","family":"Paulk","given":"Joshiawa","non-dropping-particle":"","parse-names":false,"suffix":""},{"dropping-particle":"","family":"Yang","given":"Guang","non-dropping-particle":"","parse-names":false,"suffix":""},{"dropping-particle":"","family":"Weisberg","given":"Ellen L.","non-dropping-particle":"","parse-names":false,"suffix":""},{"dropping-particle":"","family":"Doctor","given":"Zainab M.","non-dropping-particle":"","parse-names":false,"suffix":""},{"dropping-particle":"","family":"Buckley","given":"Dennis L.","non-dropping-particle":"","parse-names":false,"suffix":""},{"dropping-particle":"","family":"Cho","given":"Joong Heui","non-dropping-particle":"","parse-names":false,"suffix":""},{"dropping-particle":"","family":"Ko","given":"Eunhwa","non-dropping-particle":"","parse-names":false,"suffix":""},{"dropping-particle":"","family":"Jang","given":"Jaebong","non-dropping-particle":"","parse-names":false,"suffix":""},{"dropping-particle":"","family":"Shi","given":"Kun","non-dropping-particle":"","parse-names":false,"suffix":""},{"dropping-particle":"","family":"Choi","given":"Hwan Geun","non-dropping-particle":"","parse-names":false,"suffix":""},{"dropping-particle":"","family":"Griffin","given":"James D.","non-dropping-particle":"","parse-names":false,"suffix":""},{"dropping-particle":"","family":"Li","given":"Ying","non-dropping-particle":"","parse-names":false,"suffix":""},{"dropping-particle":"","family":"Treon","given":"Steven P.","non-dropping-particle":"","parse-names":false,"suffix":""},{"dropping-particle":"","family":"Fischer","given":"Eric S.","non-dropping-particle":"","parse-names":false,"suffix":""},{"dropping-particle":"","family":"Bradner","given":"James E.","non-dropping-particle":"","parse-names":false,"suffix":""},{"dropping-particle":"","family":"Tan","given":"Li","non-dropping-particle":"","parse-names":false,"suffix":""},{"dropping-particle":"","family":"Gray","given":"Nathanael S.","non-dropping-particle":"","parse-names":false,"suffix":""}],"container-title":"Cell Chemical Biology","id":"ITEM-1","issue":"1","issued":{"date-parts":[["2018"]]},"page":"88-99.e6","publisher":"Elsevier Ltd.","title":"A Chemoproteomic Approach to Query the Degradable Kinome Using a Multi-kinase Degrader","type":"article-journal","volume":"25"},"uris":["http://www.mendeley.com/documents/?uuid=c2ab7022-ab11-4501-a32e-c84b29c9385e"]},{"id":"ITEM-2","itemData":{"DOI":"10.1016/j.chembiol.2017.09.010","ISSN":"24519448","abstract":"Inhibiting protein function selectively is a major goal of modern drug discovery. Here, we report a previously understudied benefit of small molecule proteolysis-targeting chimeras (PROTACs) that recruit E3 ubiquitin ligases to target proteins for their ubiquitination and subsequent proteasome-mediated degradation. Using promiscuous CRBN- and VHL-recruiting PROTACs that bind &gt;50 kinases, we show that only a subset of bound targets is degraded. The basis of this selectivity relies on protein-protein interactions between the E3 ubiquitin ligase and the target protein, as illustrated by engaged proteins that are not degraded as a result of unstable ternary complexes with PROTAC-recruited E3 ligases. In contrast, weak PROTAC:target protein affinity can be stabilized by high-affinity target:PROTAC:ligase trimer interactions, leading to efficient degradation. This study highlights design guidelines for generating potent PROTACs as well as possibilities for degrading undruggable proteins immune to traditional small-molecule inhibitors. Bondeson, Smith et al. examined the degradation selectivity of promiscuous PROTACs, heterobifunctional small molecules based on E3 ligase-recruiting molecules conjugated to a non-selective kinase inhibitor. Despite binding to well over 50 kinases, these compounds selectively degrade &lt;15 due to unique protein-protein interactions between the E3 ligase and degraded targets.","author":[{"dropping-particle":"","family":"Bondeson","given":"Daniel P.","non-dropping-particle":"","parse-names":false,"suffix":""},{"dropping-particle":"","family":"Smith","given":"Blake E.","non-dropping-particle":"","parse-names":false,"suffix":""},{"dropping-particle":"","family":"Burslem","given":"George M.","non-dropping-particle":"","parse-names":false,"suffix":""},{"dropping-particle":"","family":"Buhimschi","given":"Alexandru D.","non-dropping-particle":"","parse-names":false,"suffix":""},{"dropping-particle":"","family":"Hines","given":"John","non-dropping-particle":"","parse-names":false,"suffix":""},{"dropping-particle":"","family":"Jaime-Figueroa","given":"Saul","non-dropping-particle":"","parse-names":false,"suffix":""},{"dropping-particle":"","family":"Wang","given":"Jing","non-dropping-particle":"","parse-names":false,"suffix":""},{"dropping-particle":"","family":"Hamman","given":"Brian D.","non-dropping-particle":"","parse-names":false,"suffix":""},{"dropping-particle":"","family":"Ishchenko","given":"Alexey","non-dropping-particle":"","parse-names":false,"suffix":""},{"dropping-particle":"","family":"Crews","given":"Craig M.","non-dropping-particle":"","parse-names":false,"suffix":""}],"container-title":"Cell Chemical Biology","id":"ITEM-2","issue":"1","issued":{"date-parts":[["2018"]]},"page":"78-87.e5","publisher":"Elsevier Ltd.","title":"Lessons in PROTAC Design from Selective Degradation with a Promiscuous Warhead","type":"article-journal","volume":"25"},"uris":["http://www.mendeley.com/documents/?uuid=84c967f3-bf37-4632-8c3f-e739e25eb51c"]}],"mendeley":{"formattedCitation":"&lt;sup&gt;63,64&lt;/sup&gt;","plainTextFormattedCitation":"63,64","previouslyFormattedCitation":"&lt;sup&gt;64,65&lt;/sup&gt;"},"properties":{"noteIndex":0},"schema":"https://github.com/citation-style-language/schema/raw/master/csl-citation.json"}</w:instrText>
      </w:r>
      <w:r w:rsidR="00D632D4" w:rsidRPr="000E0DB5">
        <w:rPr>
          <w:rFonts w:ascii="Arial" w:eastAsia="TimesNewRomanPSMT" w:hAnsi="Arial" w:cs="Arial"/>
          <w:sz w:val="24"/>
          <w:szCs w:val="24"/>
        </w:rPr>
        <w:fldChar w:fldCharType="separate"/>
      </w:r>
      <w:r w:rsidR="005D6924" w:rsidRPr="005D6924">
        <w:rPr>
          <w:rFonts w:ascii="Arial" w:eastAsia="TimesNewRomanPSMT" w:hAnsi="Arial" w:cs="Arial"/>
          <w:noProof/>
          <w:sz w:val="24"/>
          <w:szCs w:val="24"/>
          <w:vertAlign w:val="superscript"/>
        </w:rPr>
        <w:t>63,64</w:t>
      </w:r>
      <w:r w:rsidR="00D632D4" w:rsidRPr="000E0DB5">
        <w:rPr>
          <w:rFonts w:ascii="Arial" w:eastAsia="TimesNewRomanPSMT" w:hAnsi="Arial" w:cs="Arial"/>
          <w:sz w:val="24"/>
          <w:szCs w:val="24"/>
        </w:rPr>
        <w:fldChar w:fldCharType="end"/>
      </w:r>
      <w:r w:rsidRPr="000E0DB5">
        <w:rPr>
          <w:rFonts w:ascii="Arial" w:eastAsia="TimesNewRomanPSMT" w:hAnsi="Arial" w:cs="Arial"/>
          <w:sz w:val="24"/>
          <w:szCs w:val="24"/>
        </w:rPr>
        <w:t xml:space="preserve"> and the data from Pfaff et al. (BRD2 selective degradation with </w:t>
      </w:r>
      <w:r w:rsidR="00527B18" w:rsidRPr="000E0DB5">
        <w:rPr>
          <w:rFonts w:ascii="Arial" w:eastAsia="TimesNewRomanPSMT" w:hAnsi="Arial" w:cs="Arial"/>
          <w:i/>
          <w:iCs/>
          <w:sz w:val="24"/>
          <w:szCs w:val="24"/>
        </w:rPr>
        <w:t>trans</w:t>
      </w:r>
      <w:r w:rsidRPr="000E0DB5">
        <w:rPr>
          <w:rFonts w:ascii="Arial" w:eastAsia="TimesNewRomanPSMT" w:hAnsi="Arial" w:cs="Arial"/>
          <w:sz w:val="24"/>
          <w:szCs w:val="24"/>
        </w:rPr>
        <w:t xml:space="preserve"> isomer of </w:t>
      </w:r>
      <w:r w:rsidRPr="000E0DB5">
        <w:rPr>
          <w:rFonts w:ascii="Arial" w:eastAsia="TimesNewRomanPSMT" w:hAnsi="Arial" w:cs="Arial"/>
          <w:b/>
          <w:bCs/>
          <w:sz w:val="24"/>
          <w:szCs w:val="24"/>
        </w:rPr>
        <w:t>9</w:t>
      </w:r>
      <w:r w:rsidRPr="000E0DB5">
        <w:rPr>
          <w:rFonts w:ascii="Arial" w:eastAsia="TimesNewRomanPSMT" w:hAnsi="Arial" w:cs="Arial"/>
          <w:sz w:val="24"/>
          <w:szCs w:val="24"/>
        </w:rPr>
        <w:t>) encourages further exploitation of this feature with a photoswitch design</w:t>
      </w:r>
      <w:r w:rsidR="00D34679" w:rsidRPr="000E0DB5">
        <w:rPr>
          <w:rFonts w:ascii="Arial" w:eastAsia="TimesNewRomanPSMT" w:hAnsi="Arial" w:cs="Arial"/>
          <w:sz w:val="24"/>
          <w:szCs w:val="24"/>
        </w:rPr>
        <w:t xml:space="preserve">. Differential degradation </w:t>
      </w:r>
      <w:r w:rsidR="00480651" w:rsidRPr="000E0DB5">
        <w:rPr>
          <w:rFonts w:ascii="Arial" w:eastAsia="TimesNewRomanPSMT" w:hAnsi="Arial" w:cs="Arial"/>
          <w:sz w:val="24"/>
          <w:szCs w:val="24"/>
        </w:rPr>
        <w:t>of</w:t>
      </w:r>
      <w:r w:rsidR="00DF3FFF" w:rsidRPr="000E0DB5">
        <w:rPr>
          <w:rFonts w:ascii="Arial" w:eastAsia="TimesNewRomanPSMT" w:hAnsi="Arial" w:cs="Arial"/>
          <w:sz w:val="24"/>
          <w:szCs w:val="24"/>
        </w:rPr>
        <w:t xml:space="preserve"> structurally related proteins </w:t>
      </w:r>
      <w:r w:rsidR="00D34679" w:rsidRPr="000E0DB5">
        <w:rPr>
          <w:rFonts w:ascii="Arial" w:eastAsia="TimesNewRomanPSMT" w:hAnsi="Arial" w:cs="Arial"/>
          <w:sz w:val="24"/>
          <w:szCs w:val="24"/>
        </w:rPr>
        <w:t xml:space="preserve">upon configurational change of the degrader </w:t>
      </w:r>
      <w:r w:rsidR="00E82A10" w:rsidRPr="000E0DB5">
        <w:rPr>
          <w:rFonts w:ascii="Arial" w:eastAsia="TimesNewRomanPSMT" w:hAnsi="Arial" w:cs="Arial"/>
          <w:sz w:val="24"/>
          <w:szCs w:val="24"/>
        </w:rPr>
        <w:t xml:space="preserve">could </w:t>
      </w:r>
      <w:r w:rsidR="000E0DB5" w:rsidRPr="000E0DB5">
        <w:rPr>
          <w:rFonts w:ascii="Arial" w:eastAsia="TimesNewRomanPSMT" w:hAnsi="Arial" w:cs="Arial"/>
          <w:sz w:val="24"/>
          <w:szCs w:val="24"/>
        </w:rPr>
        <w:t xml:space="preserve">permit </w:t>
      </w:r>
      <w:r w:rsidR="00E82A10" w:rsidRPr="000E0DB5">
        <w:rPr>
          <w:rFonts w:ascii="Arial" w:eastAsia="TimesNewRomanPSMT" w:hAnsi="Arial" w:cs="Arial"/>
          <w:sz w:val="24"/>
          <w:szCs w:val="24"/>
        </w:rPr>
        <w:t>more precise targeting and study of</w:t>
      </w:r>
      <w:r w:rsidR="00E2590A" w:rsidRPr="000E0DB5">
        <w:rPr>
          <w:rFonts w:ascii="Arial" w:eastAsia="TimesNewRomanPSMT" w:hAnsi="Arial" w:cs="Arial"/>
          <w:sz w:val="24"/>
          <w:szCs w:val="24"/>
        </w:rPr>
        <w:t xml:space="preserve"> </w:t>
      </w:r>
      <w:r w:rsidR="00DF3FFF" w:rsidRPr="000E0DB5">
        <w:rPr>
          <w:rFonts w:ascii="Arial" w:eastAsia="TimesNewRomanPSMT" w:hAnsi="Arial" w:cs="Arial"/>
          <w:sz w:val="24"/>
          <w:szCs w:val="24"/>
        </w:rPr>
        <w:t xml:space="preserve">protein </w:t>
      </w:r>
      <w:r w:rsidR="00E2590A" w:rsidRPr="000E0DB5">
        <w:rPr>
          <w:rFonts w:ascii="Arial" w:eastAsia="TimesNewRomanPSMT" w:hAnsi="Arial" w:cs="Arial"/>
          <w:sz w:val="24"/>
          <w:szCs w:val="24"/>
        </w:rPr>
        <w:t>function</w:t>
      </w:r>
      <w:r w:rsidR="00E82A10" w:rsidRPr="000E0DB5">
        <w:rPr>
          <w:rFonts w:ascii="Arial" w:eastAsia="TimesNewRomanPSMT" w:hAnsi="Arial" w:cs="Arial"/>
          <w:sz w:val="24"/>
          <w:szCs w:val="24"/>
        </w:rPr>
        <w:t>.</w:t>
      </w:r>
    </w:p>
    <w:p w14:paraId="34F34304" w14:textId="2FD87232" w:rsidR="00E7732B" w:rsidRPr="000E0DB5" w:rsidRDefault="001C08FB" w:rsidP="007F2429">
      <w:pPr>
        <w:spacing w:line="480" w:lineRule="auto"/>
        <w:jc w:val="both"/>
        <w:rPr>
          <w:rFonts w:ascii="Arial" w:eastAsia="TimesNewRomanPSMT" w:hAnsi="Arial" w:cs="Arial"/>
          <w:sz w:val="24"/>
          <w:szCs w:val="24"/>
        </w:rPr>
      </w:pPr>
      <w:r w:rsidRPr="000E0DB5">
        <w:rPr>
          <w:rFonts w:ascii="Arial" w:eastAsia="TimesNewRomanPSMT" w:hAnsi="Arial" w:cs="Arial"/>
          <w:sz w:val="24"/>
          <w:szCs w:val="24"/>
        </w:rPr>
        <w:t>E</w:t>
      </w:r>
      <w:r w:rsidR="007F2429" w:rsidRPr="000E0DB5">
        <w:rPr>
          <w:rFonts w:ascii="Arial" w:eastAsia="TimesNewRomanPSMT" w:hAnsi="Arial" w:cs="Arial"/>
          <w:sz w:val="24"/>
          <w:szCs w:val="24"/>
        </w:rPr>
        <w:t xml:space="preserve">quipped with the </w:t>
      </w:r>
      <w:r w:rsidR="000E0DB5" w:rsidRPr="000E0DB5">
        <w:rPr>
          <w:rFonts w:ascii="Arial" w:eastAsia="TimesNewRomanPSMT" w:hAnsi="Arial" w:cs="Arial"/>
          <w:sz w:val="24"/>
          <w:szCs w:val="24"/>
        </w:rPr>
        <w:t xml:space="preserve">capacity </w:t>
      </w:r>
      <w:r w:rsidR="007F2429" w:rsidRPr="000E0DB5">
        <w:rPr>
          <w:rFonts w:ascii="Arial" w:eastAsia="TimesNewRomanPSMT" w:hAnsi="Arial" w:cs="Arial"/>
          <w:sz w:val="24"/>
          <w:szCs w:val="24"/>
        </w:rPr>
        <w:t>to degrade proteins via a light-dependent mechanism and consequently modulate cellular functions, photoactive degraders</w:t>
      </w:r>
      <w:r w:rsidR="00422270" w:rsidRPr="000E0DB5">
        <w:rPr>
          <w:rFonts w:ascii="Arial" w:eastAsia="TimesNewRomanPSMT" w:hAnsi="Arial" w:cs="Arial"/>
          <w:sz w:val="24"/>
          <w:szCs w:val="24"/>
        </w:rPr>
        <w:t xml:space="preserve"> </w:t>
      </w:r>
      <w:r w:rsidR="009D5308" w:rsidRPr="000E0DB5">
        <w:rPr>
          <w:rFonts w:ascii="Arial" w:eastAsia="TimesNewRomanPSMT" w:hAnsi="Arial" w:cs="Arial"/>
          <w:sz w:val="24"/>
          <w:szCs w:val="24"/>
        </w:rPr>
        <w:t xml:space="preserve">have strong potential for development </w:t>
      </w:r>
      <w:r w:rsidR="007F2429" w:rsidRPr="000E0DB5">
        <w:rPr>
          <w:rFonts w:ascii="Arial" w:eastAsia="TimesNewRomanPSMT" w:hAnsi="Arial" w:cs="Arial"/>
          <w:sz w:val="24"/>
          <w:szCs w:val="24"/>
        </w:rPr>
        <w:t>into the field of photopharmacology</w:t>
      </w:r>
      <w:r w:rsidR="00065B2E" w:rsidRPr="000E0DB5">
        <w:rPr>
          <w:rFonts w:ascii="Arial" w:eastAsia="TimesNewRomanPSMT" w:hAnsi="Arial" w:cs="Arial"/>
          <w:sz w:val="24"/>
          <w:szCs w:val="24"/>
        </w:rPr>
        <w:t xml:space="preserve"> provided </w:t>
      </w:r>
      <w:r w:rsidR="00D76761" w:rsidRPr="000E0DB5">
        <w:rPr>
          <w:rFonts w:ascii="Arial" w:eastAsia="TimesNewRomanPSMT" w:hAnsi="Arial" w:cs="Arial"/>
          <w:sz w:val="24"/>
          <w:szCs w:val="24"/>
        </w:rPr>
        <w:t>constraints</w:t>
      </w:r>
      <w:r w:rsidR="00065B2E" w:rsidRPr="000E0DB5">
        <w:rPr>
          <w:rFonts w:ascii="Arial" w:eastAsia="TimesNewRomanPSMT" w:hAnsi="Arial" w:cs="Arial"/>
          <w:sz w:val="24"/>
          <w:szCs w:val="24"/>
        </w:rPr>
        <w:t xml:space="preserve"> associated with their physicochemical properties</w:t>
      </w:r>
      <w:r w:rsidR="000E0DB5" w:rsidRPr="000E0DB5">
        <w:rPr>
          <w:rFonts w:ascii="Arial" w:eastAsia="TimesNewRomanPSMT" w:hAnsi="Arial" w:cs="Arial"/>
          <w:sz w:val="24"/>
          <w:szCs w:val="24"/>
        </w:rPr>
        <w:t xml:space="preserve"> </w:t>
      </w:r>
      <w:r w:rsidR="00065B2E" w:rsidRPr="000E0DB5">
        <w:rPr>
          <w:rFonts w:ascii="Arial" w:eastAsia="TimesNewRomanPSMT" w:hAnsi="Arial" w:cs="Arial"/>
          <w:sz w:val="24"/>
          <w:szCs w:val="24"/>
        </w:rPr>
        <w:t>can be overcome</w:t>
      </w:r>
      <w:r w:rsidR="007F2429" w:rsidRPr="000E0DB5">
        <w:rPr>
          <w:rFonts w:ascii="Arial" w:eastAsia="TimesNewRomanPSMT" w:hAnsi="Arial" w:cs="Arial"/>
          <w:sz w:val="24"/>
          <w:szCs w:val="24"/>
        </w:rPr>
        <w:t>.</w:t>
      </w:r>
      <w:r w:rsidR="00D632D4" w:rsidRPr="000E0DB5">
        <w:rPr>
          <w:rFonts w:ascii="Arial" w:eastAsia="TimesNewRomanPSMT" w:hAnsi="Arial" w:cs="Arial"/>
          <w:sz w:val="24"/>
          <w:szCs w:val="24"/>
        </w:rPr>
        <w:fldChar w:fldCharType="begin" w:fldLock="1"/>
      </w:r>
      <w:r w:rsidR="005D6924">
        <w:rPr>
          <w:rFonts w:ascii="Arial" w:eastAsia="TimesNewRomanPSMT" w:hAnsi="Arial" w:cs="Arial"/>
          <w:sz w:val="24"/>
          <w:szCs w:val="24"/>
        </w:rPr>
        <w:instrText>ADDIN CSL_CITATION {"citationItems":[{"id":"ITEM-1","itemData":{"DOI":"10.1038/s41589-019-0362-y","ISSN":"15524469","PMID":"31527835","abstract":"Targeted protein degradation as a therapeutic modality has seen dramatic progress and massive investment in recent years because of the convergence of two key scientific breakthroughs: optimization of first-generation peptidic proteolysis-targeted chimeras (PROTACs) into more drug-like molecules able to support in vivo proof of concept and the discovery that clinical molecules function as degraders by binding and repurposing the proteins cereblon and DCAF15. This provided clinical validation for the general approach through the cereblon modulator class of drugs and provided highly drug-like and ligand-efficient E3 ligase binders upon which to tether target-binding moieties. Increasingly rational and systematic approaches including biophysical and structural studies on ternary complexes are being leveraged as the field advances. In this Perspective we summarize the discoveries that have laid the foundation for future degradation therapeutics, focusing on those classes of small molecules that redirect E3 ubiquitin ligases to non-native substrates.","author":[{"dropping-particle":"","family":"Chamberlain","given":"Philip P.","non-dropping-particle":"","parse-names":false,"suffix":""},{"dropping-particle":"","family":"Hamann","given":"Lawrence G.","non-dropping-particle":"","parse-names":false,"suffix":""}],"container-title":"Nature Chemical Biology","id":"ITEM-1","issue":"10","issued":{"date-parts":[["2019"]]},"page":"937-944","publisher":"Springer US","title":"Development of targeted protein degradation therapeutics","type":"article-journal","volume":"15"},"uris":["http://www.mendeley.com/documents/?uuid=4f1b0017-18c7-4d6f-8a4c-b0a4c3fe9134"]}],"mendeley":{"formattedCitation":"&lt;sup&gt;65&lt;/sup&gt;","plainTextFormattedCitation":"65","previouslyFormattedCitation":"&lt;sup&gt;66&lt;/sup&gt;"},"properties":{"noteIndex":0},"schema":"https://github.com/citation-style-language/schema/raw/master/csl-citation.json"}</w:instrText>
      </w:r>
      <w:r w:rsidR="00D632D4" w:rsidRPr="000E0DB5">
        <w:rPr>
          <w:rFonts w:ascii="Arial" w:eastAsia="TimesNewRomanPSMT" w:hAnsi="Arial" w:cs="Arial"/>
          <w:sz w:val="24"/>
          <w:szCs w:val="24"/>
        </w:rPr>
        <w:fldChar w:fldCharType="separate"/>
      </w:r>
      <w:r w:rsidR="005D6924" w:rsidRPr="005D6924">
        <w:rPr>
          <w:rFonts w:ascii="Arial" w:eastAsia="TimesNewRomanPSMT" w:hAnsi="Arial" w:cs="Arial"/>
          <w:noProof/>
          <w:sz w:val="24"/>
          <w:szCs w:val="24"/>
          <w:vertAlign w:val="superscript"/>
        </w:rPr>
        <w:t>65</w:t>
      </w:r>
      <w:r w:rsidR="00D632D4" w:rsidRPr="000E0DB5">
        <w:rPr>
          <w:rFonts w:ascii="Arial" w:eastAsia="TimesNewRomanPSMT" w:hAnsi="Arial" w:cs="Arial"/>
          <w:sz w:val="24"/>
          <w:szCs w:val="24"/>
        </w:rPr>
        <w:fldChar w:fldCharType="end"/>
      </w:r>
      <w:r w:rsidR="007F2429" w:rsidRPr="000E0DB5">
        <w:rPr>
          <w:rFonts w:ascii="Arial" w:eastAsia="TimesNewRomanPSMT" w:hAnsi="Arial" w:cs="Arial"/>
          <w:sz w:val="24"/>
          <w:szCs w:val="24"/>
        </w:rPr>
        <w:t xml:space="preserve"> </w:t>
      </w:r>
      <w:r w:rsidR="00635077">
        <w:rPr>
          <w:rFonts w:ascii="Arial" w:eastAsia="TimesNewRomanPSMT" w:hAnsi="Arial" w:cs="Arial"/>
          <w:sz w:val="24"/>
          <w:szCs w:val="24"/>
        </w:rPr>
        <w:t xml:space="preserve">The incorporation of lipophilic photolabile groups </w:t>
      </w:r>
      <w:r w:rsidR="00BA3741">
        <w:rPr>
          <w:rFonts w:ascii="Arial" w:eastAsia="TimesNewRomanPSMT" w:hAnsi="Arial" w:cs="Arial"/>
          <w:sz w:val="24"/>
          <w:szCs w:val="24"/>
        </w:rPr>
        <w:t xml:space="preserve">and </w:t>
      </w:r>
      <w:r w:rsidR="00635077">
        <w:rPr>
          <w:rFonts w:ascii="Arial" w:eastAsia="TimesNewRomanPSMT" w:hAnsi="Arial" w:cs="Arial"/>
          <w:sz w:val="24"/>
          <w:szCs w:val="24"/>
        </w:rPr>
        <w:t>the use o</w:t>
      </w:r>
      <w:r w:rsidR="00BA3741">
        <w:rPr>
          <w:rFonts w:ascii="Arial" w:eastAsia="TimesNewRomanPSMT" w:hAnsi="Arial" w:cs="Arial"/>
          <w:sz w:val="24"/>
          <w:szCs w:val="24"/>
        </w:rPr>
        <w:t xml:space="preserve">f </w:t>
      </w:r>
      <w:r w:rsidR="00635077">
        <w:rPr>
          <w:rFonts w:ascii="Arial" w:eastAsia="TimesNewRomanPSMT" w:hAnsi="Arial" w:cs="Arial"/>
          <w:sz w:val="24"/>
          <w:szCs w:val="24"/>
        </w:rPr>
        <w:t>azobenzene unit</w:t>
      </w:r>
      <w:r w:rsidR="00BA3741">
        <w:rPr>
          <w:rFonts w:ascii="Arial" w:eastAsia="TimesNewRomanPSMT" w:hAnsi="Arial" w:cs="Arial"/>
          <w:sz w:val="24"/>
          <w:szCs w:val="24"/>
        </w:rPr>
        <w:t>s</w:t>
      </w:r>
      <w:r w:rsidR="00635077">
        <w:rPr>
          <w:rFonts w:ascii="Arial" w:eastAsia="TimesNewRomanPSMT" w:hAnsi="Arial" w:cs="Arial"/>
          <w:sz w:val="24"/>
          <w:szCs w:val="24"/>
        </w:rPr>
        <w:t xml:space="preserve"> into</w:t>
      </w:r>
      <w:r w:rsidR="00BA3741">
        <w:rPr>
          <w:rFonts w:ascii="Arial" w:eastAsia="TimesNewRomanPSMT" w:hAnsi="Arial" w:cs="Arial"/>
          <w:sz w:val="24"/>
          <w:szCs w:val="24"/>
        </w:rPr>
        <w:t xml:space="preserve"> </w:t>
      </w:r>
      <w:r w:rsidR="00635077">
        <w:rPr>
          <w:rFonts w:ascii="Arial" w:eastAsia="TimesNewRomanPSMT" w:hAnsi="Arial" w:cs="Arial"/>
          <w:sz w:val="24"/>
          <w:szCs w:val="24"/>
        </w:rPr>
        <w:t>degraders</w:t>
      </w:r>
      <w:r w:rsidR="009C5443">
        <w:rPr>
          <w:rFonts w:ascii="Arial" w:eastAsia="TimesNewRomanPSMT" w:hAnsi="Arial" w:cs="Arial"/>
          <w:sz w:val="24"/>
          <w:szCs w:val="24"/>
        </w:rPr>
        <w:t xml:space="preserve"> </w:t>
      </w:r>
      <w:r w:rsidR="00635077">
        <w:rPr>
          <w:rFonts w:ascii="Arial" w:eastAsia="TimesNewRomanPSMT" w:hAnsi="Arial" w:cs="Arial"/>
          <w:sz w:val="24"/>
          <w:szCs w:val="24"/>
        </w:rPr>
        <w:t>place these compounds into an unde</w:t>
      </w:r>
      <w:r w:rsidR="00BA3741">
        <w:rPr>
          <w:rFonts w:ascii="Arial" w:eastAsia="TimesNewRomanPSMT" w:hAnsi="Arial" w:cs="Arial"/>
          <w:sz w:val="24"/>
          <w:szCs w:val="24"/>
        </w:rPr>
        <w:t>sired</w:t>
      </w:r>
      <w:r w:rsidR="00635077">
        <w:rPr>
          <w:rFonts w:ascii="Arial" w:eastAsia="TimesNewRomanPSMT" w:hAnsi="Arial" w:cs="Arial"/>
          <w:sz w:val="24"/>
          <w:szCs w:val="24"/>
        </w:rPr>
        <w:t xml:space="preserve"> </w:t>
      </w:r>
      <w:r w:rsidR="00BA3741">
        <w:rPr>
          <w:rFonts w:ascii="Arial" w:eastAsia="TimesNewRomanPSMT" w:hAnsi="Arial" w:cs="Arial"/>
          <w:sz w:val="24"/>
          <w:szCs w:val="24"/>
        </w:rPr>
        <w:t xml:space="preserve">drug </w:t>
      </w:r>
      <w:r w:rsidR="00635077">
        <w:rPr>
          <w:rFonts w:ascii="Arial" w:eastAsia="TimesNewRomanPSMT" w:hAnsi="Arial" w:cs="Arial"/>
          <w:sz w:val="24"/>
          <w:szCs w:val="24"/>
        </w:rPr>
        <w:t xml:space="preserve">property space. </w:t>
      </w:r>
      <w:r w:rsidR="00D76761" w:rsidRPr="000E0DB5">
        <w:rPr>
          <w:rFonts w:ascii="Arial" w:eastAsia="TimesNewRomanPSMT" w:hAnsi="Arial" w:cs="Arial"/>
          <w:sz w:val="24"/>
          <w:szCs w:val="24"/>
        </w:rPr>
        <w:t>Despite their high molecular</w:t>
      </w:r>
      <w:r w:rsidR="00611BD7" w:rsidRPr="000E0DB5">
        <w:rPr>
          <w:rFonts w:ascii="Arial" w:eastAsia="TimesNewRomanPSMT" w:hAnsi="Arial" w:cs="Arial"/>
          <w:sz w:val="24"/>
          <w:szCs w:val="24"/>
        </w:rPr>
        <w:t xml:space="preserve"> </w:t>
      </w:r>
      <w:r w:rsidR="001C37F0" w:rsidRPr="000E0DB5">
        <w:rPr>
          <w:rFonts w:ascii="Arial" w:eastAsia="TimesNewRomanPSMT" w:hAnsi="Arial" w:cs="Arial"/>
          <w:sz w:val="24"/>
          <w:szCs w:val="24"/>
        </w:rPr>
        <w:t xml:space="preserve">weight </w:t>
      </w:r>
      <w:r w:rsidR="00611BD7" w:rsidRPr="000E0DB5">
        <w:rPr>
          <w:rFonts w:ascii="Arial" w:eastAsia="TimesNewRomanPSMT" w:hAnsi="Arial" w:cs="Arial"/>
          <w:sz w:val="24"/>
          <w:szCs w:val="24"/>
        </w:rPr>
        <w:t xml:space="preserve">and </w:t>
      </w:r>
      <w:r w:rsidR="00B87445" w:rsidRPr="000E0DB5">
        <w:rPr>
          <w:rFonts w:ascii="Arial" w:eastAsia="TimesNewRomanPSMT" w:hAnsi="Arial" w:cs="Arial"/>
          <w:sz w:val="24"/>
          <w:szCs w:val="24"/>
        </w:rPr>
        <w:t xml:space="preserve">high </w:t>
      </w:r>
      <w:r w:rsidR="00611BD7" w:rsidRPr="000E0DB5">
        <w:rPr>
          <w:rFonts w:ascii="Arial" w:eastAsia="TimesNewRomanPSMT" w:hAnsi="Arial" w:cs="Arial"/>
          <w:sz w:val="24"/>
          <w:szCs w:val="24"/>
        </w:rPr>
        <w:t>lipophilicity</w:t>
      </w:r>
      <w:r w:rsidR="001C37F0" w:rsidRPr="000E0DB5">
        <w:rPr>
          <w:rFonts w:ascii="Arial" w:eastAsia="TimesNewRomanPSMT" w:hAnsi="Arial" w:cs="Arial"/>
          <w:sz w:val="24"/>
          <w:szCs w:val="24"/>
        </w:rPr>
        <w:t xml:space="preserve">, </w:t>
      </w:r>
      <w:r w:rsidR="00B87445" w:rsidRPr="000E0DB5">
        <w:rPr>
          <w:rFonts w:ascii="Arial" w:eastAsia="TimesNewRomanPSMT" w:hAnsi="Arial" w:cs="Arial"/>
          <w:sz w:val="24"/>
          <w:szCs w:val="24"/>
        </w:rPr>
        <w:t xml:space="preserve">the </w:t>
      </w:r>
      <w:r w:rsidR="00611BD7" w:rsidRPr="000E0DB5">
        <w:rPr>
          <w:rFonts w:ascii="Arial" w:eastAsia="TimesNewRomanPSMT" w:hAnsi="Arial" w:cs="Arial"/>
          <w:sz w:val="24"/>
          <w:szCs w:val="24"/>
        </w:rPr>
        <w:t xml:space="preserve">caged and photoswitchable PROTACs </w:t>
      </w:r>
      <w:r w:rsidR="00B87445" w:rsidRPr="000E0DB5">
        <w:rPr>
          <w:rFonts w:ascii="Arial" w:eastAsia="TimesNewRomanPSMT" w:hAnsi="Arial" w:cs="Arial"/>
          <w:sz w:val="24"/>
          <w:szCs w:val="24"/>
        </w:rPr>
        <w:t xml:space="preserve">reviewed here </w:t>
      </w:r>
      <w:r w:rsidR="00611BD7" w:rsidRPr="000E0DB5">
        <w:rPr>
          <w:rFonts w:ascii="Arial" w:eastAsia="TimesNewRomanPSMT" w:hAnsi="Arial" w:cs="Arial"/>
          <w:sz w:val="24"/>
          <w:szCs w:val="24"/>
        </w:rPr>
        <w:t xml:space="preserve">displayed </w:t>
      </w:r>
      <w:r w:rsidR="001C37F0" w:rsidRPr="000E0DB5">
        <w:rPr>
          <w:rFonts w:ascii="Arial" w:eastAsia="TimesNewRomanPSMT" w:hAnsi="Arial" w:cs="Arial"/>
          <w:sz w:val="24"/>
          <w:szCs w:val="24"/>
        </w:rPr>
        <w:t>sufficient</w:t>
      </w:r>
      <w:r w:rsidR="00611BD7" w:rsidRPr="000E0DB5">
        <w:rPr>
          <w:rFonts w:ascii="Arial" w:eastAsia="TimesNewRomanPSMT" w:hAnsi="Arial" w:cs="Arial"/>
          <w:sz w:val="24"/>
          <w:szCs w:val="24"/>
        </w:rPr>
        <w:t xml:space="preserve"> cell permeability and stability to achieve</w:t>
      </w:r>
      <w:r w:rsidR="00D76761" w:rsidRPr="000E0DB5">
        <w:rPr>
          <w:rFonts w:ascii="Arial" w:eastAsia="TimesNewRomanPSMT" w:hAnsi="Arial" w:cs="Arial"/>
          <w:sz w:val="24"/>
          <w:szCs w:val="24"/>
        </w:rPr>
        <w:t xml:space="preserve"> </w:t>
      </w:r>
      <w:r w:rsidR="000E0DB5" w:rsidRPr="000E0DB5">
        <w:rPr>
          <w:rFonts w:ascii="Arial" w:eastAsia="TimesNewRomanPSMT" w:hAnsi="Arial" w:cs="Arial"/>
          <w:sz w:val="24"/>
          <w:szCs w:val="24"/>
        </w:rPr>
        <w:t xml:space="preserve">controlled </w:t>
      </w:r>
      <w:r w:rsidR="001C37F0" w:rsidRPr="000E0DB5">
        <w:rPr>
          <w:rFonts w:ascii="Arial" w:eastAsia="TimesNewRomanPSMT" w:hAnsi="Arial" w:cs="Arial"/>
          <w:sz w:val="24"/>
          <w:szCs w:val="24"/>
        </w:rPr>
        <w:t>intracellular protein knockdown</w:t>
      </w:r>
      <w:r w:rsidR="00B87445" w:rsidRPr="000E0DB5">
        <w:rPr>
          <w:rFonts w:ascii="Arial" w:eastAsia="TimesNewRomanPSMT" w:hAnsi="Arial" w:cs="Arial"/>
          <w:sz w:val="24"/>
          <w:szCs w:val="24"/>
        </w:rPr>
        <w:t xml:space="preserve">. </w:t>
      </w:r>
      <w:r w:rsidR="009D5308" w:rsidRPr="000E0DB5">
        <w:rPr>
          <w:rFonts w:ascii="Arial" w:eastAsia="TimesNewRomanPSMT" w:hAnsi="Arial" w:cs="Arial"/>
          <w:sz w:val="24"/>
          <w:szCs w:val="24"/>
        </w:rPr>
        <w:t xml:space="preserve">We anticipate that </w:t>
      </w:r>
      <w:r w:rsidR="00F81824" w:rsidRPr="000E0DB5">
        <w:rPr>
          <w:rFonts w:ascii="Arial" w:eastAsia="TimesNewRomanPSMT" w:hAnsi="Arial" w:cs="Arial"/>
          <w:sz w:val="24"/>
          <w:szCs w:val="24"/>
        </w:rPr>
        <w:t xml:space="preserve">the </w:t>
      </w:r>
      <w:r w:rsidR="009D5308" w:rsidRPr="000E0DB5">
        <w:rPr>
          <w:rFonts w:ascii="Arial" w:eastAsia="TimesNewRomanPSMT" w:hAnsi="Arial" w:cs="Arial"/>
          <w:sz w:val="24"/>
          <w:szCs w:val="24"/>
        </w:rPr>
        <w:t>p</w:t>
      </w:r>
      <w:r w:rsidR="00370341" w:rsidRPr="000E0DB5">
        <w:rPr>
          <w:rFonts w:ascii="Arial" w:eastAsia="TimesNewRomanPSMT" w:hAnsi="Arial" w:cs="Arial"/>
          <w:sz w:val="24"/>
          <w:szCs w:val="24"/>
        </w:rPr>
        <w:t>rogression of such tool</w:t>
      </w:r>
      <w:r w:rsidR="009D5308" w:rsidRPr="000E0DB5">
        <w:rPr>
          <w:rFonts w:ascii="Arial" w:eastAsia="TimesNewRomanPSMT" w:hAnsi="Arial" w:cs="Arial"/>
          <w:sz w:val="24"/>
          <w:szCs w:val="24"/>
        </w:rPr>
        <w:t xml:space="preserve"> compounds</w:t>
      </w:r>
      <w:r w:rsidR="00370341" w:rsidRPr="000E0DB5">
        <w:rPr>
          <w:rFonts w:ascii="Arial" w:eastAsia="TimesNewRomanPSMT" w:hAnsi="Arial" w:cs="Arial"/>
          <w:sz w:val="24"/>
          <w:szCs w:val="24"/>
        </w:rPr>
        <w:t xml:space="preserve"> in vivo </w:t>
      </w:r>
      <w:r w:rsidR="000E0DB5" w:rsidRPr="000E0DB5">
        <w:rPr>
          <w:rFonts w:ascii="Arial" w:eastAsia="TimesNewRomanPSMT" w:hAnsi="Arial" w:cs="Arial"/>
          <w:sz w:val="24"/>
          <w:szCs w:val="24"/>
        </w:rPr>
        <w:t>(</w:t>
      </w:r>
      <w:r w:rsidR="00370341" w:rsidRPr="000E0DB5">
        <w:rPr>
          <w:rFonts w:ascii="Arial" w:eastAsia="TimesNewRomanPSMT" w:hAnsi="Arial" w:cs="Arial"/>
          <w:sz w:val="24"/>
          <w:szCs w:val="24"/>
        </w:rPr>
        <w:t>in animal model</w:t>
      </w:r>
      <w:r w:rsidR="000E0DB5" w:rsidRPr="000E0DB5">
        <w:rPr>
          <w:rFonts w:ascii="Arial" w:eastAsia="TimesNewRomanPSMT" w:hAnsi="Arial" w:cs="Arial"/>
          <w:sz w:val="24"/>
          <w:szCs w:val="24"/>
        </w:rPr>
        <w:t>s</w:t>
      </w:r>
      <w:r w:rsidR="00370341" w:rsidRPr="000E0DB5">
        <w:rPr>
          <w:rFonts w:ascii="Arial" w:eastAsia="TimesNewRomanPSMT" w:hAnsi="Arial" w:cs="Arial"/>
          <w:sz w:val="24"/>
          <w:szCs w:val="24"/>
        </w:rPr>
        <w:t xml:space="preserve"> or in the clinic) </w:t>
      </w:r>
      <w:r w:rsidR="00E7732B" w:rsidRPr="000E0DB5">
        <w:rPr>
          <w:rFonts w:ascii="Arial" w:eastAsia="TimesNewRomanPSMT" w:hAnsi="Arial" w:cs="Arial"/>
          <w:sz w:val="24"/>
          <w:szCs w:val="24"/>
        </w:rPr>
        <w:t xml:space="preserve">will </w:t>
      </w:r>
      <w:r w:rsidR="00370341" w:rsidRPr="000E0DB5">
        <w:rPr>
          <w:rFonts w:ascii="Arial" w:eastAsia="TimesNewRomanPSMT" w:hAnsi="Arial" w:cs="Arial"/>
          <w:sz w:val="24"/>
          <w:szCs w:val="24"/>
        </w:rPr>
        <w:t xml:space="preserve">necessitate </w:t>
      </w:r>
      <w:r w:rsidR="00B87445" w:rsidRPr="000E0DB5">
        <w:rPr>
          <w:rFonts w:ascii="Arial" w:eastAsia="TimesNewRomanPSMT" w:hAnsi="Arial" w:cs="Arial"/>
          <w:sz w:val="24"/>
          <w:szCs w:val="24"/>
        </w:rPr>
        <w:t xml:space="preserve">careful assessment and optimization of their pharmacokinetic </w:t>
      </w:r>
      <w:r w:rsidR="00370341" w:rsidRPr="000E0DB5">
        <w:rPr>
          <w:rFonts w:ascii="Arial" w:eastAsia="TimesNewRomanPSMT" w:hAnsi="Arial" w:cs="Arial"/>
          <w:sz w:val="24"/>
          <w:szCs w:val="24"/>
        </w:rPr>
        <w:t>properties</w:t>
      </w:r>
      <w:r w:rsidR="0064721E" w:rsidRPr="000E0DB5">
        <w:rPr>
          <w:rFonts w:ascii="Arial" w:eastAsia="TimesNewRomanPSMT" w:hAnsi="Arial" w:cs="Arial"/>
          <w:sz w:val="24"/>
          <w:szCs w:val="24"/>
        </w:rPr>
        <w:t xml:space="preserve"> while preserving their </w:t>
      </w:r>
      <w:r w:rsidR="000E0DB5" w:rsidRPr="000E0DB5">
        <w:rPr>
          <w:rFonts w:ascii="Arial" w:eastAsia="TimesNewRomanPSMT" w:hAnsi="Arial" w:cs="Arial"/>
          <w:sz w:val="24"/>
          <w:szCs w:val="24"/>
        </w:rPr>
        <w:t xml:space="preserve">favorable </w:t>
      </w:r>
      <w:r w:rsidR="0064721E" w:rsidRPr="000E0DB5">
        <w:rPr>
          <w:rFonts w:ascii="Arial" w:eastAsia="TimesNewRomanPSMT" w:hAnsi="Arial" w:cs="Arial"/>
          <w:sz w:val="24"/>
          <w:szCs w:val="24"/>
        </w:rPr>
        <w:t>photochemical</w:t>
      </w:r>
      <w:r w:rsidR="005160EB" w:rsidRPr="000E0DB5">
        <w:rPr>
          <w:rFonts w:ascii="Arial" w:eastAsia="TimesNewRomanPSMT" w:hAnsi="Arial" w:cs="Arial"/>
          <w:sz w:val="24"/>
          <w:szCs w:val="24"/>
        </w:rPr>
        <w:t xml:space="preserve"> features</w:t>
      </w:r>
      <w:r w:rsidR="00370341" w:rsidRPr="000E0DB5">
        <w:rPr>
          <w:rFonts w:ascii="Arial" w:eastAsia="TimesNewRomanPSMT" w:hAnsi="Arial" w:cs="Arial"/>
          <w:sz w:val="24"/>
          <w:szCs w:val="24"/>
        </w:rPr>
        <w:t>.</w:t>
      </w:r>
      <w:r w:rsidR="00D632D4" w:rsidRPr="000E0DB5">
        <w:rPr>
          <w:rFonts w:ascii="Arial" w:eastAsia="TimesNewRomanPSMT" w:hAnsi="Arial" w:cs="Arial"/>
          <w:sz w:val="24"/>
          <w:szCs w:val="24"/>
        </w:rPr>
        <w:fldChar w:fldCharType="begin" w:fldLock="1"/>
      </w:r>
      <w:r w:rsidR="005D6924">
        <w:rPr>
          <w:rFonts w:ascii="Arial" w:eastAsia="TimesNewRomanPSMT" w:hAnsi="Arial" w:cs="Arial"/>
          <w:sz w:val="24"/>
          <w:szCs w:val="24"/>
        </w:rPr>
        <w:instrText>ADDIN CSL_CITATION {"citationItems":[{"id":"ITEM-1","itemData":{"DOI":"10.1021/acs.jmedchem.0c00629","ISSN":"0022-2623","abstract":"Photopharmacology is a growing area of endeavor that employs photoswitchable ligands to allow for light-dependent pharmacological activity. By coupling light to therapeutic action, improved spatial and temporal selectivity can be achieved and subsequently harnessed for new concepts in therapy. Tremendous progress has already been made, with photopharmacological agents now reported against a wide array of target classes, and light-dependent results demonstrated in a range of live cell and animal models. Several challenges remain however, especially in order for photopharmacology to truly impact the clinical management of disease. This perspective aims to summarize these challenges, particularly with attention to the medicinal chemistry that will be unavoidably required for the further translation of these agents/approaches. By clearly defining challenges for drug hunters, it is hoped that further research into the medicinal chemistry of photopharmacological agents will be stimulated; ultimately enabling full r","author":[{"dropping-particle":"","family":"Fuchter","given":"Matthew J","non-dropping-particle":"","parse-names":false,"suffix":""}],"container-title":"Journal of Medicinal Chemistry","id":"ITEM-1","issue":"C","issued":{"date-parts":[["2020"]]},"title":"On the promise of photopharmacology using photoswitches: a medicinal chemist’s perspective","type":"article-journal"},"uris":["http://www.mendeley.com/documents/?uuid=4e5ed0bc-9e53-4b87-b0f9-bf540ce049d3"]}],"mendeley":{"formattedCitation":"&lt;sup&gt;66&lt;/sup&gt;","plainTextFormattedCitation":"66","previouslyFormattedCitation":"&lt;sup&gt;67&lt;/sup&gt;"},"properties":{"noteIndex":0},"schema":"https://github.com/citation-style-language/schema/raw/master/csl-citation.json"}</w:instrText>
      </w:r>
      <w:r w:rsidR="00D632D4" w:rsidRPr="000E0DB5">
        <w:rPr>
          <w:rFonts w:ascii="Arial" w:eastAsia="TimesNewRomanPSMT" w:hAnsi="Arial" w:cs="Arial"/>
          <w:sz w:val="24"/>
          <w:szCs w:val="24"/>
        </w:rPr>
        <w:fldChar w:fldCharType="separate"/>
      </w:r>
      <w:r w:rsidR="005D6924" w:rsidRPr="005D6924">
        <w:rPr>
          <w:rFonts w:ascii="Arial" w:eastAsia="TimesNewRomanPSMT" w:hAnsi="Arial" w:cs="Arial"/>
          <w:noProof/>
          <w:sz w:val="24"/>
          <w:szCs w:val="24"/>
          <w:vertAlign w:val="superscript"/>
        </w:rPr>
        <w:t>66</w:t>
      </w:r>
      <w:r w:rsidR="00D632D4" w:rsidRPr="000E0DB5">
        <w:rPr>
          <w:rFonts w:ascii="Arial" w:eastAsia="TimesNewRomanPSMT" w:hAnsi="Arial" w:cs="Arial"/>
          <w:sz w:val="24"/>
          <w:szCs w:val="24"/>
        </w:rPr>
        <w:fldChar w:fldCharType="end"/>
      </w:r>
      <w:r w:rsidR="007F2429" w:rsidRPr="000E0DB5">
        <w:rPr>
          <w:rFonts w:ascii="Arial" w:eastAsia="TimesNewRomanPSMT" w:hAnsi="Arial" w:cs="Arial"/>
          <w:sz w:val="24"/>
          <w:szCs w:val="24"/>
        </w:rPr>
        <w:t xml:space="preserve"> </w:t>
      </w:r>
    </w:p>
    <w:p w14:paraId="533F94BA" w14:textId="74903810" w:rsidR="007F2429" w:rsidRPr="000E0DB5" w:rsidRDefault="00E7732B" w:rsidP="007F2429">
      <w:pPr>
        <w:spacing w:line="480" w:lineRule="auto"/>
        <w:jc w:val="both"/>
        <w:rPr>
          <w:rFonts w:ascii="Arial" w:eastAsia="TimesNewRomanPSMT" w:hAnsi="Arial" w:cs="Arial"/>
          <w:sz w:val="24"/>
          <w:szCs w:val="24"/>
        </w:rPr>
      </w:pPr>
      <w:r w:rsidRPr="000E0DB5">
        <w:rPr>
          <w:rFonts w:ascii="Arial" w:eastAsia="TimesNewRomanPSMT" w:hAnsi="Arial" w:cs="Arial"/>
          <w:sz w:val="24"/>
          <w:szCs w:val="24"/>
        </w:rPr>
        <w:t xml:space="preserve">Finally, </w:t>
      </w:r>
      <w:r w:rsidR="00875BFC">
        <w:rPr>
          <w:rFonts w:ascii="Arial" w:eastAsia="TimesNewRomanPSMT" w:hAnsi="Arial" w:cs="Arial"/>
          <w:sz w:val="24"/>
          <w:szCs w:val="24"/>
        </w:rPr>
        <w:t>due</w:t>
      </w:r>
      <w:r w:rsidR="000E0DB5">
        <w:rPr>
          <w:rFonts w:ascii="Arial" w:eastAsia="TimesNewRomanPSMT" w:hAnsi="Arial" w:cs="Arial"/>
          <w:sz w:val="24"/>
          <w:szCs w:val="24"/>
        </w:rPr>
        <w:t xml:space="preserve"> to</w:t>
      </w:r>
      <w:r w:rsidR="000E0DB5" w:rsidRPr="000E0DB5">
        <w:rPr>
          <w:rFonts w:ascii="Arial" w:eastAsia="TimesNewRomanPSMT" w:hAnsi="Arial" w:cs="Arial"/>
          <w:sz w:val="24"/>
          <w:szCs w:val="24"/>
        </w:rPr>
        <w:t xml:space="preserve"> </w:t>
      </w:r>
      <w:r w:rsidR="007F2429" w:rsidRPr="000E0DB5">
        <w:rPr>
          <w:rFonts w:ascii="Arial" w:eastAsia="TimesNewRomanPSMT" w:hAnsi="Arial" w:cs="Arial"/>
          <w:sz w:val="24"/>
          <w:szCs w:val="24"/>
        </w:rPr>
        <w:t>activating wavelengths within the UV-visible range</w:t>
      </w:r>
      <w:r w:rsidR="00A839EA">
        <w:rPr>
          <w:rFonts w:ascii="Arial" w:eastAsia="TimesNewRomanPSMT" w:hAnsi="Arial" w:cs="Arial"/>
          <w:sz w:val="24"/>
          <w:szCs w:val="24"/>
        </w:rPr>
        <w:t>,</w:t>
      </w:r>
      <w:r w:rsidR="007F2429" w:rsidRPr="000E0DB5">
        <w:rPr>
          <w:rFonts w:ascii="Arial" w:eastAsia="TimesNewRomanPSMT" w:hAnsi="Arial" w:cs="Arial"/>
          <w:sz w:val="24"/>
          <w:szCs w:val="24"/>
        </w:rPr>
        <w:t xml:space="preserve"> </w:t>
      </w:r>
      <w:r w:rsidR="00967F35" w:rsidRPr="000E0DB5">
        <w:rPr>
          <w:rFonts w:ascii="Arial" w:eastAsia="TimesNewRomanPSMT" w:hAnsi="Arial" w:cs="Arial"/>
          <w:sz w:val="24"/>
          <w:szCs w:val="24"/>
        </w:rPr>
        <w:t xml:space="preserve">in vivo </w:t>
      </w:r>
      <w:r w:rsidR="000E0DB5">
        <w:rPr>
          <w:rFonts w:ascii="Arial" w:eastAsia="TimesNewRomanPSMT" w:hAnsi="Arial" w:cs="Arial"/>
          <w:sz w:val="24"/>
          <w:szCs w:val="24"/>
        </w:rPr>
        <w:t>applications</w:t>
      </w:r>
      <w:r w:rsidR="000E0DB5" w:rsidRPr="000E0DB5">
        <w:rPr>
          <w:rFonts w:ascii="Arial" w:eastAsia="TimesNewRomanPSMT" w:hAnsi="Arial" w:cs="Arial"/>
          <w:sz w:val="24"/>
          <w:szCs w:val="24"/>
        </w:rPr>
        <w:t xml:space="preserve"> </w:t>
      </w:r>
      <w:r w:rsidR="00967F35" w:rsidRPr="000E0DB5">
        <w:rPr>
          <w:rFonts w:ascii="Arial" w:eastAsia="TimesNewRomanPSMT" w:hAnsi="Arial" w:cs="Arial"/>
          <w:sz w:val="24"/>
          <w:szCs w:val="24"/>
        </w:rPr>
        <w:t xml:space="preserve">of </w:t>
      </w:r>
      <w:r w:rsidR="00B84FDA" w:rsidRPr="000E0DB5">
        <w:rPr>
          <w:rFonts w:ascii="Arial" w:eastAsia="TimesNewRomanPSMT" w:hAnsi="Arial" w:cs="Arial"/>
          <w:sz w:val="24"/>
          <w:szCs w:val="24"/>
        </w:rPr>
        <w:t>photoactive</w:t>
      </w:r>
      <w:r w:rsidR="00967F35" w:rsidRPr="000E0DB5">
        <w:rPr>
          <w:rFonts w:ascii="Arial" w:eastAsia="TimesNewRomanPSMT" w:hAnsi="Arial" w:cs="Arial"/>
          <w:sz w:val="24"/>
          <w:szCs w:val="24"/>
        </w:rPr>
        <w:t xml:space="preserve"> PROTACs may be</w:t>
      </w:r>
      <w:r w:rsidR="007F2429" w:rsidRPr="000E0DB5">
        <w:rPr>
          <w:rFonts w:ascii="Arial" w:eastAsia="TimesNewRomanPSMT" w:hAnsi="Arial" w:cs="Arial"/>
          <w:sz w:val="24"/>
          <w:szCs w:val="24"/>
        </w:rPr>
        <w:t xml:space="preserve"> limit</w:t>
      </w:r>
      <w:r w:rsidR="00967F35" w:rsidRPr="000E0DB5">
        <w:rPr>
          <w:rFonts w:ascii="Arial" w:eastAsia="TimesNewRomanPSMT" w:hAnsi="Arial" w:cs="Arial"/>
          <w:sz w:val="24"/>
          <w:szCs w:val="24"/>
        </w:rPr>
        <w:t>ed</w:t>
      </w:r>
      <w:r w:rsidR="007F2429" w:rsidRPr="000E0DB5">
        <w:rPr>
          <w:rFonts w:ascii="Arial" w:eastAsia="TimesNewRomanPSMT" w:hAnsi="Arial" w:cs="Arial"/>
          <w:sz w:val="24"/>
          <w:szCs w:val="24"/>
        </w:rPr>
        <w:t xml:space="preserve"> </w:t>
      </w:r>
      <w:r w:rsidR="00967F35" w:rsidRPr="000E0DB5">
        <w:rPr>
          <w:rFonts w:ascii="Arial" w:eastAsia="TimesNewRomanPSMT" w:hAnsi="Arial" w:cs="Arial"/>
          <w:sz w:val="24"/>
          <w:szCs w:val="24"/>
        </w:rPr>
        <w:t xml:space="preserve">by </w:t>
      </w:r>
      <w:r w:rsidR="007F2429" w:rsidRPr="000E0DB5">
        <w:rPr>
          <w:rFonts w:ascii="Arial" w:eastAsia="TimesNewRomanPSMT" w:hAnsi="Arial" w:cs="Arial"/>
          <w:sz w:val="24"/>
          <w:szCs w:val="24"/>
        </w:rPr>
        <w:t>light-induced cellular damage (</w:t>
      </w:r>
      <w:r w:rsidR="00335127" w:rsidRPr="000E0DB5">
        <w:rPr>
          <w:rFonts w:ascii="Arial" w:eastAsia="TimesNewRomanPSMT" w:hAnsi="Arial" w:cs="Arial"/>
          <w:sz w:val="24"/>
          <w:szCs w:val="24"/>
        </w:rPr>
        <w:t xml:space="preserve">if long irradiation times </w:t>
      </w:r>
      <w:r w:rsidR="007F2429" w:rsidRPr="000E0DB5">
        <w:rPr>
          <w:rFonts w:ascii="Arial" w:eastAsia="TimesNewRomanPSMT" w:hAnsi="Arial" w:cs="Arial"/>
          <w:sz w:val="24"/>
          <w:szCs w:val="24"/>
        </w:rPr>
        <w:t>with UV light</w:t>
      </w:r>
      <w:r w:rsidR="00335127" w:rsidRPr="000E0DB5">
        <w:rPr>
          <w:rFonts w:ascii="Arial" w:eastAsia="TimesNewRomanPSMT" w:hAnsi="Arial" w:cs="Arial"/>
          <w:sz w:val="24"/>
          <w:szCs w:val="24"/>
        </w:rPr>
        <w:t xml:space="preserve"> are needed</w:t>
      </w:r>
      <w:r w:rsidR="007F2429" w:rsidRPr="000E0DB5">
        <w:rPr>
          <w:rFonts w:ascii="Arial" w:eastAsia="TimesNewRomanPSMT" w:hAnsi="Arial" w:cs="Arial"/>
          <w:sz w:val="24"/>
          <w:szCs w:val="24"/>
        </w:rPr>
        <w:t>) and poor tissue penetration of the incident light. Along</w:t>
      </w:r>
      <w:r w:rsidR="00875BFC">
        <w:rPr>
          <w:rFonts w:ascii="Arial" w:eastAsia="TimesNewRomanPSMT" w:hAnsi="Arial" w:cs="Arial"/>
          <w:sz w:val="24"/>
          <w:szCs w:val="24"/>
        </w:rPr>
        <w:t>side</w:t>
      </w:r>
      <w:r w:rsidR="007F2429" w:rsidRPr="000E0DB5">
        <w:rPr>
          <w:rFonts w:ascii="Arial" w:eastAsia="TimesNewRomanPSMT" w:hAnsi="Arial" w:cs="Arial"/>
          <w:sz w:val="24"/>
          <w:szCs w:val="24"/>
        </w:rPr>
        <w:t xml:space="preserve"> sophisticated light-delivery methods,</w:t>
      </w:r>
      <w:r w:rsidR="00B84FDA" w:rsidRPr="000E0DB5">
        <w:rPr>
          <w:rFonts w:ascii="Arial" w:eastAsia="TimesNewRomanPSMT" w:hAnsi="Arial" w:cs="Arial"/>
          <w:sz w:val="24"/>
          <w:szCs w:val="24"/>
        </w:rPr>
        <w:fldChar w:fldCharType="begin" w:fldLock="1"/>
      </w:r>
      <w:r w:rsidR="005D6924">
        <w:rPr>
          <w:rFonts w:ascii="Arial" w:eastAsia="TimesNewRomanPSMT" w:hAnsi="Arial" w:cs="Arial"/>
          <w:sz w:val="24"/>
          <w:szCs w:val="24"/>
        </w:rPr>
        <w:instrText>ADDIN CSL_CITATION {"citationItems":[{"id":"ITEM-1","itemData":{"DOI":"10.1016/j.cbpa.2019.03.013","ISSN":"18790402","abstract":"Photodynamic therapy and phototherapy are used in the clinic to treat dermatological conditions, cancer, macular degeneration, and a variety of other diseases. Despite their long history and widespread application, the scope of these therapeutic approaches has been limited by a lack of specificity and challenges with light delivery. In recent years, much progress has been made in these regards. Photopharmacology has provided drug-like molecules that change their efficacy upon irradiation and allow for the optical control of a wide range of defined biological targets. Many photopharmaceuticals are now used in vivo and some show promising results in preclinical development. At the same time, new bioelectronics for subdermal light delivery have been engineered that could enable phototherapy deep in tissue, for example within the human brain. These developments could increase the impact of photodynamic therapy in human precision medicine.","author":[{"dropping-particle":"","family":"Morstein","given":"Johannes","non-dropping-particle":"","parse-names":false,"suffix":""},{"dropping-particle":"","family":"Trauner","given":"Dirk","non-dropping-particle":"","parse-names":false,"suffix":""}],"container-title":"Current Opinion in Chemical Biology","id":"ITEM-1","issued":{"date-parts":[["2019"]]},"page":"145-151","publisher":"Elsevier Ltd","title":"New players in phototherapy: photopharmacology and bio-integrated optoelectronics","type":"article-journal","volume":"50"},"uris":["http://www.mendeley.com/documents/?uuid=6e537032-25b4-4245-a68e-b48b985931bb"]}],"mendeley":{"formattedCitation":"&lt;sup&gt;67&lt;/sup&gt;","plainTextFormattedCitation":"67","previouslyFormattedCitation":"&lt;sup&gt;68&lt;/sup&gt;"},"properties":{"noteIndex":0},"schema":"https://github.com/citation-style-language/schema/raw/master/csl-citation.json"}</w:instrText>
      </w:r>
      <w:r w:rsidR="00B84FDA" w:rsidRPr="000E0DB5">
        <w:rPr>
          <w:rFonts w:ascii="Arial" w:eastAsia="TimesNewRomanPSMT" w:hAnsi="Arial" w:cs="Arial"/>
          <w:sz w:val="24"/>
          <w:szCs w:val="24"/>
        </w:rPr>
        <w:fldChar w:fldCharType="separate"/>
      </w:r>
      <w:r w:rsidR="005D6924" w:rsidRPr="005D6924">
        <w:rPr>
          <w:rFonts w:ascii="Arial" w:eastAsia="TimesNewRomanPSMT" w:hAnsi="Arial" w:cs="Arial"/>
          <w:noProof/>
          <w:sz w:val="24"/>
          <w:szCs w:val="24"/>
          <w:vertAlign w:val="superscript"/>
        </w:rPr>
        <w:t>67</w:t>
      </w:r>
      <w:r w:rsidR="00B84FDA" w:rsidRPr="000E0DB5">
        <w:rPr>
          <w:rFonts w:ascii="Arial" w:eastAsia="TimesNewRomanPSMT" w:hAnsi="Arial" w:cs="Arial"/>
          <w:sz w:val="24"/>
          <w:szCs w:val="24"/>
        </w:rPr>
        <w:fldChar w:fldCharType="end"/>
      </w:r>
      <w:r w:rsidR="007F2429" w:rsidRPr="000E0DB5">
        <w:rPr>
          <w:rFonts w:ascii="Arial" w:eastAsia="TimesNewRomanPSMT" w:hAnsi="Arial" w:cs="Arial"/>
          <w:b/>
          <w:bCs/>
          <w:sz w:val="24"/>
          <w:szCs w:val="24"/>
        </w:rPr>
        <w:t xml:space="preserve"> </w:t>
      </w:r>
      <w:r w:rsidR="007F2429" w:rsidRPr="000E0DB5">
        <w:rPr>
          <w:rFonts w:ascii="Arial" w:eastAsia="TimesNewRomanPSMT" w:hAnsi="Arial" w:cs="Arial"/>
          <w:sz w:val="24"/>
          <w:szCs w:val="24"/>
        </w:rPr>
        <w:t xml:space="preserve">strategies to develop photocaging groups and photoswitches </w:t>
      </w:r>
      <w:r w:rsidR="00875BFC">
        <w:rPr>
          <w:rFonts w:ascii="Arial" w:eastAsia="TimesNewRomanPSMT" w:hAnsi="Arial" w:cs="Arial"/>
          <w:sz w:val="24"/>
          <w:szCs w:val="24"/>
        </w:rPr>
        <w:t>activated</w:t>
      </w:r>
      <w:r w:rsidR="007F2429" w:rsidRPr="000E0DB5">
        <w:rPr>
          <w:rFonts w:ascii="Arial" w:eastAsia="TimesNewRomanPSMT" w:hAnsi="Arial" w:cs="Arial"/>
          <w:sz w:val="24"/>
          <w:szCs w:val="24"/>
        </w:rPr>
        <w:t xml:space="preserve"> in the red and near infrared regions are rapidly emerging.</w:t>
      </w:r>
      <w:r w:rsidR="00970C8F" w:rsidRPr="000E0DB5">
        <w:rPr>
          <w:rFonts w:ascii="Arial" w:eastAsia="TimesNewRomanPSMT" w:hAnsi="Arial" w:cs="Arial"/>
          <w:sz w:val="24"/>
          <w:szCs w:val="24"/>
        </w:rPr>
        <w:fldChar w:fldCharType="begin" w:fldLock="1"/>
      </w:r>
      <w:r w:rsidR="005D6924">
        <w:rPr>
          <w:rFonts w:ascii="Arial" w:eastAsia="TimesNewRomanPSMT" w:hAnsi="Arial" w:cs="Arial"/>
          <w:sz w:val="24"/>
          <w:szCs w:val="24"/>
        </w:rPr>
        <w:instrText xml:space="preserve">ADDIN CSL_CITATION {"citationItems":[{"id":"ITEM-1","itemData":{"DOI":"10.1021/jacs.9b10430","ISSN":"15205126","PMID":"32207943","abstract":"We computationally dissected the electronic and geometrical influences of ortho-chlorinated azobenzenes on their photophysical properties. X-ray analysis provided the insight that trans-tetra-ortho-chloro azobenzene is conformationally flexible and thus subject to molecular motions. This allows the photoswitch to adopt a range of red-shifted geometries, which account for the extended n </w:instrText>
      </w:r>
      <w:r w:rsidR="005D6924">
        <w:rPr>
          <w:rFonts w:ascii="Arial" w:eastAsia="TimesNewRomanPSMT" w:hAnsi="Arial" w:cs="Arial" w:hint="eastAsia"/>
          <w:sz w:val="24"/>
          <w:szCs w:val="24"/>
        </w:rPr>
        <w:instrText>→</w:instrText>
      </w:r>
      <w:r w:rsidR="005D6924">
        <w:rPr>
          <w:rFonts w:ascii="Arial" w:eastAsia="TimesNewRomanPSMT" w:hAnsi="Arial" w:cs="Arial"/>
          <w:sz w:val="24"/>
          <w:szCs w:val="24"/>
        </w:rPr>
        <w:instrText xml:space="preserve"> π</w:instrText>
      </w:r>
      <w:r w:rsidR="005D6924">
        <w:rPr>
          <w:rFonts w:ascii="Cambria Math" w:eastAsia="TimesNewRomanPSMT" w:hAnsi="Cambria Math" w:cs="Cambria Math"/>
          <w:sz w:val="24"/>
          <w:szCs w:val="24"/>
        </w:rPr>
        <w:instrText>∗</w:instrText>
      </w:r>
      <w:r w:rsidR="005D6924">
        <w:rPr>
          <w:rFonts w:ascii="Arial" w:eastAsia="TimesNewRomanPSMT" w:hAnsi="Arial" w:cs="Arial"/>
          <w:sz w:val="24"/>
          <w:szCs w:val="24"/>
        </w:rPr>
        <w:instrText xml:space="preserve"> band tails. On the basis of our results, we designed the di-ortho-fluoro di-ortho-chloro (dfdc) azobenzene and provided computational evidence for the superiority of this substitution pattern to tetra-ortho-chloro azobenzene. Thereafter, we synthesized dfdc azobenzene by ortho-chlorination via 2-fold C-H activation and experimentally confirmed its structural and photophysical properties through UV-vis, NMR, and X-ray analyses. The advantages include near-bistable isomers and an increased separation of the n </w:instrText>
      </w:r>
      <w:r w:rsidR="005D6924">
        <w:rPr>
          <w:rFonts w:ascii="Arial" w:eastAsia="TimesNewRomanPSMT" w:hAnsi="Arial" w:cs="Arial" w:hint="eastAsia"/>
          <w:sz w:val="24"/>
          <w:szCs w:val="24"/>
        </w:rPr>
        <w:instrText>→</w:instrText>
      </w:r>
      <w:r w:rsidR="005D6924">
        <w:rPr>
          <w:rFonts w:ascii="Arial" w:eastAsia="TimesNewRomanPSMT" w:hAnsi="Arial" w:cs="Arial"/>
          <w:sz w:val="24"/>
          <w:szCs w:val="24"/>
        </w:rPr>
        <w:instrText xml:space="preserve"> π</w:instrText>
      </w:r>
      <w:r w:rsidR="005D6924">
        <w:rPr>
          <w:rFonts w:ascii="Cambria Math" w:eastAsia="TimesNewRomanPSMT" w:hAnsi="Cambria Math" w:cs="Cambria Math"/>
          <w:sz w:val="24"/>
          <w:szCs w:val="24"/>
        </w:rPr>
        <w:instrText>∗</w:instrText>
      </w:r>
      <w:r w:rsidR="005D6924">
        <w:rPr>
          <w:rFonts w:ascii="Arial" w:eastAsia="TimesNewRomanPSMT" w:hAnsi="Arial" w:cs="Arial"/>
          <w:sz w:val="24"/>
          <w:szCs w:val="24"/>
        </w:rPr>
        <w:instrText xml:space="preserve"> bands between the trans- and cis-conformations, which allows for the generation of unusually high levels of the cis-isomer by irradiation with green/yellow light as well as red light within the biooptical window.","author":[{"dropping-particle":"","family":"Konrad","given":"David B.","non-dropping-particle":"","parse-names":false,"suffix":""},{"dropping-particle":"","family":"Savasci","given":"Gökcen","non-dropping-particle":"","parse-names":false,"suffix":""},{"dropping-particle":"","family":"Allmendinger","given":"Lars","non-dropping-particle":"","parse-names":false,"suffix":""},{"dropping-particle":"","family":"Trauner","given":"Dirk","non-dropping-particle":"","parse-names":false,"suffix":""},{"dropping-particle":"","family":"Ochsenfeld","given":"Christian","non-dropping-particle":"","parse-names":false,"suffix":""},{"dropping-particle":"","family":"Ali","given":"Ahmed M.","non-dropping-particle":"","parse-names":false,"suffix":""}],"container-title":"Journal of the American Chemical Society","id":"ITEM-1","issue":"14","issued":{"date-parts":[["2020"]]},"page":"6538-6547","title":"Computational Design and Synthesis of a Deeply Red-Shifted and Bistable Azobenzene","type":"article-journal","volume":"142"},"uris":["http://www.mendeley.com/documents/?uuid=e99ca924-3b0d-422d-9ddd-08d6927ec874"]}],"mendeley":{"formattedCitation":"&lt;sup&gt;68&lt;/sup&gt;","plainTextFormattedCitation":"68","previouslyFormattedCitation":"&lt;sup&gt;69&lt;/sup&gt;"},"properties":{"noteIndex":0},"schema":"https://github.com/citation-style-language/schema/raw/master/csl-citation.json"}</w:instrText>
      </w:r>
      <w:r w:rsidR="00970C8F" w:rsidRPr="000E0DB5">
        <w:rPr>
          <w:rFonts w:ascii="Arial" w:eastAsia="TimesNewRomanPSMT" w:hAnsi="Arial" w:cs="Arial"/>
          <w:sz w:val="24"/>
          <w:szCs w:val="24"/>
        </w:rPr>
        <w:fldChar w:fldCharType="separate"/>
      </w:r>
      <w:r w:rsidR="005D6924" w:rsidRPr="005D6924">
        <w:rPr>
          <w:rFonts w:ascii="Arial" w:eastAsia="TimesNewRomanPSMT" w:hAnsi="Arial" w:cs="Arial"/>
          <w:noProof/>
          <w:sz w:val="24"/>
          <w:szCs w:val="24"/>
          <w:vertAlign w:val="superscript"/>
        </w:rPr>
        <w:t>68</w:t>
      </w:r>
      <w:r w:rsidR="00970C8F" w:rsidRPr="000E0DB5">
        <w:rPr>
          <w:rFonts w:ascii="Arial" w:eastAsia="TimesNewRomanPSMT" w:hAnsi="Arial" w:cs="Arial"/>
          <w:sz w:val="24"/>
          <w:szCs w:val="24"/>
        </w:rPr>
        <w:fldChar w:fldCharType="end"/>
      </w:r>
      <w:r w:rsidR="007F2429" w:rsidRPr="000E0DB5">
        <w:rPr>
          <w:rFonts w:ascii="Arial" w:eastAsia="TimesNewRomanPSMT" w:hAnsi="Arial" w:cs="Arial"/>
          <w:sz w:val="24"/>
          <w:szCs w:val="24"/>
        </w:rPr>
        <w:t xml:space="preserve"> </w:t>
      </w:r>
      <w:r w:rsidR="00875BFC">
        <w:rPr>
          <w:rFonts w:ascii="Arial" w:eastAsia="TimesNewRomanPSMT" w:hAnsi="Arial" w:cs="Arial"/>
          <w:sz w:val="24"/>
          <w:szCs w:val="24"/>
        </w:rPr>
        <w:t>Incorporation</w:t>
      </w:r>
      <w:r w:rsidR="007F2429" w:rsidRPr="000E0DB5">
        <w:rPr>
          <w:rFonts w:ascii="Arial" w:eastAsia="TimesNewRomanPSMT" w:hAnsi="Arial" w:cs="Arial"/>
          <w:sz w:val="24"/>
          <w:szCs w:val="24"/>
        </w:rPr>
        <w:t xml:space="preserve"> </w:t>
      </w:r>
      <w:r w:rsidR="00875BFC">
        <w:rPr>
          <w:rFonts w:ascii="Arial" w:eastAsia="TimesNewRomanPSMT" w:hAnsi="Arial" w:cs="Arial"/>
          <w:sz w:val="24"/>
          <w:szCs w:val="24"/>
        </w:rPr>
        <w:t xml:space="preserve">of these innovations </w:t>
      </w:r>
      <w:r w:rsidR="007F2429" w:rsidRPr="000E0DB5">
        <w:rPr>
          <w:rFonts w:ascii="Arial" w:eastAsia="TimesNewRomanPSMT" w:hAnsi="Arial" w:cs="Arial"/>
          <w:sz w:val="24"/>
          <w:szCs w:val="24"/>
        </w:rPr>
        <w:t xml:space="preserve">in </w:t>
      </w:r>
      <w:r w:rsidR="006B31A2">
        <w:rPr>
          <w:rFonts w:ascii="Arial" w:eastAsia="TimesNewRomanPSMT" w:hAnsi="Arial" w:cs="Arial"/>
          <w:sz w:val="24"/>
          <w:szCs w:val="24"/>
        </w:rPr>
        <w:t xml:space="preserve">the </w:t>
      </w:r>
      <w:r w:rsidR="007F2429" w:rsidRPr="000E0DB5">
        <w:rPr>
          <w:rFonts w:ascii="Arial" w:eastAsia="TimesNewRomanPSMT" w:hAnsi="Arial" w:cs="Arial"/>
          <w:sz w:val="24"/>
          <w:szCs w:val="24"/>
        </w:rPr>
        <w:t>design of novel photoactive bifunctional degraders will allow deeper in vivo exploration and manipulation of biological pathways</w:t>
      </w:r>
      <w:r w:rsidR="00875BFC">
        <w:rPr>
          <w:rFonts w:ascii="Arial" w:eastAsia="TimesNewRomanPSMT" w:hAnsi="Arial" w:cs="Arial"/>
          <w:sz w:val="24"/>
          <w:szCs w:val="24"/>
        </w:rPr>
        <w:t>,</w:t>
      </w:r>
      <w:r w:rsidR="007F2429" w:rsidRPr="000E0DB5">
        <w:rPr>
          <w:rFonts w:ascii="Arial" w:eastAsia="TimesNewRomanPSMT" w:hAnsi="Arial" w:cs="Arial"/>
          <w:sz w:val="24"/>
          <w:szCs w:val="24"/>
        </w:rPr>
        <w:t xml:space="preserve"> and may ultimately enable advances in pre</w:t>
      </w:r>
      <w:r w:rsidR="00527B18" w:rsidRPr="000E0DB5">
        <w:rPr>
          <w:rFonts w:ascii="Arial" w:eastAsia="TimesNewRomanPSMT" w:hAnsi="Arial" w:cs="Arial"/>
          <w:sz w:val="24"/>
          <w:szCs w:val="24"/>
        </w:rPr>
        <w:t>cis</w:t>
      </w:r>
      <w:r w:rsidR="007F2429" w:rsidRPr="000E0DB5">
        <w:rPr>
          <w:rFonts w:ascii="Arial" w:eastAsia="TimesNewRomanPSMT" w:hAnsi="Arial" w:cs="Arial"/>
          <w:sz w:val="24"/>
          <w:szCs w:val="24"/>
        </w:rPr>
        <w:t>ion medicine.</w:t>
      </w:r>
    </w:p>
    <w:p w14:paraId="5B0679D2" w14:textId="474ACC58" w:rsidR="00970C8F" w:rsidRDefault="00970C8F" w:rsidP="007F2429">
      <w:pPr>
        <w:spacing w:line="480" w:lineRule="auto"/>
        <w:jc w:val="both"/>
        <w:rPr>
          <w:rFonts w:ascii="Arial" w:eastAsia="TimesNewRomanPSMT" w:hAnsi="Arial" w:cs="Arial"/>
          <w:sz w:val="24"/>
          <w:szCs w:val="24"/>
        </w:rPr>
      </w:pPr>
    </w:p>
    <w:p w14:paraId="1B8E38B1" w14:textId="3A21A748" w:rsidR="00DC5E27" w:rsidRDefault="00DC5E27" w:rsidP="007F2429">
      <w:pPr>
        <w:spacing w:line="480" w:lineRule="auto"/>
        <w:jc w:val="both"/>
        <w:rPr>
          <w:rFonts w:ascii="Arial" w:eastAsia="TimesNewRomanPSMT" w:hAnsi="Arial" w:cs="Arial"/>
          <w:sz w:val="24"/>
          <w:szCs w:val="24"/>
        </w:rPr>
      </w:pPr>
    </w:p>
    <w:p w14:paraId="381B4BD9" w14:textId="77777777" w:rsidR="00DC5E27" w:rsidRPr="000E0DB5" w:rsidRDefault="00DC5E27" w:rsidP="007F2429">
      <w:pPr>
        <w:spacing w:line="480" w:lineRule="auto"/>
        <w:jc w:val="both"/>
        <w:rPr>
          <w:rFonts w:ascii="Arial" w:eastAsia="TimesNewRomanPSMT" w:hAnsi="Arial" w:cs="Arial"/>
          <w:sz w:val="24"/>
          <w:szCs w:val="24"/>
        </w:rPr>
      </w:pPr>
    </w:p>
    <w:p w14:paraId="241828B9" w14:textId="2825F27E" w:rsidR="008B5640" w:rsidRPr="000E0DB5" w:rsidRDefault="008B5640" w:rsidP="007F2429">
      <w:pPr>
        <w:spacing w:line="480" w:lineRule="auto"/>
        <w:jc w:val="both"/>
        <w:rPr>
          <w:rFonts w:ascii="Arial" w:eastAsia="TimesNewRomanPSMT" w:hAnsi="Arial" w:cs="Arial"/>
          <w:sz w:val="24"/>
          <w:szCs w:val="24"/>
        </w:rPr>
      </w:pPr>
      <w:r w:rsidRPr="000E0DB5">
        <w:rPr>
          <w:rFonts w:ascii="Arial" w:eastAsia="TimesNewRomanPSMT" w:hAnsi="Arial" w:cs="Arial"/>
          <w:sz w:val="24"/>
          <w:szCs w:val="24"/>
        </w:rPr>
        <w:t>AUTHOR INFORMATION</w:t>
      </w:r>
    </w:p>
    <w:p w14:paraId="52D49188" w14:textId="09456814" w:rsidR="00402C06" w:rsidRPr="009B501A" w:rsidRDefault="00402C06" w:rsidP="007F2429">
      <w:pPr>
        <w:spacing w:line="480" w:lineRule="auto"/>
        <w:jc w:val="both"/>
        <w:rPr>
          <w:rFonts w:ascii="Arial" w:eastAsia="TimesNewRomanPSMT" w:hAnsi="Arial" w:cs="Arial"/>
          <w:sz w:val="24"/>
          <w:szCs w:val="24"/>
          <w:u w:val="single"/>
        </w:rPr>
      </w:pPr>
      <w:r w:rsidRPr="009B501A">
        <w:rPr>
          <w:rFonts w:ascii="Arial" w:eastAsia="TimesNewRomanPSMT" w:hAnsi="Arial" w:cs="Arial"/>
          <w:sz w:val="24"/>
          <w:szCs w:val="24"/>
          <w:u w:val="single"/>
        </w:rPr>
        <w:t>Corresponding Author</w:t>
      </w:r>
    </w:p>
    <w:p w14:paraId="0203B9B6" w14:textId="4544A1F7" w:rsidR="008B5640" w:rsidRPr="000E0DB5" w:rsidRDefault="00402C06" w:rsidP="007F2429">
      <w:pPr>
        <w:spacing w:line="480" w:lineRule="auto"/>
        <w:jc w:val="both"/>
        <w:rPr>
          <w:rFonts w:ascii="Arial" w:eastAsia="TimesNewRomanPSMT" w:hAnsi="Arial" w:cs="Arial"/>
          <w:sz w:val="24"/>
          <w:szCs w:val="24"/>
        </w:rPr>
      </w:pPr>
      <w:r w:rsidRPr="000E0DB5">
        <w:rPr>
          <w:rFonts w:ascii="Arial" w:eastAsia="TimesNewRomanPSMT" w:hAnsi="Arial" w:cs="Arial"/>
          <w:sz w:val="24"/>
          <w:szCs w:val="24"/>
        </w:rPr>
        <w:t>E</w:t>
      </w:r>
      <w:r w:rsidR="003079E9">
        <w:rPr>
          <w:rFonts w:ascii="Arial" w:eastAsia="TimesNewRomanPSMT" w:hAnsi="Arial" w:cs="Arial"/>
          <w:sz w:val="24"/>
          <w:szCs w:val="24"/>
        </w:rPr>
        <w:t xml:space="preserve">dward </w:t>
      </w:r>
      <w:r w:rsidRPr="000E0DB5">
        <w:rPr>
          <w:rFonts w:ascii="Arial" w:eastAsia="TimesNewRomanPSMT" w:hAnsi="Arial" w:cs="Arial"/>
          <w:sz w:val="24"/>
          <w:szCs w:val="24"/>
        </w:rPr>
        <w:t>W.</w:t>
      </w:r>
      <w:r w:rsidR="009B501A">
        <w:rPr>
          <w:rFonts w:ascii="Arial" w:eastAsia="TimesNewRomanPSMT" w:hAnsi="Arial" w:cs="Arial"/>
          <w:sz w:val="24"/>
          <w:szCs w:val="24"/>
        </w:rPr>
        <w:t xml:space="preserve"> </w:t>
      </w:r>
      <w:r w:rsidRPr="000E0DB5">
        <w:rPr>
          <w:rFonts w:ascii="Arial" w:eastAsia="TimesNewRomanPSMT" w:hAnsi="Arial" w:cs="Arial"/>
          <w:sz w:val="24"/>
          <w:szCs w:val="24"/>
        </w:rPr>
        <w:t>T</w:t>
      </w:r>
      <w:r w:rsidR="003079E9">
        <w:rPr>
          <w:rFonts w:ascii="Arial" w:eastAsia="TimesNewRomanPSMT" w:hAnsi="Arial" w:cs="Arial"/>
          <w:sz w:val="24"/>
          <w:szCs w:val="24"/>
        </w:rPr>
        <w:t xml:space="preserve">ate: </w:t>
      </w:r>
      <w:r w:rsidRPr="000E0DB5">
        <w:rPr>
          <w:rFonts w:ascii="Arial" w:eastAsia="TimesNewRomanPSMT" w:hAnsi="Arial" w:cs="Arial"/>
          <w:sz w:val="24"/>
          <w:szCs w:val="24"/>
        </w:rPr>
        <w:t xml:space="preserve"> e-mail: </w:t>
      </w:r>
      <w:hyperlink r:id="rId16" w:history="1">
        <w:r w:rsidRPr="000E0DB5">
          <w:rPr>
            <w:rStyle w:val="Hyperlink"/>
            <w:rFonts w:ascii="Arial" w:eastAsia="TimesNewRomanPSMT" w:hAnsi="Arial" w:cs="Arial"/>
            <w:sz w:val="24"/>
            <w:szCs w:val="24"/>
          </w:rPr>
          <w:t>e.tate@imperial.ac.uk</w:t>
        </w:r>
      </w:hyperlink>
    </w:p>
    <w:p w14:paraId="3E9C3A62" w14:textId="000B74CA" w:rsidR="00461FAC" w:rsidRPr="009B501A" w:rsidRDefault="003079E9" w:rsidP="007F2429">
      <w:pPr>
        <w:spacing w:line="480" w:lineRule="auto"/>
        <w:jc w:val="both"/>
        <w:rPr>
          <w:rFonts w:ascii="Arial" w:eastAsia="TimesNewRomanPSMT" w:hAnsi="Arial" w:cs="Arial"/>
          <w:sz w:val="24"/>
          <w:szCs w:val="24"/>
          <w:u w:val="single"/>
        </w:rPr>
      </w:pPr>
      <w:r w:rsidRPr="009B501A">
        <w:rPr>
          <w:rFonts w:ascii="Arial" w:eastAsia="TimesNewRomanPSMT" w:hAnsi="Arial" w:cs="Arial"/>
          <w:sz w:val="24"/>
          <w:szCs w:val="24"/>
          <w:u w:val="single"/>
        </w:rPr>
        <w:t>Author</w:t>
      </w:r>
    </w:p>
    <w:p w14:paraId="528C23FA" w14:textId="01D436BD" w:rsidR="003079E9" w:rsidRPr="000E0DB5" w:rsidRDefault="003079E9" w:rsidP="007F2429">
      <w:pPr>
        <w:spacing w:line="480" w:lineRule="auto"/>
        <w:jc w:val="both"/>
        <w:rPr>
          <w:rFonts w:ascii="Arial" w:eastAsia="TimesNewRomanPSMT" w:hAnsi="Arial" w:cs="Arial"/>
          <w:sz w:val="24"/>
          <w:szCs w:val="24"/>
        </w:rPr>
      </w:pPr>
      <w:r>
        <w:rPr>
          <w:rFonts w:ascii="Arial" w:eastAsia="TimesNewRomanPSMT" w:hAnsi="Arial" w:cs="Arial"/>
          <w:sz w:val="24"/>
          <w:szCs w:val="24"/>
        </w:rPr>
        <w:t>Cyrille</w:t>
      </w:r>
      <w:r w:rsidR="009B501A">
        <w:rPr>
          <w:rFonts w:ascii="Arial" w:eastAsia="TimesNewRomanPSMT" w:hAnsi="Arial" w:cs="Arial"/>
          <w:sz w:val="24"/>
          <w:szCs w:val="24"/>
        </w:rPr>
        <w:t xml:space="preserve"> S.</w:t>
      </w:r>
      <w:r>
        <w:rPr>
          <w:rFonts w:ascii="Arial" w:eastAsia="TimesNewRomanPSMT" w:hAnsi="Arial" w:cs="Arial"/>
          <w:sz w:val="24"/>
          <w:szCs w:val="24"/>
        </w:rPr>
        <w:t xml:space="preserve"> </w:t>
      </w:r>
      <w:r w:rsidR="009B501A">
        <w:rPr>
          <w:rFonts w:ascii="Arial" w:eastAsia="TimesNewRomanPSMT" w:hAnsi="Arial" w:cs="Arial"/>
          <w:sz w:val="24"/>
          <w:szCs w:val="24"/>
        </w:rPr>
        <w:t>Kounde</w:t>
      </w:r>
      <w:r>
        <w:rPr>
          <w:rFonts w:ascii="Arial" w:eastAsia="TimesNewRomanPSMT" w:hAnsi="Arial" w:cs="Arial"/>
          <w:sz w:val="24"/>
          <w:szCs w:val="24"/>
        </w:rPr>
        <w:t xml:space="preserve"> </w:t>
      </w:r>
    </w:p>
    <w:p w14:paraId="24C5BEFE" w14:textId="6E0961FE" w:rsidR="00461FAC" w:rsidRPr="000E0DB5" w:rsidRDefault="00461FAC" w:rsidP="00461FAC">
      <w:pPr>
        <w:spacing w:line="480" w:lineRule="auto"/>
        <w:jc w:val="both"/>
        <w:rPr>
          <w:rFonts w:ascii="Arial" w:eastAsia="TimesNewRomanPSMT" w:hAnsi="Arial" w:cs="Arial"/>
          <w:sz w:val="24"/>
          <w:szCs w:val="24"/>
        </w:rPr>
      </w:pPr>
      <w:r w:rsidRPr="000E0DB5">
        <w:rPr>
          <w:rFonts w:ascii="Arial" w:eastAsia="TimesNewRomanPSMT" w:hAnsi="Arial" w:cs="Arial"/>
          <w:sz w:val="24"/>
          <w:szCs w:val="24"/>
        </w:rPr>
        <w:t>NOTES</w:t>
      </w:r>
    </w:p>
    <w:p w14:paraId="1F3C2064" w14:textId="59E67C47" w:rsidR="00AF62F6" w:rsidRDefault="00461FAC" w:rsidP="00461FAC">
      <w:pPr>
        <w:spacing w:line="480" w:lineRule="auto"/>
        <w:jc w:val="both"/>
        <w:rPr>
          <w:rFonts w:ascii="Arial" w:eastAsia="TimesNewRomanPSMT" w:hAnsi="Arial" w:cs="Arial"/>
          <w:sz w:val="24"/>
          <w:szCs w:val="24"/>
        </w:rPr>
      </w:pPr>
      <w:r w:rsidRPr="000E0DB5">
        <w:rPr>
          <w:rFonts w:ascii="Arial" w:eastAsia="TimesNewRomanPSMT" w:hAnsi="Arial" w:cs="Arial"/>
          <w:sz w:val="24"/>
          <w:szCs w:val="24"/>
        </w:rPr>
        <w:t xml:space="preserve">The authors declare the following competing financial interest(s): E.W.T. is a founder, Director, and shareholder of Myricx Pharma, Ltd. </w:t>
      </w:r>
    </w:p>
    <w:p w14:paraId="7A3A8B47" w14:textId="77777777" w:rsidR="0076318A" w:rsidRPr="000E0DB5" w:rsidRDefault="0076318A" w:rsidP="0076318A">
      <w:pPr>
        <w:spacing w:after="0" w:line="480" w:lineRule="auto"/>
        <w:jc w:val="both"/>
        <w:rPr>
          <w:rFonts w:ascii="Arial" w:eastAsia="TimesNewRomanPSMT" w:hAnsi="Arial" w:cs="Arial"/>
          <w:sz w:val="24"/>
          <w:szCs w:val="24"/>
        </w:rPr>
      </w:pPr>
    </w:p>
    <w:p w14:paraId="6C7910B7" w14:textId="099DB055" w:rsidR="00402C06" w:rsidRPr="000E0DB5" w:rsidRDefault="009D138D" w:rsidP="0076318A">
      <w:pPr>
        <w:spacing w:after="0" w:line="480" w:lineRule="auto"/>
        <w:jc w:val="both"/>
        <w:rPr>
          <w:rFonts w:ascii="Arial" w:eastAsia="TimesNewRomanPSMT" w:hAnsi="Arial" w:cs="Arial"/>
          <w:sz w:val="24"/>
          <w:szCs w:val="24"/>
        </w:rPr>
      </w:pPr>
      <w:r w:rsidRPr="000E0DB5">
        <w:rPr>
          <w:rFonts w:ascii="Arial" w:eastAsia="TimesNewRomanPSMT" w:hAnsi="Arial" w:cs="Arial"/>
          <w:sz w:val="24"/>
          <w:szCs w:val="24"/>
        </w:rPr>
        <w:t>BIOGRAPHIES</w:t>
      </w:r>
    </w:p>
    <w:p w14:paraId="24DB8512" w14:textId="06570C18" w:rsidR="009D138D" w:rsidRPr="000E0DB5" w:rsidRDefault="009D138D" w:rsidP="009D138D">
      <w:pPr>
        <w:spacing w:line="480" w:lineRule="auto"/>
        <w:jc w:val="both"/>
        <w:rPr>
          <w:rFonts w:ascii="Arial" w:eastAsia="TimesNewRomanPSMT" w:hAnsi="Arial" w:cs="Arial"/>
          <w:sz w:val="24"/>
          <w:szCs w:val="24"/>
        </w:rPr>
      </w:pPr>
      <w:r w:rsidRPr="000E0DB5">
        <w:rPr>
          <w:rFonts w:ascii="Arial" w:eastAsia="TimesNewRomanPSMT" w:hAnsi="Arial" w:cs="Arial"/>
          <w:b/>
          <w:bCs/>
          <w:sz w:val="24"/>
          <w:szCs w:val="24"/>
        </w:rPr>
        <w:t>Cyrille Kounde</w:t>
      </w:r>
      <w:r w:rsidRPr="000E0DB5">
        <w:rPr>
          <w:rFonts w:ascii="Arial" w:eastAsia="TimesNewRomanPSMT" w:hAnsi="Arial" w:cs="Arial"/>
          <w:sz w:val="24"/>
          <w:szCs w:val="24"/>
        </w:rPr>
        <w:t xml:space="preserve"> completed his B.Sc. degree in biochemistry at Paris Diderot University and his M.Sc. in organic chemistry at Paris Descartes University. In </w:t>
      </w:r>
      <w:r w:rsidR="000E0DB5" w:rsidRPr="000E0DB5">
        <w:rPr>
          <w:rFonts w:ascii="Arial" w:eastAsia="TimesNewRomanPSMT" w:hAnsi="Arial" w:cs="Arial"/>
          <w:sz w:val="24"/>
          <w:szCs w:val="24"/>
        </w:rPr>
        <w:t>2006, he</w:t>
      </w:r>
      <w:r w:rsidRPr="000E0DB5">
        <w:rPr>
          <w:rFonts w:ascii="Arial" w:eastAsia="TimesNewRomanPSMT" w:hAnsi="Arial" w:cs="Arial"/>
          <w:sz w:val="24"/>
          <w:szCs w:val="24"/>
        </w:rPr>
        <w:t xml:space="preserve"> started his career in industry in the United Kingdom as a drug discovery scientist</w:t>
      </w:r>
      <w:r w:rsidR="00A839EA">
        <w:rPr>
          <w:rFonts w:ascii="Arial" w:eastAsia="TimesNewRomanPSMT" w:hAnsi="Arial" w:cs="Arial"/>
          <w:sz w:val="24"/>
          <w:szCs w:val="24"/>
        </w:rPr>
        <w:t xml:space="preserve"> at Evotec Ltd then </w:t>
      </w:r>
      <w:r w:rsidR="000863B2">
        <w:rPr>
          <w:rFonts w:ascii="Arial" w:eastAsia="TimesNewRomanPSMT" w:hAnsi="Arial" w:cs="Arial"/>
          <w:sz w:val="24"/>
          <w:szCs w:val="24"/>
        </w:rPr>
        <w:t xml:space="preserve">joined </w:t>
      </w:r>
      <w:r w:rsidR="00A839EA">
        <w:rPr>
          <w:rFonts w:ascii="Arial" w:eastAsia="TimesNewRomanPSMT" w:hAnsi="Arial" w:cs="Arial"/>
          <w:sz w:val="24"/>
          <w:szCs w:val="24"/>
        </w:rPr>
        <w:t>Novartis</w:t>
      </w:r>
      <w:r w:rsidRPr="000E0DB5">
        <w:rPr>
          <w:rFonts w:ascii="Arial" w:eastAsia="TimesNewRomanPSMT" w:hAnsi="Arial" w:cs="Arial"/>
          <w:sz w:val="24"/>
          <w:szCs w:val="24"/>
        </w:rPr>
        <w:t>. He</w:t>
      </w:r>
      <w:r w:rsidR="000863B2">
        <w:rPr>
          <w:rFonts w:ascii="Arial" w:eastAsia="TimesNewRomanPSMT" w:hAnsi="Arial" w:cs="Arial"/>
          <w:sz w:val="24"/>
          <w:szCs w:val="24"/>
        </w:rPr>
        <w:t xml:space="preserve"> </w:t>
      </w:r>
      <w:r w:rsidRPr="000E0DB5">
        <w:rPr>
          <w:rFonts w:ascii="Arial" w:eastAsia="TimesNewRomanPSMT" w:hAnsi="Arial" w:cs="Arial"/>
          <w:sz w:val="24"/>
          <w:szCs w:val="24"/>
        </w:rPr>
        <w:t>moved to Singapore in 2011 and worked on various medicinal chemistry projects related to neglected infectious diseases</w:t>
      </w:r>
      <w:r w:rsidR="000863B2">
        <w:rPr>
          <w:rFonts w:ascii="Arial" w:eastAsia="TimesNewRomanPSMT" w:hAnsi="Arial" w:cs="Arial"/>
          <w:sz w:val="24"/>
          <w:szCs w:val="24"/>
        </w:rPr>
        <w:t xml:space="preserve"> at the Novartis Institute for Tropical diseases</w:t>
      </w:r>
      <w:r w:rsidR="003574DF">
        <w:rPr>
          <w:rFonts w:ascii="Arial" w:eastAsia="TimesNewRomanPSMT" w:hAnsi="Arial" w:cs="Arial"/>
          <w:sz w:val="24"/>
          <w:szCs w:val="24"/>
        </w:rPr>
        <w:t xml:space="preserve"> (NITD)</w:t>
      </w:r>
      <w:r w:rsidRPr="000E0DB5">
        <w:rPr>
          <w:rFonts w:ascii="Arial" w:eastAsia="TimesNewRomanPSMT" w:hAnsi="Arial" w:cs="Arial"/>
          <w:sz w:val="24"/>
          <w:szCs w:val="24"/>
        </w:rPr>
        <w:t xml:space="preserve">. He is currently a PhD student </w:t>
      </w:r>
      <w:r w:rsidR="000E0DB5">
        <w:rPr>
          <w:rFonts w:ascii="Arial" w:eastAsia="TimesNewRomanPSMT" w:hAnsi="Arial" w:cs="Arial"/>
          <w:sz w:val="24"/>
          <w:szCs w:val="24"/>
        </w:rPr>
        <w:t xml:space="preserve">in the group of </w:t>
      </w:r>
      <w:r w:rsidRPr="000E0DB5">
        <w:rPr>
          <w:rFonts w:ascii="Arial" w:eastAsia="TimesNewRomanPSMT" w:hAnsi="Arial" w:cs="Arial"/>
          <w:sz w:val="24"/>
          <w:szCs w:val="24"/>
        </w:rPr>
        <w:t>Prof. Ed Tate at Imperial College London where he is investigating conditional activation of bifunctional degraders.</w:t>
      </w:r>
    </w:p>
    <w:p w14:paraId="572E6357" w14:textId="1AF7A3DD" w:rsidR="009D138D" w:rsidRPr="000E0DB5" w:rsidRDefault="00AF66A5" w:rsidP="007F2429">
      <w:pPr>
        <w:spacing w:line="480" w:lineRule="auto"/>
        <w:jc w:val="both"/>
        <w:rPr>
          <w:rFonts w:ascii="Arial" w:eastAsia="TimesNewRomanPSMT" w:hAnsi="Arial" w:cs="Arial"/>
          <w:sz w:val="24"/>
          <w:szCs w:val="24"/>
        </w:rPr>
      </w:pPr>
      <w:r w:rsidRPr="000E0DB5">
        <w:rPr>
          <w:rFonts w:ascii="Arial" w:eastAsia="TimesNewRomanPSMT" w:hAnsi="Arial" w:cs="Arial"/>
          <w:b/>
          <w:bCs/>
          <w:sz w:val="24"/>
          <w:szCs w:val="24"/>
        </w:rPr>
        <w:t>Ed Tate</w:t>
      </w:r>
      <w:r w:rsidRPr="000E0DB5">
        <w:rPr>
          <w:rFonts w:ascii="Arial" w:eastAsia="TimesNewRomanPSMT" w:hAnsi="Arial" w:cs="Arial"/>
          <w:sz w:val="24"/>
          <w:szCs w:val="24"/>
        </w:rPr>
        <w:t xml:space="preserve"> </w:t>
      </w:r>
      <w:r w:rsidR="000E0DB5">
        <w:rPr>
          <w:rFonts w:ascii="Arial" w:eastAsia="TimesNewRomanPSMT" w:hAnsi="Arial" w:cs="Arial"/>
          <w:sz w:val="24"/>
          <w:szCs w:val="24"/>
        </w:rPr>
        <w:t xml:space="preserve">is Professor of Chemical Biology in the Department of Chemistry at Imperial College London, a Group Leader at the Francis Crick Institute, and Chief Scientific Officer of Myricx Pharma Ltd. He </w:t>
      </w:r>
      <w:r w:rsidRPr="000E0DB5">
        <w:rPr>
          <w:rFonts w:ascii="Arial" w:eastAsia="TimesNewRomanPSMT" w:hAnsi="Arial" w:cs="Arial"/>
          <w:sz w:val="24"/>
          <w:szCs w:val="24"/>
        </w:rPr>
        <w:t xml:space="preserve">completed his B.Sc. degree in </w:t>
      </w:r>
      <w:r w:rsidR="00D832DB">
        <w:rPr>
          <w:rFonts w:ascii="Arial" w:eastAsia="TimesNewRomanPSMT" w:hAnsi="Arial" w:cs="Arial"/>
          <w:sz w:val="24"/>
          <w:szCs w:val="24"/>
        </w:rPr>
        <w:t>C</w:t>
      </w:r>
      <w:r w:rsidRPr="000E0DB5">
        <w:rPr>
          <w:rFonts w:ascii="Arial" w:eastAsia="TimesNewRomanPSMT" w:hAnsi="Arial" w:cs="Arial"/>
          <w:sz w:val="24"/>
          <w:szCs w:val="24"/>
        </w:rPr>
        <w:t xml:space="preserve">hemistry at the University of Durham and undertook his Ph.D. in organic chemistry at the University of Cambridge under the guidance </w:t>
      </w:r>
      <w:r w:rsidR="000E0DB5" w:rsidRPr="000E0DB5">
        <w:rPr>
          <w:rFonts w:ascii="Arial" w:eastAsia="TimesNewRomanPSMT" w:hAnsi="Arial" w:cs="Arial"/>
          <w:sz w:val="24"/>
          <w:szCs w:val="24"/>
        </w:rPr>
        <w:t>of Prof.</w:t>
      </w:r>
      <w:r w:rsidRPr="000E0DB5">
        <w:rPr>
          <w:rFonts w:ascii="Arial" w:eastAsia="TimesNewRomanPSMT" w:hAnsi="Arial" w:cs="Arial"/>
          <w:sz w:val="24"/>
          <w:szCs w:val="24"/>
        </w:rPr>
        <w:t xml:space="preserve"> Steve Ley. Following </w:t>
      </w:r>
      <w:r w:rsidR="000E0DB5">
        <w:rPr>
          <w:rFonts w:ascii="Arial" w:eastAsia="TimesNewRomanPSMT" w:hAnsi="Arial" w:cs="Arial"/>
          <w:sz w:val="24"/>
          <w:szCs w:val="24"/>
        </w:rPr>
        <w:t>postdoctoral research at Ecole Polytechnique and</w:t>
      </w:r>
      <w:r w:rsidRPr="000E0DB5">
        <w:rPr>
          <w:rFonts w:ascii="Arial" w:eastAsia="TimesNewRomanPSMT" w:hAnsi="Arial" w:cs="Arial"/>
          <w:sz w:val="24"/>
          <w:szCs w:val="24"/>
        </w:rPr>
        <w:t xml:space="preserve"> the Pasteur Institute in Paris, he was awarded a BBSRC David Phillips Research Fellowship in 2006 </w:t>
      </w:r>
      <w:r w:rsidR="000E0DB5">
        <w:rPr>
          <w:rFonts w:ascii="Arial" w:eastAsia="TimesNewRomanPSMT" w:hAnsi="Arial" w:cs="Arial"/>
          <w:sz w:val="24"/>
          <w:szCs w:val="24"/>
        </w:rPr>
        <w:t xml:space="preserve">at Imperial College </w:t>
      </w:r>
      <w:r w:rsidR="00906C17">
        <w:rPr>
          <w:rFonts w:ascii="Arial" w:eastAsia="TimesNewRomanPSMT" w:hAnsi="Arial" w:cs="Arial"/>
          <w:sz w:val="24"/>
          <w:szCs w:val="24"/>
        </w:rPr>
        <w:t>London and</w:t>
      </w:r>
      <w:r w:rsidRPr="000E0DB5">
        <w:rPr>
          <w:rFonts w:ascii="Arial" w:eastAsia="TimesNewRomanPSMT" w:hAnsi="Arial" w:cs="Arial"/>
          <w:sz w:val="24"/>
          <w:szCs w:val="24"/>
        </w:rPr>
        <w:t xml:space="preserve"> </w:t>
      </w:r>
      <w:r w:rsidR="000E0DB5">
        <w:rPr>
          <w:rFonts w:ascii="Arial" w:eastAsia="TimesNewRomanPSMT" w:hAnsi="Arial" w:cs="Arial"/>
          <w:sz w:val="24"/>
          <w:szCs w:val="24"/>
        </w:rPr>
        <w:t>was promoted to full Professor in</w:t>
      </w:r>
      <w:r w:rsidR="000E0DB5" w:rsidRPr="000E0DB5">
        <w:rPr>
          <w:rFonts w:ascii="Arial" w:eastAsia="TimesNewRomanPSMT" w:hAnsi="Arial" w:cs="Arial"/>
          <w:sz w:val="24"/>
          <w:szCs w:val="24"/>
        </w:rPr>
        <w:t xml:space="preserve"> </w:t>
      </w:r>
      <w:r w:rsidRPr="000E0DB5">
        <w:rPr>
          <w:rFonts w:ascii="Arial" w:eastAsia="TimesNewRomanPSMT" w:hAnsi="Arial" w:cs="Arial"/>
          <w:sz w:val="24"/>
          <w:szCs w:val="24"/>
        </w:rPr>
        <w:t>2014. His research encompasses the fields of chemical biology and chemical proteomics</w:t>
      </w:r>
      <w:r w:rsidR="000E0DB5">
        <w:rPr>
          <w:rFonts w:ascii="Arial" w:eastAsia="TimesNewRomanPSMT" w:hAnsi="Arial" w:cs="Arial"/>
          <w:sz w:val="24"/>
          <w:szCs w:val="24"/>
        </w:rPr>
        <w:t>, with a focus on drug target discovery and validation</w:t>
      </w:r>
      <w:r w:rsidR="000E0DB5">
        <w:rPr>
          <w:rFonts w:ascii="Arial" w:eastAsia="TimesNewRomanPSMT" w:hAnsi="Arial" w:cs="Arial"/>
          <w:b/>
          <w:bCs/>
          <w:i/>
          <w:iCs/>
          <w:sz w:val="24"/>
          <w:szCs w:val="24"/>
        </w:rPr>
        <w:t>.</w:t>
      </w:r>
    </w:p>
    <w:p w14:paraId="7351CB7E" w14:textId="77777777" w:rsidR="008906F6" w:rsidRPr="000E0DB5" w:rsidRDefault="008906F6" w:rsidP="007F2429">
      <w:pPr>
        <w:spacing w:line="480" w:lineRule="auto"/>
        <w:jc w:val="both"/>
        <w:rPr>
          <w:rFonts w:ascii="Arial" w:eastAsia="TimesNewRomanPSMT" w:hAnsi="Arial" w:cs="Arial"/>
          <w:sz w:val="24"/>
          <w:szCs w:val="24"/>
        </w:rPr>
      </w:pPr>
    </w:p>
    <w:p w14:paraId="49397AB6" w14:textId="2281E865" w:rsidR="007F2429" w:rsidRPr="000E0DB5" w:rsidRDefault="00087350" w:rsidP="007F2429">
      <w:pPr>
        <w:spacing w:line="480" w:lineRule="auto"/>
        <w:jc w:val="both"/>
        <w:rPr>
          <w:rFonts w:ascii="Arial" w:eastAsia="TimesNewRomanPSMT" w:hAnsi="Arial" w:cs="Arial"/>
          <w:sz w:val="24"/>
          <w:szCs w:val="24"/>
        </w:rPr>
      </w:pPr>
      <w:r w:rsidRPr="000E0DB5">
        <w:rPr>
          <w:rFonts w:ascii="Arial" w:eastAsia="TimesNewRomanPSMT" w:hAnsi="Arial" w:cs="Arial"/>
          <w:sz w:val="24"/>
          <w:szCs w:val="24"/>
        </w:rPr>
        <w:t>ACKNOWLEDGEMENTS</w:t>
      </w:r>
    </w:p>
    <w:p w14:paraId="5E4E5634" w14:textId="270FBAB0" w:rsidR="00B7181E" w:rsidRDefault="00087350" w:rsidP="004A482D">
      <w:pPr>
        <w:spacing w:line="480" w:lineRule="auto"/>
        <w:jc w:val="both"/>
        <w:rPr>
          <w:rFonts w:ascii="Arial" w:eastAsia="TimesNewRomanPSMT" w:hAnsi="Arial" w:cs="Arial"/>
          <w:sz w:val="24"/>
          <w:szCs w:val="24"/>
        </w:rPr>
      </w:pPr>
      <w:r w:rsidRPr="000E0DB5">
        <w:rPr>
          <w:rFonts w:ascii="Arial" w:eastAsia="TimesNewRomanPSMT" w:hAnsi="Arial" w:cs="Arial"/>
          <w:sz w:val="24"/>
          <w:szCs w:val="24"/>
        </w:rPr>
        <w:t>We thank Dr Maria Maneiro, Dr Marcel Muelbaier and Dr John D. Harling for the</w:t>
      </w:r>
      <w:r w:rsidR="000E0DB5">
        <w:rPr>
          <w:rFonts w:ascii="Arial" w:eastAsia="TimesNewRomanPSMT" w:hAnsi="Arial" w:cs="Arial"/>
          <w:sz w:val="24"/>
          <w:szCs w:val="24"/>
        </w:rPr>
        <w:t>ir</w:t>
      </w:r>
      <w:r w:rsidRPr="000E0DB5">
        <w:rPr>
          <w:rFonts w:ascii="Arial" w:eastAsia="TimesNewRomanPSMT" w:hAnsi="Arial" w:cs="Arial"/>
          <w:sz w:val="24"/>
          <w:szCs w:val="24"/>
        </w:rPr>
        <w:t xml:space="preserve"> critical evaluation of the </w:t>
      </w:r>
      <w:r w:rsidR="000E0DB5">
        <w:rPr>
          <w:rFonts w:ascii="Arial" w:eastAsia="TimesNewRomanPSMT" w:hAnsi="Arial" w:cs="Arial"/>
          <w:sz w:val="24"/>
          <w:szCs w:val="24"/>
        </w:rPr>
        <w:t xml:space="preserve">draft </w:t>
      </w:r>
      <w:r w:rsidRPr="000E0DB5">
        <w:rPr>
          <w:rFonts w:ascii="Arial" w:eastAsia="TimesNewRomanPSMT" w:hAnsi="Arial" w:cs="Arial"/>
          <w:sz w:val="24"/>
          <w:szCs w:val="24"/>
        </w:rPr>
        <w:t>manuscript. The authors acknowledge support from the Engineering and Physical Sciences Research Council (EPSRC) grant EP/R512540/1 and GlaxoSmithKline Research and Development Ltd.</w:t>
      </w:r>
    </w:p>
    <w:p w14:paraId="2179B6F3" w14:textId="77777777" w:rsidR="00B7181E" w:rsidRDefault="00B7181E" w:rsidP="004A482D">
      <w:pPr>
        <w:spacing w:line="480" w:lineRule="auto"/>
        <w:jc w:val="both"/>
        <w:rPr>
          <w:rFonts w:ascii="Arial" w:eastAsia="TimesNewRomanPSMT" w:hAnsi="Arial" w:cs="Arial"/>
          <w:sz w:val="24"/>
          <w:szCs w:val="24"/>
        </w:rPr>
      </w:pPr>
    </w:p>
    <w:p w14:paraId="0D0E50F6" w14:textId="6CEC4037" w:rsidR="00B7181E" w:rsidRDefault="00B7181E" w:rsidP="004A482D">
      <w:pPr>
        <w:spacing w:line="480" w:lineRule="auto"/>
        <w:jc w:val="both"/>
        <w:rPr>
          <w:rFonts w:ascii="Arial" w:eastAsia="TimesNewRomanPSMT" w:hAnsi="Arial" w:cs="Arial"/>
          <w:sz w:val="24"/>
          <w:szCs w:val="24"/>
        </w:rPr>
      </w:pPr>
      <w:r w:rsidRPr="00B7181E">
        <w:rPr>
          <w:rFonts w:ascii="Arial" w:eastAsia="TimesNewRomanPSMT" w:hAnsi="Arial" w:cs="Arial"/>
          <w:sz w:val="24"/>
          <w:szCs w:val="24"/>
        </w:rPr>
        <w:t>A</w:t>
      </w:r>
      <w:r>
        <w:rPr>
          <w:rFonts w:ascii="Arial" w:eastAsia="TimesNewRomanPSMT" w:hAnsi="Arial" w:cs="Arial"/>
          <w:sz w:val="24"/>
          <w:szCs w:val="24"/>
        </w:rPr>
        <w:t>BBREVIATIONS</w:t>
      </w:r>
    </w:p>
    <w:p w14:paraId="3E68793D" w14:textId="0259119C" w:rsidR="00791C2C" w:rsidRPr="000E0DB5" w:rsidRDefault="00791C2C" w:rsidP="00C541BC">
      <w:pPr>
        <w:spacing w:line="480" w:lineRule="auto"/>
        <w:jc w:val="both"/>
        <w:rPr>
          <w:rFonts w:ascii="Arial" w:eastAsia="TimesNewRomanPSMT" w:hAnsi="Arial" w:cs="Arial"/>
          <w:sz w:val="24"/>
          <w:szCs w:val="24"/>
        </w:rPr>
      </w:pPr>
      <w:r w:rsidRPr="00791C2C">
        <w:rPr>
          <w:rFonts w:ascii="Arial" w:eastAsia="TimesNewRomanPSMT" w:hAnsi="Arial" w:cs="Arial"/>
          <w:sz w:val="24"/>
          <w:szCs w:val="24"/>
        </w:rPr>
        <w:t>AID</w:t>
      </w:r>
      <w:r>
        <w:rPr>
          <w:rFonts w:ascii="Arial" w:eastAsia="TimesNewRomanPSMT" w:hAnsi="Arial" w:cs="Arial"/>
          <w:sz w:val="24"/>
          <w:szCs w:val="24"/>
        </w:rPr>
        <w:t xml:space="preserve">, </w:t>
      </w:r>
      <w:r w:rsidRPr="00791C2C">
        <w:rPr>
          <w:rFonts w:ascii="Arial" w:eastAsia="TimesNewRomanPSMT" w:hAnsi="Arial" w:cs="Arial"/>
          <w:sz w:val="24"/>
          <w:szCs w:val="24"/>
        </w:rPr>
        <w:t>auxin</w:t>
      </w:r>
      <w:r w:rsidR="00034389">
        <w:rPr>
          <w:rFonts w:ascii="Arial" w:eastAsia="TimesNewRomanPSMT" w:hAnsi="Arial" w:cs="Arial"/>
          <w:sz w:val="24"/>
          <w:szCs w:val="24"/>
        </w:rPr>
        <w:t>-</w:t>
      </w:r>
      <w:r w:rsidRPr="00791C2C">
        <w:rPr>
          <w:rFonts w:ascii="Arial" w:eastAsia="TimesNewRomanPSMT" w:hAnsi="Arial" w:cs="Arial"/>
          <w:sz w:val="24"/>
          <w:szCs w:val="24"/>
        </w:rPr>
        <w:t>inducible degron</w:t>
      </w:r>
      <w:r>
        <w:rPr>
          <w:rFonts w:ascii="Arial" w:eastAsia="TimesNewRomanPSMT" w:hAnsi="Arial" w:cs="Arial"/>
          <w:sz w:val="24"/>
          <w:szCs w:val="24"/>
        </w:rPr>
        <w:t xml:space="preserve">; </w:t>
      </w:r>
      <w:r w:rsidRPr="00791C2C">
        <w:rPr>
          <w:rFonts w:ascii="Arial" w:eastAsia="TimesNewRomanPSMT" w:hAnsi="Arial" w:cs="Arial"/>
          <w:sz w:val="24"/>
          <w:szCs w:val="24"/>
        </w:rPr>
        <w:t>BET</w:t>
      </w:r>
      <w:r>
        <w:rPr>
          <w:rFonts w:ascii="Arial" w:eastAsia="TimesNewRomanPSMT" w:hAnsi="Arial" w:cs="Arial"/>
          <w:sz w:val="24"/>
          <w:szCs w:val="24"/>
        </w:rPr>
        <w:t xml:space="preserve">, </w:t>
      </w:r>
      <w:r w:rsidRPr="00791C2C">
        <w:rPr>
          <w:rFonts w:ascii="Arial" w:eastAsia="TimesNewRomanPSMT" w:hAnsi="Arial" w:cs="Arial"/>
          <w:sz w:val="24"/>
          <w:szCs w:val="24"/>
        </w:rPr>
        <w:t>bromodomain and extra terminal</w:t>
      </w:r>
      <w:r>
        <w:rPr>
          <w:rFonts w:ascii="Arial" w:eastAsia="TimesNewRomanPSMT" w:hAnsi="Arial" w:cs="Arial"/>
          <w:sz w:val="24"/>
          <w:szCs w:val="24"/>
        </w:rPr>
        <w:t xml:space="preserve">; </w:t>
      </w:r>
      <w:r w:rsidRPr="00791C2C">
        <w:rPr>
          <w:rFonts w:ascii="Arial" w:eastAsia="TimesNewRomanPSMT" w:hAnsi="Arial" w:cs="Arial"/>
          <w:sz w:val="24"/>
          <w:szCs w:val="24"/>
        </w:rPr>
        <w:t>BRDs</w:t>
      </w:r>
      <w:r>
        <w:rPr>
          <w:rFonts w:ascii="Arial" w:eastAsia="TimesNewRomanPSMT" w:hAnsi="Arial" w:cs="Arial"/>
          <w:sz w:val="24"/>
          <w:szCs w:val="24"/>
        </w:rPr>
        <w:t xml:space="preserve">, </w:t>
      </w:r>
      <w:r w:rsidRPr="00791C2C">
        <w:rPr>
          <w:rFonts w:ascii="Arial" w:eastAsia="TimesNewRomanPSMT" w:hAnsi="Arial" w:cs="Arial"/>
          <w:sz w:val="24"/>
          <w:szCs w:val="24"/>
        </w:rPr>
        <w:t>bromodomain containing proteins</w:t>
      </w:r>
      <w:r>
        <w:rPr>
          <w:rFonts w:ascii="Arial" w:eastAsia="TimesNewRomanPSMT" w:hAnsi="Arial" w:cs="Arial"/>
          <w:sz w:val="24"/>
          <w:szCs w:val="24"/>
        </w:rPr>
        <w:t xml:space="preserve">; </w:t>
      </w:r>
      <w:r w:rsidRPr="00791C2C">
        <w:rPr>
          <w:rFonts w:ascii="Arial" w:eastAsia="TimesNewRomanPSMT" w:hAnsi="Arial" w:cs="Arial"/>
          <w:sz w:val="24"/>
          <w:szCs w:val="24"/>
        </w:rPr>
        <w:t>BTK</w:t>
      </w:r>
      <w:r>
        <w:rPr>
          <w:rFonts w:ascii="Arial" w:eastAsia="TimesNewRomanPSMT" w:hAnsi="Arial" w:cs="Arial"/>
          <w:sz w:val="24"/>
          <w:szCs w:val="24"/>
        </w:rPr>
        <w:t xml:space="preserve">, </w:t>
      </w:r>
      <w:r w:rsidRPr="00791C2C">
        <w:rPr>
          <w:rFonts w:ascii="Arial" w:eastAsia="TimesNewRomanPSMT" w:hAnsi="Arial" w:cs="Arial"/>
          <w:sz w:val="24"/>
          <w:szCs w:val="24"/>
        </w:rPr>
        <w:t>bruton tyrosine kinase</w:t>
      </w:r>
      <w:r>
        <w:rPr>
          <w:rFonts w:ascii="Arial" w:eastAsia="TimesNewRomanPSMT" w:hAnsi="Arial" w:cs="Arial"/>
          <w:sz w:val="24"/>
          <w:szCs w:val="24"/>
        </w:rPr>
        <w:t xml:space="preserve">; </w:t>
      </w:r>
      <w:r w:rsidRPr="00791C2C">
        <w:rPr>
          <w:rFonts w:ascii="Arial" w:eastAsia="TimesNewRomanPSMT" w:hAnsi="Arial" w:cs="Arial"/>
          <w:sz w:val="24"/>
          <w:szCs w:val="24"/>
        </w:rPr>
        <w:t>CRBN</w:t>
      </w:r>
      <w:r>
        <w:rPr>
          <w:rFonts w:ascii="Arial" w:eastAsia="TimesNewRomanPSMT" w:hAnsi="Arial" w:cs="Arial"/>
          <w:sz w:val="24"/>
          <w:szCs w:val="24"/>
        </w:rPr>
        <w:t xml:space="preserve">, </w:t>
      </w:r>
      <w:r w:rsidR="00785E8C">
        <w:rPr>
          <w:rFonts w:ascii="Arial" w:eastAsia="TimesNewRomanPSMT" w:hAnsi="Arial" w:cs="Arial"/>
          <w:sz w:val="24"/>
          <w:szCs w:val="24"/>
        </w:rPr>
        <w:t>c</w:t>
      </w:r>
      <w:r>
        <w:rPr>
          <w:rFonts w:ascii="Arial" w:eastAsia="TimesNewRomanPSMT" w:hAnsi="Arial" w:cs="Arial"/>
          <w:sz w:val="24"/>
          <w:szCs w:val="24"/>
        </w:rPr>
        <w:t xml:space="preserve">ereblon; </w:t>
      </w:r>
      <w:r w:rsidRPr="00791C2C">
        <w:rPr>
          <w:rFonts w:ascii="Arial" w:eastAsia="TimesNewRomanPSMT" w:hAnsi="Arial" w:cs="Arial"/>
          <w:sz w:val="24"/>
          <w:szCs w:val="24"/>
        </w:rPr>
        <w:t>DDB1</w:t>
      </w:r>
      <w:r>
        <w:rPr>
          <w:rFonts w:ascii="Arial" w:eastAsia="TimesNewRomanPSMT" w:hAnsi="Arial" w:cs="Arial"/>
          <w:sz w:val="24"/>
          <w:szCs w:val="24"/>
        </w:rPr>
        <w:t xml:space="preserve">, </w:t>
      </w:r>
      <w:r w:rsidRPr="00791C2C">
        <w:rPr>
          <w:rFonts w:ascii="Arial" w:eastAsia="TimesNewRomanPSMT" w:hAnsi="Arial" w:cs="Arial"/>
          <w:sz w:val="24"/>
          <w:szCs w:val="24"/>
        </w:rPr>
        <w:t>DNA damage-binding protein 1</w:t>
      </w:r>
      <w:r>
        <w:rPr>
          <w:rFonts w:ascii="Arial" w:eastAsia="TimesNewRomanPSMT" w:hAnsi="Arial" w:cs="Arial"/>
          <w:sz w:val="24"/>
          <w:szCs w:val="24"/>
        </w:rPr>
        <w:t xml:space="preserve">; </w:t>
      </w:r>
      <w:r w:rsidRPr="00791C2C">
        <w:rPr>
          <w:rFonts w:ascii="Arial" w:eastAsia="TimesNewRomanPSMT" w:hAnsi="Arial" w:cs="Arial"/>
          <w:sz w:val="24"/>
          <w:szCs w:val="24"/>
        </w:rPr>
        <w:t>DEACM</w:t>
      </w:r>
      <w:r>
        <w:rPr>
          <w:rFonts w:ascii="Arial" w:eastAsia="TimesNewRomanPSMT" w:hAnsi="Arial" w:cs="Arial"/>
          <w:sz w:val="24"/>
          <w:szCs w:val="24"/>
        </w:rPr>
        <w:t xml:space="preserve">, </w:t>
      </w:r>
      <w:r w:rsidRPr="00791C2C">
        <w:rPr>
          <w:rFonts w:ascii="Arial" w:eastAsia="TimesNewRomanPSMT" w:hAnsi="Arial" w:cs="Arial"/>
          <w:sz w:val="24"/>
          <w:szCs w:val="24"/>
        </w:rPr>
        <w:t>diethylamino coumarin</w:t>
      </w:r>
      <w:r>
        <w:rPr>
          <w:rFonts w:ascii="Arial" w:eastAsia="TimesNewRomanPSMT" w:hAnsi="Arial" w:cs="Arial"/>
          <w:sz w:val="24"/>
          <w:szCs w:val="24"/>
        </w:rPr>
        <w:t xml:space="preserve">; </w:t>
      </w:r>
      <w:r w:rsidRPr="00791C2C">
        <w:rPr>
          <w:rFonts w:ascii="Arial" w:eastAsia="TimesNewRomanPSMT" w:hAnsi="Arial" w:cs="Arial"/>
          <w:sz w:val="24"/>
          <w:szCs w:val="24"/>
        </w:rPr>
        <w:t>DIPEA</w:t>
      </w:r>
      <w:r>
        <w:rPr>
          <w:rFonts w:ascii="Arial" w:eastAsia="TimesNewRomanPSMT" w:hAnsi="Arial" w:cs="Arial"/>
          <w:sz w:val="24"/>
          <w:szCs w:val="24"/>
        </w:rPr>
        <w:t xml:space="preserve">, </w:t>
      </w:r>
      <w:r w:rsidRPr="00791C2C">
        <w:rPr>
          <w:rFonts w:ascii="Arial" w:eastAsia="TimesNewRomanPSMT" w:hAnsi="Arial" w:cs="Arial"/>
          <w:sz w:val="24"/>
          <w:szCs w:val="24"/>
        </w:rPr>
        <w:t>N,N-Diisopropylethylamine</w:t>
      </w:r>
      <w:r>
        <w:rPr>
          <w:rFonts w:ascii="Arial" w:eastAsia="TimesNewRomanPSMT" w:hAnsi="Arial" w:cs="Arial"/>
          <w:sz w:val="24"/>
          <w:szCs w:val="24"/>
        </w:rPr>
        <w:t xml:space="preserve">; </w:t>
      </w:r>
      <w:r w:rsidRPr="00791C2C">
        <w:rPr>
          <w:rFonts w:ascii="Arial" w:eastAsia="TimesNewRomanPSMT" w:hAnsi="Arial" w:cs="Arial"/>
          <w:sz w:val="24"/>
          <w:szCs w:val="24"/>
        </w:rPr>
        <w:t>DMNB</w:t>
      </w:r>
      <w:r>
        <w:rPr>
          <w:rFonts w:ascii="Arial" w:eastAsia="TimesNewRomanPSMT" w:hAnsi="Arial" w:cs="Arial"/>
          <w:sz w:val="24"/>
          <w:szCs w:val="24"/>
        </w:rPr>
        <w:t xml:space="preserve">, </w:t>
      </w:r>
      <w:r w:rsidRPr="00791C2C">
        <w:rPr>
          <w:rFonts w:ascii="Arial" w:eastAsia="TimesNewRomanPSMT" w:hAnsi="Arial" w:cs="Arial"/>
          <w:sz w:val="24"/>
          <w:szCs w:val="24"/>
        </w:rPr>
        <w:t>4,5-dimethoxy-2-nitrobenzyl</w:t>
      </w:r>
      <w:r>
        <w:rPr>
          <w:rFonts w:ascii="Arial" w:eastAsia="TimesNewRomanPSMT" w:hAnsi="Arial" w:cs="Arial"/>
          <w:sz w:val="24"/>
          <w:szCs w:val="24"/>
        </w:rPr>
        <w:t xml:space="preserve">; </w:t>
      </w:r>
      <w:r w:rsidRPr="00791C2C">
        <w:rPr>
          <w:rFonts w:ascii="Arial" w:eastAsia="TimesNewRomanPSMT" w:hAnsi="Arial" w:cs="Arial"/>
          <w:sz w:val="24"/>
          <w:szCs w:val="24"/>
        </w:rPr>
        <w:t>EloB</w:t>
      </w:r>
      <w:r>
        <w:rPr>
          <w:rFonts w:ascii="Arial" w:eastAsia="TimesNewRomanPSMT" w:hAnsi="Arial" w:cs="Arial"/>
          <w:sz w:val="24"/>
          <w:szCs w:val="24"/>
        </w:rPr>
        <w:t xml:space="preserve">, </w:t>
      </w:r>
      <w:r w:rsidRPr="00791C2C">
        <w:rPr>
          <w:rFonts w:ascii="Arial" w:eastAsia="TimesNewRomanPSMT" w:hAnsi="Arial" w:cs="Arial"/>
          <w:sz w:val="24"/>
          <w:szCs w:val="24"/>
        </w:rPr>
        <w:t>Elongin-B</w:t>
      </w:r>
      <w:r w:rsidR="00E35D7D">
        <w:rPr>
          <w:rFonts w:ascii="Arial" w:eastAsia="TimesNewRomanPSMT" w:hAnsi="Arial" w:cs="Arial"/>
          <w:sz w:val="24"/>
          <w:szCs w:val="24"/>
        </w:rPr>
        <w:t xml:space="preserve">; </w:t>
      </w:r>
      <w:r w:rsidRPr="00791C2C">
        <w:rPr>
          <w:rFonts w:ascii="Arial" w:eastAsia="TimesNewRomanPSMT" w:hAnsi="Arial" w:cs="Arial"/>
          <w:sz w:val="24"/>
          <w:szCs w:val="24"/>
        </w:rPr>
        <w:t>EloC</w:t>
      </w:r>
      <w:r w:rsidR="00E35D7D">
        <w:rPr>
          <w:rFonts w:ascii="Arial" w:eastAsia="TimesNewRomanPSMT" w:hAnsi="Arial" w:cs="Arial"/>
          <w:sz w:val="24"/>
          <w:szCs w:val="24"/>
        </w:rPr>
        <w:t xml:space="preserve">, </w:t>
      </w:r>
      <w:r w:rsidRPr="00791C2C">
        <w:rPr>
          <w:rFonts w:ascii="Arial" w:eastAsia="TimesNewRomanPSMT" w:hAnsi="Arial" w:cs="Arial"/>
          <w:sz w:val="24"/>
          <w:szCs w:val="24"/>
        </w:rPr>
        <w:t>Elongin-C</w:t>
      </w:r>
      <w:r w:rsidR="00E35D7D">
        <w:rPr>
          <w:rFonts w:ascii="Arial" w:eastAsia="TimesNewRomanPSMT" w:hAnsi="Arial" w:cs="Arial"/>
          <w:sz w:val="24"/>
          <w:szCs w:val="24"/>
        </w:rPr>
        <w:t xml:space="preserve">; </w:t>
      </w:r>
      <w:r w:rsidRPr="00791C2C">
        <w:rPr>
          <w:rFonts w:ascii="Arial" w:eastAsia="TimesNewRomanPSMT" w:hAnsi="Arial" w:cs="Arial"/>
          <w:sz w:val="24"/>
          <w:szCs w:val="24"/>
        </w:rPr>
        <w:t>FAK</w:t>
      </w:r>
      <w:r w:rsidR="00E35D7D">
        <w:rPr>
          <w:rFonts w:ascii="Arial" w:eastAsia="TimesNewRomanPSMT" w:hAnsi="Arial" w:cs="Arial"/>
          <w:sz w:val="24"/>
          <w:szCs w:val="24"/>
        </w:rPr>
        <w:t>, f</w:t>
      </w:r>
      <w:r w:rsidRPr="00791C2C">
        <w:rPr>
          <w:rFonts w:ascii="Arial" w:eastAsia="TimesNewRomanPSMT" w:hAnsi="Arial" w:cs="Arial"/>
          <w:sz w:val="24"/>
          <w:szCs w:val="24"/>
        </w:rPr>
        <w:t>ocal adhesion kinase</w:t>
      </w:r>
      <w:r w:rsidR="00E35D7D">
        <w:rPr>
          <w:rFonts w:ascii="Arial" w:eastAsia="TimesNewRomanPSMT" w:hAnsi="Arial" w:cs="Arial"/>
          <w:sz w:val="24"/>
          <w:szCs w:val="24"/>
        </w:rPr>
        <w:t xml:space="preserve">; </w:t>
      </w:r>
      <w:r w:rsidRPr="00791C2C">
        <w:rPr>
          <w:rFonts w:ascii="Arial" w:eastAsia="TimesNewRomanPSMT" w:hAnsi="Arial" w:cs="Arial"/>
          <w:sz w:val="24"/>
          <w:szCs w:val="24"/>
        </w:rPr>
        <w:t>IKZF3</w:t>
      </w:r>
      <w:r w:rsidR="00E35D7D">
        <w:rPr>
          <w:rFonts w:ascii="Arial" w:eastAsia="TimesNewRomanPSMT" w:hAnsi="Arial" w:cs="Arial"/>
          <w:sz w:val="24"/>
          <w:szCs w:val="24"/>
        </w:rPr>
        <w:t xml:space="preserve">, </w:t>
      </w:r>
      <w:r w:rsidRPr="00791C2C">
        <w:rPr>
          <w:rFonts w:ascii="Arial" w:eastAsia="TimesNewRomanPSMT" w:hAnsi="Arial" w:cs="Arial"/>
          <w:sz w:val="24"/>
          <w:szCs w:val="24"/>
        </w:rPr>
        <w:t>zinc finger protein Aiolos</w:t>
      </w:r>
      <w:r w:rsidR="00E35D7D">
        <w:rPr>
          <w:rFonts w:ascii="Arial" w:eastAsia="TimesNewRomanPSMT" w:hAnsi="Arial" w:cs="Arial"/>
          <w:sz w:val="24"/>
          <w:szCs w:val="24"/>
        </w:rPr>
        <w:t xml:space="preserve">; </w:t>
      </w:r>
      <w:r w:rsidRPr="00791C2C">
        <w:rPr>
          <w:rFonts w:ascii="Arial" w:eastAsia="TimesNewRomanPSMT" w:hAnsi="Arial" w:cs="Arial"/>
          <w:sz w:val="24"/>
          <w:szCs w:val="24"/>
        </w:rPr>
        <w:t>LED</w:t>
      </w:r>
      <w:r w:rsidR="00E35D7D">
        <w:rPr>
          <w:rFonts w:ascii="Arial" w:eastAsia="TimesNewRomanPSMT" w:hAnsi="Arial" w:cs="Arial"/>
          <w:sz w:val="24"/>
          <w:szCs w:val="24"/>
        </w:rPr>
        <w:t xml:space="preserve">, </w:t>
      </w:r>
      <w:r w:rsidRPr="00791C2C">
        <w:rPr>
          <w:rFonts w:ascii="Arial" w:eastAsia="TimesNewRomanPSMT" w:hAnsi="Arial" w:cs="Arial"/>
          <w:sz w:val="24"/>
          <w:szCs w:val="24"/>
        </w:rPr>
        <w:t>light-emitting diode</w:t>
      </w:r>
      <w:r w:rsidR="00E35D7D">
        <w:rPr>
          <w:rFonts w:ascii="Arial" w:eastAsia="TimesNewRomanPSMT" w:hAnsi="Arial" w:cs="Arial"/>
          <w:sz w:val="24"/>
          <w:szCs w:val="24"/>
        </w:rPr>
        <w:t xml:space="preserve">; </w:t>
      </w:r>
      <w:r w:rsidRPr="00791C2C">
        <w:rPr>
          <w:rFonts w:ascii="Arial" w:eastAsia="TimesNewRomanPSMT" w:hAnsi="Arial" w:cs="Arial"/>
          <w:sz w:val="24"/>
          <w:szCs w:val="24"/>
        </w:rPr>
        <w:t>NaHMDS</w:t>
      </w:r>
      <w:r w:rsidR="00E35D7D">
        <w:rPr>
          <w:rFonts w:ascii="Arial" w:eastAsia="TimesNewRomanPSMT" w:hAnsi="Arial" w:cs="Arial"/>
          <w:sz w:val="24"/>
          <w:szCs w:val="24"/>
        </w:rPr>
        <w:t>, s</w:t>
      </w:r>
      <w:r w:rsidRPr="00791C2C">
        <w:rPr>
          <w:rFonts w:ascii="Arial" w:eastAsia="TimesNewRomanPSMT" w:hAnsi="Arial" w:cs="Arial"/>
          <w:sz w:val="24"/>
          <w:szCs w:val="24"/>
        </w:rPr>
        <w:t>odium bis(trimethylsilyl)amide</w:t>
      </w:r>
      <w:r w:rsidR="00E35D7D">
        <w:rPr>
          <w:rFonts w:ascii="Arial" w:eastAsia="TimesNewRomanPSMT" w:hAnsi="Arial" w:cs="Arial"/>
          <w:sz w:val="24"/>
          <w:szCs w:val="24"/>
        </w:rPr>
        <w:t xml:space="preserve">; </w:t>
      </w:r>
      <w:r w:rsidRPr="00791C2C">
        <w:rPr>
          <w:rFonts w:ascii="Arial" w:eastAsia="TimesNewRomanPSMT" w:hAnsi="Arial" w:cs="Arial"/>
          <w:sz w:val="24"/>
          <w:szCs w:val="24"/>
        </w:rPr>
        <w:t>NPOM</w:t>
      </w:r>
      <w:r w:rsidR="00E35D7D">
        <w:rPr>
          <w:rFonts w:ascii="Arial" w:eastAsia="TimesNewRomanPSMT" w:hAnsi="Arial" w:cs="Arial"/>
          <w:sz w:val="24"/>
          <w:szCs w:val="24"/>
        </w:rPr>
        <w:t xml:space="preserve">, </w:t>
      </w:r>
      <w:r w:rsidRPr="00791C2C">
        <w:rPr>
          <w:rFonts w:ascii="Arial" w:eastAsia="TimesNewRomanPSMT" w:hAnsi="Arial" w:cs="Arial"/>
          <w:sz w:val="24"/>
          <w:szCs w:val="24"/>
        </w:rPr>
        <w:t>6nitropiperonyloxymethyl</w:t>
      </w:r>
      <w:r w:rsidR="00E35D7D">
        <w:rPr>
          <w:rFonts w:ascii="Arial" w:eastAsia="TimesNewRomanPSMT" w:hAnsi="Arial" w:cs="Arial"/>
          <w:sz w:val="24"/>
          <w:szCs w:val="24"/>
        </w:rPr>
        <w:t>;</w:t>
      </w:r>
      <w:r w:rsidR="00C9235B">
        <w:rPr>
          <w:rFonts w:ascii="Arial" w:eastAsia="TimesNewRomanPSMT" w:hAnsi="Arial" w:cs="Arial"/>
          <w:sz w:val="24"/>
          <w:szCs w:val="24"/>
        </w:rPr>
        <w:t xml:space="preserve"> </w:t>
      </w:r>
      <w:r w:rsidRPr="00791C2C">
        <w:rPr>
          <w:rFonts w:ascii="Arial" w:eastAsia="TimesNewRomanPSMT" w:hAnsi="Arial" w:cs="Arial"/>
          <w:sz w:val="24"/>
          <w:szCs w:val="24"/>
        </w:rPr>
        <w:t>POI</w:t>
      </w:r>
      <w:r w:rsidR="00E35D7D">
        <w:rPr>
          <w:rFonts w:ascii="Arial" w:eastAsia="TimesNewRomanPSMT" w:hAnsi="Arial" w:cs="Arial"/>
          <w:sz w:val="24"/>
          <w:szCs w:val="24"/>
        </w:rPr>
        <w:t xml:space="preserve">, </w:t>
      </w:r>
      <w:r w:rsidRPr="00791C2C">
        <w:rPr>
          <w:rFonts w:ascii="Arial" w:eastAsia="TimesNewRomanPSMT" w:hAnsi="Arial" w:cs="Arial"/>
          <w:sz w:val="24"/>
          <w:szCs w:val="24"/>
        </w:rPr>
        <w:t>protein of interest</w:t>
      </w:r>
      <w:r w:rsidR="00E35D7D">
        <w:rPr>
          <w:rFonts w:ascii="Arial" w:eastAsia="TimesNewRomanPSMT" w:hAnsi="Arial" w:cs="Arial"/>
          <w:sz w:val="24"/>
          <w:szCs w:val="24"/>
        </w:rPr>
        <w:t xml:space="preserve">; </w:t>
      </w:r>
      <w:r w:rsidRPr="00791C2C">
        <w:rPr>
          <w:rFonts w:ascii="Arial" w:eastAsia="TimesNewRomanPSMT" w:hAnsi="Arial" w:cs="Arial"/>
          <w:sz w:val="24"/>
          <w:szCs w:val="24"/>
        </w:rPr>
        <w:t>PROTAC</w:t>
      </w:r>
      <w:r w:rsidR="00E35D7D">
        <w:rPr>
          <w:rFonts w:ascii="Arial" w:eastAsia="TimesNewRomanPSMT" w:hAnsi="Arial" w:cs="Arial"/>
          <w:sz w:val="24"/>
          <w:szCs w:val="24"/>
        </w:rPr>
        <w:t xml:space="preserve">, </w:t>
      </w:r>
      <w:r w:rsidRPr="00791C2C">
        <w:rPr>
          <w:rFonts w:ascii="Arial" w:eastAsia="TimesNewRomanPSMT" w:hAnsi="Arial" w:cs="Arial"/>
          <w:sz w:val="24"/>
          <w:szCs w:val="24"/>
        </w:rPr>
        <w:t>proteolysis targeting chimera</w:t>
      </w:r>
      <w:r w:rsidR="00E35D7D">
        <w:rPr>
          <w:rFonts w:ascii="Arial" w:eastAsia="TimesNewRomanPSMT" w:hAnsi="Arial" w:cs="Arial"/>
          <w:sz w:val="24"/>
          <w:szCs w:val="24"/>
        </w:rPr>
        <w:t xml:space="preserve">; </w:t>
      </w:r>
      <w:r w:rsidRPr="00791C2C">
        <w:rPr>
          <w:rFonts w:ascii="Arial" w:eastAsia="TimesNewRomanPSMT" w:hAnsi="Arial" w:cs="Arial"/>
          <w:sz w:val="24"/>
          <w:szCs w:val="24"/>
        </w:rPr>
        <w:t>PSS</w:t>
      </w:r>
      <w:r w:rsidR="00E35D7D">
        <w:rPr>
          <w:rFonts w:ascii="Arial" w:eastAsia="TimesNewRomanPSMT" w:hAnsi="Arial" w:cs="Arial"/>
          <w:sz w:val="24"/>
          <w:szCs w:val="24"/>
        </w:rPr>
        <w:t xml:space="preserve">, </w:t>
      </w:r>
      <w:r w:rsidRPr="00791C2C">
        <w:rPr>
          <w:rFonts w:ascii="Arial" w:eastAsia="TimesNewRomanPSMT" w:hAnsi="Arial" w:cs="Arial"/>
          <w:sz w:val="24"/>
          <w:szCs w:val="24"/>
        </w:rPr>
        <w:t>photostationary state</w:t>
      </w:r>
      <w:r w:rsidR="00E35D7D">
        <w:rPr>
          <w:rFonts w:ascii="Arial" w:eastAsia="TimesNewRomanPSMT" w:hAnsi="Arial" w:cs="Arial"/>
          <w:sz w:val="24"/>
          <w:szCs w:val="24"/>
        </w:rPr>
        <w:t xml:space="preserve">; </w:t>
      </w:r>
      <w:r w:rsidRPr="00791C2C">
        <w:rPr>
          <w:rFonts w:ascii="Arial" w:eastAsia="TimesNewRomanPSMT" w:hAnsi="Arial" w:cs="Arial"/>
          <w:sz w:val="24"/>
          <w:szCs w:val="24"/>
        </w:rPr>
        <w:t>RNAi</w:t>
      </w:r>
      <w:r w:rsidR="00E35D7D">
        <w:rPr>
          <w:rFonts w:ascii="Arial" w:eastAsia="TimesNewRomanPSMT" w:hAnsi="Arial" w:cs="Arial"/>
          <w:sz w:val="24"/>
          <w:szCs w:val="24"/>
        </w:rPr>
        <w:t xml:space="preserve">, </w:t>
      </w:r>
      <w:r w:rsidR="00785E8C">
        <w:rPr>
          <w:rFonts w:ascii="Arial" w:eastAsia="TimesNewRomanPSMT" w:hAnsi="Arial" w:cs="Arial"/>
          <w:sz w:val="24"/>
          <w:szCs w:val="24"/>
        </w:rPr>
        <w:t>ribonucleic acid</w:t>
      </w:r>
      <w:r w:rsidRPr="00791C2C">
        <w:rPr>
          <w:rFonts w:ascii="Arial" w:eastAsia="TimesNewRomanPSMT" w:hAnsi="Arial" w:cs="Arial"/>
          <w:sz w:val="24"/>
          <w:szCs w:val="24"/>
        </w:rPr>
        <w:t xml:space="preserve"> interference</w:t>
      </w:r>
      <w:r w:rsidR="00C541BC">
        <w:rPr>
          <w:rFonts w:ascii="Arial" w:eastAsia="TimesNewRomanPSMT" w:hAnsi="Arial" w:cs="Arial"/>
          <w:sz w:val="24"/>
          <w:szCs w:val="24"/>
        </w:rPr>
        <w:t xml:space="preserve">; </w:t>
      </w:r>
      <w:r w:rsidRPr="00791C2C">
        <w:rPr>
          <w:rFonts w:ascii="Arial" w:eastAsia="TimesNewRomanPSMT" w:hAnsi="Arial" w:cs="Arial"/>
          <w:sz w:val="24"/>
          <w:szCs w:val="24"/>
        </w:rPr>
        <w:t>RTK</w:t>
      </w:r>
      <w:r w:rsidR="00785E8C">
        <w:rPr>
          <w:rFonts w:ascii="Arial" w:eastAsia="TimesNewRomanPSMT" w:hAnsi="Arial" w:cs="Arial"/>
          <w:sz w:val="24"/>
          <w:szCs w:val="24"/>
        </w:rPr>
        <w:t xml:space="preserve">, </w:t>
      </w:r>
      <w:r w:rsidRPr="00791C2C">
        <w:rPr>
          <w:rFonts w:ascii="Arial" w:eastAsia="TimesNewRomanPSMT" w:hAnsi="Arial" w:cs="Arial"/>
          <w:sz w:val="24"/>
          <w:szCs w:val="24"/>
        </w:rPr>
        <w:t>receptor tyrosine kinase</w:t>
      </w:r>
      <w:r w:rsidR="00C541BC">
        <w:rPr>
          <w:rFonts w:ascii="Arial" w:eastAsia="TimesNewRomanPSMT" w:hAnsi="Arial" w:cs="Arial"/>
          <w:sz w:val="24"/>
          <w:szCs w:val="24"/>
        </w:rPr>
        <w:t xml:space="preserve">; </w:t>
      </w:r>
      <w:r w:rsidRPr="00791C2C">
        <w:rPr>
          <w:rFonts w:ascii="Arial" w:eastAsia="TimesNewRomanPSMT" w:hAnsi="Arial" w:cs="Arial"/>
          <w:sz w:val="24"/>
          <w:szCs w:val="24"/>
        </w:rPr>
        <w:t>TBK</w:t>
      </w:r>
      <w:r w:rsidR="00785E8C">
        <w:rPr>
          <w:rFonts w:ascii="Arial" w:eastAsia="TimesNewRomanPSMT" w:hAnsi="Arial" w:cs="Arial"/>
          <w:sz w:val="24"/>
          <w:szCs w:val="24"/>
        </w:rPr>
        <w:t xml:space="preserve">, </w:t>
      </w:r>
      <w:r w:rsidRPr="00791C2C">
        <w:rPr>
          <w:rFonts w:ascii="Arial" w:eastAsia="TimesNewRomanPSMT" w:hAnsi="Arial" w:cs="Arial"/>
          <w:sz w:val="24"/>
          <w:szCs w:val="24"/>
        </w:rPr>
        <w:t>TANK-binding kinase</w:t>
      </w:r>
      <w:r w:rsidR="00C541BC">
        <w:rPr>
          <w:rFonts w:ascii="Arial" w:eastAsia="TimesNewRomanPSMT" w:hAnsi="Arial" w:cs="Arial"/>
          <w:sz w:val="24"/>
          <w:szCs w:val="24"/>
        </w:rPr>
        <w:t xml:space="preserve">; </w:t>
      </w:r>
      <w:r w:rsidRPr="00791C2C">
        <w:rPr>
          <w:rFonts w:ascii="Arial" w:eastAsia="TimesNewRomanPSMT" w:hAnsi="Arial" w:cs="Arial"/>
          <w:sz w:val="24"/>
          <w:szCs w:val="24"/>
        </w:rPr>
        <w:t>TPD</w:t>
      </w:r>
      <w:r w:rsidR="00C541BC">
        <w:rPr>
          <w:rFonts w:ascii="Arial" w:eastAsia="TimesNewRomanPSMT" w:hAnsi="Arial" w:cs="Arial"/>
          <w:sz w:val="24"/>
          <w:szCs w:val="24"/>
        </w:rPr>
        <w:t xml:space="preserve">, </w:t>
      </w:r>
      <w:r w:rsidRPr="00791C2C">
        <w:rPr>
          <w:rFonts w:ascii="Arial" w:eastAsia="TimesNewRomanPSMT" w:hAnsi="Arial" w:cs="Arial"/>
          <w:sz w:val="24"/>
          <w:szCs w:val="24"/>
        </w:rPr>
        <w:t>targeted protein degradation</w:t>
      </w:r>
      <w:r w:rsidR="00C541BC">
        <w:rPr>
          <w:rFonts w:ascii="Arial" w:eastAsia="TimesNewRomanPSMT" w:hAnsi="Arial" w:cs="Arial"/>
          <w:sz w:val="24"/>
          <w:szCs w:val="24"/>
        </w:rPr>
        <w:t xml:space="preserve">; </w:t>
      </w:r>
      <w:r w:rsidR="000244CE">
        <w:rPr>
          <w:rFonts w:ascii="Arial" w:eastAsia="TimesNewRomanPSMT" w:hAnsi="Arial" w:cs="Arial"/>
          <w:sz w:val="24"/>
          <w:szCs w:val="24"/>
        </w:rPr>
        <w:t xml:space="preserve">Ub, ubiquitin; </w:t>
      </w:r>
      <w:r w:rsidRPr="00791C2C">
        <w:rPr>
          <w:rFonts w:ascii="Arial" w:eastAsia="TimesNewRomanPSMT" w:hAnsi="Arial" w:cs="Arial"/>
          <w:sz w:val="24"/>
          <w:szCs w:val="24"/>
        </w:rPr>
        <w:t>UPS</w:t>
      </w:r>
      <w:r w:rsidR="00C541BC">
        <w:rPr>
          <w:rFonts w:ascii="Arial" w:eastAsia="TimesNewRomanPSMT" w:hAnsi="Arial" w:cs="Arial"/>
          <w:sz w:val="24"/>
          <w:szCs w:val="24"/>
        </w:rPr>
        <w:t xml:space="preserve">, </w:t>
      </w:r>
      <w:r w:rsidRPr="00791C2C">
        <w:rPr>
          <w:rFonts w:ascii="Arial" w:eastAsia="TimesNewRomanPSMT" w:hAnsi="Arial" w:cs="Arial"/>
          <w:sz w:val="24"/>
          <w:szCs w:val="24"/>
        </w:rPr>
        <w:t>ubiquitin-proteasome system</w:t>
      </w:r>
      <w:r w:rsidR="00C541BC">
        <w:rPr>
          <w:rFonts w:ascii="Arial" w:eastAsia="TimesNewRomanPSMT" w:hAnsi="Arial" w:cs="Arial"/>
          <w:sz w:val="24"/>
          <w:szCs w:val="24"/>
        </w:rPr>
        <w:t xml:space="preserve">; </w:t>
      </w:r>
      <w:r w:rsidRPr="00791C2C">
        <w:rPr>
          <w:rFonts w:ascii="Arial" w:eastAsia="TimesNewRomanPSMT" w:hAnsi="Arial" w:cs="Arial"/>
          <w:sz w:val="24"/>
          <w:szCs w:val="24"/>
        </w:rPr>
        <w:t>VHL</w:t>
      </w:r>
      <w:r w:rsidR="00C541BC">
        <w:rPr>
          <w:rFonts w:ascii="Arial" w:eastAsia="TimesNewRomanPSMT" w:hAnsi="Arial" w:cs="Arial"/>
          <w:sz w:val="24"/>
          <w:szCs w:val="24"/>
        </w:rPr>
        <w:t xml:space="preserve">, </w:t>
      </w:r>
      <w:r w:rsidRPr="00791C2C">
        <w:rPr>
          <w:rFonts w:ascii="Arial" w:eastAsia="TimesNewRomanPSMT" w:hAnsi="Arial" w:cs="Arial"/>
          <w:sz w:val="24"/>
          <w:szCs w:val="24"/>
        </w:rPr>
        <w:t>von Hippel Lindau</w:t>
      </w:r>
    </w:p>
    <w:p w14:paraId="45792F43" w14:textId="146003CA" w:rsidR="00566732" w:rsidRPr="000E0DB5" w:rsidRDefault="007670AD" w:rsidP="007670AD">
      <w:pPr>
        <w:tabs>
          <w:tab w:val="left" w:pos="7260"/>
        </w:tabs>
        <w:rPr>
          <w:rFonts w:ascii="Arial" w:eastAsia="TimesNewRomanPSMT" w:hAnsi="Arial" w:cs="Arial"/>
          <w:sz w:val="24"/>
          <w:szCs w:val="24"/>
        </w:rPr>
      </w:pPr>
      <w:r>
        <w:rPr>
          <w:rFonts w:ascii="Arial" w:eastAsia="TimesNewRomanPSMT" w:hAnsi="Arial" w:cs="Arial"/>
          <w:sz w:val="24"/>
          <w:szCs w:val="24"/>
        </w:rPr>
        <w:tab/>
      </w:r>
    </w:p>
    <w:p w14:paraId="37ADC14E" w14:textId="41202558" w:rsidR="00375189" w:rsidRPr="000E0DB5" w:rsidRDefault="008906F6" w:rsidP="00375189">
      <w:pPr>
        <w:rPr>
          <w:rFonts w:ascii="Arial" w:eastAsia="TimesNewRomanPSMT" w:hAnsi="Arial" w:cs="Arial"/>
          <w:sz w:val="24"/>
          <w:szCs w:val="24"/>
        </w:rPr>
      </w:pPr>
      <w:r w:rsidRPr="000E0DB5">
        <w:rPr>
          <w:rFonts w:ascii="Arial" w:eastAsia="TimesNewRomanPSMT" w:hAnsi="Arial" w:cs="Arial"/>
          <w:sz w:val="24"/>
          <w:szCs w:val="24"/>
        </w:rPr>
        <w:t>REFERENCES</w:t>
      </w:r>
    </w:p>
    <w:p w14:paraId="40B5E81F" w14:textId="170B0AB5" w:rsidR="005D6924" w:rsidRPr="00335870" w:rsidRDefault="00566732"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eastAsia="TimesNewRomanPSMT" w:hAnsi="Arial" w:cs="Arial"/>
          <w:sz w:val="24"/>
          <w:szCs w:val="24"/>
        </w:rPr>
        <w:fldChar w:fldCharType="begin" w:fldLock="1"/>
      </w:r>
      <w:r w:rsidRPr="00335870">
        <w:rPr>
          <w:rFonts w:ascii="Arial" w:eastAsia="TimesNewRomanPSMT" w:hAnsi="Arial" w:cs="Arial"/>
          <w:sz w:val="24"/>
          <w:szCs w:val="24"/>
        </w:rPr>
        <w:instrText xml:space="preserve">ADDIN Mendeley Bibliography CSL_BIBLIOGRAPHY </w:instrText>
      </w:r>
      <w:r w:rsidRPr="00335870">
        <w:rPr>
          <w:rFonts w:ascii="Arial" w:eastAsia="TimesNewRomanPSMT" w:hAnsi="Arial" w:cs="Arial"/>
          <w:sz w:val="24"/>
          <w:szCs w:val="24"/>
        </w:rPr>
        <w:fldChar w:fldCharType="separate"/>
      </w:r>
      <w:r w:rsidR="005D6924" w:rsidRPr="00335870">
        <w:rPr>
          <w:rFonts w:ascii="Arial" w:hAnsi="Arial" w:cs="Arial"/>
          <w:noProof/>
          <w:sz w:val="24"/>
          <w:szCs w:val="24"/>
        </w:rPr>
        <w:t xml:space="preserve">(1) </w:t>
      </w:r>
      <w:r w:rsidR="005D6924" w:rsidRPr="00335870">
        <w:rPr>
          <w:rFonts w:ascii="Arial" w:hAnsi="Arial" w:cs="Arial"/>
          <w:noProof/>
          <w:sz w:val="24"/>
          <w:szCs w:val="24"/>
        </w:rPr>
        <w:tab/>
        <w:t xml:space="preserve">Alber, A. B.; Suter, D. M. Dynamics of Protein Synthesis and Degradation through the Cell Cycle. </w:t>
      </w:r>
      <w:r w:rsidR="005D6924" w:rsidRPr="00335870">
        <w:rPr>
          <w:rFonts w:ascii="Arial" w:hAnsi="Arial" w:cs="Arial"/>
          <w:i/>
          <w:iCs/>
          <w:noProof/>
          <w:sz w:val="24"/>
          <w:szCs w:val="24"/>
        </w:rPr>
        <w:t>Cell Cycle</w:t>
      </w:r>
      <w:r w:rsidR="005D6924" w:rsidRPr="00335870">
        <w:rPr>
          <w:rFonts w:ascii="Arial" w:hAnsi="Arial" w:cs="Arial"/>
          <w:noProof/>
          <w:sz w:val="24"/>
          <w:szCs w:val="24"/>
        </w:rPr>
        <w:t xml:space="preserve"> </w:t>
      </w:r>
      <w:r w:rsidR="005D6924" w:rsidRPr="00335870">
        <w:rPr>
          <w:rFonts w:ascii="Arial" w:hAnsi="Arial" w:cs="Arial"/>
          <w:b/>
          <w:bCs/>
          <w:noProof/>
          <w:sz w:val="24"/>
          <w:szCs w:val="24"/>
        </w:rPr>
        <w:t>2019</w:t>
      </w:r>
      <w:r w:rsidR="005D6924" w:rsidRPr="00335870">
        <w:rPr>
          <w:rFonts w:ascii="Arial" w:hAnsi="Arial" w:cs="Arial"/>
          <w:noProof/>
          <w:sz w:val="24"/>
          <w:szCs w:val="24"/>
        </w:rPr>
        <w:t xml:space="preserve">, </w:t>
      </w:r>
      <w:r w:rsidR="005D6924" w:rsidRPr="00335870">
        <w:rPr>
          <w:rFonts w:ascii="Arial" w:hAnsi="Arial" w:cs="Arial"/>
          <w:i/>
          <w:iCs/>
          <w:noProof/>
          <w:sz w:val="24"/>
          <w:szCs w:val="24"/>
        </w:rPr>
        <w:t>18</w:t>
      </w:r>
      <w:r w:rsidR="005D6924" w:rsidRPr="00335870">
        <w:rPr>
          <w:rFonts w:ascii="Arial" w:hAnsi="Arial" w:cs="Arial"/>
          <w:noProof/>
          <w:sz w:val="24"/>
          <w:szCs w:val="24"/>
        </w:rPr>
        <w:t xml:space="preserve"> (8), 784–794. </w:t>
      </w:r>
    </w:p>
    <w:p w14:paraId="1D96CE25" w14:textId="58E0FF0D"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(2) </w:t>
      </w:r>
      <w:r w:rsidRPr="00335870">
        <w:rPr>
          <w:rFonts w:ascii="Arial" w:hAnsi="Arial" w:cs="Arial"/>
          <w:noProof/>
          <w:sz w:val="24"/>
          <w:szCs w:val="24"/>
        </w:rPr>
        <w:tab/>
        <w:t>Hershko, A.; Ciechanover, A. T</w:t>
      </w:r>
      <w:r w:rsidR="00D12D81">
        <w:rPr>
          <w:rFonts w:ascii="Arial" w:hAnsi="Arial" w:cs="Arial"/>
          <w:noProof/>
          <w:sz w:val="24"/>
          <w:szCs w:val="24"/>
        </w:rPr>
        <w:t>he</w:t>
      </w:r>
      <w:r w:rsidRPr="00335870">
        <w:rPr>
          <w:rFonts w:ascii="Arial" w:hAnsi="Arial" w:cs="Arial"/>
          <w:noProof/>
          <w:sz w:val="24"/>
          <w:szCs w:val="24"/>
        </w:rPr>
        <w:t xml:space="preserve"> U</w:t>
      </w:r>
      <w:r w:rsidR="00D12D81">
        <w:rPr>
          <w:rFonts w:ascii="Arial" w:hAnsi="Arial" w:cs="Arial"/>
          <w:noProof/>
          <w:sz w:val="24"/>
          <w:szCs w:val="24"/>
        </w:rPr>
        <w:t>biquitin</w:t>
      </w:r>
      <w:r w:rsidRPr="00335870">
        <w:rPr>
          <w:rFonts w:ascii="Arial" w:hAnsi="Arial" w:cs="Arial"/>
          <w:noProof/>
          <w:sz w:val="24"/>
          <w:szCs w:val="24"/>
        </w:rPr>
        <w:t xml:space="preserve"> S</w:t>
      </w:r>
      <w:r w:rsidR="00D12D81">
        <w:rPr>
          <w:rFonts w:ascii="Arial" w:hAnsi="Arial" w:cs="Arial"/>
          <w:noProof/>
          <w:sz w:val="24"/>
          <w:szCs w:val="24"/>
        </w:rPr>
        <w:t>ystem.</w:t>
      </w:r>
      <w:r w:rsidRPr="00335870">
        <w:rPr>
          <w:rFonts w:ascii="Arial" w:hAnsi="Arial" w:cs="Arial"/>
          <w:noProof/>
          <w:sz w:val="24"/>
          <w:szCs w:val="24"/>
        </w:rPr>
        <w:t xml:space="preserve"> </w:t>
      </w:r>
      <w:r w:rsidRPr="00335870">
        <w:rPr>
          <w:rFonts w:ascii="Arial" w:hAnsi="Arial" w:cs="Arial"/>
          <w:i/>
          <w:iCs/>
          <w:noProof/>
          <w:sz w:val="24"/>
          <w:szCs w:val="24"/>
        </w:rPr>
        <w:t>Annu. Rev. Biochem.</w:t>
      </w:r>
      <w:r w:rsidRPr="00335870">
        <w:rPr>
          <w:rFonts w:ascii="Arial" w:hAnsi="Arial" w:cs="Arial"/>
          <w:noProof/>
          <w:sz w:val="24"/>
          <w:szCs w:val="24"/>
        </w:rPr>
        <w:t xml:space="preserve"> </w:t>
      </w:r>
      <w:r w:rsidRPr="00335870">
        <w:rPr>
          <w:rFonts w:ascii="Arial" w:hAnsi="Arial" w:cs="Arial"/>
          <w:b/>
          <w:bCs/>
          <w:noProof/>
          <w:sz w:val="24"/>
          <w:szCs w:val="24"/>
        </w:rPr>
        <w:t>1998</w:t>
      </w:r>
      <w:r w:rsidRPr="00335870">
        <w:rPr>
          <w:rFonts w:ascii="Arial" w:hAnsi="Arial" w:cs="Arial"/>
          <w:noProof/>
          <w:sz w:val="24"/>
          <w:szCs w:val="24"/>
        </w:rPr>
        <w:t xml:space="preserve">, </w:t>
      </w:r>
      <w:r w:rsidRPr="00335870">
        <w:rPr>
          <w:rFonts w:ascii="Arial" w:hAnsi="Arial" w:cs="Arial"/>
          <w:i/>
          <w:iCs/>
          <w:noProof/>
          <w:sz w:val="24"/>
          <w:szCs w:val="24"/>
        </w:rPr>
        <w:t>67</w:t>
      </w:r>
      <w:r w:rsidRPr="00335870">
        <w:rPr>
          <w:rFonts w:ascii="Arial" w:hAnsi="Arial" w:cs="Arial"/>
          <w:noProof/>
          <w:sz w:val="24"/>
          <w:szCs w:val="24"/>
        </w:rPr>
        <w:t xml:space="preserve"> (1), 425–479. </w:t>
      </w:r>
    </w:p>
    <w:p w14:paraId="3D6F35F6" w14:textId="69D738E4"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(3) </w:t>
      </w:r>
      <w:r w:rsidRPr="00335870">
        <w:rPr>
          <w:rFonts w:ascii="Arial" w:hAnsi="Arial" w:cs="Arial"/>
          <w:noProof/>
          <w:sz w:val="24"/>
          <w:szCs w:val="24"/>
        </w:rPr>
        <w:tab/>
        <w:t>Ci</w:t>
      </w:r>
      <w:r w:rsidR="007670AD" w:rsidRPr="00335870">
        <w:rPr>
          <w:rFonts w:ascii="Arial" w:hAnsi="Arial" w:cs="Arial"/>
          <w:noProof/>
          <w:sz w:val="24"/>
          <w:szCs w:val="24"/>
        </w:rPr>
        <w:t>e</w:t>
      </w:r>
      <w:r w:rsidRPr="00335870">
        <w:rPr>
          <w:rFonts w:ascii="Arial" w:hAnsi="Arial" w:cs="Arial"/>
          <w:noProof/>
          <w:sz w:val="24"/>
          <w:szCs w:val="24"/>
        </w:rPr>
        <w:t xml:space="preserve">chanover, A. Intracellular Protein Degradation: From a Vague Idea Thru the Lysosome and the Ubiquitin-Proteasome System and onto Human Diseases and Drug Targeting. </w:t>
      </w:r>
      <w:r w:rsidRPr="00335870">
        <w:rPr>
          <w:rFonts w:ascii="Arial" w:hAnsi="Arial" w:cs="Arial"/>
          <w:i/>
          <w:iCs/>
          <w:noProof/>
          <w:sz w:val="24"/>
          <w:szCs w:val="24"/>
        </w:rPr>
        <w:t>Cell Death Differ.</w:t>
      </w:r>
      <w:r w:rsidRPr="00335870">
        <w:rPr>
          <w:rFonts w:ascii="Arial" w:hAnsi="Arial" w:cs="Arial"/>
          <w:noProof/>
          <w:sz w:val="24"/>
          <w:szCs w:val="24"/>
        </w:rPr>
        <w:t xml:space="preserve"> </w:t>
      </w:r>
      <w:r w:rsidRPr="00335870">
        <w:rPr>
          <w:rFonts w:ascii="Arial" w:hAnsi="Arial" w:cs="Arial"/>
          <w:b/>
          <w:bCs/>
          <w:noProof/>
          <w:sz w:val="24"/>
          <w:szCs w:val="24"/>
        </w:rPr>
        <w:t>2005</w:t>
      </w:r>
      <w:r w:rsidRPr="00335870">
        <w:rPr>
          <w:rFonts w:ascii="Arial" w:hAnsi="Arial" w:cs="Arial"/>
          <w:noProof/>
          <w:sz w:val="24"/>
          <w:szCs w:val="24"/>
        </w:rPr>
        <w:t xml:space="preserve">, </w:t>
      </w:r>
      <w:r w:rsidRPr="00335870">
        <w:rPr>
          <w:rFonts w:ascii="Arial" w:hAnsi="Arial" w:cs="Arial"/>
          <w:i/>
          <w:iCs/>
          <w:noProof/>
          <w:sz w:val="24"/>
          <w:szCs w:val="24"/>
        </w:rPr>
        <w:t>12</w:t>
      </w:r>
      <w:r w:rsidRPr="00335870">
        <w:rPr>
          <w:rFonts w:ascii="Arial" w:hAnsi="Arial" w:cs="Arial"/>
          <w:noProof/>
          <w:sz w:val="24"/>
          <w:szCs w:val="24"/>
        </w:rPr>
        <w:t xml:space="preserve"> (9), 1178–1190. </w:t>
      </w:r>
    </w:p>
    <w:p w14:paraId="6E75F402" w14:textId="37674C65"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(4) </w:t>
      </w:r>
      <w:r w:rsidRPr="00335870">
        <w:rPr>
          <w:rFonts w:ascii="Arial" w:hAnsi="Arial" w:cs="Arial"/>
          <w:noProof/>
          <w:sz w:val="24"/>
          <w:szCs w:val="24"/>
        </w:rPr>
        <w:tab/>
        <w:t xml:space="preserve">Nalepa, G.; Rolfe, M.; Harper, J. W. Drug Discovery in the Ubiquitin - Proteasome System. </w:t>
      </w:r>
      <w:r w:rsidRPr="00335870">
        <w:rPr>
          <w:rFonts w:ascii="Arial" w:hAnsi="Arial" w:cs="Arial"/>
          <w:i/>
          <w:iCs/>
          <w:noProof/>
          <w:sz w:val="24"/>
          <w:szCs w:val="24"/>
        </w:rPr>
        <w:t>Nat. Rev. Drug Discov.</w:t>
      </w:r>
      <w:r w:rsidRPr="00335870">
        <w:rPr>
          <w:rFonts w:ascii="Arial" w:hAnsi="Arial" w:cs="Arial"/>
          <w:noProof/>
          <w:sz w:val="24"/>
          <w:szCs w:val="24"/>
        </w:rPr>
        <w:t xml:space="preserve"> </w:t>
      </w:r>
      <w:r w:rsidRPr="00335870">
        <w:rPr>
          <w:rFonts w:ascii="Arial" w:hAnsi="Arial" w:cs="Arial"/>
          <w:b/>
          <w:bCs/>
          <w:noProof/>
          <w:sz w:val="24"/>
          <w:szCs w:val="24"/>
        </w:rPr>
        <w:t>2006</w:t>
      </w:r>
      <w:r w:rsidRPr="00335870">
        <w:rPr>
          <w:rFonts w:ascii="Arial" w:hAnsi="Arial" w:cs="Arial"/>
          <w:noProof/>
          <w:sz w:val="24"/>
          <w:szCs w:val="24"/>
        </w:rPr>
        <w:t xml:space="preserve">, </w:t>
      </w:r>
      <w:r w:rsidRPr="00335870">
        <w:rPr>
          <w:rFonts w:ascii="Arial" w:hAnsi="Arial" w:cs="Arial"/>
          <w:i/>
          <w:iCs/>
          <w:noProof/>
          <w:sz w:val="24"/>
          <w:szCs w:val="24"/>
        </w:rPr>
        <w:t>5</w:t>
      </w:r>
      <w:r w:rsidRPr="00335870">
        <w:rPr>
          <w:rFonts w:ascii="Arial" w:hAnsi="Arial" w:cs="Arial"/>
          <w:noProof/>
          <w:sz w:val="24"/>
          <w:szCs w:val="24"/>
        </w:rPr>
        <w:t xml:space="preserve"> (7), 596–613. </w:t>
      </w:r>
    </w:p>
    <w:p w14:paraId="3E1EE22B" w14:textId="740F2D52"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(5) </w:t>
      </w:r>
      <w:r w:rsidRPr="00335870">
        <w:rPr>
          <w:rFonts w:ascii="Arial" w:hAnsi="Arial" w:cs="Arial"/>
          <w:noProof/>
          <w:sz w:val="24"/>
          <w:szCs w:val="24"/>
        </w:rPr>
        <w:tab/>
        <w:t xml:space="preserve">Pettersson, M.; Crews, C. M. PROteolysis TArgeting Chimeras (PROTACs) — Past, Present and Future. </w:t>
      </w:r>
      <w:r w:rsidRPr="00335870">
        <w:rPr>
          <w:rFonts w:ascii="Arial" w:hAnsi="Arial" w:cs="Arial"/>
          <w:i/>
          <w:iCs/>
          <w:noProof/>
          <w:sz w:val="24"/>
          <w:szCs w:val="24"/>
        </w:rPr>
        <w:t>Drug Discov. Today Technol.</w:t>
      </w:r>
      <w:r w:rsidRPr="00335870">
        <w:rPr>
          <w:rFonts w:ascii="Arial" w:hAnsi="Arial" w:cs="Arial"/>
          <w:noProof/>
          <w:sz w:val="24"/>
          <w:szCs w:val="24"/>
        </w:rPr>
        <w:t xml:space="preserve"> </w:t>
      </w:r>
      <w:r w:rsidRPr="00335870">
        <w:rPr>
          <w:rFonts w:ascii="Arial" w:hAnsi="Arial" w:cs="Arial"/>
          <w:b/>
          <w:bCs/>
          <w:noProof/>
          <w:sz w:val="24"/>
          <w:szCs w:val="24"/>
        </w:rPr>
        <w:t>2019</w:t>
      </w:r>
      <w:r w:rsidRPr="00335870">
        <w:rPr>
          <w:rFonts w:ascii="Arial" w:hAnsi="Arial" w:cs="Arial"/>
          <w:noProof/>
          <w:sz w:val="24"/>
          <w:szCs w:val="24"/>
        </w:rPr>
        <w:t xml:space="preserve">, </w:t>
      </w:r>
      <w:r w:rsidRPr="00335870">
        <w:rPr>
          <w:rFonts w:ascii="Arial" w:hAnsi="Arial" w:cs="Arial"/>
          <w:i/>
          <w:iCs/>
          <w:noProof/>
          <w:sz w:val="24"/>
          <w:szCs w:val="24"/>
        </w:rPr>
        <w:t>31</w:t>
      </w:r>
      <w:r w:rsidRPr="00335870">
        <w:rPr>
          <w:rFonts w:ascii="Arial" w:hAnsi="Arial" w:cs="Arial"/>
          <w:noProof/>
          <w:sz w:val="24"/>
          <w:szCs w:val="24"/>
        </w:rPr>
        <w:t xml:space="preserve">, 15–27 </w:t>
      </w:r>
    </w:p>
    <w:p w14:paraId="41D765C3" w14:textId="2BE81672"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(6) </w:t>
      </w:r>
      <w:r w:rsidRPr="00335870">
        <w:rPr>
          <w:rFonts w:ascii="Arial" w:hAnsi="Arial" w:cs="Arial"/>
          <w:noProof/>
          <w:sz w:val="24"/>
          <w:szCs w:val="24"/>
        </w:rPr>
        <w:tab/>
        <w:t xml:space="preserve">Che, Y.; Gilbert, A. M.; Shanmugasundaram, V.; Noe, M. C. Inducing Protein-Protein Interactions with Molecular Glues. </w:t>
      </w:r>
      <w:r w:rsidRPr="00335870">
        <w:rPr>
          <w:rFonts w:ascii="Arial" w:hAnsi="Arial" w:cs="Arial"/>
          <w:i/>
          <w:iCs/>
          <w:noProof/>
          <w:sz w:val="24"/>
          <w:szCs w:val="24"/>
        </w:rPr>
        <w:t>Bioorganic Med. Chem. Lett.</w:t>
      </w:r>
      <w:r w:rsidRPr="00335870">
        <w:rPr>
          <w:rFonts w:ascii="Arial" w:hAnsi="Arial" w:cs="Arial"/>
          <w:noProof/>
          <w:sz w:val="24"/>
          <w:szCs w:val="24"/>
        </w:rPr>
        <w:t xml:space="preserve"> </w:t>
      </w:r>
      <w:r w:rsidRPr="00335870">
        <w:rPr>
          <w:rFonts w:ascii="Arial" w:hAnsi="Arial" w:cs="Arial"/>
          <w:b/>
          <w:bCs/>
          <w:noProof/>
          <w:sz w:val="24"/>
          <w:szCs w:val="24"/>
        </w:rPr>
        <w:t>2018</w:t>
      </w:r>
      <w:r w:rsidRPr="00335870">
        <w:rPr>
          <w:rFonts w:ascii="Arial" w:hAnsi="Arial" w:cs="Arial"/>
          <w:noProof/>
          <w:sz w:val="24"/>
          <w:szCs w:val="24"/>
        </w:rPr>
        <w:t xml:space="preserve">, </w:t>
      </w:r>
      <w:r w:rsidRPr="00335870">
        <w:rPr>
          <w:rFonts w:ascii="Arial" w:hAnsi="Arial" w:cs="Arial"/>
          <w:i/>
          <w:iCs/>
          <w:noProof/>
          <w:sz w:val="24"/>
          <w:szCs w:val="24"/>
        </w:rPr>
        <w:t>28</w:t>
      </w:r>
      <w:r w:rsidRPr="00335870">
        <w:rPr>
          <w:rFonts w:ascii="Arial" w:hAnsi="Arial" w:cs="Arial"/>
          <w:noProof/>
          <w:sz w:val="24"/>
          <w:szCs w:val="24"/>
        </w:rPr>
        <w:t xml:space="preserve"> (15), 2585–2592. </w:t>
      </w:r>
    </w:p>
    <w:p w14:paraId="7F67B105" w14:textId="41693406"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(7) </w:t>
      </w:r>
      <w:r w:rsidRPr="00335870">
        <w:rPr>
          <w:rFonts w:ascii="Arial" w:hAnsi="Arial" w:cs="Arial"/>
          <w:noProof/>
          <w:sz w:val="24"/>
          <w:szCs w:val="24"/>
        </w:rPr>
        <w:tab/>
        <w:t xml:space="preserve">Zhang, Y.; Loh, C.; Chen, J.; Mainolfi, N. Targeted Protein Degradation Mechanisms. </w:t>
      </w:r>
      <w:r w:rsidRPr="00335870">
        <w:rPr>
          <w:rFonts w:ascii="Arial" w:hAnsi="Arial" w:cs="Arial"/>
          <w:i/>
          <w:iCs/>
          <w:noProof/>
          <w:sz w:val="24"/>
          <w:szCs w:val="24"/>
        </w:rPr>
        <w:t>Drug Discov. Today Technol.</w:t>
      </w:r>
      <w:r w:rsidRPr="00335870">
        <w:rPr>
          <w:rFonts w:ascii="Arial" w:hAnsi="Arial" w:cs="Arial"/>
          <w:noProof/>
          <w:sz w:val="24"/>
          <w:szCs w:val="24"/>
        </w:rPr>
        <w:t xml:space="preserve"> </w:t>
      </w:r>
      <w:r w:rsidRPr="00335870">
        <w:rPr>
          <w:rFonts w:ascii="Arial" w:hAnsi="Arial" w:cs="Arial"/>
          <w:b/>
          <w:bCs/>
          <w:noProof/>
          <w:sz w:val="24"/>
          <w:szCs w:val="24"/>
        </w:rPr>
        <w:t>2019</w:t>
      </w:r>
      <w:r w:rsidRPr="00335870">
        <w:rPr>
          <w:rFonts w:ascii="Arial" w:hAnsi="Arial" w:cs="Arial"/>
          <w:noProof/>
          <w:sz w:val="24"/>
          <w:szCs w:val="24"/>
        </w:rPr>
        <w:t xml:space="preserve">, </w:t>
      </w:r>
      <w:r w:rsidRPr="00335870">
        <w:rPr>
          <w:rFonts w:ascii="Arial" w:hAnsi="Arial" w:cs="Arial"/>
          <w:i/>
          <w:iCs/>
          <w:noProof/>
          <w:sz w:val="24"/>
          <w:szCs w:val="24"/>
        </w:rPr>
        <w:t>31</w:t>
      </w:r>
      <w:r w:rsidRPr="00335870">
        <w:rPr>
          <w:rFonts w:ascii="Arial" w:hAnsi="Arial" w:cs="Arial"/>
          <w:noProof/>
          <w:sz w:val="24"/>
          <w:szCs w:val="24"/>
        </w:rPr>
        <w:t xml:space="preserve">, 53–60. </w:t>
      </w:r>
    </w:p>
    <w:p w14:paraId="47FEFC16" w14:textId="3DD578E7"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(8) </w:t>
      </w:r>
      <w:r w:rsidRPr="00335870">
        <w:rPr>
          <w:rFonts w:ascii="Arial" w:hAnsi="Arial" w:cs="Arial"/>
          <w:noProof/>
          <w:sz w:val="24"/>
          <w:szCs w:val="24"/>
        </w:rPr>
        <w:tab/>
        <w:t>Fink, E. C.; Ebert, B. L</w:t>
      </w:r>
      <w:r w:rsidR="00684883">
        <w:rPr>
          <w:rFonts w:ascii="Arial" w:hAnsi="Arial" w:cs="Arial"/>
          <w:noProof/>
          <w:sz w:val="24"/>
          <w:szCs w:val="24"/>
        </w:rPr>
        <w:t xml:space="preserve">. </w:t>
      </w:r>
      <w:r w:rsidRPr="00335870">
        <w:rPr>
          <w:rFonts w:ascii="Arial" w:hAnsi="Arial" w:cs="Arial"/>
          <w:noProof/>
          <w:sz w:val="24"/>
          <w:szCs w:val="24"/>
        </w:rPr>
        <w:t xml:space="preserve">The Novel Mechanism of Lenalidomide Activity. </w:t>
      </w:r>
      <w:r w:rsidRPr="00335870">
        <w:rPr>
          <w:rFonts w:ascii="Arial" w:hAnsi="Arial" w:cs="Arial"/>
          <w:i/>
          <w:iCs/>
          <w:noProof/>
          <w:sz w:val="24"/>
          <w:szCs w:val="24"/>
        </w:rPr>
        <w:t>Blood</w:t>
      </w:r>
      <w:r w:rsidRPr="00335870">
        <w:rPr>
          <w:rFonts w:ascii="Arial" w:hAnsi="Arial" w:cs="Arial"/>
          <w:noProof/>
          <w:sz w:val="24"/>
          <w:szCs w:val="24"/>
        </w:rPr>
        <w:t xml:space="preserve"> </w:t>
      </w:r>
      <w:r w:rsidRPr="00335870">
        <w:rPr>
          <w:rFonts w:ascii="Arial" w:hAnsi="Arial" w:cs="Arial"/>
          <w:b/>
          <w:bCs/>
          <w:noProof/>
          <w:sz w:val="24"/>
          <w:szCs w:val="24"/>
        </w:rPr>
        <w:t>2015</w:t>
      </w:r>
      <w:r w:rsidRPr="00335870">
        <w:rPr>
          <w:rFonts w:ascii="Arial" w:hAnsi="Arial" w:cs="Arial"/>
          <w:noProof/>
          <w:sz w:val="24"/>
          <w:szCs w:val="24"/>
        </w:rPr>
        <w:t xml:space="preserve">, </w:t>
      </w:r>
      <w:r w:rsidRPr="00335870">
        <w:rPr>
          <w:rFonts w:ascii="Arial" w:hAnsi="Arial" w:cs="Arial"/>
          <w:i/>
          <w:iCs/>
          <w:noProof/>
          <w:sz w:val="24"/>
          <w:szCs w:val="24"/>
        </w:rPr>
        <w:t>126</w:t>
      </w:r>
      <w:r w:rsidRPr="00335870">
        <w:rPr>
          <w:rFonts w:ascii="Arial" w:hAnsi="Arial" w:cs="Arial"/>
          <w:noProof/>
          <w:sz w:val="24"/>
          <w:szCs w:val="24"/>
        </w:rPr>
        <w:t xml:space="preserve"> (November), 2366–2370.</w:t>
      </w:r>
    </w:p>
    <w:p w14:paraId="1C19A7CB" w14:textId="70E32077"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(9) </w:t>
      </w:r>
      <w:r w:rsidRPr="00335870">
        <w:rPr>
          <w:rFonts w:ascii="Arial" w:hAnsi="Arial" w:cs="Arial"/>
          <w:noProof/>
          <w:sz w:val="24"/>
          <w:szCs w:val="24"/>
        </w:rPr>
        <w:tab/>
        <w:t xml:space="preserve">Sakamoto, K. M.; Kim, K. B.; Kumagai, A.; Mercurio, F.; Crews, C. M.; Deshaies, R. J. Protacs: Chimeric Molecules That Target Proteins to the Skp1-Cullin-F Box Complex for Ubiquitination and Degradation. </w:t>
      </w:r>
      <w:r w:rsidRPr="00335870">
        <w:rPr>
          <w:rFonts w:ascii="Arial" w:hAnsi="Arial" w:cs="Arial"/>
          <w:i/>
          <w:iCs/>
          <w:noProof/>
          <w:sz w:val="24"/>
          <w:szCs w:val="24"/>
        </w:rPr>
        <w:t>Proc. Natl. Acad. Sci. U. S. A.</w:t>
      </w:r>
      <w:r w:rsidRPr="00335870">
        <w:rPr>
          <w:rFonts w:ascii="Arial" w:hAnsi="Arial" w:cs="Arial"/>
          <w:noProof/>
          <w:sz w:val="24"/>
          <w:szCs w:val="24"/>
        </w:rPr>
        <w:t xml:space="preserve"> </w:t>
      </w:r>
      <w:r w:rsidRPr="00335870">
        <w:rPr>
          <w:rFonts w:ascii="Arial" w:hAnsi="Arial" w:cs="Arial"/>
          <w:b/>
          <w:bCs/>
          <w:noProof/>
          <w:sz w:val="24"/>
          <w:szCs w:val="24"/>
        </w:rPr>
        <w:t>2001</w:t>
      </w:r>
      <w:r w:rsidRPr="00335870">
        <w:rPr>
          <w:rFonts w:ascii="Arial" w:hAnsi="Arial" w:cs="Arial"/>
          <w:noProof/>
          <w:sz w:val="24"/>
          <w:szCs w:val="24"/>
        </w:rPr>
        <w:t xml:space="preserve">, </w:t>
      </w:r>
      <w:r w:rsidRPr="00335870">
        <w:rPr>
          <w:rFonts w:ascii="Arial" w:hAnsi="Arial" w:cs="Arial"/>
          <w:i/>
          <w:iCs/>
          <w:noProof/>
          <w:sz w:val="24"/>
          <w:szCs w:val="24"/>
        </w:rPr>
        <w:t>98</w:t>
      </w:r>
      <w:r w:rsidRPr="00335870">
        <w:rPr>
          <w:rFonts w:ascii="Arial" w:hAnsi="Arial" w:cs="Arial"/>
          <w:noProof/>
          <w:sz w:val="24"/>
          <w:szCs w:val="24"/>
        </w:rPr>
        <w:t xml:space="preserve"> (15), 8554–8559.</w:t>
      </w:r>
    </w:p>
    <w:p w14:paraId="1F46DB62" w14:textId="5461731C"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(10) </w:t>
      </w:r>
      <w:r w:rsidRPr="00335870">
        <w:rPr>
          <w:rFonts w:ascii="Arial" w:hAnsi="Arial" w:cs="Arial"/>
          <w:noProof/>
          <w:sz w:val="24"/>
          <w:szCs w:val="24"/>
        </w:rPr>
        <w:tab/>
        <w:t xml:space="preserve">Mullard, A. First Targeted Protein Degrader Hits the Clinic. </w:t>
      </w:r>
      <w:r w:rsidRPr="00335870">
        <w:rPr>
          <w:rFonts w:ascii="Arial" w:hAnsi="Arial" w:cs="Arial"/>
          <w:i/>
          <w:iCs/>
          <w:noProof/>
          <w:sz w:val="24"/>
          <w:szCs w:val="24"/>
        </w:rPr>
        <w:t>Nat. Rev. Drug Discov.</w:t>
      </w:r>
      <w:r w:rsidRPr="00335870">
        <w:rPr>
          <w:rFonts w:ascii="Arial" w:hAnsi="Arial" w:cs="Arial"/>
          <w:noProof/>
          <w:sz w:val="24"/>
          <w:szCs w:val="24"/>
        </w:rPr>
        <w:t xml:space="preserve"> </w:t>
      </w:r>
      <w:r w:rsidRPr="00335870">
        <w:rPr>
          <w:rFonts w:ascii="Arial" w:hAnsi="Arial" w:cs="Arial"/>
          <w:b/>
          <w:bCs/>
          <w:noProof/>
          <w:sz w:val="24"/>
          <w:szCs w:val="24"/>
        </w:rPr>
        <w:t>2019</w:t>
      </w:r>
      <w:r w:rsidRPr="00335870">
        <w:rPr>
          <w:rFonts w:ascii="Arial" w:hAnsi="Arial" w:cs="Arial"/>
          <w:noProof/>
          <w:sz w:val="24"/>
          <w:szCs w:val="24"/>
        </w:rPr>
        <w:t xml:space="preserve">, </w:t>
      </w:r>
      <w:r w:rsidRPr="00335870">
        <w:rPr>
          <w:rFonts w:ascii="Arial" w:hAnsi="Arial" w:cs="Arial"/>
          <w:i/>
          <w:iCs/>
          <w:noProof/>
          <w:sz w:val="24"/>
          <w:szCs w:val="24"/>
        </w:rPr>
        <w:t>18</w:t>
      </w:r>
      <w:r w:rsidRPr="00335870">
        <w:rPr>
          <w:rFonts w:ascii="Arial" w:hAnsi="Arial" w:cs="Arial"/>
          <w:noProof/>
          <w:sz w:val="24"/>
          <w:szCs w:val="24"/>
        </w:rPr>
        <w:t xml:space="preserve">, 237. </w:t>
      </w:r>
    </w:p>
    <w:p w14:paraId="7C5B00C3" w14:textId="2D0DF5E0" w:rsidR="005D6924" w:rsidRPr="00335870" w:rsidRDefault="005D6924" w:rsidP="00426C08">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(11) </w:t>
      </w:r>
      <w:r w:rsidRPr="00335870">
        <w:rPr>
          <w:rFonts w:ascii="Arial" w:hAnsi="Arial" w:cs="Arial"/>
          <w:noProof/>
          <w:sz w:val="24"/>
          <w:szCs w:val="24"/>
        </w:rPr>
        <w:tab/>
        <w:t>Fischer, E. S.; Böhm, K.; Lydeard, J. R.; Yang, H.; Stadler, M. B.; Cavadini, S.; Nagel, J.; Serluca, F.; Acker, V.; Lingaraju, G. M.;</w:t>
      </w:r>
      <w:r w:rsidR="00426C08" w:rsidRPr="00335870">
        <w:rPr>
          <w:rFonts w:ascii="Times New Roman" w:eastAsia="Times New Roman" w:hAnsi="Times New Roman" w:cs="Times New Roman"/>
          <w:sz w:val="24"/>
          <w:szCs w:val="24"/>
        </w:rPr>
        <w:t xml:space="preserve"> </w:t>
      </w:r>
      <w:r w:rsidR="00426C08" w:rsidRPr="00335870">
        <w:rPr>
          <w:rFonts w:ascii="Arial" w:hAnsi="Arial" w:cs="Arial"/>
          <w:noProof/>
          <w:sz w:val="24"/>
          <w:szCs w:val="24"/>
        </w:rPr>
        <w:t>Tichkule, R. B.; Schebesta, M.; Forrester, W. C.; Schirle, M.; Hassiepen, U.; Ottl, J.; Hild, M.; Beckwith, Rohan E.J.; Harper, J. W.; Jenkins, J. L.; Thomä, N. H.</w:t>
      </w:r>
      <w:r w:rsidRPr="00335870">
        <w:rPr>
          <w:rFonts w:ascii="Arial" w:hAnsi="Arial" w:cs="Arial"/>
          <w:noProof/>
          <w:sz w:val="24"/>
          <w:szCs w:val="24"/>
        </w:rPr>
        <w:t xml:space="preserve"> Structure of the DDB1-CRBN E3 Ubiquitin Ligase in Complex with Thalidomide. </w:t>
      </w:r>
      <w:r w:rsidRPr="00335870">
        <w:rPr>
          <w:rFonts w:ascii="Arial" w:hAnsi="Arial" w:cs="Arial"/>
          <w:i/>
          <w:iCs/>
          <w:noProof/>
          <w:sz w:val="24"/>
          <w:szCs w:val="24"/>
        </w:rPr>
        <w:t>Nature</w:t>
      </w:r>
      <w:r w:rsidRPr="00335870">
        <w:rPr>
          <w:rFonts w:ascii="Arial" w:hAnsi="Arial" w:cs="Arial"/>
          <w:noProof/>
          <w:sz w:val="24"/>
          <w:szCs w:val="24"/>
        </w:rPr>
        <w:t xml:space="preserve"> </w:t>
      </w:r>
      <w:r w:rsidRPr="00335870">
        <w:rPr>
          <w:rFonts w:ascii="Arial" w:hAnsi="Arial" w:cs="Arial"/>
          <w:b/>
          <w:bCs/>
          <w:noProof/>
          <w:sz w:val="24"/>
          <w:szCs w:val="24"/>
        </w:rPr>
        <w:t>2014</w:t>
      </w:r>
      <w:r w:rsidRPr="00335870">
        <w:rPr>
          <w:rFonts w:ascii="Arial" w:hAnsi="Arial" w:cs="Arial"/>
          <w:noProof/>
          <w:sz w:val="24"/>
          <w:szCs w:val="24"/>
        </w:rPr>
        <w:t xml:space="preserve">, </w:t>
      </w:r>
      <w:r w:rsidRPr="00335870">
        <w:rPr>
          <w:rFonts w:ascii="Arial" w:hAnsi="Arial" w:cs="Arial"/>
          <w:i/>
          <w:iCs/>
          <w:noProof/>
          <w:sz w:val="24"/>
          <w:szCs w:val="24"/>
        </w:rPr>
        <w:t>512</w:t>
      </w:r>
      <w:r w:rsidRPr="00335870">
        <w:rPr>
          <w:rFonts w:ascii="Arial" w:hAnsi="Arial" w:cs="Arial"/>
          <w:noProof/>
          <w:sz w:val="24"/>
          <w:szCs w:val="24"/>
        </w:rPr>
        <w:t xml:space="preserve"> (1), 49–53. </w:t>
      </w:r>
    </w:p>
    <w:p w14:paraId="4A392197" w14:textId="20EB41CC"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(12) </w:t>
      </w:r>
      <w:r w:rsidRPr="00335870">
        <w:rPr>
          <w:rFonts w:ascii="Arial" w:hAnsi="Arial" w:cs="Arial"/>
          <w:noProof/>
          <w:sz w:val="24"/>
          <w:szCs w:val="24"/>
        </w:rPr>
        <w:tab/>
        <w:t xml:space="preserve">Galdeano, C.; Gadd, M. S.; Soares, P.; Scaffidi, S.; Van Molle, I.; Birced, I.; Hewitt, S.; Dias, D. M.; Ciulli, A. Structure-Guided Design and Optimization of Small Molecules Targeting the Protein-Protein Interaction between the von Hippel-Lindau (VHL) E3 Ubiquitin Ligase and the Hypoxia Inducible Factor (HIF) Alpha Subunit with in Vitro Nanomolar Affinities. </w:t>
      </w:r>
      <w:r w:rsidRPr="00335870">
        <w:rPr>
          <w:rFonts w:ascii="Arial" w:hAnsi="Arial" w:cs="Arial"/>
          <w:i/>
          <w:iCs/>
          <w:noProof/>
          <w:sz w:val="24"/>
          <w:szCs w:val="24"/>
        </w:rPr>
        <w:t>J. Med. Chem.</w:t>
      </w:r>
      <w:r w:rsidRPr="00335870">
        <w:rPr>
          <w:rFonts w:ascii="Arial" w:hAnsi="Arial" w:cs="Arial"/>
          <w:noProof/>
          <w:sz w:val="24"/>
          <w:szCs w:val="24"/>
        </w:rPr>
        <w:t xml:space="preserve"> </w:t>
      </w:r>
      <w:r w:rsidRPr="00335870">
        <w:rPr>
          <w:rFonts w:ascii="Arial" w:hAnsi="Arial" w:cs="Arial"/>
          <w:b/>
          <w:bCs/>
          <w:noProof/>
          <w:sz w:val="24"/>
          <w:szCs w:val="24"/>
        </w:rPr>
        <w:t>2014</w:t>
      </w:r>
      <w:r w:rsidRPr="00335870">
        <w:rPr>
          <w:rFonts w:ascii="Arial" w:hAnsi="Arial" w:cs="Arial"/>
          <w:noProof/>
          <w:sz w:val="24"/>
          <w:szCs w:val="24"/>
        </w:rPr>
        <w:t xml:space="preserve">, </w:t>
      </w:r>
      <w:r w:rsidRPr="00335870">
        <w:rPr>
          <w:rFonts w:ascii="Arial" w:hAnsi="Arial" w:cs="Arial"/>
          <w:i/>
          <w:iCs/>
          <w:noProof/>
          <w:sz w:val="24"/>
          <w:szCs w:val="24"/>
        </w:rPr>
        <w:t>57</w:t>
      </w:r>
      <w:r w:rsidRPr="00335870">
        <w:rPr>
          <w:rFonts w:ascii="Arial" w:hAnsi="Arial" w:cs="Arial"/>
          <w:noProof/>
          <w:sz w:val="24"/>
          <w:szCs w:val="24"/>
        </w:rPr>
        <w:t xml:space="preserve"> (20), 8657–8663.</w:t>
      </w:r>
    </w:p>
    <w:p w14:paraId="0CCA754D" w14:textId="7C47E3B5"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(13) </w:t>
      </w:r>
      <w:r w:rsidRPr="00335870">
        <w:rPr>
          <w:rFonts w:ascii="Arial" w:hAnsi="Arial" w:cs="Arial"/>
          <w:noProof/>
          <w:sz w:val="24"/>
          <w:szCs w:val="24"/>
        </w:rPr>
        <w:tab/>
        <w:t xml:space="preserve">Churcher, I. Protac-Induced Protein Degradation in Drug Discovery: Breaking the Rules or Just Making New Ones? </w:t>
      </w:r>
      <w:r w:rsidRPr="00335870">
        <w:rPr>
          <w:rFonts w:ascii="Arial" w:hAnsi="Arial" w:cs="Arial"/>
          <w:i/>
          <w:iCs/>
          <w:noProof/>
          <w:sz w:val="24"/>
          <w:szCs w:val="24"/>
        </w:rPr>
        <w:t>J. Med. Chem.</w:t>
      </w:r>
      <w:r w:rsidRPr="00335870">
        <w:rPr>
          <w:rFonts w:ascii="Arial" w:hAnsi="Arial" w:cs="Arial"/>
          <w:noProof/>
          <w:sz w:val="24"/>
          <w:szCs w:val="24"/>
        </w:rPr>
        <w:t xml:space="preserve"> </w:t>
      </w:r>
      <w:r w:rsidRPr="00335870">
        <w:rPr>
          <w:rFonts w:ascii="Arial" w:hAnsi="Arial" w:cs="Arial"/>
          <w:b/>
          <w:bCs/>
          <w:noProof/>
          <w:sz w:val="24"/>
          <w:szCs w:val="24"/>
        </w:rPr>
        <w:t>2018</w:t>
      </w:r>
      <w:r w:rsidRPr="00335870">
        <w:rPr>
          <w:rFonts w:ascii="Arial" w:hAnsi="Arial" w:cs="Arial"/>
          <w:noProof/>
          <w:sz w:val="24"/>
          <w:szCs w:val="24"/>
        </w:rPr>
        <w:t xml:space="preserve">, </w:t>
      </w:r>
      <w:r w:rsidRPr="00335870">
        <w:rPr>
          <w:rFonts w:ascii="Arial" w:hAnsi="Arial" w:cs="Arial"/>
          <w:i/>
          <w:iCs/>
          <w:noProof/>
          <w:sz w:val="24"/>
          <w:szCs w:val="24"/>
        </w:rPr>
        <w:t>61</w:t>
      </w:r>
      <w:r w:rsidRPr="00335870">
        <w:rPr>
          <w:rFonts w:ascii="Arial" w:hAnsi="Arial" w:cs="Arial"/>
          <w:noProof/>
          <w:sz w:val="24"/>
          <w:szCs w:val="24"/>
        </w:rPr>
        <w:t xml:space="preserve"> (2), 444–452. </w:t>
      </w:r>
    </w:p>
    <w:p w14:paraId="4E02BD79" w14:textId="6CF78439"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(14) </w:t>
      </w:r>
      <w:r w:rsidRPr="00335870">
        <w:rPr>
          <w:rFonts w:ascii="Arial" w:hAnsi="Arial" w:cs="Arial"/>
          <w:noProof/>
          <w:sz w:val="24"/>
          <w:szCs w:val="24"/>
        </w:rPr>
        <w:tab/>
        <w:t xml:space="preserve">Cromm, P. M.; Crews, C. M. Targeted Protein Degradation: From Chemical Biology to Drug Discovery. </w:t>
      </w:r>
      <w:r w:rsidRPr="00335870">
        <w:rPr>
          <w:rFonts w:ascii="Arial" w:hAnsi="Arial" w:cs="Arial"/>
          <w:i/>
          <w:iCs/>
          <w:noProof/>
          <w:sz w:val="24"/>
          <w:szCs w:val="24"/>
        </w:rPr>
        <w:t>Cell Chem. Biol.</w:t>
      </w:r>
      <w:r w:rsidRPr="00335870">
        <w:rPr>
          <w:rFonts w:ascii="Arial" w:hAnsi="Arial" w:cs="Arial"/>
          <w:noProof/>
          <w:sz w:val="24"/>
          <w:szCs w:val="24"/>
        </w:rPr>
        <w:t xml:space="preserve"> </w:t>
      </w:r>
      <w:r w:rsidRPr="00335870">
        <w:rPr>
          <w:rFonts w:ascii="Arial" w:hAnsi="Arial" w:cs="Arial"/>
          <w:b/>
          <w:bCs/>
          <w:noProof/>
          <w:sz w:val="24"/>
          <w:szCs w:val="24"/>
        </w:rPr>
        <w:t>2017</w:t>
      </w:r>
      <w:r w:rsidRPr="00335870">
        <w:rPr>
          <w:rFonts w:ascii="Arial" w:hAnsi="Arial" w:cs="Arial"/>
          <w:noProof/>
          <w:sz w:val="24"/>
          <w:szCs w:val="24"/>
        </w:rPr>
        <w:t xml:space="preserve">, </w:t>
      </w:r>
      <w:r w:rsidRPr="00335870">
        <w:rPr>
          <w:rFonts w:ascii="Arial" w:hAnsi="Arial" w:cs="Arial"/>
          <w:i/>
          <w:iCs/>
          <w:noProof/>
          <w:sz w:val="24"/>
          <w:szCs w:val="24"/>
        </w:rPr>
        <w:t>24</w:t>
      </w:r>
      <w:r w:rsidRPr="00335870">
        <w:rPr>
          <w:rFonts w:ascii="Arial" w:hAnsi="Arial" w:cs="Arial"/>
          <w:noProof/>
          <w:sz w:val="24"/>
          <w:szCs w:val="24"/>
        </w:rPr>
        <w:t xml:space="preserve"> (9), 1181–1190. </w:t>
      </w:r>
    </w:p>
    <w:p w14:paraId="5A2BB521" w14:textId="6E986714"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(15) </w:t>
      </w:r>
      <w:r w:rsidRPr="00335870">
        <w:rPr>
          <w:rFonts w:ascii="Arial" w:hAnsi="Arial" w:cs="Arial"/>
          <w:noProof/>
          <w:sz w:val="24"/>
          <w:szCs w:val="24"/>
        </w:rPr>
        <w:tab/>
        <w:t xml:space="preserve">Röth, S.; Fulcher, L. J.; Sapkota, G. P. Advances in Targeted Degradation of Endogenous Proteins. </w:t>
      </w:r>
      <w:r w:rsidRPr="00335870">
        <w:rPr>
          <w:rFonts w:ascii="Arial" w:hAnsi="Arial" w:cs="Arial"/>
          <w:i/>
          <w:iCs/>
          <w:noProof/>
          <w:sz w:val="24"/>
          <w:szCs w:val="24"/>
        </w:rPr>
        <w:t>Cell. Mol. Life Sci.</w:t>
      </w:r>
      <w:r w:rsidRPr="00335870">
        <w:rPr>
          <w:rFonts w:ascii="Arial" w:hAnsi="Arial" w:cs="Arial"/>
          <w:noProof/>
          <w:sz w:val="24"/>
          <w:szCs w:val="24"/>
        </w:rPr>
        <w:t xml:space="preserve"> </w:t>
      </w:r>
      <w:r w:rsidRPr="00335870">
        <w:rPr>
          <w:rFonts w:ascii="Arial" w:hAnsi="Arial" w:cs="Arial"/>
          <w:b/>
          <w:bCs/>
          <w:noProof/>
          <w:sz w:val="24"/>
          <w:szCs w:val="24"/>
        </w:rPr>
        <w:t>2019</w:t>
      </w:r>
      <w:r w:rsidRPr="00335870">
        <w:rPr>
          <w:rFonts w:ascii="Arial" w:hAnsi="Arial" w:cs="Arial"/>
          <w:noProof/>
          <w:sz w:val="24"/>
          <w:szCs w:val="24"/>
        </w:rPr>
        <w:t xml:space="preserve">, </w:t>
      </w:r>
      <w:r w:rsidRPr="00335870">
        <w:rPr>
          <w:rFonts w:ascii="Arial" w:hAnsi="Arial" w:cs="Arial"/>
          <w:i/>
          <w:iCs/>
          <w:noProof/>
          <w:sz w:val="24"/>
          <w:szCs w:val="24"/>
        </w:rPr>
        <w:t>76</w:t>
      </w:r>
      <w:r w:rsidRPr="00335870">
        <w:rPr>
          <w:rFonts w:ascii="Arial" w:hAnsi="Arial" w:cs="Arial"/>
          <w:noProof/>
          <w:sz w:val="24"/>
          <w:szCs w:val="24"/>
        </w:rPr>
        <w:t xml:space="preserve"> (14), 2761–2777. </w:t>
      </w:r>
    </w:p>
    <w:p w14:paraId="59D09B96" w14:textId="0985AE0D" w:rsidR="005D6924" w:rsidRPr="00335870" w:rsidRDefault="005D6924" w:rsidP="00481D2D">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(16) </w:t>
      </w:r>
      <w:r w:rsidRPr="00335870">
        <w:rPr>
          <w:rFonts w:ascii="Arial" w:hAnsi="Arial" w:cs="Arial"/>
          <w:noProof/>
          <w:sz w:val="24"/>
          <w:szCs w:val="24"/>
        </w:rPr>
        <w:tab/>
        <w:t>Bondeson, D. P.; Mares, A.; Smith, I. E. D.; Ko, E.; Campos, S.; Miah, A. H.; Mulholland, K. E.; Routly, N.; Buckley, D. L.; Gustafson, J. L.;</w:t>
      </w:r>
      <w:r w:rsidR="00481D2D" w:rsidRPr="00335870">
        <w:rPr>
          <w:rFonts w:ascii="Times New Roman" w:eastAsia="Times New Roman" w:hAnsi="Times New Roman" w:cs="Times New Roman"/>
          <w:sz w:val="24"/>
          <w:szCs w:val="24"/>
        </w:rPr>
        <w:t xml:space="preserve"> </w:t>
      </w:r>
      <w:r w:rsidR="00481D2D" w:rsidRPr="00335870">
        <w:rPr>
          <w:rFonts w:ascii="Arial" w:hAnsi="Arial" w:cs="Arial"/>
          <w:noProof/>
          <w:sz w:val="24"/>
          <w:szCs w:val="24"/>
        </w:rPr>
        <w:t>Zinn, N.; Grandi, P.; Shimamura, S.; Bergamini, G.; Faelth-Savitski, M.; Bantscheff, M.; Cox, C.; Gordon, D. A.; Willard, R. R.; Flanagan, J.J.; Casillas, L. N.; Votta, B. J.; Den Besten, W.; Famm, K.; Kruidenier, L.; Carter, P. S.; Harling, J. D.; Churcher, I.; Crews, C. M</w:t>
      </w:r>
      <w:r w:rsidRPr="00335870">
        <w:rPr>
          <w:rFonts w:ascii="Arial" w:hAnsi="Arial" w:cs="Arial"/>
          <w:noProof/>
          <w:sz w:val="24"/>
          <w:szCs w:val="24"/>
        </w:rPr>
        <w:t xml:space="preserve">. Catalytic in Vivo Protein Knockdown by Small-Molecule PROTACs. </w:t>
      </w:r>
      <w:r w:rsidRPr="00335870">
        <w:rPr>
          <w:rFonts w:ascii="Arial" w:hAnsi="Arial" w:cs="Arial"/>
          <w:i/>
          <w:iCs/>
          <w:noProof/>
          <w:sz w:val="24"/>
          <w:szCs w:val="24"/>
        </w:rPr>
        <w:t>Nat. Chem. Biol.</w:t>
      </w:r>
      <w:r w:rsidRPr="00335870">
        <w:rPr>
          <w:rFonts w:ascii="Arial" w:hAnsi="Arial" w:cs="Arial"/>
          <w:noProof/>
          <w:sz w:val="24"/>
          <w:szCs w:val="24"/>
        </w:rPr>
        <w:t xml:space="preserve"> </w:t>
      </w:r>
      <w:r w:rsidRPr="00335870">
        <w:rPr>
          <w:rFonts w:ascii="Arial" w:hAnsi="Arial" w:cs="Arial"/>
          <w:b/>
          <w:bCs/>
          <w:noProof/>
          <w:sz w:val="24"/>
          <w:szCs w:val="24"/>
        </w:rPr>
        <w:t>2015</w:t>
      </w:r>
      <w:r w:rsidRPr="00335870">
        <w:rPr>
          <w:rFonts w:ascii="Arial" w:hAnsi="Arial" w:cs="Arial"/>
          <w:noProof/>
          <w:sz w:val="24"/>
          <w:szCs w:val="24"/>
        </w:rPr>
        <w:t xml:space="preserve">, </w:t>
      </w:r>
      <w:r w:rsidRPr="00335870">
        <w:rPr>
          <w:rFonts w:ascii="Arial" w:hAnsi="Arial" w:cs="Arial"/>
          <w:i/>
          <w:iCs/>
          <w:noProof/>
          <w:sz w:val="24"/>
          <w:szCs w:val="24"/>
        </w:rPr>
        <w:t>11</w:t>
      </w:r>
      <w:r w:rsidRPr="00335870">
        <w:rPr>
          <w:rFonts w:ascii="Arial" w:hAnsi="Arial" w:cs="Arial"/>
          <w:noProof/>
          <w:sz w:val="24"/>
          <w:szCs w:val="24"/>
        </w:rPr>
        <w:t xml:space="preserve"> (8), 611–617. </w:t>
      </w:r>
    </w:p>
    <w:p w14:paraId="32EDB936" w14:textId="17A35F2C" w:rsidR="005D6924" w:rsidRPr="00335870" w:rsidRDefault="005D6924" w:rsidP="009330A1">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(17) </w:t>
      </w:r>
      <w:r w:rsidRPr="00335870">
        <w:rPr>
          <w:rFonts w:ascii="Arial" w:hAnsi="Arial" w:cs="Arial"/>
          <w:noProof/>
          <w:sz w:val="24"/>
          <w:szCs w:val="24"/>
        </w:rPr>
        <w:tab/>
        <w:t>Burslem, G. M.; Smith, B. E.; Lai, A. C.; Jaime-Figueroa, S.; McQuaid, D. C.; Bondeson, D. P.; Toure, M.; Dong, H.; Qian, Y.; Wang, J.;</w:t>
      </w:r>
      <w:r w:rsidR="009330A1" w:rsidRPr="00335870">
        <w:rPr>
          <w:rFonts w:ascii="Arial" w:hAnsi="Arial" w:cs="Arial"/>
          <w:noProof/>
          <w:sz w:val="24"/>
          <w:szCs w:val="24"/>
        </w:rPr>
        <w:t xml:space="preserve"> Crew, A. P.; Hines, J.; Crews, C. M</w:t>
      </w:r>
      <w:r w:rsidRPr="00335870">
        <w:rPr>
          <w:rFonts w:ascii="Arial" w:hAnsi="Arial" w:cs="Arial"/>
          <w:noProof/>
          <w:sz w:val="24"/>
          <w:szCs w:val="24"/>
        </w:rPr>
        <w:t xml:space="preserve">. The Advantages of Targeted Protein Degradation Over Inhibition: An RTK Case Study. </w:t>
      </w:r>
      <w:r w:rsidRPr="00335870">
        <w:rPr>
          <w:rFonts w:ascii="Arial" w:hAnsi="Arial" w:cs="Arial"/>
          <w:i/>
          <w:iCs/>
          <w:noProof/>
          <w:sz w:val="24"/>
          <w:szCs w:val="24"/>
        </w:rPr>
        <w:t>Cell Chem. Biol.</w:t>
      </w:r>
      <w:r w:rsidRPr="00335870">
        <w:rPr>
          <w:rFonts w:ascii="Arial" w:hAnsi="Arial" w:cs="Arial"/>
          <w:noProof/>
          <w:sz w:val="24"/>
          <w:szCs w:val="24"/>
        </w:rPr>
        <w:t xml:space="preserve"> </w:t>
      </w:r>
      <w:r w:rsidRPr="00335870">
        <w:rPr>
          <w:rFonts w:ascii="Arial" w:hAnsi="Arial" w:cs="Arial"/>
          <w:b/>
          <w:bCs/>
          <w:noProof/>
          <w:sz w:val="24"/>
          <w:szCs w:val="24"/>
        </w:rPr>
        <w:t>2018</w:t>
      </w:r>
      <w:r w:rsidRPr="00335870">
        <w:rPr>
          <w:rFonts w:ascii="Arial" w:hAnsi="Arial" w:cs="Arial"/>
          <w:noProof/>
          <w:sz w:val="24"/>
          <w:szCs w:val="24"/>
        </w:rPr>
        <w:t xml:space="preserve">, </w:t>
      </w:r>
      <w:r w:rsidRPr="00335870">
        <w:rPr>
          <w:rFonts w:ascii="Arial" w:hAnsi="Arial" w:cs="Arial"/>
          <w:i/>
          <w:iCs/>
          <w:noProof/>
          <w:sz w:val="24"/>
          <w:szCs w:val="24"/>
        </w:rPr>
        <w:t>25</w:t>
      </w:r>
      <w:r w:rsidRPr="00335870">
        <w:rPr>
          <w:rFonts w:ascii="Arial" w:hAnsi="Arial" w:cs="Arial"/>
          <w:noProof/>
          <w:sz w:val="24"/>
          <w:szCs w:val="24"/>
        </w:rPr>
        <w:t xml:space="preserve"> (1), 67-77.</w:t>
      </w:r>
    </w:p>
    <w:p w14:paraId="64E71FC9" w14:textId="254ADCAD"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(18) </w:t>
      </w:r>
      <w:r w:rsidRPr="00335870">
        <w:rPr>
          <w:rFonts w:ascii="Arial" w:hAnsi="Arial" w:cs="Arial"/>
          <w:noProof/>
          <w:sz w:val="24"/>
          <w:szCs w:val="24"/>
        </w:rPr>
        <w:tab/>
        <w:t xml:space="preserve">Cromm, P. M.; Samarasinghe, K. T. G.; Hines, J.; Crews, C. M. Addressing Kinase-Independent Functions of Fak via PROTAC-Mediated Degradation. </w:t>
      </w:r>
      <w:r w:rsidRPr="00335870">
        <w:rPr>
          <w:rFonts w:ascii="Arial" w:hAnsi="Arial" w:cs="Arial"/>
          <w:i/>
          <w:iCs/>
          <w:noProof/>
          <w:sz w:val="24"/>
          <w:szCs w:val="24"/>
        </w:rPr>
        <w:t>J. Am. Chem. Soc.</w:t>
      </w:r>
      <w:r w:rsidRPr="00335870">
        <w:rPr>
          <w:rFonts w:ascii="Arial" w:hAnsi="Arial" w:cs="Arial"/>
          <w:noProof/>
          <w:sz w:val="24"/>
          <w:szCs w:val="24"/>
        </w:rPr>
        <w:t xml:space="preserve"> </w:t>
      </w:r>
      <w:r w:rsidRPr="00335870">
        <w:rPr>
          <w:rFonts w:ascii="Arial" w:hAnsi="Arial" w:cs="Arial"/>
          <w:b/>
          <w:bCs/>
          <w:noProof/>
          <w:sz w:val="24"/>
          <w:szCs w:val="24"/>
        </w:rPr>
        <w:t>2018</w:t>
      </w:r>
      <w:r w:rsidRPr="00335870">
        <w:rPr>
          <w:rFonts w:ascii="Arial" w:hAnsi="Arial" w:cs="Arial"/>
          <w:noProof/>
          <w:sz w:val="24"/>
          <w:szCs w:val="24"/>
        </w:rPr>
        <w:t xml:space="preserve">, </w:t>
      </w:r>
      <w:r w:rsidRPr="00335870">
        <w:rPr>
          <w:rFonts w:ascii="Arial" w:hAnsi="Arial" w:cs="Arial"/>
          <w:i/>
          <w:iCs/>
          <w:noProof/>
          <w:sz w:val="24"/>
          <w:szCs w:val="24"/>
        </w:rPr>
        <w:t>140</w:t>
      </w:r>
      <w:r w:rsidRPr="00335870">
        <w:rPr>
          <w:rFonts w:ascii="Arial" w:hAnsi="Arial" w:cs="Arial"/>
          <w:noProof/>
          <w:sz w:val="24"/>
          <w:szCs w:val="24"/>
        </w:rPr>
        <w:t xml:space="preserve"> (49), 17019–17026.</w:t>
      </w:r>
    </w:p>
    <w:p w14:paraId="11BB53B0" w14:textId="69949E74"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(19) </w:t>
      </w:r>
      <w:r w:rsidRPr="00335870">
        <w:rPr>
          <w:rFonts w:ascii="Arial" w:hAnsi="Arial" w:cs="Arial"/>
          <w:noProof/>
          <w:sz w:val="24"/>
          <w:szCs w:val="24"/>
        </w:rPr>
        <w:tab/>
        <w:t xml:space="preserve">Tomoshige, S.; Nomura, S.; Ohgane, K.; Hashimoto, Y.; Ishikawa, M. Discovery of Small Molecules That Induce the Degradation of Huntingtin. </w:t>
      </w:r>
      <w:r w:rsidRPr="00335870">
        <w:rPr>
          <w:rFonts w:ascii="Arial" w:hAnsi="Arial" w:cs="Arial"/>
          <w:i/>
          <w:iCs/>
          <w:noProof/>
          <w:sz w:val="24"/>
          <w:szCs w:val="24"/>
        </w:rPr>
        <w:t>Angew. Chemie - Int. Ed.</w:t>
      </w:r>
      <w:r w:rsidRPr="00335870">
        <w:rPr>
          <w:rFonts w:ascii="Arial" w:hAnsi="Arial" w:cs="Arial"/>
          <w:noProof/>
          <w:sz w:val="24"/>
          <w:szCs w:val="24"/>
        </w:rPr>
        <w:t xml:space="preserve"> </w:t>
      </w:r>
      <w:r w:rsidRPr="00335870">
        <w:rPr>
          <w:rFonts w:ascii="Arial" w:hAnsi="Arial" w:cs="Arial"/>
          <w:b/>
          <w:bCs/>
          <w:noProof/>
          <w:sz w:val="24"/>
          <w:szCs w:val="24"/>
        </w:rPr>
        <w:t>2017</w:t>
      </w:r>
      <w:r w:rsidRPr="00335870">
        <w:rPr>
          <w:rFonts w:ascii="Arial" w:hAnsi="Arial" w:cs="Arial"/>
          <w:noProof/>
          <w:sz w:val="24"/>
          <w:szCs w:val="24"/>
        </w:rPr>
        <w:t xml:space="preserve">, </w:t>
      </w:r>
      <w:r w:rsidRPr="00335870">
        <w:rPr>
          <w:rFonts w:ascii="Arial" w:hAnsi="Arial" w:cs="Arial"/>
          <w:i/>
          <w:iCs/>
          <w:noProof/>
          <w:sz w:val="24"/>
          <w:szCs w:val="24"/>
        </w:rPr>
        <w:t>56</w:t>
      </w:r>
      <w:r w:rsidRPr="00335870">
        <w:rPr>
          <w:rFonts w:ascii="Arial" w:hAnsi="Arial" w:cs="Arial"/>
          <w:noProof/>
          <w:sz w:val="24"/>
          <w:szCs w:val="24"/>
        </w:rPr>
        <w:t xml:space="preserve"> (38), 11530–11533.</w:t>
      </w:r>
    </w:p>
    <w:p w14:paraId="5A864F77" w14:textId="4FE15567" w:rsidR="005D6924" w:rsidRPr="00335870" w:rsidRDefault="005D6924" w:rsidP="00D5215F">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(20) </w:t>
      </w:r>
      <w:r w:rsidRPr="00335870">
        <w:rPr>
          <w:rFonts w:ascii="Arial" w:hAnsi="Arial" w:cs="Arial"/>
          <w:noProof/>
          <w:sz w:val="24"/>
          <w:szCs w:val="24"/>
        </w:rPr>
        <w:tab/>
        <w:t xml:space="preserve">Zhou, H.; Bai, L.; Xu, R.; Zhao, Y.; Chen, J.; McEachern, D.; Chinnaswamy, K.; Wen, B.; Dai, L.; Kumar, P.; </w:t>
      </w:r>
      <w:r w:rsidR="00D5215F" w:rsidRPr="00335870">
        <w:rPr>
          <w:rFonts w:ascii="Arial" w:hAnsi="Arial" w:cs="Arial"/>
          <w:noProof/>
          <w:sz w:val="24"/>
          <w:szCs w:val="24"/>
        </w:rPr>
        <w:t>Yang, C. Y.; Liu, Z.; Wang, M.; Liu, L.; Meagher, J. L.; Yi, H.; Sun, D.; Stuckey, J. A.; Wang, S</w:t>
      </w:r>
      <w:r w:rsidRPr="00335870">
        <w:rPr>
          <w:rFonts w:ascii="Arial" w:hAnsi="Arial" w:cs="Arial"/>
          <w:noProof/>
          <w:sz w:val="24"/>
          <w:szCs w:val="24"/>
        </w:rPr>
        <w:t xml:space="preserve">. Structure-Based Discovery of SD-36 as a Potent, Selective, and Efficacious PROTAC Degrader of STAT3 Protein. </w:t>
      </w:r>
      <w:r w:rsidRPr="00335870">
        <w:rPr>
          <w:rFonts w:ascii="Arial" w:hAnsi="Arial" w:cs="Arial"/>
          <w:i/>
          <w:iCs/>
          <w:noProof/>
          <w:sz w:val="24"/>
          <w:szCs w:val="24"/>
        </w:rPr>
        <w:t>J. Med. Chem.</w:t>
      </w:r>
      <w:r w:rsidRPr="00335870">
        <w:rPr>
          <w:rFonts w:ascii="Arial" w:hAnsi="Arial" w:cs="Arial"/>
          <w:noProof/>
          <w:sz w:val="24"/>
          <w:szCs w:val="24"/>
        </w:rPr>
        <w:t xml:space="preserve"> </w:t>
      </w:r>
      <w:r w:rsidRPr="00335870">
        <w:rPr>
          <w:rFonts w:ascii="Arial" w:hAnsi="Arial" w:cs="Arial"/>
          <w:b/>
          <w:bCs/>
          <w:noProof/>
          <w:sz w:val="24"/>
          <w:szCs w:val="24"/>
        </w:rPr>
        <w:t>2019</w:t>
      </w:r>
      <w:r w:rsidRPr="00335870">
        <w:rPr>
          <w:rFonts w:ascii="Arial" w:hAnsi="Arial" w:cs="Arial"/>
          <w:noProof/>
          <w:sz w:val="24"/>
          <w:szCs w:val="24"/>
        </w:rPr>
        <w:t xml:space="preserve">, </w:t>
      </w:r>
      <w:r w:rsidRPr="00335870">
        <w:rPr>
          <w:rFonts w:ascii="Arial" w:hAnsi="Arial" w:cs="Arial"/>
          <w:i/>
          <w:iCs/>
          <w:noProof/>
          <w:sz w:val="24"/>
          <w:szCs w:val="24"/>
        </w:rPr>
        <w:t>62</w:t>
      </w:r>
      <w:r w:rsidRPr="00335870">
        <w:rPr>
          <w:rFonts w:ascii="Arial" w:hAnsi="Arial" w:cs="Arial"/>
          <w:noProof/>
          <w:sz w:val="24"/>
          <w:szCs w:val="24"/>
        </w:rPr>
        <w:t xml:space="preserve"> (24), 11280–11300. </w:t>
      </w:r>
    </w:p>
    <w:p w14:paraId="6DA381D6" w14:textId="744B5493"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(21) </w:t>
      </w:r>
      <w:r w:rsidRPr="00335870">
        <w:rPr>
          <w:rFonts w:ascii="Arial" w:hAnsi="Arial" w:cs="Arial"/>
          <w:noProof/>
          <w:sz w:val="24"/>
          <w:szCs w:val="24"/>
        </w:rPr>
        <w:tab/>
        <w:t xml:space="preserve">Verma, R.; Mohl, D.; Deshaies, R. J. Harnessing the Power of Proteolysis for Targeted Protein Inactivation. </w:t>
      </w:r>
      <w:r w:rsidRPr="00335870">
        <w:rPr>
          <w:rFonts w:ascii="Arial" w:hAnsi="Arial" w:cs="Arial"/>
          <w:i/>
          <w:iCs/>
          <w:noProof/>
          <w:sz w:val="24"/>
          <w:szCs w:val="24"/>
        </w:rPr>
        <w:t>Mol. Cell</w:t>
      </w:r>
      <w:r w:rsidRPr="00335870">
        <w:rPr>
          <w:rFonts w:ascii="Arial" w:hAnsi="Arial" w:cs="Arial"/>
          <w:noProof/>
          <w:sz w:val="24"/>
          <w:szCs w:val="24"/>
        </w:rPr>
        <w:t xml:space="preserve"> </w:t>
      </w:r>
      <w:r w:rsidRPr="00335870">
        <w:rPr>
          <w:rFonts w:ascii="Arial" w:hAnsi="Arial" w:cs="Arial"/>
          <w:b/>
          <w:bCs/>
          <w:noProof/>
          <w:sz w:val="24"/>
          <w:szCs w:val="24"/>
        </w:rPr>
        <w:t>2020</w:t>
      </w:r>
      <w:r w:rsidRPr="00335870">
        <w:rPr>
          <w:rFonts w:ascii="Arial" w:hAnsi="Arial" w:cs="Arial"/>
          <w:noProof/>
          <w:sz w:val="24"/>
          <w:szCs w:val="24"/>
        </w:rPr>
        <w:t xml:space="preserve">, </w:t>
      </w:r>
      <w:r w:rsidRPr="00335870">
        <w:rPr>
          <w:rFonts w:ascii="Arial" w:hAnsi="Arial" w:cs="Arial"/>
          <w:i/>
          <w:iCs/>
          <w:noProof/>
          <w:sz w:val="24"/>
          <w:szCs w:val="24"/>
        </w:rPr>
        <w:t>77</w:t>
      </w:r>
      <w:r w:rsidRPr="00335870">
        <w:rPr>
          <w:rFonts w:ascii="Arial" w:hAnsi="Arial" w:cs="Arial"/>
          <w:noProof/>
          <w:sz w:val="24"/>
          <w:szCs w:val="24"/>
        </w:rPr>
        <w:t xml:space="preserve"> (3), 446–460. </w:t>
      </w:r>
    </w:p>
    <w:p w14:paraId="34B8E761" w14:textId="08F87E45"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(22) </w:t>
      </w:r>
      <w:r w:rsidRPr="00335870">
        <w:rPr>
          <w:rFonts w:ascii="Arial" w:hAnsi="Arial" w:cs="Arial"/>
          <w:noProof/>
          <w:sz w:val="24"/>
          <w:szCs w:val="24"/>
        </w:rPr>
        <w:tab/>
        <w:t xml:space="preserve">Riching, K. M.; Mahan, S.; Corona, C. R.; McDougall, M.; Vasta, J. D.; Robers, M. B.; Urh, M.; Daniels, D. L. Quantitative Live-Cell Kinetic Degradation and Mechanistic Profiling of PROTAC Mode of Action. </w:t>
      </w:r>
      <w:r w:rsidRPr="00335870">
        <w:rPr>
          <w:rFonts w:ascii="Arial" w:hAnsi="Arial" w:cs="Arial"/>
          <w:i/>
          <w:iCs/>
          <w:noProof/>
          <w:sz w:val="24"/>
          <w:szCs w:val="24"/>
        </w:rPr>
        <w:t>ACS Chem. Biol.</w:t>
      </w:r>
      <w:r w:rsidRPr="00335870">
        <w:rPr>
          <w:rFonts w:ascii="Arial" w:hAnsi="Arial" w:cs="Arial"/>
          <w:noProof/>
          <w:sz w:val="24"/>
          <w:szCs w:val="24"/>
        </w:rPr>
        <w:t xml:space="preserve"> </w:t>
      </w:r>
      <w:r w:rsidRPr="00335870">
        <w:rPr>
          <w:rFonts w:ascii="Arial" w:hAnsi="Arial" w:cs="Arial"/>
          <w:b/>
          <w:bCs/>
          <w:noProof/>
          <w:sz w:val="24"/>
          <w:szCs w:val="24"/>
        </w:rPr>
        <w:t>2018</w:t>
      </w:r>
      <w:r w:rsidRPr="00335870">
        <w:rPr>
          <w:rFonts w:ascii="Arial" w:hAnsi="Arial" w:cs="Arial"/>
          <w:noProof/>
          <w:sz w:val="24"/>
          <w:szCs w:val="24"/>
        </w:rPr>
        <w:t xml:space="preserve">, </w:t>
      </w:r>
      <w:r w:rsidRPr="00335870">
        <w:rPr>
          <w:rFonts w:ascii="Arial" w:hAnsi="Arial" w:cs="Arial"/>
          <w:i/>
          <w:iCs/>
          <w:noProof/>
          <w:sz w:val="24"/>
          <w:szCs w:val="24"/>
        </w:rPr>
        <w:t>13</w:t>
      </w:r>
      <w:r w:rsidRPr="00335870">
        <w:rPr>
          <w:rFonts w:ascii="Arial" w:hAnsi="Arial" w:cs="Arial"/>
          <w:noProof/>
          <w:sz w:val="24"/>
          <w:szCs w:val="24"/>
        </w:rPr>
        <w:t xml:space="preserve"> (9), 2758–2770.</w:t>
      </w:r>
    </w:p>
    <w:p w14:paraId="349138CC" w14:textId="4010E213"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(23) </w:t>
      </w:r>
      <w:r w:rsidRPr="00335870">
        <w:rPr>
          <w:rFonts w:ascii="Arial" w:hAnsi="Arial" w:cs="Arial"/>
          <w:noProof/>
          <w:sz w:val="24"/>
          <w:szCs w:val="24"/>
        </w:rPr>
        <w:tab/>
        <w:t xml:space="preserve">Roy, M. J.; Winkler, S.; Hughes, S. J.; Whitworth, C.; Galant, M.; Farnaby, W.; Rumpel, K.; Ciulli, A. SPR-Measured Dissociation Kinetics of PROTAC Ternary Complexes Influence Target Degradation Rate. </w:t>
      </w:r>
      <w:r w:rsidRPr="00335870">
        <w:rPr>
          <w:rFonts w:ascii="Arial" w:hAnsi="Arial" w:cs="Arial"/>
          <w:i/>
          <w:iCs/>
          <w:noProof/>
          <w:sz w:val="24"/>
          <w:szCs w:val="24"/>
        </w:rPr>
        <w:t>ACS Chem. Biol.</w:t>
      </w:r>
      <w:r w:rsidRPr="00335870">
        <w:rPr>
          <w:rFonts w:ascii="Arial" w:hAnsi="Arial" w:cs="Arial"/>
          <w:noProof/>
          <w:sz w:val="24"/>
          <w:szCs w:val="24"/>
        </w:rPr>
        <w:t xml:space="preserve"> </w:t>
      </w:r>
      <w:r w:rsidRPr="00335870">
        <w:rPr>
          <w:rFonts w:ascii="Arial" w:hAnsi="Arial" w:cs="Arial"/>
          <w:b/>
          <w:bCs/>
          <w:noProof/>
          <w:sz w:val="24"/>
          <w:szCs w:val="24"/>
        </w:rPr>
        <w:t>2019</w:t>
      </w:r>
      <w:r w:rsidRPr="00335870">
        <w:rPr>
          <w:rFonts w:ascii="Arial" w:hAnsi="Arial" w:cs="Arial"/>
          <w:noProof/>
          <w:sz w:val="24"/>
          <w:szCs w:val="24"/>
        </w:rPr>
        <w:t xml:space="preserve">, </w:t>
      </w:r>
      <w:r w:rsidRPr="00335870">
        <w:rPr>
          <w:rFonts w:ascii="Arial" w:hAnsi="Arial" w:cs="Arial"/>
          <w:i/>
          <w:iCs/>
          <w:noProof/>
          <w:sz w:val="24"/>
          <w:szCs w:val="24"/>
        </w:rPr>
        <w:t>14</w:t>
      </w:r>
      <w:r w:rsidRPr="00335870">
        <w:rPr>
          <w:rFonts w:ascii="Arial" w:hAnsi="Arial" w:cs="Arial"/>
          <w:noProof/>
          <w:sz w:val="24"/>
          <w:szCs w:val="24"/>
        </w:rPr>
        <w:t xml:space="preserve"> (3), 361–368.</w:t>
      </w:r>
    </w:p>
    <w:p w14:paraId="423CCBAB" w14:textId="62BDD7E7"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(24) </w:t>
      </w:r>
      <w:r w:rsidRPr="00335870">
        <w:rPr>
          <w:rFonts w:ascii="Arial" w:hAnsi="Arial" w:cs="Arial"/>
          <w:noProof/>
          <w:sz w:val="24"/>
          <w:szCs w:val="24"/>
        </w:rPr>
        <w:tab/>
        <w:t xml:space="preserve">Ankenbruck, N.; Courtney, T.; Naro, Y.; Deiters, A. Optochemical Control of Biological Processes in Cells and Animals. </w:t>
      </w:r>
      <w:r w:rsidRPr="00335870">
        <w:rPr>
          <w:rFonts w:ascii="Arial" w:hAnsi="Arial" w:cs="Arial"/>
          <w:i/>
          <w:iCs/>
          <w:noProof/>
          <w:sz w:val="24"/>
          <w:szCs w:val="24"/>
        </w:rPr>
        <w:t>Angew. Chemie - Int. Ed.</w:t>
      </w:r>
      <w:r w:rsidRPr="00335870">
        <w:rPr>
          <w:rFonts w:ascii="Arial" w:hAnsi="Arial" w:cs="Arial"/>
          <w:noProof/>
          <w:sz w:val="24"/>
          <w:szCs w:val="24"/>
        </w:rPr>
        <w:t xml:space="preserve"> </w:t>
      </w:r>
      <w:r w:rsidRPr="00335870">
        <w:rPr>
          <w:rFonts w:ascii="Arial" w:hAnsi="Arial" w:cs="Arial"/>
          <w:b/>
          <w:bCs/>
          <w:noProof/>
          <w:sz w:val="24"/>
          <w:szCs w:val="24"/>
        </w:rPr>
        <w:t>2018</w:t>
      </w:r>
      <w:r w:rsidRPr="00335870">
        <w:rPr>
          <w:rFonts w:ascii="Arial" w:hAnsi="Arial" w:cs="Arial"/>
          <w:noProof/>
          <w:sz w:val="24"/>
          <w:szCs w:val="24"/>
        </w:rPr>
        <w:t xml:space="preserve">, </w:t>
      </w:r>
      <w:r w:rsidRPr="00335870">
        <w:rPr>
          <w:rFonts w:ascii="Arial" w:hAnsi="Arial" w:cs="Arial"/>
          <w:i/>
          <w:iCs/>
          <w:noProof/>
          <w:sz w:val="24"/>
          <w:szCs w:val="24"/>
        </w:rPr>
        <w:t>57</w:t>
      </w:r>
      <w:r w:rsidRPr="00335870">
        <w:rPr>
          <w:rFonts w:ascii="Arial" w:hAnsi="Arial" w:cs="Arial"/>
          <w:noProof/>
          <w:sz w:val="24"/>
          <w:szCs w:val="24"/>
        </w:rPr>
        <w:t xml:space="preserve"> (11), 2768–2798.</w:t>
      </w:r>
    </w:p>
    <w:p w14:paraId="315E25A1" w14:textId="55AFF58A"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(25) </w:t>
      </w:r>
      <w:r w:rsidRPr="00335870">
        <w:rPr>
          <w:rFonts w:ascii="Arial" w:hAnsi="Arial" w:cs="Arial"/>
          <w:noProof/>
          <w:sz w:val="24"/>
          <w:szCs w:val="24"/>
        </w:rPr>
        <w:tab/>
        <w:t xml:space="preserve">Moreau, K.; Coen, M.; Zhang, A. X.; Pachl, F.; Castaldi, M. P.; Dahl, G.; Boyd, H.; Scott, C.; Newham, P. Proteolysis-Targeting Chimeras in Drug Development: A Safety Perspective. </w:t>
      </w:r>
      <w:r w:rsidRPr="00335870">
        <w:rPr>
          <w:rFonts w:ascii="Arial" w:hAnsi="Arial" w:cs="Arial"/>
          <w:i/>
          <w:iCs/>
          <w:noProof/>
          <w:sz w:val="24"/>
          <w:szCs w:val="24"/>
        </w:rPr>
        <w:t>Br. J. Pharmacol.</w:t>
      </w:r>
      <w:r w:rsidRPr="00335870">
        <w:rPr>
          <w:rFonts w:ascii="Arial" w:hAnsi="Arial" w:cs="Arial"/>
          <w:noProof/>
          <w:sz w:val="24"/>
          <w:szCs w:val="24"/>
        </w:rPr>
        <w:t xml:space="preserve"> </w:t>
      </w:r>
      <w:r w:rsidRPr="00335870">
        <w:rPr>
          <w:rFonts w:ascii="Arial" w:hAnsi="Arial" w:cs="Arial"/>
          <w:b/>
          <w:bCs/>
          <w:noProof/>
          <w:sz w:val="24"/>
          <w:szCs w:val="24"/>
        </w:rPr>
        <w:t>2020</w:t>
      </w:r>
      <w:r w:rsidRPr="00335870">
        <w:rPr>
          <w:rFonts w:ascii="Arial" w:hAnsi="Arial" w:cs="Arial"/>
          <w:noProof/>
          <w:sz w:val="24"/>
          <w:szCs w:val="24"/>
        </w:rPr>
        <w:t xml:space="preserve">, </w:t>
      </w:r>
      <w:r w:rsidRPr="00335870">
        <w:rPr>
          <w:rFonts w:ascii="Arial" w:hAnsi="Arial" w:cs="Arial"/>
          <w:i/>
          <w:iCs/>
          <w:noProof/>
          <w:sz w:val="24"/>
          <w:szCs w:val="24"/>
        </w:rPr>
        <w:t>177</w:t>
      </w:r>
      <w:r w:rsidRPr="00335870">
        <w:rPr>
          <w:rFonts w:ascii="Arial" w:hAnsi="Arial" w:cs="Arial"/>
          <w:noProof/>
          <w:sz w:val="24"/>
          <w:szCs w:val="24"/>
        </w:rPr>
        <w:t xml:space="preserve"> (8), 1709–1718. </w:t>
      </w:r>
    </w:p>
    <w:p w14:paraId="03D66869" w14:textId="6A341482"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(26) </w:t>
      </w:r>
      <w:r w:rsidRPr="00335870">
        <w:rPr>
          <w:rFonts w:ascii="Arial" w:hAnsi="Arial" w:cs="Arial"/>
          <w:noProof/>
          <w:sz w:val="24"/>
          <w:szCs w:val="24"/>
        </w:rPr>
        <w:tab/>
        <w:t xml:space="preserve">Maneiro, M.; Forte, N.; Shchepinova, M. M.; Kounde, C. S.; Chudasama, V.; Baker, J. R.; Tate, E. W. Antibody–PROTAC Conjugates Enable HER2-Dependent Targeted Protein Degradation of BRD4. </w:t>
      </w:r>
      <w:r w:rsidRPr="00335870">
        <w:rPr>
          <w:rFonts w:ascii="Arial" w:hAnsi="Arial" w:cs="Arial"/>
          <w:i/>
          <w:iCs/>
          <w:noProof/>
          <w:sz w:val="24"/>
          <w:szCs w:val="24"/>
        </w:rPr>
        <w:t>ACS Chem. Biol.</w:t>
      </w:r>
      <w:r w:rsidRPr="00335870">
        <w:rPr>
          <w:rFonts w:ascii="Arial" w:hAnsi="Arial" w:cs="Arial"/>
          <w:noProof/>
          <w:sz w:val="24"/>
          <w:szCs w:val="24"/>
        </w:rPr>
        <w:t xml:space="preserve"> </w:t>
      </w:r>
      <w:r w:rsidRPr="00335870">
        <w:rPr>
          <w:rFonts w:ascii="Arial" w:hAnsi="Arial" w:cs="Arial"/>
          <w:b/>
          <w:bCs/>
          <w:noProof/>
          <w:sz w:val="24"/>
          <w:szCs w:val="24"/>
        </w:rPr>
        <w:t>2020</w:t>
      </w:r>
      <w:r w:rsidR="00BF70A7" w:rsidRPr="00335870">
        <w:rPr>
          <w:rFonts w:ascii="Arial" w:hAnsi="Arial" w:cs="Arial"/>
          <w:noProof/>
          <w:sz w:val="24"/>
          <w:szCs w:val="24"/>
        </w:rPr>
        <w:t>, 15, (6), 1306–1312.</w:t>
      </w:r>
    </w:p>
    <w:p w14:paraId="53702C3B" w14:textId="761A3084"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(27) </w:t>
      </w:r>
      <w:r w:rsidRPr="00335870">
        <w:rPr>
          <w:rFonts w:ascii="Arial" w:hAnsi="Arial" w:cs="Arial"/>
          <w:noProof/>
          <w:sz w:val="24"/>
          <w:szCs w:val="24"/>
        </w:rPr>
        <w:tab/>
        <w:t xml:space="preserve">Dragovich, P. S.; Adhikari, P.; Blake, R. A.; Blaquiere, N.; Chen, J.; Cheng, Y. X.; den Besten, W.; Han, J.; Hartman, S. J.; He, J.; </w:t>
      </w:r>
      <w:r w:rsidR="00D30F0A" w:rsidRPr="00335870">
        <w:rPr>
          <w:rFonts w:ascii="Arial" w:hAnsi="Arial" w:cs="Arial"/>
          <w:noProof/>
          <w:sz w:val="24"/>
          <w:szCs w:val="24"/>
        </w:rPr>
        <w:t>M. He; Rei Ingalla,</w:t>
      </w:r>
      <w:r w:rsidR="00D30F0A" w:rsidRPr="00335870">
        <w:rPr>
          <w:sz w:val="24"/>
          <w:szCs w:val="24"/>
        </w:rPr>
        <w:t xml:space="preserve"> </w:t>
      </w:r>
      <w:r w:rsidR="00D30F0A" w:rsidRPr="00335870">
        <w:rPr>
          <w:rFonts w:ascii="Arial" w:hAnsi="Arial" w:cs="Arial"/>
          <w:noProof/>
          <w:sz w:val="24"/>
          <w:szCs w:val="24"/>
        </w:rPr>
        <w:t>E.; Kamath,</w:t>
      </w:r>
      <w:r w:rsidR="00D30F0A" w:rsidRPr="00335870">
        <w:rPr>
          <w:sz w:val="24"/>
          <w:szCs w:val="24"/>
        </w:rPr>
        <w:t xml:space="preserve"> </w:t>
      </w:r>
      <w:r w:rsidR="00D30F0A" w:rsidRPr="00335870">
        <w:rPr>
          <w:rFonts w:ascii="Arial" w:hAnsi="Arial" w:cs="Arial"/>
          <w:noProof/>
          <w:sz w:val="24"/>
          <w:szCs w:val="24"/>
        </w:rPr>
        <w:t>A.V.;</w:t>
      </w:r>
      <w:r w:rsidR="00394336" w:rsidRPr="00335870">
        <w:rPr>
          <w:rFonts w:ascii="Arial" w:hAnsi="Arial" w:cs="Arial"/>
          <w:noProof/>
          <w:sz w:val="24"/>
          <w:szCs w:val="24"/>
        </w:rPr>
        <w:t xml:space="preserve"> </w:t>
      </w:r>
      <w:r w:rsidR="00D30F0A" w:rsidRPr="00335870">
        <w:rPr>
          <w:rFonts w:ascii="Arial" w:hAnsi="Arial" w:cs="Arial"/>
          <w:noProof/>
          <w:sz w:val="24"/>
          <w:szCs w:val="24"/>
        </w:rPr>
        <w:t>Kleinheinz</w:t>
      </w:r>
      <w:r w:rsidR="00394336" w:rsidRPr="00335870">
        <w:rPr>
          <w:rFonts w:ascii="Arial" w:hAnsi="Arial" w:cs="Arial"/>
          <w:noProof/>
          <w:sz w:val="24"/>
          <w:szCs w:val="24"/>
        </w:rPr>
        <w:t>,</w:t>
      </w:r>
      <w:r w:rsidR="00394336" w:rsidRPr="00335870">
        <w:rPr>
          <w:sz w:val="24"/>
          <w:szCs w:val="24"/>
        </w:rPr>
        <w:t xml:space="preserve"> </w:t>
      </w:r>
      <w:r w:rsidR="00394336" w:rsidRPr="00335870">
        <w:rPr>
          <w:rFonts w:ascii="Arial" w:hAnsi="Arial" w:cs="Arial"/>
          <w:noProof/>
          <w:sz w:val="24"/>
          <w:szCs w:val="24"/>
        </w:rPr>
        <w:t>T.</w:t>
      </w:r>
      <w:r w:rsidR="00D30F0A" w:rsidRPr="00335870">
        <w:rPr>
          <w:rFonts w:ascii="Arial" w:hAnsi="Arial" w:cs="Arial"/>
          <w:noProof/>
          <w:sz w:val="24"/>
          <w:szCs w:val="24"/>
        </w:rPr>
        <w:t>; Lai</w:t>
      </w:r>
      <w:r w:rsidR="00394336" w:rsidRPr="00335870">
        <w:rPr>
          <w:rFonts w:ascii="Arial" w:hAnsi="Arial" w:cs="Arial"/>
          <w:noProof/>
          <w:sz w:val="24"/>
          <w:szCs w:val="24"/>
        </w:rPr>
        <w:t>,</w:t>
      </w:r>
      <w:r w:rsidR="00394336" w:rsidRPr="00335870">
        <w:rPr>
          <w:sz w:val="24"/>
          <w:szCs w:val="24"/>
        </w:rPr>
        <w:t xml:space="preserve"> </w:t>
      </w:r>
      <w:r w:rsidR="00394336" w:rsidRPr="00335870">
        <w:rPr>
          <w:rFonts w:ascii="Arial" w:hAnsi="Arial" w:cs="Arial"/>
          <w:noProof/>
          <w:sz w:val="24"/>
          <w:szCs w:val="24"/>
        </w:rPr>
        <w:t>T.</w:t>
      </w:r>
      <w:r w:rsidR="00D30F0A" w:rsidRPr="00335870">
        <w:rPr>
          <w:rFonts w:ascii="Arial" w:hAnsi="Arial" w:cs="Arial"/>
          <w:noProof/>
          <w:sz w:val="24"/>
          <w:szCs w:val="24"/>
        </w:rPr>
        <w:t>; Leipold</w:t>
      </w:r>
      <w:r w:rsidR="00394336" w:rsidRPr="00335870">
        <w:rPr>
          <w:rFonts w:ascii="Arial" w:hAnsi="Arial" w:cs="Arial"/>
          <w:noProof/>
          <w:sz w:val="24"/>
          <w:szCs w:val="24"/>
        </w:rPr>
        <w:t>,</w:t>
      </w:r>
      <w:r w:rsidR="00394336" w:rsidRPr="00335870">
        <w:rPr>
          <w:sz w:val="24"/>
          <w:szCs w:val="24"/>
        </w:rPr>
        <w:t xml:space="preserve"> </w:t>
      </w:r>
      <w:r w:rsidR="00394336" w:rsidRPr="00335870">
        <w:rPr>
          <w:rFonts w:ascii="Arial" w:hAnsi="Arial" w:cs="Arial"/>
          <w:noProof/>
          <w:sz w:val="24"/>
          <w:szCs w:val="24"/>
        </w:rPr>
        <w:t>D.D.</w:t>
      </w:r>
      <w:r w:rsidR="00D30F0A" w:rsidRPr="00335870">
        <w:rPr>
          <w:rFonts w:ascii="Arial" w:hAnsi="Arial" w:cs="Arial"/>
          <w:noProof/>
          <w:sz w:val="24"/>
          <w:szCs w:val="24"/>
        </w:rPr>
        <w:t>; Li</w:t>
      </w:r>
      <w:r w:rsidR="00394336" w:rsidRPr="00335870">
        <w:rPr>
          <w:rFonts w:ascii="Arial" w:hAnsi="Arial" w:cs="Arial"/>
          <w:noProof/>
          <w:sz w:val="24"/>
          <w:szCs w:val="24"/>
        </w:rPr>
        <w:t>,</w:t>
      </w:r>
      <w:r w:rsidR="00394336" w:rsidRPr="00335870">
        <w:rPr>
          <w:sz w:val="24"/>
          <w:szCs w:val="24"/>
        </w:rPr>
        <w:t xml:space="preserve"> </w:t>
      </w:r>
      <w:r w:rsidR="00394336" w:rsidRPr="00335870">
        <w:rPr>
          <w:rFonts w:ascii="Arial" w:hAnsi="Arial" w:cs="Arial"/>
          <w:noProof/>
          <w:sz w:val="24"/>
          <w:szCs w:val="24"/>
        </w:rPr>
        <w:t>C.S.</w:t>
      </w:r>
      <w:r w:rsidR="00D30F0A" w:rsidRPr="00335870">
        <w:rPr>
          <w:rFonts w:ascii="Arial" w:hAnsi="Arial" w:cs="Arial"/>
          <w:noProof/>
          <w:sz w:val="24"/>
          <w:szCs w:val="24"/>
        </w:rPr>
        <w:t>; Liu</w:t>
      </w:r>
      <w:r w:rsidR="00394336" w:rsidRPr="00335870">
        <w:rPr>
          <w:rFonts w:ascii="Arial" w:hAnsi="Arial" w:cs="Arial"/>
          <w:noProof/>
          <w:sz w:val="24"/>
          <w:szCs w:val="24"/>
        </w:rPr>
        <w:t>,</w:t>
      </w:r>
      <w:r w:rsidR="00394336" w:rsidRPr="00335870">
        <w:rPr>
          <w:sz w:val="24"/>
          <w:szCs w:val="24"/>
        </w:rPr>
        <w:t xml:space="preserve"> </w:t>
      </w:r>
      <w:r w:rsidR="00394336" w:rsidRPr="00335870">
        <w:rPr>
          <w:rFonts w:ascii="Arial" w:hAnsi="Arial" w:cs="Arial"/>
          <w:noProof/>
          <w:sz w:val="24"/>
          <w:szCs w:val="24"/>
        </w:rPr>
        <w:t>Q.</w:t>
      </w:r>
      <w:r w:rsidR="00D30F0A" w:rsidRPr="00335870">
        <w:rPr>
          <w:rFonts w:ascii="Arial" w:hAnsi="Arial" w:cs="Arial"/>
          <w:noProof/>
          <w:sz w:val="24"/>
          <w:szCs w:val="24"/>
        </w:rPr>
        <w:t>; Lu</w:t>
      </w:r>
      <w:r w:rsidR="00394336" w:rsidRPr="00335870">
        <w:rPr>
          <w:rFonts w:ascii="Arial" w:hAnsi="Arial" w:cs="Arial"/>
          <w:noProof/>
          <w:sz w:val="24"/>
          <w:szCs w:val="24"/>
        </w:rPr>
        <w:t>,</w:t>
      </w:r>
      <w:r w:rsidR="00394336" w:rsidRPr="00335870">
        <w:rPr>
          <w:sz w:val="24"/>
          <w:szCs w:val="24"/>
        </w:rPr>
        <w:t xml:space="preserve"> </w:t>
      </w:r>
      <w:r w:rsidR="00394336" w:rsidRPr="00335870">
        <w:rPr>
          <w:rFonts w:ascii="Arial" w:hAnsi="Arial" w:cs="Arial"/>
          <w:noProof/>
          <w:sz w:val="24"/>
          <w:szCs w:val="24"/>
        </w:rPr>
        <w:t>J.</w:t>
      </w:r>
      <w:r w:rsidR="00D30F0A" w:rsidRPr="00335870">
        <w:rPr>
          <w:rFonts w:ascii="Arial" w:hAnsi="Arial" w:cs="Arial"/>
          <w:noProof/>
          <w:sz w:val="24"/>
          <w:szCs w:val="24"/>
        </w:rPr>
        <w:t>; Lu</w:t>
      </w:r>
      <w:r w:rsidR="00394336" w:rsidRPr="00335870">
        <w:rPr>
          <w:rFonts w:ascii="Arial" w:hAnsi="Arial" w:cs="Arial"/>
          <w:noProof/>
          <w:sz w:val="24"/>
          <w:szCs w:val="24"/>
        </w:rPr>
        <w:t>,</w:t>
      </w:r>
      <w:r w:rsidR="00394336" w:rsidRPr="00335870">
        <w:rPr>
          <w:sz w:val="24"/>
          <w:szCs w:val="24"/>
        </w:rPr>
        <w:t xml:space="preserve"> </w:t>
      </w:r>
      <w:r w:rsidR="00394336" w:rsidRPr="00335870">
        <w:rPr>
          <w:rFonts w:ascii="Arial" w:hAnsi="Arial" w:cs="Arial"/>
          <w:noProof/>
          <w:sz w:val="24"/>
          <w:szCs w:val="24"/>
        </w:rPr>
        <w:t>Y.</w:t>
      </w:r>
      <w:r w:rsidR="00D30F0A" w:rsidRPr="00335870">
        <w:rPr>
          <w:rFonts w:ascii="Arial" w:hAnsi="Arial" w:cs="Arial"/>
          <w:noProof/>
          <w:sz w:val="24"/>
          <w:szCs w:val="24"/>
        </w:rPr>
        <w:t>; Meng</w:t>
      </w:r>
      <w:r w:rsidR="00394336" w:rsidRPr="00335870">
        <w:rPr>
          <w:rFonts w:ascii="Arial" w:hAnsi="Arial" w:cs="Arial"/>
          <w:noProof/>
          <w:sz w:val="24"/>
          <w:szCs w:val="24"/>
        </w:rPr>
        <w:t>,</w:t>
      </w:r>
      <w:r w:rsidR="00394336" w:rsidRPr="00335870">
        <w:rPr>
          <w:sz w:val="24"/>
          <w:szCs w:val="24"/>
        </w:rPr>
        <w:t xml:space="preserve"> </w:t>
      </w:r>
      <w:r w:rsidR="00394336" w:rsidRPr="00335870">
        <w:rPr>
          <w:rFonts w:ascii="Arial" w:hAnsi="Arial" w:cs="Arial"/>
          <w:noProof/>
          <w:sz w:val="24"/>
          <w:szCs w:val="24"/>
        </w:rPr>
        <w:t>F.</w:t>
      </w:r>
      <w:r w:rsidR="00D30F0A" w:rsidRPr="00335870">
        <w:rPr>
          <w:rFonts w:ascii="Arial" w:hAnsi="Arial" w:cs="Arial"/>
          <w:noProof/>
          <w:sz w:val="24"/>
          <w:szCs w:val="24"/>
        </w:rPr>
        <w:t>; Meng</w:t>
      </w:r>
      <w:r w:rsidR="00394336" w:rsidRPr="00335870">
        <w:rPr>
          <w:rFonts w:ascii="Arial" w:hAnsi="Arial" w:cs="Arial"/>
          <w:noProof/>
          <w:sz w:val="24"/>
          <w:szCs w:val="24"/>
        </w:rPr>
        <w:t>,</w:t>
      </w:r>
      <w:r w:rsidR="00394336" w:rsidRPr="00335870">
        <w:rPr>
          <w:sz w:val="24"/>
          <w:szCs w:val="24"/>
        </w:rPr>
        <w:t xml:space="preserve"> </w:t>
      </w:r>
      <w:r w:rsidR="00394336" w:rsidRPr="00335870">
        <w:rPr>
          <w:rFonts w:ascii="Arial" w:hAnsi="Arial" w:cs="Arial"/>
          <w:noProof/>
          <w:sz w:val="24"/>
          <w:szCs w:val="24"/>
        </w:rPr>
        <w:t>L.</w:t>
      </w:r>
      <w:r w:rsidR="00D30F0A" w:rsidRPr="00335870">
        <w:rPr>
          <w:rFonts w:ascii="Arial" w:hAnsi="Arial" w:cs="Arial"/>
          <w:noProof/>
          <w:sz w:val="24"/>
          <w:szCs w:val="24"/>
        </w:rPr>
        <w:t>; Ng</w:t>
      </w:r>
      <w:r w:rsidR="000B4FDF" w:rsidRPr="00335870">
        <w:rPr>
          <w:rFonts w:ascii="Arial" w:hAnsi="Arial" w:cs="Arial"/>
          <w:noProof/>
          <w:sz w:val="24"/>
          <w:szCs w:val="24"/>
        </w:rPr>
        <w:t>,</w:t>
      </w:r>
      <w:r w:rsidR="000B4FDF" w:rsidRPr="00335870">
        <w:rPr>
          <w:sz w:val="24"/>
          <w:szCs w:val="24"/>
        </w:rPr>
        <w:t xml:space="preserve"> </w:t>
      </w:r>
      <w:r w:rsidR="000B4FDF" w:rsidRPr="00335870">
        <w:rPr>
          <w:rFonts w:ascii="Arial" w:hAnsi="Arial" w:cs="Arial"/>
          <w:noProof/>
          <w:sz w:val="24"/>
          <w:szCs w:val="24"/>
        </w:rPr>
        <w:t>C.</w:t>
      </w:r>
      <w:r w:rsidR="00D30F0A" w:rsidRPr="00335870">
        <w:rPr>
          <w:rFonts w:ascii="Arial" w:hAnsi="Arial" w:cs="Arial"/>
          <w:noProof/>
          <w:sz w:val="24"/>
          <w:szCs w:val="24"/>
        </w:rPr>
        <w:t>; Peng</w:t>
      </w:r>
      <w:r w:rsidR="000B4FDF" w:rsidRPr="00335870">
        <w:rPr>
          <w:rFonts w:ascii="Arial" w:hAnsi="Arial" w:cs="Arial"/>
          <w:noProof/>
          <w:sz w:val="24"/>
          <w:szCs w:val="24"/>
        </w:rPr>
        <w:t>,</w:t>
      </w:r>
      <w:r w:rsidR="000B4FDF" w:rsidRPr="00335870">
        <w:rPr>
          <w:sz w:val="24"/>
          <w:szCs w:val="24"/>
        </w:rPr>
        <w:t xml:space="preserve"> </w:t>
      </w:r>
      <w:r w:rsidR="000B4FDF" w:rsidRPr="00335870">
        <w:rPr>
          <w:rFonts w:ascii="Arial" w:hAnsi="Arial" w:cs="Arial"/>
          <w:noProof/>
          <w:sz w:val="24"/>
          <w:szCs w:val="24"/>
        </w:rPr>
        <w:t>K.</w:t>
      </w:r>
      <w:r w:rsidR="00D30F0A" w:rsidRPr="00335870">
        <w:rPr>
          <w:rFonts w:ascii="Arial" w:hAnsi="Arial" w:cs="Arial"/>
          <w:noProof/>
          <w:sz w:val="24"/>
          <w:szCs w:val="24"/>
        </w:rPr>
        <w:t>; Lewis Phillips</w:t>
      </w:r>
      <w:r w:rsidR="000B4FDF" w:rsidRPr="00335870">
        <w:rPr>
          <w:rFonts w:ascii="Arial" w:hAnsi="Arial" w:cs="Arial"/>
          <w:noProof/>
          <w:sz w:val="24"/>
          <w:szCs w:val="24"/>
        </w:rPr>
        <w:t>,</w:t>
      </w:r>
      <w:r w:rsidR="000B4FDF" w:rsidRPr="00335870">
        <w:rPr>
          <w:sz w:val="24"/>
          <w:szCs w:val="24"/>
        </w:rPr>
        <w:t xml:space="preserve"> </w:t>
      </w:r>
      <w:r w:rsidR="000B4FDF" w:rsidRPr="00335870">
        <w:rPr>
          <w:rFonts w:ascii="Arial" w:hAnsi="Arial" w:cs="Arial"/>
          <w:noProof/>
          <w:sz w:val="24"/>
          <w:szCs w:val="24"/>
        </w:rPr>
        <w:t>G.</w:t>
      </w:r>
      <w:r w:rsidR="00D30F0A" w:rsidRPr="00335870">
        <w:rPr>
          <w:rFonts w:ascii="Arial" w:hAnsi="Arial" w:cs="Arial"/>
          <w:noProof/>
          <w:sz w:val="24"/>
          <w:szCs w:val="24"/>
        </w:rPr>
        <w:t>; Pillow</w:t>
      </w:r>
      <w:r w:rsidR="000B4FDF" w:rsidRPr="00335870">
        <w:rPr>
          <w:rFonts w:ascii="Arial" w:hAnsi="Arial" w:cs="Arial"/>
          <w:noProof/>
          <w:sz w:val="24"/>
          <w:szCs w:val="24"/>
        </w:rPr>
        <w:t>,</w:t>
      </w:r>
      <w:r w:rsidR="000B4FDF" w:rsidRPr="00335870">
        <w:rPr>
          <w:sz w:val="24"/>
          <w:szCs w:val="24"/>
        </w:rPr>
        <w:t xml:space="preserve"> </w:t>
      </w:r>
      <w:r w:rsidR="000B4FDF" w:rsidRPr="00335870">
        <w:rPr>
          <w:rFonts w:ascii="Arial" w:hAnsi="Arial" w:cs="Arial"/>
          <w:noProof/>
          <w:sz w:val="24"/>
          <w:szCs w:val="24"/>
        </w:rPr>
        <w:t>T.H.</w:t>
      </w:r>
      <w:r w:rsidR="00D30F0A" w:rsidRPr="00335870">
        <w:rPr>
          <w:rFonts w:ascii="Arial" w:hAnsi="Arial" w:cs="Arial"/>
          <w:noProof/>
          <w:sz w:val="24"/>
          <w:szCs w:val="24"/>
        </w:rPr>
        <w:t>; Rowntree</w:t>
      </w:r>
      <w:r w:rsidR="000B4FDF" w:rsidRPr="00335870">
        <w:rPr>
          <w:rFonts w:ascii="Arial" w:hAnsi="Arial" w:cs="Arial"/>
          <w:noProof/>
          <w:sz w:val="24"/>
          <w:szCs w:val="24"/>
        </w:rPr>
        <w:t>,</w:t>
      </w:r>
      <w:r w:rsidR="000B4FDF" w:rsidRPr="00335870">
        <w:rPr>
          <w:sz w:val="24"/>
          <w:szCs w:val="24"/>
        </w:rPr>
        <w:t xml:space="preserve"> </w:t>
      </w:r>
      <w:r w:rsidR="000B4FDF" w:rsidRPr="00335870">
        <w:rPr>
          <w:rFonts w:ascii="Arial" w:hAnsi="Arial" w:cs="Arial"/>
          <w:noProof/>
          <w:sz w:val="24"/>
          <w:szCs w:val="24"/>
        </w:rPr>
        <w:t>R.K.</w:t>
      </w:r>
      <w:r w:rsidR="00D30F0A" w:rsidRPr="00335870">
        <w:rPr>
          <w:rFonts w:ascii="Arial" w:hAnsi="Arial" w:cs="Arial"/>
          <w:noProof/>
          <w:sz w:val="24"/>
          <w:szCs w:val="24"/>
        </w:rPr>
        <w:t>; Sadowsky</w:t>
      </w:r>
      <w:r w:rsidR="000B4FDF" w:rsidRPr="00335870">
        <w:rPr>
          <w:rFonts w:ascii="Arial" w:hAnsi="Arial" w:cs="Arial"/>
          <w:noProof/>
          <w:sz w:val="24"/>
          <w:szCs w:val="24"/>
        </w:rPr>
        <w:t>,</w:t>
      </w:r>
      <w:r w:rsidR="000B4FDF" w:rsidRPr="00335870">
        <w:rPr>
          <w:sz w:val="24"/>
          <w:szCs w:val="24"/>
        </w:rPr>
        <w:t xml:space="preserve"> </w:t>
      </w:r>
      <w:r w:rsidR="000B4FDF" w:rsidRPr="00335870">
        <w:rPr>
          <w:rFonts w:ascii="Arial" w:hAnsi="Arial" w:cs="Arial"/>
          <w:noProof/>
          <w:sz w:val="24"/>
          <w:szCs w:val="24"/>
        </w:rPr>
        <w:t>J.D.</w:t>
      </w:r>
      <w:r w:rsidR="00D30F0A" w:rsidRPr="00335870">
        <w:rPr>
          <w:rFonts w:ascii="Arial" w:hAnsi="Arial" w:cs="Arial"/>
          <w:noProof/>
          <w:sz w:val="24"/>
          <w:szCs w:val="24"/>
        </w:rPr>
        <w:t>; Sampath</w:t>
      </w:r>
      <w:r w:rsidR="000B4FDF" w:rsidRPr="00335870">
        <w:rPr>
          <w:rFonts w:ascii="Arial" w:hAnsi="Arial" w:cs="Arial"/>
          <w:noProof/>
          <w:sz w:val="24"/>
          <w:szCs w:val="24"/>
        </w:rPr>
        <w:t>,</w:t>
      </w:r>
      <w:r w:rsidR="000B4FDF" w:rsidRPr="00335870">
        <w:rPr>
          <w:sz w:val="24"/>
          <w:szCs w:val="24"/>
        </w:rPr>
        <w:t xml:space="preserve"> </w:t>
      </w:r>
      <w:r w:rsidR="000B4FDF" w:rsidRPr="00335870">
        <w:rPr>
          <w:rFonts w:ascii="Arial" w:hAnsi="Arial" w:cs="Arial"/>
          <w:noProof/>
          <w:sz w:val="24"/>
          <w:szCs w:val="24"/>
        </w:rPr>
        <w:t>D.</w:t>
      </w:r>
      <w:r w:rsidR="00D30F0A" w:rsidRPr="00335870">
        <w:rPr>
          <w:rFonts w:ascii="Arial" w:hAnsi="Arial" w:cs="Arial"/>
          <w:noProof/>
          <w:sz w:val="24"/>
          <w:szCs w:val="24"/>
        </w:rPr>
        <w:t>; Staben</w:t>
      </w:r>
      <w:r w:rsidR="000B4FDF" w:rsidRPr="00335870">
        <w:rPr>
          <w:rFonts w:ascii="Arial" w:hAnsi="Arial" w:cs="Arial"/>
          <w:noProof/>
          <w:sz w:val="24"/>
          <w:szCs w:val="24"/>
        </w:rPr>
        <w:t>,</w:t>
      </w:r>
      <w:r w:rsidR="000B4FDF" w:rsidRPr="00335870">
        <w:rPr>
          <w:sz w:val="24"/>
          <w:szCs w:val="24"/>
        </w:rPr>
        <w:t xml:space="preserve"> </w:t>
      </w:r>
      <w:r w:rsidR="000B4FDF" w:rsidRPr="00335870">
        <w:rPr>
          <w:rFonts w:ascii="Arial" w:hAnsi="Arial" w:cs="Arial"/>
          <w:noProof/>
          <w:sz w:val="24"/>
          <w:szCs w:val="24"/>
        </w:rPr>
        <w:t>L.</w:t>
      </w:r>
      <w:r w:rsidR="00D30F0A" w:rsidRPr="00335870">
        <w:rPr>
          <w:rFonts w:ascii="Arial" w:hAnsi="Arial" w:cs="Arial"/>
          <w:noProof/>
          <w:sz w:val="24"/>
          <w:szCs w:val="24"/>
        </w:rPr>
        <w:t>; Staben</w:t>
      </w:r>
      <w:r w:rsidR="005E40C7" w:rsidRPr="00335870">
        <w:rPr>
          <w:rFonts w:ascii="Arial" w:hAnsi="Arial" w:cs="Arial"/>
          <w:noProof/>
          <w:sz w:val="24"/>
          <w:szCs w:val="24"/>
        </w:rPr>
        <w:t>,</w:t>
      </w:r>
      <w:r w:rsidR="005E40C7" w:rsidRPr="00335870">
        <w:rPr>
          <w:sz w:val="24"/>
          <w:szCs w:val="24"/>
        </w:rPr>
        <w:t xml:space="preserve"> </w:t>
      </w:r>
      <w:r w:rsidR="005E40C7" w:rsidRPr="00335870">
        <w:rPr>
          <w:rFonts w:ascii="Arial" w:hAnsi="Arial" w:cs="Arial"/>
          <w:noProof/>
          <w:sz w:val="24"/>
          <w:szCs w:val="24"/>
        </w:rPr>
        <w:t>S.T.</w:t>
      </w:r>
      <w:r w:rsidR="00D30F0A" w:rsidRPr="00335870">
        <w:rPr>
          <w:rFonts w:ascii="Arial" w:hAnsi="Arial" w:cs="Arial"/>
          <w:noProof/>
          <w:sz w:val="24"/>
          <w:szCs w:val="24"/>
        </w:rPr>
        <w:t>; Wai</w:t>
      </w:r>
      <w:r w:rsidR="005E40C7" w:rsidRPr="00335870">
        <w:rPr>
          <w:rFonts w:ascii="Arial" w:hAnsi="Arial" w:cs="Arial"/>
          <w:noProof/>
          <w:sz w:val="24"/>
          <w:szCs w:val="24"/>
        </w:rPr>
        <w:t>,</w:t>
      </w:r>
      <w:r w:rsidR="005E40C7" w:rsidRPr="00335870">
        <w:rPr>
          <w:sz w:val="24"/>
          <w:szCs w:val="24"/>
        </w:rPr>
        <w:t xml:space="preserve"> </w:t>
      </w:r>
      <w:r w:rsidR="005E40C7" w:rsidRPr="00335870">
        <w:rPr>
          <w:rFonts w:ascii="Arial" w:hAnsi="Arial" w:cs="Arial"/>
          <w:noProof/>
          <w:sz w:val="24"/>
          <w:szCs w:val="24"/>
        </w:rPr>
        <w:t>J.</w:t>
      </w:r>
      <w:r w:rsidR="00D30F0A" w:rsidRPr="00335870">
        <w:rPr>
          <w:rFonts w:ascii="Arial" w:hAnsi="Arial" w:cs="Arial"/>
          <w:noProof/>
          <w:sz w:val="24"/>
          <w:szCs w:val="24"/>
        </w:rPr>
        <w:t>; Wan</w:t>
      </w:r>
      <w:r w:rsidR="005E40C7" w:rsidRPr="00335870">
        <w:rPr>
          <w:sz w:val="24"/>
          <w:szCs w:val="24"/>
        </w:rPr>
        <w:t xml:space="preserve">, </w:t>
      </w:r>
      <w:r w:rsidR="005E40C7" w:rsidRPr="00335870">
        <w:rPr>
          <w:rFonts w:ascii="Arial" w:hAnsi="Arial" w:cs="Arial"/>
          <w:noProof/>
          <w:sz w:val="24"/>
          <w:szCs w:val="24"/>
        </w:rPr>
        <w:t>K.</w:t>
      </w:r>
      <w:r w:rsidR="00D30F0A" w:rsidRPr="00335870">
        <w:rPr>
          <w:rFonts w:ascii="Arial" w:hAnsi="Arial" w:cs="Arial"/>
          <w:noProof/>
          <w:sz w:val="24"/>
          <w:szCs w:val="24"/>
        </w:rPr>
        <w:t>; Wang</w:t>
      </w:r>
      <w:r w:rsidR="005E40C7" w:rsidRPr="00335870">
        <w:rPr>
          <w:rFonts w:ascii="Arial" w:hAnsi="Arial" w:cs="Arial"/>
          <w:noProof/>
          <w:sz w:val="24"/>
          <w:szCs w:val="24"/>
        </w:rPr>
        <w:t>,</w:t>
      </w:r>
      <w:r w:rsidR="005E40C7" w:rsidRPr="00335870">
        <w:rPr>
          <w:sz w:val="24"/>
          <w:szCs w:val="24"/>
        </w:rPr>
        <w:t xml:space="preserve"> </w:t>
      </w:r>
      <w:r w:rsidR="005E40C7" w:rsidRPr="00335870">
        <w:rPr>
          <w:rFonts w:ascii="Arial" w:hAnsi="Arial" w:cs="Arial"/>
          <w:noProof/>
          <w:sz w:val="24"/>
          <w:szCs w:val="24"/>
        </w:rPr>
        <w:t>X.</w:t>
      </w:r>
      <w:r w:rsidR="00D30F0A" w:rsidRPr="00335870">
        <w:rPr>
          <w:rFonts w:ascii="Arial" w:hAnsi="Arial" w:cs="Arial"/>
          <w:noProof/>
          <w:sz w:val="24"/>
          <w:szCs w:val="24"/>
        </w:rPr>
        <w:t>; Wei</w:t>
      </w:r>
      <w:r w:rsidR="005E40C7" w:rsidRPr="00335870">
        <w:rPr>
          <w:rFonts w:ascii="Arial" w:hAnsi="Arial" w:cs="Arial"/>
          <w:noProof/>
          <w:sz w:val="24"/>
          <w:szCs w:val="24"/>
        </w:rPr>
        <w:t>,</w:t>
      </w:r>
      <w:r w:rsidR="005E40C7" w:rsidRPr="00335870">
        <w:rPr>
          <w:sz w:val="24"/>
          <w:szCs w:val="24"/>
        </w:rPr>
        <w:t xml:space="preserve"> </w:t>
      </w:r>
      <w:r w:rsidR="005E40C7" w:rsidRPr="00335870">
        <w:rPr>
          <w:rFonts w:ascii="Arial" w:hAnsi="Arial" w:cs="Arial"/>
          <w:noProof/>
          <w:sz w:val="24"/>
          <w:szCs w:val="24"/>
        </w:rPr>
        <w:t>B.</w:t>
      </w:r>
      <w:r w:rsidR="00394336" w:rsidRPr="00335870">
        <w:rPr>
          <w:rFonts w:ascii="Arial" w:hAnsi="Arial" w:cs="Arial"/>
          <w:noProof/>
          <w:sz w:val="24"/>
          <w:szCs w:val="24"/>
        </w:rPr>
        <w:t>;</w:t>
      </w:r>
      <w:r w:rsidR="00D30F0A" w:rsidRPr="00335870">
        <w:rPr>
          <w:rFonts w:ascii="Arial" w:hAnsi="Arial" w:cs="Arial"/>
          <w:noProof/>
          <w:sz w:val="24"/>
          <w:szCs w:val="24"/>
        </w:rPr>
        <w:t xml:space="preserve"> Wertz</w:t>
      </w:r>
      <w:r w:rsidR="005E40C7" w:rsidRPr="00335870">
        <w:rPr>
          <w:rFonts w:ascii="Arial" w:hAnsi="Arial" w:cs="Arial"/>
          <w:noProof/>
          <w:sz w:val="24"/>
          <w:szCs w:val="24"/>
        </w:rPr>
        <w:t>,</w:t>
      </w:r>
      <w:r w:rsidR="005E40C7" w:rsidRPr="00335870">
        <w:rPr>
          <w:sz w:val="24"/>
          <w:szCs w:val="24"/>
        </w:rPr>
        <w:t xml:space="preserve"> </w:t>
      </w:r>
      <w:r w:rsidR="005E40C7" w:rsidRPr="00335870">
        <w:rPr>
          <w:rFonts w:ascii="Arial" w:hAnsi="Arial" w:cs="Arial"/>
          <w:noProof/>
          <w:sz w:val="24"/>
          <w:szCs w:val="24"/>
        </w:rPr>
        <w:t>I.E.</w:t>
      </w:r>
      <w:r w:rsidR="00394336" w:rsidRPr="00335870">
        <w:rPr>
          <w:rFonts w:ascii="Arial" w:hAnsi="Arial" w:cs="Arial"/>
          <w:noProof/>
          <w:sz w:val="24"/>
          <w:szCs w:val="24"/>
        </w:rPr>
        <w:t>;</w:t>
      </w:r>
      <w:r w:rsidR="00D30F0A" w:rsidRPr="00335870">
        <w:rPr>
          <w:rFonts w:ascii="Arial" w:hAnsi="Arial" w:cs="Arial"/>
          <w:noProof/>
          <w:sz w:val="24"/>
          <w:szCs w:val="24"/>
        </w:rPr>
        <w:t xml:space="preserve"> Xin</w:t>
      </w:r>
      <w:r w:rsidR="005E40C7" w:rsidRPr="00335870">
        <w:rPr>
          <w:rFonts w:ascii="Arial" w:hAnsi="Arial" w:cs="Arial"/>
          <w:noProof/>
          <w:sz w:val="24"/>
          <w:szCs w:val="24"/>
        </w:rPr>
        <w:t>,</w:t>
      </w:r>
      <w:r w:rsidR="005E40C7" w:rsidRPr="00335870">
        <w:rPr>
          <w:sz w:val="24"/>
          <w:szCs w:val="24"/>
        </w:rPr>
        <w:t xml:space="preserve"> </w:t>
      </w:r>
      <w:r w:rsidR="005E40C7" w:rsidRPr="00335870">
        <w:rPr>
          <w:rFonts w:ascii="Arial" w:hAnsi="Arial" w:cs="Arial"/>
          <w:noProof/>
          <w:sz w:val="24"/>
          <w:szCs w:val="24"/>
        </w:rPr>
        <w:t>J.</w:t>
      </w:r>
      <w:r w:rsidR="00394336" w:rsidRPr="00335870">
        <w:rPr>
          <w:rFonts w:ascii="Arial" w:hAnsi="Arial" w:cs="Arial"/>
          <w:noProof/>
          <w:sz w:val="24"/>
          <w:szCs w:val="24"/>
        </w:rPr>
        <w:t>;</w:t>
      </w:r>
      <w:r w:rsidR="00D30F0A" w:rsidRPr="00335870">
        <w:rPr>
          <w:rFonts w:ascii="Arial" w:hAnsi="Arial" w:cs="Arial"/>
          <w:noProof/>
          <w:sz w:val="24"/>
          <w:szCs w:val="24"/>
        </w:rPr>
        <w:t xml:space="preserve"> Xu</w:t>
      </w:r>
      <w:r w:rsidR="002C0F5B" w:rsidRPr="00335870">
        <w:rPr>
          <w:rFonts w:ascii="Arial" w:hAnsi="Arial" w:cs="Arial"/>
          <w:noProof/>
          <w:sz w:val="24"/>
          <w:szCs w:val="24"/>
        </w:rPr>
        <w:t>,</w:t>
      </w:r>
      <w:r w:rsidR="002C0F5B" w:rsidRPr="00335870">
        <w:rPr>
          <w:sz w:val="24"/>
          <w:szCs w:val="24"/>
        </w:rPr>
        <w:t xml:space="preserve"> </w:t>
      </w:r>
      <w:r w:rsidR="002C0F5B" w:rsidRPr="00335870">
        <w:rPr>
          <w:rFonts w:ascii="Arial" w:hAnsi="Arial" w:cs="Arial"/>
          <w:noProof/>
          <w:sz w:val="24"/>
          <w:szCs w:val="24"/>
        </w:rPr>
        <w:t>K.</w:t>
      </w:r>
      <w:r w:rsidR="00394336" w:rsidRPr="00335870">
        <w:rPr>
          <w:rFonts w:ascii="Arial" w:hAnsi="Arial" w:cs="Arial"/>
          <w:noProof/>
          <w:sz w:val="24"/>
          <w:szCs w:val="24"/>
        </w:rPr>
        <w:t>;</w:t>
      </w:r>
      <w:r w:rsidR="00D30F0A" w:rsidRPr="00335870">
        <w:rPr>
          <w:rFonts w:ascii="Arial" w:hAnsi="Arial" w:cs="Arial"/>
          <w:noProof/>
          <w:sz w:val="24"/>
          <w:szCs w:val="24"/>
        </w:rPr>
        <w:t xml:space="preserve"> Yao</w:t>
      </w:r>
      <w:r w:rsidR="002C0F5B" w:rsidRPr="00335870">
        <w:rPr>
          <w:rFonts w:ascii="Arial" w:hAnsi="Arial" w:cs="Arial"/>
          <w:noProof/>
          <w:sz w:val="24"/>
          <w:szCs w:val="24"/>
        </w:rPr>
        <w:t>,</w:t>
      </w:r>
      <w:r w:rsidR="002C0F5B" w:rsidRPr="00335870">
        <w:rPr>
          <w:sz w:val="24"/>
          <w:szCs w:val="24"/>
        </w:rPr>
        <w:t xml:space="preserve"> </w:t>
      </w:r>
      <w:r w:rsidR="002C0F5B" w:rsidRPr="00335870">
        <w:rPr>
          <w:rFonts w:ascii="Arial" w:hAnsi="Arial" w:cs="Arial"/>
          <w:noProof/>
          <w:sz w:val="24"/>
          <w:szCs w:val="24"/>
        </w:rPr>
        <w:t>H.</w:t>
      </w:r>
      <w:r w:rsidR="00394336" w:rsidRPr="00335870">
        <w:rPr>
          <w:rFonts w:ascii="Arial" w:hAnsi="Arial" w:cs="Arial"/>
          <w:noProof/>
          <w:sz w:val="24"/>
          <w:szCs w:val="24"/>
        </w:rPr>
        <w:t>;</w:t>
      </w:r>
      <w:r w:rsidR="00D30F0A" w:rsidRPr="00335870">
        <w:rPr>
          <w:rFonts w:ascii="Arial" w:hAnsi="Arial" w:cs="Arial"/>
          <w:noProof/>
          <w:sz w:val="24"/>
          <w:szCs w:val="24"/>
        </w:rPr>
        <w:t xml:space="preserve"> Zang</w:t>
      </w:r>
      <w:r w:rsidR="002C0F5B" w:rsidRPr="00335870">
        <w:rPr>
          <w:rFonts w:ascii="Arial" w:hAnsi="Arial" w:cs="Arial"/>
          <w:noProof/>
          <w:sz w:val="24"/>
          <w:szCs w:val="24"/>
        </w:rPr>
        <w:t>,</w:t>
      </w:r>
      <w:r w:rsidR="002C0F5B" w:rsidRPr="00335870">
        <w:rPr>
          <w:sz w:val="24"/>
          <w:szCs w:val="24"/>
        </w:rPr>
        <w:t xml:space="preserve"> </w:t>
      </w:r>
      <w:r w:rsidR="002C0F5B" w:rsidRPr="00335870">
        <w:rPr>
          <w:rFonts w:ascii="Arial" w:hAnsi="Arial" w:cs="Arial"/>
          <w:noProof/>
          <w:sz w:val="24"/>
          <w:szCs w:val="24"/>
        </w:rPr>
        <w:t>R.</w:t>
      </w:r>
      <w:r w:rsidR="00394336" w:rsidRPr="00335870">
        <w:rPr>
          <w:rFonts w:ascii="Arial" w:hAnsi="Arial" w:cs="Arial"/>
          <w:noProof/>
          <w:sz w:val="24"/>
          <w:szCs w:val="24"/>
        </w:rPr>
        <w:t>;</w:t>
      </w:r>
      <w:r w:rsidR="00D30F0A" w:rsidRPr="00335870">
        <w:rPr>
          <w:rFonts w:ascii="Arial" w:hAnsi="Arial" w:cs="Arial"/>
          <w:noProof/>
          <w:sz w:val="24"/>
          <w:szCs w:val="24"/>
        </w:rPr>
        <w:t xml:space="preserve"> Zhang</w:t>
      </w:r>
      <w:r w:rsidR="002C0F5B" w:rsidRPr="00335870">
        <w:rPr>
          <w:rFonts w:ascii="Arial" w:hAnsi="Arial" w:cs="Arial"/>
          <w:noProof/>
          <w:sz w:val="24"/>
          <w:szCs w:val="24"/>
        </w:rPr>
        <w:t>,</w:t>
      </w:r>
      <w:r w:rsidR="002C0F5B" w:rsidRPr="00335870">
        <w:rPr>
          <w:sz w:val="24"/>
          <w:szCs w:val="24"/>
        </w:rPr>
        <w:t xml:space="preserve"> </w:t>
      </w:r>
      <w:r w:rsidR="002C0F5B" w:rsidRPr="00335870">
        <w:rPr>
          <w:rFonts w:ascii="Arial" w:hAnsi="Arial" w:cs="Arial"/>
          <w:noProof/>
          <w:sz w:val="24"/>
          <w:szCs w:val="24"/>
        </w:rPr>
        <w:t>D.</w:t>
      </w:r>
      <w:r w:rsidR="00394336" w:rsidRPr="00335870">
        <w:rPr>
          <w:rFonts w:ascii="Arial" w:hAnsi="Arial" w:cs="Arial"/>
          <w:noProof/>
          <w:sz w:val="24"/>
          <w:szCs w:val="24"/>
        </w:rPr>
        <w:t>;</w:t>
      </w:r>
      <w:r w:rsidR="00D30F0A" w:rsidRPr="00335870">
        <w:rPr>
          <w:rFonts w:ascii="Arial" w:hAnsi="Arial" w:cs="Arial"/>
          <w:noProof/>
          <w:sz w:val="24"/>
          <w:szCs w:val="24"/>
        </w:rPr>
        <w:t xml:space="preserve"> Zhou</w:t>
      </w:r>
      <w:r w:rsidR="002C0F5B" w:rsidRPr="00335870">
        <w:rPr>
          <w:rFonts w:ascii="Arial" w:hAnsi="Arial" w:cs="Arial"/>
          <w:noProof/>
          <w:sz w:val="24"/>
          <w:szCs w:val="24"/>
        </w:rPr>
        <w:t>,</w:t>
      </w:r>
      <w:r w:rsidR="002C0F5B" w:rsidRPr="00335870">
        <w:rPr>
          <w:sz w:val="24"/>
          <w:szCs w:val="24"/>
        </w:rPr>
        <w:t xml:space="preserve"> </w:t>
      </w:r>
      <w:r w:rsidR="002C0F5B" w:rsidRPr="00335870">
        <w:rPr>
          <w:rFonts w:ascii="Arial" w:hAnsi="Arial" w:cs="Arial"/>
          <w:noProof/>
          <w:sz w:val="24"/>
          <w:szCs w:val="24"/>
        </w:rPr>
        <w:t>H.</w:t>
      </w:r>
      <w:r w:rsidR="00394336" w:rsidRPr="00335870">
        <w:rPr>
          <w:rFonts w:ascii="Arial" w:hAnsi="Arial" w:cs="Arial"/>
          <w:noProof/>
          <w:sz w:val="24"/>
          <w:szCs w:val="24"/>
        </w:rPr>
        <w:t>;</w:t>
      </w:r>
      <w:r w:rsidR="00D30F0A" w:rsidRPr="00335870">
        <w:rPr>
          <w:rFonts w:ascii="Arial" w:hAnsi="Arial" w:cs="Arial"/>
          <w:noProof/>
          <w:sz w:val="24"/>
          <w:szCs w:val="24"/>
        </w:rPr>
        <w:t xml:space="preserve"> Zhao</w:t>
      </w:r>
      <w:r w:rsidR="002C0F5B" w:rsidRPr="00335870">
        <w:rPr>
          <w:rFonts w:ascii="Arial" w:hAnsi="Arial" w:cs="Arial"/>
          <w:noProof/>
          <w:sz w:val="24"/>
          <w:szCs w:val="24"/>
        </w:rPr>
        <w:t>,</w:t>
      </w:r>
      <w:r w:rsidR="002C0F5B" w:rsidRPr="00335870">
        <w:rPr>
          <w:sz w:val="24"/>
          <w:szCs w:val="24"/>
        </w:rPr>
        <w:t xml:space="preserve"> </w:t>
      </w:r>
      <w:r w:rsidR="002C0F5B" w:rsidRPr="00335870">
        <w:rPr>
          <w:rFonts w:ascii="Arial" w:hAnsi="Arial" w:cs="Arial"/>
          <w:noProof/>
          <w:sz w:val="24"/>
          <w:szCs w:val="24"/>
        </w:rPr>
        <w:t>Y</w:t>
      </w:r>
      <w:r w:rsidR="00394336" w:rsidRPr="00335870">
        <w:rPr>
          <w:rFonts w:ascii="Arial" w:hAnsi="Arial" w:cs="Arial"/>
          <w:noProof/>
          <w:sz w:val="24"/>
          <w:szCs w:val="24"/>
        </w:rPr>
        <w:t>.</w:t>
      </w:r>
      <w:r w:rsidRPr="00335870">
        <w:rPr>
          <w:rFonts w:ascii="Arial" w:hAnsi="Arial" w:cs="Arial"/>
          <w:noProof/>
          <w:sz w:val="24"/>
          <w:szCs w:val="24"/>
        </w:rPr>
        <w:t xml:space="preserve"> Antibody-Mediated Delivery of Chimeric Protein Degraders Which Target Estrogen Receptor Alpha (ERα). </w:t>
      </w:r>
      <w:r w:rsidRPr="00335870">
        <w:rPr>
          <w:rFonts w:ascii="Arial" w:hAnsi="Arial" w:cs="Arial"/>
          <w:i/>
          <w:iCs/>
          <w:noProof/>
          <w:sz w:val="24"/>
          <w:szCs w:val="24"/>
        </w:rPr>
        <w:t>Bioorganic Med. Chem. Lett.</w:t>
      </w:r>
      <w:r w:rsidRPr="00335870">
        <w:rPr>
          <w:rFonts w:ascii="Arial" w:hAnsi="Arial" w:cs="Arial"/>
          <w:noProof/>
          <w:sz w:val="24"/>
          <w:szCs w:val="24"/>
        </w:rPr>
        <w:t xml:space="preserve"> </w:t>
      </w:r>
      <w:r w:rsidRPr="00335870">
        <w:rPr>
          <w:rFonts w:ascii="Arial" w:hAnsi="Arial" w:cs="Arial"/>
          <w:b/>
          <w:bCs/>
          <w:noProof/>
          <w:sz w:val="24"/>
          <w:szCs w:val="24"/>
        </w:rPr>
        <w:t>2020</w:t>
      </w:r>
      <w:r w:rsidRPr="00335870">
        <w:rPr>
          <w:rFonts w:ascii="Arial" w:hAnsi="Arial" w:cs="Arial"/>
          <w:noProof/>
          <w:sz w:val="24"/>
          <w:szCs w:val="24"/>
        </w:rPr>
        <w:t xml:space="preserve">, </w:t>
      </w:r>
      <w:r w:rsidRPr="00335870">
        <w:rPr>
          <w:rFonts w:ascii="Arial" w:hAnsi="Arial" w:cs="Arial"/>
          <w:i/>
          <w:iCs/>
          <w:noProof/>
          <w:sz w:val="24"/>
          <w:szCs w:val="24"/>
        </w:rPr>
        <w:t>30</w:t>
      </w:r>
      <w:r w:rsidRPr="00335870">
        <w:rPr>
          <w:rFonts w:ascii="Arial" w:hAnsi="Arial" w:cs="Arial"/>
          <w:noProof/>
          <w:sz w:val="24"/>
          <w:szCs w:val="24"/>
        </w:rPr>
        <w:t xml:space="preserve"> (4)</w:t>
      </w:r>
      <w:r w:rsidR="00D30F0A" w:rsidRPr="00335870">
        <w:rPr>
          <w:rFonts w:ascii="Arial" w:hAnsi="Arial" w:cs="Arial"/>
          <w:noProof/>
          <w:sz w:val="24"/>
          <w:szCs w:val="24"/>
        </w:rPr>
        <w:t>, 126097</w:t>
      </w:r>
      <w:r w:rsidRPr="00335870">
        <w:rPr>
          <w:rFonts w:ascii="Arial" w:hAnsi="Arial" w:cs="Arial"/>
          <w:noProof/>
          <w:sz w:val="24"/>
          <w:szCs w:val="24"/>
        </w:rPr>
        <w:t xml:space="preserve">. </w:t>
      </w:r>
    </w:p>
    <w:p w14:paraId="115DB418" w14:textId="3EFF1447"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(28) </w:t>
      </w:r>
      <w:r w:rsidRPr="00335870">
        <w:rPr>
          <w:rFonts w:ascii="Arial" w:hAnsi="Arial" w:cs="Arial"/>
          <w:noProof/>
          <w:sz w:val="24"/>
          <w:szCs w:val="24"/>
        </w:rPr>
        <w:tab/>
        <w:t xml:space="preserve">Bonger, K. M.; Rakhit, R.; Payumo, A. Y.; Chen, J. K.; Wandless, T. J. General Method for Regulating Protein Stability with Light. </w:t>
      </w:r>
      <w:r w:rsidRPr="00335870">
        <w:rPr>
          <w:rFonts w:ascii="Arial" w:hAnsi="Arial" w:cs="Arial"/>
          <w:i/>
          <w:iCs/>
          <w:noProof/>
          <w:sz w:val="24"/>
          <w:szCs w:val="24"/>
        </w:rPr>
        <w:t>ACS Chem. Biol.</w:t>
      </w:r>
      <w:r w:rsidRPr="00335870">
        <w:rPr>
          <w:rFonts w:ascii="Arial" w:hAnsi="Arial" w:cs="Arial"/>
          <w:noProof/>
          <w:sz w:val="24"/>
          <w:szCs w:val="24"/>
        </w:rPr>
        <w:t xml:space="preserve"> </w:t>
      </w:r>
      <w:r w:rsidRPr="00335870">
        <w:rPr>
          <w:rFonts w:ascii="Arial" w:hAnsi="Arial" w:cs="Arial"/>
          <w:b/>
          <w:bCs/>
          <w:noProof/>
          <w:sz w:val="24"/>
          <w:szCs w:val="24"/>
        </w:rPr>
        <w:t>2014</w:t>
      </w:r>
      <w:r w:rsidRPr="00335870">
        <w:rPr>
          <w:rFonts w:ascii="Arial" w:hAnsi="Arial" w:cs="Arial"/>
          <w:noProof/>
          <w:sz w:val="24"/>
          <w:szCs w:val="24"/>
        </w:rPr>
        <w:t xml:space="preserve">, </w:t>
      </w:r>
      <w:r w:rsidRPr="00335870">
        <w:rPr>
          <w:rFonts w:ascii="Arial" w:hAnsi="Arial" w:cs="Arial"/>
          <w:i/>
          <w:iCs/>
          <w:noProof/>
          <w:sz w:val="24"/>
          <w:szCs w:val="24"/>
        </w:rPr>
        <w:t>9</w:t>
      </w:r>
      <w:r w:rsidRPr="00335870">
        <w:rPr>
          <w:rFonts w:ascii="Arial" w:hAnsi="Arial" w:cs="Arial"/>
          <w:noProof/>
          <w:sz w:val="24"/>
          <w:szCs w:val="24"/>
        </w:rPr>
        <w:t xml:space="preserve"> (1), 111–115. </w:t>
      </w:r>
    </w:p>
    <w:p w14:paraId="52D2BC55" w14:textId="5AB9B9D7"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(29) </w:t>
      </w:r>
      <w:r w:rsidRPr="00335870">
        <w:rPr>
          <w:rFonts w:ascii="Arial" w:hAnsi="Arial" w:cs="Arial"/>
          <w:noProof/>
          <w:sz w:val="24"/>
          <w:szCs w:val="24"/>
        </w:rPr>
        <w:tab/>
        <w:t xml:space="preserve">Renicke, C.; Schuster, D.; Usherenko, S.; Essen, L. O.; Taxis, C. A LOV2 Domain-Based Optogenetic Tool to Control Protein Degradation and Cellular Function. </w:t>
      </w:r>
      <w:r w:rsidRPr="00335870">
        <w:rPr>
          <w:rFonts w:ascii="Arial" w:hAnsi="Arial" w:cs="Arial"/>
          <w:i/>
          <w:iCs/>
          <w:noProof/>
          <w:sz w:val="24"/>
          <w:szCs w:val="24"/>
        </w:rPr>
        <w:t>Chem. Biol.</w:t>
      </w:r>
      <w:r w:rsidRPr="00335870">
        <w:rPr>
          <w:rFonts w:ascii="Arial" w:hAnsi="Arial" w:cs="Arial"/>
          <w:noProof/>
          <w:sz w:val="24"/>
          <w:szCs w:val="24"/>
        </w:rPr>
        <w:t xml:space="preserve"> </w:t>
      </w:r>
      <w:r w:rsidRPr="00335870">
        <w:rPr>
          <w:rFonts w:ascii="Arial" w:hAnsi="Arial" w:cs="Arial"/>
          <w:b/>
          <w:bCs/>
          <w:noProof/>
          <w:sz w:val="24"/>
          <w:szCs w:val="24"/>
        </w:rPr>
        <w:t>2013</w:t>
      </w:r>
      <w:r w:rsidRPr="00335870">
        <w:rPr>
          <w:rFonts w:ascii="Arial" w:hAnsi="Arial" w:cs="Arial"/>
          <w:noProof/>
          <w:sz w:val="24"/>
          <w:szCs w:val="24"/>
        </w:rPr>
        <w:t xml:space="preserve">, </w:t>
      </w:r>
      <w:r w:rsidRPr="00335870">
        <w:rPr>
          <w:rFonts w:ascii="Arial" w:hAnsi="Arial" w:cs="Arial"/>
          <w:i/>
          <w:iCs/>
          <w:noProof/>
          <w:sz w:val="24"/>
          <w:szCs w:val="24"/>
        </w:rPr>
        <w:t>20</w:t>
      </w:r>
      <w:r w:rsidRPr="00335870">
        <w:rPr>
          <w:rFonts w:ascii="Arial" w:hAnsi="Arial" w:cs="Arial"/>
          <w:noProof/>
          <w:sz w:val="24"/>
          <w:szCs w:val="24"/>
        </w:rPr>
        <w:t xml:space="preserve"> (4), 619–626. </w:t>
      </w:r>
    </w:p>
    <w:p w14:paraId="798FEAE2" w14:textId="221B42FA"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(30) </w:t>
      </w:r>
      <w:r w:rsidRPr="00335870">
        <w:rPr>
          <w:rFonts w:ascii="Arial" w:hAnsi="Arial" w:cs="Arial"/>
          <w:noProof/>
          <w:sz w:val="24"/>
          <w:szCs w:val="24"/>
        </w:rPr>
        <w:tab/>
        <w:t xml:space="preserve">Delacour, Q.; Li, C.; Plamont, M. A.; Billon-Denis, E.; Aujard, I.; Le Saux, T.; Jullien, L.; Gautier, A. Light-Activated Proteolysis for the Spatiotemporal Control of Proteins. </w:t>
      </w:r>
      <w:r w:rsidRPr="00335870">
        <w:rPr>
          <w:rFonts w:ascii="Arial" w:hAnsi="Arial" w:cs="Arial"/>
          <w:i/>
          <w:iCs/>
          <w:noProof/>
          <w:sz w:val="24"/>
          <w:szCs w:val="24"/>
        </w:rPr>
        <w:t>ACS Chem. Biol.</w:t>
      </w:r>
      <w:r w:rsidRPr="00335870">
        <w:rPr>
          <w:rFonts w:ascii="Arial" w:hAnsi="Arial" w:cs="Arial"/>
          <w:noProof/>
          <w:sz w:val="24"/>
          <w:szCs w:val="24"/>
        </w:rPr>
        <w:t xml:space="preserve"> </w:t>
      </w:r>
      <w:r w:rsidRPr="00335870">
        <w:rPr>
          <w:rFonts w:ascii="Arial" w:hAnsi="Arial" w:cs="Arial"/>
          <w:b/>
          <w:bCs/>
          <w:noProof/>
          <w:sz w:val="24"/>
          <w:szCs w:val="24"/>
        </w:rPr>
        <w:t>2015</w:t>
      </w:r>
      <w:r w:rsidRPr="00335870">
        <w:rPr>
          <w:rFonts w:ascii="Arial" w:hAnsi="Arial" w:cs="Arial"/>
          <w:noProof/>
          <w:sz w:val="24"/>
          <w:szCs w:val="24"/>
        </w:rPr>
        <w:t xml:space="preserve">, </w:t>
      </w:r>
      <w:r w:rsidRPr="00335870">
        <w:rPr>
          <w:rFonts w:ascii="Arial" w:hAnsi="Arial" w:cs="Arial"/>
          <w:i/>
          <w:iCs/>
          <w:noProof/>
          <w:sz w:val="24"/>
          <w:szCs w:val="24"/>
        </w:rPr>
        <w:t>10</w:t>
      </w:r>
      <w:r w:rsidRPr="00335870">
        <w:rPr>
          <w:rFonts w:ascii="Arial" w:hAnsi="Arial" w:cs="Arial"/>
          <w:noProof/>
          <w:sz w:val="24"/>
          <w:szCs w:val="24"/>
        </w:rPr>
        <w:t xml:space="preserve"> (7), 1643–1647. </w:t>
      </w:r>
    </w:p>
    <w:p w14:paraId="2132D06C" w14:textId="7712E297"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(31) </w:t>
      </w:r>
      <w:r w:rsidRPr="00335870">
        <w:rPr>
          <w:rFonts w:ascii="Arial" w:hAnsi="Arial" w:cs="Arial"/>
          <w:noProof/>
          <w:sz w:val="24"/>
          <w:szCs w:val="24"/>
        </w:rPr>
        <w:tab/>
        <w:t xml:space="preserve">Xue, G.; Wang, K.; Zhou, D.; Zhong, H.; Pan, Z. Light-Induced Protein Degradation with Photocaged PROTACs. </w:t>
      </w:r>
      <w:r w:rsidRPr="00335870">
        <w:rPr>
          <w:rFonts w:ascii="Arial" w:hAnsi="Arial" w:cs="Arial"/>
          <w:i/>
          <w:iCs/>
          <w:noProof/>
          <w:sz w:val="24"/>
          <w:szCs w:val="24"/>
        </w:rPr>
        <w:t>J. Am. Chem. Soc.</w:t>
      </w:r>
      <w:r w:rsidRPr="00335870">
        <w:rPr>
          <w:rFonts w:ascii="Arial" w:hAnsi="Arial" w:cs="Arial"/>
          <w:noProof/>
          <w:sz w:val="24"/>
          <w:szCs w:val="24"/>
        </w:rPr>
        <w:t xml:space="preserve"> </w:t>
      </w:r>
      <w:r w:rsidRPr="00335870">
        <w:rPr>
          <w:rFonts w:ascii="Arial" w:hAnsi="Arial" w:cs="Arial"/>
          <w:b/>
          <w:bCs/>
          <w:noProof/>
          <w:sz w:val="24"/>
          <w:szCs w:val="24"/>
        </w:rPr>
        <w:t>2019</w:t>
      </w:r>
      <w:r w:rsidR="0081661D" w:rsidRPr="00335870">
        <w:rPr>
          <w:rFonts w:ascii="Arial" w:hAnsi="Arial" w:cs="Arial"/>
          <w:noProof/>
          <w:sz w:val="24"/>
          <w:szCs w:val="24"/>
        </w:rPr>
        <w:t>, 141, (46), 18370–18374</w:t>
      </w:r>
    </w:p>
    <w:p w14:paraId="35727D80" w14:textId="1499FEAE"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(32) </w:t>
      </w:r>
      <w:r w:rsidRPr="00335870">
        <w:rPr>
          <w:rFonts w:ascii="Arial" w:hAnsi="Arial" w:cs="Arial"/>
          <w:noProof/>
          <w:sz w:val="24"/>
          <w:szCs w:val="24"/>
        </w:rPr>
        <w:tab/>
        <w:t xml:space="preserve">Naro, Y.; Darrah, K.; Deiters, A. Optical Control of Small Molecule-Induced Protein Degradation. </w:t>
      </w:r>
      <w:r w:rsidRPr="00335870">
        <w:rPr>
          <w:rFonts w:ascii="Arial" w:hAnsi="Arial" w:cs="Arial"/>
          <w:i/>
          <w:iCs/>
          <w:noProof/>
          <w:sz w:val="24"/>
          <w:szCs w:val="24"/>
        </w:rPr>
        <w:t>J. Am. Chem. Soc.</w:t>
      </w:r>
      <w:r w:rsidRPr="00335870">
        <w:rPr>
          <w:rFonts w:ascii="Arial" w:hAnsi="Arial" w:cs="Arial"/>
          <w:noProof/>
          <w:sz w:val="24"/>
          <w:szCs w:val="24"/>
        </w:rPr>
        <w:t xml:space="preserve"> </w:t>
      </w:r>
      <w:r w:rsidRPr="00335870">
        <w:rPr>
          <w:rFonts w:ascii="Arial" w:hAnsi="Arial" w:cs="Arial"/>
          <w:b/>
          <w:bCs/>
          <w:noProof/>
          <w:sz w:val="24"/>
          <w:szCs w:val="24"/>
        </w:rPr>
        <w:t>2020</w:t>
      </w:r>
      <w:r w:rsidRPr="00335870">
        <w:rPr>
          <w:rFonts w:ascii="Arial" w:hAnsi="Arial" w:cs="Arial"/>
          <w:noProof/>
          <w:sz w:val="24"/>
          <w:szCs w:val="24"/>
        </w:rPr>
        <w:t xml:space="preserve">, </w:t>
      </w:r>
      <w:r w:rsidRPr="00335870">
        <w:rPr>
          <w:rFonts w:ascii="Arial" w:hAnsi="Arial" w:cs="Arial"/>
          <w:i/>
          <w:iCs/>
          <w:noProof/>
          <w:sz w:val="24"/>
          <w:szCs w:val="24"/>
        </w:rPr>
        <w:t>142</w:t>
      </w:r>
      <w:r w:rsidRPr="00335870">
        <w:rPr>
          <w:rFonts w:ascii="Arial" w:hAnsi="Arial" w:cs="Arial"/>
          <w:noProof/>
          <w:sz w:val="24"/>
          <w:szCs w:val="24"/>
        </w:rPr>
        <w:t xml:space="preserve"> (5), 2193–2197. </w:t>
      </w:r>
    </w:p>
    <w:p w14:paraId="04456F2C" w14:textId="72CC1394"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(33) </w:t>
      </w:r>
      <w:r w:rsidRPr="00335870">
        <w:rPr>
          <w:rFonts w:ascii="Arial" w:hAnsi="Arial" w:cs="Arial"/>
          <w:noProof/>
          <w:sz w:val="24"/>
          <w:szCs w:val="24"/>
        </w:rPr>
        <w:tab/>
        <w:t xml:space="preserve">Kounde, C. S.; Shchepinova, M. M.; Saunders, C. N.; Muelbaier, M.; Rackham, M. D.; Harling, J. D.; Tate, E. W. A Caged E3 Ligase Ligand for PROTAC-Mediated Protein Degradation with Light. </w:t>
      </w:r>
      <w:r w:rsidRPr="00335870">
        <w:rPr>
          <w:rFonts w:ascii="Arial" w:hAnsi="Arial" w:cs="Arial"/>
          <w:i/>
          <w:iCs/>
          <w:noProof/>
          <w:sz w:val="24"/>
          <w:szCs w:val="24"/>
        </w:rPr>
        <w:t>Chem. Commun.</w:t>
      </w:r>
      <w:r w:rsidRPr="00335870">
        <w:rPr>
          <w:rFonts w:ascii="Arial" w:hAnsi="Arial" w:cs="Arial"/>
          <w:noProof/>
          <w:sz w:val="24"/>
          <w:szCs w:val="24"/>
        </w:rPr>
        <w:t xml:space="preserve"> </w:t>
      </w:r>
      <w:r w:rsidRPr="00335870">
        <w:rPr>
          <w:rFonts w:ascii="Arial" w:hAnsi="Arial" w:cs="Arial"/>
          <w:b/>
          <w:bCs/>
          <w:noProof/>
          <w:sz w:val="24"/>
          <w:szCs w:val="24"/>
        </w:rPr>
        <w:t>2020</w:t>
      </w:r>
      <w:r w:rsidRPr="00335870">
        <w:rPr>
          <w:rFonts w:ascii="Arial" w:hAnsi="Arial" w:cs="Arial"/>
          <w:noProof/>
          <w:sz w:val="24"/>
          <w:szCs w:val="24"/>
        </w:rPr>
        <w:t xml:space="preserve">, </w:t>
      </w:r>
      <w:r w:rsidRPr="00335870">
        <w:rPr>
          <w:rFonts w:ascii="Arial" w:hAnsi="Arial" w:cs="Arial"/>
          <w:i/>
          <w:iCs/>
          <w:noProof/>
          <w:sz w:val="24"/>
          <w:szCs w:val="24"/>
        </w:rPr>
        <w:t>56</w:t>
      </w:r>
      <w:r w:rsidRPr="00335870">
        <w:rPr>
          <w:rFonts w:ascii="Arial" w:hAnsi="Arial" w:cs="Arial"/>
          <w:noProof/>
          <w:sz w:val="24"/>
          <w:szCs w:val="24"/>
        </w:rPr>
        <w:t xml:space="preserve"> (41), 5532–5535. </w:t>
      </w:r>
    </w:p>
    <w:p w14:paraId="76C68C06" w14:textId="5D81720E" w:rsidR="005D6924" w:rsidRPr="00335870" w:rsidRDefault="005D6924" w:rsidP="00A05B27">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(34) </w:t>
      </w:r>
      <w:r w:rsidRPr="00335870">
        <w:rPr>
          <w:rFonts w:ascii="Arial" w:hAnsi="Arial" w:cs="Arial"/>
          <w:noProof/>
          <w:sz w:val="24"/>
          <w:szCs w:val="24"/>
        </w:rPr>
        <w:tab/>
        <w:t>Liu, J.; Chen, H.; Ma, L.; He, Z.; Wang, D.; Liu, Y.; Lin, Q.; Zhang, T.; Gray, N.; Kaniskan, H. Ü.;</w:t>
      </w:r>
      <w:r w:rsidR="00A05B27" w:rsidRPr="00335870">
        <w:rPr>
          <w:rFonts w:ascii="Times New Roman" w:eastAsia="Times New Roman" w:hAnsi="Times New Roman" w:cs="Times New Roman"/>
          <w:sz w:val="24"/>
          <w:szCs w:val="24"/>
        </w:rPr>
        <w:t xml:space="preserve"> </w:t>
      </w:r>
      <w:r w:rsidR="00A05B27" w:rsidRPr="00335870">
        <w:rPr>
          <w:rFonts w:ascii="Arial" w:hAnsi="Arial" w:cs="Arial"/>
          <w:noProof/>
          <w:sz w:val="24"/>
          <w:szCs w:val="24"/>
        </w:rPr>
        <w:t>Jin, J.; Wei, W</w:t>
      </w:r>
      <w:r w:rsidRPr="00335870">
        <w:rPr>
          <w:rFonts w:ascii="Arial" w:hAnsi="Arial" w:cs="Arial"/>
          <w:noProof/>
          <w:sz w:val="24"/>
          <w:szCs w:val="24"/>
        </w:rPr>
        <w:t xml:space="preserve">. Light-Induced Control of Protein Destruction by Opto-PROTAC. </w:t>
      </w:r>
      <w:r w:rsidRPr="00335870">
        <w:rPr>
          <w:rFonts w:ascii="Arial" w:hAnsi="Arial" w:cs="Arial"/>
          <w:i/>
          <w:iCs/>
          <w:noProof/>
          <w:sz w:val="24"/>
          <w:szCs w:val="24"/>
        </w:rPr>
        <w:t>Sci. Adv.</w:t>
      </w:r>
      <w:r w:rsidRPr="00335870">
        <w:rPr>
          <w:rFonts w:ascii="Arial" w:hAnsi="Arial" w:cs="Arial"/>
          <w:noProof/>
          <w:sz w:val="24"/>
          <w:szCs w:val="24"/>
        </w:rPr>
        <w:t xml:space="preserve"> </w:t>
      </w:r>
      <w:r w:rsidRPr="00335870">
        <w:rPr>
          <w:rFonts w:ascii="Arial" w:hAnsi="Arial" w:cs="Arial"/>
          <w:b/>
          <w:bCs/>
          <w:noProof/>
          <w:sz w:val="24"/>
          <w:szCs w:val="24"/>
        </w:rPr>
        <w:t>2020</w:t>
      </w:r>
      <w:r w:rsidRPr="00335870">
        <w:rPr>
          <w:rFonts w:ascii="Arial" w:hAnsi="Arial" w:cs="Arial"/>
          <w:noProof/>
          <w:sz w:val="24"/>
          <w:szCs w:val="24"/>
        </w:rPr>
        <w:t xml:space="preserve">, </w:t>
      </w:r>
      <w:r w:rsidRPr="00335870">
        <w:rPr>
          <w:rFonts w:ascii="Arial" w:hAnsi="Arial" w:cs="Arial"/>
          <w:i/>
          <w:iCs/>
          <w:noProof/>
          <w:sz w:val="24"/>
          <w:szCs w:val="24"/>
        </w:rPr>
        <w:t>6</w:t>
      </w:r>
      <w:r w:rsidRPr="00335870">
        <w:rPr>
          <w:rFonts w:ascii="Arial" w:hAnsi="Arial" w:cs="Arial"/>
          <w:noProof/>
          <w:sz w:val="24"/>
          <w:szCs w:val="24"/>
        </w:rPr>
        <w:t xml:space="preserve"> (8), 1–12.</w:t>
      </w:r>
    </w:p>
    <w:p w14:paraId="39F6C65B" w14:textId="02689E2D"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(35) </w:t>
      </w:r>
      <w:r w:rsidRPr="00335870">
        <w:rPr>
          <w:rFonts w:ascii="Arial" w:hAnsi="Arial" w:cs="Arial"/>
          <w:noProof/>
          <w:sz w:val="24"/>
          <w:szCs w:val="24"/>
        </w:rPr>
        <w:tab/>
        <w:t xml:space="preserve">Pfaff, P.; Samarasinghe, K. T. G.; Crews, C. M.; Carreira, E. M. Reversible Spatiotemporal Control of Induced Protein Degradation by Bistable PhotoPROTACs. </w:t>
      </w:r>
      <w:r w:rsidRPr="00335870">
        <w:rPr>
          <w:rFonts w:ascii="Arial" w:hAnsi="Arial" w:cs="Arial"/>
          <w:i/>
          <w:iCs/>
          <w:noProof/>
          <w:sz w:val="24"/>
          <w:szCs w:val="24"/>
        </w:rPr>
        <w:t>ACS Cent. Sci.</w:t>
      </w:r>
      <w:r w:rsidRPr="00335870">
        <w:rPr>
          <w:rFonts w:ascii="Arial" w:hAnsi="Arial" w:cs="Arial"/>
          <w:noProof/>
          <w:sz w:val="24"/>
          <w:szCs w:val="24"/>
        </w:rPr>
        <w:t xml:space="preserve"> </w:t>
      </w:r>
      <w:r w:rsidRPr="00335870">
        <w:rPr>
          <w:rFonts w:ascii="Arial" w:hAnsi="Arial" w:cs="Arial"/>
          <w:b/>
          <w:bCs/>
          <w:noProof/>
          <w:sz w:val="24"/>
          <w:szCs w:val="24"/>
        </w:rPr>
        <w:t>2019</w:t>
      </w:r>
      <w:r w:rsidR="008F5635" w:rsidRPr="00335870">
        <w:rPr>
          <w:rFonts w:ascii="Arial" w:hAnsi="Arial" w:cs="Arial"/>
          <w:noProof/>
          <w:sz w:val="24"/>
          <w:szCs w:val="24"/>
        </w:rPr>
        <w:t>, 5, (10), 1682–1690.</w:t>
      </w:r>
    </w:p>
    <w:p w14:paraId="4B24546B" w14:textId="49A7B810"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(36) </w:t>
      </w:r>
      <w:r w:rsidRPr="00335870">
        <w:rPr>
          <w:rFonts w:ascii="Arial" w:hAnsi="Arial" w:cs="Arial"/>
          <w:noProof/>
          <w:sz w:val="24"/>
          <w:szCs w:val="24"/>
        </w:rPr>
        <w:tab/>
        <w:t xml:space="preserve">Reynders, M.; Matsuura, B. S.; Bérouti, M.; Simoneschi, D.; Marzio, A.; Pagano, M.; Trauner, D. PHOTACs Enable Optical Control of Protein Degradation. </w:t>
      </w:r>
      <w:r w:rsidRPr="00335870">
        <w:rPr>
          <w:rFonts w:ascii="Arial" w:hAnsi="Arial" w:cs="Arial"/>
          <w:i/>
          <w:iCs/>
          <w:noProof/>
          <w:sz w:val="24"/>
          <w:szCs w:val="24"/>
        </w:rPr>
        <w:t>Sci. Adv.</w:t>
      </w:r>
      <w:r w:rsidRPr="00335870">
        <w:rPr>
          <w:rFonts w:ascii="Arial" w:hAnsi="Arial" w:cs="Arial"/>
          <w:noProof/>
          <w:sz w:val="24"/>
          <w:szCs w:val="24"/>
        </w:rPr>
        <w:t xml:space="preserve"> </w:t>
      </w:r>
      <w:r w:rsidRPr="00335870">
        <w:rPr>
          <w:rFonts w:ascii="Arial" w:hAnsi="Arial" w:cs="Arial"/>
          <w:b/>
          <w:bCs/>
          <w:noProof/>
          <w:sz w:val="24"/>
          <w:szCs w:val="24"/>
        </w:rPr>
        <w:t>2020</w:t>
      </w:r>
      <w:r w:rsidRPr="00335870">
        <w:rPr>
          <w:rFonts w:ascii="Arial" w:hAnsi="Arial" w:cs="Arial"/>
          <w:noProof/>
          <w:sz w:val="24"/>
          <w:szCs w:val="24"/>
        </w:rPr>
        <w:t xml:space="preserve">, </w:t>
      </w:r>
      <w:r w:rsidRPr="00335870">
        <w:rPr>
          <w:rFonts w:ascii="Arial" w:hAnsi="Arial" w:cs="Arial"/>
          <w:i/>
          <w:iCs/>
          <w:noProof/>
          <w:sz w:val="24"/>
          <w:szCs w:val="24"/>
        </w:rPr>
        <w:t>6</w:t>
      </w:r>
      <w:r w:rsidRPr="00335870">
        <w:rPr>
          <w:rFonts w:ascii="Arial" w:hAnsi="Arial" w:cs="Arial"/>
          <w:noProof/>
          <w:sz w:val="24"/>
          <w:szCs w:val="24"/>
        </w:rPr>
        <w:t xml:space="preserve"> (8)</w:t>
      </w:r>
      <w:r w:rsidR="00192528" w:rsidRPr="00335870">
        <w:rPr>
          <w:rFonts w:ascii="Arial" w:hAnsi="Arial" w:cs="Arial"/>
          <w:noProof/>
          <w:sz w:val="24"/>
          <w:szCs w:val="24"/>
        </w:rPr>
        <w:t xml:space="preserve"> eaay5064.</w:t>
      </w:r>
    </w:p>
    <w:p w14:paraId="4BC77206" w14:textId="1E5FB41E"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(37) </w:t>
      </w:r>
      <w:r w:rsidRPr="00335870">
        <w:rPr>
          <w:rFonts w:ascii="Arial" w:hAnsi="Arial" w:cs="Arial"/>
          <w:noProof/>
          <w:sz w:val="24"/>
          <w:szCs w:val="24"/>
        </w:rPr>
        <w:tab/>
        <w:t xml:space="preserve">Jin, Y. H.; Lu, M. C.; Wang, Y.; Shan, W. X.; Wang, X. Y.; You, Q. D.; Jiang, Z. Y. Azo-Protac: Novel Light-Controlled Small-Molecule Tool for Protein Knockdown. </w:t>
      </w:r>
      <w:r w:rsidRPr="00335870">
        <w:rPr>
          <w:rFonts w:ascii="Arial" w:hAnsi="Arial" w:cs="Arial"/>
          <w:i/>
          <w:iCs/>
          <w:noProof/>
          <w:sz w:val="24"/>
          <w:szCs w:val="24"/>
        </w:rPr>
        <w:t>J. Med. Chem.</w:t>
      </w:r>
      <w:r w:rsidRPr="00335870">
        <w:rPr>
          <w:rFonts w:ascii="Arial" w:hAnsi="Arial" w:cs="Arial"/>
          <w:noProof/>
          <w:sz w:val="24"/>
          <w:szCs w:val="24"/>
        </w:rPr>
        <w:t xml:space="preserve"> </w:t>
      </w:r>
      <w:r w:rsidRPr="00335870">
        <w:rPr>
          <w:rFonts w:ascii="Arial" w:hAnsi="Arial" w:cs="Arial"/>
          <w:b/>
          <w:bCs/>
          <w:noProof/>
          <w:sz w:val="24"/>
          <w:szCs w:val="24"/>
        </w:rPr>
        <w:t>2020</w:t>
      </w:r>
      <w:r w:rsidRPr="00335870">
        <w:rPr>
          <w:rFonts w:ascii="Arial" w:hAnsi="Arial" w:cs="Arial"/>
          <w:noProof/>
          <w:sz w:val="24"/>
          <w:szCs w:val="24"/>
        </w:rPr>
        <w:t xml:space="preserve">, </w:t>
      </w:r>
      <w:r w:rsidRPr="00335870">
        <w:rPr>
          <w:rFonts w:ascii="Arial" w:hAnsi="Arial" w:cs="Arial"/>
          <w:i/>
          <w:iCs/>
          <w:noProof/>
          <w:sz w:val="24"/>
          <w:szCs w:val="24"/>
        </w:rPr>
        <w:t>63</w:t>
      </w:r>
      <w:r w:rsidRPr="00335870">
        <w:rPr>
          <w:rFonts w:ascii="Arial" w:hAnsi="Arial" w:cs="Arial"/>
          <w:noProof/>
          <w:sz w:val="24"/>
          <w:szCs w:val="24"/>
        </w:rPr>
        <w:t xml:space="preserve"> (9), 4644–4654. </w:t>
      </w:r>
    </w:p>
    <w:p w14:paraId="3D6E3243" w14:textId="569223D1"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(38) </w:t>
      </w:r>
      <w:r w:rsidRPr="00335870">
        <w:rPr>
          <w:rFonts w:ascii="Arial" w:hAnsi="Arial" w:cs="Arial"/>
          <w:noProof/>
          <w:sz w:val="24"/>
          <w:szCs w:val="24"/>
        </w:rPr>
        <w:tab/>
        <w:t xml:space="preserve">Manna, D.; Verma, S. Controlling PROTACs With Light. </w:t>
      </w:r>
      <w:r w:rsidRPr="00335870">
        <w:rPr>
          <w:rFonts w:ascii="Arial" w:hAnsi="Arial" w:cs="Arial"/>
          <w:i/>
          <w:iCs/>
          <w:noProof/>
          <w:sz w:val="24"/>
          <w:szCs w:val="24"/>
        </w:rPr>
        <w:t>ChemMedChem</w:t>
      </w:r>
      <w:r w:rsidRPr="00335870">
        <w:rPr>
          <w:rFonts w:ascii="Arial" w:hAnsi="Arial" w:cs="Arial"/>
          <w:noProof/>
          <w:sz w:val="24"/>
          <w:szCs w:val="24"/>
        </w:rPr>
        <w:t xml:space="preserve"> </w:t>
      </w:r>
      <w:r w:rsidRPr="00335870">
        <w:rPr>
          <w:rFonts w:ascii="Arial" w:hAnsi="Arial" w:cs="Arial"/>
          <w:b/>
          <w:bCs/>
          <w:noProof/>
          <w:sz w:val="24"/>
          <w:szCs w:val="24"/>
        </w:rPr>
        <w:t>2020</w:t>
      </w:r>
      <w:r w:rsidRPr="00335870">
        <w:rPr>
          <w:rFonts w:ascii="Arial" w:hAnsi="Arial" w:cs="Arial"/>
          <w:noProof/>
          <w:sz w:val="24"/>
          <w:szCs w:val="24"/>
        </w:rPr>
        <w:t xml:space="preserve">, 1–5. </w:t>
      </w:r>
    </w:p>
    <w:p w14:paraId="478B0543" w14:textId="1B2FE39E"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(39) </w:t>
      </w:r>
      <w:r w:rsidRPr="00335870">
        <w:rPr>
          <w:rFonts w:ascii="Arial" w:hAnsi="Arial" w:cs="Arial"/>
          <w:noProof/>
          <w:sz w:val="24"/>
          <w:szCs w:val="24"/>
        </w:rPr>
        <w:tab/>
        <w:t xml:space="preserve">Nalawansha, D. A.; Crews, C. M. PROTACs: An Emerging Therapeutic Modality in Precision Medicine. </w:t>
      </w:r>
      <w:r w:rsidRPr="00335870">
        <w:rPr>
          <w:rFonts w:ascii="Arial" w:hAnsi="Arial" w:cs="Arial"/>
          <w:i/>
          <w:iCs/>
          <w:noProof/>
          <w:sz w:val="24"/>
          <w:szCs w:val="24"/>
        </w:rPr>
        <w:t>Cell Chem. Biol.</w:t>
      </w:r>
      <w:r w:rsidRPr="00335870">
        <w:rPr>
          <w:rFonts w:ascii="Arial" w:hAnsi="Arial" w:cs="Arial"/>
          <w:noProof/>
          <w:sz w:val="24"/>
          <w:szCs w:val="24"/>
        </w:rPr>
        <w:t xml:space="preserve"> </w:t>
      </w:r>
      <w:r w:rsidRPr="00335870">
        <w:rPr>
          <w:rFonts w:ascii="Arial" w:hAnsi="Arial" w:cs="Arial"/>
          <w:b/>
          <w:bCs/>
          <w:noProof/>
          <w:sz w:val="24"/>
          <w:szCs w:val="24"/>
        </w:rPr>
        <w:t>2020</w:t>
      </w:r>
      <w:r w:rsidRPr="00335870">
        <w:rPr>
          <w:rFonts w:ascii="Arial" w:hAnsi="Arial" w:cs="Arial"/>
          <w:noProof/>
          <w:sz w:val="24"/>
          <w:szCs w:val="24"/>
        </w:rPr>
        <w:t>,</w:t>
      </w:r>
      <w:r w:rsidR="00D1084B" w:rsidRPr="00335870">
        <w:rPr>
          <w:rFonts w:ascii="Arial" w:hAnsi="Arial" w:cs="Arial"/>
          <w:noProof/>
          <w:sz w:val="24"/>
          <w:szCs w:val="24"/>
        </w:rPr>
        <w:t xml:space="preserve"> 27, 998–1014</w:t>
      </w:r>
      <w:r w:rsidRPr="00335870">
        <w:rPr>
          <w:rFonts w:ascii="Arial" w:hAnsi="Arial" w:cs="Arial"/>
          <w:noProof/>
          <w:sz w:val="24"/>
          <w:szCs w:val="24"/>
        </w:rPr>
        <w:t xml:space="preserve">. </w:t>
      </w:r>
    </w:p>
    <w:p w14:paraId="3B55BBC6" w14:textId="38DDAC71"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(40) </w:t>
      </w:r>
      <w:r w:rsidRPr="00335870">
        <w:rPr>
          <w:rFonts w:ascii="Arial" w:hAnsi="Arial" w:cs="Arial"/>
          <w:noProof/>
          <w:sz w:val="24"/>
          <w:szCs w:val="24"/>
        </w:rPr>
        <w:tab/>
        <w:t xml:space="preserve">Mayer, G.; Hechel, A. Biologically Active Molecules with a “Light Switch.” </w:t>
      </w:r>
      <w:r w:rsidRPr="00335870">
        <w:rPr>
          <w:rFonts w:ascii="Arial" w:hAnsi="Arial" w:cs="Arial"/>
          <w:i/>
          <w:iCs/>
          <w:noProof/>
          <w:sz w:val="24"/>
          <w:szCs w:val="24"/>
        </w:rPr>
        <w:t>Angew. Chemie - Int. Ed.</w:t>
      </w:r>
      <w:r w:rsidRPr="00335870">
        <w:rPr>
          <w:rFonts w:ascii="Arial" w:hAnsi="Arial" w:cs="Arial"/>
          <w:noProof/>
          <w:sz w:val="24"/>
          <w:szCs w:val="24"/>
        </w:rPr>
        <w:t xml:space="preserve"> </w:t>
      </w:r>
      <w:r w:rsidRPr="00335870">
        <w:rPr>
          <w:rFonts w:ascii="Arial" w:hAnsi="Arial" w:cs="Arial"/>
          <w:b/>
          <w:bCs/>
          <w:noProof/>
          <w:sz w:val="24"/>
          <w:szCs w:val="24"/>
        </w:rPr>
        <w:t>2006</w:t>
      </w:r>
      <w:r w:rsidRPr="00335870">
        <w:rPr>
          <w:rFonts w:ascii="Arial" w:hAnsi="Arial" w:cs="Arial"/>
          <w:noProof/>
          <w:sz w:val="24"/>
          <w:szCs w:val="24"/>
        </w:rPr>
        <w:t xml:space="preserve">, </w:t>
      </w:r>
      <w:r w:rsidRPr="00335870">
        <w:rPr>
          <w:rFonts w:ascii="Arial" w:hAnsi="Arial" w:cs="Arial"/>
          <w:i/>
          <w:iCs/>
          <w:noProof/>
          <w:sz w:val="24"/>
          <w:szCs w:val="24"/>
        </w:rPr>
        <w:t>45</w:t>
      </w:r>
      <w:r w:rsidRPr="00335870">
        <w:rPr>
          <w:rFonts w:ascii="Arial" w:hAnsi="Arial" w:cs="Arial"/>
          <w:noProof/>
          <w:sz w:val="24"/>
          <w:szCs w:val="24"/>
        </w:rPr>
        <w:t xml:space="preserve"> (30), 4900–4921. </w:t>
      </w:r>
    </w:p>
    <w:p w14:paraId="63116C00" w14:textId="6DD8B4DD" w:rsidR="005D6924" w:rsidRPr="00335870" w:rsidRDefault="005D6924" w:rsidP="000522C3">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(41) </w:t>
      </w:r>
      <w:r w:rsidRPr="00335870">
        <w:rPr>
          <w:rFonts w:ascii="Arial" w:hAnsi="Arial" w:cs="Arial"/>
          <w:noProof/>
          <w:sz w:val="24"/>
          <w:szCs w:val="24"/>
        </w:rPr>
        <w:tab/>
        <w:t>Dobrovolsky, D.; Wang, E. S.; Morrow, S.; Leahy, C.; Faust, T.; Nowak, R. P.; Donovan, K. A.; Yang, G.; Li, Z.; Fischer, E. S.;</w:t>
      </w:r>
      <w:r w:rsidR="000522C3" w:rsidRPr="00335870">
        <w:rPr>
          <w:rFonts w:ascii="Arial" w:hAnsi="Arial" w:cs="Arial"/>
          <w:noProof/>
          <w:sz w:val="24"/>
          <w:szCs w:val="24"/>
        </w:rPr>
        <w:t xml:space="preserve"> Treon, S. P.; Weinstock, D. M.; Gray, N.S</w:t>
      </w:r>
      <w:r w:rsidRPr="00335870">
        <w:rPr>
          <w:rFonts w:ascii="Arial" w:hAnsi="Arial" w:cs="Arial"/>
          <w:noProof/>
          <w:sz w:val="24"/>
          <w:szCs w:val="24"/>
        </w:rPr>
        <w:t xml:space="preserve">. Bruton Tyrosine Kinase Degradation as a Therapeutic Strategy for Cancer. </w:t>
      </w:r>
      <w:r w:rsidRPr="00335870">
        <w:rPr>
          <w:rFonts w:ascii="Arial" w:hAnsi="Arial" w:cs="Arial"/>
          <w:i/>
          <w:iCs/>
          <w:noProof/>
          <w:sz w:val="24"/>
          <w:szCs w:val="24"/>
        </w:rPr>
        <w:t>Blood</w:t>
      </w:r>
      <w:r w:rsidRPr="00335870">
        <w:rPr>
          <w:rFonts w:ascii="Arial" w:hAnsi="Arial" w:cs="Arial"/>
          <w:noProof/>
          <w:sz w:val="24"/>
          <w:szCs w:val="24"/>
        </w:rPr>
        <w:t xml:space="preserve"> </w:t>
      </w:r>
      <w:r w:rsidRPr="00335870">
        <w:rPr>
          <w:rFonts w:ascii="Arial" w:hAnsi="Arial" w:cs="Arial"/>
          <w:b/>
          <w:bCs/>
          <w:noProof/>
          <w:sz w:val="24"/>
          <w:szCs w:val="24"/>
        </w:rPr>
        <w:t>2019</w:t>
      </w:r>
      <w:r w:rsidRPr="00335870">
        <w:rPr>
          <w:rFonts w:ascii="Arial" w:hAnsi="Arial" w:cs="Arial"/>
          <w:noProof/>
          <w:sz w:val="24"/>
          <w:szCs w:val="24"/>
        </w:rPr>
        <w:t xml:space="preserve">, </w:t>
      </w:r>
      <w:r w:rsidRPr="00335870">
        <w:rPr>
          <w:rFonts w:ascii="Arial" w:hAnsi="Arial" w:cs="Arial"/>
          <w:i/>
          <w:iCs/>
          <w:noProof/>
          <w:sz w:val="24"/>
          <w:szCs w:val="24"/>
        </w:rPr>
        <w:t>133</w:t>
      </w:r>
      <w:r w:rsidRPr="00335870">
        <w:rPr>
          <w:rFonts w:ascii="Arial" w:hAnsi="Arial" w:cs="Arial"/>
          <w:noProof/>
          <w:sz w:val="24"/>
          <w:szCs w:val="24"/>
        </w:rPr>
        <w:t xml:space="preserve"> (9), 952–961. </w:t>
      </w:r>
    </w:p>
    <w:p w14:paraId="2E692A5F" w14:textId="7315C683"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(42) </w:t>
      </w:r>
      <w:r w:rsidRPr="00335870">
        <w:rPr>
          <w:rFonts w:ascii="Arial" w:hAnsi="Arial" w:cs="Arial"/>
          <w:noProof/>
          <w:sz w:val="24"/>
          <w:szCs w:val="24"/>
        </w:rPr>
        <w:tab/>
        <w:t xml:space="preserve">Winter, G. E.; Buckley, D. L.; Paulk, J.; Roberts, J. M.; Souza, A.; Dhe-Paganon, S.; Bradner, J. E. Phthalimide Conjugation as a Strategy for in Vivo Target Protein Degradation. </w:t>
      </w:r>
      <w:r w:rsidRPr="00335870">
        <w:rPr>
          <w:rFonts w:ascii="Arial" w:hAnsi="Arial" w:cs="Arial"/>
          <w:i/>
          <w:iCs/>
          <w:noProof/>
          <w:sz w:val="24"/>
          <w:szCs w:val="24"/>
        </w:rPr>
        <w:t>Science (8</w:t>
      </w:r>
      <w:r w:rsidR="0001508F" w:rsidRPr="00335870">
        <w:rPr>
          <w:rFonts w:ascii="Arial" w:hAnsi="Arial" w:cs="Arial"/>
          <w:i/>
          <w:iCs/>
          <w:noProof/>
          <w:sz w:val="24"/>
          <w:szCs w:val="24"/>
        </w:rPr>
        <w:t>0</w:t>
      </w:r>
      <w:r w:rsidRPr="00335870">
        <w:rPr>
          <w:rFonts w:ascii="Arial" w:hAnsi="Arial" w:cs="Arial"/>
          <w:i/>
          <w:iCs/>
          <w:noProof/>
          <w:sz w:val="24"/>
          <w:szCs w:val="24"/>
        </w:rPr>
        <w:t>).</w:t>
      </w:r>
      <w:r w:rsidRPr="00335870">
        <w:rPr>
          <w:rFonts w:ascii="Arial" w:hAnsi="Arial" w:cs="Arial"/>
          <w:noProof/>
          <w:sz w:val="24"/>
          <w:szCs w:val="24"/>
        </w:rPr>
        <w:t xml:space="preserve"> </w:t>
      </w:r>
      <w:r w:rsidRPr="00335870">
        <w:rPr>
          <w:rFonts w:ascii="Arial" w:hAnsi="Arial" w:cs="Arial"/>
          <w:b/>
          <w:bCs/>
          <w:noProof/>
          <w:sz w:val="24"/>
          <w:szCs w:val="24"/>
        </w:rPr>
        <w:t>2015</w:t>
      </w:r>
      <w:r w:rsidRPr="00335870">
        <w:rPr>
          <w:rFonts w:ascii="Arial" w:hAnsi="Arial" w:cs="Arial"/>
          <w:noProof/>
          <w:sz w:val="24"/>
          <w:szCs w:val="24"/>
        </w:rPr>
        <w:t xml:space="preserve">, </w:t>
      </w:r>
      <w:r w:rsidRPr="00335870">
        <w:rPr>
          <w:rFonts w:ascii="Arial" w:hAnsi="Arial" w:cs="Arial"/>
          <w:i/>
          <w:iCs/>
          <w:noProof/>
          <w:sz w:val="24"/>
          <w:szCs w:val="24"/>
        </w:rPr>
        <w:t>348</w:t>
      </w:r>
      <w:r w:rsidRPr="00335870">
        <w:rPr>
          <w:rFonts w:ascii="Arial" w:hAnsi="Arial" w:cs="Arial"/>
          <w:noProof/>
          <w:sz w:val="24"/>
          <w:szCs w:val="24"/>
        </w:rPr>
        <w:t xml:space="preserve"> (6241), 1376–1381. </w:t>
      </w:r>
    </w:p>
    <w:p w14:paraId="138B4758" w14:textId="488367DD" w:rsidR="005D6924" w:rsidRPr="00335870" w:rsidRDefault="005D6924" w:rsidP="00F90809">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(43) </w:t>
      </w:r>
      <w:r w:rsidRPr="00335870">
        <w:rPr>
          <w:rFonts w:ascii="Arial" w:hAnsi="Arial" w:cs="Arial"/>
          <w:noProof/>
          <w:sz w:val="24"/>
          <w:szCs w:val="24"/>
        </w:rPr>
        <w:tab/>
        <w:t xml:space="preserve">Ishoey, M.; Chorn, S.; Singh, N.; Jaeger, M. G.; Brand, M.; Paulk, J.; Bauer, S.; Erb, M. A.; Parapatics, K.; Müller, A. C.; </w:t>
      </w:r>
      <w:r w:rsidR="00F90809" w:rsidRPr="00335870">
        <w:rPr>
          <w:rFonts w:ascii="Arial" w:hAnsi="Arial" w:cs="Arial"/>
          <w:noProof/>
          <w:sz w:val="24"/>
          <w:szCs w:val="24"/>
        </w:rPr>
        <w:t>Bennett, K. L.; Ecker, G. F.; Bradner, J. E.; Winter, G. E.</w:t>
      </w:r>
      <w:r w:rsidRPr="00335870">
        <w:rPr>
          <w:rFonts w:ascii="Arial" w:hAnsi="Arial" w:cs="Arial"/>
          <w:noProof/>
          <w:sz w:val="24"/>
          <w:szCs w:val="24"/>
        </w:rPr>
        <w:t xml:space="preserve"> Translation Termination Factor GSPT1 Is a Phenotypically Relevant Off-Target of Heterobifunctional Phthalimide Degraders. </w:t>
      </w:r>
      <w:r w:rsidRPr="00335870">
        <w:rPr>
          <w:rFonts w:ascii="Arial" w:hAnsi="Arial" w:cs="Arial"/>
          <w:i/>
          <w:iCs/>
          <w:noProof/>
          <w:sz w:val="24"/>
          <w:szCs w:val="24"/>
        </w:rPr>
        <w:t>ACS Chem. Biol.</w:t>
      </w:r>
      <w:r w:rsidRPr="00335870">
        <w:rPr>
          <w:rFonts w:ascii="Arial" w:hAnsi="Arial" w:cs="Arial"/>
          <w:noProof/>
          <w:sz w:val="24"/>
          <w:szCs w:val="24"/>
        </w:rPr>
        <w:t xml:space="preserve"> </w:t>
      </w:r>
      <w:r w:rsidRPr="00335870">
        <w:rPr>
          <w:rFonts w:ascii="Arial" w:hAnsi="Arial" w:cs="Arial"/>
          <w:b/>
          <w:bCs/>
          <w:noProof/>
          <w:sz w:val="24"/>
          <w:szCs w:val="24"/>
        </w:rPr>
        <w:t>2018</w:t>
      </w:r>
      <w:r w:rsidRPr="00335870">
        <w:rPr>
          <w:rFonts w:ascii="Arial" w:hAnsi="Arial" w:cs="Arial"/>
          <w:noProof/>
          <w:sz w:val="24"/>
          <w:szCs w:val="24"/>
        </w:rPr>
        <w:t xml:space="preserve">, </w:t>
      </w:r>
      <w:r w:rsidRPr="00335870">
        <w:rPr>
          <w:rFonts w:ascii="Arial" w:hAnsi="Arial" w:cs="Arial"/>
          <w:i/>
          <w:iCs/>
          <w:noProof/>
          <w:sz w:val="24"/>
          <w:szCs w:val="24"/>
        </w:rPr>
        <w:t>13</w:t>
      </w:r>
      <w:r w:rsidRPr="00335870">
        <w:rPr>
          <w:rFonts w:ascii="Arial" w:hAnsi="Arial" w:cs="Arial"/>
          <w:noProof/>
          <w:sz w:val="24"/>
          <w:szCs w:val="24"/>
        </w:rPr>
        <w:t xml:space="preserve"> (3), 553–560. </w:t>
      </w:r>
    </w:p>
    <w:p w14:paraId="613CC3B9" w14:textId="7391BA30"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(44) </w:t>
      </w:r>
      <w:r w:rsidRPr="00335870">
        <w:rPr>
          <w:rFonts w:ascii="Arial" w:hAnsi="Arial" w:cs="Arial"/>
          <w:noProof/>
          <w:sz w:val="24"/>
          <w:szCs w:val="24"/>
        </w:rPr>
        <w:tab/>
        <w:t xml:space="preserve">Zengerle, M.; Chan, K. H.; Ciulli, A. Selective Small Molecule Induced Degradation of the BET Bromodomain Protein BRD4. </w:t>
      </w:r>
      <w:r w:rsidRPr="00335870">
        <w:rPr>
          <w:rFonts w:ascii="Arial" w:hAnsi="Arial" w:cs="Arial"/>
          <w:i/>
          <w:iCs/>
          <w:noProof/>
          <w:sz w:val="24"/>
          <w:szCs w:val="24"/>
        </w:rPr>
        <w:t>ACS Chem. Biol.</w:t>
      </w:r>
      <w:r w:rsidRPr="00335870">
        <w:rPr>
          <w:rFonts w:ascii="Arial" w:hAnsi="Arial" w:cs="Arial"/>
          <w:noProof/>
          <w:sz w:val="24"/>
          <w:szCs w:val="24"/>
        </w:rPr>
        <w:t xml:space="preserve"> </w:t>
      </w:r>
      <w:r w:rsidRPr="00335870">
        <w:rPr>
          <w:rFonts w:ascii="Arial" w:hAnsi="Arial" w:cs="Arial"/>
          <w:b/>
          <w:bCs/>
          <w:noProof/>
          <w:sz w:val="24"/>
          <w:szCs w:val="24"/>
        </w:rPr>
        <w:t>2015</w:t>
      </w:r>
      <w:r w:rsidRPr="00335870">
        <w:rPr>
          <w:rFonts w:ascii="Arial" w:hAnsi="Arial" w:cs="Arial"/>
          <w:noProof/>
          <w:sz w:val="24"/>
          <w:szCs w:val="24"/>
        </w:rPr>
        <w:t xml:space="preserve">, </w:t>
      </w:r>
      <w:r w:rsidRPr="00335870">
        <w:rPr>
          <w:rFonts w:ascii="Arial" w:hAnsi="Arial" w:cs="Arial"/>
          <w:i/>
          <w:iCs/>
          <w:noProof/>
          <w:sz w:val="24"/>
          <w:szCs w:val="24"/>
        </w:rPr>
        <w:t>10</w:t>
      </w:r>
      <w:r w:rsidRPr="00335870">
        <w:rPr>
          <w:rFonts w:ascii="Arial" w:hAnsi="Arial" w:cs="Arial"/>
          <w:noProof/>
          <w:sz w:val="24"/>
          <w:szCs w:val="24"/>
        </w:rPr>
        <w:t xml:space="preserve"> (8), 1770–1777. </w:t>
      </w:r>
    </w:p>
    <w:p w14:paraId="732D785B" w14:textId="38A0B794"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(45) </w:t>
      </w:r>
      <w:r w:rsidRPr="00335870">
        <w:rPr>
          <w:rFonts w:ascii="Arial" w:hAnsi="Arial" w:cs="Arial"/>
          <w:noProof/>
          <w:sz w:val="24"/>
          <w:szCs w:val="24"/>
        </w:rPr>
        <w:tab/>
        <w:t xml:space="preserve">Donoghue, C.; Cubillos-Rojas, M.; Gutierrez-Prat, N.; Sanchez-Zarzalejo, C.; Verdaguer, X.; Riera, A.; Nebreda, A. R. Optimal Linker Length for Small Molecule PROTACs That Selectively Target P38α and P38β for Degradation. </w:t>
      </w:r>
      <w:r w:rsidRPr="00335870">
        <w:rPr>
          <w:rFonts w:ascii="Arial" w:hAnsi="Arial" w:cs="Arial"/>
          <w:i/>
          <w:iCs/>
          <w:noProof/>
          <w:sz w:val="24"/>
          <w:szCs w:val="24"/>
        </w:rPr>
        <w:t>Eur. J. Med. Chem.</w:t>
      </w:r>
      <w:r w:rsidRPr="00335870">
        <w:rPr>
          <w:rFonts w:ascii="Arial" w:hAnsi="Arial" w:cs="Arial"/>
          <w:noProof/>
          <w:sz w:val="24"/>
          <w:szCs w:val="24"/>
        </w:rPr>
        <w:t xml:space="preserve"> </w:t>
      </w:r>
      <w:r w:rsidRPr="00335870">
        <w:rPr>
          <w:rFonts w:ascii="Arial" w:hAnsi="Arial" w:cs="Arial"/>
          <w:b/>
          <w:bCs/>
          <w:noProof/>
          <w:sz w:val="24"/>
          <w:szCs w:val="24"/>
        </w:rPr>
        <w:t>2020</w:t>
      </w:r>
      <w:r w:rsidRPr="00335870">
        <w:rPr>
          <w:rFonts w:ascii="Arial" w:hAnsi="Arial" w:cs="Arial"/>
          <w:noProof/>
          <w:sz w:val="24"/>
          <w:szCs w:val="24"/>
        </w:rPr>
        <w:t xml:space="preserve">, </w:t>
      </w:r>
      <w:r w:rsidRPr="00335870">
        <w:rPr>
          <w:rFonts w:ascii="Arial" w:hAnsi="Arial" w:cs="Arial"/>
          <w:i/>
          <w:iCs/>
          <w:noProof/>
          <w:sz w:val="24"/>
          <w:szCs w:val="24"/>
        </w:rPr>
        <w:t>201</w:t>
      </w:r>
      <w:r w:rsidRPr="00335870">
        <w:rPr>
          <w:rFonts w:ascii="Arial" w:hAnsi="Arial" w:cs="Arial"/>
          <w:noProof/>
          <w:sz w:val="24"/>
          <w:szCs w:val="24"/>
        </w:rPr>
        <w:t xml:space="preserve">, 112451. </w:t>
      </w:r>
    </w:p>
    <w:p w14:paraId="326F2755" w14:textId="08AF713A"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(46) </w:t>
      </w:r>
      <w:r w:rsidRPr="00335870">
        <w:rPr>
          <w:rFonts w:ascii="Arial" w:hAnsi="Arial" w:cs="Arial"/>
          <w:noProof/>
          <w:sz w:val="24"/>
          <w:szCs w:val="24"/>
        </w:rPr>
        <w:tab/>
        <w:t xml:space="preserve">Klán, P.; Šolomek, T.; Bochet, C. G.; Blanc, A.; Givens, R.; Rubina, M.; Popik, V.; Kostikov, A.; Wirz, J. Photoremovable Protecting Groups in Chemistry and Biology: Reaction Mechanisms and Efficacy. </w:t>
      </w:r>
      <w:r w:rsidRPr="00335870">
        <w:rPr>
          <w:rFonts w:ascii="Arial" w:hAnsi="Arial" w:cs="Arial"/>
          <w:i/>
          <w:iCs/>
          <w:noProof/>
          <w:sz w:val="24"/>
          <w:szCs w:val="24"/>
        </w:rPr>
        <w:t>Chem. Rev.</w:t>
      </w:r>
      <w:r w:rsidRPr="00335870">
        <w:rPr>
          <w:rFonts w:ascii="Arial" w:hAnsi="Arial" w:cs="Arial"/>
          <w:noProof/>
          <w:sz w:val="24"/>
          <w:szCs w:val="24"/>
        </w:rPr>
        <w:t xml:space="preserve"> </w:t>
      </w:r>
      <w:r w:rsidRPr="00335870">
        <w:rPr>
          <w:rFonts w:ascii="Arial" w:hAnsi="Arial" w:cs="Arial"/>
          <w:b/>
          <w:bCs/>
          <w:noProof/>
          <w:sz w:val="24"/>
          <w:szCs w:val="24"/>
        </w:rPr>
        <w:t>2013</w:t>
      </w:r>
      <w:r w:rsidRPr="00335870">
        <w:rPr>
          <w:rFonts w:ascii="Arial" w:hAnsi="Arial" w:cs="Arial"/>
          <w:noProof/>
          <w:sz w:val="24"/>
          <w:szCs w:val="24"/>
        </w:rPr>
        <w:t xml:space="preserve">, </w:t>
      </w:r>
      <w:r w:rsidRPr="00335870">
        <w:rPr>
          <w:rFonts w:ascii="Arial" w:hAnsi="Arial" w:cs="Arial"/>
          <w:i/>
          <w:iCs/>
          <w:noProof/>
          <w:sz w:val="24"/>
          <w:szCs w:val="24"/>
        </w:rPr>
        <w:t>113</w:t>
      </w:r>
      <w:r w:rsidRPr="00335870">
        <w:rPr>
          <w:rFonts w:ascii="Arial" w:hAnsi="Arial" w:cs="Arial"/>
          <w:noProof/>
          <w:sz w:val="24"/>
          <w:szCs w:val="24"/>
        </w:rPr>
        <w:t xml:space="preserve"> (1), 119–191. </w:t>
      </w:r>
    </w:p>
    <w:p w14:paraId="6D44AD7C" w14:textId="6FDE42BD"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(47) </w:t>
      </w:r>
      <w:r w:rsidRPr="00335870">
        <w:rPr>
          <w:rFonts w:ascii="Arial" w:hAnsi="Arial" w:cs="Arial"/>
          <w:noProof/>
          <w:sz w:val="24"/>
          <w:szCs w:val="24"/>
        </w:rPr>
        <w:tab/>
        <w:t xml:space="preserve">Yang, C. Y.; Qin, C.; Bai, L.; Wang, S. Small-Molecule PROTAC Degraders of the Bromodomain and Extra Terminal (BET) Proteins — A Review. </w:t>
      </w:r>
      <w:r w:rsidRPr="00335870">
        <w:rPr>
          <w:rFonts w:ascii="Arial" w:hAnsi="Arial" w:cs="Arial"/>
          <w:i/>
          <w:iCs/>
          <w:noProof/>
          <w:sz w:val="24"/>
          <w:szCs w:val="24"/>
        </w:rPr>
        <w:t>Drug Discov. Today Technol.</w:t>
      </w:r>
      <w:r w:rsidRPr="00335870">
        <w:rPr>
          <w:rFonts w:ascii="Arial" w:hAnsi="Arial" w:cs="Arial"/>
          <w:noProof/>
          <w:sz w:val="24"/>
          <w:szCs w:val="24"/>
        </w:rPr>
        <w:t xml:space="preserve"> </w:t>
      </w:r>
      <w:r w:rsidRPr="00335870">
        <w:rPr>
          <w:rFonts w:ascii="Arial" w:hAnsi="Arial" w:cs="Arial"/>
          <w:b/>
          <w:bCs/>
          <w:noProof/>
          <w:sz w:val="24"/>
          <w:szCs w:val="24"/>
        </w:rPr>
        <w:t>2019</w:t>
      </w:r>
      <w:r w:rsidRPr="00335870">
        <w:rPr>
          <w:rFonts w:ascii="Arial" w:hAnsi="Arial" w:cs="Arial"/>
          <w:noProof/>
          <w:sz w:val="24"/>
          <w:szCs w:val="24"/>
        </w:rPr>
        <w:t xml:space="preserve">, </w:t>
      </w:r>
      <w:r w:rsidRPr="00335870">
        <w:rPr>
          <w:rFonts w:ascii="Arial" w:hAnsi="Arial" w:cs="Arial"/>
          <w:i/>
          <w:iCs/>
          <w:noProof/>
          <w:sz w:val="24"/>
          <w:szCs w:val="24"/>
        </w:rPr>
        <w:t>3</w:t>
      </w:r>
      <w:r w:rsidR="0001508F" w:rsidRPr="00335870">
        <w:rPr>
          <w:rFonts w:ascii="Arial" w:hAnsi="Arial" w:cs="Arial"/>
          <w:i/>
          <w:iCs/>
          <w:noProof/>
          <w:sz w:val="24"/>
          <w:szCs w:val="24"/>
        </w:rPr>
        <w:t>1</w:t>
      </w:r>
      <w:r w:rsidRPr="00335870">
        <w:rPr>
          <w:rFonts w:ascii="Arial" w:hAnsi="Arial" w:cs="Arial"/>
          <w:noProof/>
          <w:sz w:val="24"/>
          <w:szCs w:val="24"/>
        </w:rPr>
        <w:t xml:space="preserve">, 43–51. </w:t>
      </w:r>
    </w:p>
    <w:p w14:paraId="7EC0646E" w14:textId="60B6A52E" w:rsidR="005D6924" w:rsidRPr="00335870" w:rsidRDefault="005D6924" w:rsidP="00BE1462">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(48) </w:t>
      </w:r>
      <w:r w:rsidRPr="00335870">
        <w:rPr>
          <w:rFonts w:ascii="Arial" w:hAnsi="Arial" w:cs="Arial"/>
          <w:noProof/>
          <w:sz w:val="24"/>
          <w:szCs w:val="24"/>
        </w:rPr>
        <w:tab/>
        <w:t>Zuber, J.; Shi, J.; Wang, E.; Rappaport, A. R.; Herrmann, H.; Sison, E. A.; Magoon, D.; Qi, J.; Blatt, K.; Wunderlich, M.;</w:t>
      </w:r>
      <w:r w:rsidR="00BE1462" w:rsidRPr="00335870">
        <w:rPr>
          <w:rFonts w:ascii="Times New Roman" w:eastAsia="Times New Roman" w:hAnsi="Times New Roman" w:cs="Times New Roman"/>
          <w:sz w:val="24"/>
          <w:szCs w:val="24"/>
        </w:rPr>
        <w:t xml:space="preserve"> </w:t>
      </w:r>
      <w:r w:rsidR="00BE1462" w:rsidRPr="00335870">
        <w:rPr>
          <w:rFonts w:ascii="Arial" w:hAnsi="Arial" w:cs="Arial"/>
          <w:noProof/>
          <w:sz w:val="24"/>
          <w:szCs w:val="24"/>
        </w:rPr>
        <w:t xml:space="preserve">Taylor, M. J.; Johns, C.; Chicas, A.; Mulloy, J. C.; Kogan, S. C.; Brown, P.; Valent, P.; Bradner, J. E.; Lowe, S. W.;Vakoc, C. R. </w:t>
      </w:r>
      <w:r w:rsidRPr="00335870">
        <w:rPr>
          <w:rFonts w:ascii="Arial" w:hAnsi="Arial" w:cs="Arial"/>
          <w:noProof/>
          <w:sz w:val="24"/>
          <w:szCs w:val="24"/>
        </w:rPr>
        <w:t xml:space="preserve">RNAi Screen Identifies Brd4 as a Therapeutic Target in Acute Myeloid Leukaemia. </w:t>
      </w:r>
      <w:r w:rsidRPr="00335870">
        <w:rPr>
          <w:rFonts w:ascii="Arial" w:hAnsi="Arial" w:cs="Arial"/>
          <w:i/>
          <w:iCs/>
          <w:noProof/>
          <w:sz w:val="24"/>
          <w:szCs w:val="24"/>
        </w:rPr>
        <w:t>Nature</w:t>
      </w:r>
      <w:r w:rsidRPr="00335870">
        <w:rPr>
          <w:rFonts w:ascii="Arial" w:hAnsi="Arial" w:cs="Arial"/>
          <w:noProof/>
          <w:sz w:val="24"/>
          <w:szCs w:val="24"/>
        </w:rPr>
        <w:t xml:space="preserve"> </w:t>
      </w:r>
      <w:r w:rsidRPr="00335870">
        <w:rPr>
          <w:rFonts w:ascii="Arial" w:hAnsi="Arial" w:cs="Arial"/>
          <w:b/>
          <w:bCs/>
          <w:noProof/>
          <w:sz w:val="24"/>
          <w:szCs w:val="24"/>
        </w:rPr>
        <w:t>2011</w:t>
      </w:r>
      <w:r w:rsidRPr="00335870">
        <w:rPr>
          <w:rFonts w:ascii="Arial" w:hAnsi="Arial" w:cs="Arial"/>
          <w:noProof/>
          <w:sz w:val="24"/>
          <w:szCs w:val="24"/>
        </w:rPr>
        <w:t xml:space="preserve">, </w:t>
      </w:r>
      <w:r w:rsidRPr="00335870">
        <w:rPr>
          <w:rFonts w:ascii="Arial" w:hAnsi="Arial" w:cs="Arial"/>
          <w:i/>
          <w:iCs/>
          <w:noProof/>
          <w:sz w:val="24"/>
          <w:szCs w:val="24"/>
        </w:rPr>
        <w:t>478</w:t>
      </w:r>
      <w:r w:rsidRPr="00335870">
        <w:rPr>
          <w:rFonts w:ascii="Arial" w:hAnsi="Arial" w:cs="Arial"/>
          <w:noProof/>
          <w:sz w:val="24"/>
          <w:szCs w:val="24"/>
        </w:rPr>
        <w:t xml:space="preserve"> (7370), 524–528. </w:t>
      </w:r>
    </w:p>
    <w:p w14:paraId="35D9CFDD" w14:textId="2BD161CA"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(49) </w:t>
      </w:r>
      <w:r w:rsidRPr="00335870">
        <w:rPr>
          <w:rFonts w:ascii="Arial" w:hAnsi="Arial" w:cs="Arial"/>
          <w:noProof/>
          <w:sz w:val="24"/>
          <w:szCs w:val="24"/>
        </w:rPr>
        <w:tab/>
        <w:t xml:space="preserve">Lu, J.; Qian, Y.; Altieri, M.; Dong, H.; Wang, J.; Raina, K.; Hines, J.; Winkler, J. D.; Crew, A. P.; Coleman, K.; </w:t>
      </w:r>
      <w:r w:rsidR="00C842AC" w:rsidRPr="00335870">
        <w:rPr>
          <w:rFonts w:ascii="Arial" w:hAnsi="Arial" w:cs="Arial"/>
          <w:noProof/>
          <w:sz w:val="24"/>
          <w:szCs w:val="24"/>
        </w:rPr>
        <w:t>Crews, C. M</w:t>
      </w:r>
      <w:r w:rsidRPr="00335870">
        <w:rPr>
          <w:rFonts w:ascii="Arial" w:hAnsi="Arial" w:cs="Arial"/>
          <w:noProof/>
          <w:sz w:val="24"/>
          <w:szCs w:val="24"/>
        </w:rPr>
        <w:t xml:space="preserve">. Hijacking the E3 Ubiquitin Ligase Cereblon to Efficiently Target BRD4. </w:t>
      </w:r>
      <w:r w:rsidRPr="00335870">
        <w:rPr>
          <w:rFonts w:ascii="Arial" w:hAnsi="Arial" w:cs="Arial"/>
          <w:i/>
          <w:iCs/>
          <w:noProof/>
          <w:sz w:val="24"/>
          <w:szCs w:val="24"/>
        </w:rPr>
        <w:t>Chem. Biol.</w:t>
      </w:r>
      <w:r w:rsidRPr="00335870">
        <w:rPr>
          <w:rFonts w:ascii="Arial" w:hAnsi="Arial" w:cs="Arial"/>
          <w:noProof/>
          <w:sz w:val="24"/>
          <w:szCs w:val="24"/>
        </w:rPr>
        <w:t xml:space="preserve"> </w:t>
      </w:r>
      <w:r w:rsidRPr="00335870">
        <w:rPr>
          <w:rFonts w:ascii="Arial" w:hAnsi="Arial" w:cs="Arial"/>
          <w:b/>
          <w:bCs/>
          <w:noProof/>
          <w:sz w:val="24"/>
          <w:szCs w:val="24"/>
        </w:rPr>
        <w:t>2015</w:t>
      </w:r>
      <w:r w:rsidRPr="00335870">
        <w:rPr>
          <w:rFonts w:ascii="Arial" w:hAnsi="Arial" w:cs="Arial"/>
          <w:noProof/>
          <w:sz w:val="24"/>
          <w:szCs w:val="24"/>
        </w:rPr>
        <w:t xml:space="preserve">, </w:t>
      </w:r>
      <w:r w:rsidRPr="00335870">
        <w:rPr>
          <w:rFonts w:ascii="Arial" w:hAnsi="Arial" w:cs="Arial"/>
          <w:i/>
          <w:iCs/>
          <w:noProof/>
          <w:sz w:val="24"/>
          <w:szCs w:val="24"/>
        </w:rPr>
        <w:t>22</w:t>
      </w:r>
      <w:r w:rsidRPr="00335870">
        <w:rPr>
          <w:rFonts w:ascii="Arial" w:hAnsi="Arial" w:cs="Arial"/>
          <w:noProof/>
          <w:sz w:val="24"/>
          <w:szCs w:val="24"/>
        </w:rPr>
        <w:t xml:space="preserve"> (6), 755–763. </w:t>
      </w:r>
    </w:p>
    <w:p w14:paraId="00082D87" w14:textId="4FC5B91B"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(50) </w:t>
      </w:r>
      <w:r w:rsidRPr="00335870">
        <w:rPr>
          <w:rFonts w:ascii="Arial" w:hAnsi="Arial" w:cs="Arial"/>
          <w:noProof/>
          <w:sz w:val="24"/>
          <w:szCs w:val="24"/>
        </w:rPr>
        <w:tab/>
        <w:t xml:space="preserve">Noblejas-López, M. D. M.; Nieto-Jimenez, C.; Burgos, M.; Gómez-Juárez, M.; Montero, J. C.; Esparís-Ogando, A.; Pandiella, A.; Galán-Moya, E. M.; Ocaña, A. Activity of BET-Proteolysis Targeting Chimeric (PROTAC) Compounds in Triple Negative Breast Cancer. </w:t>
      </w:r>
      <w:r w:rsidRPr="00335870">
        <w:rPr>
          <w:rFonts w:ascii="Arial" w:hAnsi="Arial" w:cs="Arial"/>
          <w:i/>
          <w:iCs/>
          <w:noProof/>
          <w:sz w:val="24"/>
          <w:szCs w:val="24"/>
        </w:rPr>
        <w:t>J. Exp. Clin. Cancer Res.</w:t>
      </w:r>
      <w:r w:rsidRPr="00335870">
        <w:rPr>
          <w:rFonts w:ascii="Arial" w:hAnsi="Arial" w:cs="Arial"/>
          <w:noProof/>
          <w:sz w:val="24"/>
          <w:szCs w:val="24"/>
        </w:rPr>
        <w:t xml:space="preserve"> </w:t>
      </w:r>
      <w:r w:rsidRPr="00335870">
        <w:rPr>
          <w:rFonts w:ascii="Arial" w:hAnsi="Arial" w:cs="Arial"/>
          <w:b/>
          <w:bCs/>
          <w:noProof/>
          <w:sz w:val="24"/>
          <w:szCs w:val="24"/>
        </w:rPr>
        <w:t>2019</w:t>
      </w:r>
      <w:r w:rsidRPr="00335870">
        <w:rPr>
          <w:rFonts w:ascii="Arial" w:hAnsi="Arial" w:cs="Arial"/>
          <w:noProof/>
          <w:sz w:val="24"/>
          <w:szCs w:val="24"/>
        </w:rPr>
        <w:t xml:space="preserve">, </w:t>
      </w:r>
      <w:r w:rsidRPr="00335870">
        <w:rPr>
          <w:rFonts w:ascii="Arial" w:hAnsi="Arial" w:cs="Arial"/>
          <w:i/>
          <w:iCs/>
          <w:noProof/>
          <w:sz w:val="24"/>
          <w:szCs w:val="24"/>
        </w:rPr>
        <w:t>38</w:t>
      </w:r>
      <w:r w:rsidRPr="00335870">
        <w:rPr>
          <w:rFonts w:ascii="Arial" w:hAnsi="Arial" w:cs="Arial"/>
          <w:noProof/>
          <w:sz w:val="24"/>
          <w:szCs w:val="24"/>
        </w:rPr>
        <w:t xml:space="preserve"> (1), 1–9. </w:t>
      </w:r>
    </w:p>
    <w:p w14:paraId="54C73828" w14:textId="19B9F832" w:rsidR="005D6924" w:rsidRPr="00335870" w:rsidRDefault="005D6924" w:rsidP="002C0451">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(51) </w:t>
      </w:r>
      <w:r w:rsidRPr="00335870">
        <w:rPr>
          <w:rFonts w:ascii="Arial" w:hAnsi="Arial" w:cs="Arial"/>
          <w:noProof/>
          <w:sz w:val="24"/>
          <w:szCs w:val="24"/>
        </w:rPr>
        <w:tab/>
        <w:t xml:space="preserve">Sun, B.; Fiskus, W.; Qian, Y.; Rajapakshe, K.; Raina, K.; Coleman, K. G.; Crew, A. P.; Shen, A.; Saenz, D. T.; Mill, C. P.; </w:t>
      </w:r>
      <w:r w:rsidR="007F24F7" w:rsidRPr="00335870">
        <w:rPr>
          <w:rFonts w:ascii="Arial" w:hAnsi="Arial" w:cs="Arial"/>
          <w:noProof/>
          <w:sz w:val="24"/>
          <w:szCs w:val="24"/>
        </w:rPr>
        <w:t>Nowak, A. J.</w:t>
      </w:r>
      <w:r w:rsidR="002C0451" w:rsidRPr="00335870">
        <w:rPr>
          <w:rFonts w:ascii="Arial" w:hAnsi="Arial" w:cs="Arial"/>
          <w:noProof/>
          <w:sz w:val="24"/>
          <w:szCs w:val="24"/>
        </w:rPr>
        <w:t xml:space="preserve">; </w:t>
      </w:r>
      <w:r w:rsidR="007F24F7" w:rsidRPr="00335870">
        <w:rPr>
          <w:rFonts w:ascii="Arial" w:hAnsi="Arial" w:cs="Arial"/>
          <w:noProof/>
          <w:sz w:val="24"/>
          <w:szCs w:val="24"/>
        </w:rPr>
        <w:t>Jain, N.</w:t>
      </w:r>
      <w:r w:rsidR="002C0451" w:rsidRPr="00335870">
        <w:rPr>
          <w:rFonts w:ascii="Arial" w:hAnsi="Arial" w:cs="Arial"/>
          <w:noProof/>
          <w:sz w:val="24"/>
          <w:szCs w:val="24"/>
        </w:rPr>
        <w:t xml:space="preserve">; </w:t>
      </w:r>
      <w:r w:rsidR="007F24F7" w:rsidRPr="00335870">
        <w:rPr>
          <w:rFonts w:ascii="Arial" w:hAnsi="Arial" w:cs="Arial"/>
          <w:noProof/>
          <w:sz w:val="24"/>
          <w:szCs w:val="24"/>
        </w:rPr>
        <w:t>Zhang, L.</w:t>
      </w:r>
      <w:r w:rsidR="002C0451" w:rsidRPr="00335870">
        <w:rPr>
          <w:rFonts w:ascii="Arial" w:hAnsi="Arial" w:cs="Arial"/>
          <w:noProof/>
          <w:sz w:val="24"/>
          <w:szCs w:val="24"/>
        </w:rPr>
        <w:t xml:space="preserve">; </w:t>
      </w:r>
      <w:r w:rsidR="007F24F7" w:rsidRPr="00335870">
        <w:rPr>
          <w:rFonts w:ascii="Arial" w:hAnsi="Arial" w:cs="Arial"/>
          <w:noProof/>
          <w:sz w:val="24"/>
          <w:szCs w:val="24"/>
        </w:rPr>
        <w:t>Wang, M.</w:t>
      </w:r>
      <w:r w:rsidR="002C0451" w:rsidRPr="00335870">
        <w:rPr>
          <w:rFonts w:ascii="Arial" w:hAnsi="Arial" w:cs="Arial"/>
          <w:noProof/>
          <w:sz w:val="24"/>
          <w:szCs w:val="24"/>
        </w:rPr>
        <w:t xml:space="preserve">; </w:t>
      </w:r>
      <w:r w:rsidR="007F24F7" w:rsidRPr="00335870">
        <w:rPr>
          <w:rFonts w:ascii="Arial" w:hAnsi="Arial" w:cs="Arial"/>
          <w:noProof/>
          <w:sz w:val="24"/>
          <w:szCs w:val="24"/>
        </w:rPr>
        <w:t>Khoury, J. D.</w:t>
      </w:r>
      <w:r w:rsidR="002C0451" w:rsidRPr="00335870">
        <w:rPr>
          <w:rFonts w:ascii="Arial" w:hAnsi="Arial" w:cs="Arial"/>
          <w:noProof/>
          <w:sz w:val="24"/>
          <w:szCs w:val="24"/>
        </w:rPr>
        <w:t xml:space="preserve">; </w:t>
      </w:r>
      <w:r w:rsidR="007F24F7" w:rsidRPr="00335870">
        <w:rPr>
          <w:rFonts w:ascii="Arial" w:hAnsi="Arial" w:cs="Arial"/>
          <w:noProof/>
          <w:sz w:val="24"/>
          <w:szCs w:val="24"/>
        </w:rPr>
        <w:t>Coarfa, C.</w:t>
      </w:r>
      <w:r w:rsidR="002C0451" w:rsidRPr="00335870">
        <w:rPr>
          <w:rFonts w:ascii="Arial" w:hAnsi="Arial" w:cs="Arial"/>
          <w:noProof/>
          <w:sz w:val="24"/>
          <w:szCs w:val="24"/>
        </w:rPr>
        <w:t xml:space="preserve">; </w:t>
      </w:r>
      <w:r w:rsidR="007F24F7" w:rsidRPr="00335870">
        <w:rPr>
          <w:rFonts w:ascii="Arial" w:hAnsi="Arial" w:cs="Arial"/>
          <w:noProof/>
          <w:sz w:val="24"/>
          <w:szCs w:val="24"/>
        </w:rPr>
        <w:t>Crews, C. M.</w:t>
      </w:r>
      <w:r w:rsidR="002C0451" w:rsidRPr="00335870">
        <w:rPr>
          <w:rFonts w:ascii="Arial" w:hAnsi="Arial" w:cs="Arial"/>
          <w:noProof/>
          <w:sz w:val="24"/>
          <w:szCs w:val="24"/>
        </w:rPr>
        <w:t xml:space="preserve">; </w:t>
      </w:r>
      <w:r w:rsidR="007F24F7" w:rsidRPr="00335870">
        <w:rPr>
          <w:rFonts w:ascii="Arial" w:hAnsi="Arial" w:cs="Arial"/>
          <w:noProof/>
          <w:sz w:val="24"/>
          <w:szCs w:val="24"/>
        </w:rPr>
        <w:t>Bhalla, K. N</w:t>
      </w:r>
      <w:r w:rsidRPr="00335870">
        <w:rPr>
          <w:rFonts w:ascii="Arial" w:hAnsi="Arial" w:cs="Arial"/>
          <w:noProof/>
          <w:sz w:val="24"/>
          <w:szCs w:val="24"/>
        </w:rPr>
        <w:t xml:space="preserve">. BET Protein Proteolysis Targeting Chimera (PROTAC) Exerts Potent Lethal Activity against Mantle Cell Lymphoma Cells. </w:t>
      </w:r>
      <w:r w:rsidRPr="00335870">
        <w:rPr>
          <w:rFonts w:ascii="Arial" w:hAnsi="Arial" w:cs="Arial"/>
          <w:i/>
          <w:iCs/>
          <w:noProof/>
          <w:sz w:val="24"/>
          <w:szCs w:val="24"/>
        </w:rPr>
        <w:t>Leukemia</w:t>
      </w:r>
      <w:r w:rsidRPr="00335870">
        <w:rPr>
          <w:rFonts w:ascii="Arial" w:hAnsi="Arial" w:cs="Arial"/>
          <w:noProof/>
          <w:sz w:val="24"/>
          <w:szCs w:val="24"/>
        </w:rPr>
        <w:t xml:space="preserve"> </w:t>
      </w:r>
      <w:r w:rsidRPr="00335870">
        <w:rPr>
          <w:rFonts w:ascii="Arial" w:hAnsi="Arial" w:cs="Arial"/>
          <w:b/>
          <w:bCs/>
          <w:noProof/>
          <w:sz w:val="24"/>
          <w:szCs w:val="24"/>
        </w:rPr>
        <w:t>2018</w:t>
      </w:r>
      <w:r w:rsidRPr="00335870">
        <w:rPr>
          <w:rFonts w:ascii="Arial" w:hAnsi="Arial" w:cs="Arial"/>
          <w:noProof/>
          <w:sz w:val="24"/>
          <w:szCs w:val="24"/>
        </w:rPr>
        <w:t xml:space="preserve">, </w:t>
      </w:r>
      <w:r w:rsidRPr="00335870">
        <w:rPr>
          <w:rFonts w:ascii="Arial" w:hAnsi="Arial" w:cs="Arial"/>
          <w:i/>
          <w:iCs/>
          <w:noProof/>
          <w:sz w:val="24"/>
          <w:szCs w:val="24"/>
        </w:rPr>
        <w:t>32</w:t>
      </w:r>
      <w:r w:rsidRPr="00335870">
        <w:rPr>
          <w:rFonts w:ascii="Arial" w:hAnsi="Arial" w:cs="Arial"/>
          <w:noProof/>
          <w:sz w:val="24"/>
          <w:szCs w:val="24"/>
        </w:rPr>
        <w:t xml:space="preserve"> (2), 343–352. </w:t>
      </w:r>
    </w:p>
    <w:p w14:paraId="79C24580" w14:textId="5E2E0963"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(52) </w:t>
      </w:r>
      <w:r w:rsidRPr="00335870">
        <w:rPr>
          <w:rFonts w:ascii="Arial" w:hAnsi="Arial" w:cs="Arial"/>
          <w:noProof/>
          <w:sz w:val="24"/>
          <w:szCs w:val="24"/>
        </w:rPr>
        <w:tab/>
        <w:t xml:space="preserve">Cassar, S.; Adatto, I.; Freeman, J. L.; Gamse, J. T.; Iturria, I.; Lawrence, C.; Muriana, A.; Peterson, R. T.; Van Cruchten, S.; Zon, L. I. Use of Zebrafish in Drug Discovery Toxicology. </w:t>
      </w:r>
      <w:r w:rsidRPr="00335870">
        <w:rPr>
          <w:rFonts w:ascii="Arial" w:hAnsi="Arial" w:cs="Arial"/>
          <w:i/>
          <w:iCs/>
          <w:noProof/>
          <w:sz w:val="24"/>
          <w:szCs w:val="24"/>
        </w:rPr>
        <w:t>Chem. Res. Toxicol.</w:t>
      </w:r>
      <w:r w:rsidRPr="00335870">
        <w:rPr>
          <w:rFonts w:ascii="Arial" w:hAnsi="Arial" w:cs="Arial"/>
          <w:noProof/>
          <w:sz w:val="24"/>
          <w:szCs w:val="24"/>
        </w:rPr>
        <w:t xml:space="preserve"> </w:t>
      </w:r>
      <w:r w:rsidRPr="00335870">
        <w:rPr>
          <w:rFonts w:ascii="Arial" w:hAnsi="Arial" w:cs="Arial"/>
          <w:b/>
          <w:bCs/>
          <w:noProof/>
          <w:sz w:val="24"/>
          <w:szCs w:val="24"/>
        </w:rPr>
        <w:t>2020</w:t>
      </w:r>
      <w:r w:rsidRPr="00335870">
        <w:rPr>
          <w:rFonts w:ascii="Arial" w:hAnsi="Arial" w:cs="Arial"/>
          <w:noProof/>
          <w:sz w:val="24"/>
          <w:szCs w:val="24"/>
        </w:rPr>
        <w:t xml:space="preserve">, </w:t>
      </w:r>
      <w:r w:rsidRPr="00335870">
        <w:rPr>
          <w:rFonts w:ascii="Arial" w:hAnsi="Arial" w:cs="Arial"/>
          <w:i/>
          <w:iCs/>
          <w:noProof/>
          <w:sz w:val="24"/>
          <w:szCs w:val="24"/>
        </w:rPr>
        <w:t>33</w:t>
      </w:r>
      <w:r w:rsidRPr="00335870">
        <w:rPr>
          <w:rFonts w:ascii="Arial" w:hAnsi="Arial" w:cs="Arial"/>
          <w:noProof/>
          <w:sz w:val="24"/>
          <w:szCs w:val="24"/>
        </w:rPr>
        <w:t xml:space="preserve"> (1), 95–118. </w:t>
      </w:r>
    </w:p>
    <w:p w14:paraId="2CF1275A" w14:textId="522587B8"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(53) </w:t>
      </w:r>
      <w:r w:rsidRPr="00335870">
        <w:rPr>
          <w:rFonts w:ascii="Arial" w:hAnsi="Arial" w:cs="Arial"/>
          <w:noProof/>
          <w:sz w:val="24"/>
          <w:szCs w:val="24"/>
        </w:rPr>
        <w:tab/>
        <w:t xml:space="preserve">Berman, A. Y.; Manna, S.; Schwartz, N. S.; Katz, Y. E.; Sun, Y.; Behrmann, C. A.; Yu, J. J.; Plas, D. R.; Alayev, A.; Holz, M. K. ERRα Regulates the Growth of Triple-Negative Breast Cancer Cells via S6K1-Dependent Mechanism. </w:t>
      </w:r>
      <w:r w:rsidRPr="00335870">
        <w:rPr>
          <w:rFonts w:ascii="Arial" w:hAnsi="Arial" w:cs="Arial"/>
          <w:i/>
          <w:iCs/>
          <w:noProof/>
          <w:sz w:val="24"/>
          <w:szCs w:val="24"/>
        </w:rPr>
        <w:t>Signal Transduct. Target. Ther.</w:t>
      </w:r>
      <w:r w:rsidRPr="00335870">
        <w:rPr>
          <w:rFonts w:ascii="Arial" w:hAnsi="Arial" w:cs="Arial"/>
          <w:noProof/>
          <w:sz w:val="24"/>
          <w:szCs w:val="24"/>
        </w:rPr>
        <w:t xml:space="preserve"> </w:t>
      </w:r>
      <w:r w:rsidRPr="00335870">
        <w:rPr>
          <w:rFonts w:ascii="Arial" w:hAnsi="Arial" w:cs="Arial"/>
          <w:b/>
          <w:bCs/>
          <w:noProof/>
          <w:sz w:val="24"/>
          <w:szCs w:val="24"/>
        </w:rPr>
        <w:t>2017</w:t>
      </w:r>
      <w:r w:rsidRPr="00335870">
        <w:rPr>
          <w:rFonts w:ascii="Arial" w:hAnsi="Arial" w:cs="Arial"/>
          <w:noProof/>
          <w:sz w:val="24"/>
          <w:szCs w:val="24"/>
        </w:rPr>
        <w:t xml:space="preserve">, </w:t>
      </w:r>
      <w:r w:rsidRPr="00335870">
        <w:rPr>
          <w:rFonts w:ascii="Arial" w:hAnsi="Arial" w:cs="Arial"/>
          <w:i/>
          <w:iCs/>
          <w:noProof/>
          <w:sz w:val="24"/>
          <w:szCs w:val="24"/>
        </w:rPr>
        <w:t>2</w:t>
      </w:r>
      <w:r w:rsidRPr="00335870">
        <w:rPr>
          <w:rFonts w:ascii="Arial" w:hAnsi="Arial" w:cs="Arial"/>
          <w:noProof/>
          <w:sz w:val="24"/>
          <w:szCs w:val="24"/>
        </w:rPr>
        <w:t xml:space="preserve"> (April), 1–9. </w:t>
      </w:r>
    </w:p>
    <w:p w14:paraId="3A7F783E" w14:textId="04D46D59"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(54) </w:t>
      </w:r>
      <w:r w:rsidRPr="00335870">
        <w:rPr>
          <w:rFonts w:ascii="Arial" w:hAnsi="Arial" w:cs="Arial"/>
          <w:noProof/>
          <w:sz w:val="24"/>
          <w:szCs w:val="24"/>
        </w:rPr>
        <w:tab/>
        <w:t xml:space="preserve">Rana, S.; Bendjennat, M.; Kour, S.; King, H. M.; Kizhake, S.; Zahid, M.; Natarajan, A. Selective Degradation of CDK6 by a Palbociclib Based PROTAC. </w:t>
      </w:r>
      <w:r w:rsidRPr="00335870">
        <w:rPr>
          <w:rFonts w:ascii="Arial" w:hAnsi="Arial" w:cs="Arial"/>
          <w:i/>
          <w:iCs/>
          <w:noProof/>
          <w:sz w:val="24"/>
          <w:szCs w:val="24"/>
        </w:rPr>
        <w:t>Bioorganic Med. Chem. Lett.</w:t>
      </w:r>
      <w:r w:rsidRPr="00335870">
        <w:rPr>
          <w:rFonts w:ascii="Arial" w:hAnsi="Arial" w:cs="Arial"/>
          <w:noProof/>
          <w:sz w:val="24"/>
          <w:szCs w:val="24"/>
        </w:rPr>
        <w:t xml:space="preserve"> </w:t>
      </w:r>
      <w:r w:rsidRPr="00335870">
        <w:rPr>
          <w:rFonts w:ascii="Arial" w:hAnsi="Arial" w:cs="Arial"/>
          <w:b/>
          <w:bCs/>
          <w:noProof/>
          <w:sz w:val="24"/>
          <w:szCs w:val="24"/>
        </w:rPr>
        <w:t>2019</w:t>
      </w:r>
      <w:r w:rsidRPr="00335870">
        <w:rPr>
          <w:rFonts w:ascii="Arial" w:hAnsi="Arial" w:cs="Arial"/>
          <w:noProof/>
          <w:sz w:val="24"/>
          <w:szCs w:val="24"/>
        </w:rPr>
        <w:t xml:space="preserve">, </w:t>
      </w:r>
      <w:r w:rsidRPr="00335870">
        <w:rPr>
          <w:rFonts w:ascii="Arial" w:hAnsi="Arial" w:cs="Arial"/>
          <w:i/>
          <w:iCs/>
          <w:noProof/>
          <w:sz w:val="24"/>
          <w:szCs w:val="24"/>
        </w:rPr>
        <w:t>29</w:t>
      </w:r>
      <w:r w:rsidRPr="00335870">
        <w:rPr>
          <w:rFonts w:ascii="Arial" w:hAnsi="Arial" w:cs="Arial"/>
          <w:noProof/>
          <w:sz w:val="24"/>
          <w:szCs w:val="24"/>
        </w:rPr>
        <w:t xml:space="preserve"> (11), 1375–1379. </w:t>
      </w:r>
    </w:p>
    <w:p w14:paraId="4734C67A" w14:textId="4A2EF262" w:rsidR="005D6924" w:rsidRPr="00335870" w:rsidRDefault="005D6924" w:rsidP="00B461BA">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(55) </w:t>
      </w:r>
      <w:r w:rsidRPr="00335870">
        <w:rPr>
          <w:rFonts w:ascii="Arial" w:hAnsi="Arial" w:cs="Arial"/>
          <w:noProof/>
          <w:sz w:val="24"/>
          <w:szCs w:val="24"/>
        </w:rPr>
        <w:tab/>
        <w:t>Popow, J.; Arnhof, H.; Bader, G.; Berger, H.; Ciulli, A.; Covini, D.; Dank, C.; Gmaschitz, T.; Greb, P.; Karolyi-Özguer, J.;</w:t>
      </w:r>
      <w:r w:rsidR="00B461BA" w:rsidRPr="00335870">
        <w:rPr>
          <w:rFonts w:ascii="Arial" w:hAnsi="Arial" w:cs="Arial"/>
          <w:noProof/>
          <w:sz w:val="24"/>
          <w:szCs w:val="24"/>
        </w:rPr>
        <w:t xml:space="preserve"> Koegl, M.; McConnell, D. B.; Pearson, M.; Rieger, M.; Rinnenthal, J.; Roessler, V.; Schrenk, A.; Spina, M.; Steurer, S.; Trainor, N.; Traxler, E.; Wieshofer, C.; Zoephel, A.; Ettmayer, P</w:t>
      </w:r>
      <w:r w:rsidRPr="00335870">
        <w:rPr>
          <w:rFonts w:ascii="Arial" w:hAnsi="Arial" w:cs="Arial"/>
          <w:noProof/>
          <w:sz w:val="24"/>
          <w:szCs w:val="24"/>
        </w:rPr>
        <w:t xml:space="preserve">. Highly Selective PTK2 Proteolysis Targeting Chimeras to Probe Focal Adhesion Kinase Scaffolding Functions. </w:t>
      </w:r>
      <w:r w:rsidRPr="00335870">
        <w:rPr>
          <w:rFonts w:ascii="Arial" w:hAnsi="Arial" w:cs="Arial"/>
          <w:i/>
          <w:iCs/>
          <w:noProof/>
          <w:sz w:val="24"/>
          <w:szCs w:val="24"/>
        </w:rPr>
        <w:t>J. Med. Chem.</w:t>
      </w:r>
      <w:r w:rsidRPr="00335870">
        <w:rPr>
          <w:rFonts w:ascii="Arial" w:hAnsi="Arial" w:cs="Arial"/>
          <w:noProof/>
          <w:sz w:val="24"/>
          <w:szCs w:val="24"/>
        </w:rPr>
        <w:t xml:space="preserve"> </w:t>
      </w:r>
      <w:r w:rsidRPr="00335870">
        <w:rPr>
          <w:rFonts w:ascii="Arial" w:hAnsi="Arial" w:cs="Arial"/>
          <w:b/>
          <w:bCs/>
          <w:noProof/>
          <w:sz w:val="24"/>
          <w:szCs w:val="24"/>
        </w:rPr>
        <w:t>2019</w:t>
      </w:r>
      <w:r w:rsidRPr="00335870">
        <w:rPr>
          <w:rFonts w:ascii="Arial" w:hAnsi="Arial" w:cs="Arial"/>
          <w:noProof/>
          <w:sz w:val="24"/>
          <w:szCs w:val="24"/>
        </w:rPr>
        <w:t xml:space="preserve">, </w:t>
      </w:r>
      <w:r w:rsidRPr="00335870">
        <w:rPr>
          <w:rFonts w:ascii="Arial" w:hAnsi="Arial" w:cs="Arial"/>
          <w:i/>
          <w:iCs/>
          <w:noProof/>
          <w:sz w:val="24"/>
          <w:szCs w:val="24"/>
        </w:rPr>
        <w:t>62</w:t>
      </w:r>
      <w:r w:rsidRPr="00335870">
        <w:rPr>
          <w:rFonts w:ascii="Arial" w:hAnsi="Arial" w:cs="Arial"/>
          <w:noProof/>
          <w:sz w:val="24"/>
          <w:szCs w:val="24"/>
        </w:rPr>
        <w:t xml:space="preserve"> (5), 2508–2520. </w:t>
      </w:r>
    </w:p>
    <w:p w14:paraId="4EAF1BFF" w14:textId="5FC0FDCF" w:rsidR="005D6924" w:rsidRPr="00335870" w:rsidRDefault="005D6924" w:rsidP="00500F39">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(56) </w:t>
      </w:r>
      <w:r w:rsidRPr="00335870">
        <w:rPr>
          <w:rFonts w:ascii="Arial" w:hAnsi="Arial" w:cs="Arial"/>
          <w:noProof/>
          <w:sz w:val="24"/>
          <w:szCs w:val="24"/>
        </w:rPr>
        <w:tab/>
        <w:t xml:space="preserve">Crew, A. P.; Raina, K.; Dong, H.; Qian, Y.; Wang, J.; Vigil, D.; Serebrenik, Y. V.; Hamman, B. D.; Morgan, A.; Ferraro, C.; </w:t>
      </w:r>
      <w:r w:rsidR="00500F39" w:rsidRPr="00335870">
        <w:rPr>
          <w:rFonts w:ascii="Arial" w:hAnsi="Arial" w:cs="Arial"/>
          <w:noProof/>
          <w:sz w:val="24"/>
          <w:szCs w:val="24"/>
        </w:rPr>
        <w:t>Siu, K.; Neklesa, T. K.; Winkler, J. D.; Coleman, K. G.; Crews, C. M.</w:t>
      </w:r>
      <w:r w:rsidRPr="00335870">
        <w:rPr>
          <w:rFonts w:ascii="Arial" w:hAnsi="Arial" w:cs="Arial"/>
          <w:noProof/>
          <w:sz w:val="24"/>
          <w:szCs w:val="24"/>
        </w:rPr>
        <w:t xml:space="preserve"> Identification and Characterization of von Hippel-Lindau-Recruiting Proteolysis Targeting Chimeras (PROTACs) of TANK-Binding Kinase 1. </w:t>
      </w:r>
      <w:r w:rsidRPr="00335870">
        <w:rPr>
          <w:rFonts w:ascii="Arial" w:hAnsi="Arial" w:cs="Arial"/>
          <w:i/>
          <w:iCs/>
          <w:noProof/>
          <w:sz w:val="24"/>
          <w:szCs w:val="24"/>
        </w:rPr>
        <w:t>J. Med. Chem.</w:t>
      </w:r>
      <w:r w:rsidRPr="00335870">
        <w:rPr>
          <w:rFonts w:ascii="Arial" w:hAnsi="Arial" w:cs="Arial"/>
          <w:noProof/>
          <w:sz w:val="24"/>
          <w:szCs w:val="24"/>
        </w:rPr>
        <w:t xml:space="preserve"> </w:t>
      </w:r>
      <w:r w:rsidRPr="00335870">
        <w:rPr>
          <w:rFonts w:ascii="Arial" w:hAnsi="Arial" w:cs="Arial"/>
          <w:b/>
          <w:bCs/>
          <w:noProof/>
          <w:sz w:val="24"/>
          <w:szCs w:val="24"/>
        </w:rPr>
        <w:t>2018</w:t>
      </w:r>
      <w:r w:rsidRPr="00335870">
        <w:rPr>
          <w:rFonts w:ascii="Arial" w:hAnsi="Arial" w:cs="Arial"/>
          <w:noProof/>
          <w:sz w:val="24"/>
          <w:szCs w:val="24"/>
        </w:rPr>
        <w:t xml:space="preserve">, </w:t>
      </w:r>
      <w:r w:rsidRPr="00335870">
        <w:rPr>
          <w:rFonts w:ascii="Arial" w:hAnsi="Arial" w:cs="Arial"/>
          <w:i/>
          <w:iCs/>
          <w:noProof/>
          <w:sz w:val="24"/>
          <w:szCs w:val="24"/>
        </w:rPr>
        <w:t>61</w:t>
      </w:r>
      <w:r w:rsidRPr="00335870">
        <w:rPr>
          <w:rFonts w:ascii="Arial" w:hAnsi="Arial" w:cs="Arial"/>
          <w:noProof/>
          <w:sz w:val="24"/>
          <w:szCs w:val="24"/>
        </w:rPr>
        <w:t xml:space="preserve"> (2), 583–598. </w:t>
      </w:r>
    </w:p>
    <w:p w14:paraId="2ED1F222" w14:textId="0C58CB02"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(57) </w:t>
      </w:r>
      <w:r w:rsidRPr="00335870">
        <w:rPr>
          <w:rFonts w:ascii="Arial" w:hAnsi="Arial" w:cs="Arial"/>
          <w:noProof/>
          <w:sz w:val="24"/>
          <w:szCs w:val="24"/>
        </w:rPr>
        <w:tab/>
        <w:t xml:space="preserve">Buhimschi, A. D.; Armstrong, H. A.; Toure, M.; Jaime-Figueroa, S.; Chen, T. L.; Lehman, A. M.; Woyach, J. A.; Johnson, A. J.; Byrd, J. C.; Crews, C. M. Targeting the C481S Ibrutinib-Resistance Mutation in Bruton’s Tyrosine Kinase Using PROTAC-Mediated Degradation. </w:t>
      </w:r>
      <w:r w:rsidRPr="00335870">
        <w:rPr>
          <w:rFonts w:ascii="Arial" w:hAnsi="Arial" w:cs="Arial"/>
          <w:i/>
          <w:iCs/>
          <w:noProof/>
          <w:sz w:val="24"/>
          <w:szCs w:val="24"/>
        </w:rPr>
        <w:t>Biochemistry</w:t>
      </w:r>
      <w:r w:rsidRPr="00335870">
        <w:rPr>
          <w:rFonts w:ascii="Arial" w:hAnsi="Arial" w:cs="Arial"/>
          <w:noProof/>
          <w:sz w:val="24"/>
          <w:szCs w:val="24"/>
        </w:rPr>
        <w:t xml:space="preserve"> </w:t>
      </w:r>
      <w:r w:rsidRPr="00335870">
        <w:rPr>
          <w:rFonts w:ascii="Arial" w:hAnsi="Arial" w:cs="Arial"/>
          <w:b/>
          <w:bCs/>
          <w:noProof/>
          <w:sz w:val="24"/>
          <w:szCs w:val="24"/>
        </w:rPr>
        <w:t>2018</w:t>
      </w:r>
      <w:r w:rsidRPr="00335870">
        <w:rPr>
          <w:rFonts w:ascii="Arial" w:hAnsi="Arial" w:cs="Arial"/>
          <w:noProof/>
          <w:sz w:val="24"/>
          <w:szCs w:val="24"/>
        </w:rPr>
        <w:t xml:space="preserve">, </w:t>
      </w:r>
      <w:r w:rsidRPr="00335870">
        <w:rPr>
          <w:rFonts w:ascii="Arial" w:hAnsi="Arial" w:cs="Arial"/>
          <w:i/>
          <w:iCs/>
          <w:noProof/>
          <w:sz w:val="24"/>
          <w:szCs w:val="24"/>
        </w:rPr>
        <w:t>57</w:t>
      </w:r>
      <w:r w:rsidRPr="00335870">
        <w:rPr>
          <w:rFonts w:ascii="Arial" w:hAnsi="Arial" w:cs="Arial"/>
          <w:noProof/>
          <w:sz w:val="24"/>
          <w:szCs w:val="24"/>
        </w:rPr>
        <w:t xml:space="preserve"> (26), 3564–3575. </w:t>
      </w:r>
    </w:p>
    <w:p w14:paraId="4742DCCA" w14:textId="4570C92B"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(58) </w:t>
      </w:r>
      <w:r w:rsidRPr="00335870">
        <w:rPr>
          <w:rFonts w:ascii="Arial" w:hAnsi="Arial" w:cs="Arial"/>
          <w:noProof/>
          <w:sz w:val="24"/>
          <w:szCs w:val="24"/>
        </w:rPr>
        <w:tab/>
        <w:t xml:space="preserve">Zhang, C.; Han, X. R.; Yang, X.; Jiang, B.; Liu, J.; Xiong, Y.; Jin, J. Proteolysis Targeting Chimeras (PROTACs) of Anaplastic Lymphoma Kinase (ALK). </w:t>
      </w:r>
      <w:r w:rsidRPr="00335870">
        <w:rPr>
          <w:rFonts w:ascii="Arial" w:hAnsi="Arial" w:cs="Arial"/>
          <w:i/>
          <w:iCs/>
          <w:noProof/>
          <w:sz w:val="24"/>
          <w:szCs w:val="24"/>
        </w:rPr>
        <w:t>Eur. J. Med. Chem.</w:t>
      </w:r>
      <w:r w:rsidRPr="00335870">
        <w:rPr>
          <w:rFonts w:ascii="Arial" w:hAnsi="Arial" w:cs="Arial"/>
          <w:noProof/>
          <w:sz w:val="24"/>
          <w:szCs w:val="24"/>
        </w:rPr>
        <w:t xml:space="preserve"> </w:t>
      </w:r>
      <w:r w:rsidRPr="00335870">
        <w:rPr>
          <w:rFonts w:ascii="Arial" w:hAnsi="Arial" w:cs="Arial"/>
          <w:b/>
          <w:bCs/>
          <w:noProof/>
          <w:sz w:val="24"/>
          <w:szCs w:val="24"/>
        </w:rPr>
        <w:t>2018</w:t>
      </w:r>
      <w:r w:rsidRPr="00335870">
        <w:rPr>
          <w:rFonts w:ascii="Arial" w:hAnsi="Arial" w:cs="Arial"/>
          <w:noProof/>
          <w:sz w:val="24"/>
          <w:szCs w:val="24"/>
        </w:rPr>
        <w:t xml:space="preserve">, </w:t>
      </w:r>
      <w:r w:rsidRPr="00335870">
        <w:rPr>
          <w:rFonts w:ascii="Arial" w:hAnsi="Arial" w:cs="Arial"/>
          <w:i/>
          <w:iCs/>
          <w:noProof/>
          <w:sz w:val="24"/>
          <w:szCs w:val="24"/>
        </w:rPr>
        <w:t>151</w:t>
      </w:r>
      <w:r w:rsidRPr="00335870">
        <w:rPr>
          <w:rFonts w:ascii="Arial" w:hAnsi="Arial" w:cs="Arial"/>
          <w:noProof/>
          <w:sz w:val="24"/>
          <w:szCs w:val="24"/>
        </w:rPr>
        <w:t xml:space="preserve">, 304–314. </w:t>
      </w:r>
    </w:p>
    <w:p w14:paraId="6B1D1470" w14:textId="12E24E5D"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(59) </w:t>
      </w:r>
      <w:r w:rsidRPr="00335870">
        <w:rPr>
          <w:rFonts w:ascii="Arial" w:hAnsi="Arial" w:cs="Arial"/>
          <w:noProof/>
          <w:sz w:val="24"/>
          <w:szCs w:val="24"/>
        </w:rPr>
        <w:tab/>
        <w:t xml:space="preserve">Beharry, A. A.; Woolley, G. A. Azobenzene Photoswitches for Biomolecules. </w:t>
      </w:r>
      <w:r w:rsidRPr="00335870">
        <w:rPr>
          <w:rFonts w:ascii="Arial" w:hAnsi="Arial" w:cs="Arial"/>
          <w:i/>
          <w:iCs/>
          <w:noProof/>
          <w:sz w:val="24"/>
          <w:szCs w:val="24"/>
        </w:rPr>
        <w:t>Chem. Soc. Rev.</w:t>
      </w:r>
      <w:r w:rsidRPr="00335870">
        <w:rPr>
          <w:rFonts w:ascii="Arial" w:hAnsi="Arial" w:cs="Arial"/>
          <w:noProof/>
          <w:sz w:val="24"/>
          <w:szCs w:val="24"/>
        </w:rPr>
        <w:t xml:space="preserve"> </w:t>
      </w:r>
      <w:r w:rsidRPr="00335870">
        <w:rPr>
          <w:rFonts w:ascii="Arial" w:hAnsi="Arial" w:cs="Arial"/>
          <w:b/>
          <w:bCs/>
          <w:noProof/>
          <w:sz w:val="24"/>
          <w:szCs w:val="24"/>
        </w:rPr>
        <w:t>2011</w:t>
      </w:r>
      <w:r w:rsidRPr="00335870">
        <w:rPr>
          <w:rFonts w:ascii="Arial" w:hAnsi="Arial" w:cs="Arial"/>
          <w:noProof/>
          <w:sz w:val="24"/>
          <w:szCs w:val="24"/>
        </w:rPr>
        <w:t xml:space="preserve">, </w:t>
      </w:r>
      <w:r w:rsidRPr="00335870">
        <w:rPr>
          <w:rFonts w:ascii="Arial" w:hAnsi="Arial" w:cs="Arial"/>
          <w:i/>
          <w:iCs/>
          <w:noProof/>
          <w:sz w:val="24"/>
          <w:szCs w:val="24"/>
        </w:rPr>
        <w:t>40</w:t>
      </w:r>
      <w:r w:rsidRPr="00335870">
        <w:rPr>
          <w:rFonts w:ascii="Arial" w:hAnsi="Arial" w:cs="Arial"/>
          <w:noProof/>
          <w:sz w:val="24"/>
          <w:szCs w:val="24"/>
        </w:rPr>
        <w:t xml:space="preserve"> (8), 4422–4437. </w:t>
      </w:r>
    </w:p>
    <w:p w14:paraId="55A5EB79" w14:textId="0EE5142A"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(60) </w:t>
      </w:r>
      <w:r w:rsidRPr="00335870">
        <w:rPr>
          <w:rFonts w:ascii="Arial" w:hAnsi="Arial" w:cs="Arial"/>
          <w:noProof/>
          <w:sz w:val="24"/>
          <w:szCs w:val="24"/>
        </w:rPr>
        <w:tab/>
        <w:t xml:space="preserve">Gadd, M. S.; Testa, A.; Lucas, X.; Chan, K. H.; Chen, W.; Lamont, D. J.; Zengerle, M.; Ciulli, A. Structural Basis of PROTAC Cooperative Recognition for Selective Protein Degradation. </w:t>
      </w:r>
      <w:r w:rsidRPr="00335870">
        <w:rPr>
          <w:rFonts w:ascii="Arial" w:hAnsi="Arial" w:cs="Arial"/>
          <w:i/>
          <w:iCs/>
          <w:noProof/>
          <w:sz w:val="24"/>
          <w:szCs w:val="24"/>
        </w:rPr>
        <w:t>Nat. Chem. Biol.</w:t>
      </w:r>
      <w:r w:rsidRPr="00335870">
        <w:rPr>
          <w:rFonts w:ascii="Arial" w:hAnsi="Arial" w:cs="Arial"/>
          <w:noProof/>
          <w:sz w:val="24"/>
          <w:szCs w:val="24"/>
        </w:rPr>
        <w:t xml:space="preserve"> </w:t>
      </w:r>
      <w:r w:rsidRPr="00335870">
        <w:rPr>
          <w:rFonts w:ascii="Arial" w:hAnsi="Arial" w:cs="Arial"/>
          <w:b/>
          <w:bCs/>
          <w:noProof/>
          <w:sz w:val="24"/>
          <w:szCs w:val="24"/>
        </w:rPr>
        <w:t>2017</w:t>
      </w:r>
      <w:r w:rsidRPr="00335870">
        <w:rPr>
          <w:rFonts w:ascii="Arial" w:hAnsi="Arial" w:cs="Arial"/>
          <w:noProof/>
          <w:sz w:val="24"/>
          <w:szCs w:val="24"/>
        </w:rPr>
        <w:t xml:space="preserve">, </w:t>
      </w:r>
      <w:r w:rsidRPr="00335870">
        <w:rPr>
          <w:rFonts w:ascii="Arial" w:hAnsi="Arial" w:cs="Arial"/>
          <w:i/>
          <w:iCs/>
          <w:noProof/>
          <w:sz w:val="24"/>
          <w:szCs w:val="24"/>
        </w:rPr>
        <w:t>13</w:t>
      </w:r>
      <w:r w:rsidRPr="00335870">
        <w:rPr>
          <w:rFonts w:ascii="Arial" w:hAnsi="Arial" w:cs="Arial"/>
          <w:noProof/>
          <w:sz w:val="24"/>
          <w:szCs w:val="24"/>
        </w:rPr>
        <w:t xml:space="preserve"> (5), 514–521. </w:t>
      </w:r>
    </w:p>
    <w:p w14:paraId="59475241" w14:textId="3A38E3DC"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(61) </w:t>
      </w:r>
      <w:r w:rsidRPr="00335870">
        <w:rPr>
          <w:rFonts w:ascii="Arial" w:hAnsi="Arial" w:cs="Arial"/>
          <w:noProof/>
          <w:sz w:val="24"/>
          <w:szCs w:val="24"/>
        </w:rPr>
        <w:tab/>
        <w:t>Bléger, D.; Schwarz, J.; Brouwer, A. M.; Hecht, S.</w:t>
      </w:r>
      <w:r w:rsidR="0084157E">
        <w:rPr>
          <w:rFonts w:ascii="Arial" w:hAnsi="Arial" w:cs="Arial"/>
          <w:noProof/>
          <w:sz w:val="24"/>
          <w:szCs w:val="24"/>
        </w:rPr>
        <w:t xml:space="preserve"> </w:t>
      </w:r>
      <w:r w:rsidR="003114AB" w:rsidRPr="003114AB">
        <w:rPr>
          <w:rFonts w:ascii="Arial" w:hAnsi="Arial" w:cs="Arial"/>
          <w:i/>
          <w:iCs/>
          <w:noProof/>
          <w:sz w:val="24"/>
          <w:szCs w:val="24"/>
        </w:rPr>
        <w:t>o</w:t>
      </w:r>
      <w:r w:rsidRPr="00335870">
        <w:rPr>
          <w:rFonts w:ascii="Arial" w:hAnsi="Arial" w:cs="Arial"/>
          <w:noProof/>
          <w:sz w:val="24"/>
          <w:szCs w:val="24"/>
        </w:rPr>
        <w:t xml:space="preserve">-Fluoroazobenzenes as Readily Synthesized Photoswitches Offering Nearly Quantitative Two-Way Isomerization with Visible Light. </w:t>
      </w:r>
      <w:r w:rsidRPr="00335870">
        <w:rPr>
          <w:rFonts w:ascii="Arial" w:hAnsi="Arial" w:cs="Arial"/>
          <w:i/>
          <w:iCs/>
          <w:noProof/>
          <w:sz w:val="24"/>
          <w:szCs w:val="24"/>
        </w:rPr>
        <w:t>J. Am. Chem. Soc.</w:t>
      </w:r>
      <w:r w:rsidRPr="00335870">
        <w:rPr>
          <w:rFonts w:ascii="Arial" w:hAnsi="Arial" w:cs="Arial"/>
          <w:noProof/>
          <w:sz w:val="24"/>
          <w:szCs w:val="24"/>
        </w:rPr>
        <w:t xml:space="preserve"> </w:t>
      </w:r>
      <w:r w:rsidRPr="00335870">
        <w:rPr>
          <w:rFonts w:ascii="Arial" w:hAnsi="Arial" w:cs="Arial"/>
          <w:b/>
          <w:bCs/>
          <w:noProof/>
          <w:sz w:val="24"/>
          <w:szCs w:val="24"/>
        </w:rPr>
        <w:t>2012</w:t>
      </w:r>
      <w:r w:rsidRPr="00335870">
        <w:rPr>
          <w:rFonts w:ascii="Arial" w:hAnsi="Arial" w:cs="Arial"/>
          <w:noProof/>
          <w:sz w:val="24"/>
          <w:szCs w:val="24"/>
        </w:rPr>
        <w:t xml:space="preserve">, </w:t>
      </w:r>
      <w:r w:rsidRPr="00335870">
        <w:rPr>
          <w:rFonts w:ascii="Arial" w:hAnsi="Arial" w:cs="Arial"/>
          <w:i/>
          <w:iCs/>
          <w:noProof/>
          <w:sz w:val="24"/>
          <w:szCs w:val="24"/>
        </w:rPr>
        <w:t>134</w:t>
      </w:r>
      <w:r w:rsidRPr="00335870">
        <w:rPr>
          <w:rFonts w:ascii="Arial" w:hAnsi="Arial" w:cs="Arial"/>
          <w:noProof/>
          <w:sz w:val="24"/>
          <w:szCs w:val="24"/>
        </w:rPr>
        <w:t xml:space="preserve"> (51), 20597–20600. </w:t>
      </w:r>
    </w:p>
    <w:p w14:paraId="202B6487" w14:textId="4A21D7A4" w:rsidR="005D6924" w:rsidRPr="00335870" w:rsidRDefault="005D6924" w:rsidP="00553CD2">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(62) </w:t>
      </w:r>
      <w:r w:rsidRPr="00335870">
        <w:rPr>
          <w:rFonts w:ascii="Arial" w:hAnsi="Arial" w:cs="Arial"/>
          <w:noProof/>
          <w:sz w:val="24"/>
          <w:szCs w:val="24"/>
        </w:rPr>
        <w:tab/>
        <w:t xml:space="preserve">Raina, K.; Lu, J.; Qian, Y.; Altieri, M.; Gordon, D.; Rossi, A. M. K.; Wang, J.; Chen, X.; Dong, H.; Siu, K.; </w:t>
      </w:r>
      <w:r w:rsidR="00A5206C" w:rsidRPr="00335870">
        <w:rPr>
          <w:rFonts w:ascii="Arial" w:hAnsi="Arial" w:cs="Arial"/>
          <w:noProof/>
          <w:sz w:val="24"/>
          <w:szCs w:val="24"/>
        </w:rPr>
        <w:t>Winkler, J</w:t>
      </w:r>
      <w:r w:rsidR="00553CD2" w:rsidRPr="00335870">
        <w:rPr>
          <w:rFonts w:ascii="Arial" w:hAnsi="Arial" w:cs="Arial"/>
          <w:noProof/>
          <w:sz w:val="24"/>
          <w:szCs w:val="24"/>
        </w:rPr>
        <w:t>.</w:t>
      </w:r>
      <w:r w:rsidR="00A5206C" w:rsidRPr="00335870">
        <w:rPr>
          <w:rFonts w:ascii="Arial" w:hAnsi="Arial" w:cs="Arial"/>
          <w:noProof/>
          <w:sz w:val="24"/>
          <w:szCs w:val="24"/>
        </w:rPr>
        <w:t xml:space="preserve"> D.</w:t>
      </w:r>
      <w:r w:rsidR="00553CD2" w:rsidRPr="00335870">
        <w:rPr>
          <w:rFonts w:ascii="Arial" w:hAnsi="Arial" w:cs="Arial"/>
          <w:noProof/>
          <w:sz w:val="24"/>
          <w:szCs w:val="24"/>
        </w:rPr>
        <w:t xml:space="preserve">; </w:t>
      </w:r>
      <w:r w:rsidR="00A5206C" w:rsidRPr="00335870">
        <w:rPr>
          <w:rFonts w:ascii="Arial" w:hAnsi="Arial" w:cs="Arial"/>
          <w:noProof/>
          <w:sz w:val="24"/>
          <w:szCs w:val="24"/>
        </w:rPr>
        <w:t>Crew, Andrew P.</w:t>
      </w:r>
      <w:r w:rsidR="00553CD2" w:rsidRPr="00335870">
        <w:rPr>
          <w:rFonts w:ascii="Arial" w:hAnsi="Arial" w:cs="Arial"/>
          <w:noProof/>
          <w:sz w:val="24"/>
          <w:szCs w:val="24"/>
        </w:rPr>
        <w:t xml:space="preserve">; </w:t>
      </w:r>
      <w:r w:rsidR="00A5206C" w:rsidRPr="00335870">
        <w:rPr>
          <w:rFonts w:ascii="Arial" w:hAnsi="Arial" w:cs="Arial"/>
          <w:noProof/>
          <w:sz w:val="24"/>
          <w:szCs w:val="24"/>
        </w:rPr>
        <w:t>Crews, C</w:t>
      </w:r>
      <w:r w:rsidR="00553CD2" w:rsidRPr="00335870">
        <w:rPr>
          <w:rFonts w:ascii="Arial" w:hAnsi="Arial" w:cs="Arial"/>
          <w:noProof/>
          <w:sz w:val="24"/>
          <w:szCs w:val="24"/>
        </w:rPr>
        <w:t>.</w:t>
      </w:r>
      <w:r w:rsidR="00A5206C" w:rsidRPr="00335870">
        <w:rPr>
          <w:rFonts w:ascii="Arial" w:hAnsi="Arial" w:cs="Arial"/>
          <w:noProof/>
          <w:sz w:val="24"/>
          <w:szCs w:val="24"/>
        </w:rPr>
        <w:t xml:space="preserve"> M.</w:t>
      </w:r>
      <w:r w:rsidR="00553CD2" w:rsidRPr="00335870">
        <w:rPr>
          <w:rFonts w:ascii="Arial" w:hAnsi="Arial" w:cs="Arial"/>
          <w:noProof/>
          <w:sz w:val="24"/>
          <w:szCs w:val="24"/>
        </w:rPr>
        <w:t xml:space="preserve">; </w:t>
      </w:r>
      <w:r w:rsidR="00A5206C" w:rsidRPr="00335870">
        <w:rPr>
          <w:rFonts w:ascii="Arial" w:hAnsi="Arial" w:cs="Arial"/>
          <w:noProof/>
          <w:sz w:val="24"/>
          <w:szCs w:val="24"/>
        </w:rPr>
        <w:t>Coleman, K</w:t>
      </w:r>
      <w:r w:rsidR="00553CD2" w:rsidRPr="00335870">
        <w:rPr>
          <w:rFonts w:ascii="Arial" w:hAnsi="Arial" w:cs="Arial"/>
          <w:noProof/>
          <w:sz w:val="24"/>
          <w:szCs w:val="24"/>
        </w:rPr>
        <w:t>.</w:t>
      </w:r>
      <w:r w:rsidR="00A5206C" w:rsidRPr="00335870">
        <w:rPr>
          <w:rFonts w:ascii="Arial" w:hAnsi="Arial" w:cs="Arial"/>
          <w:noProof/>
          <w:sz w:val="24"/>
          <w:szCs w:val="24"/>
        </w:rPr>
        <w:t xml:space="preserve"> G</w:t>
      </w:r>
      <w:r w:rsidRPr="00335870">
        <w:rPr>
          <w:rFonts w:ascii="Arial" w:hAnsi="Arial" w:cs="Arial"/>
          <w:noProof/>
          <w:sz w:val="24"/>
          <w:szCs w:val="24"/>
        </w:rPr>
        <w:t xml:space="preserve">. PROTAC-Induced BET Protein Degradation as a Therapy for Castration-Resistant Prostate Cancer. </w:t>
      </w:r>
      <w:r w:rsidRPr="00335870">
        <w:rPr>
          <w:rFonts w:ascii="Arial" w:hAnsi="Arial" w:cs="Arial"/>
          <w:i/>
          <w:iCs/>
          <w:noProof/>
          <w:sz w:val="24"/>
          <w:szCs w:val="24"/>
        </w:rPr>
        <w:t>Proc. Natl. Acad. Sci. U. S. A.</w:t>
      </w:r>
      <w:r w:rsidRPr="00335870">
        <w:rPr>
          <w:rFonts w:ascii="Arial" w:hAnsi="Arial" w:cs="Arial"/>
          <w:noProof/>
          <w:sz w:val="24"/>
          <w:szCs w:val="24"/>
        </w:rPr>
        <w:t xml:space="preserve"> </w:t>
      </w:r>
      <w:r w:rsidRPr="00335870">
        <w:rPr>
          <w:rFonts w:ascii="Arial" w:hAnsi="Arial" w:cs="Arial"/>
          <w:b/>
          <w:bCs/>
          <w:noProof/>
          <w:sz w:val="24"/>
          <w:szCs w:val="24"/>
        </w:rPr>
        <w:t>2016</w:t>
      </w:r>
      <w:r w:rsidRPr="00335870">
        <w:rPr>
          <w:rFonts w:ascii="Arial" w:hAnsi="Arial" w:cs="Arial"/>
          <w:noProof/>
          <w:sz w:val="24"/>
          <w:szCs w:val="24"/>
        </w:rPr>
        <w:t xml:space="preserve">, </w:t>
      </w:r>
      <w:r w:rsidRPr="00335870">
        <w:rPr>
          <w:rFonts w:ascii="Arial" w:hAnsi="Arial" w:cs="Arial"/>
          <w:i/>
          <w:iCs/>
          <w:noProof/>
          <w:sz w:val="24"/>
          <w:szCs w:val="24"/>
        </w:rPr>
        <w:t>113</w:t>
      </w:r>
      <w:r w:rsidRPr="00335870">
        <w:rPr>
          <w:rFonts w:ascii="Arial" w:hAnsi="Arial" w:cs="Arial"/>
          <w:noProof/>
          <w:sz w:val="24"/>
          <w:szCs w:val="24"/>
        </w:rPr>
        <w:t xml:space="preserve"> (26), 7124–7129. </w:t>
      </w:r>
    </w:p>
    <w:p w14:paraId="3BBC4B83" w14:textId="2ACBFA54" w:rsidR="005D6924" w:rsidRPr="00335870" w:rsidRDefault="005D6924" w:rsidP="00422A2E">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(63) </w:t>
      </w:r>
      <w:r w:rsidRPr="00335870">
        <w:rPr>
          <w:rFonts w:ascii="Arial" w:hAnsi="Arial" w:cs="Arial"/>
          <w:noProof/>
          <w:sz w:val="24"/>
          <w:szCs w:val="24"/>
        </w:rPr>
        <w:tab/>
        <w:t xml:space="preserve">Huang, H. T.; Dobrovolsky, D.; Paulk, J.; Yang, G.; Weisberg, E. L.; Doctor, Z. M.; Buckley, D. L.; Cho, J. H.; Ko, E.; Jang, J.; </w:t>
      </w:r>
      <w:r w:rsidR="00422A2E" w:rsidRPr="00335870">
        <w:rPr>
          <w:rFonts w:ascii="Arial" w:hAnsi="Arial" w:cs="Arial"/>
          <w:noProof/>
          <w:sz w:val="24"/>
          <w:szCs w:val="24"/>
        </w:rPr>
        <w:t xml:space="preserve">Shi, K.; </w:t>
      </w:r>
      <w:r w:rsidR="00422A2E" w:rsidRPr="00422A2E">
        <w:rPr>
          <w:rFonts w:ascii="Arial" w:hAnsi="Arial" w:cs="Arial"/>
          <w:noProof/>
          <w:sz w:val="24"/>
          <w:szCs w:val="24"/>
        </w:rPr>
        <w:t>Choi, H</w:t>
      </w:r>
      <w:r w:rsidR="00422A2E" w:rsidRPr="00335870">
        <w:rPr>
          <w:rFonts w:ascii="Arial" w:hAnsi="Arial" w:cs="Arial"/>
          <w:noProof/>
          <w:sz w:val="24"/>
          <w:szCs w:val="24"/>
        </w:rPr>
        <w:t>.</w:t>
      </w:r>
      <w:r w:rsidR="00422A2E" w:rsidRPr="00422A2E">
        <w:rPr>
          <w:rFonts w:ascii="Arial" w:hAnsi="Arial" w:cs="Arial"/>
          <w:noProof/>
          <w:sz w:val="24"/>
          <w:szCs w:val="24"/>
        </w:rPr>
        <w:t xml:space="preserve"> G</w:t>
      </w:r>
      <w:r w:rsidR="00422A2E" w:rsidRPr="00335870">
        <w:rPr>
          <w:rFonts w:ascii="Arial" w:hAnsi="Arial" w:cs="Arial"/>
          <w:noProof/>
          <w:sz w:val="24"/>
          <w:szCs w:val="24"/>
        </w:rPr>
        <w:t xml:space="preserve">.; </w:t>
      </w:r>
      <w:r w:rsidR="00422A2E" w:rsidRPr="00422A2E">
        <w:rPr>
          <w:rFonts w:ascii="Arial" w:hAnsi="Arial" w:cs="Arial"/>
          <w:noProof/>
          <w:sz w:val="24"/>
          <w:szCs w:val="24"/>
        </w:rPr>
        <w:t>Griffin, J</w:t>
      </w:r>
      <w:r w:rsidR="00422A2E" w:rsidRPr="00335870">
        <w:rPr>
          <w:rFonts w:ascii="Arial" w:hAnsi="Arial" w:cs="Arial"/>
          <w:noProof/>
          <w:sz w:val="24"/>
          <w:szCs w:val="24"/>
        </w:rPr>
        <w:t>.</w:t>
      </w:r>
      <w:r w:rsidR="00422A2E" w:rsidRPr="00422A2E">
        <w:rPr>
          <w:rFonts w:ascii="Arial" w:hAnsi="Arial" w:cs="Arial"/>
          <w:noProof/>
          <w:sz w:val="24"/>
          <w:szCs w:val="24"/>
        </w:rPr>
        <w:t xml:space="preserve"> D.</w:t>
      </w:r>
      <w:r w:rsidR="00422A2E" w:rsidRPr="00335870">
        <w:rPr>
          <w:rFonts w:ascii="Arial" w:hAnsi="Arial" w:cs="Arial"/>
          <w:noProof/>
          <w:sz w:val="24"/>
          <w:szCs w:val="24"/>
        </w:rPr>
        <w:t xml:space="preserve">; </w:t>
      </w:r>
      <w:r w:rsidR="00422A2E" w:rsidRPr="00422A2E">
        <w:rPr>
          <w:rFonts w:ascii="Arial" w:hAnsi="Arial" w:cs="Arial"/>
          <w:noProof/>
          <w:sz w:val="24"/>
          <w:szCs w:val="24"/>
        </w:rPr>
        <w:t>Li, Y</w:t>
      </w:r>
      <w:r w:rsidR="00422A2E" w:rsidRPr="00335870">
        <w:rPr>
          <w:rFonts w:ascii="Arial" w:hAnsi="Arial" w:cs="Arial"/>
          <w:noProof/>
          <w:sz w:val="24"/>
          <w:szCs w:val="24"/>
        </w:rPr>
        <w:t xml:space="preserve">.; </w:t>
      </w:r>
      <w:r w:rsidR="00422A2E" w:rsidRPr="00422A2E">
        <w:rPr>
          <w:rFonts w:ascii="Arial" w:hAnsi="Arial" w:cs="Arial"/>
          <w:noProof/>
          <w:sz w:val="24"/>
          <w:szCs w:val="24"/>
        </w:rPr>
        <w:t>Treon, S</w:t>
      </w:r>
      <w:r w:rsidR="00422A2E" w:rsidRPr="00335870">
        <w:rPr>
          <w:rFonts w:ascii="Arial" w:hAnsi="Arial" w:cs="Arial"/>
          <w:noProof/>
          <w:sz w:val="24"/>
          <w:szCs w:val="24"/>
        </w:rPr>
        <w:t>.</w:t>
      </w:r>
      <w:r w:rsidR="00422A2E" w:rsidRPr="00422A2E">
        <w:rPr>
          <w:rFonts w:ascii="Arial" w:hAnsi="Arial" w:cs="Arial"/>
          <w:noProof/>
          <w:sz w:val="24"/>
          <w:szCs w:val="24"/>
        </w:rPr>
        <w:t xml:space="preserve"> P.</w:t>
      </w:r>
      <w:r w:rsidR="00422A2E" w:rsidRPr="00335870">
        <w:rPr>
          <w:rFonts w:ascii="Arial" w:hAnsi="Arial" w:cs="Arial"/>
          <w:noProof/>
          <w:sz w:val="24"/>
          <w:szCs w:val="24"/>
        </w:rPr>
        <w:t xml:space="preserve">; </w:t>
      </w:r>
      <w:r w:rsidR="00422A2E" w:rsidRPr="00422A2E">
        <w:rPr>
          <w:rFonts w:ascii="Arial" w:hAnsi="Arial" w:cs="Arial"/>
          <w:noProof/>
          <w:sz w:val="24"/>
          <w:szCs w:val="24"/>
        </w:rPr>
        <w:t>Fischer, E</w:t>
      </w:r>
      <w:r w:rsidR="00422A2E" w:rsidRPr="00335870">
        <w:rPr>
          <w:rFonts w:ascii="Arial" w:hAnsi="Arial" w:cs="Arial"/>
          <w:noProof/>
          <w:sz w:val="24"/>
          <w:szCs w:val="24"/>
        </w:rPr>
        <w:t>.</w:t>
      </w:r>
      <w:r w:rsidR="00422A2E" w:rsidRPr="00422A2E">
        <w:rPr>
          <w:rFonts w:ascii="Arial" w:hAnsi="Arial" w:cs="Arial"/>
          <w:noProof/>
          <w:sz w:val="24"/>
          <w:szCs w:val="24"/>
        </w:rPr>
        <w:t xml:space="preserve"> S.</w:t>
      </w:r>
      <w:r w:rsidR="008B6C44" w:rsidRPr="00335870">
        <w:rPr>
          <w:rFonts w:ascii="Arial" w:hAnsi="Arial" w:cs="Arial"/>
          <w:noProof/>
          <w:sz w:val="24"/>
          <w:szCs w:val="24"/>
        </w:rPr>
        <w:t xml:space="preserve">; </w:t>
      </w:r>
      <w:r w:rsidR="00422A2E" w:rsidRPr="00422A2E">
        <w:rPr>
          <w:rFonts w:ascii="Arial" w:hAnsi="Arial" w:cs="Arial"/>
          <w:noProof/>
          <w:sz w:val="24"/>
          <w:szCs w:val="24"/>
        </w:rPr>
        <w:t>Bradner, J</w:t>
      </w:r>
      <w:r w:rsidR="00422A2E" w:rsidRPr="00335870">
        <w:rPr>
          <w:rFonts w:ascii="Arial" w:hAnsi="Arial" w:cs="Arial"/>
          <w:noProof/>
          <w:sz w:val="24"/>
          <w:szCs w:val="24"/>
        </w:rPr>
        <w:t>.</w:t>
      </w:r>
      <w:r w:rsidR="00422A2E" w:rsidRPr="00422A2E">
        <w:rPr>
          <w:rFonts w:ascii="Arial" w:hAnsi="Arial" w:cs="Arial"/>
          <w:noProof/>
          <w:sz w:val="24"/>
          <w:szCs w:val="24"/>
        </w:rPr>
        <w:t xml:space="preserve"> E.</w:t>
      </w:r>
      <w:r w:rsidR="00422A2E" w:rsidRPr="00335870">
        <w:rPr>
          <w:rFonts w:ascii="Arial" w:hAnsi="Arial" w:cs="Arial"/>
          <w:noProof/>
          <w:sz w:val="24"/>
          <w:szCs w:val="24"/>
        </w:rPr>
        <w:t>;</w:t>
      </w:r>
      <w:r w:rsidR="008B6C44" w:rsidRPr="00335870">
        <w:rPr>
          <w:rFonts w:ascii="Arial" w:hAnsi="Arial" w:cs="Arial"/>
          <w:noProof/>
          <w:sz w:val="24"/>
          <w:szCs w:val="24"/>
        </w:rPr>
        <w:t xml:space="preserve"> </w:t>
      </w:r>
      <w:r w:rsidR="00422A2E" w:rsidRPr="00422A2E">
        <w:rPr>
          <w:rFonts w:ascii="Arial" w:hAnsi="Arial" w:cs="Arial"/>
          <w:noProof/>
          <w:sz w:val="24"/>
          <w:szCs w:val="24"/>
        </w:rPr>
        <w:t>Tan, L</w:t>
      </w:r>
      <w:r w:rsidR="00422A2E" w:rsidRPr="00335870">
        <w:rPr>
          <w:rFonts w:ascii="Arial" w:hAnsi="Arial" w:cs="Arial"/>
          <w:noProof/>
          <w:sz w:val="24"/>
          <w:szCs w:val="24"/>
        </w:rPr>
        <w:t>.; Gray, N. S</w:t>
      </w:r>
      <w:r w:rsidRPr="00335870">
        <w:rPr>
          <w:rFonts w:ascii="Arial" w:hAnsi="Arial" w:cs="Arial"/>
          <w:noProof/>
          <w:sz w:val="24"/>
          <w:szCs w:val="24"/>
        </w:rPr>
        <w:t xml:space="preserve">. A Chemoproteomic Approach to Query the Degradable Kinome Using a Multi-Kinase Degrader. </w:t>
      </w:r>
      <w:r w:rsidRPr="00335870">
        <w:rPr>
          <w:rFonts w:ascii="Arial" w:hAnsi="Arial" w:cs="Arial"/>
          <w:i/>
          <w:iCs/>
          <w:noProof/>
          <w:sz w:val="24"/>
          <w:szCs w:val="24"/>
        </w:rPr>
        <w:t>Cell Chem. Biol.</w:t>
      </w:r>
      <w:r w:rsidRPr="00335870">
        <w:rPr>
          <w:rFonts w:ascii="Arial" w:hAnsi="Arial" w:cs="Arial"/>
          <w:noProof/>
          <w:sz w:val="24"/>
          <w:szCs w:val="24"/>
        </w:rPr>
        <w:t xml:space="preserve"> </w:t>
      </w:r>
      <w:r w:rsidRPr="00335870">
        <w:rPr>
          <w:rFonts w:ascii="Arial" w:hAnsi="Arial" w:cs="Arial"/>
          <w:b/>
          <w:bCs/>
          <w:noProof/>
          <w:sz w:val="24"/>
          <w:szCs w:val="24"/>
        </w:rPr>
        <w:t>2018</w:t>
      </w:r>
      <w:r w:rsidRPr="00335870">
        <w:rPr>
          <w:rFonts w:ascii="Arial" w:hAnsi="Arial" w:cs="Arial"/>
          <w:noProof/>
          <w:sz w:val="24"/>
          <w:szCs w:val="24"/>
        </w:rPr>
        <w:t xml:space="preserve">, </w:t>
      </w:r>
      <w:r w:rsidRPr="00335870">
        <w:rPr>
          <w:rFonts w:ascii="Arial" w:hAnsi="Arial" w:cs="Arial"/>
          <w:i/>
          <w:iCs/>
          <w:noProof/>
          <w:sz w:val="24"/>
          <w:szCs w:val="24"/>
        </w:rPr>
        <w:t>25</w:t>
      </w:r>
      <w:r w:rsidRPr="00335870">
        <w:rPr>
          <w:rFonts w:ascii="Arial" w:hAnsi="Arial" w:cs="Arial"/>
          <w:noProof/>
          <w:sz w:val="24"/>
          <w:szCs w:val="24"/>
        </w:rPr>
        <w:t xml:space="preserve"> (1), 88-99.</w:t>
      </w:r>
    </w:p>
    <w:p w14:paraId="41A9AA78" w14:textId="625B8996"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(64) </w:t>
      </w:r>
      <w:r w:rsidRPr="00335870">
        <w:rPr>
          <w:rFonts w:ascii="Arial" w:hAnsi="Arial" w:cs="Arial"/>
          <w:noProof/>
          <w:sz w:val="24"/>
          <w:szCs w:val="24"/>
        </w:rPr>
        <w:tab/>
        <w:t xml:space="preserve">Bondeson, D. P.; Smith, B. E.; Burslem, G. M.; Buhimschi, A. D.; Hines, J.; Jaime-Figueroa, S.; Wang, J.; Hamman, B. D.; Ishchenko, A.; Crews, C. M. Lessons in PROTAC Design from Selective Degradation with a Promiscuous Warhead. </w:t>
      </w:r>
      <w:r w:rsidRPr="00335870">
        <w:rPr>
          <w:rFonts w:ascii="Arial" w:hAnsi="Arial" w:cs="Arial"/>
          <w:i/>
          <w:iCs/>
          <w:noProof/>
          <w:sz w:val="24"/>
          <w:szCs w:val="24"/>
        </w:rPr>
        <w:t>Cell Chem. Biol.</w:t>
      </w:r>
      <w:r w:rsidRPr="00335870">
        <w:rPr>
          <w:rFonts w:ascii="Arial" w:hAnsi="Arial" w:cs="Arial"/>
          <w:noProof/>
          <w:sz w:val="24"/>
          <w:szCs w:val="24"/>
        </w:rPr>
        <w:t xml:space="preserve"> </w:t>
      </w:r>
      <w:r w:rsidRPr="00335870">
        <w:rPr>
          <w:rFonts w:ascii="Arial" w:hAnsi="Arial" w:cs="Arial"/>
          <w:b/>
          <w:bCs/>
          <w:noProof/>
          <w:sz w:val="24"/>
          <w:szCs w:val="24"/>
        </w:rPr>
        <w:t>2018</w:t>
      </w:r>
      <w:r w:rsidRPr="00335870">
        <w:rPr>
          <w:rFonts w:ascii="Arial" w:hAnsi="Arial" w:cs="Arial"/>
          <w:noProof/>
          <w:sz w:val="24"/>
          <w:szCs w:val="24"/>
        </w:rPr>
        <w:t xml:space="preserve">, </w:t>
      </w:r>
      <w:r w:rsidRPr="00335870">
        <w:rPr>
          <w:rFonts w:ascii="Arial" w:hAnsi="Arial" w:cs="Arial"/>
          <w:i/>
          <w:iCs/>
          <w:noProof/>
          <w:sz w:val="24"/>
          <w:szCs w:val="24"/>
        </w:rPr>
        <w:t>25</w:t>
      </w:r>
      <w:r w:rsidRPr="00335870">
        <w:rPr>
          <w:rFonts w:ascii="Arial" w:hAnsi="Arial" w:cs="Arial"/>
          <w:noProof/>
          <w:sz w:val="24"/>
          <w:szCs w:val="24"/>
        </w:rPr>
        <w:t xml:space="preserve"> (1), 78-87.</w:t>
      </w:r>
    </w:p>
    <w:p w14:paraId="24FD9B2E" w14:textId="6CBA3B32"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(65) </w:t>
      </w:r>
      <w:r w:rsidRPr="00335870">
        <w:rPr>
          <w:rFonts w:ascii="Arial" w:hAnsi="Arial" w:cs="Arial"/>
          <w:noProof/>
          <w:sz w:val="24"/>
          <w:szCs w:val="24"/>
        </w:rPr>
        <w:tab/>
        <w:t xml:space="preserve">Chamberlain, P. P.; Hamann, L. G. Development of Targeted Protein Degradation Therapeutics. </w:t>
      </w:r>
      <w:r w:rsidRPr="00335870">
        <w:rPr>
          <w:rFonts w:ascii="Arial" w:hAnsi="Arial" w:cs="Arial"/>
          <w:i/>
          <w:iCs/>
          <w:noProof/>
          <w:sz w:val="24"/>
          <w:szCs w:val="24"/>
        </w:rPr>
        <w:t>Nat. Chem. Biol.</w:t>
      </w:r>
      <w:r w:rsidRPr="00335870">
        <w:rPr>
          <w:rFonts w:ascii="Arial" w:hAnsi="Arial" w:cs="Arial"/>
          <w:noProof/>
          <w:sz w:val="24"/>
          <w:szCs w:val="24"/>
        </w:rPr>
        <w:t xml:space="preserve"> </w:t>
      </w:r>
      <w:r w:rsidRPr="00335870">
        <w:rPr>
          <w:rFonts w:ascii="Arial" w:hAnsi="Arial" w:cs="Arial"/>
          <w:b/>
          <w:bCs/>
          <w:noProof/>
          <w:sz w:val="24"/>
          <w:szCs w:val="24"/>
        </w:rPr>
        <w:t>2019</w:t>
      </w:r>
      <w:r w:rsidRPr="00335870">
        <w:rPr>
          <w:rFonts w:ascii="Arial" w:hAnsi="Arial" w:cs="Arial"/>
          <w:noProof/>
          <w:sz w:val="24"/>
          <w:szCs w:val="24"/>
        </w:rPr>
        <w:t xml:space="preserve">, </w:t>
      </w:r>
      <w:r w:rsidRPr="00335870">
        <w:rPr>
          <w:rFonts w:ascii="Arial" w:hAnsi="Arial" w:cs="Arial"/>
          <w:i/>
          <w:iCs/>
          <w:noProof/>
          <w:sz w:val="24"/>
          <w:szCs w:val="24"/>
        </w:rPr>
        <w:t>15</w:t>
      </w:r>
      <w:r w:rsidRPr="00335870">
        <w:rPr>
          <w:rFonts w:ascii="Arial" w:hAnsi="Arial" w:cs="Arial"/>
          <w:noProof/>
          <w:sz w:val="24"/>
          <w:szCs w:val="24"/>
        </w:rPr>
        <w:t xml:space="preserve"> (10), 937–944. </w:t>
      </w:r>
    </w:p>
    <w:p w14:paraId="30370888" w14:textId="2FE7EDF7"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(66) </w:t>
      </w:r>
      <w:r w:rsidRPr="00335870">
        <w:rPr>
          <w:rFonts w:ascii="Arial" w:hAnsi="Arial" w:cs="Arial"/>
          <w:noProof/>
          <w:sz w:val="24"/>
          <w:szCs w:val="24"/>
        </w:rPr>
        <w:tab/>
        <w:t xml:space="preserve">Fuchter, M. J. On the Promise of Photopharmacology Using Photoswitches: A Medicinal Chemist’s Perspective. </w:t>
      </w:r>
      <w:r w:rsidRPr="00335870">
        <w:rPr>
          <w:rFonts w:ascii="Arial" w:hAnsi="Arial" w:cs="Arial"/>
          <w:i/>
          <w:iCs/>
          <w:noProof/>
          <w:sz w:val="24"/>
          <w:szCs w:val="24"/>
        </w:rPr>
        <w:t>J. Med. Chem.</w:t>
      </w:r>
      <w:r w:rsidRPr="00335870">
        <w:rPr>
          <w:rFonts w:ascii="Arial" w:hAnsi="Arial" w:cs="Arial"/>
          <w:noProof/>
          <w:sz w:val="24"/>
          <w:szCs w:val="24"/>
        </w:rPr>
        <w:t xml:space="preserve"> </w:t>
      </w:r>
      <w:r w:rsidRPr="00335870">
        <w:rPr>
          <w:rFonts w:ascii="Arial" w:hAnsi="Arial" w:cs="Arial"/>
          <w:b/>
          <w:bCs/>
          <w:noProof/>
          <w:sz w:val="24"/>
          <w:szCs w:val="24"/>
        </w:rPr>
        <w:t>2020</w:t>
      </w:r>
      <w:r w:rsidRPr="00335870">
        <w:rPr>
          <w:rFonts w:ascii="Arial" w:hAnsi="Arial" w:cs="Arial"/>
          <w:noProof/>
          <w:sz w:val="24"/>
          <w:szCs w:val="24"/>
        </w:rPr>
        <w:t>,</w:t>
      </w:r>
      <w:r w:rsidR="00AA1074" w:rsidRPr="00335870">
        <w:rPr>
          <w:rFonts w:ascii="Arial" w:hAnsi="Arial" w:cs="Arial"/>
          <w:color w:val="000000"/>
          <w:sz w:val="24"/>
          <w:szCs w:val="24"/>
          <w:shd w:val="clear" w:color="auto" w:fill="FFFFFF"/>
        </w:rPr>
        <w:t xml:space="preserve"> </w:t>
      </w:r>
      <w:r w:rsidR="00AA1074" w:rsidRPr="00335870">
        <w:rPr>
          <w:rFonts w:ascii="Arial" w:hAnsi="Arial" w:cs="Arial"/>
          <w:noProof/>
          <w:sz w:val="24"/>
          <w:szCs w:val="24"/>
        </w:rPr>
        <w:t>63, (20), 11436–11447</w:t>
      </w:r>
      <w:r w:rsidR="00542C2B" w:rsidRPr="00335870">
        <w:rPr>
          <w:rFonts w:ascii="Arial" w:hAnsi="Arial" w:cs="Arial"/>
          <w:noProof/>
          <w:sz w:val="24"/>
          <w:szCs w:val="24"/>
        </w:rPr>
        <w:t>.</w:t>
      </w:r>
    </w:p>
    <w:p w14:paraId="4A4F148F" w14:textId="5A4875A8"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(67) </w:t>
      </w:r>
      <w:r w:rsidRPr="00335870">
        <w:rPr>
          <w:rFonts w:ascii="Arial" w:hAnsi="Arial" w:cs="Arial"/>
          <w:noProof/>
          <w:sz w:val="24"/>
          <w:szCs w:val="24"/>
        </w:rPr>
        <w:tab/>
        <w:t xml:space="preserve">Morstein, J.; Trauner, D. New Players in Phototherapy: Photopharmacology and Bio-Integrated Optoelectronics. </w:t>
      </w:r>
      <w:r w:rsidRPr="00335870">
        <w:rPr>
          <w:rFonts w:ascii="Arial" w:hAnsi="Arial" w:cs="Arial"/>
          <w:i/>
          <w:iCs/>
          <w:noProof/>
          <w:sz w:val="24"/>
          <w:szCs w:val="24"/>
        </w:rPr>
        <w:t>Curr. Opin. Chem. Biol.</w:t>
      </w:r>
      <w:r w:rsidRPr="00335870">
        <w:rPr>
          <w:rFonts w:ascii="Arial" w:hAnsi="Arial" w:cs="Arial"/>
          <w:noProof/>
          <w:sz w:val="24"/>
          <w:szCs w:val="24"/>
        </w:rPr>
        <w:t xml:space="preserve"> </w:t>
      </w:r>
      <w:r w:rsidRPr="00335870">
        <w:rPr>
          <w:rFonts w:ascii="Arial" w:hAnsi="Arial" w:cs="Arial"/>
          <w:b/>
          <w:bCs/>
          <w:noProof/>
          <w:sz w:val="24"/>
          <w:szCs w:val="24"/>
        </w:rPr>
        <w:t>2019</w:t>
      </w:r>
      <w:r w:rsidRPr="00335870">
        <w:rPr>
          <w:rFonts w:ascii="Arial" w:hAnsi="Arial" w:cs="Arial"/>
          <w:noProof/>
          <w:sz w:val="24"/>
          <w:szCs w:val="24"/>
        </w:rPr>
        <w:t xml:space="preserve">, </w:t>
      </w:r>
      <w:r w:rsidRPr="00335870">
        <w:rPr>
          <w:rFonts w:ascii="Arial" w:hAnsi="Arial" w:cs="Arial"/>
          <w:i/>
          <w:iCs/>
          <w:noProof/>
          <w:sz w:val="24"/>
          <w:szCs w:val="24"/>
        </w:rPr>
        <w:t>50</w:t>
      </w:r>
      <w:r w:rsidRPr="00335870">
        <w:rPr>
          <w:rFonts w:ascii="Arial" w:hAnsi="Arial" w:cs="Arial"/>
          <w:noProof/>
          <w:sz w:val="24"/>
          <w:szCs w:val="24"/>
        </w:rPr>
        <w:t xml:space="preserve">, 145–151. </w:t>
      </w:r>
    </w:p>
    <w:p w14:paraId="56D492E8" w14:textId="3DCE153E" w:rsidR="005D6924" w:rsidRPr="00335870" w:rsidRDefault="005D6924" w:rsidP="005D6924">
      <w:pPr>
        <w:widowControl w:val="0"/>
        <w:autoSpaceDE w:val="0"/>
        <w:autoSpaceDN w:val="0"/>
        <w:adjustRightInd w:val="0"/>
        <w:spacing w:line="240" w:lineRule="auto"/>
        <w:ind w:left="640" w:hanging="640"/>
        <w:rPr>
          <w:rFonts w:ascii="Arial" w:hAnsi="Arial" w:cs="Arial"/>
          <w:noProof/>
          <w:sz w:val="24"/>
          <w:szCs w:val="24"/>
        </w:rPr>
      </w:pPr>
      <w:r w:rsidRPr="00335870">
        <w:rPr>
          <w:rFonts w:ascii="Arial" w:hAnsi="Arial" w:cs="Arial"/>
          <w:noProof/>
          <w:sz w:val="24"/>
          <w:szCs w:val="24"/>
        </w:rPr>
        <w:t xml:space="preserve">(68) </w:t>
      </w:r>
      <w:r w:rsidRPr="00335870">
        <w:rPr>
          <w:rFonts w:ascii="Arial" w:hAnsi="Arial" w:cs="Arial"/>
          <w:noProof/>
          <w:sz w:val="24"/>
          <w:szCs w:val="24"/>
        </w:rPr>
        <w:tab/>
        <w:t xml:space="preserve">Konrad, D. B.; Savasci, G.; Allmendinger, L.; Trauner, D.; Ochsenfeld, C.; Ali, A. M. Computational Design and Synthesis of a Deeply Red-Shifted and Bistable Azobenzene. </w:t>
      </w:r>
      <w:r w:rsidRPr="00335870">
        <w:rPr>
          <w:rFonts w:ascii="Arial" w:hAnsi="Arial" w:cs="Arial"/>
          <w:i/>
          <w:iCs/>
          <w:noProof/>
          <w:sz w:val="24"/>
          <w:szCs w:val="24"/>
        </w:rPr>
        <w:t>J. Am. Chem. Soc.</w:t>
      </w:r>
      <w:r w:rsidRPr="00335870">
        <w:rPr>
          <w:rFonts w:ascii="Arial" w:hAnsi="Arial" w:cs="Arial"/>
          <w:noProof/>
          <w:sz w:val="24"/>
          <w:szCs w:val="24"/>
        </w:rPr>
        <w:t xml:space="preserve"> </w:t>
      </w:r>
      <w:r w:rsidRPr="00335870">
        <w:rPr>
          <w:rFonts w:ascii="Arial" w:hAnsi="Arial" w:cs="Arial"/>
          <w:b/>
          <w:bCs/>
          <w:noProof/>
          <w:sz w:val="24"/>
          <w:szCs w:val="24"/>
        </w:rPr>
        <w:t>2020</w:t>
      </w:r>
      <w:r w:rsidRPr="00335870">
        <w:rPr>
          <w:rFonts w:ascii="Arial" w:hAnsi="Arial" w:cs="Arial"/>
          <w:noProof/>
          <w:sz w:val="24"/>
          <w:szCs w:val="24"/>
        </w:rPr>
        <w:t xml:space="preserve">, </w:t>
      </w:r>
      <w:r w:rsidRPr="00335870">
        <w:rPr>
          <w:rFonts w:ascii="Arial" w:hAnsi="Arial" w:cs="Arial"/>
          <w:i/>
          <w:iCs/>
          <w:noProof/>
          <w:sz w:val="24"/>
          <w:szCs w:val="24"/>
        </w:rPr>
        <w:t>142</w:t>
      </w:r>
      <w:r w:rsidRPr="00335870">
        <w:rPr>
          <w:rFonts w:ascii="Arial" w:hAnsi="Arial" w:cs="Arial"/>
          <w:noProof/>
          <w:sz w:val="24"/>
          <w:szCs w:val="24"/>
        </w:rPr>
        <w:t xml:space="preserve"> (14), 6538–6547. </w:t>
      </w:r>
    </w:p>
    <w:p w14:paraId="63B32A57" w14:textId="3953B67A" w:rsidR="004C2001" w:rsidRDefault="00566732" w:rsidP="004C2001">
      <w:pPr>
        <w:widowControl w:val="0"/>
        <w:autoSpaceDE w:val="0"/>
        <w:autoSpaceDN w:val="0"/>
        <w:adjustRightInd w:val="0"/>
        <w:spacing w:line="240" w:lineRule="auto"/>
        <w:rPr>
          <w:rFonts w:ascii="Arial" w:eastAsia="TimesNewRomanPSMT" w:hAnsi="Arial" w:cs="Arial"/>
          <w:sz w:val="24"/>
          <w:szCs w:val="24"/>
        </w:rPr>
      </w:pPr>
      <w:r w:rsidRPr="00335870">
        <w:rPr>
          <w:rFonts w:ascii="Arial" w:eastAsia="TimesNewRomanPSMT" w:hAnsi="Arial" w:cs="Arial"/>
          <w:sz w:val="24"/>
          <w:szCs w:val="24"/>
        </w:rPr>
        <w:fldChar w:fldCharType="end"/>
      </w:r>
    </w:p>
    <w:p w14:paraId="2FF94BAC" w14:textId="77777777" w:rsidR="004C2001" w:rsidRDefault="004C2001" w:rsidP="004C2001">
      <w:pPr>
        <w:widowControl w:val="0"/>
        <w:autoSpaceDE w:val="0"/>
        <w:autoSpaceDN w:val="0"/>
        <w:adjustRightInd w:val="0"/>
        <w:spacing w:line="240" w:lineRule="auto"/>
        <w:rPr>
          <w:rFonts w:ascii="Arial" w:eastAsia="TimesNewRomanPSMT" w:hAnsi="Arial" w:cs="Arial"/>
          <w:sz w:val="24"/>
          <w:szCs w:val="24"/>
        </w:rPr>
      </w:pPr>
    </w:p>
    <w:p w14:paraId="6E6A5494" w14:textId="15C60627" w:rsidR="006D510D" w:rsidRDefault="00027650" w:rsidP="004C2001">
      <w:pPr>
        <w:rPr>
          <w:rFonts w:ascii="Arial" w:eastAsia="TimesNewRomanPSMT" w:hAnsi="Arial" w:cs="Arial"/>
          <w:sz w:val="24"/>
          <w:szCs w:val="24"/>
        </w:rPr>
      </w:pPr>
      <w:r w:rsidRPr="00027650">
        <w:rPr>
          <w:rFonts w:ascii="Arial" w:eastAsia="TimesNewRomanPSMT" w:hAnsi="Arial" w:cs="Arial"/>
          <w:sz w:val="24"/>
          <w:szCs w:val="24"/>
        </w:rPr>
        <w:t>Table of Contents graphic</w:t>
      </w:r>
    </w:p>
    <w:p w14:paraId="2F3C7DF9" w14:textId="381C51AC" w:rsidR="006D510D" w:rsidRDefault="00577132" w:rsidP="00375189">
      <w:pPr>
        <w:rPr>
          <w:rFonts w:ascii="Arial" w:eastAsia="TimesNewRomanPSMT" w:hAnsi="Arial" w:cs="Arial"/>
          <w:sz w:val="24"/>
          <w:szCs w:val="24"/>
        </w:rPr>
      </w:pPr>
      <w:r>
        <w:rPr>
          <w:rFonts w:ascii="Arial" w:eastAsia="TimesNewRomanPSMT" w:hAnsi="Arial" w:cs="Arial"/>
          <w:noProof/>
          <w:sz w:val="24"/>
          <w:szCs w:val="24"/>
        </w:rPr>
        <w:drawing>
          <wp:anchor distT="0" distB="0" distL="114300" distR="114300" simplePos="0" relativeHeight="251721728" behindDoc="0" locked="0" layoutInCell="1" allowOverlap="1" wp14:anchorId="1834124C" wp14:editId="635119B2">
            <wp:simplePos x="0" y="0"/>
            <wp:positionH relativeFrom="column">
              <wp:posOffset>6350</wp:posOffset>
            </wp:positionH>
            <wp:positionV relativeFrom="paragraph">
              <wp:posOffset>349250</wp:posOffset>
            </wp:positionV>
            <wp:extent cx="3602990" cy="2211705"/>
            <wp:effectExtent l="0" t="0" r="0" b="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02990" cy="2211705"/>
                    </a:xfrm>
                    <a:prstGeom prst="rect">
                      <a:avLst/>
                    </a:prstGeom>
                    <a:noFill/>
                  </pic:spPr>
                </pic:pic>
              </a:graphicData>
            </a:graphic>
            <wp14:sizeRelH relativeFrom="page">
              <wp14:pctWidth>0</wp14:pctWidth>
            </wp14:sizeRelH>
            <wp14:sizeRelV relativeFrom="page">
              <wp14:pctHeight>0</wp14:pctHeight>
            </wp14:sizeRelV>
          </wp:anchor>
        </w:drawing>
      </w:r>
    </w:p>
    <w:p w14:paraId="7CE01898" w14:textId="0E42EA1F" w:rsidR="00577132" w:rsidRDefault="00577132" w:rsidP="00375189">
      <w:pPr>
        <w:rPr>
          <w:rFonts w:ascii="Arial" w:eastAsia="TimesNewRomanPSMT" w:hAnsi="Arial" w:cs="Arial"/>
          <w:sz w:val="24"/>
          <w:szCs w:val="24"/>
        </w:rPr>
      </w:pPr>
    </w:p>
    <w:p w14:paraId="60A1F083" w14:textId="3723058C" w:rsidR="006D510D" w:rsidRDefault="00AF6F63" w:rsidP="00AF6F63">
      <w:pPr>
        <w:tabs>
          <w:tab w:val="left" w:pos="1610"/>
        </w:tabs>
        <w:rPr>
          <w:rFonts w:ascii="Arial" w:eastAsia="TimesNewRomanPSMT" w:hAnsi="Arial" w:cs="Arial"/>
          <w:sz w:val="24"/>
          <w:szCs w:val="24"/>
        </w:rPr>
      </w:pPr>
      <w:r>
        <w:rPr>
          <w:rFonts w:ascii="Arial" w:eastAsia="TimesNewRomanPSMT" w:hAnsi="Arial" w:cs="Arial"/>
          <w:sz w:val="24"/>
          <w:szCs w:val="24"/>
        </w:rPr>
        <w:tab/>
      </w:r>
    </w:p>
    <w:p w14:paraId="54B40451" w14:textId="332E53DF" w:rsidR="00820E97" w:rsidRPr="000E0DB5" w:rsidRDefault="00820E97" w:rsidP="00375189">
      <w:pPr>
        <w:rPr>
          <w:rFonts w:ascii="Arial" w:eastAsia="TimesNewRomanPSMT" w:hAnsi="Arial" w:cs="Arial"/>
          <w:sz w:val="24"/>
          <w:szCs w:val="24"/>
        </w:rPr>
      </w:pPr>
    </w:p>
    <w:sectPr w:rsidR="00820E97" w:rsidRPr="000E0DB5" w:rsidSect="0069371F">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2537332" w14:textId="77777777" w:rsidR="00573E6E" w:rsidRDefault="00573E6E" w:rsidP="000A29A6">
      <w:pPr>
        <w:spacing w:after="0" w:line="240" w:lineRule="auto"/>
      </w:pPr>
      <w:r>
        <w:separator/>
      </w:r>
    </w:p>
  </w:endnote>
  <w:endnote w:type="continuationSeparator" w:id="0">
    <w:p w14:paraId="2BB7CE11" w14:textId="77777777" w:rsidR="00573E6E" w:rsidRDefault="00573E6E" w:rsidP="000A29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no Pro">
    <w:altName w:val="Cambria"/>
    <w:panose1 w:val="00000000000000000000"/>
    <w:charset w:val="00"/>
    <w:family w:val="roman"/>
    <w:notTrueType/>
    <w:pitch w:val="variable"/>
    <w:sig w:usb0="60000287" w:usb1="00000001" w:usb2="00000000" w:usb3="00000000" w:csb0="0000019F" w:csb1="00000000"/>
  </w:font>
  <w:font w:name="TimesNewRomanPSMT">
    <w:altName w:val="Yu Gothic"/>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TimesNewRomanPS-ItalicMT">
    <w:altName w:val="Times New Roman"/>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777B557" w14:textId="77777777" w:rsidR="00573E6E" w:rsidRDefault="00573E6E" w:rsidP="000A29A6">
      <w:pPr>
        <w:spacing w:after="0" w:line="240" w:lineRule="auto"/>
      </w:pPr>
      <w:r>
        <w:separator/>
      </w:r>
    </w:p>
  </w:footnote>
  <w:footnote w:type="continuationSeparator" w:id="0">
    <w:p w14:paraId="414058D5" w14:textId="77777777" w:rsidR="00573E6E" w:rsidRDefault="00573E6E" w:rsidP="000A29A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371F"/>
    <w:rsid w:val="000007AA"/>
    <w:rsid w:val="00005724"/>
    <w:rsid w:val="00007BF0"/>
    <w:rsid w:val="0001508F"/>
    <w:rsid w:val="000170CD"/>
    <w:rsid w:val="00021BEF"/>
    <w:rsid w:val="000244CE"/>
    <w:rsid w:val="000271D1"/>
    <w:rsid w:val="00027650"/>
    <w:rsid w:val="000314A6"/>
    <w:rsid w:val="00034389"/>
    <w:rsid w:val="000379C7"/>
    <w:rsid w:val="000413FE"/>
    <w:rsid w:val="00044C60"/>
    <w:rsid w:val="00046A17"/>
    <w:rsid w:val="00050052"/>
    <w:rsid w:val="000522C3"/>
    <w:rsid w:val="00057EC1"/>
    <w:rsid w:val="000616D2"/>
    <w:rsid w:val="000628D7"/>
    <w:rsid w:val="00063520"/>
    <w:rsid w:val="00064E1F"/>
    <w:rsid w:val="00065B2E"/>
    <w:rsid w:val="000661C9"/>
    <w:rsid w:val="0006782F"/>
    <w:rsid w:val="000708A1"/>
    <w:rsid w:val="0007545F"/>
    <w:rsid w:val="000764B4"/>
    <w:rsid w:val="000863B2"/>
    <w:rsid w:val="00087243"/>
    <w:rsid w:val="00087350"/>
    <w:rsid w:val="00087BC4"/>
    <w:rsid w:val="0009097D"/>
    <w:rsid w:val="000A29A6"/>
    <w:rsid w:val="000A3A41"/>
    <w:rsid w:val="000A6639"/>
    <w:rsid w:val="000B4FDF"/>
    <w:rsid w:val="000B7B2D"/>
    <w:rsid w:val="000C122A"/>
    <w:rsid w:val="000C29D4"/>
    <w:rsid w:val="000C73BF"/>
    <w:rsid w:val="000D0C73"/>
    <w:rsid w:val="000E0DB5"/>
    <w:rsid w:val="000E182A"/>
    <w:rsid w:val="000E5DA5"/>
    <w:rsid w:val="000F026B"/>
    <w:rsid w:val="000F0BF9"/>
    <w:rsid w:val="000F0E8B"/>
    <w:rsid w:val="000F7F3A"/>
    <w:rsid w:val="00100E25"/>
    <w:rsid w:val="00107B21"/>
    <w:rsid w:val="001152B9"/>
    <w:rsid w:val="001170E8"/>
    <w:rsid w:val="001178C8"/>
    <w:rsid w:val="00120816"/>
    <w:rsid w:val="00130665"/>
    <w:rsid w:val="001332FA"/>
    <w:rsid w:val="0013567D"/>
    <w:rsid w:val="0015606A"/>
    <w:rsid w:val="001608E0"/>
    <w:rsid w:val="0016583B"/>
    <w:rsid w:val="0017301B"/>
    <w:rsid w:val="00177207"/>
    <w:rsid w:val="001774E4"/>
    <w:rsid w:val="0017775F"/>
    <w:rsid w:val="00181BE2"/>
    <w:rsid w:val="0018505C"/>
    <w:rsid w:val="00191E72"/>
    <w:rsid w:val="00192528"/>
    <w:rsid w:val="001928A8"/>
    <w:rsid w:val="001935DA"/>
    <w:rsid w:val="00195700"/>
    <w:rsid w:val="001A0EF6"/>
    <w:rsid w:val="001A415B"/>
    <w:rsid w:val="001A529C"/>
    <w:rsid w:val="001A56E5"/>
    <w:rsid w:val="001A6066"/>
    <w:rsid w:val="001A684B"/>
    <w:rsid w:val="001B3757"/>
    <w:rsid w:val="001C08FB"/>
    <w:rsid w:val="001C37F0"/>
    <w:rsid w:val="001C505C"/>
    <w:rsid w:val="001C65B7"/>
    <w:rsid w:val="001D2A90"/>
    <w:rsid w:val="001D5A86"/>
    <w:rsid w:val="001E5875"/>
    <w:rsid w:val="001E6E45"/>
    <w:rsid w:val="001F568E"/>
    <w:rsid w:val="001F6E6D"/>
    <w:rsid w:val="0020271B"/>
    <w:rsid w:val="00203FFC"/>
    <w:rsid w:val="00204E6E"/>
    <w:rsid w:val="0020567B"/>
    <w:rsid w:val="00205856"/>
    <w:rsid w:val="00206223"/>
    <w:rsid w:val="00211778"/>
    <w:rsid w:val="002512A3"/>
    <w:rsid w:val="00251755"/>
    <w:rsid w:val="00252C34"/>
    <w:rsid w:val="002539C0"/>
    <w:rsid w:val="00253F61"/>
    <w:rsid w:val="00257910"/>
    <w:rsid w:val="0026341D"/>
    <w:rsid w:val="00277983"/>
    <w:rsid w:val="00280D44"/>
    <w:rsid w:val="00292E53"/>
    <w:rsid w:val="002968D3"/>
    <w:rsid w:val="002A0A72"/>
    <w:rsid w:val="002A0CAE"/>
    <w:rsid w:val="002A3519"/>
    <w:rsid w:val="002A70E6"/>
    <w:rsid w:val="002A7792"/>
    <w:rsid w:val="002B44D4"/>
    <w:rsid w:val="002B567E"/>
    <w:rsid w:val="002C0451"/>
    <w:rsid w:val="002C0F5B"/>
    <w:rsid w:val="002C1C29"/>
    <w:rsid w:val="002C2B7D"/>
    <w:rsid w:val="002C613B"/>
    <w:rsid w:val="002C6625"/>
    <w:rsid w:val="002C6D4C"/>
    <w:rsid w:val="002E3C16"/>
    <w:rsid w:val="002E3D37"/>
    <w:rsid w:val="002F069B"/>
    <w:rsid w:val="002F0937"/>
    <w:rsid w:val="00304985"/>
    <w:rsid w:val="0030517E"/>
    <w:rsid w:val="003055DB"/>
    <w:rsid w:val="003079E9"/>
    <w:rsid w:val="003114AB"/>
    <w:rsid w:val="003161FB"/>
    <w:rsid w:val="003212B5"/>
    <w:rsid w:val="0033334A"/>
    <w:rsid w:val="00335127"/>
    <w:rsid w:val="00335237"/>
    <w:rsid w:val="00335870"/>
    <w:rsid w:val="00337B44"/>
    <w:rsid w:val="00340F8E"/>
    <w:rsid w:val="003537FC"/>
    <w:rsid w:val="003574DF"/>
    <w:rsid w:val="003628BB"/>
    <w:rsid w:val="00370341"/>
    <w:rsid w:val="00375046"/>
    <w:rsid w:val="00375189"/>
    <w:rsid w:val="0037775F"/>
    <w:rsid w:val="003803C7"/>
    <w:rsid w:val="00384278"/>
    <w:rsid w:val="00392A8F"/>
    <w:rsid w:val="00394336"/>
    <w:rsid w:val="003A2DD3"/>
    <w:rsid w:val="003A34B8"/>
    <w:rsid w:val="003A5138"/>
    <w:rsid w:val="003B3C19"/>
    <w:rsid w:val="003B42A9"/>
    <w:rsid w:val="003C575E"/>
    <w:rsid w:val="003C7BD6"/>
    <w:rsid w:val="003E5161"/>
    <w:rsid w:val="003F0E49"/>
    <w:rsid w:val="003F1228"/>
    <w:rsid w:val="003F42BE"/>
    <w:rsid w:val="003F5372"/>
    <w:rsid w:val="004025FC"/>
    <w:rsid w:val="00402C06"/>
    <w:rsid w:val="004046C8"/>
    <w:rsid w:val="00421C8E"/>
    <w:rsid w:val="00422270"/>
    <w:rsid w:val="00422451"/>
    <w:rsid w:val="00422A2E"/>
    <w:rsid w:val="00426C08"/>
    <w:rsid w:val="00437B55"/>
    <w:rsid w:val="00441914"/>
    <w:rsid w:val="00442116"/>
    <w:rsid w:val="00454B6E"/>
    <w:rsid w:val="00455C95"/>
    <w:rsid w:val="004613D8"/>
    <w:rsid w:val="00461FAC"/>
    <w:rsid w:val="00463B05"/>
    <w:rsid w:val="00463C03"/>
    <w:rsid w:val="00467612"/>
    <w:rsid w:val="004750FD"/>
    <w:rsid w:val="00476A88"/>
    <w:rsid w:val="00480651"/>
    <w:rsid w:val="00481D2D"/>
    <w:rsid w:val="004864B3"/>
    <w:rsid w:val="00491B39"/>
    <w:rsid w:val="0049287B"/>
    <w:rsid w:val="00492F9C"/>
    <w:rsid w:val="004949AE"/>
    <w:rsid w:val="004960A5"/>
    <w:rsid w:val="00497ED4"/>
    <w:rsid w:val="004A1D37"/>
    <w:rsid w:val="004A283A"/>
    <w:rsid w:val="004A42BA"/>
    <w:rsid w:val="004A451E"/>
    <w:rsid w:val="004A482D"/>
    <w:rsid w:val="004B461F"/>
    <w:rsid w:val="004B531F"/>
    <w:rsid w:val="004C010F"/>
    <w:rsid w:val="004C2001"/>
    <w:rsid w:val="004C229F"/>
    <w:rsid w:val="004C3B55"/>
    <w:rsid w:val="004C4AD8"/>
    <w:rsid w:val="004C574A"/>
    <w:rsid w:val="004C6D7C"/>
    <w:rsid w:val="004C7834"/>
    <w:rsid w:val="004D2C15"/>
    <w:rsid w:val="004E6037"/>
    <w:rsid w:val="004F00B9"/>
    <w:rsid w:val="004F4AD8"/>
    <w:rsid w:val="004F5D43"/>
    <w:rsid w:val="00500F39"/>
    <w:rsid w:val="00506625"/>
    <w:rsid w:val="005069D4"/>
    <w:rsid w:val="00506ED3"/>
    <w:rsid w:val="00513180"/>
    <w:rsid w:val="005160EB"/>
    <w:rsid w:val="005175F4"/>
    <w:rsid w:val="005228E3"/>
    <w:rsid w:val="00525630"/>
    <w:rsid w:val="005263D1"/>
    <w:rsid w:val="00526556"/>
    <w:rsid w:val="00526A4B"/>
    <w:rsid w:val="00527B18"/>
    <w:rsid w:val="0053326E"/>
    <w:rsid w:val="005370B3"/>
    <w:rsid w:val="005422A7"/>
    <w:rsid w:val="005423A9"/>
    <w:rsid w:val="00542C2B"/>
    <w:rsid w:val="00547E57"/>
    <w:rsid w:val="00553CD2"/>
    <w:rsid w:val="00555F32"/>
    <w:rsid w:val="00560DA1"/>
    <w:rsid w:val="0056585F"/>
    <w:rsid w:val="00566732"/>
    <w:rsid w:val="00571BC4"/>
    <w:rsid w:val="00571DDA"/>
    <w:rsid w:val="00573E6E"/>
    <w:rsid w:val="00574643"/>
    <w:rsid w:val="005767ED"/>
    <w:rsid w:val="00576F31"/>
    <w:rsid w:val="00577132"/>
    <w:rsid w:val="00590131"/>
    <w:rsid w:val="00592D2A"/>
    <w:rsid w:val="00593270"/>
    <w:rsid w:val="005A3903"/>
    <w:rsid w:val="005B51CE"/>
    <w:rsid w:val="005B6FCB"/>
    <w:rsid w:val="005C0360"/>
    <w:rsid w:val="005C2229"/>
    <w:rsid w:val="005C5EA9"/>
    <w:rsid w:val="005D6924"/>
    <w:rsid w:val="005E24AD"/>
    <w:rsid w:val="005E40C7"/>
    <w:rsid w:val="005E4E2B"/>
    <w:rsid w:val="005E6113"/>
    <w:rsid w:val="005F142D"/>
    <w:rsid w:val="005F21CE"/>
    <w:rsid w:val="005F2865"/>
    <w:rsid w:val="005F3B33"/>
    <w:rsid w:val="005F7093"/>
    <w:rsid w:val="005F7619"/>
    <w:rsid w:val="00605FAA"/>
    <w:rsid w:val="00607644"/>
    <w:rsid w:val="00611BD7"/>
    <w:rsid w:val="00615A4A"/>
    <w:rsid w:val="00622050"/>
    <w:rsid w:val="00634725"/>
    <w:rsid w:val="00635077"/>
    <w:rsid w:val="0064721E"/>
    <w:rsid w:val="006478EE"/>
    <w:rsid w:val="00647D07"/>
    <w:rsid w:val="00651B0F"/>
    <w:rsid w:val="00652D0C"/>
    <w:rsid w:val="00655DDE"/>
    <w:rsid w:val="00662591"/>
    <w:rsid w:val="00684883"/>
    <w:rsid w:val="0069371F"/>
    <w:rsid w:val="0069700B"/>
    <w:rsid w:val="006A5247"/>
    <w:rsid w:val="006B31A2"/>
    <w:rsid w:val="006B44A0"/>
    <w:rsid w:val="006C03D4"/>
    <w:rsid w:val="006C632F"/>
    <w:rsid w:val="006D17AB"/>
    <w:rsid w:val="006D510D"/>
    <w:rsid w:val="006D64AD"/>
    <w:rsid w:val="006E7C90"/>
    <w:rsid w:val="00700C88"/>
    <w:rsid w:val="00705537"/>
    <w:rsid w:val="00710D84"/>
    <w:rsid w:val="00714793"/>
    <w:rsid w:val="00715475"/>
    <w:rsid w:val="007159E7"/>
    <w:rsid w:val="00715E88"/>
    <w:rsid w:val="00721907"/>
    <w:rsid w:val="00734E1F"/>
    <w:rsid w:val="00737903"/>
    <w:rsid w:val="00742FCD"/>
    <w:rsid w:val="00743253"/>
    <w:rsid w:val="0075081C"/>
    <w:rsid w:val="0075094E"/>
    <w:rsid w:val="00750FFD"/>
    <w:rsid w:val="00752D78"/>
    <w:rsid w:val="00757BC3"/>
    <w:rsid w:val="00760728"/>
    <w:rsid w:val="00762C1B"/>
    <w:rsid w:val="0076318A"/>
    <w:rsid w:val="007633C0"/>
    <w:rsid w:val="00764AE6"/>
    <w:rsid w:val="00766DD6"/>
    <w:rsid w:val="007670AD"/>
    <w:rsid w:val="00772860"/>
    <w:rsid w:val="00773F30"/>
    <w:rsid w:val="00774528"/>
    <w:rsid w:val="00776622"/>
    <w:rsid w:val="00780EB5"/>
    <w:rsid w:val="00785E8C"/>
    <w:rsid w:val="0079086E"/>
    <w:rsid w:val="00791C2C"/>
    <w:rsid w:val="007A2330"/>
    <w:rsid w:val="007B55F1"/>
    <w:rsid w:val="007C49C3"/>
    <w:rsid w:val="007E46DF"/>
    <w:rsid w:val="007E56BB"/>
    <w:rsid w:val="007F2429"/>
    <w:rsid w:val="007F24F7"/>
    <w:rsid w:val="007F2A8C"/>
    <w:rsid w:val="007F3B72"/>
    <w:rsid w:val="007F50B2"/>
    <w:rsid w:val="008047D5"/>
    <w:rsid w:val="00805D5A"/>
    <w:rsid w:val="008064CE"/>
    <w:rsid w:val="00813131"/>
    <w:rsid w:val="0081661D"/>
    <w:rsid w:val="008166A9"/>
    <w:rsid w:val="00820E97"/>
    <w:rsid w:val="00827F49"/>
    <w:rsid w:val="00832F22"/>
    <w:rsid w:val="00833897"/>
    <w:rsid w:val="0083425F"/>
    <w:rsid w:val="00835E27"/>
    <w:rsid w:val="00840AD4"/>
    <w:rsid w:val="0084157E"/>
    <w:rsid w:val="00841FFF"/>
    <w:rsid w:val="008432A7"/>
    <w:rsid w:val="00851FDF"/>
    <w:rsid w:val="008522AF"/>
    <w:rsid w:val="00853AB7"/>
    <w:rsid w:val="008543D3"/>
    <w:rsid w:val="00854A21"/>
    <w:rsid w:val="00860E8D"/>
    <w:rsid w:val="008624C7"/>
    <w:rsid w:val="00864918"/>
    <w:rsid w:val="00864F22"/>
    <w:rsid w:val="00865E29"/>
    <w:rsid w:val="00870525"/>
    <w:rsid w:val="0087378A"/>
    <w:rsid w:val="00875B1A"/>
    <w:rsid w:val="00875BFC"/>
    <w:rsid w:val="00876FFE"/>
    <w:rsid w:val="008836D6"/>
    <w:rsid w:val="00884867"/>
    <w:rsid w:val="00886A1B"/>
    <w:rsid w:val="008906F6"/>
    <w:rsid w:val="008B5640"/>
    <w:rsid w:val="008B6C44"/>
    <w:rsid w:val="008C4326"/>
    <w:rsid w:val="008C5227"/>
    <w:rsid w:val="008D0E9F"/>
    <w:rsid w:val="008D2FD1"/>
    <w:rsid w:val="008D391F"/>
    <w:rsid w:val="008D6D26"/>
    <w:rsid w:val="008D7735"/>
    <w:rsid w:val="008D794F"/>
    <w:rsid w:val="008F5635"/>
    <w:rsid w:val="008F753E"/>
    <w:rsid w:val="008F776D"/>
    <w:rsid w:val="00906C17"/>
    <w:rsid w:val="0091158F"/>
    <w:rsid w:val="009125A7"/>
    <w:rsid w:val="00912B93"/>
    <w:rsid w:val="00913511"/>
    <w:rsid w:val="00925E4B"/>
    <w:rsid w:val="009330A1"/>
    <w:rsid w:val="0093395A"/>
    <w:rsid w:val="0093608C"/>
    <w:rsid w:val="0094454F"/>
    <w:rsid w:val="00951B3F"/>
    <w:rsid w:val="00953FAE"/>
    <w:rsid w:val="009570D0"/>
    <w:rsid w:val="00967F35"/>
    <w:rsid w:val="00970C8F"/>
    <w:rsid w:val="009736A8"/>
    <w:rsid w:val="00973FA3"/>
    <w:rsid w:val="0097628A"/>
    <w:rsid w:val="0098028B"/>
    <w:rsid w:val="00983ED1"/>
    <w:rsid w:val="009848F2"/>
    <w:rsid w:val="00991FB1"/>
    <w:rsid w:val="009929AB"/>
    <w:rsid w:val="009A3ABE"/>
    <w:rsid w:val="009B501A"/>
    <w:rsid w:val="009B686E"/>
    <w:rsid w:val="009C1730"/>
    <w:rsid w:val="009C4AF9"/>
    <w:rsid w:val="009C4DF5"/>
    <w:rsid w:val="009C5443"/>
    <w:rsid w:val="009D138D"/>
    <w:rsid w:val="009D5308"/>
    <w:rsid w:val="009D74F6"/>
    <w:rsid w:val="009E01FB"/>
    <w:rsid w:val="009E42A9"/>
    <w:rsid w:val="009E4846"/>
    <w:rsid w:val="009E60FD"/>
    <w:rsid w:val="009F520D"/>
    <w:rsid w:val="009F7157"/>
    <w:rsid w:val="00A00D09"/>
    <w:rsid w:val="00A045F5"/>
    <w:rsid w:val="00A05B27"/>
    <w:rsid w:val="00A2331B"/>
    <w:rsid w:val="00A26546"/>
    <w:rsid w:val="00A267FF"/>
    <w:rsid w:val="00A30533"/>
    <w:rsid w:val="00A3125F"/>
    <w:rsid w:val="00A337E2"/>
    <w:rsid w:val="00A33932"/>
    <w:rsid w:val="00A33ED4"/>
    <w:rsid w:val="00A45FA2"/>
    <w:rsid w:val="00A46D53"/>
    <w:rsid w:val="00A47A38"/>
    <w:rsid w:val="00A51D6D"/>
    <w:rsid w:val="00A5206C"/>
    <w:rsid w:val="00A54039"/>
    <w:rsid w:val="00A61A51"/>
    <w:rsid w:val="00A651EC"/>
    <w:rsid w:val="00A707F4"/>
    <w:rsid w:val="00A7193E"/>
    <w:rsid w:val="00A71E7B"/>
    <w:rsid w:val="00A73E92"/>
    <w:rsid w:val="00A807B4"/>
    <w:rsid w:val="00A839EA"/>
    <w:rsid w:val="00A85216"/>
    <w:rsid w:val="00AA1074"/>
    <w:rsid w:val="00AA17B4"/>
    <w:rsid w:val="00AC0561"/>
    <w:rsid w:val="00AD17E8"/>
    <w:rsid w:val="00AD60EA"/>
    <w:rsid w:val="00AD7B71"/>
    <w:rsid w:val="00AE7A3C"/>
    <w:rsid w:val="00AF3E8A"/>
    <w:rsid w:val="00AF62F6"/>
    <w:rsid w:val="00AF66A5"/>
    <w:rsid w:val="00AF6F63"/>
    <w:rsid w:val="00B00498"/>
    <w:rsid w:val="00B05B1D"/>
    <w:rsid w:val="00B0600B"/>
    <w:rsid w:val="00B10C67"/>
    <w:rsid w:val="00B12827"/>
    <w:rsid w:val="00B134D3"/>
    <w:rsid w:val="00B14DF2"/>
    <w:rsid w:val="00B16A9E"/>
    <w:rsid w:val="00B16D80"/>
    <w:rsid w:val="00B2731D"/>
    <w:rsid w:val="00B34289"/>
    <w:rsid w:val="00B34529"/>
    <w:rsid w:val="00B36AFD"/>
    <w:rsid w:val="00B4049B"/>
    <w:rsid w:val="00B406B9"/>
    <w:rsid w:val="00B41A32"/>
    <w:rsid w:val="00B42DF1"/>
    <w:rsid w:val="00B45B58"/>
    <w:rsid w:val="00B461BA"/>
    <w:rsid w:val="00B47C12"/>
    <w:rsid w:val="00B50505"/>
    <w:rsid w:val="00B6468A"/>
    <w:rsid w:val="00B7130D"/>
    <w:rsid w:val="00B7181E"/>
    <w:rsid w:val="00B7257D"/>
    <w:rsid w:val="00B72B5D"/>
    <w:rsid w:val="00B73D68"/>
    <w:rsid w:val="00B75DC9"/>
    <w:rsid w:val="00B76BFA"/>
    <w:rsid w:val="00B84FDA"/>
    <w:rsid w:val="00B87445"/>
    <w:rsid w:val="00B9788D"/>
    <w:rsid w:val="00BA275E"/>
    <w:rsid w:val="00BA2F4C"/>
    <w:rsid w:val="00BA30A1"/>
    <w:rsid w:val="00BA3741"/>
    <w:rsid w:val="00BA45F6"/>
    <w:rsid w:val="00BA519E"/>
    <w:rsid w:val="00BA65B6"/>
    <w:rsid w:val="00BA781A"/>
    <w:rsid w:val="00BB4A0E"/>
    <w:rsid w:val="00BB70ED"/>
    <w:rsid w:val="00BC1D90"/>
    <w:rsid w:val="00BD0360"/>
    <w:rsid w:val="00BD188C"/>
    <w:rsid w:val="00BD431F"/>
    <w:rsid w:val="00BD56FA"/>
    <w:rsid w:val="00BD5823"/>
    <w:rsid w:val="00BE1462"/>
    <w:rsid w:val="00BE4602"/>
    <w:rsid w:val="00BE7B1D"/>
    <w:rsid w:val="00BF70A7"/>
    <w:rsid w:val="00C065E0"/>
    <w:rsid w:val="00C151F8"/>
    <w:rsid w:val="00C25A1D"/>
    <w:rsid w:val="00C31B50"/>
    <w:rsid w:val="00C35071"/>
    <w:rsid w:val="00C35E6A"/>
    <w:rsid w:val="00C51D13"/>
    <w:rsid w:val="00C541BC"/>
    <w:rsid w:val="00C57941"/>
    <w:rsid w:val="00C650DD"/>
    <w:rsid w:val="00C842AC"/>
    <w:rsid w:val="00C869EA"/>
    <w:rsid w:val="00C9235B"/>
    <w:rsid w:val="00C94E31"/>
    <w:rsid w:val="00C94ED6"/>
    <w:rsid w:val="00CA1F57"/>
    <w:rsid w:val="00CA3A1E"/>
    <w:rsid w:val="00CA706D"/>
    <w:rsid w:val="00CB2DBF"/>
    <w:rsid w:val="00CB330F"/>
    <w:rsid w:val="00CC3954"/>
    <w:rsid w:val="00CC4C3B"/>
    <w:rsid w:val="00CD5CA9"/>
    <w:rsid w:val="00CE117B"/>
    <w:rsid w:val="00CE2859"/>
    <w:rsid w:val="00CF357B"/>
    <w:rsid w:val="00D03BA7"/>
    <w:rsid w:val="00D1084B"/>
    <w:rsid w:val="00D12D81"/>
    <w:rsid w:val="00D13177"/>
    <w:rsid w:val="00D22BB9"/>
    <w:rsid w:val="00D30F0A"/>
    <w:rsid w:val="00D31974"/>
    <w:rsid w:val="00D32709"/>
    <w:rsid w:val="00D34679"/>
    <w:rsid w:val="00D35323"/>
    <w:rsid w:val="00D40A16"/>
    <w:rsid w:val="00D41351"/>
    <w:rsid w:val="00D4209C"/>
    <w:rsid w:val="00D45D3C"/>
    <w:rsid w:val="00D5215F"/>
    <w:rsid w:val="00D5663A"/>
    <w:rsid w:val="00D577DA"/>
    <w:rsid w:val="00D63011"/>
    <w:rsid w:val="00D632D4"/>
    <w:rsid w:val="00D654A8"/>
    <w:rsid w:val="00D661DF"/>
    <w:rsid w:val="00D674DA"/>
    <w:rsid w:val="00D67A91"/>
    <w:rsid w:val="00D73578"/>
    <w:rsid w:val="00D73889"/>
    <w:rsid w:val="00D766BF"/>
    <w:rsid w:val="00D76761"/>
    <w:rsid w:val="00D77DB7"/>
    <w:rsid w:val="00D8227A"/>
    <w:rsid w:val="00D82AAF"/>
    <w:rsid w:val="00D832DB"/>
    <w:rsid w:val="00D84A2A"/>
    <w:rsid w:val="00D84E6F"/>
    <w:rsid w:val="00D870A2"/>
    <w:rsid w:val="00D917D3"/>
    <w:rsid w:val="00D95026"/>
    <w:rsid w:val="00D951CA"/>
    <w:rsid w:val="00D97C60"/>
    <w:rsid w:val="00DA5BF0"/>
    <w:rsid w:val="00DA766E"/>
    <w:rsid w:val="00DB2518"/>
    <w:rsid w:val="00DB48B9"/>
    <w:rsid w:val="00DB4CFB"/>
    <w:rsid w:val="00DB54F6"/>
    <w:rsid w:val="00DC2093"/>
    <w:rsid w:val="00DC3A19"/>
    <w:rsid w:val="00DC5E27"/>
    <w:rsid w:val="00DD1039"/>
    <w:rsid w:val="00DD3060"/>
    <w:rsid w:val="00DE2161"/>
    <w:rsid w:val="00DE2E23"/>
    <w:rsid w:val="00DE79F7"/>
    <w:rsid w:val="00DE7E4C"/>
    <w:rsid w:val="00DE7FFA"/>
    <w:rsid w:val="00DF08D1"/>
    <w:rsid w:val="00DF3FFF"/>
    <w:rsid w:val="00DF5D79"/>
    <w:rsid w:val="00E05BF8"/>
    <w:rsid w:val="00E072CE"/>
    <w:rsid w:val="00E07CE1"/>
    <w:rsid w:val="00E11708"/>
    <w:rsid w:val="00E156B7"/>
    <w:rsid w:val="00E15F21"/>
    <w:rsid w:val="00E16EF1"/>
    <w:rsid w:val="00E218EE"/>
    <w:rsid w:val="00E251DD"/>
    <w:rsid w:val="00E2590A"/>
    <w:rsid w:val="00E27993"/>
    <w:rsid w:val="00E33C8C"/>
    <w:rsid w:val="00E35204"/>
    <w:rsid w:val="00E35D7D"/>
    <w:rsid w:val="00E377FA"/>
    <w:rsid w:val="00E42C7A"/>
    <w:rsid w:val="00E61ED8"/>
    <w:rsid w:val="00E671D5"/>
    <w:rsid w:val="00E70D5F"/>
    <w:rsid w:val="00E70DD4"/>
    <w:rsid w:val="00E74D87"/>
    <w:rsid w:val="00E7732B"/>
    <w:rsid w:val="00E80454"/>
    <w:rsid w:val="00E8108F"/>
    <w:rsid w:val="00E812BE"/>
    <w:rsid w:val="00E82A10"/>
    <w:rsid w:val="00E853BE"/>
    <w:rsid w:val="00E860C2"/>
    <w:rsid w:val="00E91024"/>
    <w:rsid w:val="00E911B7"/>
    <w:rsid w:val="00E936EA"/>
    <w:rsid w:val="00E9410F"/>
    <w:rsid w:val="00E963CF"/>
    <w:rsid w:val="00E977B3"/>
    <w:rsid w:val="00EA3DB8"/>
    <w:rsid w:val="00EA6008"/>
    <w:rsid w:val="00EB2F6B"/>
    <w:rsid w:val="00EC40E1"/>
    <w:rsid w:val="00EC68FB"/>
    <w:rsid w:val="00ED3F32"/>
    <w:rsid w:val="00EE30ED"/>
    <w:rsid w:val="00EE5211"/>
    <w:rsid w:val="00EE584C"/>
    <w:rsid w:val="00F0114C"/>
    <w:rsid w:val="00F06863"/>
    <w:rsid w:val="00F122D7"/>
    <w:rsid w:val="00F31AE3"/>
    <w:rsid w:val="00F40510"/>
    <w:rsid w:val="00F40AA6"/>
    <w:rsid w:val="00F40BB9"/>
    <w:rsid w:val="00F437A3"/>
    <w:rsid w:val="00F43D56"/>
    <w:rsid w:val="00F51CA5"/>
    <w:rsid w:val="00F53E04"/>
    <w:rsid w:val="00F6153E"/>
    <w:rsid w:val="00F63C44"/>
    <w:rsid w:val="00F6529F"/>
    <w:rsid w:val="00F765EB"/>
    <w:rsid w:val="00F808AE"/>
    <w:rsid w:val="00F81824"/>
    <w:rsid w:val="00F81FA6"/>
    <w:rsid w:val="00F90809"/>
    <w:rsid w:val="00F90E0E"/>
    <w:rsid w:val="00F933BA"/>
    <w:rsid w:val="00FA1870"/>
    <w:rsid w:val="00FA49AB"/>
    <w:rsid w:val="00FB377C"/>
    <w:rsid w:val="00FC0BEB"/>
    <w:rsid w:val="00FC20C7"/>
    <w:rsid w:val="00FC6512"/>
    <w:rsid w:val="00FD01E5"/>
    <w:rsid w:val="00FD0E93"/>
    <w:rsid w:val="00FD0EFA"/>
    <w:rsid w:val="00FD0F63"/>
    <w:rsid w:val="00FD5B82"/>
    <w:rsid w:val="00FE3ACD"/>
    <w:rsid w:val="00FE4560"/>
    <w:rsid w:val="00FE6DA5"/>
    <w:rsid w:val="00FE70C9"/>
    <w:rsid w:val="00FF1396"/>
    <w:rsid w:val="00FF4FEB"/>
    <w:rsid w:val="00FF6B21"/>
    <w:rsid w:val="00FF76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374F88"/>
  <w15:chartTrackingRefBased/>
  <w15:docId w15:val="{625D3BB5-65E4-4010-97AD-330A61937B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A29A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A29A6"/>
  </w:style>
  <w:style w:type="paragraph" w:styleId="Footer">
    <w:name w:val="footer"/>
    <w:basedOn w:val="Normal"/>
    <w:link w:val="FooterChar"/>
    <w:uiPriority w:val="99"/>
    <w:unhideWhenUsed/>
    <w:rsid w:val="000A29A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A29A6"/>
  </w:style>
  <w:style w:type="character" w:styleId="Hyperlink">
    <w:name w:val="Hyperlink"/>
    <w:basedOn w:val="DefaultParagraphFont"/>
    <w:uiPriority w:val="99"/>
    <w:unhideWhenUsed/>
    <w:rsid w:val="00402C06"/>
    <w:rPr>
      <w:color w:val="0563C1" w:themeColor="hyperlink"/>
      <w:u w:val="single"/>
    </w:rPr>
  </w:style>
  <w:style w:type="character" w:styleId="UnresolvedMention">
    <w:name w:val="Unresolved Mention"/>
    <w:basedOn w:val="DefaultParagraphFont"/>
    <w:uiPriority w:val="99"/>
    <w:semiHidden/>
    <w:unhideWhenUsed/>
    <w:rsid w:val="00402C06"/>
    <w:rPr>
      <w:color w:val="605E5C"/>
      <w:shd w:val="clear" w:color="auto" w:fill="E1DFDD"/>
    </w:rPr>
  </w:style>
  <w:style w:type="paragraph" w:styleId="BalloonText">
    <w:name w:val="Balloon Text"/>
    <w:basedOn w:val="Normal"/>
    <w:link w:val="BalloonTextChar"/>
    <w:uiPriority w:val="99"/>
    <w:semiHidden/>
    <w:unhideWhenUsed/>
    <w:rsid w:val="005C5EA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C5EA9"/>
    <w:rPr>
      <w:rFonts w:ascii="Segoe UI" w:hAnsi="Segoe UI" w:cs="Segoe UI"/>
      <w:sz w:val="18"/>
      <w:szCs w:val="18"/>
    </w:rPr>
  </w:style>
  <w:style w:type="character" w:styleId="CommentReference">
    <w:name w:val="annotation reference"/>
    <w:basedOn w:val="DefaultParagraphFont"/>
    <w:uiPriority w:val="99"/>
    <w:semiHidden/>
    <w:unhideWhenUsed/>
    <w:rsid w:val="000271D1"/>
    <w:rPr>
      <w:sz w:val="16"/>
      <w:szCs w:val="16"/>
    </w:rPr>
  </w:style>
  <w:style w:type="paragraph" w:styleId="CommentText">
    <w:name w:val="annotation text"/>
    <w:basedOn w:val="Normal"/>
    <w:link w:val="CommentTextChar"/>
    <w:uiPriority w:val="99"/>
    <w:semiHidden/>
    <w:unhideWhenUsed/>
    <w:rsid w:val="000271D1"/>
    <w:pPr>
      <w:spacing w:line="240" w:lineRule="auto"/>
    </w:pPr>
    <w:rPr>
      <w:sz w:val="20"/>
      <w:szCs w:val="20"/>
    </w:rPr>
  </w:style>
  <w:style w:type="character" w:customStyle="1" w:styleId="CommentTextChar">
    <w:name w:val="Comment Text Char"/>
    <w:basedOn w:val="DefaultParagraphFont"/>
    <w:link w:val="CommentText"/>
    <w:uiPriority w:val="99"/>
    <w:semiHidden/>
    <w:rsid w:val="000271D1"/>
    <w:rPr>
      <w:sz w:val="20"/>
      <w:szCs w:val="20"/>
    </w:rPr>
  </w:style>
  <w:style w:type="paragraph" w:styleId="CommentSubject">
    <w:name w:val="annotation subject"/>
    <w:basedOn w:val="CommentText"/>
    <w:next w:val="CommentText"/>
    <w:link w:val="CommentSubjectChar"/>
    <w:uiPriority w:val="99"/>
    <w:semiHidden/>
    <w:unhideWhenUsed/>
    <w:rsid w:val="000271D1"/>
    <w:rPr>
      <w:b/>
      <w:bCs/>
    </w:rPr>
  </w:style>
  <w:style w:type="character" w:customStyle="1" w:styleId="CommentSubjectChar">
    <w:name w:val="Comment Subject Char"/>
    <w:basedOn w:val="CommentTextChar"/>
    <w:link w:val="CommentSubject"/>
    <w:uiPriority w:val="99"/>
    <w:semiHidden/>
    <w:rsid w:val="000271D1"/>
    <w:rPr>
      <w:b/>
      <w:bCs/>
      <w:sz w:val="20"/>
      <w:szCs w:val="20"/>
    </w:rPr>
  </w:style>
  <w:style w:type="paragraph" w:styleId="Revision">
    <w:name w:val="Revision"/>
    <w:hidden/>
    <w:uiPriority w:val="99"/>
    <w:semiHidden/>
    <w:rsid w:val="00A73E92"/>
    <w:pPr>
      <w:spacing w:after="0" w:line="240" w:lineRule="auto"/>
    </w:pPr>
  </w:style>
  <w:style w:type="paragraph" w:customStyle="1" w:styleId="TCTableBody">
    <w:name w:val="TC_Table_Body"/>
    <w:basedOn w:val="Normal"/>
    <w:next w:val="Normal"/>
    <w:link w:val="TCTableBodyChar"/>
    <w:autoRedefine/>
    <w:rsid w:val="00027650"/>
    <w:pPr>
      <w:spacing w:before="20" w:after="60" w:line="240" w:lineRule="auto"/>
      <w:jc w:val="both"/>
    </w:pPr>
    <w:rPr>
      <w:rFonts w:ascii="Arno Pro" w:eastAsia="Times New Roman" w:hAnsi="Arno Pro" w:cs="Times New Roman"/>
      <w:kern w:val="20"/>
      <w:sz w:val="18"/>
      <w:szCs w:val="20"/>
    </w:rPr>
  </w:style>
  <w:style w:type="character" w:customStyle="1" w:styleId="TCTableBodyChar">
    <w:name w:val="TC_Table_Body Char"/>
    <w:link w:val="TCTableBody"/>
    <w:rsid w:val="00027650"/>
    <w:rPr>
      <w:rFonts w:ascii="Arno Pro" w:eastAsia="Times New Roman" w:hAnsi="Arno Pro" w:cs="Times New Roman"/>
      <w:kern w:val="20"/>
      <w:sz w:val="18"/>
      <w:szCs w:val="20"/>
    </w:rPr>
  </w:style>
  <w:style w:type="paragraph" w:styleId="NormalWeb">
    <w:name w:val="Normal (Web)"/>
    <w:basedOn w:val="Normal"/>
    <w:uiPriority w:val="99"/>
    <w:semiHidden/>
    <w:unhideWhenUsed/>
    <w:rsid w:val="00426C08"/>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8604951">
      <w:bodyDiv w:val="1"/>
      <w:marLeft w:val="0"/>
      <w:marRight w:val="0"/>
      <w:marTop w:val="0"/>
      <w:marBottom w:val="0"/>
      <w:divBdr>
        <w:top w:val="none" w:sz="0" w:space="0" w:color="auto"/>
        <w:left w:val="none" w:sz="0" w:space="0" w:color="auto"/>
        <w:bottom w:val="none" w:sz="0" w:space="0" w:color="auto"/>
        <w:right w:val="none" w:sz="0" w:space="0" w:color="auto"/>
      </w:divBdr>
    </w:div>
    <w:div w:id="498346409">
      <w:bodyDiv w:val="1"/>
      <w:marLeft w:val="0"/>
      <w:marRight w:val="0"/>
      <w:marTop w:val="0"/>
      <w:marBottom w:val="0"/>
      <w:divBdr>
        <w:top w:val="none" w:sz="0" w:space="0" w:color="auto"/>
        <w:left w:val="none" w:sz="0" w:space="0" w:color="auto"/>
        <w:bottom w:val="none" w:sz="0" w:space="0" w:color="auto"/>
        <w:right w:val="none" w:sz="0" w:space="0" w:color="auto"/>
      </w:divBdr>
    </w:div>
    <w:div w:id="546792911">
      <w:bodyDiv w:val="1"/>
      <w:marLeft w:val="0"/>
      <w:marRight w:val="0"/>
      <w:marTop w:val="0"/>
      <w:marBottom w:val="0"/>
      <w:divBdr>
        <w:top w:val="none" w:sz="0" w:space="0" w:color="auto"/>
        <w:left w:val="none" w:sz="0" w:space="0" w:color="auto"/>
        <w:bottom w:val="none" w:sz="0" w:space="0" w:color="auto"/>
        <w:right w:val="none" w:sz="0" w:space="0" w:color="auto"/>
      </w:divBdr>
    </w:div>
    <w:div w:id="624628594">
      <w:bodyDiv w:val="1"/>
      <w:marLeft w:val="0"/>
      <w:marRight w:val="0"/>
      <w:marTop w:val="0"/>
      <w:marBottom w:val="0"/>
      <w:divBdr>
        <w:top w:val="none" w:sz="0" w:space="0" w:color="auto"/>
        <w:left w:val="none" w:sz="0" w:space="0" w:color="auto"/>
        <w:bottom w:val="none" w:sz="0" w:space="0" w:color="auto"/>
        <w:right w:val="none" w:sz="0" w:space="0" w:color="auto"/>
      </w:divBdr>
    </w:div>
    <w:div w:id="635840618">
      <w:bodyDiv w:val="1"/>
      <w:marLeft w:val="0"/>
      <w:marRight w:val="0"/>
      <w:marTop w:val="0"/>
      <w:marBottom w:val="0"/>
      <w:divBdr>
        <w:top w:val="none" w:sz="0" w:space="0" w:color="auto"/>
        <w:left w:val="none" w:sz="0" w:space="0" w:color="auto"/>
        <w:bottom w:val="none" w:sz="0" w:space="0" w:color="auto"/>
        <w:right w:val="none" w:sz="0" w:space="0" w:color="auto"/>
      </w:divBdr>
    </w:div>
    <w:div w:id="812451989">
      <w:bodyDiv w:val="1"/>
      <w:marLeft w:val="0"/>
      <w:marRight w:val="0"/>
      <w:marTop w:val="0"/>
      <w:marBottom w:val="0"/>
      <w:divBdr>
        <w:top w:val="none" w:sz="0" w:space="0" w:color="auto"/>
        <w:left w:val="none" w:sz="0" w:space="0" w:color="auto"/>
        <w:bottom w:val="none" w:sz="0" w:space="0" w:color="auto"/>
        <w:right w:val="none" w:sz="0" w:space="0" w:color="auto"/>
      </w:divBdr>
    </w:div>
    <w:div w:id="914096556">
      <w:bodyDiv w:val="1"/>
      <w:marLeft w:val="0"/>
      <w:marRight w:val="0"/>
      <w:marTop w:val="0"/>
      <w:marBottom w:val="0"/>
      <w:divBdr>
        <w:top w:val="none" w:sz="0" w:space="0" w:color="auto"/>
        <w:left w:val="none" w:sz="0" w:space="0" w:color="auto"/>
        <w:bottom w:val="none" w:sz="0" w:space="0" w:color="auto"/>
        <w:right w:val="none" w:sz="0" w:space="0" w:color="auto"/>
      </w:divBdr>
    </w:div>
    <w:div w:id="979841475">
      <w:bodyDiv w:val="1"/>
      <w:marLeft w:val="0"/>
      <w:marRight w:val="0"/>
      <w:marTop w:val="0"/>
      <w:marBottom w:val="0"/>
      <w:divBdr>
        <w:top w:val="none" w:sz="0" w:space="0" w:color="auto"/>
        <w:left w:val="none" w:sz="0" w:space="0" w:color="auto"/>
        <w:bottom w:val="none" w:sz="0" w:space="0" w:color="auto"/>
        <w:right w:val="none" w:sz="0" w:space="0" w:color="auto"/>
      </w:divBdr>
    </w:div>
    <w:div w:id="988290594">
      <w:bodyDiv w:val="1"/>
      <w:marLeft w:val="0"/>
      <w:marRight w:val="0"/>
      <w:marTop w:val="0"/>
      <w:marBottom w:val="0"/>
      <w:divBdr>
        <w:top w:val="none" w:sz="0" w:space="0" w:color="auto"/>
        <w:left w:val="none" w:sz="0" w:space="0" w:color="auto"/>
        <w:bottom w:val="none" w:sz="0" w:space="0" w:color="auto"/>
        <w:right w:val="none" w:sz="0" w:space="0" w:color="auto"/>
      </w:divBdr>
    </w:div>
    <w:div w:id="1026754184">
      <w:bodyDiv w:val="1"/>
      <w:marLeft w:val="0"/>
      <w:marRight w:val="0"/>
      <w:marTop w:val="0"/>
      <w:marBottom w:val="0"/>
      <w:divBdr>
        <w:top w:val="none" w:sz="0" w:space="0" w:color="auto"/>
        <w:left w:val="none" w:sz="0" w:space="0" w:color="auto"/>
        <w:bottom w:val="none" w:sz="0" w:space="0" w:color="auto"/>
        <w:right w:val="none" w:sz="0" w:space="0" w:color="auto"/>
      </w:divBdr>
    </w:div>
    <w:div w:id="1097561363">
      <w:bodyDiv w:val="1"/>
      <w:marLeft w:val="0"/>
      <w:marRight w:val="0"/>
      <w:marTop w:val="0"/>
      <w:marBottom w:val="0"/>
      <w:divBdr>
        <w:top w:val="none" w:sz="0" w:space="0" w:color="auto"/>
        <w:left w:val="none" w:sz="0" w:space="0" w:color="auto"/>
        <w:bottom w:val="none" w:sz="0" w:space="0" w:color="auto"/>
        <w:right w:val="none" w:sz="0" w:space="0" w:color="auto"/>
      </w:divBdr>
    </w:div>
    <w:div w:id="1135870842">
      <w:bodyDiv w:val="1"/>
      <w:marLeft w:val="0"/>
      <w:marRight w:val="0"/>
      <w:marTop w:val="0"/>
      <w:marBottom w:val="0"/>
      <w:divBdr>
        <w:top w:val="none" w:sz="0" w:space="0" w:color="auto"/>
        <w:left w:val="none" w:sz="0" w:space="0" w:color="auto"/>
        <w:bottom w:val="none" w:sz="0" w:space="0" w:color="auto"/>
        <w:right w:val="none" w:sz="0" w:space="0" w:color="auto"/>
      </w:divBdr>
    </w:div>
    <w:div w:id="1350910162">
      <w:bodyDiv w:val="1"/>
      <w:marLeft w:val="0"/>
      <w:marRight w:val="0"/>
      <w:marTop w:val="0"/>
      <w:marBottom w:val="0"/>
      <w:divBdr>
        <w:top w:val="none" w:sz="0" w:space="0" w:color="auto"/>
        <w:left w:val="none" w:sz="0" w:space="0" w:color="auto"/>
        <w:bottom w:val="none" w:sz="0" w:space="0" w:color="auto"/>
        <w:right w:val="none" w:sz="0" w:space="0" w:color="auto"/>
      </w:divBdr>
    </w:div>
    <w:div w:id="1358240199">
      <w:bodyDiv w:val="1"/>
      <w:marLeft w:val="0"/>
      <w:marRight w:val="0"/>
      <w:marTop w:val="0"/>
      <w:marBottom w:val="0"/>
      <w:divBdr>
        <w:top w:val="none" w:sz="0" w:space="0" w:color="auto"/>
        <w:left w:val="none" w:sz="0" w:space="0" w:color="auto"/>
        <w:bottom w:val="none" w:sz="0" w:space="0" w:color="auto"/>
        <w:right w:val="none" w:sz="0" w:space="0" w:color="auto"/>
      </w:divBdr>
    </w:div>
    <w:div w:id="1359966549">
      <w:bodyDiv w:val="1"/>
      <w:marLeft w:val="0"/>
      <w:marRight w:val="0"/>
      <w:marTop w:val="0"/>
      <w:marBottom w:val="0"/>
      <w:divBdr>
        <w:top w:val="none" w:sz="0" w:space="0" w:color="auto"/>
        <w:left w:val="none" w:sz="0" w:space="0" w:color="auto"/>
        <w:bottom w:val="none" w:sz="0" w:space="0" w:color="auto"/>
        <w:right w:val="none" w:sz="0" w:space="0" w:color="auto"/>
      </w:divBdr>
    </w:div>
    <w:div w:id="1372419591">
      <w:bodyDiv w:val="1"/>
      <w:marLeft w:val="0"/>
      <w:marRight w:val="0"/>
      <w:marTop w:val="0"/>
      <w:marBottom w:val="0"/>
      <w:divBdr>
        <w:top w:val="none" w:sz="0" w:space="0" w:color="auto"/>
        <w:left w:val="none" w:sz="0" w:space="0" w:color="auto"/>
        <w:bottom w:val="none" w:sz="0" w:space="0" w:color="auto"/>
        <w:right w:val="none" w:sz="0" w:space="0" w:color="auto"/>
      </w:divBdr>
    </w:div>
    <w:div w:id="1389380295">
      <w:bodyDiv w:val="1"/>
      <w:marLeft w:val="0"/>
      <w:marRight w:val="0"/>
      <w:marTop w:val="0"/>
      <w:marBottom w:val="0"/>
      <w:divBdr>
        <w:top w:val="none" w:sz="0" w:space="0" w:color="auto"/>
        <w:left w:val="none" w:sz="0" w:space="0" w:color="auto"/>
        <w:bottom w:val="none" w:sz="0" w:space="0" w:color="auto"/>
        <w:right w:val="none" w:sz="0" w:space="0" w:color="auto"/>
      </w:divBdr>
    </w:div>
    <w:div w:id="1434864912">
      <w:bodyDiv w:val="1"/>
      <w:marLeft w:val="0"/>
      <w:marRight w:val="0"/>
      <w:marTop w:val="0"/>
      <w:marBottom w:val="0"/>
      <w:divBdr>
        <w:top w:val="none" w:sz="0" w:space="0" w:color="auto"/>
        <w:left w:val="none" w:sz="0" w:space="0" w:color="auto"/>
        <w:bottom w:val="none" w:sz="0" w:space="0" w:color="auto"/>
        <w:right w:val="none" w:sz="0" w:space="0" w:color="auto"/>
      </w:divBdr>
    </w:div>
    <w:div w:id="1594708721">
      <w:bodyDiv w:val="1"/>
      <w:marLeft w:val="0"/>
      <w:marRight w:val="0"/>
      <w:marTop w:val="0"/>
      <w:marBottom w:val="0"/>
      <w:divBdr>
        <w:top w:val="none" w:sz="0" w:space="0" w:color="auto"/>
        <w:left w:val="none" w:sz="0" w:space="0" w:color="auto"/>
        <w:bottom w:val="none" w:sz="0" w:space="0" w:color="auto"/>
        <w:right w:val="none" w:sz="0" w:space="0" w:color="auto"/>
      </w:divBdr>
    </w:div>
    <w:div w:id="1631935495">
      <w:bodyDiv w:val="1"/>
      <w:marLeft w:val="0"/>
      <w:marRight w:val="0"/>
      <w:marTop w:val="0"/>
      <w:marBottom w:val="0"/>
      <w:divBdr>
        <w:top w:val="none" w:sz="0" w:space="0" w:color="auto"/>
        <w:left w:val="none" w:sz="0" w:space="0" w:color="auto"/>
        <w:bottom w:val="none" w:sz="0" w:space="0" w:color="auto"/>
        <w:right w:val="none" w:sz="0" w:space="0" w:color="auto"/>
      </w:divBdr>
    </w:div>
    <w:div w:id="1655061248">
      <w:bodyDiv w:val="1"/>
      <w:marLeft w:val="0"/>
      <w:marRight w:val="0"/>
      <w:marTop w:val="0"/>
      <w:marBottom w:val="0"/>
      <w:divBdr>
        <w:top w:val="none" w:sz="0" w:space="0" w:color="auto"/>
        <w:left w:val="none" w:sz="0" w:space="0" w:color="auto"/>
        <w:bottom w:val="none" w:sz="0" w:space="0" w:color="auto"/>
        <w:right w:val="none" w:sz="0" w:space="0" w:color="auto"/>
      </w:divBdr>
    </w:div>
    <w:div w:id="1765497509">
      <w:bodyDiv w:val="1"/>
      <w:marLeft w:val="0"/>
      <w:marRight w:val="0"/>
      <w:marTop w:val="0"/>
      <w:marBottom w:val="0"/>
      <w:divBdr>
        <w:top w:val="none" w:sz="0" w:space="0" w:color="auto"/>
        <w:left w:val="none" w:sz="0" w:space="0" w:color="auto"/>
        <w:bottom w:val="none" w:sz="0" w:space="0" w:color="auto"/>
        <w:right w:val="none" w:sz="0" w:space="0" w:color="auto"/>
      </w:divBdr>
    </w:div>
    <w:div w:id="1847549674">
      <w:bodyDiv w:val="1"/>
      <w:marLeft w:val="0"/>
      <w:marRight w:val="0"/>
      <w:marTop w:val="0"/>
      <w:marBottom w:val="0"/>
      <w:divBdr>
        <w:top w:val="none" w:sz="0" w:space="0" w:color="auto"/>
        <w:left w:val="none" w:sz="0" w:space="0" w:color="auto"/>
        <w:bottom w:val="none" w:sz="0" w:space="0" w:color="auto"/>
        <w:right w:val="none" w:sz="0" w:space="0" w:color="auto"/>
      </w:divBdr>
    </w:div>
    <w:div w:id="1858154847">
      <w:bodyDiv w:val="1"/>
      <w:marLeft w:val="0"/>
      <w:marRight w:val="0"/>
      <w:marTop w:val="0"/>
      <w:marBottom w:val="0"/>
      <w:divBdr>
        <w:top w:val="none" w:sz="0" w:space="0" w:color="auto"/>
        <w:left w:val="none" w:sz="0" w:space="0" w:color="auto"/>
        <w:bottom w:val="none" w:sz="0" w:space="0" w:color="auto"/>
        <w:right w:val="none" w:sz="0" w:space="0" w:color="auto"/>
      </w:divBdr>
    </w:div>
    <w:div w:id="1969626319">
      <w:bodyDiv w:val="1"/>
      <w:marLeft w:val="0"/>
      <w:marRight w:val="0"/>
      <w:marTop w:val="0"/>
      <w:marBottom w:val="0"/>
      <w:divBdr>
        <w:top w:val="none" w:sz="0" w:space="0" w:color="auto"/>
        <w:left w:val="none" w:sz="0" w:space="0" w:color="auto"/>
        <w:bottom w:val="none" w:sz="0" w:space="0" w:color="auto"/>
        <w:right w:val="none" w:sz="0" w:space="0" w:color="auto"/>
      </w:divBdr>
    </w:div>
    <w:div w:id="1984700177">
      <w:bodyDiv w:val="1"/>
      <w:marLeft w:val="0"/>
      <w:marRight w:val="0"/>
      <w:marTop w:val="0"/>
      <w:marBottom w:val="0"/>
      <w:divBdr>
        <w:top w:val="none" w:sz="0" w:space="0" w:color="auto"/>
        <w:left w:val="none" w:sz="0" w:space="0" w:color="auto"/>
        <w:bottom w:val="none" w:sz="0" w:space="0" w:color="auto"/>
        <w:right w:val="none" w:sz="0" w:space="0" w:color="auto"/>
      </w:divBdr>
    </w:div>
    <w:div w:id="1987079326">
      <w:bodyDiv w:val="1"/>
      <w:marLeft w:val="0"/>
      <w:marRight w:val="0"/>
      <w:marTop w:val="0"/>
      <w:marBottom w:val="0"/>
      <w:divBdr>
        <w:top w:val="none" w:sz="0" w:space="0" w:color="auto"/>
        <w:left w:val="none" w:sz="0" w:space="0" w:color="auto"/>
        <w:bottom w:val="none" w:sz="0" w:space="0" w:color="auto"/>
        <w:right w:val="none" w:sz="0" w:space="0" w:color="auto"/>
      </w:divBdr>
    </w:div>
    <w:div w:id="2033650882">
      <w:bodyDiv w:val="1"/>
      <w:marLeft w:val="0"/>
      <w:marRight w:val="0"/>
      <w:marTop w:val="0"/>
      <w:marBottom w:val="0"/>
      <w:divBdr>
        <w:top w:val="none" w:sz="0" w:space="0" w:color="auto"/>
        <w:left w:val="none" w:sz="0" w:space="0" w:color="auto"/>
        <w:bottom w:val="none" w:sz="0" w:space="0" w:color="auto"/>
        <w:right w:val="none" w:sz="0" w:space="0" w:color="auto"/>
      </w:divBdr>
    </w:div>
    <w:div w:id="2139294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hyperlink" Target="mailto:e.tate@imperial.ac.uk"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17482AE6CAD5D458105D7B6ED1272EC" ma:contentTypeVersion="7" ma:contentTypeDescription="Create a new document." ma:contentTypeScope="" ma:versionID="8c23e0bf460a05fb6c81a914ddef83d4">
  <xsd:schema xmlns:xsd="http://www.w3.org/2001/XMLSchema" xmlns:xs="http://www.w3.org/2001/XMLSchema" xmlns:p="http://schemas.microsoft.com/office/2006/metadata/properties" xmlns:ns3="fbca9fb5-0c9a-4a9b-b2a8-969534722dd8" xmlns:ns4="fb287e80-c22b-4647-a2e5-0d0afdca40b2" targetNamespace="http://schemas.microsoft.com/office/2006/metadata/properties" ma:root="true" ma:fieldsID="770801d7d9aac4789e72dc323dbd277f" ns3:_="" ns4:_="">
    <xsd:import namespace="fbca9fb5-0c9a-4a9b-b2a8-969534722dd8"/>
    <xsd:import namespace="fb287e80-c22b-4647-a2e5-0d0afdca40b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ca9fb5-0c9a-4a9b-b2a8-969534722dd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b287e80-c22b-4647-a2e5-0d0afdca40b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B72FF57-EF8F-4C7D-B9F8-FAC15A4CAB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ca9fb5-0c9a-4a9b-b2a8-969534722dd8"/>
    <ds:schemaRef ds:uri="fb287e80-c22b-4647-a2e5-0d0afdca40b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E924668-D8F0-4FE4-AB39-ACACD2F35295}">
  <ds:schemaRefs>
    <ds:schemaRef ds:uri="http://schemas.openxmlformats.org/officeDocument/2006/bibliography"/>
  </ds:schemaRefs>
</ds:datastoreItem>
</file>

<file path=customXml/itemProps3.xml><?xml version="1.0" encoding="utf-8"?>
<ds:datastoreItem xmlns:ds="http://schemas.openxmlformats.org/officeDocument/2006/customXml" ds:itemID="{70FDB136-8192-43FC-93A1-8174206E94B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B91B5A5-F7B6-416C-BABA-C40D5533D00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1447</TotalTime>
  <Pages>34</Pages>
  <Words>42257</Words>
  <Characters>240867</Characters>
  <Application>Microsoft Office Word</Application>
  <DocSecurity>0</DocSecurity>
  <Lines>2007</Lines>
  <Paragraphs>565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282559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Kounde, Cyrille S</dc:creator>
  <cp:keywords/>
  <dc:description/>
  <cp:lastModifiedBy>Cyrille Kounde</cp:lastModifiedBy>
  <cp:revision>226</cp:revision>
  <cp:lastPrinted>2020-07-07T23:15:00Z</cp:lastPrinted>
  <dcterms:created xsi:type="dcterms:W3CDTF">2020-08-20T14:45:00Z</dcterms:created>
  <dcterms:modified xsi:type="dcterms:W3CDTF">2020-11-23T16:45:00Z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http://www.zotero.org/styles/acs-chemical-biology</vt:lpwstr>
  </property>
  <property fmtid="{D5CDD505-2E9C-101B-9397-08002B2CF9AE}" pid="3" name="Mendeley Recent Style Name 0_1">
    <vt:lpwstr>ACS Chemical Biology</vt:lpwstr>
  </property>
  <property fmtid="{D5CDD505-2E9C-101B-9397-08002B2CF9AE}" pid="4" name="Mendeley Recent Style Id 1_1">
    <vt:lpwstr>http://www.zotero.org/styles/american-medical-association</vt:lpwstr>
  </property>
  <property fmtid="{D5CDD505-2E9C-101B-9397-08002B2CF9AE}" pid="5" name="Mendeley Recent Style Name 1_1">
    <vt:lpwstr>American Medical Association</vt:lpwstr>
  </property>
  <property fmtid="{D5CDD505-2E9C-101B-9397-08002B2CF9AE}" pid="6" name="Mendeley Recent Style Id 2_1">
    <vt:lpwstr>http://www.zotero.org/styles/american-political-science-association</vt:lpwstr>
  </property>
  <property fmtid="{D5CDD505-2E9C-101B-9397-08002B2CF9AE}" pid="7" name="Mendeley Recent Style Name 2_1">
    <vt:lpwstr>American Political Science Association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http://www.zotero.org/styles/angewandte-chemie</vt:lpwstr>
  </property>
  <property fmtid="{D5CDD505-2E9C-101B-9397-08002B2CF9AE}" pid="11" name="Mendeley Recent Style Name 4_1">
    <vt:lpwstr>Angewandte Chemie International Edition</vt:lpwstr>
  </property>
  <property fmtid="{D5CDD505-2E9C-101B-9397-08002B2CF9AE}" pid="12" name="Mendeley Recent Style Id 5_1">
    <vt:lpwstr>http://www.zotero.org/styles/chemical-communications</vt:lpwstr>
  </property>
  <property fmtid="{D5CDD505-2E9C-101B-9397-08002B2CF9AE}" pid="13" name="Mendeley Recent Style Name 5_1">
    <vt:lpwstr>Chemical Communications</vt:lpwstr>
  </property>
  <property fmtid="{D5CDD505-2E9C-101B-9397-08002B2CF9AE}" pid="14" name="Mendeley Recent Style Id 6_1">
    <vt:lpwstr>http://www.zotero.org/styles/chemical-science</vt:lpwstr>
  </property>
  <property fmtid="{D5CDD505-2E9C-101B-9397-08002B2CF9AE}" pid="15" name="Mendeley Recent Style Name 6_1">
    <vt:lpwstr>Chemical Science</vt:lpwstr>
  </property>
  <property fmtid="{D5CDD505-2E9C-101B-9397-08002B2CF9AE}" pid="16" name="Mendeley Recent Style Id 7_1">
    <vt:lpwstr>http://www.zotero.org/styles/elsevier-vancouver</vt:lpwstr>
  </property>
  <property fmtid="{D5CDD505-2E9C-101B-9397-08002B2CF9AE}" pid="17" name="Mendeley Recent Style Name 7_1">
    <vt:lpwstr>Elsevier - Vancouver</vt:lpwstr>
  </property>
  <property fmtid="{D5CDD505-2E9C-101B-9397-08002B2CF9AE}" pid="18" name="Mendeley Recent Style Id 8_1">
    <vt:lpwstr>http://www.zotero.org/styles/journal-of-medicinal-chemistry</vt:lpwstr>
  </property>
  <property fmtid="{D5CDD505-2E9C-101B-9397-08002B2CF9AE}" pid="19" name="Mendeley Recent Style Name 8_1">
    <vt:lpwstr>Journal of Medicinal Chemistry</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Citation Style_1">
    <vt:lpwstr>http://www.zotero.org/styles/journal-of-medicinal-chemistry</vt:lpwstr>
  </property>
  <property fmtid="{D5CDD505-2E9C-101B-9397-08002B2CF9AE}" pid="24" name="Mendeley Unique User Id_1">
    <vt:lpwstr>6a2979f2-a15d-34c1-a690-fd996f75fd19</vt:lpwstr>
  </property>
  <property fmtid="{D5CDD505-2E9C-101B-9397-08002B2CF9AE}" pid="25" name="ContentTypeId">
    <vt:lpwstr>0x010100317482AE6CAD5D458105D7B6ED1272EC</vt:lpwstr>
  </property>
</Properties>
</file>