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DC4940" w14:textId="6700D6CB" w:rsidR="00AA68A2" w:rsidRPr="006369F0" w:rsidRDefault="00AA68A2" w:rsidP="00AA68A2">
      <w:pPr>
        <w:pStyle w:val="BATitle"/>
        <w:spacing w:before="0" w:after="240" w:line="360" w:lineRule="auto"/>
        <w:rPr>
          <w:rFonts w:ascii="Times" w:hAnsi="Times" w:cs="Times"/>
          <w:szCs w:val="44"/>
        </w:rPr>
      </w:pPr>
      <w:r w:rsidRPr="00CB7020">
        <w:rPr>
          <w:rFonts w:ascii="Times" w:hAnsi="Times" w:cs="Times"/>
          <w:szCs w:val="44"/>
        </w:rPr>
        <w:t>Crystallization of Sodium Dodecyl Sulfate–Water Micellar Solutions under Linear Cooling</w:t>
      </w:r>
    </w:p>
    <w:p w14:paraId="67F2F7F6" w14:textId="54CBB3F8" w:rsidR="00AA68A2" w:rsidRPr="00171982" w:rsidRDefault="00AA68A2" w:rsidP="00C20869">
      <w:pPr>
        <w:pStyle w:val="BBAuthorName"/>
        <w:spacing w:after="120"/>
      </w:pPr>
      <w:r>
        <w:t>Ruhina M. Miller</w:t>
      </w:r>
      <w:r>
        <w:rPr>
          <w:vertAlign w:val="superscript"/>
        </w:rPr>
        <w:t>†,‡</w:t>
      </w:r>
      <w:r>
        <w:t>, Oscar Ces</w:t>
      </w:r>
      <w:r>
        <w:rPr>
          <w:vertAlign w:val="superscript"/>
        </w:rPr>
        <w:t>†</w:t>
      </w:r>
      <w:r>
        <w:t>, Nicholas J. Brooks</w:t>
      </w:r>
      <w:r>
        <w:rPr>
          <w:vertAlign w:val="superscript"/>
        </w:rPr>
        <w:t>†</w:t>
      </w:r>
      <w:r>
        <w:t>,</w:t>
      </w:r>
      <w:r w:rsidRPr="00B96D7B">
        <w:t xml:space="preserve"> </w:t>
      </w:r>
      <w:r>
        <w:t>Eric S. J. Robles</w:t>
      </w:r>
      <w:r>
        <w:rPr>
          <w:vertAlign w:val="superscript"/>
        </w:rPr>
        <w:t>§</w:t>
      </w:r>
      <w:r>
        <w:t>, João T. Cabral*</w:t>
      </w:r>
      <w:r>
        <w:rPr>
          <w:vertAlign w:val="superscript"/>
        </w:rPr>
        <w:t>‡</w:t>
      </w:r>
    </w:p>
    <w:p w14:paraId="6F1F7ECB" w14:textId="11D25AA3" w:rsidR="00AA68A2" w:rsidRPr="00171982" w:rsidRDefault="00AA68A2" w:rsidP="00C20869">
      <w:pPr>
        <w:pStyle w:val="BCAuthorAddress"/>
        <w:spacing w:after="120" w:line="360" w:lineRule="auto"/>
      </w:pPr>
      <w:r w:rsidRPr="00171982">
        <w:rPr>
          <w:vertAlign w:val="superscript"/>
        </w:rPr>
        <w:t>†</w:t>
      </w:r>
      <w:r w:rsidRPr="00171982">
        <w:t>Department of Chemistry and Institute of Chemical Biology</w:t>
      </w:r>
      <w:r>
        <w:t xml:space="preserve"> and </w:t>
      </w:r>
      <w:r w:rsidRPr="00171982">
        <w:rPr>
          <w:vertAlign w:val="superscript"/>
        </w:rPr>
        <w:t>‡</w:t>
      </w:r>
      <w:r w:rsidRPr="00171982">
        <w:t>Department of Chemical Engineering, Imperial College London, London SW7 2AZ, United Kingdom</w:t>
      </w:r>
    </w:p>
    <w:p w14:paraId="26501733" w14:textId="3454BD28" w:rsidR="00AA68A2" w:rsidRDefault="00AA68A2" w:rsidP="00AA68A2">
      <w:pPr>
        <w:pStyle w:val="BCAuthorAddress"/>
        <w:spacing w:line="360" w:lineRule="auto"/>
      </w:pPr>
      <w:r w:rsidRPr="00171982">
        <w:rPr>
          <w:vertAlign w:val="superscript"/>
        </w:rPr>
        <w:t>§</w:t>
      </w:r>
      <w:r w:rsidRPr="00171982">
        <w:t>The Procter &amp; Gamble Company, Newcastle Innovation Centre, Newcastle-Upon-Tyne NE12 9TS, United Kingdom</w:t>
      </w:r>
    </w:p>
    <w:p w14:paraId="6996D744" w14:textId="74B5CB16" w:rsidR="00AA68A2" w:rsidRDefault="0084309F" w:rsidP="00AA68A2">
      <w:pPr>
        <w:pStyle w:val="BDAbstract"/>
        <w:spacing w:before="0" w:after="240" w:line="360" w:lineRule="auto"/>
      </w:pPr>
      <w:r w:rsidRPr="0084309F">
        <w:t xml:space="preserve">The crystallization kinetics </w:t>
      </w:r>
      <w:r w:rsidR="00394809">
        <w:t>of sodium dodecyl sulfate (SDS)-</w:t>
      </w:r>
      <w:r w:rsidRPr="0084309F">
        <w:t>water micellar solutions, under linear cooling conditions, were experimentally invest</w:t>
      </w:r>
      <w:r w:rsidR="00394809">
        <w:t xml:space="preserve">igated using optical microscopy, </w:t>
      </w:r>
      <w:r w:rsidRPr="0084309F">
        <w:t xml:space="preserve">differential scanning calorimetry </w:t>
      </w:r>
      <w:r w:rsidR="00A63B7A">
        <w:t>and infrared spectroscopy</w:t>
      </w:r>
      <w:r w:rsidR="00BD7BFF" w:rsidRPr="00BD7BFF">
        <w:t>.</w:t>
      </w:r>
      <w:r w:rsidRPr="0084309F">
        <w:t xml:space="preserve"> Cooling rates were systema</w:t>
      </w:r>
      <w:r w:rsidR="00BD7BFF">
        <w:t>tically varied, from 0.1 to 5</w:t>
      </w:r>
      <w:r w:rsidRPr="0084309F">
        <w:t>0 °C min</w:t>
      </w:r>
      <w:r w:rsidRPr="0084309F">
        <w:rPr>
          <w:vertAlign w:val="superscript"/>
        </w:rPr>
        <w:t>-1</w:t>
      </w:r>
      <w:r w:rsidRPr="0084309F">
        <w:t>, encompassing environmen</w:t>
      </w:r>
      <w:r w:rsidR="00394809">
        <w:t>tal to near-</w:t>
      </w:r>
      <w:r w:rsidRPr="0084309F">
        <w:t xml:space="preserve">“isothermal” </w:t>
      </w:r>
      <w:r w:rsidR="00A63B7A">
        <w:t>temperature changes</w:t>
      </w:r>
      <w:r w:rsidR="00BD7BFF">
        <w:t>,</w:t>
      </w:r>
      <w:r w:rsidRPr="0084309F">
        <w:t xml:space="preserve"> </w:t>
      </w:r>
      <w:r w:rsidR="00A63B7A">
        <w:t>between</w:t>
      </w:r>
      <w:r w:rsidRPr="0084309F">
        <w:t xml:space="preserve"> </w:t>
      </w:r>
      <w:r w:rsidR="009643B0">
        <w:t xml:space="preserve">22 to -5 °C, for </w:t>
      </w:r>
      <w:r w:rsidR="00EB3714">
        <w:t xml:space="preserve">a </w:t>
      </w:r>
      <w:r w:rsidRPr="0084309F">
        <w:t>reference concentration</w:t>
      </w:r>
      <w:r w:rsidR="00034DF2">
        <w:t xml:space="preserve"> of</w:t>
      </w:r>
      <w:r w:rsidR="007B3EB0">
        <w:t xml:space="preserve"> </w:t>
      </w:r>
      <w:r w:rsidRPr="0084309F">
        <w:t>20% SDS-H</w:t>
      </w:r>
      <w:r w:rsidRPr="0084309F">
        <w:rPr>
          <w:vertAlign w:val="subscript"/>
        </w:rPr>
        <w:t>2</w:t>
      </w:r>
      <w:r w:rsidRPr="0084309F">
        <w:t xml:space="preserve">O. </w:t>
      </w:r>
      <w:r w:rsidR="00394809" w:rsidRPr="0084309F">
        <w:t>The cooling rate was shown to determine the dominant crystal morphologies, with platelets and needles predominating at the lowest and highest rates</w:t>
      </w:r>
      <w:r w:rsidR="00394809">
        <w:t>,</w:t>
      </w:r>
      <w:r w:rsidR="00394809" w:rsidRPr="0084309F">
        <w:t xml:space="preserve"> respectively. </w:t>
      </w:r>
      <w:r w:rsidRPr="0084309F">
        <w:t xml:space="preserve">The results were rationalized </w:t>
      </w:r>
      <w:r w:rsidR="00394809">
        <w:t xml:space="preserve">in terms of </w:t>
      </w:r>
      <w:r w:rsidRPr="0084309F">
        <w:t>isothermal crystallization</w:t>
      </w:r>
      <w:r w:rsidR="007B3EB0">
        <w:t xml:space="preserve"> data</w:t>
      </w:r>
      <w:r w:rsidRPr="0084309F">
        <w:t xml:space="preserve"> </w:t>
      </w:r>
      <w:r w:rsidR="00394809" w:rsidRPr="00394809">
        <w:t xml:space="preserve">and </w:t>
      </w:r>
      <w:r w:rsidR="009643B0">
        <w:t xml:space="preserve">the </w:t>
      </w:r>
      <w:r w:rsidR="00394809" w:rsidRPr="00394809">
        <w:t xml:space="preserve">time-temperature </w:t>
      </w:r>
      <w:r w:rsidR="00EB3714">
        <w:t xml:space="preserve">cooling </w:t>
      </w:r>
      <w:r w:rsidR="00394809" w:rsidRPr="00394809">
        <w:t>profile</w:t>
      </w:r>
      <w:r w:rsidRPr="0084309F">
        <w:t xml:space="preserve">. </w:t>
      </w:r>
      <w:r w:rsidR="00F27FBE">
        <w:t>R</w:t>
      </w:r>
      <w:r w:rsidR="00394809">
        <w:t xml:space="preserve">ates </w:t>
      </w:r>
      <w:r w:rsidRPr="0084309F">
        <w:t>0.1, 5.0 and 10 °C min</w:t>
      </w:r>
      <w:r w:rsidRPr="0084309F">
        <w:rPr>
          <w:vertAlign w:val="superscript"/>
        </w:rPr>
        <w:t>-1</w:t>
      </w:r>
      <w:r w:rsidR="00F27FBE">
        <w:t xml:space="preserve"> yield morphologies and kinetics analogous to those of </w:t>
      </w:r>
      <w:r w:rsidRPr="0084309F">
        <w:t xml:space="preserve">isothermal </w:t>
      </w:r>
      <w:r w:rsidR="00F27FBE">
        <w:t xml:space="preserve">quenches at the corresponding </w:t>
      </w:r>
      <w:r w:rsidR="00A63B7A">
        <w:t xml:space="preserve">crystallization </w:t>
      </w:r>
      <w:r w:rsidR="00F27FBE">
        <w:t>temperature window. N</w:t>
      </w:r>
      <w:r w:rsidRPr="0084309F">
        <w:t xml:space="preserve">ontrivial deviations were observed </w:t>
      </w:r>
      <w:r w:rsidR="009643B0">
        <w:t xml:space="preserve">for intermediate rates (0.5, </w:t>
      </w:r>
      <w:r w:rsidRPr="0084309F">
        <w:t xml:space="preserve">1.0 °C </w:t>
      </w:r>
      <w:r w:rsidRPr="00EB3714">
        <w:t>min</w:t>
      </w:r>
      <w:r w:rsidRPr="00EB3714">
        <w:rPr>
          <w:vertAlign w:val="superscript"/>
        </w:rPr>
        <w:t>-1</w:t>
      </w:r>
      <w:r w:rsidRPr="00EB3714">
        <w:t>)</w:t>
      </w:r>
      <w:r w:rsidR="00F27FBE" w:rsidRPr="00EB3714">
        <w:t xml:space="preserve">, due </w:t>
      </w:r>
      <w:r w:rsidR="00A67679" w:rsidRPr="00EB3714">
        <w:t>to commensurate</w:t>
      </w:r>
      <w:r w:rsidR="00EB3714" w:rsidRPr="00347BB1">
        <w:t xml:space="preserve"> changes in </w:t>
      </w:r>
      <w:r w:rsidR="00A67679" w:rsidRPr="00EB3714">
        <w:t xml:space="preserve">temperature </w:t>
      </w:r>
      <w:r w:rsidR="007B3EB0">
        <w:t xml:space="preserve">and </w:t>
      </w:r>
      <w:r w:rsidR="00A67679" w:rsidRPr="00EB3714">
        <w:t xml:space="preserve">crystallization </w:t>
      </w:r>
      <w:r w:rsidR="007753DD">
        <w:t>mechanism</w:t>
      </w:r>
      <w:r w:rsidR="00A67679" w:rsidRPr="00EB3714">
        <w:t>, accompanied by</w:t>
      </w:r>
      <w:r w:rsidR="00F27FBE" w:rsidRPr="00EB3714">
        <w:t xml:space="preserve"> solute depletion</w:t>
      </w:r>
      <w:r w:rsidR="00A63B7A" w:rsidRPr="00EB3714">
        <w:t>. The</w:t>
      </w:r>
      <w:r w:rsidR="00A63B7A" w:rsidRPr="0084309F">
        <w:t xml:space="preserve"> polythermal metastable zone width</w:t>
      </w:r>
      <w:r w:rsidR="00A63B7A">
        <w:t xml:space="preserve"> was estimated</w:t>
      </w:r>
      <w:r w:rsidR="007753DD">
        <w:t>,</w:t>
      </w:r>
      <w:r w:rsidR="00A63B7A">
        <w:t xml:space="preserve"> and </w:t>
      </w:r>
      <w:r w:rsidR="007753DD">
        <w:t xml:space="preserve">the </w:t>
      </w:r>
      <w:r w:rsidR="00A67679" w:rsidRPr="00A67679">
        <w:t xml:space="preserve">non-isothermal </w:t>
      </w:r>
      <w:r w:rsidR="00A63B7A" w:rsidRPr="00A67679">
        <w:t xml:space="preserve">nucleation </w:t>
      </w:r>
      <w:r w:rsidR="00A63B7A">
        <w:t xml:space="preserve">described by </w:t>
      </w:r>
      <w:r w:rsidR="00A67679" w:rsidRPr="00A67679">
        <w:t xml:space="preserve">the Nývlt equation, </w:t>
      </w:r>
      <w:r w:rsidR="007753DD">
        <w:t xml:space="preserve">while </w:t>
      </w:r>
      <w:r w:rsidR="007B3EB0">
        <w:t>the</w:t>
      </w:r>
      <w:r w:rsidR="007B3EB0" w:rsidRPr="00A67679">
        <w:t xml:space="preserve"> </w:t>
      </w:r>
      <w:r w:rsidR="00A67679" w:rsidRPr="00A67679">
        <w:t xml:space="preserve">Avrami and Kissinger models </w:t>
      </w:r>
      <w:r w:rsidR="007753DD">
        <w:t>described</w:t>
      </w:r>
      <w:r w:rsidR="00A67679" w:rsidRPr="00A67679">
        <w:t xml:space="preserve"> overall crystallization kinetics</w:t>
      </w:r>
      <w:r w:rsidRPr="0084309F">
        <w:t>. Our measurements quantif</w:t>
      </w:r>
      <w:r w:rsidR="00BD7BFF">
        <w:t xml:space="preserve">y </w:t>
      </w:r>
      <w:r w:rsidRPr="0084309F">
        <w:t>the impact of temperature gradients</w:t>
      </w:r>
      <w:r w:rsidR="00A63B7A" w:rsidRPr="00A63B7A">
        <w:t xml:space="preserve"> </w:t>
      </w:r>
      <w:r w:rsidR="00A63B7A">
        <w:t>in the crystallization of</w:t>
      </w:r>
      <w:r w:rsidR="00A63B7A" w:rsidRPr="0084309F">
        <w:t xml:space="preserve"> ubiquitous SDS micellar solutions</w:t>
      </w:r>
      <w:r w:rsidRPr="0084309F">
        <w:t xml:space="preserve">, for a range of practically relevant profiles </w:t>
      </w:r>
      <w:r w:rsidR="00A63B7A">
        <w:t>incurred during manufacturing and</w:t>
      </w:r>
      <w:r w:rsidR="009643B0">
        <w:t xml:space="preserve"> storage</w:t>
      </w:r>
      <w:r w:rsidR="00AA68A2">
        <w:t>.</w:t>
      </w:r>
    </w:p>
    <w:p w14:paraId="5ACD4071" w14:textId="5BCE91A4" w:rsidR="00AA68A2" w:rsidRDefault="007B3312" w:rsidP="00AA68A2">
      <w:pPr>
        <w:pStyle w:val="TAMainText"/>
        <w:spacing w:line="360" w:lineRule="auto"/>
        <w:ind w:firstLine="204"/>
      </w:pPr>
      <w:r>
        <w:rPr>
          <w:rFonts w:cs="Times"/>
          <w:noProof/>
          <w:szCs w:val="44"/>
          <w:lang w:val="en-GB" w:eastAsia="en-GB"/>
        </w:rPr>
        <w:drawing>
          <wp:anchor distT="0" distB="0" distL="114300" distR="114300" simplePos="0" relativeHeight="251682304" behindDoc="0" locked="0" layoutInCell="1" allowOverlap="1" wp14:anchorId="19A952C4" wp14:editId="156C45FB">
            <wp:simplePos x="0" y="0"/>
            <wp:positionH relativeFrom="column">
              <wp:posOffset>3543300</wp:posOffset>
            </wp:positionH>
            <wp:positionV relativeFrom="paragraph">
              <wp:posOffset>140970</wp:posOffset>
            </wp:positionV>
            <wp:extent cx="3145155" cy="124333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17.tif"/>
                    <pic:cNvPicPr/>
                  </pic:nvPicPr>
                  <pic:blipFill>
                    <a:blip r:embed="rId10">
                      <a:extLst>
                        <a:ext uri="{28A0092B-C50C-407E-A947-70E740481C1C}">
                          <a14:useLocalDpi xmlns:a14="http://schemas.microsoft.com/office/drawing/2010/main" val="0"/>
                        </a:ext>
                      </a:extLst>
                    </a:blip>
                    <a:stretch>
                      <a:fillRect/>
                    </a:stretch>
                  </pic:blipFill>
                  <pic:spPr>
                    <a:xfrm>
                      <a:off x="0" y="0"/>
                      <a:ext cx="3145155" cy="1243330"/>
                    </a:xfrm>
                    <a:prstGeom prst="rect">
                      <a:avLst/>
                    </a:prstGeom>
                  </pic:spPr>
                </pic:pic>
              </a:graphicData>
            </a:graphic>
            <wp14:sizeRelH relativeFrom="page">
              <wp14:pctWidth>0</wp14:pctWidth>
            </wp14:sizeRelH>
            <wp14:sizeRelV relativeFrom="page">
              <wp14:pctHeight>0</wp14:pctHeight>
            </wp14:sizeRelV>
          </wp:anchor>
        </w:drawing>
      </w:r>
      <w:r w:rsidR="00AA68A2">
        <w:t>*</w:t>
      </w:r>
      <w:r w:rsidR="00AA68A2" w:rsidRPr="00A92C4E">
        <w:t xml:space="preserve"> João T. Cabral</w:t>
      </w:r>
      <w:r w:rsidR="00347BB1">
        <w:tab/>
      </w:r>
    </w:p>
    <w:p w14:paraId="0F2E08BE" w14:textId="7C982DC0" w:rsidR="00AA68A2" w:rsidRDefault="00AA68A2" w:rsidP="00AA68A2">
      <w:pPr>
        <w:pStyle w:val="TAMainText"/>
        <w:spacing w:line="360" w:lineRule="auto"/>
        <w:ind w:firstLine="204"/>
      </w:pPr>
      <w:r>
        <w:t xml:space="preserve">   </w:t>
      </w:r>
      <w:r w:rsidRPr="00A92C4E">
        <w:t>Depa</w:t>
      </w:r>
      <w:r>
        <w:t>rtment of Chemical Engineering</w:t>
      </w:r>
    </w:p>
    <w:p w14:paraId="741224C1" w14:textId="6BAC0B29" w:rsidR="00AA68A2" w:rsidRDefault="00AA68A2" w:rsidP="00AA68A2">
      <w:pPr>
        <w:pStyle w:val="TAMainText"/>
        <w:spacing w:line="360" w:lineRule="auto"/>
        <w:ind w:firstLine="204"/>
      </w:pPr>
      <w:r>
        <w:t xml:space="preserve">   Imperial College London</w:t>
      </w:r>
    </w:p>
    <w:p w14:paraId="7719081B" w14:textId="4FE6F07E" w:rsidR="00AA68A2" w:rsidRDefault="00AA68A2" w:rsidP="00AA68A2">
      <w:pPr>
        <w:pStyle w:val="TAMainText"/>
        <w:spacing w:line="360" w:lineRule="auto"/>
        <w:ind w:firstLine="204"/>
      </w:pPr>
      <w:r>
        <w:t xml:space="preserve">   London SW7 2AZ</w:t>
      </w:r>
    </w:p>
    <w:p w14:paraId="1658E7BA" w14:textId="5DDE4F07" w:rsidR="00AA68A2" w:rsidRDefault="00AA68A2" w:rsidP="00AA68A2">
      <w:pPr>
        <w:pStyle w:val="TAMainText"/>
        <w:spacing w:line="360" w:lineRule="auto"/>
        <w:ind w:firstLine="204"/>
      </w:pPr>
      <w:r>
        <w:t xml:space="preserve">   </w:t>
      </w:r>
      <w:r w:rsidRPr="00A92C4E">
        <w:t xml:space="preserve">United Kingdom </w:t>
      </w:r>
    </w:p>
    <w:p w14:paraId="6BBE7E0B" w14:textId="42D56FFA" w:rsidR="00AA68A2" w:rsidRDefault="00AA68A2" w:rsidP="00AA68A2">
      <w:pPr>
        <w:pStyle w:val="TAMainText"/>
        <w:spacing w:line="360" w:lineRule="auto"/>
        <w:ind w:firstLine="204"/>
      </w:pPr>
      <w:r>
        <w:t xml:space="preserve">   +44(0)20 7594 5567</w:t>
      </w:r>
    </w:p>
    <w:p w14:paraId="05F66409" w14:textId="20003D92" w:rsidR="00AA68A2" w:rsidRDefault="00AA68A2" w:rsidP="00AA68A2">
      <w:pPr>
        <w:pStyle w:val="TAMainText"/>
        <w:spacing w:line="360" w:lineRule="auto"/>
        <w:ind w:firstLine="204"/>
      </w:pPr>
      <w:r>
        <w:t xml:space="preserve">   </w:t>
      </w:r>
      <w:hyperlink r:id="rId11" w:history="1">
        <w:r w:rsidRPr="00181607">
          <w:rPr>
            <w:rStyle w:val="Hyperlink"/>
          </w:rPr>
          <w:t>j.cabral@imperial.ac.uk</w:t>
        </w:r>
      </w:hyperlink>
    </w:p>
    <w:p w14:paraId="207522EC" w14:textId="2380F636" w:rsidR="00AA68A2" w:rsidRPr="00AA68A2" w:rsidRDefault="00AA68A2" w:rsidP="00AA68A2">
      <w:pPr>
        <w:pStyle w:val="BATitle"/>
      </w:pPr>
      <w:r w:rsidRPr="00AA68A2">
        <w:lastRenderedPageBreak/>
        <w:t>Crystallization of Sodium Dodecyl Sulfate–Water Micellar Solutions under Linear Cooling</w:t>
      </w:r>
    </w:p>
    <w:p w14:paraId="7624249C" w14:textId="4BFA5B4E" w:rsidR="004E0246" w:rsidRDefault="004E0246" w:rsidP="00AA68A2">
      <w:pPr>
        <w:pStyle w:val="BBAuthorName"/>
      </w:pPr>
      <w:r>
        <w:t>Ruhina M. Miller</w:t>
      </w:r>
      <w:r>
        <w:rPr>
          <w:vertAlign w:val="superscript"/>
        </w:rPr>
        <w:t>†,‡</w:t>
      </w:r>
      <w:r>
        <w:t>, Oscar Ces</w:t>
      </w:r>
      <w:r>
        <w:rPr>
          <w:vertAlign w:val="superscript"/>
        </w:rPr>
        <w:t>†</w:t>
      </w:r>
      <w:r>
        <w:t>, Nicholas J. Brooks</w:t>
      </w:r>
      <w:r>
        <w:rPr>
          <w:vertAlign w:val="superscript"/>
        </w:rPr>
        <w:t>†</w:t>
      </w:r>
      <w:r>
        <w:t>,</w:t>
      </w:r>
      <w:r w:rsidR="00B96D7B" w:rsidRPr="00B96D7B">
        <w:t xml:space="preserve"> </w:t>
      </w:r>
      <w:r w:rsidR="00B96D7B">
        <w:t>Eric S. J. Robles</w:t>
      </w:r>
      <w:r w:rsidR="00B96D7B">
        <w:rPr>
          <w:vertAlign w:val="superscript"/>
        </w:rPr>
        <w:t>§</w:t>
      </w:r>
      <w:r w:rsidR="00B96D7B">
        <w:t xml:space="preserve">, </w:t>
      </w:r>
      <w:r>
        <w:t>João T. Cabral*</w:t>
      </w:r>
      <w:r>
        <w:rPr>
          <w:vertAlign w:val="superscript"/>
        </w:rPr>
        <w:t>‡</w:t>
      </w:r>
    </w:p>
    <w:p w14:paraId="7A3CB827" w14:textId="58031D4C" w:rsidR="004E0246" w:rsidRDefault="004E0246" w:rsidP="00AA68A2">
      <w:pPr>
        <w:pStyle w:val="BCAuthorAddress"/>
      </w:pPr>
      <w:r>
        <w:rPr>
          <w:vertAlign w:val="superscript"/>
        </w:rPr>
        <w:t>†</w:t>
      </w:r>
      <w:r>
        <w:t>Department of Chemistry and Institute of Chemical Biology</w:t>
      </w:r>
      <w:r w:rsidR="009F1C35">
        <w:t xml:space="preserve"> and </w:t>
      </w:r>
      <w:r>
        <w:rPr>
          <w:vertAlign w:val="superscript"/>
        </w:rPr>
        <w:t>‡</w:t>
      </w:r>
      <w:r>
        <w:t>Department of Chemical Engineering, Imperial College London, London SW7 2AZ, United Kingdom</w:t>
      </w:r>
    </w:p>
    <w:p w14:paraId="0671A4FC" w14:textId="3AD03CA5" w:rsidR="004E0246" w:rsidRDefault="004E0246" w:rsidP="00AA68A2">
      <w:pPr>
        <w:pStyle w:val="BCAuthorAddress"/>
      </w:pPr>
      <w:r>
        <w:rPr>
          <w:vertAlign w:val="superscript"/>
        </w:rPr>
        <w:t>§</w:t>
      </w:r>
      <w:r>
        <w:t>The Procter &amp; Gamble Company, Newcastle Innovation Centre, Newcastle-Upon-Tyne NE12 9TS, United Kingdom</w:t>
      </w:r>
    </w:p>
    <w:p w14:paraId="0006799B" w14:textId="61561D4E" w:rsidR="001045EC" w:rsidRPr="00A41F97" w:rsidRDefault="004E0246" w:rsidP="00AA68A2">
      <w:pPr>
        <w:pStyle w:val="BGKeywords"/>
      </w:pPr>
      <w:r w:rsidRPr="00A41F97">
        <w:t xml:space="preserve"> </w:t>
      </w:r>
      <w:r w:rsidR="001045EC" w:rsidRPr="00A41F97">
        <w:t>Keywords: Surfactants, sodium dodecyl sulfate, crystallization, nucleation, growth</w:t>
      </w:r>
    </w:p>
    <w:p w14:paraId="1373EBC7" w14:textId="1FABA120" w:rsidR="001045EC" w:rsidRPr="00A41F97" w:rsidRDefault="001045EC" w:rsidP="00AA68A2">
      <w:pPr>
        <w:pStyle w:val="BGKeywords"/>
      </w:pPr>
    </w:p>
    <w:p w14:paraId="5DAB3505" w14:textId="384A08E9" w:rsidR="00E558DB" w:rsidRPr="00E558DB" w:rsidRDefault="00AA68A2" w:rsidP="007753DD">
      <w:pPr>
        <w:pStyle w:val="BDAbstract"/>
      </w:pPr>
      <w:r>
        <w:rPr>
          <w:b/>
        </w:rPr>
        <w:t>ABSTRACT</w:t>
      </w:r>
      <w:r w:rsidRPr="00AA68A2">
        <w:rPr>
          <w:b/>
        </w:rPr>
        <w:t>:</w:t>
      </w:r>
      <w:r w:rsidRPr="00AA68A2">
        <w:t xml:space="preserve"> </w:t>
      </w:r>
      <w:r w:rsidR="007753DD" w:rsidRPr="007753DD">
        <w:t>The crystallization kinetics of sodium dodecyl sulfate (SDS)-water micellar solutions, under linear cooling conditions, were experimentally investigated using optical microscopy, differential scanning calorimetry and infrared spectroscopy. Cooling rates were systematically varied, from 0.1 to 50 °C min</w:t>
      </w:r>
      <w:r w:rsidR="007753DD" w:rsidRPr="007753DD">
        <w:rPr>
          <w:vertAlign w:val="superscript"/>
        </w:rPr>
        <w:t>-1</w:t>
      </w:r>
      <w:r w:rsidR="007753DD" w:rsidRPr="007753DD">
        <w:t>, encompassing environmental to near-“isothermal” temperature changes, between 22 to -5 °C, for a reference concentration of 20% SDS-H</w:t>
      </w:r>
      <w:r w:rsidR="007753DD" w:rsidRPr="007753DD">
        <w:rPr>
          <w:vertAlign w:val="subscript"/>
        </w:rPr>
        <w:t>2</w:t>
      </w:r>
      <w:r w:rsidR="007753DD" w:rsidRPr="007753DD">
        <w:t>O. The cooling rate was shown to determine the dominant crystal morphologies, with platelets and needles predominating at the lowest and highest rates, respectively. The results were rationalized in terms of isothermal crystallization data and the time-temperature cooling profile. Rates 0.1, 5.0 and 10 °C min</w:t>
      </w:r>
      <w:r w:rsidR="007753DD" w:rsidRPr="007753DD">
        <w:rPr>
          <w:vertAlign w:val="superscript"/>
        </w:rPr>
        <w:t>-1</w:t>
      </w:r>
      <w:r w:rsidR="007753DD" w:rsidRPr="007753DD">
        <w:t xml:space="preserve"> yield morphologies and kinetics analogous to those of isothermal quenches at the corresponding crystallization temperature window. Nontrivial deviations were observed for intermediate rates (0.5, 1.0 °C min</w:t>
      </w:r>
      <w:r w:rsidR="007753DD" w:rsidRPr="007753DD">
        <w:rPr>
          <w:vertAlign w:val="superscript"/>
        </w:rPr>
        <w:t>-1</w:t>
      </w:r>
      <w:r w:rsidR="007753DD" w:rsidRPr="007753DD">
        <w:t xml:space="preserve">), due to commensurate changes in temperature and crystallization mechanism, accompanied by solute depletion. The polythermal metastable zone width was estimated, and the non-isothermal nucleation described by the Nývlt equation, while the Avrami and Kissinger models described </w:t>
      </w:r>
      <w:r w:rsidR="007753DD" w:rsidRPr="007753DD">
        <w:lastRenderedPageBreak/>
        <w:t>overall crystallization kinetics. Our measurements quantify the impact of temperature gradients in the crystallization of ubiquitous SDS micellar solutions, for a range of practically relevant profiles incurred during manufacturing and storage.</w:t>
      </w:r>
    </w:p>
    <w:p w14:paraId="3D9A977A" w14:textId="77777777" w:rsidR="00CD6920" w:rsidRPr="00171982" w:rsidRDefault="00CD6920" w:rsidP="00CD6920">
      <w:pPr>
        <w:pStyle w:val="TAMainText"/>
        <w:ind w:firstLine="0"/>
        <w:rPr>
          <w:b/>
        </w:rPr>
      </w:pPr>
      <w:r>
        <w:rPr>
          <w:b/>
        </w:rPr>
        <w:t>INTRODUCTION</w:t>
      </w:r>
    </w:p>
    <w:p w14:paraId="5501C3B2" w14:textId="5AC0CD25" w:rsidR="007F11AC" w:rsidRDefault="007F11AC" w:rsidP="00CD6920">
      <w:pPr>
        <w:pStyle w:val="TAMainText"/>
      </w:pPr>
      <w:r>
        <w:t xml:space="preserve">Surfactants </w:t>
      </w:r>
      <w:r w:rsidR="001839AB">
        <w:t xml:space="preserve">solutions are common </w:t>
      </w:r>
      <w:r>
        <w:t xml:space="preserve">in </w:t>
      </w:r>
      <w:r w:rsidR="006B357B" w:rsidRPr="00F70CA6">
        <w:t>‘</w:t>
      </w:r>
      <w:r w:rsidR="00D74B5A" w:rsidRPr="00F70CA6">
        <w:t>formulations</w:t>
      </w:r>
      <w:r w:rsidR="006B357B" w:rsidRPr="00F70CA6">
        <w:t>’</w:t>
      </w:r>
      <w:r w:rsidR="00D74B5A" w:rsidRPr="00F70CA6">
        <w:t xml:space="preserve"> used </w:t>
      </w:r>
      <w:r w:rsidR="00FC1E72" w:rsidRPr="00F70CA6">
        <w:t>in household, personal care, agricultural and pharmaceutical products</w:t>
      </w:r>
      <w:r>
        <w:t>.</w:t>
      </w:r>
      <w:r w:rsidR="00FC1E72" w:rsidRPr="00F70CA6">
        <w:fldChar w:fldCharType="begin" w:fldLock="1"/>
      </w:r>
      <w:r w:rsidR="00FC1E72" w:rsidRPr="00F70CA6">
        <w:instrText>ADDIN CSL_CITATION { "citationItems" : [ { "id" : "ITEM-1", "itemData" : { "DOI" : "10.1016/S0255-2701(99)00038-0", "ISSN" : "02552701", "author" : [ { "dropping-particle" : "", "family" : "Kind", "given" : "M.", "non-dropping-particle" : "", "parse-names" : false, "suffix" : "" } ], "container-title" : "Chem. Eng. Process.", "id" : "ITEM-1", "issued" : { "date-parts" : [ [ "1999", "9" ] ] }, "page" : "405-410", "title" : "Product engineering", "type" : "article-journal", "volume" : "38" }, "uris" : [ "http://www.mendeley.com/documents/?uuid=be0be2dc-7826-441e-985f-8e7f991d1c5b" ] }, { "id" : "ITEM-2", "itemData" : { "author" : [ { "dropping-particle" : "", "family" : "Chappat", "given" : "M.", "non-dropping-particle" : "", "parse-names" : false, "suffix" : "" } ], "container-title" : "Colloids Surf., A", "id" : "ITEM-2", "issued" : { "date-parts" : [ [ "1994" ] ] }, "page" : "57-77", "title" : "Some applications of emulsions", "type" : "article-journal", "volume" : "91" }, "uris" : [ "http://www.mendeley.com/documents/?uuid=79b9bd18-1e71-4e87-803f-64f725a543dc" ] }, { "id" : "ITEM-3", "itemData" : { "edition" : "1st", "editor" : [ { "dropping-particle" : "", "family" : "Hargreaves", "given" : "A. E.", "non-dropping-particle" : "", "parse-names" : false, "suffix" : "" } ], "id" : "ITEM-3", "issued" : { "date-parts" : [ [ "2003" ] ] }, "publisher" : "Royal Society of Chemistry", "publisher-place" : "London", "title" : "Chemical Formulation: An Overview of Surfactant Based Chemical Preparations Used in Everyday Life", "type" : "book" }, "uris" : [ "http://www.mendeley.com/documents/?uuid=1cfe30ec-4a21-4c9e-acdc-defa5fdb0a6a" ] } ], "mendeley" : { "formattedCitation" : "&lt;sup&gt;1\u20133&lt;/sup&gt;", "plainTextFormattedCitation" : "1\u20133", "previouslyFormattedCitation" : "&lt;sup&gt;1\u20133&lt;/sup&gt;" }, "properties" : { "noteIndex" : 0 }, "schema" : "https://github.com/citation-style-language/schema/raw/master/csl-citation.json" }</w:instrText>
      </w:r>
      <w:r w:rsidR="00FC1E72" w:rsidRPr="00F70CA6">
        <w:fldChar w:fldCharType="separate"/>
      </w:r>
      <w:r w:rsidR="00FC1E72" w:rsidRPr="00F70CA6">
        <w:rPr>
          <w:noProof/>
          <w:vertAlign w:val="superscript"/>
        </w:rPr>
        <w:t>1–3</w:t>
      </w:r>
      <w:r w:rsidR="00FC1E72" w:rsidRPr="00F70CA6">
        <w:fldChar w:fldCharType="end"/>
      </w:r>
      <w:r w:rsidR="00FC1E72" w:rsidRPr="00F70CA6">
        <w:t xml:space="preserve"> </w:t>
      </w:r>
      <w:r w:rsidR="009963C9" w:rsidRPr="00F70CA6">
        <w:t xml:space="preserve">These </w:t>
      </w:r>
      <w:r w:rsidR="005711D4" w:rsidRPr="00F70CA6">
        <w:t>formulations</w:t>
      </w:r>
      <w:r w:rsidR="00F70CA6" w:rsidRPr="00F70CA6">
        <w:t xml:space="preserve"> are</w:t>
      </w:r>
      <w:r w:rsidR="00256C6F" w:rsidRPr="00F70CA6">
        <w:t xml:space="preserve"> expected to be </w:t>
      </w:r>
      <w:r>
        <w:t>(meta-)</w:t>
      </w:r>
      <w:r w:rsidR="00256C6F" w:rsidRPr="00F70CA6">
        <w:t xml:space="preserve">stable across </w:t>
      </w:r>
      <w:r w:rsidR="006B409B">
        <w:t xml:space="preserve">a </w:t>
      </w:r>
      <w:r w:rsidR="00256C6F" w:rsidRPr="00F70CA6">
        <w:t>range of conditions,</w:t>
      </w:r>
      <w:r w:rsidR="00B614E7" w:rsidRPr="00F70CA6">
        <w:fldChar w:fldCharType="begin" w:fldLock="1"/>
      </w:r>
      <w:r w:rsidR="004604AD">
        <w:instrText>ADDIN CSL_CITATION { "citationItems" : [ { "id" : "ITEM-1", "itemData" : { "DOI" : "10.1002/aic.690471214", "ISSN" : "00011541", "author" : [ { "dropping-particle" : "", "family" : "Wibowo", "given" : "C.", "non-dropping-particle" : "", "parse-names" : false, "suffix" : "" }, { "dropping-particle" : "", "family" : "Ng", "given" : "K. M.", "non-dropping-particle" : "", "parse-names" : false, "suffix" : "" } ], "container-title" : "AIChE J.", "id" : "ITEM-1", "issued" : { "date-parts" : [ [ "2001", "12" ] ] }, "page" : "2746-2767", "title" : "Product-oriented process synthesis and development: Creams and pastes", "type" : "article-journal", "volume" : "47" }, "uris" : [ "http://www.mendeley.com/documents/?uuid=e5effb1b-1905-447c-b45f-6283c5048446" ] }, { "id" : "ITEM-2", "itemData" : { "author" : [ { "dropping-particle" : "", "family" : "Chappat", "given" : "M.", "non-dropping-particle" : "", "parse-names" : false, "suffix" : "" } ], "container-title" : "Colloids Surf., A", "id" : "ITEM-2", "issued" : { "date-parts" : [ [ "1994" ] ] }, "page" : "57-77", "title" : "Some applications of emulsions", "type" : "article-journal", "volume" : "91" }, "uris" : [ "http://www.mendeley.com/documents/?uuid=79b9bd18-1e71-4e87-803f-64f725a543dc" ] }, { "id" : "ITEM-3", "itemData" : { "author" : [ { "dropping-particle" : "", "family" : "Tadros", "given" : "T. F.", "non-dropping-particle" : "", "parse-names" : false, "suffix" : "" } ], "container-title" : "Int. J. Cosmet. Sci.", "id" : "ITEM-3", "issued" : { "date-parts" : [ [ "1992" ] ] }, "page" : "93-111", "title" : "Future developments in cosmetic formulations", "type" : "article-journal", "volume" : "14" }, "uris" : [ "http://www.mendeley.com/documents/?uuid=f50d7269-8da7-44f8-a956-a81b57cf816e" ] }, { "id" : "ITEM-4", "itemData" : { "edition" : "1st", "editor" : [ { "dropping-particle" : "", "family" : "Hargreaves", "given" : "A. E.", "non-dropping-particle" : "", "parse-names" : false, "suffix" : "" } ], "id" : "ITEM-4", "issued" : { "date-parts" : [ [ "2003" ] ] }, "publisher" : "Royal Society of Chemistry", "publisher-place" : "London", "title" : "Chemical Formulation: An Overview of Surfactant Based Chemical Preparations Used in Everyday Life", "type" : "book" }, "uris" : [ "http://www.mendeley.com/documents/?uuid=1cfe30ec-4a21-4c9e-acdc-defa5fdb0a6a" ] }, { "id" : "ITEM-5", "itemData" : { "DOI" : "10.1021/cg060838j", "ISBN" : "1528-7483", "ISSN" : "15287483", "author" : [ { "dropping-particle" : "", "family" : "Stahly", "given" : "G. P.", "non-dropping-particle" : "", "parse-names" : false, "suffix" : "" } ], "container-title" : "Cryst. Growth Des.", "id" : "ITEM-5", "issued" : { "date-parts" : [ [ "2007" ] ] }, "page" : "1007-1026", "title" : "Diversity in single- and multiple-component crystals. the search for and prevalence of polymorphs and cocrystals", "type" : "article-journal", "volume" : "7" }, "uris" : [ "http://www.mendeley.com/documents/?uuid=3d14f596-c6cb-4d3e-99ab-46438ae04dc6", "http://www.mendeley.com/documents/?uuid=400e92b2-2333-4a58-85dd-3eda5113cae8" ] } ], "mendeley" : { "formattedCitation" : "&lt;sup&gt;2\u20136&lt;/sup&gt;", "plainTextFormattedCitation" : "2\u20136", "previouslyFormattedCitation" : "&lt;sup&gt;2\u20136&lt;/sup&gt;" }, "properties" : { "noteIndex" : 0 }, "schema" : "https://github.com/citation-style-language/schema/raw/master/csl-citation.json" }</w:instrText>
      </w:r>
      <w:r w:rsidR="00B614E7" w:rsidRPr="00F70CA6">
        <w:fldChar w:fldCharType="separate"/>
      </w:r>
      <w:r w:rsidR="004604AD" w:rsidRPr="004604AD">
        <w:rPr>
          <w:noProof/>
          <w:vertAlign w:val="superscript"/>
        </w:rPr>
        <w:t>2–6</w:t>
      </w:r>
      <w:r w:rsidR="00B614E7" w:rsidRPr="00F70CA6">
        <w:fldChar w:fldCharType="end"/>
      </w:r>
      <w:r w:rsidR="009963C9" w:rsidRPr="00F70CA6">
        <w:t xml:space="preserve"> </w:t>
      </w:r>
      <w:r>
        <w:t>including</w:t>
      </w:r>
      <w:r w:rsidR="009963C9" w:rsidRPr="00F70CA6">
        <w:t xml:space="preserve"> variations in temperature during manuf</w:t>
      </w:r>
      <w:r w:rsidR="001839AB">
        <w:t>acturing, transport and storage,</w:t>
      </w:r>
      <w:r w:rsidR="00632FD6" w:rsidRPr="00F70CA6">
        <w:fldChar w:fldCharType="begin" w:fldLock="1"/>
      </w:r>
      <w:r w:rsidR="004604AD">
        <w:instrText>ADDIN CSL_CITATION { "citationItems" : [ { "id" : "ITEM-1", "itemData" : { "edition" : "1st", "editor" : [ { "dropping-particle" : "", "family" : "Hargreaves", "given" : "A. E.", "non-dropping-particle" : "", "parse-names" : false, "suffix" : "" } ], "id" : "ITEM-1", "issued" : { "date-parts" : [ [ "2003" ] ] }, "publisher" : "Royal Society of Chemistry", "publisher-place" : "London", "title" : "Chemical Formulation: An Overview of Surfactant Based Chemical Preparations Used in Everyday Life", "type" : "book" }, "uris" : [ "http://www.mendeley.com/documents/?uuid=1cfe30ec-4a21-4c9e-acdc-defa5fdb0a6a" ] }, { "id" : "ITEM-2", "itemData" : { "DOI" : "10.1146/annurev-chembioeng-061010-114224", "author" : [ { "dropping-particle" : "", "family" : "Lee", "given" : "A. Y.", "non-dropping-particle" : "", "parse-names" : false, "suffix" : "" }, { "dropping-particle" : "", "family" : "Erdemir", "given" : "D.", "non-dropping-particle" : "", "parse-names" : false, "suffix" : "" }, { "dropping-particle" : "", "family" : "Myerson", "given" : "A. S.", "non-dropping-particle" : "", "parse-names" : false, "suffix" : "" } ], "container-title" : "Annu. Rev. Chem. Biomol. Eng.", "id" : "ITEM-2", "issued" : { "date-parts" : [ [ "2011" ] ] }, "page" : "259\u2013280", "title" : "Crystal Polymorphism in Chemical Process Development", "type" : "article-journal", "volume" : "2" }, "uris" : [ "http://www.mendeley.com/documents/?uuid=43cc8986-9f0c-4ab2-a4c0-372968455242" ] }, { "id" : "ITEM-3", "itemData" : { "DOI" : "10.1002/aic.690471214", "ISSN" : "00011541", "author" : [ { "dropping-particle" : "", "family" : "Wibowo", "given" : "C.", "non-dropping-particle" : "", "parse-names" : false, "suffix" : "" }, { "dropping-particle" : "", "family" : "Ng", "given" : "K. M.", "non-dropping-particle" : "", "parse-names" : false, "suffix" : "" } ], "container-title" : "AIChE J.", "id" : "ITEM-3", "issued" : { "date-parts" : [ [ "2001", "12" ] ] }, "page" : "2746-2767", "title" : "Product-oriented process synthesis and development: Creams and pastes", "type" : "article-journal", "volume" : "47" }, "uris" : [ "http://www.mendeley.com/documents/?uuid=e5effb1b-1905-447c-b45f-6283c5048446" ] } ], "mendeley" : { "formattedCitation" : "&lt;sup&gt;3,4,7&lt;/sup&gt;", "plainTextFormattedCitation" : "3,4,7", "previouslyFormattedCitation" : "&lt;sup&gt;3,4,7&lt;/sup&gt;" }, "properties" : { "noteIndex" : 0 }, "schema" : "https://github.com/citation-style-language/schema/raw/master/csl-citation.json" }</w:instrText>
      </w:r>
      <w:r w:rsidR="00632FD6" w:rsidRPr="00F70CA6">
        <w:fldChar w:fldCharType="separate"/>
      </w:r>
      <w:r w:rsidR="004604AD" w:rsidRPr="004604AD">
        <w:rPr>
          <w:noProof/>
          <w:vertAlign w:val="superscript"/>
        </w:rPr>
        <w:t>3,4,7</w:t>
      </w:r>
      <w:r w:rsidR="00632FD6" w:rsidRPr="00F70CA6">
        <w:fldChar w:fldCharType="end"/>
      </w:r>
      <w:r w:rsidR="000D4126" w:rsidRPr="00F70CA6">
        <w:t xml:space="preserve"> </w:t>
      </w:r>
      <w:r w:rsidR="00F706B8" w:rsidRPr="00F70CA6">
        <w:t>which</w:t>
      </w:r>
      <w:r w:rsidR="000D4126" w:rsidRPr="00F70CA6">
        <w:t xml:space="preserve"> can </w:t>
      </w:r>
      <w:r w:rsidR="001839AB">
        <w:t xml:space="preserve">otherwise </w:t>
      </w:r>
      <w:r w:rsidR="000D4126" w:rsidRPr="00F70CA6">
        <w:t xml:space="preserve">induce phase transitions. </w:t>
      </w:r>
      <w:r w:rsidR="00255AF7" w:rsidRPr="00F70CA6">
        <w:t xml:space="preserve">Temperature profiles </w:t>
      </w:r>
      <w:r>
        <w:t>range</w:t>
      </w:r>
      <w:r w:rsidR="00255AF7" w:rsidRPr="00F70CA6">
        <w:t xml:space="preserve"> from subtle environmental changes, for instance</w:t>
      </w:r>
      <w:r w:rsidR="004767E0" w:rsidRPr="00F70CA6">
        <w:t xml:space="preserve"> </w:t>
      </w:r>
      <w:r w:rsidR="00255AF7" w:rsidRPr="00F70CA6">
        <w:t>diurnal te</w:t>
      </w:r>
      <w:r w:rsidR="009E0692" w:rsidRPr="00F70CA6">
        <w:t>mperature fluctuations</w:t>
      </w:r>
      <w:r w:rsidR="00F706B8" w:rsidRPr="00F70CA6">
        <w:t>,</w:t>
      </w:r>
      <w:r>
        <w:t xml:space="preserve"> to</w:t>
      </w:r>
      <w:r w:rsidR="009E0692" w:rsidRPr="00F70CA6">
        <w:t xml:space="preserve"> rapid, intentional heating or cooling, related to processing</w:t>
      </w:r>
      <w:r w:rsidR="00757AA1">
        <w:t>, transport</w:t>
      </w:r>
      <w:r w:rsidR="001839AB">
        <w:t xml:space="preserve"> </w:t>
      </w:r>
      <w:r w:rsidR="009E0692" w:rsidRPr="00F70CA6">
        <w:t xml:space="preserve">or use. Environmental temperature variations are comparatively slow, </w:t>
      </w:r>
      <w:r w:rsidR="00290E7E">
        <w:t xml:space="preserve">typically </w:t>
      </w:r>
      <w:r w:rsidR="009E0692" w:rsidRPr="00F70CA6">
        <w:t xml:space="preserve">ranging from </w:t>
      </w:r>
      <w:r w:rsidR="0044332E" w:rsidRPr="00F70CA6">
        <w:rPr>
          <w:rFonts w:cstheme="majorHAnsi"/>
        </w:rPr>
        <w:t xml:space="preserve">≈ </w:t>
      </w:r>
      <w:r w:rsidR="009E0692" w:rsidRPr="00F70CA6">
        <w:t xml:space="preserve">0 </w:t>
      </w:r>
      <w:r w:rsidR="0044332E" w:rsidRPr="00F70CA6">
        <w:t>to</w:t>
      </w:r>
      <w:r w:rsidR="009E0692" w:rsidRPr="00F70CA6">
        <w:t xml:space="preserve"> 0.1 </w:t>
      </w:r>
      <w:r w:rsidR="0044332E" w:rsidRPr="00F70CA6">
        <w:t>°</w:t>
      </w:r>
      <w:r w:rsidR="009E0692" w:rsidRPr="00F70CA6">
        <w:t>C min</w:t>
      </w:r>
      <w:r w:rsidR="009E0692" w:rsidRPr="00F70CA6">
        <w:rPr>
          <w:vertAlign w:val="superscript"/>
        </w:rPr>
        <w:t>-1</w:t>
      </w:r>
      <w:r w:rsidR="009E0692" w:rsidRPr="00F70CA6">
        <w:t>.</w:t>
      </w:r>
      <w:r w:rsidR="002C6696" w:rsidRPr="00F70CA6">
        <w:fldChar w:fldCharType="begin" w:fldLock="1"/>
      </w:r>
      <w:r w:rsidR="00600480">
        <w:instrText>ADDIN CSL_CITATION { "citationItems" : [ { "id" : "ITEM-1", "itemData" : { "container-title" : "Weather Online", "id" : "ITEM-1", "issued" : { "date-parts" : [ [ "2016" ] ] }, "title" : "Weather Online", "type" : "webpage" }, "uris" : [ "http://www.mendeley.com/documents/?uuid=0b6c7ca2-c674-4326-ac6a-8a0ff9710207" ] } ], "mendeley" : { "formattedCitation" : "&lt;sup&gt;8&lt;/sup&gt;", "plainTextFormattedCitation" : "8", "previouslyFormattedCitation" : "&lt;sup&gt;8&lt;/sup&gt;" }, "properties" : { "noteIndex" : 0 }, "schema" : "https://github.com/citation-style-language/schema/raw/master/csl-citation.json" }</w:instrText>
      </w:r>
      <w:r w:rsidR="002C6696" w:rsidRPr="00F70CA6">
        <w:fldChar w:fldCharType="separate"/>
      </w:r>
      <w:r w:rsidR="00290E7E" w:rsidRPr="00290E7E">
        <w:rPr>
          <w:noProof/>
          <w:vertAlign w:val="superscript"/>
        </w:rPr>
        <w:t>8</w:t>
      </w:r>
      <w:r w:rsidR="002C6696" w:rsidRPr="00F70CA6">
        <w:fldChar w:fldCharType="end"/>
      </w:r>
      <w:r w:rsidR="00DB0267" w:rsidRPr="00F70CA6">
        <w:t xml:space="preserve"> </w:t>
      </w:r>
      <w:r w:rsidR="001839AB">
        <w:t>I</w:t>
      </w:r>
      <w:r w:rsidR="00E17993">
        <w:t>nduced</w:t>
      </w:r>
      <w:r w:rsidR="005E302A" w:rsidRPr="00F70CA6">
        <w:t xml:space="preserve"> </w:t>
      </w:r>
      <w:r w:rsidR="001839AB">
        <w:t xml:space="preserve">thermal </w:t>
      </w:r>
      <w:r w:rsidR="005E302A" w:rsidRPr="00F70CA6">
        <w:t>change</w:t>
      </w:r>
      <w:r w:rsidR="00DB0267" w:rsidRPr="00F70CA6">
        <w:t>s</w:t>
      </w:r>
      <w:r w:rsidR="001839AB">
        <w:t>,</w:t>
      </w:r>
      <w:r w:rsidR="00DB0267" w:rsidRPr="00F70CA6">
        <w:t xml:space="preserve"> </w:t>
      </w:r>
      <w:r w:rsidR="001839AB">
        <w:t xml:space="preserve">caused for instance by a rapid transfer from </w:t>
      </w:r>
      <w:r w:rsidR="001839AB" w:rsidRPr="00F70CA6">
        <w:t>indoor to outdoor environment</w:t>
      </w:r>
      <w:r w:rsidR="001839AB">
        <w:t>s,</w:t>
      </w:r>
      <w:r w:rsidR="001839AB" w:rsidRPr="00F70CA6">
        <w:t xml:space="preserve"> </w:t>
      </w:r>
      <w:r w:rsidR="00DB0267" w:rsidRPr="00F70CA6">
        <w:t xml:space="preserve">can be considerably steeper, </w:t>
      </w:r>
      <w:r>
        <w:t>of</w:t>
      </w:r>
      <w:r w:rsidR="00DB0267" w:rsidRPr="00F70CA6">
        <w:t xml:space="preserve"> the order ≈</w:t>
      </w:r>
      <w:r w:rsidR="0016018A" w:rsidRPr="00F70CA6">
        <w:t xml:space="preserve"> </w:t>
      </w:r>
      <w:r w:rsidR="00DB0267" w:rsidRPr="00F70CA6">
        <w:t>0.5 to ≥10 °C min</w:t>
      </w:r>
      <w:r w:rsidR="00DB0267" w:rsidRPr="00F70CA6">
        <w:rPr>
          <w:vertAlign w:val="superscript"/>
        </w:rPr>
        <w:t>-1</w:t>
      </w:r>
      <w:r w:rsidR="00E17993">
        <w:t>.</w:t>
      </w:r>
      <w:r>
        <w:t xml:space="preserve"> </w:t>
      </w:r>
      <w:r w:rsidR="00E17993">
        <w:t xml:space="preserve">Elucidating the </w:t>
      </w:r>
      <w:r w:rsidR="001839AB">
        <w:t xml:space="preserve">mechanism and </w:t>
      </w:r>
      <w:r w:rsidR="00E17993">
        <w:t xml:space="preserve">kinetics </w:t>
      </w:r>
      <w:r w:rsidR="009963C9" w:rsidRPr="00F70CA6">
        <w:t xml:space="preserve">of phase transformations </w:t>
      </w:r>
      <w:r>
        <w:t>under</w:t>
      </w:r>
      <w:r w:rsidR="009963C9" w:rsidRPr="00F70CA6">
        <w:t xml:space="preserve"> non-isothermal conditions</w:t>
      </w:r>
      <w:r w:rsidR="00B54CC3">
        <w:t>,</w:t>
      </w:r>
      <w:r>
        <w:t xml:space="preserve"> </w:t>
      </w:r>
      <w:r w:rsidRPr="00F70CA6">
        <w:t>which</w:t>
      </w:r>
      <w:r w:rsidR="001839AB">
        <w:t xml:space="preserve"> depend</w:t>
      </w:r>
      <w:r w:rsidRPr="00F70CA6">
        <w:t xml:space="preserve"> on</w:t>
      </w:r>
      <w:r>
        <w:t xml:space="preserve"> both</w:t>
      </w:r>
      <w:r w:rsidRPr="00F70CA6">
        <w:t xml:space="preserve"> time and </w:t>
      </w:r>
      <w:r w:rsidR="001839AB">
        <w:t xml:space="preserve">rate </w:t>
      </w:r>
      <w:r w:rsidR="001839AB" w:rsidRPr="00F70CA6">
        <w:t>(</w:t>
      </w:r>
      <w:r w:rsidR="001839AB" w:rsidRPr="00F70CA6">
        <w:rPr>
          <w:rFonts w:ascii="Symbol" w:hAnsi="Symbol"/>
          <w:i/>
        </w:rPr>
        <w:t></w:t>
      </w:r>
      <w:r w:rsidR="001839AB" w:rsidRPr="00F70CA6">
        <w:t xml:space="preserve"> = d</w:t>
      </w:r>
      <w:r w:rsidR="001839AB" w:rsidRPr="00F70CA6">
        <w:rPr>
          <w:i/>
        </w:rPr>
        <w:t>T</w:t>
      </w:r>
      <w:r w:rsidR="001839AB" w:rsidRPr="00F70CA6">
        <w:t>/d</w:t>
      </w:r>
      <w:r w:rsidR="001839AB" w:rsidRPr="00F70CA6">
        <w:rPr>
          <w:i/>
        </w:rPr>
        <w:t>t</w:t>
      </w:r>
      <w:r w:rsidR="001839AB" w:rsidRPr="00F70CA6">
        <w:t>)</w:t>
      </w:r>
      <w:r w:rsidR="001839AB">
        <w:t xml:space="preserve">, as well as </w:t>
      </w:r>
      <w:r>
        <w:t xml:space="preserve">temperature, </w:t>
      </w:r>
      <w:r w:rsidR="00E17993">
        <w:t xml:space="preserve">is therefore </w:t>
      </w:r>
      <w:r w:rsidR="001839AB">
        <w:t>p</w:t>
      </w:r>
      <w:r w:rsidR="001839AB" w:rsidRPr="00F70CA6">
        <w:t>ractically relevant</w:t>
      </w:r>
      <w:r w:rsidR="001839AB">
        <w:t xml:space="preserve"> and fundamentally </w:t>
      </w:r>
      <w:r w:rsidR="00E17993">
        <w:t>important</w:t>
      </w:r>
      <w:r w:rsidR="001839AB">
        <w:t>.</w:t>
      </w:r>
    </w:p>
    <w:p w14:paraId="773B6315" w14:textId="4271A042" w:rsidR="003E1BB6" w:rsidRPr="006B357B" w:rsidRDefault="001839AB" w:rsidP="00CD6920">
      <w:pPr>
        <w:pStyle w:val="TAMainText"/>
      </w:pPr>
      <w:r>
        <w:t>C</w:t>
      </w:r>
      <w:r w:rsidR="00FF232A" w:rsidRPr="006B357B">
        <w:t xml:space="preserve">rystallization </w:t>
      </w:r>
      <w:r>
        <w:t>processes</w:t>
      </w:r>
      <w:r w:rsidR="00FF232A" w:rsidRPr="006B357B">
        <w:t xml:space="preserve"> are</w:t>
      </w:r>
      <w:r w:rsidR="00A273D9" w:rsidRPr="006B357B">
        <w:t xml:space="preserve"> commonly investigated </w:t>
      </w:r>
      <w:r>
        <w:t xml:space="preserve">by </w:t>
      </w:r>
      <w:r w:rsidR="00B54CC3">
        <w:t xml:space="preserve">various techniques including </w:t>
      </w:r>
      <w:r>
        <w:t>differential scanning calorimetry (DSC)</w:t>
      </w:r>
      <w:r w:rsidR="00543A4C" w:rsidRPr="006B357B">
        <w:t>,</w:t>
      </w:r>
      <w:r w:rsidR="00A273D9" w:rsidRPr="006B357B">
        <w:fldChar w:fldCharType="begin" w:fldLock="1"/>
      </w:r>
      <w:r w:rsidR="00600480">
        <w:instrText>ADDIN CSL_CITATION { "citationItems" : [ { "id" : "ITEM-1",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"ITEM-1", "issued" : { "date-parts" : [ [ "1986" ] ] }, "page" : "1183-1192", "title" : "Crystallization behaviour of poly(ether-ether-ketone)", "type" : "article-journal", "volume" : "27" }, "uris" : [ "http://www.mendeley.com/documents/?uuid=5a5bd7f7-af8d-461f-9700-fd562deca3bf" ] }, { "id" : "ITEM-2",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"ITEM-2", "issued" : { "date-parts" : [ [ "2002" ] ] }, "page" : "408-414", "title" : "Nonisothermal Crystallization Kinetics of Polypropylene/ Montmorillonite Nanocomposites", "type" : "article-journal", "volume" : "40" }, "uris" : [ "http://www.mendeley.com/documents/?uuid=7de44ac5-cfec-408b-b55a-7c8c3f1f1824" ] }, { "id" : "ITEM-3", "itemData" : { "author" : [ { "dropping-particle" : "", "family" : "Herrero", "given" : "C. R.", "non-dropping-particle" : "", "parse-names" : false, "suffix" : "" }, { "dropping-particle" : "", "family" : "Acosta", "given" : "J. L.", "non-dropping-particle" : "", "parse-names" : false, "suffix" : "" } ], "container-title" : "Polymer J.", "id" : "ITEM-3",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"id" : "ITEM-4", "itemData" : { "author" : [ { "dropping-particle" : "", "family" : "Ozawa", "given" : "T.", "non-dropping-particle" : "", "parse-names" : false, "suffix" : "" } ], "container-title" : "Polymer", "id" : "ITEM-4", "issued" : { "date-parts" : [ [ "1971" ] ] }, "page" : "150-158", "title" : "Kinetics of non-isothermal crystallization", "type" : "article-journal", "volume" : "12" }, "uris" : [ "http://www.mendeley.com/documents/?uuid=c6b91b95-15dd-4fe0-af41-24b1bf5e0e75" ] } ], "mendeley" : { "formattedCitation" : "&lt;sup&gt;9\u201312&lt;/sup&gt;", "plainTextFormattedCitation" : "9\u201312", "previouslyFormattedCitation" : "&lt;sup&gt;9\u201312&lt;/sup&gt;" }, "properties" : { "noteIndex" : 0 }, "schema" : "https://github.com/citation-style-language/schema/raw/master/csl-citation.json" }</w:instrText>
      </w:r>
      <w:r w:rsidR="00A273D9" w:rsidRPr="006B357B">
        <w:fldChar w:fldCharType="separate"/>
      </w:r>
      <w:r w:rsidR="00290E7E" w:rsidRPr="00290E7E">
        <w:rPr>
          <w:noProof/>
          <w:vertAlign w:val="superscript"/>
        </w:rPr>
        <w:t>9–12</w:t>
      </w:r>
      <w:r w:rsidR="00A273D9" w:rsidRPr="006B357B">
        <w:fldChar w:fldCharType="end"/>
      </w:r>
      <w:r w:rsidR="00A273D9" w:rsidRPr="006B357B">
        <w:t xml:space="preserve"> </w:t>
      </w:r>
      <w:r w:rsidR="00543A4C" w:rsidRPr="006B357B">
        <w:t>X-ray diffraction (XRD)</w:t>
      </w:r>
      <w:r w:rsidR="005E0069" w:rsidRPr="006B357B">
        <w:fldChar w:fldCharType="begin" w:fldLock="1"/>
      </w:r>
      <w:r w:rsidR="00600480">
        <w:instrText>ADDIN CSL_CITATION { "citationItems" : [ { "id" : "ITEM-1", "itemData" : { "author" : [ { "dropping-particle" : "", "family" : "Kolodziejczyk", "given" : "K.", "non-dropping-particle" : "", "parse-names" : false, "suffix" : "" }, { "dropping-particle" : "", "family" : "Grzybowska", "given" : "K.", "non-dropping-particle" : "", "parse-names" : false, "suffix" : "" }, { "dropping-particle" : "", "family" : "Wojnarowska", "given" : "Z.", "non-dropping-particle" : "", "parse-names" : false, "suffix" : "" }, { "dropping-particle" : "", "family" : "Dulski", "given" : "M.", "non-dropping-particle" : "", "parse-names" : false, "suffix" : "" }, { "dropping-particle" : "", "family" : "Hawelek", "given" : "L.", "non-dropping-particle" : "", "parse-names" : false, "suffix" : "" }, { "dropping-particle" : "", "family" : "Paluch", "given" : "M.", "non-dropping-particle" : "", "parse-names" : false, "suffix" : "" } ], "container-title" : "Cryst. Growth Des.", "id" : "ITEM-1", "issued" : { "date-parts" : [ [ "2014" ] ] }, "page" : "3199-3209", "title" : "Isothermal Cold Crystallization Kinetics Study of Sildenafil", "type" : "article-journal", "volume" : "14" }, "uris" : [ "http://www.mendeley.com/documents/?uuid=2d281407-d067-46ab-a798-491d04f07b1d" ] } ], "mendeley" : { "formattedCitation" : "&lt;sup&gt;13&lt;/sup&gt;", "plainTextFormattedCitation" : "13", "previouslyFormattedCitation" : "&lt;sup&gt;13&lt;/sup&gt;" }, "properties" : { "noteIndex" : 0 }, "schema" : "https://github.com/citation-style-language/schema/raw/master/csl-citation.json" }</w:instrText>
      </w:r>
      <w:r w:rsidR="005E0069" w:rsidRPr="006B357B">
        <w:fldChar w:fldCharType="separate"/>
      </w:r>
      <w:r w:rsidR="00290E7E" w:rsidRPr="00290E7E">
        <w:rPr>
          <w:noProof/>
          <w:vertAlign w:val="superscript"/>
        </w:rPr>
        <w:t>13</w:t>
      </w:r>
      <w:r w:rsidR="005E0069" w:rsidRPr="006B357B">
        <w:fldChar w:fldCharType="end"/>
      </w:r>
      <w:r w:rsidR="00543A4C" w:rsidRPr="006B357B">
        <w:t xml:space="preserve"> </w:t>
      </w:r>
      <w:r w:rsidR="00A273D9" w:rsidRPr="006B357B">
        <w:t>and optical microscopy</w:t>
      </w:r>
      <w:r w:rsidR="00B54CC3">
        <w:t>.</w:t>
      </w:r>
      <w:r w:rsidR="00492668" w:rsidRPr="006B357B">
        <w:fldChar w:fldCharType="begin" w:fldLock="1"/>
      </w:r>
      <w:r w:rsidR="00600480">
        <w:instrText>ADDIN CSL_CITATION { "citationItems" : [ { "id" : "ITEM-1", "itemData" : { "DOI" : "10.1016/j.cplett.2005.11.085", "author" : [ { "dropping-particle" : "", "family" : "Marangoni", "given" : "A. G.", "non-dropping-particle" : "", "parse-names" : false, "suffix" : "" }, { "dropping-particle" : "", "family" : "Tang", "given" : "D.", "non-dropping-particle" : "", "parse-names" : false, "suffix" : "" }, { "dropping-particle" : "", "family" : "Singh", "given" : "A. P.", "non-dropping-particle" : "", "parse-names" : false, "suffix" : "" } ], "container-title" : "Chem. Phys. Lett.", "id" : "ITEM-1", "issued" : { "date-parts" : [ [ "2006" ] ] }, "page" : "259-264", "title" : "Non-isothermal nucleation of triacylglycerol melts", "type" : "article-journal", "volume" : "419" }, "uris" : [ "http://www.mendeley.com/documents/?uuid=c09e1348-ec85-4896-b6a0-6a2616627b12" ] }, { "id" : "ITEM-2", "itemData" : { "author" : [ { "dropping-particle" : "", "family" : "Kadam", "given" : "S. S.", "non-dropping-particle" : "", "parse-names" : false, "suffix" : "" }, { "dropping-particle" : "", "family" : "Kramer", "given" : "H. J. M.", "non-dropping-particle" : "", "parse-names" : false, "suffix" : "" }, { "dropping-particle" : "ter", "family" : "Horst", "given" : "J. H.", "non-dropping-particle" : "", "parse-names" : false, "suffix" : "" } ], "container-title" : "Cryst. Growth Des.", "id" : "ITEM-2", "issued" : { "date-parts" : [ [ "2011" ] ] }, "page" : "1271-1277", "title" : "Combination of a Single Primary Nucleation Event and Secondary Nucleation in Crystallization Processes", "type" : "article-journal", "volume" : "11" }, "uris" : [ "http://www.mendeley.com/documents/?uuid=1c53fe42-04e1-4f79-96ae-1ce69e45e364" ] }, { "id" : "ITEM-3", "itemData" : { "author" : [ { "dropping-particle" : "", "family" : "Rogers", "given" : "M. A.", "non-dropping-particle" : "", "parse-names" : false, "suffix" : "" }, { "dropping-particle" : "", "family" : "Marangoni", "given" : "A. G.", "non-dropping-particle" : "", "parse-names" : false, "suffix" : "" } ], "container-title" : "Cryst. Growth Des.", "id" : "ITEM-3", "issued" : { "date-parts" : [ [ "2008" ] ] }, "page" : "4596-4601", "title" : "Non-Isothermal Nucleation and Crystallization of 12-Hydroxystearic Acid in Vegetable Oils", "type" : "article-journal", "volume" : "8" }, "uris" : [ "http://www.mendeley.com/documents/?uuid=b0cdbdb5-11f5-4cc0-9253-3cda60aa3997" ] } ], "mendeley" : { "formattedCitation" : "&lt;sup&gt;14\u201316&lt;/sup&gt;", "plainTextFormattedCitation" : "14\u201316", "previouslyFormattedCitation" : "&lt;sup&gt;14\u201316&lt;/sup&gt;" }, "properties" : { "noteIndex" : 0 }, "schema" : "https://github.com/citation-style-language/schema/raw/master/csl-citation.json" }</w:instrText>
      </w:r>
      <w:r w:rsidR="00492668" w:rsidRPr="006B357B">
        <w:fldChar w:fldCharType="separate"/>
      </w:r>
      <w:r w:rsidR="00290E7E" w:rsidRPr="00290E7E">
        <w:rPr>
          <w:noProof/>
          <w:vertAlign w:val="superscript"/>
        </w:rPr>
        <w:t>14–16</w:t>
      </w:r>
      <w:r w:rsidR="00492668" w:rsidRPr="006B357B">
        <w:fldChar w:fldCharType="end"/>
      </w:r>
      <w:r w:rsidR="00A273D9" w:rsidRPr="006B357B">
        <w:t xml:space="preserve"> </w:t>
      </w:r>
      <w:r w:rsidR="0068435E">
        <w:t>C</w:t>
      </w:r>
      <w:r w:rsidR="00C500A1" w:rsidRPr="006B357B">
        <w:t xml:space="preserve">onversion profiles are computed from the evolution of </w:t>
      </w:r>
      <w:r w:rsidR="00F85483">
        <w:t xml:space="preserve">the </w:t>
      </w:r>
      <w:r w:rsidR="00C500A1" w:rsidRPr="006B357B">
        <w:t xml:space="preserve">crystalline </w:t>
      </w:r>
      <w:r w:rsidR="0068435E">
        <w:t>(area or volume) fraction, or</w:t>
      </w:r>
      <w:r w:rsidR="00474BA2" w:rsidRPr="006B357B">
        <w:t xml:space="preserve"> </w:t>
      </w:r>
      <w:r w:rsidR="00C500A1" w:rsidRPr="006B357B">
        <w:t>heat flow</w:t>
      </w:r>
      <w:r w:rsidR="004464F8">
        <w:t xml:space="preserve">, </w:t>
      </w:r>
      <w:r w:rsidR="00B54CC3">
        <w:t xml:space="preserve">with </w:t>
      </w:r>
      <w:r w:rsidR="00C500A1" w:rsidRPr="006B357B">
        <w:t>non-isothermal kinetics typically interpreted using the Avrami</w:t>
      </w:r>
      <w:r w:rsidR="00A273D9" w:rsidRPr="006B357B">
        <w:t>,</w:t>
      </w:r>
      <w:r w:rsidR="007C448A" w:rsidRPr="006B357B">
        <w:fldChar w:fldCharType="begin" w:fldLock="1"/>
      </w:r>
      <w:r w:rsidR="00600480">
        <w:instrText>ADDIN CSL_CITATION { "citationItems" : [ { "id" : "ITEM-1",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"ITEM-1", "issued" : { "date-parts" : [ [ "1986" ] ] }, "page" : "1183-1192", "title" : "Crystallization behaviour of poly(ether-ether-ketone)", "type" : "article-journal", "volume" : "27" }, "uris" : [ "http://www.mendeley.com/documents/?uuid=5a5bd7f7-af8d-461f-9700-fd562deca3bf" ] }, { "id" : "ITEM-2",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"ITEM-2", "issued" : { "date-parts" : [ [ "2002" ] ] }, "page" : "408-414", "title" : "Nonisothermal Crystallization Kinetics of Polypropylene/ Montmorillonite Nanocomposites", "type" : "article-journal", "volume" : "40" }, "uris" : [ "http://www.mendeley.com/documents/?uuid=7de44ac5-cfec-408b-b55a-7c8c3f1f1824" ] }, { "id" : "ITEM-3", "itemData" : { "author" : [ { "dropping-particle" : "", "family" : "Herrero", "given" : "C. R.", "non-dropping-particle" : "", "parse-names" : false, "suffix" : "" }, { "dropping-particle" : "", "family" : "Acosta", "given" : "J. L.", "non-dropping-particle" : "", "parse-names" : false, "suffix" : "" } ], "container-title" : "Polymer J.", "id" : "ITEM-3",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"id" : "ITEM-4", "itemData" : { "DOI" : "10.1063/1.1750380", "ISBN" : "0080431526", "ISSN" : "00219606", "author" : [ { "dropping-particle" : "", "family" : "Avrami", "given" : "M.", "non-dropping-particle" : "", "parse-names" : false, "suffix" : "" } ], "container-title" : "J. Chem. Phys.", "id" : "ITEM-4", "issue" : "12", "issued" : { "date-parts" : [ [ "1939" ] ] }, "page" : "1103-1112", "title" : "Kinetics of Phase Change. I General Theory", "type" : "article-journal", "volume" : "7" }, "uris" : [ "http://www.mendeley.com/documents/?uuid=8428bc58-e090-4f01-bc41-e51f7327e604" ] }, { "id" : "ITEM-5", "itemData" : { "DOI" : "10.1063/1.1750631", "ISSN" : "00219606", "abstract" : "Following upon the general theory in Part I, a considerable simplification is here introdced in the treatment of the case where the grain centers of the new phase are randomly distributed. Also, the kinetics of the main types of crystalline growth, such as result in polyhedral, plate.like and lineal grains, are studied. A relation between the actual transformed volume V and a related extended volume V1ex is derived upon statistical considerations. A rough approximation to this relation is shown to lead, under the proper conditions, to the empirical formulation of Austin and Rickett. The exact relation is used to reduce the entire problem to the determinatio of V1ex, in terms of which all other quantities are expressed. The approximate treatment of the beginning of transformation in the isokinetic range is shown to lead to the empirical formula of Krainer and to account quantitatively for certain relations observed in recrystallization phenomena. It is shown that the predicted shapes for isothermal transformation-time curves correspond well with the experimental data.", "author" : [ { "dropping-particle" : "", "family" : "Avrami", "given" : "M.", "non-dropping-particle" : "", "parse-names" : false, "suffix" : "" } ], "container-title" : "J. Chem. Phys.", "id" : "ITEM-5", "issued" : { "date-parts" : [ [ "1940" ] ] }, "page" : "212-224", "title" : "Kinetics of Phase Change. II - Transformation-Time Relations for Random Distribution of Nuclei", "type" : "article-journal", "volume" : "8" }, "uris" : [ "http://www.mendeley.com/documents/?uuid=8e1f3a63-729a-451e-b581-b861e38265e9" ] }, { "id" : "ITEM-6", "itemData" : { "DOI" : "10.1063/1.1750872", "ISBN" : "0021-9606", "ISSN" : "00219606", "author" : [ { "dropping-particle" : "", "family" : "Avrami", "given" : "M.", "non-dropping-particle" : "", "parse-names" : false, "suffix" : "" } ], "container-title" : "J. Chem. Phys.", "id" : "ITEM-6", "issued" : { "date-parts" : [ [ "1941" ] ] }, "page" : "177-184", "title" : "Granulation, Phase Change, and Microstructure Kinetics of Phase Change. III", "type" : "article-journal", "volume" : "9" }, "uris" : [ "http://www.mendeley.com/documents/?uuid=45aaead3-bbbb-4634-9855-73fbb4a5565e" ] } ], "mendeley" : { "formattedCitation" : "&lt;sup&gt;9\u201311,17\u201319&lt;/sup&gt;", "plainTextFormattedCitation" : "9\u201311,17\u201319", "previouslyFormattedCitation" : "&lt;sup&gt;9\u201311,17\u201319&lt;/sup&gt;" }, "properties" : { "noteIndex" : 0 }, "schema" : "https://github.com/citation-style-language/schema/raw/master/csl-citation.json" }</w:instrText>
      </w:r>
      <w:r w:rsidR="007C448A" w:rsidRPr="006B357B">
        <w:fldChar w:fldCharType="separate"/>
      </w:r>
      <w:r w:rsidR="00290E7E" w:rsidRPr="00290E7E">
        <w:rPr>
          <w:noProof/>
          <w:vertAlign w:val="superscript"/>
        </w:rPr>
        <w:t>9–11,17–19</w:t>
      </w:r>
      <w:r w:rsidR="007C448A" w:rsidRPr="006B357B">
        <w:fldChar w:fldCharType="end"/>
      </w:r>
      <w:r w:rsidR="00A273D9" w:rsidRPr="006B357B">
        <w:t xml:space="preserve"> Ozawa</w:t>
      </w:r>
      <w:r w:rsidR="00A273D9" w:rsidRPr="006B357B">
        <w:fldChar w:fldCharType="begin" w:fldLock="1"/>
      </w:r>
      <w:r w:rsidR="00600480">
        <w:instrText>ADDIN CSL_CITATION { "citationItems" : [ { "id" : "ITEM-1", "itemData" : { "author" : [ { "dropping-particle" : "", "family" : "Ozawa", "given" : "T.", "non-dropping-particle" : "", "parse-names" : false, "suffix" : "" } ], "container-title" : "Polymer", "id" : "ITEM-1", "issued" : { "date-parts" : [ [ "1971" ] ] }, "page" : "150-158", "title" : "Kinetics of non-isothermal crystallization", "type" : "article-journal", "volume" : "12" }, "uris" : [ "http://www.mendeley.com/documents/?uuid=c6b91b95-15dd-4fe0-af41-24b1bf5e0e75" ] } ], "mendeley" : { "formattedCitation" : "&lt;sup&gt;12&lt;/sup&gt;", "plainTextFormattedCitation" : "12", "previouslyFormattedCitation" : "&lt;sup&gt;12&lt;/sup&gt;" }, "properties" : { "noteIndex" : 0 }, "schema" : "https://github.com/citation-style-language/schema/raw/master/csl-citation.json" }</w:instrText>
      </w:r>
      <w:r w:rsidR="00A273D9" w:rsidRPr="006B357B">
        <w:fldChar w:fldCharType="separate"/>
      </w:r>
      <w:r w:rsidR="00290E7E" w:rsidRPr="00290E7E">
        <w:rPr>
          <w:noProof/>
          <w:vertAlign w:val="superscript"/>
        </w:rPr>
        <w:t>12</w:t>
      </w:r>
      <w:r w:rsidR="00A273D9" w:rsidRPr="006B357B">
        <w:fldChar w:fldCharType="end"/>
      </w:r>
      <w:r w:rsidR="00A273D9" w:rsidRPr="006B357B">
        <w:t xml:space="preserve"> or Avrami-Ozawa</w:t>
      </w:r>
      <w:r w:rsidR="00A273D9" w:rsidRPr="006B357B">
        <w:fldChar w:fldCharType="begin" w:fldLock="1"/>
      </w:r>
      <w:r w:rsidR="00600480">
        <w:instrText>ADDIN CSL_CITATION { "citationItems" : [ { "id" : "ITEM-1", "itemData" : { "author" : [ { "dropping-particle" : "", "family" : "Liu", "given" : "T.", "non-dropping-particle" : "", "parse-names" : false, "suffix" : "" }, { "dropping-particle" : "", "family" : "Mo", "given" : "Z.", "non-dropping-particle" : "", "parse-names" : false, "suffix" : "" }, { "dropping-particle" : "", "family" : "Wang", "given" : "S.", "non-dropping-particle" : "", "parse-names" : false, "suffix" : "" }, { "dropping-particle" : "", "family" : "Zhang", "given" : "H.", "non-dropping-particle" : "", "parse-names" : false, "suffix" : "" } ], "container-title" : "Polym. Eng. Sci.", "id" : "ITEM-1", "issued" : { "date-parts" : [ [ "1997" ] ] }, "page" : "568-575", "title" : "Nonisothermal Melt and Cold Crystallization Kinetics of Poly ( Ary1 Ether Ether Ketone Ketone )", "type" : "article-journal", "volume" : "37" }, "uris" : [ "http://www.mendeley.com/documents/?uuid=8e824de9-4cc5-483b-9b08-777970f59651" ] } ], "mendeley" : { "formattedCitation" : "&lt;sup&gt;20&lt;/sup&gt;", "plainTextFormattedCitation" : "20", "previouslyFormattedCitation" : "&lt;sup&gt;20&lt;/sup&gt;" }, "properties" : { "noteIndex" : 0 }, "schema" : "https://github.com/citation-style-language/schema/raw/master/csl-citation.json" }</w:instrText>
      </w:r>
      <w:r w:rsidR="00A273D9" w:rsidRPr="006B357B">
        <w:fldChar w:fldCharType="separate"/>
      </w:r>
      <w:r w:rsidR="00290E7E" w:rsidRPr="00290E7E">
        <w:rPr>
          <w:noProof/>
          <w:vertAlign w:val="superscript"/>
        </w:rPr>
        <w:t>20</w:t>
      </w:r>
      <w:r w:rsidR="00A273D9" w:rsidRPr="006B357B">
        <w:fldChar w:fldCharType="end"/>
      </w:r>
      <w:r w:rsidR="00F706B8" w:rsidRPr="006B357B">
        <w:t xml:space="preserve"> models</w:t>
      </w:r>
      <w:r w:rsidR="00A273D9" w:rsidRPr="006B357B">
        <w:t xml:space="preserve">. </w:t>
      </w:r>
      <w:r w:rsidR="00C500A1" w:rsidRPr="006B357B">
        <w:t>In addition, determi</w:t>
      </w:r>
      <w:r w:rsidR="00B84134" w:rsidRPr="006B357B">
        <w:t>nation</w:t>
      </w:r>
      <w:r w:rsidR="00C500A1" w:rsidRPr="006B357B">
        <w:t xml:space="preserve"> </w:t>
      </w:r>
      <w:r w:rsidR="002A686D" w:rsidRPr="006B357B">
        <w:t xml:space="preserve">of </w:t>
      </w:r>
      <w:r w:rsidR="00C500A1" w:rsidRPr="006B357B">
        <w:t>the nucleation</w:t>
      </w:r>
      <w:r w:rsidR="00B54CC3">
        <w:t>,</w:t>
      </w:r>
      <w:r w:rsidR="005256B5" w:rsidRPr="006B357B">
        <w:fldChar w:fldCharType="begin" w:fldLock="1"/>
      </w:r>
      <w:r w:rsidR="00600480">
        <w:instrText>ADDIN CSL_CITATION { "citationItems" : [ { "id" : "ITEM-1", "itemData" : { "author" : [ { "dropping-particle" : "", "family" : "Rogers", "given" : "M. A.", "non-dropping-particle" : "", "parse-names" : false, "suffix" : "" }, { "dropping-particle" : "", "family" : "Marangoni", "given" : "A. G.", "non-dropping-particle" : "", "parse-names" : false, "suffix" : "" } ], "container-title" : "Cryst. Growth Des.", "id" : "ITEM-1", "issued" : { "date-parts" : [ [ "2008" ] ] }, "page" : "4596-4601", "title" : "Non-Isothermal Nucleation and Crystallization of 12-Hydroxystearic Acid in Vegetable Oils", "type" : "article-journal", "volume" : "8" }, "uris" : [ "http://www.mendeley.com/documents/?uuid=b0cdbdb5-11f5-4cc0-9253-3cda60aa3997" ] }, { "id" : "ITEM-2", "itemData" : { "author" : [ { "dropping-particle" : "", "family" : "Lam", "given" : "R. S. H.", "non-dropping-particle" : "", "parse-names" : false, "suffix" : "" }, { "dropping-particle" : "", "family" : "Rogers", "given" : "M. A", "non-dropping-particle" : "", "parse-names" : false, "suffix" : "" } ], "container-title" : "Cryst. Growth Des.", "id" : "ITEM-2", "issued" : { "date-parts" : [ [ "2011" ] ] }, "page" : "3593-3599", "title" : "Activation Energy of Crystallization for Trihydroxystearin , Stearic Acid , and 12-Hydroxystearic Acid under Nonisothermal Cooling Conditions", "type" : "article-journal", "volume" : "11" }, "uris" : [ "http://www.mendeley.com/documents/?uuid=38a24edd-f429-4876-a366-702b450d3f42" ] } ], "mendeley" : { "formattedCitation" : "&lt;sup&gt;16,21&lt;/sup&gt;", "plainTextFormattedCitation" : "16,21", "previouslyFormattedCitation" : "&lt;sup&gt;16,21&lt;/sup&gt;" }, "properties" : { "noteIndex" : 0 }, "schema" : "https://github.com/citation-style-language/schema/raw/master/csl-citation.json" }</w:instrText>
      </w:r>
      <w:r w:rsidR="005256B5" w:rsidRPr="006B357B">
        <w:fldChar w:fldCharType="separate"/>
      </w:r>
      <w:r w:rsidR="00290E7E" w:rsidRPr="00290E7E">
        <w:rPr>
          <w:noProof/>
          <w:vertAlign w:val="superscript"/>
        </w:rPr>
        <w:t>16,21</w:t>
      </w:r>
      <w:r w:rsidR="005256B5" w:rsidRPr="006B357B">
        <w:fldChar w:fldCharType="end"/>
      </w:r>
      <w:r w:rsidR="00C500A1" w:rsidRPr="006B357B">
        <w:t xml:space="preserve"> growth rates</w:t>
      </w:r>
      <w:r w:rsidR="00A273D9" w:rsidRPr="006B357B">
        <w:fldChar w:fldCharType="begin" w:fldLock="1"/>
      </w:r>
      <w:r w:rsidR="00600480">
        <w:instrText>ADDIN CSL_CITATION { "citationItems" : [ { "id" : "ITEM-1", "itemData" : { "DOI" : "10.1016/j.cplett.2005.11.085", "author" : [ { "dropping-particle" : "", "family" : "Marangoni", "given" : "A. G.", "non-dropping-particle" : "", "parse-names" : false, "suffix" : "" }, { "dropping-particle" : "", "family" : "Tang", "given" : "D.", "non-dropping-particle" : "", "parse-names" : false, "suffix" : "" }, { "dropping-particle" : "", "family" : "Singh", "given" : "A. P.", "non-dropping-particle" : "", "parse-names" : false, "suffix" : "" } ], "container-title" : "Chem. Phys. Lett.", "id" : "ITEM-1", "issued" : { "date-parts" : [ [ "2006" ] ] }, "page" : "259-264", "title" : "Non-isothermal nucleation of triacylglycerol melts", "type" : "article-journal", "volume" : "419" }, "uris" : [ "http://www.mendeley.com/documents/?uuid=c09e1348-ec85-4896-b6a0-6a2616627b12" ] } ], "mendeley" : { "formattedCitation" : "&lt;sup&gt;14&lt;/sup&gt;", "plainTextFormattedCitation" : "14", "previouslyFormattedCitation" : "&lt;sup&gt;14&lt;/sup&gt;" }, "properties" : { "noteIndex" : 0 }, "schema" : "https://github.com/citation-style-language/schema/raw/master/csl-citation.json" }</w:instrText>
      </w:r>
      <w:r w:rsidR="00A273D9" w:rsidRPr="006B357B">
        <w:fldChar w:fldCharType="separate"/>
      </w:r>
      <w:r w:rsidR="00290E7E" w:rsidRPr="00290E7E">
        <w:rPr>
          <w:noProof/>
          <w:vertAlign w:val="superscript"/>
        </w:rPr>
        <w:t>14</w:t>
      </w:r>
      <w:r w:rsidR="00A273D9" w:rsidRPr="006B357B">
        <w:fldChar w:fldCharType="end"/>
      </w:r>
      <w:r w:rsidR="00A273D9" w:rsidRPr="006B357B">
        <w:t xml:space="preserve"> </w:t>
      </w:r>
      <w:r w:rsidR="00C500A1" w:rsidRPr="006B357B">
        <w:t xml:space="preserve">and </w:t>
      </w:r>
      <w:r w:rsidR="0068435E">
        <w:t xml:space="preserve">the </w:t>
      </w:r>
      <w:r w:rsidR="00C500A1" w:rsidRPr="006B357B">
        <w:t>metastable zone width (</w:t>
      </w:r>
      <w:r w:rsidR="00A273D9" w:rsidRPr="006B357B">
        <w:t>MSZW</w:t>
      </w:r>
      <w:r w:rsidR="00C500A1" w:rsidRPr="006B357B">
        <w:t>)</w:t>
      </w:r>
      <w:r w:rsidR="00A273D9" w:rsidRPr="006B357B">
        <w:fldChar w:fldCharType="begin" w:fldLock="1"/>
      </w:r>
      <w:r w:rsidR="00600480">
        <w:instrText>ADDIN CSL_CITATION { "citationItems" : [ { "id" : "ITEM-1", "itemData" : { "author" : [ { "dropping-particle" : "", "family" : "Lyczko", "given" : "N.", "non-dropping-particle" : "", "parse-names" : false, "suffix" : "" }, { "dropping-particle" : "", "family" : "Espitalier", "given" : "F.", "non-dropping-particle" : "", "parse-names" : false, "suffix" : "" }, { "dropping-particle" : "", "family" : "Louisnard", "given" : "O.", "non-dropping-particle" : "", "parse-names" : false, "suffix" : "" }, { "dropping-particle" : "", "family" : "Schwartzentruber", "given" : "J.", "non-dropping-particle" : "", "parse-names" : false, "suffix" : "" } ], "container-title" : "Chem. Eng. J.", "id" : "ITEM-1", "issued" : { "date-parts" : [ [ "2002" ] ] }, "page" : "233-241", "title" : "Effect of ultrasound on the induction time and the metastable zone widths of potassium sulphate", "type" : "article-journal", "volume" : "86" }, "uris" : [ "http://www.mendeley.com/documents/?uuid=d2eb50f0-52d5-495a-ae82-c42d91249036" ] }, { "id" : "ITEM-2", "itemData" : { "author" : [ { "dropping-particle" : "", "family" : "Kadam", "given" : "S. S.", "non-dropping-particle" : "", "parse-names" : false, "suffix" : "" }, { "dropping-particle" : "", "family" : "Kramer", "given" : "H. J. M.", "non-dropping-particle" : "", "parse-names" : false, "suffix" : "" }, { "dropping-particle" : "ter", "family" : "Horst", "given" : "J. H.", "non-dropping-particle" : "", "parse-names" : false, "suffix" : "" } ], "container-title" : "Cryst. Growth Des.", "id" : "ITEM-2", "issued" : { "date-parts" : [ [ "2011" ] ] }, "page" : "1271-1277", "title" : "Combination of a Single Primary Nucleation Event and Secondary Nucleation in Crystallization Processes", "type" : "article-journal", "volume" : "11" }, "uris" : [ "http://www.mendeley.com/documents/?uuid=1c53fe42-04e1-4f79-96ae-1ce69e45e364" ] }, { "id" : "ITEM-3", "itemData" : { "author" : [ { "dropping-particle" : "", "family" : "Sangwal", "given" : "K.", "non-dropping-particle" : "", "parse-names" : false, "suffix" : "" } ], "container-title" : "Cryst. Growth Des.", "id" : "ITEM-3", "issued" : { "date-parts" : [ [ "2009" ] ] }, "page" : "942-950", "title" : "Novel Approach to Analyze Metastable Zone Width Determined by the Polythermal Method : Physical Interpretation of Various Parameters", "type" : "article-journal", "volume" : "9" }, "uris" : [ "http://www.mendeley.com/documents/?uuid=2e64934c-5c4c-4ca4-b76c-a64e42d97e9b" ] }, { "id" : "ITEM-4", "itemData" : { "author" : [ { "dropping-particle" : "", "family" : "J. N\u00fdvlt", "given" : "", "non-dropping-particle" : "", "parse-names" : false, "suffix" : "" } ], "container-title" : "J. Cryst. Growth", "id" : "ITEM-4", "issued" : { "date-parts" : [ [ "1968" ] ] }, "page" : "377-383", "title" : "Kinetics of Nucleation in Solutions", "type" : "article-journal", "volume" : "3,4" }, "uris" : [ "http://www.mendeley.com/documents/?uuid=d2062cdd-c86c-403d-b0f2-75b5e8e58feb" ] } ], "mendeley" : { "formattedCitation" : "&lt;sup&gt;15,22\u201324&lt;/sup&gt;", "plainTextFormattedCitation" : "15,22\u201324", "previouslyFormattedCitation" : "&lt;sup&gt;15,22\u201324&lt;/sup&gt;" }, "properties" : { "noteIndex" : 0 }, "schema" : "https://github.com/citation-style-language/schema/raw/master/csl-citation.json" }</w:instrText>
      </w:r>
      <w:r w:rsidR="00A273D9" w:rsidRPr="006B357B">
        <w:fldChar w:fldCharType="separate"/>
      </w:r>
      <w:r w:rsidR="00290E7E" w:rsidRPr="00290E7E">
        <w:rPr>
          <w:noProof/>
          <w:vertAlign w:val="superscript"/>
        </w:rPr>
        <w:t>15,22–24</w:t>
      </w:r>
      <w:r w:rsidR="00A273D9" w:rsidRPr="006B357B">
        <w:fldChar w:fldCharType="end"/>
      </w:r>
      <w:r w:rsidR="002A5EB3" w:rsidRPr="006B357B">
        <w:t xml:space="preserve"> provide</w:t>
      </w:r>
      <w:r w:rsidR="009D6AD6">
        <w:t>s</w:t>
      </w:r>
      <w:r w:rsidR="002A5EB3" w:rsidRPr="006B357B">
        <w:t xml:space="preserve"> </w:t>
      </w:r>
      <w:r w:rsidR="0068435E">
        <w:t xml:space="preserve">a useful means to </w:t>
      </w:r>
      <w:r w:rsidR="00500FBD">
        <w:t xml:space="preserve"> </w:t>
      </w:r>
      <w:r w:rsidR="00D40657">
        <w:t>regulat</w:t>
      </w:r>
      <w:r w:rsidR="0068435E">
        <w:t>e</w:t>
      </w:r>
      <w:r w:rsidR="002A686D" w:rsidRPr="006B357B">
        <w:t xml:space="preserve"> </w:t>
      </w:r>
      <w:r w:rsidR="007A7C23">
        <w:t>crystallization</w:t>
      </w:r>
      <w:r w:rsidR="002A5EB3" w:rsidRPr="006B357B">
        <w:t>.</w:t>
      </w:r>
    </w:p>
    <w:p w14:paraId="43AFD92F" w14:textId="6F447501" w:rsidR="003028EE" w:rsidRPr="003028EE" w:rsidRDefault="003657D1" w:rsidP="00CD6920">
      <w:pPr>
        <w:pStyle w:val="TAMainText"/>
        <w:rPr>
          <w:color w:val="FF0000"/>
        </w:rPr>
      </w:pPr>
      <w:r w:rsidRPr="00BC6436">
        <w:t>Sodium dodecyl sulfate (SDS), also termed sodium lauryl sulfate</w:t>
      </w:r>
      <w:r w:rsidR="0068435E">
        <w:t xml:space="preserve"> (SLS), depicted in </w:t>
      </w:r>
      <w:r w:rsidR="0068435E" w:rsidRPr="00BC6436">
        <w:t>Figure 1(a)</w:t>
      </w:r>
      <w:r w:rsidR="0068435E">
        <w:t>,</w:t>
      </w:r>
      <w:r w:rsidR="0068435E" w:rsidRPr="00BC6436">
        <w:t xml:space="preserve"> </w:t>
      </w:r>
      <w:r w:rsidR="0068435E">
        <w:t>is an anionic surfactant</w:t>
      </w:r>
      <w:r w:rsidR="004464F8">
        <w:t>, ubiquitous</w:t>
      </w:r>
      <w:r w:rsidR="00314DF1">
        <w:t>ly used</w:t>
      </w:r>
      <w:r w:rsidR="004464F8">
        <w:t xml:space="preserve"> in detergent</w:t>
      </w:r>
      <w:r w:rsidR="00314DF1">
        <w:t>s</w:t>
      </w:r>
      <w:r w:rsidR="006078D7" w:rsidRPr="00290E7E">
        <w:rPr>
          <w:noProof/>
          <w:vertAlign w:val="superscript"/>
        </w:rPr>
        <w:t>3,25,26</w:t>
      </w:r>
      <w:r w:rsidR="006078D7">
        <w:rPr>
          <w:noProof/>
          <w:vertAlign w:val="superscript"/>
        </w:rPr>
        <w:t xml:space="preserve"> </w:t>
      </w:r>
      <w:r w:rsidR="00314DF1">
        <w:t>and</w:t>
      </w:r>
      <w:r w:rsidR="006078D7" w:rsidRPr="006078D7">
        <w:t xml:space="preserve"> emulsions</w:t>
      </w:r>
      <w:r w:rsidR="006078D7">
        <w:t>.</w:t>
      </w:r>
      <w:r w:rsidR="006078D7" w:rsidRPr="00BC6436">
        <w:fldChar w:fldCharType="begin" w:fldLock="1"/>
      </w:r>
      <w:r w:rsidR="006078D7">
        <w:instrText>ADDIN CSL_CITATION { "citationItems" : [ { "id" : "ITEM-1", "itemData" : { "edition" : "1st", "editor" : [ { "dropping-particle" : "", "family" : "Hargreaves", "given" : "A. E.", "non-dropping-particle" : "", "parse-names" : false, "suffix" : "" } ], "id" : "ITEM-1", "issued" : { "date-parts" : [ [ "2003" ] ] }, "publisher" : "Royal Society of Chemistry", "publisher-place" : "London", "title" : "Chemical Formulation: An Overview of Surfactant Based Chemical Preparations Used in Everyday Life", "type" : "book" }, "uris" : [ "http://www.mendeley.com/documents/?uuid=1cfe30ec-4a21-4c9e-acdc-defa5fdb0a6a" ] }, { "id" : "ITEM-2", "itemData" : { "chapter-number" : "1&amp;5", "container-title" : "Surfactants and Interfacial Phenomena", "edition" : "3rd", "editor" : [ { "dropping-particle" : "", "family" : "Rosen", "given" : "M. J.", "non-dropping-particle" : "", "parse-names" : false, "suffix" : "" } ], "id" : "ITEM-2", "issued" : { "date-parts" : [ [ "2004" ] ] }, "page" : "1-33 &amp; 208-242", "publisher" : "Wiley", "publisher-place" : "New Jersey", "title" : "Surfactants and Interfacial Phenomena", "type" : "chapter" }, "uris" : [ "http://www.mendeley.com/documents/?uuid=8d56138c-4711-46e4-bb9e-0a946d00fd53" ] }, { "id" : "ITEM-3", "itemData" : { "author" : [ { "dropping-particle" : "", "family" : "Bibette", "given" : "J.", "non-dropping-particle" : "", "parse-names" : false, "suffix" : "" }, { "dropping-particle" : "", "family" : "Calderon", "given" : "F. L.", "non-dropping-particle" : "", "parse-names" : false, "suffix" : "" }, { "dropping-particle" : "", "family" : "Poulin", "given" : "P.", "non-dropping-particle" : "", "parse-names" : false, "suffix" : "" } ], "container-title" : "Rep. Prog. Phys.", "id" : "ITEM-3", "issued" : { "date-parts" : [ [ "1999" ] ] }, "page" : "969-1033", "title" : "Emulsions : basic principles", "type" : "article-journal", "volume" : "62" }, "uris" : [ "http://www.mendeley.com/documents/?uuid=629c83dc-1b59-453d-9091-e6f9a3f4a2a4" ] } ], "mendeley" : { "formattedCitation" : "&lt;sup&gt;3,25,27&lt;/sup&gt;", "plainTextFormattedCitation" : "3,25,27", "previouslyFormattedCitation" : "&lt;sup&gt;3,25,27&lt;/sup&gt;" }, "properties" : { "noteIndex" : 0 }, "schema" : "https://github.com/citation-style-language/schema/raw/master/csl-citation.json" }</w:instrText>
      </w:r>
      <w:r w:rsidR="006078D7" w:rsidRPr="00BC6436">
        <w:fldChar w:fldCharType="separate"/>
      </w:r>
      <w:r w:rsidR="006078D7" w:rsidRPr="00290E7E">
        <w:rPr>
          <w:noProof/>
          <w:vertAlign w:val="superscript"/>
        </w:rPr>
        <w:t>27</w:t>
      </w:r>
      <w:r w:rsidR="006078D7" w:rsidRPr="00BC6436">
        <w:fldChar w:fldCharType="end"/>
      </w:r>
      <w:r w:rsidRPr="00BC6436">
        <w:t xml:space="preserve"> Equilibrium structures and transition temperatures for the SDS-H</w:t>
      </w:r>
      <w:r w:rsidRPr="00BC6436">
        <w:rPr>
          <w:vertAlign w:val="subscript"/>
        </w:rPr>
        <w:t>2</w:t>
      </w:r>
      <w:r w:rsidRPr="00BC6436">
        <w:t xml:space="preserve">O system have been established using </w:t>
      </w:r>
      <w:r w:rsidR="0068435E">
        <w:t>DSC</w:t>
      </w:r>
      <w:r w:rsidRPr="00BC6436">
        <w:t>,</w:t>
      </w:r>
      <w:r w:rsidRPr="00BC6436">
        <w:fldChar w:fldCharType="begin" w:fldLock="1"/>
      </w:r>
      <w:r w:rsidR="00600480">
        <w:instrText>ADDIN CSL_CITATION { "citationItems" : [ { "id" : "ITEM-1", "itemData" : { "author" : [ { "dropping-particle" : "", "family" : "K\u00e9kicheff", "given" : "P.", "non-dropping-particle" : "", "parse-names" : false, "suffix" : "" }, { "dropping-particle" : "", "family" : "Grabielle-Madelmont", "given" : "C.", "non-dropping-particle" : "", "parse-names" : false, "suffix" : "" }, { "dropping-particle" : "", "family" : "Ollivon", "given" : "M.", "non-dropping-particle" : "", "parse-names" : false, "suffix" : "" } ], "container-title" : "J. Colloid Interface Sci.", "id" : "ITEM-1", "issued" : { "date-parts" : [ [ "1989" ] ] }, "page" : "112-132", "title" : "Phase Diagram of Sodium Dodecyl Sulfate-Water System : I", "type" : "article-journal", "volume" : "131" }, "uris" : [ "http://www.mendeley.com/documents/?uuid=4ac19c05-69e5-4e91-974e-090bf1d463a4" ] } ], "mendeley" : { "formattedCitation" : "&lt;sup&gt;28&lt;/sup&gt;", "plainTextFormattedCitation" : "28", "previouslyFormattedCitation" : "&lt;sup&gt;28&lt;/sup&gt;" }, "properties" : { "noteIndex" : 0 }, "schema" : "https://github.com/citation-style-language/schema/raw/master/csl-citation.json" }</w:instrText>
      </w:r>
      <w:r w:rsidRPr="00BC6436">
        <w:fldChar w:fldCharType="separate"/>
      </w:r>
      <w:r w:rsidR="00290E7E" w:rsidRPr="00290E7E">
        <w:rPr>
          <w:noProof/>
          <w:vertAlign w:val="superscript"/>
        </w:rPr>
        <w:t>28</w:t>
      </w:r>
      <w:r w:rsidRPr="00BC6436">
        <w:fldChar w:fldCharType="end"/>
      </w:r>
      <w:r w:rsidRPr="00BC6436">
        <w:t xml:space="preserve"> optical microscopy, nuclear magnetic resonance (NMR) spectroscopy and X-ray</w:t>
      </w:r>
      <w:r w:rsidR="0068435E">
        <w:t xml:space="preserve"> diffraction,</w:t>
      </w:r>
      <w:r w:rsidRPr="00BC6436">
        <w:fldChar w:fldCharType="begin" w:fldLock="1"/>
      </w:r>
      <w:r w:rsidR="00600480">
        <w:instrText>ADDIN CSL_CITATION { "citationItems" : [ { "id" : "ITEM-1", "itemData" : { "author" : [ { "dropping-particle" : "", "family" : "K\u00e9kicheff", "given" : "P", "non-dropping-particle" : "", "parse-names" : false, "suffix" : "" } ], "container-title" : "J. Colloid Interface Sci.", "id" : "ITEM-1", "issued" : { "date-parts" : [ [ "1989" ] ] }, "page" : "133-152", "title" : "Phase Diagram of Sodium Dodecyl Sulfate-Water System", "type" : "article-journal", "volume" : "131" }, "uris" : [ "http://www.mendeley.com/documents/?uuid=ec6bed48-af08-411c-afbf-4bf006ece8f1" ] } ], "mendeley" : { "formattedCitation" : "&lt;sup&gt;29&lt;/sup&gt;", "plainTextFormattedCitation" : "29", "previouslyFormattedCitation" : "&lt;sup&gt;29&lt;/sup&gt;" }, "properties" : { "noteIndex" : 0 }, "schema" : "https://github.com/citation-style-language/schema/raw/master/csl-citation.json" }</w:instrText>
      </w:r>
      <w:r w:rsidRPr="00BC6436">
        <w:fldChar w:fldCharType="separate"/>
      </w:r>
      <w:r w:rsidR="00290E7E" w:rsidRPr="00290E7E">
        <w:rPr>
          <w:noProof/>
          <w:vertAlign w:val="superscript"/>
        </w:rPr>
        <w:t>29</w:t>
      </w:r>
      <w:r w:rsidRPr="00BC6436">
        <w:fldChar w:fldCharType="end"/>
      </w:r>
      <w:r w:rsidRPr="00BC6436">
        <w:t xml:space="preserve"> </w:t>
      </w:r>
      <w:r w:rsidR="00314DF1">
        <w:t xml:space="preserve">and </w:t>
      </w:r>
      <w:r w:rsidR="0068435E">
        <w:t xml:space="preserve">its </w:t>
      </w:r>
      <w:r w:rsidR="008E61D4">
        <w:t xml:space="preserve">(partial) </w:t>
      </w:r>
      <w:r w:rsidRPr="00BC6436">
        <w:t xml:space="preserve">phase diagram </w:t>
      </w:r>
      <w:r w:rsidR="0068435E">
        <w:t xml:space="preserve">is </w:t>
      </w:r>
      <w:r w:rsidR="008E61D4">
        <w:t>shown</w:t>
      </w:r>
      <w:r w:rsidRPr="00BC6436">
        <w:t xml:space="preserve"> Figure 1(b).</w:t>
      </w:r>
      <w:r w:rsidRPr="00BC6436">
        <w:fldChar w:fldCharType="begin" w:fldLock="1"/>
      </w:r>
      <w:r w:rsidR="00600480">
        <w:instrText>ADDIN CSL_CITATION { "citationItems" : [ { "id" : "ITEM-1", "itemData" : { "author" : [ { "dropping-particle" : "", "family" : "K\u00e9kicheff", "given" : "P.", "non-dropping-particle" : "", "parse-names" : false, "suffix" : "" }, { "dropping-particle" : "", "family" : "Grabielle-Madelmont", "given" : "C.", "non-dropping-particle" : "", "parse-names" : false, "suffix" : "" }, { "dropping-particle" : "", "family" : "Ollivon", "given" : "M.", "non-dropping-particle" : "", "parse-names" : false, "suffix" : "" } ], "container-title" : "J. Colloid Interface Sci.", "id" : "ITEM-1", "issued" : { "date-parts" : [ [ "1989" ] ] }, "page" : "112-132", "title" : "Phase Diagram of Sodium Dodecyl Sulfate-Water System : I", "type" : "article-journal", "volume" : "131" }, "uris" : [ "http://www.mendeley.com/documents/?uuid=4ac19c05-69e5-4e91-974e-090bf1d463a4" ] }, { "id" : "ITEM-2", "itemData" : { "author" : [ { "dropping-particle" : "", "family" : "Fontell", "given" : "K.", "non-dropping-particle" : "", "parse-names" : false, "suffix" : "" } ], "container-title" : "Mol. Cryst. Liq. Cryst.", "id" : "ITEM-2", "issued" : { "date-parts" : [ [ "1981" ] ] }, "page" : "59-82", "title" : "Liquid crystallinity in lipid-water systems", "type" : "article-journal", "volume" : "63" }, "uris" : [ "http://www.mendeley.com/documents/?uuid=f50979af-953d-4d63-99ad-d967cf846886" ] } ], "mendeley" : { "formattedCitation" : "&lt;sup&gt;28,30&lt;/sup&gt;", "plainTextFormattedCitation" : "28,30", "previouslyFormattedCitation" : "&lt;sup&gt;28,30&lt;/sup&gt;" }, "properties" : { "noteIndex" : 0 }, "schema" : "https://github.com/citation-style-language/schema/raw/master/csl-citation.json" }</w:instrText>
      </w:r>
      <w:r w:rsidRPr="00BC6436">
        <w:fldChar w:fldCharType="separate"/>
      </w:r>
      <w:r w:rsidR="00290E7E" w:rsidRPr="00290E7E">
        <w:rPr>
          <w:noProof/>
          <w:vertAlign w:val="superscript"/>
        </w:rPr>
        <w:t>28,30</w:t>
      </w:r>
      <w:r w:rsidRPr="00BC6436">
        <w:fldChar w:fldCharType="end"/>
      </w:r>
      <w:r w:rsidRPr="00BC6436">
        <w:t xml:space="preserve"> </w:t>
      </w:r>
      <w:r w:rsidR="005A260F" w:rsidRPr="00BC6436">
        <w:t>Studies on the crystallization of SDS-H</w:t>
      </w:r>
      <w:r w:rsidR="005A260F" w:rsidRPr="00BC6436">
        <w:rPr>
          <w:vertAlign w:val="subscript"/>
        </w:rPr>
        <w:t>2</w:t>
      </w:r>
      <w:r w:rsidR="005A260F" w:rsidRPr="00BC6436">
        <w:t xml:space="preserve">O have </w:t>
      </w:r>
      <w:r w:rsidR="00E25C38" w:rsidRPr="00BC6436">
        <w:t>established</w:t>
      </w:r>
      <w:r w:rsidR="005A260F" w:rsidRPr="00BC6436">
        <w:t xml:space="preserve"> t</w:t>
      </w:r>
      <w:r w:rsidR="00A273D9" w:rsidRPr="00BC6436">
        <w:t xml:space="preserve">he single crystal structure of </w:t>
      </w:r>
      <w:r w:rsidR="00A273D9" w:rsidRPr="00BC6436">
        <w:lastRenderedPageBreak/>
        <w:t xml:space="preserve">four </w:t>
      </w:r>
      <w:r w:rsidR="00384D8C" w:rsidRPr="00BC6436">
        <w:t>(</w:t>
      </w:r>
      <w:r w:rsidR="00A273D9" w:rsidRPr="00BC6436">
        <w:t>of five</w:t>
      </w:r>
      <w:r w:rsidR="00384D8C" w:rsidRPr="00BC6436">
        <w:t>)</w:t>
      </w:r>
      <w:r w:rsidR="007D5541">
        <w:t xml:space="preserve"> hydrates:</w:t>
      </w:r>
      <w:r w:rsidR="00384D8C" w:rsidRPr="00BC6436">
        <w:t xml:space="preserve"> the</w:t>
      </w:r>
      <w:r w:rsidR="00A273D9" w:rsidRPr="00BC6436">
        <w:t xml:space="preserve"> anhydrous,</w:t>
      </w:r>
      <w:r w:rsidR="00A273D9" w:rsidRPr="00BC6436">
        <w:fldChar w:fldCharType="begin" w:fldLock="1"/>
      </w:r>
      <w:r w:rsidR="00600480">
        <w:instrText>ADDIN CSL_CITATION { "citationItems" : [ { "id" : "ITEM-1", "itemData" : { "author" : [ { "dropping-particle" : "", "family" : "Smith", "given" : "L. A.", "non-dropping-particle" : "", "parse-names" : false, "suffix" : "" }, { "dropping-particle" : "", "family" : "Hammond", "given" : "R.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Mol. Struct.", "id" : "ITEM-1", "issued" : { "date-parts" : [ [ "2000" ] ] }, "page" : "173-182", "title" : "Determination of the crystal structure of anhydrous sodium dodecyl sulphate using a combination of synchrotron radiation powder diffraction and molecular modelling techniques", "type" : "article-journal", "volume" : "554" }, "uris" : [ "http://www.mendeley.com/documents/?uuid=ff7f5155-d748-465e-befd-48c77c9ff70d" ] } ], "mendeley" : { "formattedCitation" : "&lt;sup&gt;31&lt;/sup&gt;", "plainTextFormattedCitation" : "31", "previouslyFormattedCitation" : "&lt;sup&gt;31&lt;/sup&gt;" }, "properties" : { "noteIndex" : 0 }, "schema" : "https://github.com/citation-style-language/schema/raw/master/csl-citation.json" }</w:instrText>
      </w:r>
      <w:r w:rsidR="00A273D9" w:rsidRPr="00BC6436">
        <w:fldChar w:fldCharType="separate"/>
      </w:r>
      <w:r w:rsidR="00290E7E" w:rsidRPr="00290E7E">
        <w:rPr>
          <w:noProof/>
          <w:vertAlign w:val="superscript"/>
        </w:rPr>
        <w:t>31</w:t>
      </w:r>
      <w:r w:rsidR="00A273D9" w:rsidRPr="00BC6436">
        <w:fldChar w:fldCharType="end"/>
      </w:r>
      <w:r w:rsidR="00A273D9" w:rsidRPr="00BC6436">
        <w:t xml:space="preserve"> 1/8,</w:t>
      </w:r>
      <w:r w:rsidR="00A273D9" w:rsidRPr="00BC6436">
        <w:fldChar w:fldCharType="begin" w:fldLock="1"/>
      </w:r>
      <w:r w:rsidR="00600480">
        <w:instrText>ADDIN CSL_CITATION { "citationItems" : [ { "id" : "ITEM-1", "itemData" : { "author" : [ { "dropping-particle" : "", "family" : "Sundell", "given" : "S.", "non-dropping-particle" : "", "parse-names" : false, "suffix" : "" } ], "container-title" : "Acta Chem. Scand.", "id" : "ITEM-1", "issued" : { "date-parts" : [ [ "1977" ] ] }, "page" : "799-807", "title" : "The Crystal Structure of Sodium Dodecyl Sulfate", "type" : "article-journal", "volume" : "A31" }, "uris" : [ "http://www.mendeley.com/documents/?uuid=1d032678-55cc-466d-bd65-6b2a3b802ef0" ] } ], "mendeley" : { "formattedCitation" : "&lt;sup&gt;32&lt;/sup&gt;", "plainTextFormattedCitation" : "32", "previouslyFormattedCitation" : "&lt;sup&gt;32&lt;/sup&gt;" }, "properties" : { "noteIndex" : 0 }, "schema" : "https://github.com/citation-style-language/schema/raw/master/csl-citation.json" }</w:instrText>
      </w:r>
      <w:r w:rsidR="00A273D9" w:rsidRPr="00BC6436">
        <w:fldChar w:fldCharType="separate"/>
      </w:r>
      <w:r w:rsidR="00290E7E" w:rsidRPr="00290E7E">
        <w:rPr>
          <w:noProof/>
          <w:vertAlign w:val="superscript"/>
        </w:rPr>
        <w:t>32</w:t>
      </w:r>
      <w:r w:rsidR="00A273D9" w:rsidRPr="00BC6436">
        <w:fldChar w:fldCharType="end"/>
      </w:r>
      <w:r w:rsidR="00A273D9" w:rsidRPr="00BC6436">
        <w:t xml:space="preserve"> hemihydrate</w:t>
      </w:r>
      <w:r w:rsidR="00A273D9" w:rsidRPr="00BC6436">
        <w:fldChar w:fldCharType="begin" w:fldLock="1"/>
      </w:r>
      <w:r w:rsidR="00600480">
        <w:instrText>ADDIN CSL_CITATION { "citationItems" : [ { "id" : "ITEM-1", "itemData" : { "DOI" : "10.1107/S0108270186093757", "ISSN" : "01082701", "author" : [ { "dropping-particle" : "", "family" : "Coiro", "given" : "V. M.", "non-dropping-particle" : "", "parse-names" : false, "suffix" : "" }, { "dropping-particle" : "", "family" : "Mazza", "given" : "F.", "non-dropping-particle" : "", "parse-names" : false, "suffix" : "" }, { "dropping-particle" : "", "family" : "Pochetti", "given" : "G.", "non-dropping-particle" : "", "parse-names" : false, "suffix" : "" } ], "container-title" : "Acta Crystallogr.", "id" : "ITEM-1", "issued" : { "date-parts" : [ [ "1986" ] ] }, "page" : "991-995", "title" : "Crystal phases obtained from aqueous solutions of sodium dodecyl sulfate. The structure of a monoclinic phase of sodium dodecyl sulfate hemihydrate", "type" : "article-journal", "volume" : "C42" }, "uris" : [ "http://www.mendeley.com/documents/?uuid=cd094a77-2bbc-431b-af38-86a0f8bbb511" ] } ], "mendeley" : { "formattedCitation" : "&lt;sup&gt;33&lt;/sup&gt;", "plainTextFormattedCitation" : "33", "previouslyFormattedCitation" : "&lt;sup&gt;33&lt;/sup&gt;" }, "properties" : { "noteIndex" : 0 }, "schema" : "https://github.com/citation-style-language/schema/raw/master/csl-citation.json" }</w:instrText>
      </w:r>
      <w:r w:rsidR="00A273D9" w:rsidRPr="00BC6436">
        <w:fldChar w:fldCharType="separate"/>
      </w:r>
      <w:r w:rsidR="00290E7E" w:rsidRPr="00290E7E">
        <w:rPr>
          <w:noProof/>
          <w:vertAlign w:val="superscript"/>
        </w:rPr>
        <w:t>33</w:t>
      </w:r>
      <w:r w:rsidR="00A273D9" w:rsidRPr="00BC6436">
        <w:fldChar w:fldCharType="end"/>
      </w:r>
      <w:r w:rsidR="00A273D9" w:rsidRPr="00BC6436">
        <w:t xml:space="preserve"> and monohydrate,</w:t>
      </w:r>
      <w:r w:rsidR="00A273D9" w:rsidRPr="00BC6436">
        <w:fldChar w:fldCharType="begin" w:fldLock="1"/>
      </w:r>
      <w:r w:rsidR="00600480">
        <w:instrText>ADDIN CSL_CITATION { "citationItems" : [ { "id" : "ITEM-1", "itemData" : { "DOI" : "10.1107/S010827018709382X", "ISSN" : "01082701", "author" : [ { "dropping-particle" : "", "family" : "Coiro", "given" : "V. M.", "non-dropping-particle" : "", "parse-names" : false, "suffix" : "" }, { "dropping-particle" : "", "family" : "Manigrasso", "given" : "M.", "non-dropping-particle" : "", "parse-names" : false, "suffix" : "" }, { "dropping-particle" : "", "family" : "Mazza", "given" : "F.", "non-dropping-particle" : "", "parse-names" : false, "suffix" : "" }, { "dropping-particle" : "", "family" : "Pochetti", "given" : "G.", "non-dropping-particle" : "", "parse-names" : false, "suffix" : "" } ], "container-title" : "Acta Crystallogr.", "id" : "ITEM-1", "issued" : { "date-parts" : [ [ "1987" ] ] }, "page" : "850-854", "title" : "Structure of a triclinic phase of sodium dodecyl sulfate monohydrate. A comparison with other sodium dodecyl sulfate crystal phases", "type" : "article-journal", "volume" : "C43" }, "uris" : [ "http://www.mendeley.com/documents/?uuid=b5fc0a8c-25c6-4d66-bc76-e17902ed6947" ] } ], "mendeley" : { "formattedCitation" : "&lt;sup&gt;34&lt;/sup&gt;", "plainTextFormattedCitation" : "34", "previouslyFormattedCitation" : "&lt;sup&gt;34&lt;/sup&gt;" }, "properties" : { "noteIndex" : 0 }, "schema" : "https://github.com/citation-style-language/schema/raw/master/csl-citation.json" }</w:instrText>
      </w:r>
      <w:r w:rsidR="00A273D9" w:rsidRPr="00BC6436">
        <w:fldChar w:fldCharType="separate"/>
      </w:r>
      <w:r w:rsidR="00290E7E" w:rsidRPr="00290E7E">
        <w:rPr>
          <w:noProof/>
          <w:vertAlign w:val="superscript"/>
        </w:rPr>
        <w:t>34</w:t>
      </w:r>
      <w:r w:rsidR="00A273D9" w:rsidRPr="00BC6436">
        <w:fldChar w:fldCharType="end"/>
      </w:r>
      <w:r w:rsidR="00A273D9" w:rsidRPr="00BC6436">
        <w:t xml:space="preserve"> but not the dihydrate. An additional form similar to the 1/8</w:t>
      </w:r>
      <w:r w:rsidR="00384D8C" w:rsidRPr="00BC6436">
        <w:t xml:space="preserve">, called the “alpha” phase, has also been </w:t>
      </w:r>
      <w:r w:rsidR="00A273D9" w:rsidRPr="00BC6436">
        <w:t>reported.</w:t>
      </w:r>
      <w:r w:rsidR="00A273D9" w:rsidRPr="00BC6436">
        <w:fldChar w:fldCharType="begin" w:fldLock="1"/>
      </w:r>
      <w:r w:rsidR="00600480">
        <w:instrText>ADDIN CSL_CITATION { "citationItems" : [ { "id" : "ITEM-1", "itemData" : { "author" : [ { "dropping-particle" : "", "family" : "Rawlings", "given" : "F. F. Jr.", "non-dropping-particle" : "", "parse-names" : false, "suffix" : "" }, { "dropping-particle" : "", "family" : "Lingafelter", "given" : "E. C.", "non-dropping-particle" : "", "parse-names" : false, "suffix" : "" } ], "container-title" : "J. Am. Chem. Soc", "id" : "ITEM-1", "issued" : { "date-parts" : [ [ "1950" ] ] }, "page" : "1852", "title" : "The Alpha Phase of Sodium Dodecyl Sulfate", "type" : "article-journal", "volume" : "72" }, "uris" : [ "http://www.mendeley.com/documents/?uuid=5c6523e1-5cba-480d-ac14-18a61f6ca339", "http://www.mendeley.com/documents/?uuid=28fcd3c4-fd82-4170-a96d-9ead4d097b69" ] }, { "id" : "ITEM-2", "itemData" : { "author" : [ { "dropping-particle" : "", "family" : "Rawlings", "given" : "F. F. Jr.", "non-dropping-particle" : "", "parse-names" : false, "suffix" : "" }, { "dropping-particle" : "", "family" : "Lingafelter", "given" : "E. C.", "non-dropping-particle" : "", "parse-names" : false, "suffix" : "" } ], "container-title" : "J. Am. Chem. Soc", "id" : "ITEM-2", "issued" : { "date-parts" : [ [ "1955" ] ] }, "page" : "870-872", "title" : "X-Ray Crystallography of the Sodium n-Alkyl Sulfates", "type" : "article-journal", "volume" : "77" }, "uris" : [ "http://www.mendeley.com/documents/?uuid=2488936d-f72e-4bc9-b588-1b6535200c4e", "http://www.mendeley.com/documents/?uuid=33e8137a-0044-4ee3-ac35-f8d1141f363e" ] } ], "mendeley" : { "formattedCitation" : "&lt;sup&gt;35,36&lt;/sup&gt;", "plainTextFormattedCitation" : "35,36", "previouslyFormattedCitation" : "&lt;sup&gt;35,36&lt;/sup&gt;" }, "properties" : { "noteIndex" : 0 }, "schema" : "https://github.com/citation-style-language/schema/raw/master/csl-citation.json" }</w:instrText>
      </w:r>
      <w:r w:rsidR="00A273D9" w:rsidRPr="00BC6436">
        <w:fldChar w:fldCharType="separate"/>
      </w:r>
      <w:r w:rsidR="00290E7E" w:rsidRPr="00290E7E">
        <w:rPr>
          <w:noProof/>
          <w:vertAlign w:val="superscript"/>
        </w:rPr>
        <w:t>35,36</w:t>
      </w:r>
      <w:r w:rsidR="00A273D9" w:rsidRPr="00BC6436">
        <w:fldChar w:fldCharType="end"/>
      </w:r>
      <w:r w:rsidR="00A273D9" w:rsidRPr="00BC6436">
        <w:t xml:space="preserve"> </w:t>
      </w:r>
      <w:r w:rsidR="00DB3D03" w:rsidRPr="00BC6436">
        <w:t>Fourier transform infrared spectroscopy (FTIR) and Raman spectroscopy have also been used to investigate the crystalline phase.</w:t>
      </w:r>
      <w:r w:rsidR="00DB3D03" w:rsidRPr="00BC6436">
        <w:fldChar w:fldCharType="begin" w:fldLock="1"/>
      </w:r>
      <w:r w:rsidR="00600480">
        <w:instrText>ADDIN CSL_CITATION { "citationItems" : [ { "id" : "ITEM-1", "itemData" : { "DOI" : "10.1021/la9702087", "ISSN" : "0743-7463", "abstract" : "Four hydrate forms of sodium dodecyl sulfate (SDS), the 1/8 hydrate, the hemihydrate, the monohydrate, and the dihydrate, and the Rb+ and Mg2+ salts of dodecyl sulfate (RbDS and MgDS) were synthesized under conditions previously used to form crystals for X-ray crystallography. Correlations were made between the IR transmission spectra and crystal structures. IR spectra of 10-75 wt % slurries of DS salts in water were examined at the same concentration and after the same thermal treatments as previously described for \u201ccoagel phases\u201d of SDS. The \u201ccoagels\u201d of SDS were shown to consist of suspensions of well- characterized crystalline hydrate phases or of metastable solids in the process of conversion to one of the hydrates described; the term \u201ccoagel\u201d should be rejected in favor of \u201ccrystalline phase\u201d. The crystalline phases of SDS formed under \u201ccoagelization\u201d included the hemihydrate, the monohydrate, and the dihydrate. Only the dihydrate was stable (two different forms, interconverted at 19.6 \u00b0C) in contact with aqueous solutions at temperatures below 55 \u00b0C and compositions below 87.8 wt %, as predicted in the literature. The other hydrates slowly interconverted to the dihydrate when in contact with aqueous solutions, even below 0 \u00b0C. The interconversion often required &gt;7 days under the conditions favoring formation of a single hydrate, but did occur in &lt;2 h near 5 \u00b0C. The practice of prediction of order in the packing of alkyl chains based on the position of the 2920 cm-1 band was criticized; SDS monohydrate, having one all-trans molecule and one chain with one gauche bond, presented the band at 2915.7 cm-1; the hemihydrate, however, with all-trans bonds presented the band at 2923.2 cm-1. The relative absorbances of the 2850 and 2920 cm-1 peaks in SDS changed drastically with crystallinity and crystal identity. Three of the unit cells (methylene local symmetries, MLS) of the packed all-trans alkyl chains occurring in these phases were novel. The A2/m structures (of SDS mono- and hemihydrate) have been predicted but not previously observed. The MLS of RbDS required four chains to describe the methylene unit cell but is otherwise similar to \u201chybrid\u201d cells, while the nonintegral chain-to-chain axial offset in the MgDS structure was unique.", "author" : [ { "dropping-particle" : "", "family" : "Sperline", "given" : "R. P.", "non-dropping-particle" : "", "parse-names" : false, "suffix" : "" } ], "container-title" : "Langmuir", "id" : "ITEM-1", "issued" : { "date-parts" : [ [ "1997" ] ] }, "page" : "3715-3726", "title" : "Infrared Spectroscopic Study of the Crystalline Phases of Sodium Dodecyl Sulfate", "type" : "article-journal", "volume" : "13" }, "uris" : [ "http://www.mendeley.com/documents/?uuid=cc4cf619-2cf8-455a-b01e-ff9d6cd5a615" ] }, { "id" : "ITEM-2", "itemData" : { "DOI" : "10.1016/0584-8539(74)80216-3", "ISSN" : "05848539", "author" : [ { "dropping-particle" : "", "family" : "Thompson", "given" : "W. K.", "non-dropping-particle" : "", "parse-names" : false, "suffix" : "" } ], "container-title" : "Spectrochim. Acta", "id" : "ITEM-2", "issued" : { "date-parts" : [ [ "1974" ] ] }, "page" : "117-124", "title" : "The vibrational spectra of sodium dodecylsulphate hydrate (\u03b1-phase)", "type" : "article-journal", "volume" : "30A" }, "uris" : [ "http://www.mendeley.com/documents/?uuid=e804f2ea-39be-4ceb-850b-477038c4d91a" ] }, { "id" : "ITEM-3", "itemData" : { "author" : [ { "dropping-particle" : "", "family" : "Kawai", "given" : "T.", "non-dropping-particle" : "", "parse-names" : false, "suffix" : "" }, { "dropping-particle" : "", "family" : "Umemura", "given" : "J.", "non-dropping-particle" : "", "parse-names" : false, "suffix" : "" }, { "dropping-particle" : "", "family" : "Takenaka", "given" : "T.", "non-dropping-particle" : "", "parse-names" : false, "suffix" : "" } ], "container-title" : "Bull. Inst. Chem. Res., Kyoto Univ.", "id" : "ITEM-3", "issued" : { "date-parts" : [ [ "1983" ] ] }, "page" : "314-323", "title" : "Fourier Transform Infrared Study on the Phase Transitions of a Sodium Dodecyl Sulfate-Water System", "type" : "article-journal", "volume" : "61" }, "uris" : [ "http://www.mendeley.com/documents/?uuid=1273ca05-7faa-4ed0-ac20-2cab4fcbeae9" ] }, { "id" : "ITEM-4", "itemData" : { "DOI" : "10.1021/j100274a008", "ISSN" : "0022-3654", "author" : [ { "dropping-particle" : "", "family" : "Picquart", "given" : "M.", "non-dropping-particle" : "", "parse-names" : false, "suffix" : "" } ], "container-title" : "J. Phys. Chem.", "id" : "ITEM-4", "issued" : { "date-parts" : [ [ "1986" ] ] }, "page" : "243-250", "title" : "Vibrational model behavior of SDS aqueous solutions studied by Raman scattering", "type" : "article-journal", "volume" : "90" }, "uris" : [ "http://www.mendeley.com/documents/?uuid=c6f49190-5b88-47de-9296-7d7f1bde948c" ] } ], "mendeley" : { "formattedCitation" : "&lt;sup&gt;37\u201340&lt;/sup&gt;", "plainTextFormattedCitation" : "37\u201340", "previouslyFormattedCitation" : "&lt;sup&gt;37\u201340&lt;/sup&gt;" }, "properties" : { "noteIndex" : 0 }, "schema" : "https://github.com/citation-style-language/schema/raw/master/csl-citation.json" }</w:instrText>
      </w:r>
      <w:r w:rsidR="00DB3D03" w:rsidRPr="00BC6436">
        <w:fldChar w:fldCharType="separate"/>
      </w:r>
      <w:r w:rsidR="00290E7E" w:rsidRPr="00290E7E">
        <w:rPr>
          <w:noProof/>
          <w:vertAlign w:val="superscript"/>
        </w:rPr>
        <w:t>37–40</w:t>
      </w:r>
      <w:r w:rsidR="00DB3D03" w:rsidRPr="00BC6436">
        <w:fldChar w:fldCharType="end"/>
      </w:r>
      <w:r w:rsidR="00DB3D03" w:rsidRPr="00BC6436">
        <w:t xml:space="preserve"> </w:t>
      </w:r>
      <w:r w:rsidR="00A273D9" w:rsidRPr="00BC6436">
        <w:t xml:space="preserve">Linear cooling experiments using microscopy and turbidity, for </w:t>
      </w:r>
      <w:r w:rsidR="007B60E4" w:rsidRPr="007B60E4">
        <w:rPr>
          <w:rFonts w:ascii="Symbol" w:hAnsi="Symbol"/>
          <w:i/>
        </w:rPr>
        <w:t></w:t>
      </w:r>
      <w:r w:rsidR="007B60E4">
        <w:t xml:space="preserve"> =</w:t>
      </w:r>
      <w:r w:rsidR="007B60E4" w:rsidRPr="00BC6436">
        <w:t xml:space="preserve"> </w:t>
      </w:r>
      <w:r w:rsidR="00A273D9" w:rsidRPr="00BC6436">
        <w:t xml:space="preserve">0.1 to 0.75 </w:t>
      </w:r>
      <w:r w:rsidR="00384D8C" w:rsidRPr="00BC6436">
        <w:rPr>
          <w:rFonts w:ascii="Calibri" w:hAnsi="Calibri" w:cs="Calibri"/>
        </w:rPr>
        <w:t>°</w:t>
      </w:r>
      <w:r w:rsidR="00A273D9" w:rsidRPr="00BC6436">
        <w:t>C min</w:t>
      </w:r>
      <w:r w:rsidR="00A273D9" w:rsidRPr="00BC6436">
        <w:rPr>
          <w:vertAlign w:val="superscript"/>
        </w:rPr>
        <w:t>-1</w:t>
      </w:r>
      <w:r w:rsidR="00A273D9" w:rsidRPr="00BC6436">
        <w:t>, determined the MSZW and transition temperatures for four micellar concentrations of SDS-H</w:t>
      </w:r>
      <w:r w:rsidR="00A273D9" w:rsidRPr="00BC6436">
        <w:rPr>
          <w:vertAlign w:val="subscript"/>
        </w:rPr>
        <w:t>2</w:t>
      </w:r>
      <w:r w:rsidR="00A273D9" w:rsidRPr="00BC6436">
        <w:t>O solutions (between 5 and 20%),</w:t>
      </w:r>
      <w:r w:rsidR="00A273D9" w:rsidRPr="00BC6436">
        <w:fldChar w:fldCharType="begin" w:fldLock="1"/>
      </w:r>
      <w:r w:rsidR="00600480">
        <w:instrText>ADDIN CSL_CITATION { "citationItems" : [ { "id" : "ITEM-1", "itemData" : { "DOI" : "10.1016/j.jcrysgro.2003.11.025", "ISBN" : "0022-0248", "ISSN" : "00220248", "abstract" : "The crystallisation of the surfactant sodium dodecyl sulphate (SDS) from aqueous solution, above the critical micelle concentration is investigated via in situ differential interference phase contrast microscopy under a range of solution cooling rates. It is found that variation in the cooling rate has little effect on the morphology for the range applied, producing a plate-like habit dominated by the {100} form. Nucleation studies demonstrate little correlation between metastable zone width (MSZW) and surfactant concentration with the MSZW suggesting that the ease of nucleation of SDS lies between those commonly observed for organic and inorganic systems. Weak dependence of the MSZW on cooling rate is observed. Crystal morphologies predicted using an atom-atom method implemented in the HABIT98 program (Comput. Phys. Commun. 64 (1991) 311; J. Crystal Growth 166 (1996) 78; HABIT95, Quantum Chemistry Program Exchange, Program no. 670, Bloomington, IN 47405, USA, 1996) for the four known crystal structures are presented. Comparison between these and experimental data reveal the crystallising species to be consistent with the formation of C 12H 25OSO 3 -Na +??1/8H 2O with a plate-like morphology dominated by {200} and complemented by minor {110}, {202} and {111} forms. Kinetic roughening, which is found to occur at higher solution supersaturations and notably on the {202} forms, is discussed in terms of the comparative surface chemistry of the SDS habit faces. ?? 2003 Elsevier B.V. All rights reserved.", "author" : [ { "dropping-particle" : "", "family" : "Smith", "given" : "L. A.", "non-dropping-particle" : "", "parse-names" : false, "suffix" : "" }, { "dropping-particle" : "", "family" : "Duncan", "given" : "A.", "non-dropping-particle" : "", "parse-names" : false, "suffix" : "" }, { "dropping-particle" : "", "family" : "Thomson", "given" : "G.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"ITEM-1", "issued" : { "date-parts" : [ [ "2004" ] ] }, "page" : "480-490", "title" : "Crystallisation of sodium dodecyl sulphate from aqueous solution: Phase identification, crystal morphology, surface chemistry and kinetic interface roughening", "type" : "article-journal", "volume" : "263" }, "uris" : [ "http://www.mendeley.com/documents/?uuid=0fa4c6cc-59d4-43ed-b802-e773db7650b6" ] }, { "id" : "ITEM-2", "itemData" : { "author" : [ { "dropping-particle" : "", "family" : "Smith", "given" : "L. A.",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"ITEM-2", "issued" : { "date-parts" : [ [ "2001" ] ] }, "page" : "158-167", "title" : "An examination of the solution phase and nucleation properties of sodium , potassium and rubidium dodecyl sulphates", "type" : "article-journal", "volume" : "226" }, "uris" : [ "http://www.mendeley.com/documents/?uuid=74281b3b-be73-4462-955c-c6329e5dc666" ] } ], "mendeley" : { "formattedCitation" : "&lt;sup&gt;42,43&lt;/sup&gt;", "plainTextFormattedCitation" : "42,43", "previouslyFormattedCitation" : "&lt;sup&gt;42,43&lt;/sup&gt;" }, "properties" : { "noteIndex" : 0 }, "schema" : "https://github.com/citation-style-language/schema/raw/master/csl-citation.json" }</w:instrText>
      </w:r>
      <w:r w:rsidR="00A273D9" w:rsidRPr="00BC6436">
        <w:fldChar w:fldCharType="separate"/>
      </w:r>
      <w:r w:rsidR="00290E7E" w:rsidRPr="00290E7E">
        <w:rPr>
          <w:noProof/>
          <w:vertAlign w:val="superscript"/>
        </w:rPr>
        <w:t>42,43</w:t>
      </w:r>
      <w:r w:rsidR="00A273D9" w:rsidRPr="00BC6436">
        <w:fldChar w:fldCharType="end"/>
      </w:r>
      <w:r w:rsidR="00A273D9" w:rsidRPr="00BC6436">
        <w:t xml:space="preserve"> in addition to computational modelling of the crystal structures.</w:t>
      </w:r>
      <w:r w:rsidR="00A273D9" w:rsidRPr="00BC6436">
        <w:fldChar w:fldCharType="begin" w:fldLock="1"/>
      </w:r>
      <w:r w:rsidR="00600480">
        <w:instrText>ADDIN CSL_CITATION { "citationItems" : [ { "id" : "ITEM-1", "itemData" : { "DOI" : "10.1021/cg058003g", "ISSN" : "15287483", "author" : [ { "dropping-particle" : "", "family" : "Smith", "given" : "L. A.", "non-dropping-particle" : "", "parse-names" : false, "suffix" : "" }, { "dropping-particle" : "", "family" : "Thomson", "given" : "G.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"Cryst. Growth Des.", "id" : "ITEM-1", "issue" : "6", "issued" : { "date-parts" : [ [ "2005" ] ] }, "page" : "2164-2172", "title" : "Modeling the crystal morphology of alkali-metal alkyl surfactants: Sodium and rubidium dodecyl sulfates", "type" : "article-journal", "volume" : "5" }, "uris" : [ "http://www.mendeley.com/documents/?uuid=2cf4211d-ba35-4b1e-bf72-f4ec5722c765" ] }, { "id" : "ITEM-2", "itemData" : { "DOI" : "10.1016/j.jcrysgro.2003.11.025", "ISBN" : "0022-0248", "ISSN" : "00220248", "abstract" : "The crystallisation of the surfactant sodium dodecyl sulphate (SDS) from aqueous solution, above the critical micelle concentration is investigated via in situ differential interference phase contrast microscopy under a range of solution cooling rates. It is found that variation in the cooling rate has little effect on the morphology for the range applied, producing a plate-like habit dominated by the {100} form. Nucleation studies demonstrate little correlation between metastable zone width (MSZW) and surfactant concentration with the MSZW suggesting that the ease of nucleation of SDS lies between those commonly observed for organic and inorganic systems. Weak dependence of the MSZW on cooling rate is observed. Crystal morphologies predicted using an atom-atom method implemented in the HABIT98 program (Comput. Phys. Commun. 64 (1991) 311; J. Crystal Growth 166 (1996) 78; HABIT95, Quantum Chemistry Program Exchange, Program no. 670, Bloomington, IN 47405, USA, 1996) for the four known crystal structures are presented. Comparison between these and experimental data reveal the crystallising species to be consistent with the formation of C 12H 25OSO 3 -Na +??1/8H 2O with a plate-like morphology dominated by {200} and complemented by minor {110}, {202} and {111} forms. Kinetic roughening, which is found to occur at higher solution supersaturations and notably on the {202} forms, is discussed in terms of the comparative surface chemistry of the SDS habit faces. ?? 2003 Elsevier B.V. All rights reserved.", "author" : [ { "dropping-particle" : "", "family" : "Smith", "given" : "L. A.", "non-dropping-particle" : "", "parse-names" : false, "suffix" : "" }, { "dropping-particle" : "", "family" : "Duncan", "given" : "A.", "non-dropping-particle" : "", "parse-names" : false, "suffix" : "" }, { "dropping-particle" : "", "family" : "Thomson", "given" : "G.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"ITEM-2", "issued" : { "date-parts" : [ [ "2004" ] ] }, "page" : "480-490", "title" : "Crystallisation of sodium dodecyl sulphate from aqueous solution: Phase identification, crystal morphology, surface chemistry and kinetic interface roughening", "type" : "article-journal", "volume" : "263" }, "uris" : [ "http://www.mendeley.com/documents/?uuid=0fa4c6cc-59d4-43ed-b802-e773db7650b6" ] } ], "mendeley" : { "formattedCitation" : "&lt;sup&gt;42,44&lt;/sup&gt;", "plainTextFormattedCitation" : "42,44", "previouslyFormattedCitation" : "&lt;sup&gt;42,44&lt;/sup&gt;" }, "properties" : { "noteIndex" : 0 }, "schema" : "https://github.com/citation-style-language/schema/raw/master/csl-citation.json" }</w:instrText>
      </w:r>
      <w:r w:rsidR="00A273D9" w:rsidRPr="00BC6436">
        <w:fldChar w:fldCharType="separate"/>
      </w:r>
      <w:r w:rsidR="00290E7E" w:rsidRPr="00290E7E">
        <w:rPr>
          <w:noProof/>
          <w:vertAlign w:val="superscript"/>
        </w:rPr>
        <w:t>42,44</w:t>
      </w:r>
      <w:r w:rsidR="00A273D9" w:rsidRPr="00BC6436">
        <w:fldChar w:fldCharType="end"/>
      </w:r>
      <w:r w:rsidR="00A273D9" w:rsidRPr="00BC6436">
        <w:t xml:space="preserve"> </w:t>
      </w:r>
      <w:r w:rsidR="00833791" w:rsidRPr="00BC6436">
        <w:t xml:space="preserve">We previously </w:t>
      </w:r>
      <w:r w:rsidR="003028EE">
        <w:t>reported</w:t>
      </w:r>
      <w:r w:rsidR="00833791" w:rsidRPr="00BC6436">
        <w:t xml:space="preserve"> an isothermal study on the crystallization kinetics and morphologies of SDS-H</w:t>
      </w:r>
      <w:r w:rsidR="00833791" w:rsidRPr="00BC6436">
        <w:rPr>
          <w:vertAlign w:val="subscript"/>
        </w:rPr>
        <w:t>2</w:t>
      </w:r>
      <w:r w:rsidR="00833791" w:rsidRPr="00BC6436">
        <w:t xml:space="preserve">O micellar solutions as a function of temperature, via microscopy, DSC and </w:t>
      </w:r>
      <w:r w:rsidR="00833791" w:rsidRPr="00004175">
        <w:t>attenuated total reflection</w:t>
      </w:r>
      <w:r w:rsidR="00833791">
        <w:t xml:space="preserve"> (</w:t>
      </w:r>
      <w:r w:rsidR="00833791" w:rsidRPr="00BC6436">
        <w:t>ATR</w:t>
      </w:r>
      <w:r w:rsidR="00833791">
        <w:t>)</w:t>
      </w:r>
      <w:r w:rsidR="00833791" w:rsidRPr="00BC6436">
        <w:t xml:space="preserve">-FTIR at </w:t>
      </w:r>
      <w:r w:rsidR="00833791" w:rsidRPr="007B60E4">
        <w:rPr>
          <w:rFonts w:ascii="Symbol" w:hAnsi="Symbol"/>
          <w:i/>
        </w:rPr>
        <w:t></w:t>
      </w:r>
      <w:r w:rsidR="00833791">
        <w:t xml:space="preserve"> =</w:t>
      </w:r>
      <w:r w:rsidR="00833791" w:rsidRPr="00BC6436">
        <w:t xml:space="preserve"> 50 </w:t>
      </w:r>
      <w:r w:rsidR="00833791" w:rsidRPr="00BC6436">
        <w:rPr>
          <w:rFonts w:ascii="Calibri" w:hAnsi="Calibri" w:cs="Calibri"/>
        </w:rPr>
        <w:t>°</w:t>
      </w:r>
      <w:r w:rsidR="00833791" w:rsidRPr="00BC6436">
        <w:t>C min</w:t>
      </w:r>
      <w:r w:rsidR="00833791" w:rsidRPr="00BC6436">
        <w:rPr>
          <w:vertAlign w:val="superscript"/>
        </w:rPr>
        <w:t>-1</w:t>
      </w:r>
      <w:r w:rsidR="00833791" w:rsidRPr="00BC6436">
        <w:t>.</w:t>
      </w:r>
      <w:r w:rsidR="00833791" w:rsidRPr="00BC6436">
        <w:fldChar w:fldCharType="begin" w:fldLock="1"/>
      </w:r>
      <w:r w:rsidR="00833791">
        <w:instrText>ADDIN CSL_CITATION { "citationItems" : [ { "id" : "ITEM-1", "itemData" : { "author" : [ { "dropping-particle" : "", "family" : "Miller", "given" : "R. M.", "non-dropping-particle" : "", "parse-names" : false, "suffix" : "" }, { "dropping-particle" : "", "family" : "Poulos", "given" : "A. S.", "non-dropping-particle" : "", "parse-names" : false, "suffix" : "" }, { "dropping-particle" : "", "family" : "Robles", "given" : "E. S. J.", "non-dropping-particle" : "", "parse-names" : false, "suffix" : "" }, { "dropping-particle" : "", "family" : "Brooks", "given" : "N. J.", "non-dropping-particle" : "", "parse-names" : false, "suffix" : "" }, { "dropping-particle" : "", "family" : "Ces", "given" : "O.", "non-dropping-particle" : "", "parse-names" : false, "suffix" : "" }, { "dropping-particle" : "", "family" : "Cabral", "given" : "J. T.", "non-dropping-particle" : "", "parse-names" : false, "suffix" : "" } ], "container-title" : "Cryst. Growth Des.", "id" : "ITEM-1", "issued" : { "date-parts" : [ [ "2016" ] ] }, "page" : "3379-3388", "title" : "Isothermal Crystallization Kinetics of Sodium Dodecyl Sulfate\u2013Water Micellar Solutions", "type" : "article-journal", "volume" : "16" }, "uris" : [ "http://www.mendeley.com/documents/?uuid=c77d6518-e4f2-4f40-95b8-ff5cf089bc17" ] } ], "mendeley" : { "formattedCitation" : "&lt;sup&gt;41&lt;/sup&gt;", "plainTextFormattedCitation" : "41", "previouslyFormattedCitation" : "&lt;sup&gt;41&lt;/sup&gt;" }, "properties" : { "noteIndex" : 0 }, "schema" : "https://github.com/citation-style-language/schema/raw/master/csl-citation.json" }</w:instrText>
      </w:r>
      <w:r w:rsidR="00833791" w:rsidRPr="00BC6436">
        <w:fldChar w:fldCharType="separate"/>
      </w:r>
      <w:r w:rsidR="00833791" w:rsidRPr="00290E7E">
        <w:rPr>
          <w:noProof/>
          <w:vertAlign w:val="superscript"/>
        </w:rPr>
        <w:t>41</w:t>
      </w:r>
      <w:r w:rsidR="00833791" w:rsidRPr="00BC6436">
        <w:fldChar w:fldCharType="end"/>
      </w:r>
      <w:r w:rsidR="003028EE">
        <w:t xml:space="preserve"> </w:t>
      </w:r>
      <w:r w:rsidR="003028EE" w:rsidRPr="003028EE">
        <w:rPr>
          <w:color w:val="FF0000"/>
        </w:rPr>
        <w:t xml:space="preserve">The temperature dependences of overall nucleation and growth rates, and single crystal growth rates, were systematically quantified between 20 and -6°C, and the crystal morphologies and </w:t>
      </w:r>
      <w:r w:rsidR="003028EE" w:rsidRPr="003028EE">
        <w:rPr>
          <w:color w:val="FF0000"/>
        </w:rPr>
        <w:t>polymorph</w:t>
      </w:r>
      <w:r w:rsidR="003028EE" w:rsidRPr="003028EE">
        <w:rPr>
          <w:color w:val="FF0000"/>
        </w:rPr>
        <w:t xml:space="preserve">s characterized.  </w:t>
      </w:r>
    </w:p>
    <w:p w14:paraId="78DBDEEA" w14:textId="6FB3CB2D" w:rsidR="00383D31" w:rsidRDefault="00A273D9" w:rsidP="00F155AE">
      <w:pPr>
        <w:pStyle w:val="TAMainText"/>
        <w:rPr>
          <w:rFonts w:asciiTheme="majorHAnsi" w:hAnsiTheme="majorHAnsi"/>
          <w:sz w:val="20"/>
        </w:rPr>
      </w:pPr>
      <w:r w:rsidRPr="00BC6436">
        <w:t xml:space="preserve">This paper </w:t>
      </w:r>
      <w:r w:rsidR="00287BDA">
        <w:t>investigates</w:t>
      </w:r>
      <w:r w:rsidR="00287BDA" w:rsidRPr="00BC6436">
        <w:t xml:space="preserve"> </w:t>
      </w:r>
      <w:r w:rsidR="00D510D2" w:rsidRPr="00BC6436">
        <w:t>the crystallization of</w:t>
      </w:r>
      <w:r w:rsidRPr="00BC6436">
        <w:t xml:space="preserve"> </w:t>
      </w:r>
      <w:r w:rsidRPr="0019517A">
        <w:t>SDS-H</w:t>
      </w:r>
      <w:r w:rsidRPr="0019517A">
        <w:rPr>
          <w:vertAlign w:val="subscript"/>
        </w:rPr>
        <w:t>2</w:t>
      </w:r>
      <w:r w:rsidRPr="0019517A">
        <w:t>O</w:t>
      </w:r>
      <w:r w:rsidR="00D510D2" w:rsidRPr="0019517A">
        <w:t xml:space="preserve"> micellar</w:t>
      </w:r>
      <w:r w:rsidRPr="0019517A">
        <w:t xml:space="preserve"> solutions</w:t>
      </w:r>
      <w:r w:rsidR="008E61D4">
        <w:t xml:space="preserve"> subject</w:t>
      </w:r>
      <w:r w:rsidR="00D510D2" w:rsidRPr="0019517A">
        <w:t xml:space="preserve"> to linear cooling profiles,</w:t>
      </w:r>
      <w:r w:rsidRPr="0019517A">
        <w:t xml:space="preserve"> </w:t>
      </w:r>
      <w:r w:rsidR="00960150" w:rsidRPr="003028EE">
        <w:rPr>
          <w:color w:val="FF0000"/>
        </w:rPr>
        <w:t xml:space="preserve">corresponding to a linear temperature variation with time, </w:t>
      </w:r>
      <w:r w:rsidR="00693D8B" w:rsidRPr="003028EE">
        <w:rPr>
          <w:color w:val="FF0000"/>
        </w:rPr>
        <w:t>at</w:t>
      </w:r>
      <w:r w:rsidR="00960150" w:rsidRPr="003028EE">
        <w:rPr>
          <w:color w:val="FF0000"/>
        </w:rPr>
        <w:t xml:space="preserve"> (constant) rate </w:t>
      </w:r>
      <w:r w:rsidR="00960150" w:rsidRPr="003028EE">
        <w:rPr>
          <w:rFonts w:ascii="Symbol" w:hAnsi="Symbol"/>
          <w:i/>
          <w:color w:val="FF0000"/>
        </w:rPr>
        <w:t></w:t>
      </w:r>
      <w:r w:rsidR="00960150" w:rsidRPr="003028EE">
        <w:rPr>
          <w:color w:val="FF0000"/>
        </w:rPr>
        <w:t xml:space="preserve"> = d</w:t>
      </w:r>
      <w:r w:rsidR="00960150" w:rsidRPr="003028EE">
        <w:rPr>
          <w:i/>
          <w:color w:val="FF0000"/>
        </w:rPr>
        <w:t>T</w:t>
      </w:r>
      <w:r w:rsidR="00960150" w:rsidRPr="003028EE">
        <w:rPr>
          <w:color w:val="FF0000"/>
        </w:rPr>
        <w:t>/d</w:t>
      </w:r>
      <w:r w:rsidR="00960150" w:rsidRPr="003028EE">
        <w:rPr>
          <w:i/>
          <w:color w:val="FF0000"/>
        </w:rPr>
        <w:t>t</w:t>
      </w:r>
      <w:r w:rsidR="00960150" w:rsidRPr="003028EE">
        <w:rPr>
          <w:color w:val="FF0000"/>
        </w:rPr>
        <w:t>, between two well defined initial (</w:t>
      </w:r>
      <w:r w:rsidR="00960150" w:rsidRPr="003028EE">
        <w:rPr>
          <w:i/>
          <w:color w:val="FF0000"/>
        </w:rPr>
        <w:t>T</w:t>
      </w:r>
      <w:r w:rsidR="00960150" w:rsidRPr="003028EE">
        <w:rPr>
          <w:i/>
          <w:color w:val="FF0000"/>
          <w:vertAlign w:val="subscript"/>
        </w:rPr>
        <w:t>i</w:t>
      </w:r>
      <w:r w:rsidR="00960150" w:rsidRPr="003028EE">
        <w:rPr>
          <w:color w:val="FF0000"/>
        </w:rPr>
        <w:t>) and final (</w:t>
      </w:r>
      <w:r w:rsidR="00960150" w:rsidRPr="003028EE">
        <w:rPr>
          <w:i/>
          <w:color w:val="FF0000"/>
        </w:rPr>
        <w:t>T</w:t>
      </w:r>
      <w:r w:rsidR="00960150" w:rsidRPr="003028EE">
        <w:rPr>
          <w:i/>
          <w:color w:val="FF0000"/>
          <w:vertAlign w:val="subscript"/>
        </w:rPr>
        <w:t>f</w:t>
      </w:r>
      <w:r w:rsidR="00960150" w:rsidRPr="003028EE">
        <w:rPr>
          <w:color w:val="FF0000"/>
        </w:rPr>
        <w:t xml:space="preserve">) temperatures. </w:t>
      </w:r>
      <w:r w:rsidR="00693D8B" w:rsidRPr="003028EE">
        <w:rPr>
          <w:color w:val="FF0000"/>
        </w:rPr>
        <w:t xml:space="preserve">Specifically, </w:t>
      </w:r>
      <w:r w:rsidR="008E61D4" w:rsidRPr="003028EE">
        <w:rPr>
          <w:color w:val="FF0000"/>
        </w:rPr>
        <w:t xml:space="preserve">a </w:t>
      </w:r>
      <w:r w:rsidR="00693D8B" w:rsidRPr="003028EE">
        <w:rPr>
          <w:color w:val="FF0000"/>
        </w:rPr>
        <w:t>wide</w:t>
      </w:r>
      <w:r w:rsidRPr="003028EE">
        <w:rPr>
          <w:color w:val="FF0000"/>
        </w:rPr>
        <w:t xml:space="preserve"> temperature window</w:t>
      </w:r>
      <w:r w:rsidR="00693D8B" w:rsidRPr="003028EE">
        <w:rPr>
          <w:color w:val="FF0000"/>
        </w:rPr>
        <w:t xml:space="preserve"> was investigated</w:t>
      </w:r>
      <w:r w:rsidR="008E61D4" w:rsidRPr="003028EE">
        <w:rPr>
          <w:color w:val="FF0000"/>
        </w:rPr>
        <w:t>,</w:t>
      </w:r>
      <w:r w:rsidR="003028EE" w:rsidRPr="003028EE">
        <w:rPr>
          <w:color w:val="FF0000"/>
        </w:rPr>
        <w:t xml:space="preserve"> </w:t>
      </w:r>
      <w:r w:rsidR="008E61D4" w:rsidRPr="003028EE">
        <w:rPr>
          <w:color w:val="FF0000"/>
        </w:rPr>
        <w:t xml:space="preserve">between </w:t>
      </w:r>
      <w:r w:rsidR="003028EE" w:rsidRPr="003028EE">
        <w:rPr>
          <w:i/>
          <w:color w:val="FF0000"/>
        </w:rPr>
        <w:t>T</w:t>
      </w:r>
      <w:r w:rsidR="003028EE" w:rsidRPr="003028EE">
        <w:rPr>
          <w:i/>
          <w:color w:val="FF0000"/>
          <w:vertAlign w:val="subscript"/>
        </w:rPr>
        <w:t>i</w:t>
      </w:r>
      <w:r w:rsidR="003028EE" w:rsidRPr="003028EE">
        <w:rPr>
          <w:color w:val="FF0000"/>
        </w:rPr>
        <w:t>=</w:t>
      </w:r>
      <w:r w:rsidR="008E61D4" w:rsidRPr="003028EE">
        <w:rPr>
          <w:color w:val="FF0000"/>
        </w:rPr>
        <w:t xml:space="preserve">22 to </w:t>
      </w:r>
      <w:r w:rsidR="003028EE" w:rsidRPr="003028EE">
        <w:rPr>
          <w:i/>
          <w:color w:val="FF0000"/>
        </w:rPr>
        <w:t>T</w:t>
      </w:r>
      <w:r w:rsidR="003028EE" w:rsidRPr="003028EE">
        <w:rPr>
          <w:i/>
          <w:color w:val="FF0000"/>
          <w:vertAlign w:val="subscript"/>
        </w:rPr>
        <w:t>f</w:t>
      </w:r>
      <w:r w:rsidR="003028EE" w:rsidRPr="003028EE">
        <w:rPr>
          <w:color w:val="FF0000"/>
        </w:rPr>
        <w:t xml:space="preserve"> =</w:t>
      </w:r>
      <w:r w:rsidR="008E61D4" w:rsidRPr="003028EE">
        <w:rPr>
          <w:color w:val="FF0000"/>
        </w:rPr>
        <w:t xml:space="preserve">-5 °C, and a range of </w:t>
      </w:r>
      <w:r w:rsidR="00D510D2" w:rsidRPr="003028EE">
        <w:rPr>
          <w:color w:val="FF0000"/>
        </w:rPr>
        <w:t>cooling rates</w:t>
      </w:r>
      <w:r w:rsidR="006864E6" w:rsidRPr="003028EE">
        <w:rPr>
          <w:color w:val="FF0000"/>
        </w:rPr>
        <w:t xml:space="preserve"> </w:t>
      </w:r>
      <w:r w:rsidR="006864E6" w:rsidRPr="003028EE">
        <w:rPr>
          <w:rFonts w:ascii="Symbol" w:hAnsi="Symbol"/>
          <w:i/>
          <w:color w:val="FF0000"/>
        </w:rPr>
        <w:t></w:t>
      </w:r>
      <w:r w:rsidR="003028EE" w:rsidRPr="003028EE">
        <w:rPr>
          <w:color w:val="FF0000"/>
        </w:rPr>
        <w:t xml:space="preserve"> =</w:t>
      </w:r>
      <w:r w:rsidR="008E61D4" w:rsidRPr="003028EE">
        <w:rPr>
          <w:color w:val="FF0000"/>
        </w:rPr>
        <w:t>0.1 to 5</w:t>
      </w:r>
      <w:r w:rsidRPr="003028EE">
        <w:rPr>
          <w:color w:val="FF0000"/>
        </w:rPr>
        <w:t>0 °C min</w:t>
      </w:r>
      <w:r w:rsidRPr="003028EE">
        <w:rPr>
          <w:color w:val="FF0000"/>
          <w:vertAlign w:val="superscript"/>
        </w:rPr>
        <w:t>-1</w:t>
      </w:r>
      <w:r w:rsidRPr="003028EE">
        <w:rPr>
          <w:color w:val="FF0000"/>
        </w:rPr>
        <w:t xml:space="preserve">, </w:t>
      </w:r>
      <w:r w:rsidRPr="0019517A">
        <w:t xml:space="preserve">to encompass those experienced by formulations </w:t>
      </w:r>
      <w:r w:rsidR="00F039D4">
        <w:t>under</w:t>
      </w:r>
      <w:r w:rsidR="00D510D2" w:rsidRPr="0019517A">
        <w:t xml:space="preserve"> </w:t>
      </w:r>
      <w:r w:rsidR="008E61D4">
        <w:t>a variety of contexts</w:t>
      </w:r>
      <w:r w:rsidR="00D510D2" w:rsidRPr="0019517A">
        <w:t>. A combination of optical microscopy and DSC was employed to elucidate the nucleation</w:t>
      </w:r>
      <w:r w:rsidR="00632F1B" w:rsidRPr="0019517A">
        <w:t>,</w:t>
      </w:r>
      <w:r w:rsidR="00D510D2" w:rsidRPr="0019517A">
        <w:t xml:space="preserve"> growth rates</w:t>
      </w:r>
      <w:r w:rsidR="00E42F9C" w:rsidRPr="0019517A">
        <w:t xml:space="preserve"> and</w:t>
      </w:r>
      <w:r w:rsidR="00D510D2" w:rsidRPr="0019517A">
        <w:t xml:space="preserve"> crystal habits, as a function of both temperature (</w:t>
      </w:r>
      <w:r w:rsidR="00D510D2" w:rsidRPr="0019517A">
        <w:rPr>
          <w:i/>
        </w:rPr>
        <w:t>T</w:t>
      </w:r>
      <w:r w:rsidR="00D510D2" w:rsidRPr="0019517A">
        <w:t>) and time (</w:t>
      </w:r>
      <w:r w:rsidR="00D510D2" w:rsidRPr="0019517A">
        <w:rPr>
          <w:i/>
        </w:rPr>
        <w:t>t</w:t>
      </w:r>
      <w:r w:rsidR="00D510D2" w:rsidRPr="0019517A">
        <w:t xml:space="preserve">), for various </w:t>
      </w:r>
      <w:r w:rsidR="00632F1B" w:rsidRPr="00426EDD">
        <w:rPr>
          <w:rFonts w:ascii="Symbol" w:hAnsi="Symbol"/>
          <w:i/>
        </w:rPr>
        <w:t></w:t>
      </w:r>
      <w:r w:rsidR="00D753A0">
        <w:t xml:space="preserve">, with polymorph assignment via ATR-FTIR. </w:t>
      </w:r>
      <w:r w:rsidR="0091029D" w:rsidRPr="0019517A">
        <w:t xml:space="preserve">The </w:t>
      </w:r>
      <w:r w:rsidR="0091029D" w:rsidRPr="00891063">
        <w:rPr>
          <w:color w:val="FF0000"/>
        </w:rPr>
        <w:t xml:space="preserve">results are benchmarked against </w:t>
      </w:r>
      <w:r w:rsidR="00891063" w:rsidRPr="00891063">
        <w:rPr>
          <w:color w:val="FF0000"/>
        </w:rPr>
        <w:t xml:space="preserve">data acquired under </w:t>
      </w:r>
      <w:r w:rsidR="0091029D" w:rsidRPr="00891063">
        <w:rPr>
          <w:color w:val="FF0000"/>
        </w:rPr>
        <w:t xml:space="preserve">“isothermal” </w:t>
      </w:r>
      <w:r w:rsidR="00891063" w:rsidRPr="00891063">
        <w:rPr>
          <w:color w:val="FF0000"/>
        </w:rPr>
        <w:t>conditions</w:t>
      </w:r>
      <w:r w:rsidR="0091029D" w:rsidRPr="00891063">
        <w:rPr>
          <w:color w:val="FF0000"/>
        </w:rPr>
        <w:t>,</w:t>
      </w:r>
      <w:r w:rsidR="0091029D" w:rsidRPr="0019517A">
        <w:t xml:space="preserve"> obtained </w:t>
      </w:r>
      <w:r w:rsidR="008E61D4">
        <w:t>at the fastest</w:t>
      </w:r>
      <w:r w:rsidR="0091029D" w:rsidRPr="0019517A">
        <w:t xml:space="preserve"> quenches (50 °C min</w:t>
      </w:r>
      <w:r w:rsidR="0091029D" w:rsidRPr="0019517A">
        <w:rPr>
          <w:vertAlign w:val="superscript"/>
        </w:rPr>
        <w:t>-1</w:t>
      </w:r>
      <w:r w:rsidR="0091029D" w:rsidRPr="0019517A">
        <w:t>) to a series of temperatures, to rationalize the impact of non-isothermal conditions, enabling prediction</w:t>
      </w:r>
      <w:r w:rsidR="008E61D4">
        <w:t>s</w:t>
      </w:r>
      <w:r w:rsidR="0091029D" w:rsidRPr="0019517A">
        <w:t xml:space="preserve"> over a wide parameter space. The MSZW </w:t>
      </w:r>
      <w:r w:rsidR="007A7C5E" w:rsidRPr="0019517A">
        <w:t>was estimated</w:t>
      </w:r>
      <w:r w:rsidR="00DC56BA" w:rsidRPr="0019517A">
        <w:t xml:space="preserve"> using the polythermal method</w:t>
      </w:r>
      <w:r w:rsidR="007A7C5E" w:rsidRPr="0019517A">
        <w:t xml:space="preserve">, </w:t>
      </w:r>
      <w:r w:rsidR="00952685">
        <w:t xml:space="preserve">from which the </w:t>
      </w:r>
      <w:r w:rsidR="007A7C5E" w:rsidRPr="0019517A">
        <w:t>nucleation order</w:t>
      </w:r>
      <w:r w:rsidR="00952685">
        <w:t xml:space="preserve"> was calculated</w:t>
      </w:r>
      <w:r w:rsidR="007A7C5E" w:rsidRPr="0019517A">
        <w:t xml:space="preserve">. Additionally, </w:t>
      </w:r>
      <w:r w:rsidR="00BA3E51" w:rsidRPr="0019517A">
        <w:t xml:space="preserve">crystallization </w:t>
      </w:r>
      <w:r w:rsidR="00D8638D" w:rsidRPr="0019517A">
        <w:t xml:space="preserve">kinetics were quantified </w:t>
      </w:r>
      <w:r w:rsidR="00DC56BA" w:rsidRPr="0019517A">
        <w:t>with</w:t>
      </w:r>
      <w:r w:rsidR="00DA5F28" w:rsidRPr="0019517A">
        <w:t xml:space="preserve"> the </w:t>
      </w:r>
      <w:r w:rsidR="00835310" w:rsidRPr="0019517A">
        <w:t>Avrami</w:t>
      </w:r>
      <w:r w:rsidR="00317F40" w:rsidRPr="0019517A">
        <w:fldChar w:fldCharType="begin" w:fldLock="1"/>
      </w:r>
      <w:r w:rsidR="00600480">
        <w:instrText>ADDIN CSL_CITATION { "citationItems" : [ { "id" : "ITEM-1", "itemData" : { "DOI" : "10.1063/1.1750380", "ISBN" : "0080431526", "ISSN" : "00219606", "author" : [ { "dropping-particle" : "", "family" : "Avrami", "given" : "M.", "non-dropping-particle" : "", "parse-names" : false, "suffix" : "" } ], "container-title" : "J. Chem. Phys.", "id" : "ITEM-1", "issue" : "12", "issued" : { "date-parts" : [ [ "1939" ] ] }, "page" : "1103-1112", "title" : "Kinetics of Phase Change. I General Theory", "type" : "article-journal", "volume" : "7" }, "uris" : [ "http://www.mendeley.com/documents/?uuid=8428bc58-e090-4f01-bc41-e51f7327e604" ] }, { "id" : "ITEM-2", "itemData" : { "DOI" : "10.1063/1.1750631", "ISSN" : "00219606", "abstract" : "Following upon the general theory in Part I, a considerable simplification is here introdced in the treatment of the case where the grain centers of the new phase are randomly distributed. Also, the kinetics of the main types of crystalline growth, such as result in polyhedral, plate.like and lineal grains, are studied. A relation between the actual transformed volume V and a related extended volume V1ex is derived upon statistical considerations. A rough approximation to this relation is shown to lead, under the proper conditions, to the empirical formulation of Austin and Rickett. The exact relation is used to reduce the entire problem to the determinatio of V1ex, in terms of which all other quantities are expressed. The approximate treatment of the beginning of transformation in the isokinetic range is shown to lead to the empirical formula of Krainer and to account quantitatively for certain relations observed in recrystallization phenomena. It is shown that the predicted shapes for isothermal transformation-time curves correspond well with the experimental data.", "author" : [ { "dropping-particle" : "", "family" : "Avrami", "given" : "M.", "non-dropping-particle" : "", "parse-names" : false, "suffix" : "" } ], "container-title" : "J. Chem. Phys.", "id" : "ITEM-2", "issued" : { "date-parts" : [ [ "1940" ] ] }, "page" : "212-224", "title" : "Kinetics of Phase Change. II - Transformation-Time Relations for Random Distribution of Nuclei", "type" : "article-journal", "volume" : "8" }, "uris" : [ "http://www.mendeley.com/documents/?uuid=8e1f3a63-729a-451e-b581-b861e38265e9" ] }, { "id" : "ITEM-3",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"ITEM-3", "issued" : { "date-parts" : [ [ "1986" ] ] }, "page" : "1183-1192", "title" : "Crystallization behaviour of poly(ether-ether-ketone)", "type" : "article-journal", "volume" : "27" }, "uris" : [ "http://www.mendeley.com/documents/?uuid=5a5bd7f7-af8d-461f-9700-fd562deca3bf" ] }, { "id" : "ITEM-4",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"ITEM-4", "issued" : { "date-parts" : [ [ "2002" ] ] }, "page" : "408-414", "title" : "Nonisothermal Crystallization Kinetics of Polypropylene/ Montmorillonite Nanocomposites", "type" : "article-journal", "volume" : "40" }, "uris" : [ "http://www.mendeley.com/documents/?uuid=7de44ac5-cfec-408b-b55a-7c8c3f1f1824" ] }, { "id" : "ITEM-5", "itemData" : { "author" : [ { "dropping-particle" : "", "family" : "Herrero", "given" : "C. R.", "non-dropping-particle" : "", "parse-names" : false, "suffix" : "" }, { "dropping-particle" : "", "family" : "Acosta", "given" : "J. L.", "non-dropping-particle" : "", "parse-names" : false, "suffix" : "" } ], "container-title" : "Polymer J.", "id" : "ITEM-5",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"id" : "ITEM-6", "itemData" : { "DOI" : "10.1063/1.1750872", "ISBN" : "0021-9606", "ISSN" : "00219606", "author" : [ { "dropping-particle" : "", "family" : "Avrami", "given" : "M.", "non-dropping-particle" : "", "parse-names" : false, "suffix" : "" } ], "container-title" : "J. Chem. Phys.", "id" : "ITEM-6", "issued" : { "date-parts" : [ [ "1941" ] ] }, "page" : "177-184", "title" : "Granulation, Phase Change, and Microstructure Kinetics of Phase Change. III", "type" : "article-journal", "volume" : "9" }, "uris" : [ "http://www.mendeley.com/documents/?uuid=45aaead3-bbbb-4634-9855-73fbb4a5565e" ] } ], "mendeley" : { "formattedCitation" : "&lt;sup&gt;9\u201311,17\u201319&lt;/sup&gt;", "plainTextFormattedCitation" : "9\u201311,17\u201319", "previouslyFormattedCitation" : "&lt;sup&gt;9\u201311,17\u201319&lt;/sup&gt;" }, "properties" : { "noteIndex" : 0 }, "schema" : "https://github.com/citation-style-language/schema/raw/master/csl-citation.json" }</w:instrText>
      </w:r>
      <w:r w:rsidR="00317F40" w:rsidRPr="0019517A">
        <w:fldChar w:fldCharType="separate"/>
      </w:r>
      <w:r w:rsidR="00290E7E" w:rsidRPr="00290E7E">
        <w:rPr>
          <w:noProof/>
          <w:vertAlign w:val="superscript"/>
        </w:rPr>
        <w:t>9–11,17–19</w:t>
      </w:r>
      <w:r w:rsidR="00317F40" w:rsidRPr="0019517A">
        <w:fldChar w:fldCharType="end"/>
      </w:r>
      <w:r w:rsidR="00835310" w:rsidRPr="0019517A">
        <w:t xml:space="preserve"> and Kissinger</w:t>
      </w:r>
      <w:r w:rsidR="00835310" w:rsidRPr="0019517A">
        <w:fldChar w:fldCharType="begin" w:fldLock="1"/>
      </w:r>
      <w:r w:rsidR="00600480">
        <w:instrText>ADDIN CSL_CITATION { "citationItems" : [ { "id" : "ITEM-1", "itemData" : { "author" : [ { "dropping-particle" : "", "family" : "Kissinger", "given" : "H. E.", "non-dropping-particle" : "", "parse-names" : false, "suffix" : "" } ], "container-title" : "J. Res. Natl. Bur. Stand.", "id" : "ITEM-1", "issued" : { "date-parts" : [ [ "1956" ] ] }, "page" : "217-221", "title" : "Variation of Peak Temperature With Heating Rate In Differential Thermal Analysis", "type" : "article-journal", "volume" : "57" }, "uris" : [ "http://www.mendeley.com/documents/?uuid=6ee4ed4e-9420-4049-8ced-bac243a9b294" ] } ], "mendeley" : { "formattedCitation" : "&lt;sup&gt;45&lt;/sup&gt;", "plainTextFormattedCitation" : "45", "previouslyFormattedCitation" : "&lt;sup&gt;45&lt;/sup&gt;" }, "properties" : { "noteIndex" : 0 }, "schema" : "https://github.com/citation-style-language/schema/raw/master/csl-citation.json" }</w:instrText>
      </w:r>
      <w:r w:rsidR="00835310" w:rsidRPr="0019517A">
        <w:fldChar w:fldCharType="separate"/>
      </w:r>
      <w:r w:rsidR="00290E7E" w:rsidRPr="00290E7E">
        <w:rPr>
          <w:noProof/>
          <w:vertAlign w:val="superscript"/>
        </w:rPr>
        <w:t>45</w:t>
      </w:r>
      <w:r w:rsidR="00835310" w:rsidRPr="0019517A">
        <w:fldChar w:fldCharType="end"/>
      </w:r>
      <w:r w:rsidR="007A7C5E" w:rsidRPr="0019517A">
        <w:t xml:space="preserve"> models, </w:t>
      </w:r>
      <w:r w:rsidR="00F155AE" w:rsidRPr="00F155AE">
        <w:t xml:space="preserve">to </w:t>
      </w:r>
      <w:r w:rsidR="00314DF1">
        <w:t>parameterize</w:t>
      </w:r>
      <w:r w:rsidR="00920867">
        <w:t xml:space="preserve"> </w:t>
      </w:r>
      <w:r w:rsidR="00314DF1">
        <w:t xml:space="preserve">the </w:t>
      </w:r>
      <w:r w:rsidR="00F155AE" w:rsidRPr="00F155AE">
        <w:t>non-isothermal crystallization.</w:t>
      </w:r>
    </w:p>
    <w:p w14:paraId="75BE19C6" w14:textId="01E8B4AD" w:rsidR="00383D31" w:rsidRDefault="004D0E73" w:rsidP="00383D31">
      <w:pPr>
        <w:spacing w:after="0" w:line="360" w:lineRule="auto"/>
        <w:ind w:firstLine="284"/>
        <w:rPr>
          <w:rFonts w:asciiTheme="majorHAnsi" w:hAnsiTheme="majorHAnsi"/>
          <w:sz w:val="20"/>
        </w:rPr>
      </w:pPr>
      <w:r>
        <w:rPr>
          <w:rFonts w:asciiTheme="majorHAnsi" w:hAnsiTheme="majorHAnsi"/>
          <w:noProof/>
          <w:sz w:val="20"/>
          <w:lang w:val="en-GB" w:eastAsia="en-GB"/>
        </w:rPr>
        <w:lastRenderedPageBreak/>
        <w:drawing>
          <wp:inline distT="0" distB="0" distL="0" distR="0" wp14:anchorId="57681315" wp14:editId="76CDCC81">
            <wp:extent cx="4779264" cy="22555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10.tif"/>
                    <pic:cNvPicPr/>
                  </pic:nvPicPr>
                  <pic:blipFill>
                    <a:blip r:embed="rId12">
                      <a:extLst>
                        <a:ext uri="{28A0092B-C50C-407E-A947-70E740481C1C}">
                          <a14:useLocalDpi xmlns:a14="http://schemas.microsoft.com/office/drawing/2010/main" val="0"/>
                        </a:ext>
                      </a:extLst>
                    </a:blip>
                    <a:stretch>
                      <a:fillRect/>
                    </a:stretch>
                  </pic:blipFill>
                  <pic:spPr>
                    <a:xfrm>
                      <a:off x="0" y="0"/>
                      <a:ext cx="4779264" cy="2255520"/>
                    </a:xfrm>
                    <a:prstGeom prst="rect">
                      <a:avLst/>
                    </a:prstGeom>
                  </pic:spPr>
                </pic:pic>
              </a:graphicData>
            </a:graphic>
          </wp:inline>
        </w:drawing>
      </w:r>
    </w:p>
    <w:p w14:paraId="68D7FC27" w14:textId="67653371" w:rsidR="00CD6920" w:rsidRDefault="00383D31" w:rsidP="00CD6920">
      <w:pPr>
        <w:pStyle w:val="VAFigureCaption"/>
        <w:pBdr>
          <w:bottom w:val="single" w:sz="6" w:space="1" w:color="auto"/>
        </w:pBdr>
      </w:pPr>
      <w:r w:rsidRPr="00A41F97">
        <w:rPr>
          <w:b/>
        </w:rPr>
        <w:t>Figure 1.</w:t>
      </w:r>
      <w:r w:rsidRPr="00A41F97">
        <w:t xml:space="preserve"> (a) </w:t>
      </w:r>
      <w:r>
        <w:t xml:space="preserve">Skeletal drawing of a </w:t>
      </w:r>
      <w:r w:rsidRPr="00A41F97">
        <w:t xml:space="preserve">SDS molecule. (b) </w:t>
      </w:r>
      <w:r>
        <w:t>P</w:t>
      </w:r>
      <w:r w:rsidRPr="00A41F97">
        <w:t>artial phase diagram of SDS-H</w:t>
      </w:r>
      <w:r w:rsidRPr="00A41F97">
        <w:rPr>
          <w:vertAlign w:val="subscript"/>
        </w:rPr>
        <w:t>2</w:t>
      </w:r>
      <w:r w:rsidRPr="00A41F97">
        <w:t>O (adapted from</w:t>
      </w:r>
      <w:r w:rsidRPr="00A41F97">
        <w:fldChar w:fldCharType="begin" w:fldLock="1"/>
      </w:r>
      <w:r w:rsidR="00600480">
        <w:instrText>ADDIN CSL_CITATION { "citationItems" : [ { "id" : "ITEM-1", "itemData" : { "author" : [ { "dropping-particle" : "", "family" : "K\u00e9kicheff", "given" : "P.", "non-dropping-particle" : "", "parse-names" : false, "suffix" : "" }, { "dropping-particle" : "", "family" : "Grabielle-Madelmont", "given" : "C.", "non-dropping-particle" : "", "parse-names" : false, "suffix" : "" }, { "dropping-particle" : "", "family" : "Ollivon", "given" : "M.", "non-dropping-particle" : "", "parse-names" : false, "suffix" : "" } ], "container-title" : "J. Colloid Interface Sci.", "id" : "ITEM-1", "issued" : { "date-parts" : [ [ "1989" ] ] }, "page" : "112-132", "title" : "Phase Diagram of Sodium Dodecyl Sulfate-Water System : I", "type" : "article-journal", "volume" : "131" }, "uris" : [ "http://www.mendeley.com/documents/?uuid=4ac19c05-69e5-4e91-974e-090bf1d463a4" ] }, { "id" : "ITEM-2", "itemData" : { "author" : [ { "dropping-particle" : "", "family" : "Fontell", "given" : "K.", "non-dropping-particle" : "", "parse-names" : false, "suffix" : "" } ], "container-title" : "Mol. Cryst. Liq. Cryst.", "id" : "ITEM-2", "issued" : { "date-parts" : [ [ "1981" ] ] }, "page" : "59-82", "title" : "Liquid crystallinity in lipid-water systems", "type" : "article-journal", "volume" : "63" }, "uris" : [ "http://www.mendeley.com/documents/?uuid=2e305762-e7d9-4dfa-a8b9-a8b87e8d68af", "http://www.mendeley.com/documents/?uuid=f50979af-953d-4d63-99ad-d967cf846886" ] } ], "mendeley" : { "formattedCitation" : "&lt;sup&gt;28,30&lt;/sup&gt;", "plainTextFormattedCitation" : "28,30", "previouslyFormattedCitation" : "&lt;sup&gt;28,30&lt;/sup&gt;" }, "properties" : { "noteIndex" : 0 }, "schema" : "https://github.com/citation-style-language/schema/raw/master/csl-citation.json" }</w:instrText>
      </w:r>
      <w:r w:rsidRPr="00A41F97">
        <w:fldChar w:fldCharType="separate"/>
      </w:r>
      <w:r w:rsidR="00290E7E" w:rsidRPr="00290E7E">
        <w:rPr>
          <w:noProof/>
          <w:vertAlign w:val="superscript"/>
        </w:rPr>
        <w:t>28,30</w:t>
      </w:r>
      <w:r w:rsidRPr="00A41F97">
        <w:fldChar w:fldCharType="end"/>
      </w:r>
      <w:r w:rsidRPr="00A41F97">
        <w:t xml:space="preserve">); the arrow represents the temperature range investigated, </w:t>
      </w:r>
      <w:r w:rsidR="0007685C">
        <w:t>22</w:t>
      </w:r>
      <w:r w:rsidRPr="00A41F97">
        <w:t xml:space="preserve"> to </w:t>
      </w:r>
      <w:r w:rsidR="0007685C">
        <w:t>-5</w:t>
      </w:r>
      <w:r w:rsidR="0007685C" w:rsidRPr="00A41F97">
        <w:t xml:space="preserve"> </w:t>
      </w:r>
      <w:r w:rsidRPr="00A41F97">
        <w:t>°C, at 20% SDS-H</w:t>
      </w:r>
      <w:r w:rsidRPr="00A41F97">
        <w:rPr>
          <w:vertAlign w:val="subscript"/>
        </w:rPr>
        <w:t>2</w:t>
      </w:r>
      <w:r w:rsidRPr="00A41F97">
        <w:t>O. (c)</w:t>
      </w:r>
      <w:r>
        <w:t xml:space="preserve"> Temperature profiles employed for the linear</w:t>
      </w:r>
      <w:r w:rsidRPr="00A41F97">
        <w:t xml:space="preserve"> cooling experiments</w:t>
      </w:r>
      <w:r>
        <w:t xml:space="preserve">, with </w:t>
      </w:r>
      <w:r w:rsidRPr="00171BAA">
        <w:rPr>
          <w:rFonts w:cstheme="majorHAnsi"/>
        </w:rPr>
        <w:t>rates (</w:t>
      </w:r>
      <w:r w:rsidRPr="00171BAA">
        <w:rPr>
          <w:rFonts w:ascii="Symbol" w:hAnsi="Symbol" w:cstheme="majorHAnsi"/>
          <w:i/>
        </w:rPr>
        <w:t></w:t>
      </w:r>
      <w:r w:rsidRPr="00171BAA">
        <w:rPr>
          <w:rFonts w:cstheme="majorHAnsi"/>
        </w:rPr>
        <w:t xml:space="preserve"> = d</w:t>
      </w:r>
      <w:r w:rsidRPr="00171BAA">
        <w:rPr>
          <w:rFonts w:cstheme="majorHAnsi"/>
          <w:i/>
        </w:rPr>
        <w:t>t</w:t>
      </w:r>
      <w:r w:rsidRPr="00171BAA">
        <w:rPr>
          <w:rFonts w:cstheme="majorHAnsi"/>
        </w:rPr>
        <w:t>/d</w:t>
      </w:r>
      <w:r w:rsidRPr="00171BAA">
        <w:rPr>
          <w:rFonts w:cstheme="majorHAnsi"/>
          <w:i/>
        </w:rPr>
        <w:t>T</w:t>
      </w:r>
      <w:r w:rsidRPr="00171BAA">
        <w:rPr>
          <w:rFonts w:cstheme="majorHAnsi"/>
        </w:rPr>
        <w:t>) =</w:t>
      </w:r>
      <w:r>
        <w:t xml:space="preserve"> </w:t>
      </w:r>
      <w:r w:rsidRPr="00A41F97">
        <w:t xml:space="preserve">0.1, 0.5, 1.0, 5.0 </w:t>
      </w:r>
      <w:r>
        <w:t xml:space="preserve">and </w:t>
      </w:r>
      <w:r w:rsidRPr="00A41F97">
        <w:t>10</w:t>
      </w:r>
      <w:r>
        <w:t xml:space="preserve"> </w:t>
      </w:r>
      <w:r w:rsidRPr="00A41F97">
        <w:t>°C min</w:t>
      </w:r>
      <w:r w:rsidRPr="00A41F97">
        <w:rPr>
          <w:vertAlign w:val="superscript"/>
        </w:rPr>
        <w:t>-1</w:t>
      </w:r>
      <w:r w:rsidR="00F155AE">
        <w:t xml:space="preserve">, as well as </w:t>
      </w:r>
      <w:r w:rsidR="00FE5DE1">
        <w:t xml:space="preserve">the </w:t>
      </w:r>
      <w:r w:rsidR="00F155AE">
        <w:t>“isothermal”</w:t>
      </w:r>
      <w:r w:rsidR="00F155AE" w:rsidRPr="00F155AE">
        <w:t xml:space="preserve"> </w:t>
      </w:r>
      <w:r w:rsidR="009B25C6">
        <w:t xml:space="preserve">quench at </w:t>
      </w:r>
      <w:r w:rsidR="00F155AE">
        <w:t>50 °C min</w:t>
      </w:r>
      <w:r w:rsidR="00F155AE" w:rsidRPr="00F155AE">
        <w:rPr>
          <w:vertAlign w:val="superscript"/>
        </w:rPr>
        <w:t>-1</w:t>
      </w:r>
      <w:r w:rsidR="00F155AE">
        <w:t xml:space="preserve">, </w:t>
      </w:r>
      <w:r w:rsidR="00920867">
        <w:t xml:space="preserve">to </w:t>
      </w:r>
      <w:r>
        <w:t xml:space="preserve">a constant, final temperature </w:t>
      </w:r>
      <w:r w:rsidRPr="00A41F97">
        <w:t>(</w:t>
      </w:r>
      <w:r w:rsidRPr="00A41F97">
        <w:rPr>
          <w:i/>
        </w:rPr>
        <w:t>T</w:t>
      </w:r>
      <w:r w:rsidRPr="00A41F97">
        <w:rPr>
          <w:vertAlign w:val="subscript"/>
        </w:rPr>
        <w:t>f</w:t>
      </w:r>
      <w:r>
        <w:t xml:space="preserve">) </w:t>
      </w:r>
      <w:r w:rsidRPr="00A41F97">
        <w:t>= -5 °C</w:t>
      </w:r>
      <w:r>
        <w:t>.</w:t>
      </w:r>
    </w:p>
    <w:p w14:paraId="0B49791B" w14:textId="77777777" w:rsidR="009C0373" w:rsidRDefault="009C0373" w:rsidP="00CD6920">
      <w:pPr>
        <w:pStyle w:val="TAMainText"/>
      </w:pPr>
    </w:p>
    <w:p w14:paraId="1F98EC76" w14:textId="77777777" w:rsidR="00CD6920" w:rsidRPr="00171982" w:rsidRDefault="00CD6920" w:rsidP="00CD6920">
      <w:pPr>
        <w:pStyle w:val="TAMainText"/>
        <w:ind w:firstLine="0"/>
        <w:rPr>
          <w:b/>
        </w:rPr>
      </w:pPr>
      <w:r>
        <w:rPr>
          <w:b/>
        </w:rPr>
        <w:t>EXPERIMENTAL SECTION</w:t>
      </w:r>
    </w:p>
    <w:p w14:paraId="59640774" w14:textId="65BA48A2" w:rsidR="005A3C96" w:rsidRPr="00CD6920" w:rsidRDefault="00ED0CFE" w:rsidP="00CD6920">
      <w:pPr>
        <w:pStyle w:val="TAMainText"/>
        <w:ind w:firstLine="0"/>
        <w:rPr>
          <w:b/>
        </w:rPr>
      </w:pPr>
      <w:r w:rsidRPr="00CD6920">
        <w:rPr>
          <w:b/>
        </w:rPr>
        <w:t>Materials</w:t>
      </w:r>
      <w:r w:rsidR="00137641" w:rsidRPr="00CD6920">
        <w:rPr>
          <w:b/>
        </w:rPr>
        <w:t xml:space="preserve"> and </w:t>
      </w:r>
      <w:r w:rsidR="00C60B89" w:rsidRPr="00CD6920">
        <w:rPr>
          <w:b/>
        </w:rPr>
        <w:t>M</w:t>
      </w:r>
      <w:r w:rsidR="00137641" w:rsidRPr="00CD6920">
        <w:rPr>
          <w:b/>
        </w:rPr>
        <w:t>ethods</w:t>
      </w:r>
    </w:p>
    <w:p w14:paraId="3FAE8005" w14:textId="154C912E" w:rsidR="00F155AE" w:rsidRDefault="00594FC2" w:rsidP="00016F50">
      <w:pPr>
        <w:pStyle w:val="TAMainText"/>
      </w:pPr>
      <w:r w:rsidRPr="0019517A">
        <w:t>SDS (ACS reagent grade, ≥99.0% purity, Sigma</w:t>
      </w:r>
      <w:r w:rsidR="00BD431E">
        <w:t>-</w:t>
      </w:r>
      <w:r w:rsidRPr="00A41F97">
        <w:t>Aldrich)</w:t>
      </w:r>
      <w:r w:rsidR="007D7495" w:rsidRPr="00A41F97">
        <w:t xml:space="preserve"> was used as received; a high purity grade was selected to minimize impurities, which can affect transition temperatures</w:t>
      </w:r>
      <w:r w:rsidR="00564941" w:rsidRPr="00A41F97">
        <w:t>, morphologies and so forth</w:t>
      </w:r>
      <w:r w:rsidR="007D7495" w:rsidRPr="00A41F97">
        <w:t>.</w:t>
      </w:r>
      <w:r w:rsidR="00B5034E" w:rsidRPr="00A41F97">
        <w:t xml:space="preserve"> </w:t>
      </w:r>
      <w:r w:rsidR="002E4834" w:rsidRPr="00A41F97">
        <w:t>Deionized</w:t>
      </w:r>
      <w:r w:rsidR="00B5034E" w:rsidRPr="00A41F97">
        <w:t xml:space="preserve"> water (Centra ELGA </w:t>
      </w:r>
      <w:r w:rsidR="002E4834" w:rsidRPr="00A41F97">
        <w:t>filtration</w:t>
      </w:r>
      <w:r w:rsidR="00B5034E" w:rsidRPr="00A41F97">
        <w:t xml:space="preserve"> system) was </w:t>
      </w:r>
      <w:r w:rsidR="00F474F1">
        <w:t xml:space="preserve">freshly </w:t>
      </w:r>
      <w:r w:rsidR="00B5034E" w:rsidRPr="00A41F97">
        <w:t xml:space="preserve">collected prior to </w:t>
      </w:r>
      <w:r w:rsidR="00F474F1">
        <w:t xml:space="preserve">sample </w:t>
      </w:r>
      <w:r w:rsidR="00B5034E" w:rsidRPr="00A41F97">
        <w:t>preparation. 20</w:t>
      </w:r>
      <w:r w:rsidR="00C40ECC">
        <w:t xml:space="preserve"> </w:t>
      </w:r>
      <w:r w:rsidR="000A2BB1" w:rsidRPr="000A2BB1">
        <w:t>wt</w:t>
      </w:r>
      <w:r w:rsidR="00A31F9A">
        <w:t xml:space="preserve"> </w:t>
      </w:r>
      <w:r w:rsidR="000A2BB1" w:rsidRPr="000A2BB1">
        <w:t>%</w:t>
      </w:r>
      <w:r w:rsidR="002263BE">
        <w:t xml:space="preserve"> </w:t>
      </w:r>
      <w:r w:rsidR="00B5034E" w:rsidRPr="00A41F97">
        <w:t>SDS-H</w:t>
      </w:r>
      <w:r w:rsidR="00B5034E" w:rsidRPr="00A41F97">
        <w:rPr>
          <w:vertAlign w:val="subscript"/>
        </w:rPr>
        <w:t>2</w:t>
      </w:r>
      <w:r w:rsidR="00B5034E" w:rsidRPr="00A41F97">
        <w:t>O</w:t>
      </w:r>
      <w:r w:rsidR="00067981" w:rsidRPr="00A41F97">
        <w:t xml:space="preserve"> was </w:t>
      </w:r>
      <w:r w:rsidR="00564941" w:rsidRPr="00A41F97">
        <w:t xml:space="preserve">chosen as a reference </w:t>
      </w:r>
      <w:r w:rsidR="00457EF1">
        <w:t xml:space="preserve">micellar </w:t>
      </w:r>
      <w:r w:rsidR="00564941" w:rsidRPr="00A41F97">
        <w:t xml:space="preserve">concentration, </w:t>
      </w:r>
      <w:r w:rsidR="00656B6F">
        <w:t xml:space="preserve">prepared </w:t>
      </w:r>
      <w:r w:rsidR="00426EDD">
        <w:t xml:space="preserve">by </w:t>
      </w:r>
      <w:r w:rsidR="00067981" w:rsidRPr="00A41F97">
        <w:t xml:space="preserve">stirring the SDS until </w:t>
      </w:r>
      <w:r w:rsidR="00457EF1">
        <w:t>full dissolution</w:t>
      </w:r>
      <w:r w:rsidR="00AA5000" w:rsidRPr="00A41F97">
        <w:t xml:space="preserve">, before </w:t>
      </w:r>
      <w:r w:rsidR="00564941" w:rsidRPr="00A41F97">
        <w:t>equilibrating</w:t>
      </w:r>
      <w:r w:rsidR="00AA5000" w:rsidRPr="00A41F97">
        <w:t xml:space="preserve"> at </w:t>
      </w:r>
      <w:r w:rsidR="00067981" w:rsidRPr="00A41F97">
        <w:t xml:space="preserve">22 °C </w:t>
      </w:r>
      <w:r w:rsidR="00AA5000" w:rsidRPr="00A41F97">
        <w:t>for ≥24 h.</w:t>
      </w:r>
      <w:r w:rsidR="00EC1BC2" w:rsidRPr="00A41F97">
        <w:t xml:space="preserve"> Solutions were </w:t>
      </w:r>
      <w:r w:rsidR="00F155AE">
        <w:t xml:space="preserve">regularly </w:t>
      </w:r>
      <w:r w:rsidR="00EC1BC2" w:rsidRPr="00A41F97">
        <w:t xml:space="preserve">monitored for </w:t>
      </w:r>
      <w:r w:rsidR="00EC1BC2" w:rsidRPr="005F0D5B">
        <w:t>impurities and the onset of hydrolysis</w:t>
      </w:r>
      <w:r w:rsidR="009C5039" w:rsidRPr="005F0D5B">
        <w:fldChar w:fldCharType="begin" w:fldLock="1"/>
      </w:r>
      <w:r w:rsidR="00600480">
        <w:instrText>ADDIN CSL_CITATION { "citationItems" : [ { "id" : "ITEM-1", "itemData" : { "DOI" : "10.1016/0021-9797(76)90011-4", "ISSN" : "00219797", "author" : [ { "dropping-particle" : "", "family" : "Muramatsu", "given" : "M.", "non-dropping-particle" : "", "parse-names" : false, "suffix" : "" }, { "dropping-particle" : "", "family" : "Inoue", "given" : "M.", "non-dropping-particle" : "", "parse-names" : false, "suffix" : "" } ], "container-title" : "J. Colloid Interface Sci.", "id" : "ITEM-1", "issued" : { "date-parts" : [ [ "1976" ] ] }, "page" : "80-84", "title" : "A radiotracer study on slow hydrolysis of sodium dodecylsulfate in aqueous solution", "type" : "article-journal", "volume" : "55" }, "uris" : [ "http://www.mendeley.com/documents/?uuid=88675a57-4048-4530-b331-b7f6cb5a1b15" ] }, { "id" : "ITEM-2", "itemData" : { "DOI" : "10.1039/b102957f", "ISBN" : "1472-779X", "ISSN" : "1472779X", "author" : [ { "dropping-particle" : "", "family" : "Bethell", "given" : "D.", "non-dropping-particle" : "", "parse-names" : false, "suffix" : "" }, { "dropping-particle" : "", "family" : "Fessey", "given" : "R. E.", "non-dropping-particle" : "", "parse-names" : false, "suffix" : "" }, { "dropping-particle" : "", "family" : "Namwindwa", "given" : "E.", "non-dropping-particle" : "", "parse-names" : false, "suffix" : "" }, { "dropping-particle" : "", "family" : "Roberts", "given" : "D. W.", "non-dropping-particle" : "", "parse-names" : false, "suffix" : "" } ], "container-title" : "J. Chem. Soc., Perkin Trans. 2", "id" : "ITEM-2", "issued" : { "date-parts" : [ [ "2001" ] ] }, "page" : "1489-1495", "title" : "The hydrolysis of C12 primary alkyl sulfates in concentrated aqueous solutions. Part 1. General features, kinetic form and mode of catalysis in sodium dodecyl sulfate hydrolysis\u2020", "type" : "article-journal" }, "uris" : [ "http://www.mendeley.com/documents/?uuid=a32c8eba-7aa0-41d6-ac29-3053d5ceddfd" ] } ], "mendeley" : { "formattedCitation" : "&lt;sup&gt;46,47&lt;/sup&gt;", "plainTextFormattedCitation" : "46,47", "previouslyFormattedCitation" : "&lt;sup&gt;46,47&lt;/sup&gt;" }, "properties" : { "noteIndex" : 0 }, "schema" : "https://github.com/citation-style-language/schema/raw/master/csl-citation.json" }</w:instrText>
      </w:r>
      <w:r w:rsidR="009C5039" w:rsidRPr="005F0D5B">
        <w:fldChar w:fldCharType="separate"/>
      </w:r>
      <w:r w:rsidR="00290E7E" w:rsidRPr="00290E7E">
        <w:rPr>
          <w:noProof/>
          <w:vertAlign w:val="superscript"/>
        </w:rPr>
        <w:t>46,47</w:t>
      </w:r>
      <w:r w:rsidR="009C5039" w:rsidRPr="005F0D5B">
        <w:fldChar w:fldCharType="end"/>
      </w:r>
      <w:r w:rsidR="00EC1BC2" w:rsidRPr="005F0D5B">
        <w:t xml:space="preserve"> via </w:t>
      </w:r>
      <w:r w:rsidR="00EC1BC2" w:rsidRPr="005F0D5B">
        <w:rPr>
          <w:vertAlign w:val="superscript"/>
        </w:rPr>
        <w:t>1</w:t>
      </w:r>
      <w:r w:rsidR="00EC1BC2" w:rsidRPr="005F0D5B">
        <w:t>H NMR spectroscopy</w:t>
      </w:r>
      <w:r w:rsidR="00D13548">
        <w:t>,</w:t>
      </w:r>
      <w:r w:rsidR="00F155AE" w:rsidRPr="00F155AE">
        <w:t xml:space="preserve"> and</w:t>
      </w:r>
      <w:r w:rsidR="00D13548">
        <w:t xml:space="preserve"> were</w:t>
      </w:r>
      <w:r w:rsidR="00F155AE" w:rsidRPr="00F155AE">
        <w:t xml:space="preserve"> employed for no longer than one week.</w:t>
      </w:r>
    </w:p>
    <w:p w14:paraId="39602DEC" w14:textId="247222A6" w:rsidR="009A6070" w:rsidRDefault="00F57673" w:rsidP="00016F50">
      <w:pPr>
        <w:pStyle w:val="TAMainText"/>
      </w:pPr>
      <w:r w:rsidRPr="00A41F97">
        <w:t>Solutions</w:t>
      </w:r>
      <w:r w:rsidR="00C22166" w:rsidRPr="00A41F97">
        <w:t xml:space="preserve"> were filtered through 0.2 </w:t>
      </w:r>
      <w:r w:rsidR="00C22166" w:rsidRPr="00A41F97">
        <w:rPr>
          <w:i/>
        </w:rPr>
        <w:t>µ</w:t>
      </w:r>
      <w:r w:rsidR="00C22166" w:rsidRPr="00A41F97">
        <w:t>m PTFE syringe filters prior to use</w:t>
      </w:r>
      <w:r w:rsidR="00830C09">
        <w:t>,</w:t>
      </w:r>
      <w:r w:rsidR="00C22166" w:rsidRPr="00A41F97">
        <w:t xml:space="preserve"> filled into </w:t>
      </w:r>
      <w:r w:rsidR="00830C09">
        <w:t xml:space="preserve">flat, </w:t>
      </w:r>
      <w:r w:rsidR="00C22166" w:rsidRPr="00A41F97">
        <w:t>rectangular capillary tubes (CM Scientific, 50 x 500</w:t>
      </w:r>
      <w:r w:rsidR="00C22166" w:rsidRPr="00A41F97">
        <w:rPr>
          <w:i/>
        </w:rPr>
        <w:t xml:space="preserve"> µ</w:t>
      </w:r>
      <w:r w:rsidR="00C22166" w:rsidRPr="00A41F97">
        <w:t>m</w:t>
      </w:r>
      <w:r w:rsidR="00C22166" w:rsidRPr="00A41F97">
        <w:rPr>
          <w:vertAlign w:val="superscript"/>
        </w:rPr>
        <w:t>2</w:t>
      </w:r>
      <w:r w:rsidR="00C22166" w:rsidRPr="00A41F97">
        <w:t xml:space="preserve">), closed with an epoxy-based adhesive (Araldite Rapid) and </w:t>
      </w:r>
      <w:r w:rsidR="00672176" w:rsidRPr="00A41F97">
        <w:t>w</w:t>
      </w:r>
      <w:r w:rsidR="00C22166" w:rsidRPr="00A41F97">
        <w:t>ere left overnight.</w:t>
      </w:r>
      <w:r w:rsidR="00F508B1" w:rsidRPr="00A41F97">
        <w:t xml:space="preserve"> Capillaries were employed to </w:t>
      </w:r>
      <w:r w:rsidR="00830C09">
        <w:t>keep</w:t>
      </w:r>
      <w:r w:rsidR="00672176" w:rsidRPr="00A41F97">
        <w:t xml:space="preserve"> atmospheric </w:t>
      </w:r>
      <w:r w:rsidR="006B681F" w:rsidRPr="00A41F97">
        <w:t>impurities</w:t>
      </w:r>
      <w:r w:rsidR="00830C09">
        <w:t xml:space="preserve"> to a minimum,</w:t>
      </w:r>
      <w:r w:rsidR="005C7B65">
        <w:fldChar w:fldCharType="begin" w:fldLock="1"/>
      </w:r>
      <w:r w:rsidR="00600480">
        <w:instrText>ADDIN CSL_CITATION { "citationItems" : [ { "id" : "ITEM-1", "itemData" : { "author" : [ { "dropping-particle" : "", "family" : "Melia", "given" : "T. P.", "non-dropping-particle" : "", "parse-names" : false, "suffix" : "" }, { "dropping-particle" : "", "family" : "Moffitt", "given" : "W. P.", "non-dropping-particle" : "", "parse-names" : false, "suffix" : "" } ], "container-title" : "J. Colloid Interface Sci.", "id" : "ITEM-1", "issued" : { "date-parts" : [ [ "1964" ] ] }, "page" : "443-447", "title" : "Crystallization from aqueous solution", "type" : "article-journal", "volume" : "19" }, "uris" : [ "http://www.mendeley.com/documents/?uuid=74ce5b5c-06c5-469b-ba69-1416a0400707" ] }, { "id" : "ITEM-2", "itemData" : { "author" : [ { "dropping-particle" : "", "family" : "Mossop", "given" : "S. C.", "non-dropping-particle" : "", "parse-names" : false, "suffix" : "" } ], "container-title" : "Proc. Phys. Soc., Sect. B", "id" : "ITEM-2", "issued" : { "date-parts" : [ [ "1954" ] ] }, "page" : "193-208", "title" : "The Freezing of Supercooled Water", "type" : "article-journal", "volume" : "68" }, "uris" : [ "http://www.mendeley.com/documents/?uuid=16e84eac-b1e3-4206-b79c-3fec33085dc1" ] } ], "mendeley" : { "formattedCitation" : "&lt;sup&gt;48,49&lt;/sup&gt;", "plainTextFormattedCitation" : "48,49", "previouslyFormattedCitation" : "&lt;sup&gt;48,49&lt;/sup&gt;" }, "properties" : { "noteIndex" : 0 }, "schema" : "https://github.com/citation-style-language/schema/raw/master/csl-citation.json" }</w:instrText>
      </w:r>
      <w:r w:rsidR="005C7B65">
        <w:fldChar w:fldCharType="separate"/>
      </w:r>
      <w:r w:rsidR="00290E7E" w:rsidRPr="00290E7E">
        <w:rPr>
          <w:noProof/>
          <w:vertAlign w:val="superscript"/>
        </w:rPr>
        <w:t>48,49</w:t>
      </w:r>
      <w:r w:rsidR="005C7B65">
        <w:fldChar w:fldCharType="end"/>
      </w:r>
      <w:r w:rsidR="005C7B65">
        <w:t xml:space="preserve"> </w:t>
      </w:r>
      <w:r w:rsidR="00830C09">
        <w:t>and</w:t>
      </w:r>
      <w:r w:rsidR="00F46613">
        <w:t xml:space="preserve"> to</w:t>
      </w:r>
      <w:r w:rsidR="00830C09">
        <w:t xml:space="preserve"> enable</w:t>
      </w:r>
      <w:r w:rsidR="00BE1E78">
        <w:t xml:space="preserve"> fast temperature equilibration</w:t>
      </w:r>
      <w:r w:rsidR="00F508B1" w:rsidRPr="00A41F97">
        <w:t>.</w:t>
      </w:r>
      <w:r w:rsidR="00105ABA" w:rsidRPr="00A41F97">
        <w:t xml:space="preserve"> New capillaries were used for each experiment</w:t>
      </w:r>
      <w:r w:rsidR="009A6070">
        <w:t xml:space="preserve"> to prevent inadvertent concentration gradients and seed crystals from repeated temperature cycling</w:t>
      </w:r>
      <w:r w:rsidR="005E192B">
        <w:t>.</w:t>
      </w:r>
    </w:p>
    <w:p w14:paraId="3CC4C569" w14:textId="77777777" w:rsidR="00D13548" w:rsidRDefault="00D13548" w:rsidP="00016F50">
      <w:pPr>
        <w:pStyle w:val="TAMainText"/>
      </w:pPr>
    </w:p>
    <w:p w14:paraId="3F209CA9" w14:textId="4CCE5664" w:rsidR="005A3C96" w:rsidRPr="00016F50" w:rsidRDefault="005A3C96" w:rsidP="00016F50">
      <w:pPr>
        <w:pStyle w:val="TAMainText"/>
        <w:ind w:firstLine="0"/>
        <w:rPr>
          <w:b/>
        </w:rPr>
      </w:pPr>
      <w:r w:rsidRPr="00016F50">
        <w:rPr>
          <w:b/>
        </w:rPr>
        <w:t xml:space="preserve">Optical </w:t>
      </w:r>
      <w:r w:rsidR="004164EF" w:rsidRPr="00016F50">
        <w:rPr>
          <w:b/>
        </w:rPr>
        <w:t>M</w:t>
      </w:r>
      <w:r w:rsidRPr="00016F50">
        <w:rPr>
          <w:b/>
        </w:rPr>
        <w:t>icroscopy</w:t>
      </w:r>
    </w:p>
    <w:p w14:paraId="0EA93EAC" w14:textId="186F764C" w:rsidR="00C07CA7" w:rsidRPr="00A41F97" w:rsidRDefault="00672176" w:rsidP="00016F50">
      <w:pPr>
        <w:pStyle w:val="TAMainText"/>
      </w:pPr>
      <w:r w:rsidRPr="00A41F97">
        <w:t>O</w:t>
      </w:r>
      <w:r w:rsidR="004E02B7" w:rsidRPr="00A41F97">
        <w:t xml:space="preserve">ptical microscopy </w:t>
      </w:r>
      <w:r w:rsidR="00725D6E">
        <w:t xml:space="preserve">was </w:t>
      </w:r>
      <w:r w:rsidR="00D16E04">
        <w:t>conducted</w:t>
      </w:r>
      <w:r w:rsidR="004E02B7" w:rsidRPr="00A41F97">
        <w:t xml:space="preserve"> with a reflection microscope (Ol</w:t>
      </w:r>
      <w:r w:rsidR="002F6A07">
        <w:t xml:space="preserve">ympus BX41M-LED, 10x objective), equipped </w:t>
      </w:r>
      <w:r w:rsidR="004E02B7" w:rsidRPr="00A41F97">
        <w:t>with a CCD camera (Allied Vision, Prosilica GX 1050C)</w:t>
      </w:r>
      <w:r w:rsidR="00725D6E">
        <w:t>;</w:t>
      </w:r>
      <w:r w:rsidR="004E02B7" w:rsidRPr="00A41F97">
        <w:t xml:space="preserve"> </w:t>
      </w:r>
      <w:r w:rsidR="00D51911">
        <w:t xml:space="preserve">the </w:t>
      </w:r>
      <w:r w:rsidR="004E02B7" w:rsidRPr="00A41F97">
        <w:t xml:space="preserve">images were </w:t>
      </w:r>
      <w:r w:rsidR="00725D6E">
        <w:t>analyzed</w:t>
      </w:r>
      <w:r w:rsidR="004E02B7" w:rsidRPr="00A41F97">
        <w:t xml:space="preserve"> </w:t>
      </w:r>
      <w:r w:rsidR="001E5E2D">
        <w:t>using</w:t>
      </w:r>
      <w:r w:rsidR="004E02B7" w:rsidRPr="00A41F97">
        <w:t xml:space="preserve"> ImageJ 1.4</w:t>
      </w:r>
      <w:r w:rsidR="00EE6890">
        <w:t>9</w:t>
      </w:r>
      <w:r w:rsidR="004E02B7" w:rsidRPr="00A41F97">
        <w:t>v (NIH)</w:t>
      </w:r>
      <w:r w:rsidR="00725D6E">
        <w:t>.</w:t>
      </w:r>
      <w:r w:rsidR="000647BD" w:rsidRPr="00A41F97">
        <w:t xml:space="preserve"> A </w:t>
      </w:r>
      <w:r w:rsidR="00D51198" w:rsidRPr="00A41F97">
        <w:t>temperature-controlled</w:t>
      </w:r>
      <w:r w:rsidR="000647BD" w:rsidRPr="00A41F97">
        <w:t xml:space="preserve"> stage (Linkam Scientific THMS600</w:t>
      </w:r>
      <w:r w:rsidR="00C07CA7">
        <w:t>)</w:t>
      </w:r>
      <w:r w:rsidR="000647BD" w:rsidRPr="00A41F97">
        <w:t xml:space="preserve"> </w:t>
      </w:r>
      <w:r w:rsidR="00C07CA7">
        <w:t>with</w:t>
      </w:r>
      <w:r w:rsidRPr="00A41F97">
        <w:t xml:space="preserve"> </w:t>
      </w:r>
      <w:r w:rsidR="00525D2A">
        <w:t xml:space="preserve">a </w:t>
      </w:r>
      <w:r w:rsidR="008866B5" w:rsidRPr="00A41F97">
        <w:t>stability and accuracy</w:t>
      </w:r>
      <w:r w:rsidR="00C07CA7">
        <w:t xml:space="preserve"> of</w:t>
      </w:r>
      <w:r w:rsidR="008866B5" w:rsidRPr="00A41F97">
        <w:t xml:space="preserve"> </w:t>
      </w:r>
      <w:r w:rsidR="000647BD" w:rsidRPr="00A41F97">
        <w:t xml:space="preserve">±0.1 </w:t>
      </w:r>
      <w:r w:rsidR="003B0F4C" w:rsidRPr="00A41F97">
        <w:t>°</w:t>
      </w:r>
      <w:r w:rsidR="000647BD" w:rsidRPr="00A41F97">
        <w:t>C</w:t>
      </w:r>
      <w:r w:rsidR="00C07CA7">
        <w:t xml:space="preserve"> was used</w:t>
      </w:r>
      <w:r w:rsidR="006B1773">
        <w:t xml:space="preserve"> to implement the ramps</w:t>
      </w:r>
      <w:r w:rsidR="000647BD" w:rsidRPr="00A41F97">
        <w:t>.</w:t>
      </w:r>
      <w:r w:rsidR="00253028" w:rsidRPr="00A41F97">
        <w:t xml:space="preserve"> Samples were</w:t>
      </w:r>
      <w:r w:rsidR="00C07CA7">
        <w:t xml:space="preserve"> </w:t>
      </w:r>
      <w:r w:rsidR="00253028" w:rsidRPr="00A41F97">
        <w:t>equilibrated at 22 °C for 20 min</w:t>
      </w:r>
      <w:r w:rsidR="00C07CA7">
        <w:t xml:space="preserve"> and were cooled</w:t>
      </w:r>
      <w:r w:rsidR="00253028" w:rsidRPr="00A41F97">
        <w:t xml:space="preserve"> linearly</w:t>
      </w:r>
      <w:r w:rsidR="00D51198" w:rsidRPr="00A41F97">
        <w:t xml:space="preserve">, at </w:t>
      </w:r>
      <w:r w:rsidR="00D51911">
        <w:t xml:space="preserve">fixed </w:t>
      </w:r>
      <w:r w:rsidR="00D51911" w:rsidRPr="00F155AE">
        <w:rPr>
          <w:rFonts w:ascii="Symbol" w:hAnsi="Symbol"/>
          <w:i/>
        </w:rPr>
        <w:t></w:t>
      </w:r>
      <w:r w:rsidR="00D51198" w:rsidRPr="00A41F97">
        <w:t xml:space="preserve"> </w:t>
      </w:r>
      <w:r w:rsidR="00A75397" w:rsidRPr="00A41F97">
        <w:t>to -5 °C</w:t>
      </w:r>
      <w:r w:rsidR="00C07CA7">
        <w:t>, as depicted in</w:t>
      </w:r>
      <w:r w:rsidR="008050C2" w:rsidRPr="00A41F97">
        <w:t xml:space="preserve"> Figure 1(c)</w:t>
      </w:r>
      <w:r w:rsidR="00A75397" w:rsidRPr="00A41F97">
        <w:t>.</w:t>
      </w:r>
      <w:r w:rsidR="00EC2A04" w:rsidRPr="00A41F97">
        <w:t xml:space="preserve"> </w:t>
      </w:r>
      <w:r w:rsidR="0080409A">
        <w:t xml:space="preserve">The measurements were repeated </w:t>
      </w:r>
      <w:r w:rsidR="00CC330B">
        <w:t xml:space="preserve">at least </w:t>
      </w:r>
      <w:r w:rsidR="0080409A">
        <w:t xml:space="preserve">three times for each </w:t>
      </w:r>
      <w:r w:rsidR="0080409A" w:rsidRPr="00F155AE">
        <w:rPr>
          <w:rFonts w:ascii="Symbol" w:hAnsi="Symbol"/>
          <w:i/>
        </w:rPr>
        <w:t></w:t>
      </w:r>
      <w:r w:rsidR="00C07CA7" w:rsidRPr="004924E1">
        <w:t>.</w:t>
      </w:r>
      <w:r w:rsidR="00C07CA7" w:rsidRPr="00C07CA7">
        <w:t xml:space="preserve"> </w:t>
      </w:r>
      <w:r w:rsidR="00EC2A04" w:rsidRPr="00A41F97">
        <w:t xml:space="preserve">The </w:t>
      </w:r>
      <w:r w:rsidR="00C07CA7">
        <w:t>following cooling rates were investigated</w:t>
      </w:r>
      <w:r w:rsidR="00EC2A04" w:rsidRPr="00A41F97">
        <w:t>:</w:t>
      </w:r>
      <w:r w:rsidR="00C07CA7">
        <w:t xml:space="preserve"> </w:t>
      </w:r>
      <w:r w:rsidR="0046699C" w:rsidRPr="00F155AE">
        <w:rPr>
          <w:rFonts w:ascii="Symbol" w:hAnsi="Symbol"/>
          <w:i/>
        </w:rPr>
        <w:t></w:t>
      </w:r>
      <w:r w:rsidR="00C07CA7" w:rsidRPr="00F155AE">
        <w:rPr>
          <w:i/>
        </w:rPr>
        <w:t xml:space="preserve"> = </w:t>
      </w:r>
      <w:r w:rsidR="00C07CA7" w:rsidRPr="00314DF1">
        <w:t>d</w:t>
      </w:r>
      <w:r w:rsidR="0046699C" w:rsidRPr="00F155AE">
        <w:rPr>
          <w:i/>
        </w:rPr>
        <w:t>T</w:t>
      </w:r>
      <w:r w:rsidR="00C07CA7" w:rsidRPr="00F155AE">
        <w:rPr>
          <w:i/>
        </w:rPr>
        <w:t>/</w:t>
      </w:r>
      <w:r w:rsidR="00C07CA7" w:rsidRPr="00314DF1">
        <w:t>d</w:t>
      </w:r>
      <w:r w:rsidR="0046699C" w:rsidRPr="00F155AE">
        <w:rPr>
          <w:i/>
        </w:rPr>
        <w:t>t</w:t>
      </w:r>
      <w:r w:rsidR="00C07CA7">
        <w:t xml:space="preserve"> =</w:t>
      </w:r>
      <w:r w:rsidR="00EC2A04" w:rsidRPr="00A41F97">
        <w:t xml:space="preserve"> 0.1, 0.5, 1.0, 5.0</w:t>
      </w:r>
      <w:r w:rsidR="00AA2209">
        <w:t xml:space="preserve"> and 10</w:t>
      </w:r>
      <w:r w:rsidR="00EC2A04" w:rsidRPr="00A41F97">
        <w:t xml:space="preserve"> °C min</w:t>
      </w:r>
      <w:r w:rsidR="00EC2A04" w:rsidRPr="00A41F97">
        <w:rPr>
          <w:vertAlign w:val="superscript"/>
        </w:rPr>
        <w:t>-1</w:t>
      </w:r>
      <w:r w:rsidR="00C07CA7">
        <w:t>, which were compared to</w:t>
      </w:r>
      <w:r w:rsidR="00AA2209">
        <w:t xml:space="preserve"> </w:t>
      </w:r>
      <w:r w:rsidR="00AA2209" w:rsidRPr="00A41F97">
        <w:t>50</w:t>
      </w:r>
      <w:r w:rsidR="00AA2209">
        <w:t xml:space="preserve"> </w:t>
      </w:r>
      <w:r w:rsidR="00AA2209" w:rsidRPr="00A41F97">
        <w:t>°C min</w:t>
      </w:r>
      <w:r w:rsidR="00AA2209" w:rsidRPr="00A41F97">
        <w:rPr>
          <w:vertAlign w:val="superscript"/>
        </w:rPr>
        <w:t>-1</w:t>
      </w:r>
      <w:r w:rsidR="00C07CA7">
        <w:t xml:space="preserve">, taken as </w:t>
      </w:r>
      <w:r w:rsidR="007054B5">
        <w:t>an</w:t>
      </w:r>
      <w:r w:rsidR="00C07CA7">
        <w:t xml:space="preserve"> isothermal reference</w:t>
      </w:r>
      <w:r w:rsidR="008F12FA" w:rsidRPr="00A41F97">
        <w:fldChar w:fldCharType="begin" w:fldLock="1"/>
      </w:r>
      <w:r w:rsidR="00600480">
        <w:instrText>ADDIN CSL_CITATION { "citationItems" : [ { "id" : "ITEM-1", "itemData" : { "author" : [ { "dropping-particle" : "", "family" : "Miller", "given" : "R. M.", "non-dropping-particle" : "", "parse-names" : false, "suffix" : "" }, { "dropping-particle" : "", "family" : "Poulos", "given" : "A. S.", "non-dropping-particle" : "", "parse-names" : false, "suffix" : "" }, { "dropping-particle" : "", "family" : "Robles", "given" : "E. S. J.", "non-dropping-particle" : "", "parse-names" : false, "suffix" : "" }, { "dropping-particle" : "", "family" : "Brooks", "given" : "N. J.", "non-dropping-particle" : "", "parse-names" : false, "suffix" : "" }, { "dropping-particle" : "", "family" : "Ces", "given" : "O.", "non-dropping-particle" : "", "parse-names" : false, "suffix" : "" }, { "dropping-particle" : "", "family" : "Cabral", "given" : "J. T.", "non-dropping-particle" : "", "parse-names" : false, "suffix" : "" } ], "container-title" : "Cryst. Growth Des.", "id" : "ITEM-1", "issued" : { "date-parts" : [ [ "2016" ] ] }, "page" : "3379-3388", "title" : "Isothermal Crystallization Kinetics of Sodium Dodecyl Sulfate\u2013Water Micellar Solutions", "type" : "article-journal", "volume" : "16" }, "uris" : [ "http://www.mendeley.com/documents/?uuid=c77d6518-e4f2-4f40-95b8-ff5cf089bc17" ] } ], "mendeley" : { "formattedCitation" : "&lt;sup&gt;41&lt;/sup&gt;", "plainTextFormattedCitation" : "41", "previouslyFormattedCitation" : "&lt;sup&gt;41&lt;/sup&gt;" }, "properties" : { "noteIndex" : 0 }, "schema" : "https://github.com/citation-style-language/schema/raw/master/csl-citation.json" }</w:instrText>
      </w:r>
      <w:r w:rsidR="008F12FA" w:rsidRPr="00A41F97">
        <w:fldChar w:fldCharType="separate"/>
      </w:r>
      <w:r w:rsidR="00290E7E" w:rsidRPr="00290E7E">
        <w:rPr>
          <w:noProof/>
          <w:vertAlign w:val="superscript"/>
        </w:rPr>
        <w:t>41</w:t>
      </w:r>
      <w:r w:rsidR="008F12FA" w:rsidRPr="00A41F97">
        <w:fldChar w:fldCharType="end"/>
      </w:r>
      <w:r w:rsidR="00A75397" w:rsidRPr="00A41F97">
        <w:t xml:space="preserve"> </w:t>
      </w:r>
      <w:r w:rsidR="00470C09">
        <w:t>(where</w:t>
      </w:r>
      <w:r w:rsidR="00470C09" w:rsidRPr="00470C09">
        <w:t xml:space="preserve"> nucleation and thermal equilibration times becomes comparable</w:t>
      </w:r>
      <w:r w:rsidR="00470C09">
        <w:t>)</w:t>
      </w:r>
      <w:r w:rsidR="00470C09" w:rsidRPr="00470C09">
        <w:t xml:space="preserve">. </w:t>
      </w:r>
      <w:r w:rsidR="00BD772D">
        <w:t>T</w:t>
      </w:r>
      <w:r w:rsidR="00C07CA7" w:rsidRPr="004924E1">
        <w:t>ime zero</w:t>
      </w:r>
      <w:r w:rsidR="00792E51">
        <w:t xml:space="preserve"> (</w:t>
      </w:r>
      <w:r w:rsidR="00C07CA7" w:rsidRPr="00F155AE">
        <w:rPr>
          <w:i/>
        </w:rPr>
        <w:t>t</w:t>
      </w:r>
      <w:r w:rsidR="00C07CA7" w:rsidRPr="004924E1">
        <w:t xml:space="preserve"> = 0</w:t>
      </w:r>
      <w:r w:rsidR="00792E51">
        <w:t>)</w:t>
      </w:r>
      <w:r w:rsidR="00C07CA7" w:rsidRPr="004924E1">
        <w:t xml:space="preserve"> is </w:t>
      </w:r>
      <w:r w:rsidR="00BD772D">
        <w:t>d</w:t>
      </w:r>
      <w:r w:rsidR="00C07CA7" w:rsidRPr="004924E1">
        <w:t xml:space="preserve">efined </w:t>
      </w:r>
      <w:r w:rsidR="00C07CA7">
        <w:t>at</w:t>
      </w:r>
      <w:r w:rsidR="00C07CA7" w:rsidRPr="004924E1">
        <w:t xml:space="preserve"> the </w:t>
      </w:r>
      <w:r w:rsidR="00C07CA7">
        <w:t xml:space="preserve">thermodynamic </w:t>
      </w:r>
      <w:r w:rsidR="00FD7FAA">
        <w:t>crystal-to-micellar</w:t>
      </w:r>
      <w:r w:rsidR="00C07CA7">
        <w:t xml:space="preserve"> </w:t>
      </w:r>
      <w:r w:rsidR="00C07CA7" w:rsidRPr="004924E1">
        <w:t xml:space="preserve">transition </w:t>
      </w:r>
      <w:r w:rsidR="00C07CA7">
        <w:t xml:space="preserve">temperature of </w:t>
      </w:r>
      <w:r w:rsidR="00BD772D">
        <w:t>19</w:t>
      </w:r>
      <w:r w:rsidR="007C1E6D">
        <w:t>.1</w:t>
      </w:r>
      <w:r w:rsidR="00205EAE">
        <w:t xml:space="preserve"> °C (</w:t>
      </w:r>
      <w:r w:rsidR="008C0150">
        <w:t xml:space="preserve">the </w:t>
      </w:r>
      <w:r w:rsidR="00205EAE">
        <w:t>determination</w:t>
      </w:r>
      <w:r w:rsidR="008C0150">
        <w:t xml:space="preserve"> is</w:t>
      </w:r>
      <w:r w:rsidR="00205EAE">
        <w:t xml:space="preserve"> discussed later), </w:t>
      </w:r>
      <w:r w:rsidR="00C07CA7" w:rsidRPr="004924E1">
        <w:t>as opposed to the starting point of 22 °C</w:t>
      </w:r>
      <w:r w:rsidR="008C0150">
        <w:t xml:space="preserve">. The ramps </w:t>
      </w:r>
      <w:r w:rsidR="00BD772D">
        <w:t>therefore take between 14</w:t>
      </w:r>
      <w:r w:rsidR="007C1E6D">
        <w:t>5</w:t>
      </w:r>
      <w:r w:rsidR="00BD772D">
        <w:t xml:space="preserve"> </w:t>
      </w:r>
      <w:r w:rsidR="00BD772D" w:rsidRPr="00A41F97">
        <w:t>and 1</w:t>
      </w:r>
      <w:r w:rsidR="00BD772D">
        <w:t>44</w:t>
      </w:r>
      <w:r w:rsidR="007C1E6D">
        <w:t>6</w:t>
      </w:r>
      <w:r w:rsidR="00BD772D" w:rsidRPr="00A41F97">
        <w:t>0 s</w:t>
      </w:r>
      <w:r w:rsidR="00205EAE">
        <w:t xml:space="preserve"> after crossing the boundary</w:t>
      </w:r>
      <w:r w:rsidR="00BD772D" w:rsidRPr="00A41F97">
        <w:t xml:space="preserve">, depending on </w:t>
      </w:r>
      <w:r w:rsidR="00BD772D" w:rsidRPr="00F155AE">
        <w:rPr>
          <w:rFonts w:ascii="Symbol" w:hAnsi="Symbol"/>
          <w:i/>
        </w:rPr>
        <w:t></w:t>
      </w:r>
      <w:r w:rsidR="00C07CA7" w:rsidRPr="004924E1">
        <w:t xml:space="preserve">. The data </w:t>
      </w:r>
      <w:r w:rsidR="00C07CA7">
        <w:t xml:space="preserve">was analyzed </w:t>
      </w:r>
      <w:r w:rsidR="00C07CA7" w:rsidRPr="00A41F97">
        <w:t>in both temperature</w:t>
      </w:r>
      <w:r w:rsidR="00CC62FA">
        <w:t xml:space="preserve"> (</w:t>
      </w:r>
      <w:r w:rsidR="00CC62FA" w:rsidRPr="00F155AE">
        <w:rPr>
          <w:i/>
        </w:rPr>
        <w:t>T</w:t>
      </w:r>
      <w:r w:rsidR="00CC62FA">
        <w:t>)</w:t>
      </w:r>
      <w:r w:rsidR="00C07CA7" w:rsidRPr="00A41F97">
        <w:t xml:space="preserve"> and time</w:t>
      </w:r>
      <w:r w:rsidR="00CC62FA">
        <w:t xml:space="preserve"> </w:t>
      </w:r>
      <w:r w:rsidR="00CC62FA" w:rsidRPr="00CC62FA">
        <w:t>(</w:t>
      </w:r>
      <w:r w:rsidR="00CC62FA" w:rsidRPr="00F155AE">
        <w:rPr>
          <w:i/>
        </w:rPr>
        <w:t>t</w:t>
      </w:r>
      <w:r w:rsidR="00CC62FA" w:rsidRPr="00CC62FA">
        <w:t>)</w:t>
      </w:r>
      <w:r w:rsidR="00C07CA7" w:rsidRPr="00A41F97">
        <w:t xml:space="preserve">, </w:t>
      </w:r>
      <w:r w:rsidR="00C07CA7">
        <w:t xml:space="preserve">to decouple their combined effects </w:t>
      </w:r>
      <w:r w:rsidR="0041177A">
        <w:t>o</w:t>
      </w:r>
      <w:r w:rsidR="00C07CA7">
        <w:t>n</w:t>
      </w:r>
      <w:r w:rsidR="00C422E3">
        <w:t xml:space="preserve"> the</w:t>
      </w:r>
      <w:r w:rsidR="00C07CA7">
        <w:t xml:space="preserve"> crystallization process. </w:t>
      </w:r>
    </w:p>
    <w:p w14:paraId="186DAC64" w14:textId="77777777" w:rsidR="000F4BDF" w:rsidRPr="00A41F97" w:rsidRDefault="000F4BDF" w:rsidP="00C12FBE">
      <w:pPr>
        <w:pStyle w:val="TAMainText"/>
      </w:pPr>
    </w:p>
    <w:p w14:paraId="770D77AF" w14:textId="649E79D7" w:rsidR="00547D4B" w:rsidRPr="00C12FBE" w:rsidRDefault="00547D4B" w:rsidP="00C12FBE">
      <w:pPr>
        <w:pStyle w:val="TAMainText"/>
        <w:ind w:firstLine="0"/>
        <w:rPr>
          <w:b/>
        </w:rPr>
      </w:pPr>
      <w:r w:rsidRPr="001C26C1">
        <w:rPr>
          <w:b/>
        </w:rPr>
        <w:t xml:space="preserve">Analysis </w:t>
      </w:r>
      <w:r w:rsidR="004164EF" w:rsidRPr="001C26C1">
        <w:rPr>
          <w:b/>
        </w:rPr>
        <w:t>P</w:t>
      </w:r>
      <w:r w:rsidRPr="001C26C1">
        <w:rPr>
          <w:b/>
        </w:rPr>
        <w:t>rocedure</w:t>
      </w:r>
    </w:p>
    <w:p w14:paraId="11C9F8EB" w14:textId="31591AA7" w:rsidR="00AF294F" w:rsidRPr="00AF294F" w:rsidRDefault="00AF294F" w:rsidP="00C12FBE">
      <w:pPr>
        <w:pStyle w:val="TAMainText"/>
      </w:pPr>
      <w:r>
        <w:t>O</w:t>
      </w:r>
      <w:r w:rsidRPr="00B51A24">
        <w:t xml:space="preserve">ptical microscopy </w:t>
      </w:r>
      <w:r>
        <w:t xml:space="preserve">image analysis </w:t>
      </w:r>
      <w:r w:rsidRPr="0099736D">
        <w:rPr>
          <w:rFonts w:cstheme="majorHAnsi"/>
        </w:rPr>
        <w:t>was carried out on a representative area (Σ</w:t>
      </w:r>
      <w:r w:rsidRPr="0099736D">
        <w:rPr>
          <w:rFonts w:cstheme="majorHAnsi"/>
          <w:i/>
        </w:rPr>
        <w:t>A</w:t>
      </w:r>
      <w:r w:rsidR="00D6592D" w:rsidRPr="00EC3D65">
        <w:rPr>
          <w:rFonts w:cstheme="majorHAnsi"/>
        </w:rPr>
        <w:t xml:space="preserve"> = </w:t>
      </w:r>
      <w:r w:rsidR="00D6592D" w:rsidRPr="0099736D">
        <w:rPr>
          <w:rFonts w:cstheme="majorHAnsi"/>
        </w:rPr>
        <w:t>0.2 mm</w:t>
      </w:r>
      <w:r w:rsidR="00D6592D" w:rsidRPr="0099736D">
        <w:rPr>
          <w:rFonts w:cstheme="majorHAnsi"/>
          <w:vertAlign w:val="superscript"/>
        </w:rPr>
        <w:t>2</w:t>
      </w:r>
      <w:r w:rsidRPr="0099736D">
        <w:rPr>
          <w:rFonts w:cstheme="majorHAnsi"/>
        </w:rPr>
        <w:t xml:space="preserve">), from </w:t>
      </w:r>
      <w:r w:rsidRPr="0099736D">
        <w:rPr>
          <w:rFonts w:cstheme="majorHAnsi"/>
          <w:i/>
        </w:rPr>
        <w:t>T</w:t>
      </w:r>
      <w:r w:rsidRPr="0099736D">
        <w:rPr>
          <w:rFonts w:cstheme="majorHAnsi"/>
        </w:rPr>
        <w:t xml:space="preserve"> = </w:t>
      </w:r>
      <w:r w:rsidR="008F3340">
        <w:rPr>
          <w:rFonts w:cstheme="majorHAnsi"/>
        </w:rPr>
        <w:t>22</w:t>
      </w:r>
      <w:r w:rsidRPr="0099736D">
        <w:rPr>
          <w:rFonts w:cstheme="majorHAnsi"/>
        </w:rPr>
        <w:t xml:space="preserve"> to -5 °C to determine: the area number density of nuclei (</w:t>
      </w:r>
      <w:r w:rsidRPr="0099736D">
        <w:rPr>
          <w:rFonts w:cstheme="majorHAnsi"/>
          <w:i/>
        </w:rPr>
        <w:t>N</w:t>
      </w:r>
      <w:r w:rsidRPr="0099736D">
        <w:rPr>
          <w:rFonts w:cstheme="majorHAnsi"/>
          <w:vertAlign w:val="subscript"/>
        </w:rPr>
        <w:t>d</w:t>
      </w:r>
      <w:r w:rsidRPr="0099736D">
        <w:rPr>
          <w:rFonts w:cstheme="majorHAnsi"/>
        </w:rPr>
        <w:t>), total crystal number density (</w:t>
      </w:r>
      <w:r w:rsidRPr="0099736D">
        <w:rPr>
          <w:rFonts w:cstheme="majorHAnsi"/>
          <w:i/>
        </w:rPr>
        <w:t>N</w:t>
      </w:r>
      <w:r w:rsidRPr="0099736D">
        <w:rPr>
          <w:rFonts w:cstheme="majorHAnsi"/>
          <w:vertAlign w:val="subscript"/>
        </w:rPr>
        <w:t>∞</w:t>
      </w:r>
      <w:r w:rsidRPr="0099736D">
        <w:rPr>
          <w:rFonts w:cstheme="majorHAnsi"/>
        </w:rPr>
        <w:t>) and the maximum nucleation rates in both time ((d</w:t>
      </w:r>
      <w:r w:rsidRPr="0099736D">
        <w:rPr>
          <w:rFonts w:cstheme="majorHAnsi"/>
          <w:i/>
        </w:rPr>
        <w:t>N</w:t>
      </w:r>
      <w:r w:rsidRPr="0099736D">
        <w:rPr>
          <w:rFonts w:cstheme="majorHAnsi"/>
          <w:vertAlign w:val="subscript"/>
        </w:rPr>
        <w:t>d</w:t>
      </w:r>
      <w:r w:rsidRPr="0099736D">
        <w:rPr>
          <w:rFonts w:cstheme="majorHAnsi"/>
        </w:rPr>
        <w:t>/d</w:t>
      </w:r>
      <w:r w:rsidRPr="0099736D">
        <w:rPr>
          <w:rFonts w:cstheme="majorHAnsi"/>
          <w:i/>
        </w:rPr>
        <w:t>t)</w:t>
      </w:r>
      <w:r w:rsidRPr="0099736D">
        <w:rPr>
          <w:rFonts w:cstheme="majorHAnsi"/>
          <w:vertAlign w:val="subscript"/>
        </w:rPr>
        <w:t>max</w:t>
      </w:r>
      <w:r w:rsidRPr="0099736D">
        <w:rPr>
          <w:rFonts w:cstheme="majorHAnsi"/>
        </w:rPr>
        <w:t>) and temperature ((d</w:t>
      </w:r>
      <w:r w:rsidRPr="0099736D">
        <w:rPr>
          <w:rFonts w:cstheme="majorHAnsi"/>
          <w:i/>
        </w:rPr>
        <w:t>N</w:t>
      </w:r>
      <w:r w:rsidRPr="0099736D">
        <w:rPr>
          <w:rFonts w:cstheme="majorHAnsi"/>
          <w:vertAlign w:val="subscript"/>
        </w:rPr>
        <w:t>d</w:t>
      </w:r>
      <w:r w:rsidRPr="0099736D">
        <w:rPr>
          <w:rFonts w:cstheme="majorHAnsi"/>
        </w:rPr>
        <w:t>/d</w:t>
      </w:r>
      <w:r w:rsidRPr="0099736D">
        <w:rPr>
          <w:rFonts w:cstheme="majorHAnsi"/>
          <w:i/>
        </w:rPr>
        <w:t>T)</w:t>
      </w:r>
      <w:r w:rsidRPr="0099736D">
        <w:rPr>
          <w:rFonts w:cstheme="majorHAnsi"/>
          <w:vertAlign w:val="subscript"/>
        </w:rPr>
        <w:t>max</w:t>
      </w:r>
      <w:r w:rsidRPr="0099736D">
        <w:rPr>
          <w:rFonts w:cstheme="majorHAnsi"/>
        </w:rPr>
        <w:t>).</w:t>
      </w:r>
      <w:r w:rsidR="00F80717">
        <w:rPr>
          <w:rFonts w:cstheme="majorHAnsi"/>
        </w:rPr>
        <w:t xml:space="preserve"> </w:t>
      </w:r>
      <w:r w:rsidR="002B6986" w:rsidRPr="002B6986">
        <w:rPr>
          <w:rFonts w:cstheme="majorHAnsi"/>
          <w:color w:val="FF0000"/>
        </w:rPr>
        <w:t>Details of this procedure</w:t>
      </w:r>
      <w:r w:rsidR="00F80717">
        <w:rPr>
          <w:rFonts w:cstheme="majorHAnsi"/>
          <w:color w:val="FF0000"/>
        </w:rPr>
        <w:t>, including the definition of ‘representative area’,</w:t>
      </w:r>
      <w:r w:rsidR="002B6986" w:rsidRPr="002B6986">
        <w:rPr>
          <w:rFonts w:cstheme="majorHAnsi"/>
          <w:color w:val="FF0000"/>
        </w:rPr>
        <w:t xml:space="preserve"> are included in Supporting Information</w:t>
      </w:r>
      <w:r w:rsidR="00F80717">
        <w:rPr>
          <w:rFonts w:cstheme="majorHAnsi"/>
          <w:color w:val="FF0000"/>
        </w:rPr>
        <w:t xml:space="preserve"> Figures 1-2</w:t>
      </w:r>
      <w:r w:rsidR="002B6986" w:rsidRPr="002B6986">
        <w:rPr>
          <w:rFonts w:cstheme="majorHAnsi"/>
          <w:color w:val="FF0000"/>
        </w:rPr>
        <w:t>.</w:t>
      </w:r>
      <w:r w:rsidR="002B6986">
        <w:rPr>
          <w:rFonts w:cstheme="majorHAnsi"/>
        </w:rPr>
        <w:t xml:space="preserve"> </w:t>
      </w:r>
      <w:r w:rsidR="00BF60FB" w:rsidRPr="0099736D">
        <w:rPr>
          <w:rFonts w:cstheme="majorHAnsi"/>
        </w:rPr>
        <w:t>Additionally</w:t>
      </w:r>
      <w:r w:rsidR="001C26C1">
        <w:rPr>
          <w:rFonts w:cstheme="majorHAnsi"/>
        </w:rPr>
        <w:t>,</w:t>
      </w:r>
      <w:r w:rsidR="00BF60FB" w:rsidRPr="0099736D">
        <w:rPr>
          <w:rFonts w:cstheme="majorHAnsi"/>
        </w:rPr>
        <w:t xml:space="preserve"> the induction</w:t>
      </w:r>
      <w:r w:rsidR="001465D7">
        <w:rPr>
          <w:rFonts w:cstheme="majorHAnsi"/>
        </w:rPr>
        <w:t xml:space="preserve"> </w:t>
      </w:r>
      <w:r w:rsidR="001465D7" w:rsidRPr="0099736D">
        <w:rPr>
          <w:rFonts w:cstheme="majorHAnsi"/>
        </w:rPr>
        <w:t>(</w:t>
      </w:r>
      <w:r w:rsidR="001465D7" w:rsidRPr="0099736D">
        <w:rPr>
          <w:rFonts w:cstheme="majorHAnsi"/>
          <w:i/>
        </w:rPr>
        <w:t>t</w:t>
      </w:r>
      <w:r w:rsidR="001465D7" w:rsidRPr="0099736D">
        <w:rPr>
          <w:rFonts w:cstheme="majorHAnsi"/>
          <w:vertAlign w:val="subscript"/>
        </w:rPr>
        <w:t>ind</w:t>
      </w:r>
      <w:r w:rsidR="001465D7" w:rsidRPr="0099736D">
        <w:rPr>
          <w:rFonts w:cstheme="majorHAnsi"/>
        </w:rPr>
        <w:t>,</w:t>
      </w:r>
      <w:r w:rsidR="001465D7" w:rsidRPr="0099736D">
        <w:rPr>
          <w:rFonts w:cstheme="majorHAnsi"/>
          <w:i/>
        </w:rPr>
        <w:t xml:space="preserve"> T</w:t>
      </w:r>
      <w:r w:rsidR="001465D7" w:rsidRPr="0099736D">
        <w:rPr>
          <w:rFonts w:cstheme="majorHAnsi"/>
          <w:vertAlign w:val="subscript"/>
        </w:rPr>
        <w:t>ind</w:t>
      </w:r>
      <w:r w:rsidR="001465D7">
        <w:rPr>
          <w:rFonts w:cstheme="majorHAnsi"/>
        </w:rPr>
        <w:t>)</w:t>
      </w:r>
      <w:r w:rsidR="00BF60FB" w:rsidRPr="0099736D">
        <w:rPr>
          <w:rFonts w:cstheme="majorHAnsi"/>
        </w:rPr>
        <w:t>, completion</w:t>
      </w:r>
      <w:r w:rsidR="001465D7">
        <w:rPr>
          <w:rFonts w:cstheme="majorHAnsi"/>
        </w:rPr>
        <w:t xml:space="preserve"> (</w:t>
      </w:r>
      <w:r w:rsidR="001465D7" w:rsidRPr="0099736D">
        <w:rPr>
          <w:rFonts w:cstheme="majorHAnsi"/>
          <w:i/>
        </w:rPr>
        <w:t>t</w:t>
      </w:r>
      <w:r w:rsidR="001465D7" w:rsidRPr="0099736D">
        <w:rPr>
          <w:rFonts w:cstheme="majorHAnsi"/>
          <w:vertAlign w:val="subscript"/>
        </w:rPr>
        <w:t>f(N)</w:t>
      </w:r>
      <w:r w:rsidR="001465D7" w:rsidRPr="0099736D">
        <w:rPr>
          <w:rFonts w:cstheme="majorHAnsi"/>
        </w:rPr>
        <w:t xml:space="preserve">, </w:t>
      </w:r>
      <w:r w:rsidR="001465D7" w:rsidRPr="0099736D">
        <w:rPr>
          <w:rFonts w:cstheme="majorHAnsi"/>
          <w:i/>
        </w:rPr>
        <w:t>T</w:t>
      </w:r>
      <w:r w:rsidR="001465D7" w:rsidRPr="0099736D">
        <w:rPr>
          <w:rFonts w:cstheme="majorHAnsi"/>
          <w:vertAlign w:val="subscript"/>
        </w:rPr>
        <w:t>f(N)</w:t>
      </w:r>
      <w:r w:rsidR="001465D7">
        <w:rPr>
          <w:rFonts w:cstheme="majorHAnsi"/>
        </w:rPr>
        <w:t>)</w:t>
      </w:r>
      <w:r w:rsidR="00BF60FB" w:rsidRPr="0099736D">
        <w:rPr>
          <w:rFonts w:cstheme="majorHAnsi"/>
        </w:rPr>
        <w:t>, and duration</w:t>
      </w:r>
      <w:r w:rsidR="001465D7">
        <w:rPr>
          <w:rFonts w:cstheme="majorHAnsi"/>
        </w:rPr>
        <w:t xml:space="preserve"> (</w:t>
      </w:r>
      <w:r w:rsidR="001465D7" w:rsidRPr="0099736D">
        <w:rPr>
          <w:rFonts w:cstheme="majorHAnsi"/>
          <w:i/>
        </w:rPr>
        <w:t>∆t</w:t>
      </w:r>
      <w:r w:rsidR="001465D7" w:rsidRPr="0099736D">
        <w:rPr>
          <w:rFonts w:cstheme="majorHAnsi"/>
          <w:vertAlign w:val="subscript"/>
        </w:rPr>
        <w:t>(N)</w:t>
      </w:r>
      <w:r w:rsidR="001465D7" w:rsidRPr="0099736D">
        <w:rPr>
          <w:rFonts w:cstheme="majorHAnsi"/>
        </w:rPr>
        <w:t>, Δ</w:t>
      </w:r>
      <w:r w:rsidR="001465D7" w:rsidRPr="0099736D">
        <w:rPr>
          <w:rFonts w:cstheme="majorHAnsi"/>
          <w:i/>
        </w:rPr>
        <w:t>T</w:t>
      </w:r>
      <w:r w:rsidR="001465D7" w:rsidRPr="0099736D">
        <w:rPr>
          <w:rFonts w:cstheme="majorHAnsi"/>
          <w:vertAlign w:val="subscript"/>
        </w:rPr>
        <w:t>(N)</w:t>
      </w:r>
      <w:r w:rsidR="001465D7" w:rsidRPr="0099736D">
        <w:rPr>
          <w:rFonts w:cstheme="majorHAnsi"/>
        </w:rPr>
        <w:t>)</w:t>
      </w:r>
      <w:r w:rsidR="00BF60FB" w:rsidRPr="0099736D">
        <w:rPr>
          <w:rFonts w:cstheme="majorHAnsi"/>
        </w:rPr>
        <w:t xml:space="preserve"> times for nucleation and</w:t>
      </w:r>
      <w:r w:rsidR="001465D7">
        <w:rPr>
          <w:rFonts w:cstheme="majorHAnsi"/>
        </w:rPr>
        <w:t xml:space="preserve"> the corresponding temperatures</w:t>
      </w:r>
      <w:r w:rsidR="00BF60FB" w:rsidRPr="0099736D">
        <w:rPr>
          <w:rFonts w:cstheme="majorHAnsi"/>
        </w:rPr>
        <w:t xml:space="preserve"> w</w:t>
      </w:r>
      <w:r w:rsidR="0099736D" w:rsidRPr="0099736D">
        <w:rPr>
          <w:rFonts w:cstheme="majorHAnsi"/>
        </w:rPr>
        <w:t>ere</w:t>
      </w:r>
      <w:r w:rsidR="00BF60FB" w:rsidRPr="0099736D">
        <w:rPr>
          <w:rFonts w:cstheme="majorHAnsi"/>
        </w:rPr>
        <w:t xml:space="preserve"> extracted. Similar analysis was performed for the growth, based on the crystal area fraction (</w:t>
      </w:r>
      <w:r w:rsidR="00BF60FB" w:rsidRPr="0099736D">
        <w:rPr>
          <w:rFonts w:cstheme="majorHAnsi"/>
          <w:i/>
        </w:rPr>
        <w:t>A</w:t>
      </w:r>
      <w:r w:rsidR="00BF60FB" w:rsidRPr="0099736D">
        <w:rPr>
          <w:rFonts w:cstheme="majorHAnsi"/>
          <w:vertAlign w:val="subscript"/>
        </w:rPr>
        <w:t>f</w:t>
      </w:r>
      <w:r w:rsidR="00BF60FB" w:rsidRPr="0099736D">
        <w:rPr>
          <w:rFonts w:cstheme="majorHAnsi"/>
        </w:rPr>
        <w:t xml:space="preserve"> = </w:t>
      </w:r>
      <w:r w:rsidR="00BF60FB" w:rsidRPr="0099736D">
        <w:rPr>
          <w:rFonts w:cstheme="majorHAnsi"/>
          <w:i/>
        </w:rPr>
        <w:t>α</w:t>
      </w:r>
      <w:r w:rsidR="00BF60FB" w:rsidRPr="0099736D">
        <w:rPr>
          <w:rFonts w:cstheme="majorHAnsi"/>
        </w:rPr>
        <w:t xml:space="preserve"> = </w:t>
      </w:r>
      <w:r w:rsidR="00BF60FB" w:rsidRPr="0099736D">
        <w:rPr>
          <w:rFonts w:cstheme="majorHAnsi"/>
          <w:i/>
        </w:rPr>
        <w:t>A</w:t>
      </w:r>
      <w:r w:rsidR="00BF60FB" w:rsidRPr="0099736D">
        <w:rPr>
          <w:rFonts w:cstheme="majorHAnsi"/>
        </w:rPr>
        <w:t>/Σ</w:t>
      </w:r>
      <w:r w:rsidR="00BF60FB" w:rsidRPr="0099736D">
        <w:rPr>
          <w:rFonts w:cstheme="majorHAnsi"/>
          <w:i/>
        </w:rPr>
        <w:t>A</w:t>
      </w:r>
      <w:r w:rsidR="00487FB3">
        <w:rPr>
          <w:rFonts w:cstheme="majorHAnsi"/>
        </w:rPr>
        <w:t xml:space="preserve">); </w:t>
      </w:r>
      <w:r w:rsidR="00BF60FB" w:rsidRPr="0099736D">
        <w:rPr>
          <w:rFonts w:cstheme="majorHAnsi"/>
        </w:rPr>
        <w:t>the growth finish time</w:t>
      </w:r>
      <w:r w:rsidR="00F647A6">
        <w:rPr>
          <w:rFonts w:cstheme="majorHAnsi"/>
        </w:rPr>
        <w:t xml:space="preserve"> </w:t>
      </w:r>
      <w:r w:rsidR="00F647A6" w:rsidRPr="0099736D">
        <w:rPr>
          <w:rFonts w:cstheme="majorHAnsi"/>
        </w:rPr>
        <w:t>(</w:t>
      </w:r>
      <w:r w:rsidR="00F647A6" w:rsidRPr="0099736D">
        <w:rPr>
          <w:rFonts w:cstheme="majorHAnsi"/>
          <w:i/>
        </w:rPr>
        <w:t>t</w:t>
      </w:r>
      <w:r w:rsidR="00F647A6" w:rsidRPr="0099736D">
        <w:rPr>
          <w:rFonts w:cstheme="majorHAnsi"/>
          <w:vertAlign w:val="subscript"/>
        </w:rPr>
        <w:t>f</w:t>
      </w:r>
      <w:r w:rsidR="00F647A6" w:rsidRPr="0099736D">
        <w:rPr>
          <w:rFonts w:cstheme="majorHAnsi"/>
        </w:rPr>
        <w:t>,</w:t>
      </w:r>
      <w:r w:rsidR="00F647A6">
        <w:rPr>
          <w:rFonts w:cstheme="majorHAnsi"/>
        </w:rPr>
        <w:t>)</w:t>
      </w:r>
      <w:r w:rsidR="00BF60FB" w:rsidRPr="0099736D">
        <w:rPr>
          <w:rFonts w:cstheme="majorHAnsi"/>
        </w:rPr>
        <w:t>, temperature</w:t>
      </w:r>
      <w:r w:rsidR="00F647A6">
        <w:rPr>
          <w:rFonts w:cstheme="majorHAnsi"/>
        </w:rPr>
        <w:t xml:space="preserve"> (</w:t>
      </w:r>
      <w:r w:rsidR="00F647A6" w:rsidRPr="0099736D">
        <w:rPr>
          <w:rFonts w:cstheme="majorHAnsi"/>
          <w:i/>
        </w:rPr>
        <w:t>T</w:t>
      </w:r>
      <w:r w:rsidR="00F647A6" w:rsidRPr="0099736D">
        <w:rPr>
          <w:rFonts w:cstheme="majorHAnsi"/>
          <w:vertAlign w:val="subscript"/>
        </w:rPr>
        <w:t>f</w:t>
      </w:r>
      <w:r w:rsidR="00F647A6" w:rsidRPr="0099736D">
        <w:rPr>
          <w:rFonts w:cstheme="majorHAnsi"/>
        </w:rPr>
        <w:t>,</w:t>
      </w:r>
      <w:r w:rsidR="00F647A6">
        <w:rPr>
          <w:rFonts w:cstheme="majorHAnsi"/>
        </w:rPr>
        <w:t>)</w:t>
      </w:r>
      <w:r w:rsidR="00BF60FB" w:rsidRPr="0099736D">
        <w:rPr>
          <w:rFonts w:cstheme="majorHAnsi"/>
        </w:rPr>
        <w:t xml:space="preserve"> and duration </w:t>
      </w:r>
      <w:r w:rsidR="00F647A6">
        <w:rPr>
          <w:rFonts w:cstheme="majorHAnsi"/>
        </w:rPr>
        <w:t>(</w:t>
      </w:r>
      <w:r w:rsidR="00BF60FB" w:rsidRPr="0099736D">
        <w:rPr>
          <w:rFonts w:cstheme="majorHAnsi"/>
        </w:rPr>
        <w:t>∆</w:t>
      </w:r>
      <w:r w:rsidR="00BF60FB" w:rsidRPr="0099736D">
        <w:rPr>
          <w:rFonts w:cstheme="majorHAnsi"/>
          <w:i/>
        </w:rPr>
        <w:t>t</w:t>
      </w:r>
      <w:r w:rsidR="00BF60FB" w:rsidRPr="0099736D">
        <w:rPr>
          <w:rFonts w:cstheme="majorHAnsi"/>
        </w:rPr>
        <w:t>, ∆</w:t>
      </w:r>
      <w:r w:rsidR="00BF60FB" w:rsidRPr="0099736D">
        <w:rPr>
          <w:rFonts w:cstheme="majorHAnsi"/>
          <w:i/>
        </w:rPr>
        <w:t>T</w:t>
      </w:r>
      <w:r w:rsidR="00BF60FB" w:rsidRPr="0099736D">
        <w:rPr>
          <w:rFonts w:cstheme="majorHAnsi"/>
          <w:vertAlign w:val="subscript"/>
        </w:rPr>
        <w:t>f</w:t>
      </w:r>
      <w:r w:rsidR="00BF60FB" w:rsidRPr="0099736D">
        <w:rPr>
          <w:rFonts w:cstheme="majorHAnsi"/>
        </w:rPr>
        <w:t>). A detailed example of the analysis and these</w:t>
      </w:r>
      <w:r w:rsidR="00BF60FB">
        <w:t xml:space="preserve"> notations are provided in the Supporting Information (Figure S</w:t>
      </w:r>
      <w:r w:rsidR="003820E8">
        <w:t>1</w:t>
      </w:r>
      <w:r w:rsidR="00BF60FB">
        <w:t xml:space="preserve">). Values for </w:t>
      </w:r>
      <w:r w:rsidR="00BF60FB" w:rsidRPr="00292852">
        <w:rPr>
          <w:i/>
        </w:rPr>
        <w:t>t</w:t>
      </w:r>
      <w:r w:rsidR="00BF60FB" w:rsidRPr="00292852">
        <w:rPr>
          <w:vertAlign w:val="subscript"/>
        </w:rPr>
        <w:t>ind</w:t>
      </w:r>
      <w:r w:rsidR="00BF60FB" w:rsidRPr="00292852">
        <w:t xml:space="preserve"> represent upper</w:t>
      </w:r>
      <w:r w:rsidR="00BF60FB" w:rsidRPr="00A41F97">
        <w:t xml:space="preserve"> limits</w:t>
      </w:r>
      <w:r w:rsidR="00BF60FB">
        <w:t xml:space="preserve">, given the finite </w:t>
      </w:r>
      <w:r w:rsidR="00BF60FB" w:rsidRPr="00A41F97">
        <w:t>sp</w:t>
      </w:r>
      <w:r w:rsidR="00BF60FB">
        <w:t>at</w:t>
      </w:r>
      <w:r w:rsidR="00BF60FB" w:rsidRPr="00A41F97">
        <w:t xml:space="preserve">ial resolution </w:t>
      </w:r>
      <w:r w:rsidR="00BF60FB">
        <w:t>of</w:t>
      </w:r>
      <w:r w:rsidR="00BF60FB" w:rsidRPr="00A41F97">
        <w:t xml:space="preserve"> optical microscopy</w:t>
      </w:r>
      <w:r w:rsidR="00BF60FB">
        <w:t>.</w:t>
      </w:r>
      <w:r w:rsidR="00BF60FB" w:rsidRPr="00431BA2">
        <w:fldChar w:fldCharType="begin" w:fldLock="1"/>
      </w:r>
      <w:r w:rsidR="00600480">
        <w:instrText>ADDIN CSL_CITATION { "citationItems" : [ { "id" : "ITEM-1", "itemData" : { "DOI" : "10.1021/ie800900f", "ISBN" : "0888-5885", "ISSN" : "08885885", "abstract" : "In an industrial crystallization process, crystal shape strongly influences end-product quality and functionality, as well as downstream processing. In addition, nucleation events, solvent effects, and polymorph selection play critical roles in both the design and operation of a crystallization plant and the patentability of the product and process. Therefore, investigation of these issues, with respect to a priori prediction, is (and will continue to be) an important avenue of research. In this review, we discuss the state-of-the-art in modeling crystallization processes over a range of length scales relevant to nucleation through process design. We also identify opportunities for continued research and specific areas where significant advancements are needed.", "author" : [ { "dropping-particle" : "", "family" : "Lovette", "given" : "M. A.", "non-dropping-particle" : "", "parse-names" : false, "suffix" : "" }, { "dropping-particle" : "", "family" : "Browning", "given" : "A. R.", "non-dropping-particle" : "", "parse-names" : false, "suffix" : "" }, { "dropping-particle" : "", "family" : "Griffin", "given" : "D. W.", "non-dropping-particle" : "", "parse-names" : false, "suffix" : "" }, { "dropping-particle" : "", "family" : "Sizemore", "given" : "J. P.", "non-dropping-particle" : "", "parse-names" : false, "suffix" : "" }, { "dropping-particle" : "", "family" : "Snyder", "given" : "R. C.", "non-dropping-particle" : "", "parse-names" : false, "suffix" : "" }, { "dropping-particle" : "", "family" : "Doherty", "given" : "M. F.", "non-dropping-particle" : "", "parse-names" : false, "suffix" : "" } ], "container-title" : "Ind. Eng. Chem. Res.", "id" : "ITEM-1", "issued" : { "date-parts" : [ [ "2008" ] ] }, "page" : "9812-9833", "title" : "Crystal shape engineering", "type" : "article-journal", "volume" : "47" }, "uris" : [ "http://www.mendeley.com/documents/?uuid=7e31c238-253e-4db2-a536-1146a333db00" ] } ], "mendeley" : { "formattedCitation" : "&lt;sup&gt;50&lt;/sup&gt;", "plainTextFormattedCitation" : "50", "previouslyFormattedCitation" : "&lt;sup&gt;50&lt;/sup&gt;" }, "properties" : { "noteIndex" : 0 }, "schema" : "https://github.com/citation-style-language/schema/raw/master/csl-citation.json" }</w:instrText>
      </w:r>
      <w:r w:rsidR="00BF60FB" w:rsidRPr="00431BA2">
        <w:fldChar w:fldCharType="separate"/>
      </w:r>
      <w:r w:rsidR="00290E7E" w:rsidRPr="00290E7E">
        <w:rPr>
          <w:noProof/>
          <w:vertAlign w:val="superscript"/>
        </w:rPr>
        <w:t>50</w:t>
      </w:r>
      <w:r w:rsidR="00BF60FB" w:rsidRPr="00431BA2">
        <w:fldChar w:fldCharType="end"/>
      </w:r>
      <w:r w:rsidR="00BF60FB" w:rsidRPr="00431BA2">
        <w:t xml:space="preserve"> Data </w:t>
      </w:r>
      <w:r w:rsidR="00F155AE">
        <w:lastRenderedPageBreak/>
        <w:t>were</w:t>
      </w:r>
      <w:r w:rsidR="00BF60FB" w:rsidRPr="00292852">
        <w:t xml:space="preserve"> fitted to the Nývlt equation</w:t>
      </w:r>
      <w:r w:rsidR="00BF60FB" w:rsidRPr="00292852">
        <w:fldChar w:fldCharType="begin" w:fldLock="1"/>
      </w:r>
      <w:r w:rsidR="00600480">
        <w:instrText>ADDIN CSL_CITATION { "citationItems" : [ { "id" : "ITEM-1", "itemData" : { "author" : [ { "dropping-particle" : "", "family" : "J. N\u00fdvlt", "given" : "", "non-dropping-particle" : "", "parse-names" : false, "suffix" : "" } ], "container-title" : "J. Cryst. Growth", "id" : "ITEM-1", "issued" : { "date-parts" : [ [ "1968" ] ] }, "page" : "377-383", "title" : "Kinetics of Nucleation in Solutions", "type" : "article-journal", "volume" : "3,4" }, "uris" : [ "http://www.mendeley.com/documents/?uuid=d2062cdd-c86c-403d-b0f2-75b5e8e58feb" ] } ], "mendeley" : { "formattedCitation" : "&lt;sup&gt;24&lt;/sup&gt;", "plainTextFormattedCitation" : "24", "previouslyFormattedCitation" : "&lt;sup&gt;24&lt;/sup&gt;" }, "properties" : { "noteIndex" : 0 }, "schema" : "https://github.com/citation-style-language/schema/raw/master/csl-citation.json" }</w:instrText>
      </w:r>
      <w:r w:rsidR="00BF60FB" w:rsidRPr="00292852">
        <w:fldChar w:fldCharType="separate"/>
      </w:r>
      <w:r w:rsidR="00290E7E" w:rsidRPr="00290E7E">
        <w:rPr>
          <w:noProof/>
          <w:vertAlign w:val="superscript"/>
        </w:rPr>
        <w:t>24</w:t>
      </w:r>
      <w:r w:rsidR="00BF60FB" w:rsidRPr="00292852">
        <w:fldChar w:fldCharType="end"/>
      </w:r>
      <w:r w:rsidR="00BF60FB" w:rsidRPr="00292852">
        <w:t xml:space="preserve"> for nucleation, and the Avrami</w:t>
      </w:r>
      <w:r w:rsidR="007C448A">
        <w:fldChar w:fldCharType="begin" w:fldLock="1"/>
      </w:r>
      <w:r w:rsidR="00600480">
        <w:instrText>ADDIN CSL_CITATION { "citationItems" : [ { "id" : "ITEM-1", "itemData" : { "DOI" : "10.1063/1.1750380", "ISBN" : "0080431526", "ISSN" : "00219606", "author" : [ { "dropping-particle" : "", "family" : "Avrami", "given" : "M.", "non-dropping-particle" : "", "parse-names" : false, "suffix" : "" } ], "container-title" : "J. Chem. Phys.", "id" : "ITEM-1", "issue" : "12", "issued" : { "date-parts" : [ [ "1939" ] ] }, "page" : "1103-1112", "title" : "Kinetics of Phase Change. I General Theory", "type" : "article-journal", "volume" : "7" }, "uris" : [ "http://www.mendeley.com/documents/?uuid=8428bc58-e090-4f01-bc41-e51f7327e604" ] }, { "id" : "ITEM-2", "itemData" : { "DOI" : "10.1063/1.1750631", "ISSN" : "00219606", "abstract" : "Following upon the general theory in Part I, a considerable simplification is here introdced in the treatment of the case where the grain centers of the new phase are randomly distributed. Also, the kinetics of the main types of crystalline growth, such as result in polyhedral, plate.like and lineal grains, are studied. A relation between the actual transformed volume V and a related extended volume V1ex is derived upon statistical considerations. A rough approximation to this relation is shown to lead, under the proper conditions, to the empirical formulation of Austin and Rickett. The exact relation is used to reduce the entire problem to the determinatio of V1ex, in terms of which all other quantities are expressed. The approximate treatment of the beginning of transformation in the isokinetic range is shown to lead to the empirical formula of Krainer and to account quantitatively for certain relations observed in recrystallization phenomena. It is shown that the predicted shapes for isothermal transformation-time curves correspond well with the experimental data.", "author" : [ { "dropping-particle" : "", "family" : "Avrami", "given" : "M.", "non-dropping-particle" : "", "parse-names" : false, "suffix" : "" } ], "container-title" : "J. Chem. Phys.", "id" : "ITEM-2", "issued" : { "date-parts" : [ [ "1940" ] ] }, "page" : "212-224", "title" : "Kinetics of Phase Change. II - Transformation-Time Relations for Random Distribution of Nuclei", "type" : "article-journal", "volume" : "8" }, "uris" : [ "http://www.mendeley.com/documents/?uuid=8e1f3a63-729a-451e-b581-b861e38265e9" ] }, { "id" : "ITEM-3",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"ITEM-3", "issued" : { "date-parts" : [ [ "1986" ] ] }, "page" : "1183-1192", "title" : "Crystallization behaviour of poly(ether-ether-ketone)", "type" : "article-journal", "volume" : "27" }, "uris" : [ "http://www.mendeley.com/documents/?uuid=5a5bd7f7-af8d-461f-9700-fd562deca3bf" ] }, { "id" : "ITEM-4",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"ITEM-4", "issued" : { "date-parts" : [ [ "2002" ] ] }, "page" : "408-414", "title" : "Nonisothermal Crystallization Kinetics of Polypropylene/ Montmorillonite Nanocomposites", "type" : "article-journal", "volume" : "40" }, "uris" : [ "http://www.mendeley.com/documents/?uuid=7de44ac5-cfec-408b-b55a-7c8c3f1f1824" ] }, { "id" : "ITEM-5", "itemData" : { "author" : [ { "dropping-particle" : "", "family" : "Herrero", "given" : "C. R.", "non-dropping-particle" : "", "parse-names" : false, "suffix" : "" }, { "dropping-particle" : "", "family" : "Acosta", "given" : "J. L.", "non-dropping-particle" : "", "parse-names" : false, "suffix" : "" } ], "container-title" : "Polymer J.", "id" : "ITEM-5",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"id" : "ITEM-6", "itemData" : { "DOI" : "10.1063/1.1750872", "ISBN" : "0021-9606", "ISSN" : "00219606", "author" : [ { "dropping-particle" : "", "family" : "Avrami", "given" : "M.", "non-dropping-particle" : "", "parse-names" : false, "suffix" : "" } ], "container-title" : "J. Chem. Phys.", "id" : "ITEM-6", "issued" : { "date-parts" : [ [ "1941" ] ] }, "page" : "177-184", "title" : "Granulation, Phase Change, and Microstructure Kinetics of Phase Change. III", "type" : "article-journal", "volume" : "9" }, "uris" : [ "http://www.mendeley.com/documents/?uuid=45aaead3-bbbb-4634-9855-73fbb4a5565e" ] } ], "mendeley" : { "formattedCitation" : "&lt;sup&gt;9\u201311,17\u201319&lt;/sup&gt;", "plainTextFormattedCitation" : "9\u201311,17\u201319", "previouslyFormattedCitation" : "&lt;sup&gt;9\u201311,17\u201319&lt;/sup&gt;" }, "properties" : { "noteIndex" : 0 }, "schema" : "https://github.com/citation-style-language/schema/raw/master/csl-citation.json" }</w:instrText>
      </w:r>
      <w:r w:rsidR="007C448A">
        <w:fldChar w:fldCharType="separate"/>
      </w:r>
      <w:r w:rsidR="00290E7E" w:rsidRPr="00290E7E">
        <w:rPr>
          <w:noProof/>
          <w:vertAlign w:val="superscript"/>
        </w:rPr>
        <w:t>9–11,17–19</w:t>
      </w:r>
      <w:r w:rsidR="007C448A">
        <w:fldChar w:fldCharType="end"/>
      </w:r>
      <w:r w:rsidR="00BF60FB" w:rsidRPr="00292852">
        <w:t xml:space="preserve"> and Kissinger</w:t>
      </w:r>
      <w:r w:rsidR="00BF60FB" w:rsidRPr="00292852">
        <w:fldChar w:fldCharType="begin" w:fldLock="1"/>
      </w:r>
      <w:r w:rsidR="00600480">
        <w:instrText>ADDIN CSL_CITATION { "citationItems" : [ { "id" : "ITEM-1", "itemData" : { "author" : [ { "dropping-particle" : "", "family" : "Kissinger", "given" : "H. E.", "non-dropping-particle" : "", "parse-names" : false, "suffix" : "" } ], "container-title" : "J. Res. Natl. Bur. Stand.", "id" : "ITEM-1", "issued" : { "date-parts" : [ [ "1956" ] ] }, "page" : "217-221", "title" : "Variation of Peak Temperature With Heating Rate In Differential Thermal Analysis", "type" : "article-journal", "volume" : "57" }, "uris" : [ "http://www.mendeley.com/documents/?uuid=6ee4ed4e-9420-4049-8ced-bac243a9b294" ] } ], "mendeley" : { "formattedCitation" : "&lt;sup&gt;45&lt;/sup&gt;", "plainTextFormattedCitation" : "45", "previouslyFormattedCitation" : "&lt;sup&gt;45&lt;/sup&gt;" }, "properties" : { "noteIndex" : 0 }, "schema" : "https://github.com/citation-style-language/schema/raw/master/csl-citation.json" }</w:instrText>
      </w:r>
      <w:r w:rsidR="00BF60FB" w:rsidRPr="00292852">
        <w:fldChar w:fldCharType="separate"/>
      </w:r>
      <w:r w:rsidR="00290E7E" w:rsidRPr="00290E7E">
        <w:rPr>
          <w:noProof/>
          <w:vertAlign w:val="superscript"/>
        </w:rPr>
        <w:t>45</w:t>
      </w:r>
      <w:r w:rsidR="00BF60FB" w:rsidRPr="00292852">
        <w:fldChar w:fldCharType="end"/>
      </w:r>
      <w:r w:rsidR="00BF60FB" w:rsidRPr="00292852">
        <w:t xml:space="preserve"> equations for overall crystallization kinetics.</w:t>
      </w:r>
    </w:p>
    <w:p w14:paraId="6D8637DF" w14:textId="77777777" w:rsidR="00AF294F" w:rsidRPr="00A41F97" w:rsidRDefault="00AF294F" w:rsidP="00C12FBE">
      <w:pPr>
        <w:pStyle w:val="TAMainText"/>
      </w:pPr>
    </w:p>
    <w:p w14:paraId="427B4654" w14:textId="1AD1ED5F" w:rsidR="000F4BDF" w:rsidRPr="00ED77CB" w:rsidRDefault="00C17BE1" w:rsidP="00ED77CB">
      <w:pPr>
        <w:pStyle w:val="TAMainText"/>
        <w:ind w:firstLine="0"/>
        <w:rPr>
          <w:b/>
        </w:rPr>
      </w:pPr>
      <w:r w:rsidRPr="00ED77CB">
        <w:rPr>
          <w:b/>
        </w:rPr>
        <w:t>Differential scanning calorimetry (DSC)</w:t>
      </w:r>
    </w:p>
    <w:p w14:paraId="6C574901" w14:textId="5BD8C90D" w:rsidR="002E5E64" w:rsidRDefault="00EB5522" w:rsidP="00ED77CB">
      <w:pPr>
        <w:pStyle w:val="TAMainText"/>
      </w:pPr>
      <w:r>
        <w:t>Thermal analysis</w:t>
      </w:r>
      <w:r w:rsidR="005B2A13" w:rsidRPr="00A41F97">
        <w:t xml:space="preserve"> </w:t>
      </w:r>
      <w:r w:rsidR="000F4BDF" w:rsidRPr="00A41F97">
        <w:t xml:space="preserve">was </w:t>
      </w:r>
      <w:r>
        <w:t>conducted</w:t>
      </w:r>
      <w:r w:rsidR="006D1B7E" w:rsidRPr="00A41F97">
        <w:t xml:space="preserve"> on a heat flux DSC (</w:t>
      </w:r>
      <w:r w:rsidR="000F4BDF" w:rsidRPr="00A41F97">
        <w:t>TA Instruments Q2000</w:t>
      </w:r>
      <w:r w:rsidR="00AA42B2">
        <w:t>)</w:t>
      </w:r>
      <w:r w:rsidR="006D1B7E" w:rsidRPr="00A41F97">
        <w:t xml:space="preserve"> </w:t>
      </w:r>
      <w:r w:rsidR="002731DF">
        <w:t>with an</w:t>
      </w:r>
      <w:r w:rsidR="002B6B69" w:rsidRPr="00A41F97">
        <w:t xml:space="preserve"> a</w:t>
      </w:r>
      <w:r w:rsidR="006D1B7E" w:rsidRPr="00A41F97">
        <w:t xml:space="preserve">ccuracy </w:t>
      </w:r>
      <w:r w:rsidR="002B6B69" w:rsidRPr="00A41F97">
        <w:t xml:space="preserve">of </w:t>
      </w:r>
      <w:r w:rsidR="000F4BDF" w:rsidRPr="00A41F97">
        <w:t>±0.1</w:t>
      </w:r>
      <w:r w:rsidR="005A10C6" w:rsidRPr="00A41F97">
        <w:t xml:space="preserve"> </w:t>
      </w:r>
      <w:r w:rsidR="003E7488" w:rsidRPr="00A41F97">
        <w:t>°C</w:t>
      </w:r>
      <w:r w:rsidR="000F4BDF" w:rsidRPr="00A41F97">
        <w:t>, calibrated with indium.</w:t>
      </w:r>
      <w:r w:rsidR="008866B5" w:rsidRPr="00A41F97">
        <w:t xml:space="preserve"> Samples </w:t>
      </w:r>
      <w:r w:rsidR="004924E1">
        <w:t>(</w:t>
      </w:r>
      <w:r w:rsidR="003E7488" w:rsidRPr="00A41F97">
        <w:t>1</w:t>
      </w:r>
      <w:r w:rsidR="00A73DEC">
        <w:t>0</w:t>
      </w:r>
      <w:r w:rsidR="00532C1E" w:rsidRPr="00A41F97">
        <w:t xml:space="preserve"> </w:t>
      </w:r>
      <w:r w:rsidR="00A04619" w:rsidRPr="00A41F97">
        <w:t>–</w:t>
      </w:r>
      <w:r w:rsidR="00532C1E" w:rsidRPr="00A41F97">
        <w:t xml:space="preserve"> </w:t>
      </w:r>
      <w:r w:rsidR="006F1D9E" w:rsidRPr="00A41F97">
        <w:t>15</w:t>
      </w:r>
      <w:r w:rsidR="003E7488" w:rsidRPr="00A41F97">
        <w:t xml:space="preserve"> mg</w:t>
      </w:r>
      <w:r w:rsidR="004924E1">
        <w:t>)</w:t>
      </w:r>
      <w:r w:rsidR="003E7488" w:rsidRPr="00A41F97">
        <w:t xml:space="preserve"> were freshly prepared for each experiment</w:t>
      </w:r>
      <w:r w:rsidR="002731DF">
        <w:t xml:space="preserve">, using </w:t>
      </w:r>
      <w:r w:rsidR="004924E1">
        <w:t>hermetically sealed</w:t>
      </w:r>
      <w:r w:rsidR="003E7488" w:rsidRPr="00A41F97">
        <w:t xml:space="preserve"> </w:t>
      </w:r>
      <w:r w:rsidR="002731DF" w:rsidRPr="00A41F97">
        <w:t xml:space="preserve">aluminum </w:t>
      </w:r>
      <w:r w:rsidR="003E7488" w:rsidRPr="00A41F97">
        <w:t xml:space="preserve">pans </w:t>
      </w:r>
      <w:r w:rsidR="002731DF">
        <w:t>(</w:t>
      </w:r>
      <w:r w:rsidR="003E7488" w:rsidRPr="00A41F97">
        <w:t>Tzero</w:t>
      </w:r>
      <w:r w:rsidR="00A73DEC">
        <w:t xml:space="preserve"> </w:t>
      </w:r>
      <w:r w:rsidR="00A73DEC" w:rsidRPr="002731DF">
        <w:t>901683.901 &amp; 901684.901</w:t>
      </w:r>
      <w:r w:rsidR="003E7488" w:rsidRPr="002731DF">
        <w:t>)</w:t>
      </w:r>
      <w:r w:rsidR="002731DF">
        <w:t xml:space="preserve">; these were </w:t>
      </w:r>
      <w:r w:rsidR="003E7488" w:rsidRPr="002731DF">
        <w:t>weighed before and after</w:t>
      </w:r>
      <w:r w:rsidR="00C851A9" w:rsidRPr="002731DF">
        <w:t xml:space="preserve"> </w:t>
      </w:r>
      <w:r w:rsidR="002731DF">
        <w:t xml:space="preserve">the </w:t>
      </w:r>
      <w:r w:rsidR="00C851A9" w:rsidRPr="002731DF">
        <w:t>run</w:t>
      </w:r>
      <w:r w:rsidR="003E7488" w:rsidRPr="002731DF">
        <w:t xml:space="preserve"> to</w:t>
      </w:r>
      <w:r w:rsidR="002731DF">
        <w:t xml:space="preserve"> verify that no mass loss had occurred</w:t>
      </w:r>
      <w:r w:rsidR="003E7488" w:rsidRPr="002731DF">
        <w:t>.</w:t>
      </w:r>
      <w:r w:rsidR="0045514F" w:rsidRPr="002731DF">
        <w:t xml:space="preserve"> Samples were held at 2</w:t>
      </w:r>
      <w:r w:rsidR="007422A4">
        <w:t>3</w:t>
      </w:r>
      <w:r w:rsidR="0045514F" w:rsidRPr="002731DF">
        <w:t xml:space="preserve"> °C</w:t>
      </w:r>
      <w:r w:rsidR="003F6810" w:rsidRPr="00A41F97">
        <w:t xml:space="preserve"> for 10 min</w:t>
      </w:r>
      <w:bookmarkStart w:id="0" w:name="_GoBack"/>
      <w:bookmarkEnd w:id="0"/>
      <w:r w:rsidR="003F6810" w:rsidRPr="00A41F97">
        <w:t xml:space="preserve">, before being cooled at </w:t>
      </w:r>
      <w:r>
        <w:t>the same rates used in the microscopy studies</w:t>
      </w:r>
      <w:r w:rsidR="003F6810" w:rsidRPr="00A41F97">
        <w:t xml:space="preserve">: </w:t>
      </w:r>
      <w:r w:rsidR="00107972" w:rsidRPr="00F155AE">
        <w:rPr>
          <w:rFonts w:ascii="Symbol" w:hAnsi="Symbol"/>
          <w:i/>
        </w:rPr>
        <w:t></w:t>
      </w:r>
      <w:r w:rsidR="00107972">
        <w:t xml:space="preserve"> = </w:t>
      </w:r>
      <w:r w:rsidR="003F6810" w:rsidRPr="00A41F97">
        <w:t>0.1, 0.5, 1.0, 5.0, 10 °C min</w:t>
      </w:r>
      <w:r w:rsidR="003F6810" w:rsidRPr="00A41F97">
        <w:rPr>
          <w:vertAlign w:val="superscript"/>
        </w:rPr>
        <w:t>-1</w:t>
      </w:r>
      <w:r>
        <w:t xml:space="preserve">, </w:t>
      </w:r>
      <w:r w:rsidR="003F6810" w:rsidRPr="00A41F97">
        <w:t>to -10 °C, with at least two repetitions per cooling run.</w:t>
      </w:r>
      <w:r w:rsidR="002731DF" w:rsidRPr="002731DF">
        <w:t xml:space="preserve"> </w:t>
      </w:r>
      <w:r w:rsidR="002731DF">
        <w:t xml:space="preserve">This lower final temperature was selected to ensure the precision of the heat flow baseline beyond -5 </w:t>
      </w:r>
      <w:r w:rsidR="002731DF" w:rsidRPr="002731DF">
        <w:t>°</w:t>
      </w:r>
      <w:r w:rsidR="002731DF">
        <w:t>C.</w:t>
      </w:r>
      <w:r w:rsidR="003F6810" w:rsidRPr="00A41F97">
        <w:t xml:space="preserve"> Additionally</w:t>
      </w:r>
      <w:r w:rsidR="001C26C1">
        <w:t>,</w:t>
      </w:r>
      <w:r w:rsidR="00041278" w:rsidRPr="00A41F97">
        <w:t xml:space="preserve"> </w:t>
      </w:r>
      <w:r w:rsidR="001E5E2D">
        <w:t>three</w:t>
      </w:r>
      <w:r w:rsidR="00041278" w:rsidRPr="00A41F97">
        <w:t xml:space="preserve"> samples of </w:t>
      </w:r>
      <w:r w:rsidR="008866B5" w:rsidRPr="00A41F97">
        <w:t>varying mass</w:t>
      </w:r>
      <w:r w:rsidR="00AC7D84">
        <w:t xml:space="preserve"> (</w:t>
      </w:r>
      <w:r w:rsidR="003F3095" w:rsidRPr="00A41F97">
        <w:t>1</w:t>
      </w:r>
      <w:r w:rsidR="007422A4">
        <w:t>0</w:t>
      </w:r>
      <w:r w:rsidR="00D93127" w:rsidRPr="00A41F97">
        <w:t xml:space="preserve"> </w:t>
      </w:r>
      <w:r w:rsidR="00A04619" w:rsidRPr="00A41F97">
        <w:t>–</w:t>
      </w:r>
      <w:r w:rsidR="00D93127" w:rsidRPr="00A41F97">
        <w:t xml:space="preserve"> </w:t>
      </w:r>
      <w:r w:rsidR="00A97492" w:rsidRPr="00A41F97">
        <w:t xml:space="preserve">20 </w:t>
      </w:r>
      <w:r w:rsidR="00041278" w:rsidRPr="00A41F97">
        <w:t>mg</w:t>
      </w:r>
      <w:r w:rsidR="00AC7D84">
        <w:t>)</w:t>
      </w:r>
      <w:r w:rsidR="008866B5" w:rsidRPr="00A41F97">
        <w:t>,</w:t>
      </w:r>
      <w:r w:rsidR="00041278" w:rsidRPr="00A41F97">
        <w:t xml:space="preserve"> were </w:t>
      </w:r>
      <w:r w:rsidR="00C851A9" w:rsidRPr="00A41F97">
        <w:t>investigated</w:t>
      </w:r>
      <w:r w:rsidR="00041278" w:rsidRPr="00A41F97">
        <w:t xml:space="preserve"> to compare the effects of volume on the temperature of crystallization</w:t>
      </w:r>
      <w:r w:rsidR="00F343ED" w:rsidRPr="00A41F97">
        <w:t xml:space="preserve">, as </w:t>
      </w:r>
      <w:r w:rsidR="00C851A9" w:rsidRPr="00A41F97">
        <w:t>variability has</w:t>
      </w:r>
      <w:r w:rsidR="00F343ED" w:rsidRPr="00A41F97">
        <w:t xml:space="preserve"> previously been reported for aqueous systems in the literature.</w:t>
      </w:r>
      <w:r w:rsidR="00D22772" w:rsidRPr="00A41F97">
        <w:rPr>
          <w:vertAlign w:val="superscript"/>
        </w:rPr>
        <w:fldChar w:fldCharType="begin" w:fldLock="1"/>
      </w:r>
      <w:r w:rsidR="00600480">
        <w:rPr>
          <w:vertAlign w:val="superscript"/>
        </w:rPr>
        <w:instrText>ADDIN CSL_CITATION { "citationItems" : [ { "id" : "ITEM-1", "itemData" : { "author" : [ { "dropping-particle" : "", "family" : "Melia", "given" : "T. P.", "non-dropping-particle" : "", "parse-names" : false, "suffix" : "" }, { "dropping-particle" : "", "family" : "Moffitt", "given" : "W. P.", "non-dropping-particle" : "", "parse-names" : false, "suffix" : "" } ], "container-title" : "J. Colloid Interface Sci.", "id" : "ITEM-1", "issued" : { "date-parts" : [ [ "1964" ] ] }, "page" : "443-447", "title" : "Crystallization from aqueous solution", "type" : "article-journal", "volume" : "19" }, "uris" : [ "http://www.mendeley.com/documents/?uuid=33620318-4e99-46df-9c77-ad23a4f37ddf" ] }, { "id" : "ITEM-2", "itemData" : { "author" : [ { "dropping-particle" : "", "family" : "Bigg", "given" : "E. K.", "non-dropping-particle" : "", "parse-names" : false, "suffix" : "" } ], "container-title" : "Proc. Phys. Soc., Sect. B", "id" : "ITEM-2", "issued" : { "date-parts" : [ [ "1953" ] ] }, "page" : "688-694", "title" : "The Supercooling of Water", "type" : "article-journal", "volume" : "66" }, "uris" : [ "http://www.mendeley.com/documents/?uuid=64798add-20c1-45c3-a03a-3cb9709d4af8" ] } ], "mendeley" : { "formattedCitation" : "&lt;sup&gt;48,51&lt;/sup&gt;", "plainTextFormattedCitation" : "48,51", "previouslyFormattedCitation" : "&lt;sup&gt;48,51&lt;/sup&gt;" }, "properties" : { "noteIndex" : 0 }, "schema" : "https://github.com/citation-style-language/schema/raw/master/csl-citation.json" }</w:instrText>
      </w:r>
      <w:r w:rsidR="00D22772" w:rsidRPr="00A41F97">
        <w:rPr>
          <w:vertAlign w:val="superscript"/>
        </w:rPr>
        <w:fldChar w:fldCharType="separate"/>
      </w:r>
      <w:r w:rsidR="00290E7E" w:rsidRPr="00290E7E">
        <w:rPr>
          <w:noProof/>
          <w:vertAlign w:val="superscript"/>
        </w:rPr>
        <w:t>48,51</w:t>
      </w:r>
      <w:r w:rsidR="00D22772" w:rsidRPr="00A41F97">
        <w:rPr>
          <w:vertAlign w:val="superscript"/>
        </w:rPr>
        <w:fldChar w:fldCharType="end"/>
      </w:r>
      <w:r w:rsidR="00F343ED" w:rsidRPr="00A41F97">
        <w:t xml:space="preserve"> </w:t>
      </w:r>
      <w:r>
        <w:t>This also</w:t>
      </w:r>
      <w:r w:rsidR="00F343ED" w:rsidRPr="00A41F97">
        <w:t xml:space="preserve"> tests the robustness of the results</w:t>
      </w:r>
      <w:r w:rsidR="00C851A9" w:rsidRPr="00A41F97">
        <w:t>,</w:t>
      </w:r>
      <w:r w:rsidR="00F343ED" w:rsidRPr="00A41F97">
        <w:t xml:space="preserve"> as sample weights </w:t>
      </w:r>
      <w:r>
        <w:t xml:space="preserve">can </w:t>
      </w:r>
      <w:r w:rsidR="00F343ED" w:rsidRPr="00A41F97">
        <w:t xml:space="preserve">vary between preparations and larger masses are often preferred for slower </w:t>
      </w:r>
      <w:r w:rsidR="007422A4" w:rsidRPr="00314DF1">
        <w:rPr>
          <w:rFonts w:ascii="Symbol" w:hAnsi="Symbol"/>
          <w:i/>
        </w:rPr>
        <w:t></w:t>
      </w:r>
      <w:r w:rsidR="00AC59A4" w:rsidRPr="00A41F97">
        <w:t xml:space="preserve"> to i</w:t>
      </w:r>
      <w:r w:rsidR="004924E1">
        <w:t>mprov</w:t>
      </w:r>
      <w:r w:rsidR="00AC59A4" w:rsidRPr="00A41F97">
        <w:t>e the signal-to-noise ratio</w:t>
      </w:r>
      <w:r w:rsidR="00F343ED" w:rsidRPr="00A41F97">
        <w:t>.</w:t>
      </w:r>
      <w:r w:rsidR="00B325F8" w:rsidRPr="00A41F97">
        <w:fldChar w:fldCharType="begin" w:fldLock="1"/>
      </w:r>
      <w:r w:rsidR="00600480">
        <w:instrText>ADDIN CSL_CITATION { "citationItems" : [ { "id" : "ITEM-1", "itemData" : { "DOI" : "10.1007/s00216-009-3169-y", "ISBN" : "1618-2650 (Electronic)", "ISSN" : "16182642", "PMID" : "19834693", "abstract" : "Differential scanning calorimetry (DSC) is an effective analytical tool to characterize the physical properties of a polymer. DSC enables determination of melting, crystallization, and mesomorphic transition temperatures, and the corresponding enthalpy and entropy changes, and characterization of glass transition and other effects that show either changes in heat capacity or a latent heat. Calorimetry takes a special place among other methods. In addition to its simplicity and universality, the energy characteristics (heat capacity C(P) and its integral over temperature T--enthalpy H), measured via calorimetry, have a clear physical meaning even though sometimes interpretation may be difficult. With introduction of differential scanning calorimeters (DSC) in the early 1960s calorimetry became a standard tool in polymer science. The advantage of DSC compared with other calorimetric techniques lies in the broad dynamic range regarding heating and cooling rates, including isothermal and temperature-modulated operation. Today 12 orders of magnitude in scanning rate can be covered by combining different types of DSCs. Rates as low as 1 microK s(-1) are possible and at the other extreme heating and cooling at 1 MK s(-1) and higher is possible. The broad dynamic range is especially of interest for semicrystalline polymers because they are commonly far from equilibrium and phase transitions are strongly time (rate) dependent. Nevertheless, there are still several unsolved problems regarding calorimetry of polymers. I try to address a few of these, for example determination of baseline heat capacity, which is related to the problem of crystallinity determination by DSC, or the occurrence of multiple melting peaks. Possible solutions by using advanced calorimetric techniques, for example fast scanning and high frequency AC (temperature-modulated) calorimetry are discussed.", "author" : [ { "dropping-particle" : "", "family" : "Schick", "given" : "C.", "non-dropping-particle" : "", "parse-names" : false, "suffix" : "" } ], "container-title" : "Anal. Bioanal. Chem.", "id" : "ITEM-1", "issued" : { "date-parts" : [ [ "2009" ] ] }, "page" : "1589-1611", "title" : "Differential scanning calorimetry (DSC) of semicrystalline polymers", "type" : "article-journal", "volume" : "395" }, "uris" : [ "http://www.mendeley.com/documents/?uuid=572d6cf5-76a1-44bc-9529-df2391d45adc" ] } ], "mendeley" : { "formattedCitation" : "&lt;sup&gt;52&lt;/sup&gt;", "plainTextFormattedCitation" : "52", "previouslyFormattedCitation" : "&lt;sup&gt;52&lt;/sup&gt;" }, "properties" : { "noteIndex" : 0 }, "schema" : "https://github.com/citation-style-language/schema/raw/master/csl-citation.json" }</w:instrText>
      </w:r>
      <w:r w:rsidR="00B325F8" w:rsidRPr="00A41F97">
        <w:fldChar w:fldCharType="separate"/>
      </w:r>
      <w:r w:rsidR="00290E7E" w:rsidRPr="00290E7E">
        <w:rPr>
          <w:noProof/>
          <w:vertAlign w:val="superscript"/>
        </w:rPr>
        <w:t>52</w:t>
      </w:r>
      <w:r w:rsidR="00B325F8" w:rsidRPr="00A41F97">
        <w:fldChar w:fldCharType="end"/>
      </w:r>
      <w:r w:rsidR="00AC3625" w:rsidRPr="00A41F97">
        <w:t xml:space="preserve"> TA Instruments Universal Analysis 2000 software was used for data extraction and analysis.</w:t>
      </w:r>
    </w:p>
    <w:p w14:paraId="6896CC34" w14:textId="77777777" w:rsidR="00841D82" w:rsidRDefault="00841D82" w:rsidP="00ED77CB">
      <w:pPr>
        <w:pStyle w:val="TAMainText"/>
      </w:pPr>
    </w:p>
    <w:p w14:paraId="60653354" w14:textId="77777777" w:rsidR="00C20869" w:rsidRDefault="00C20869" w:rsidP="00ED77CB">
      <w:pPr>
        <w:pStyle w:val="TAMainText"/>
        <w:rPr>
          <w:rFonts w:asciiTheme="majorHAnsi" w:hAnsiTheme="majorHAnsi"/>
          <w:sz w:val="20"/>
        </w:rPr>
      </w:pPr>
    </w:p>
    <w:p w14:paraId="256F0957" w14:textId="77777777" w:rsidR="00C20869" w:rsidRDefault="00C20869" w:rsidP="00ED77CB">
      <w:pPr>
        <w:pStyle w:val="TAMainText"/>
        <w:rPr>
          <w:rFonts w:asciiTheme="majorHAnsi" w:hAnsiTheme="majorHAnsi"/>
          <w:sz w:val="20"/>
        </w:rPr>
      </w:pPr>
    </w:p>
    <w:p w14:paraId="2FC610B2" w14:textId="77777777" w:rsidR="00C20869" w:rsidRDefault="00C20869" w:rsidP="00ED77CB">
      <w:pPr>
        <w:pStyle w:val="TAMainText"/>
        <w:rPr>
          <w:rFonts w:asciiTheme="majorHAnsi" w:hAnsiTheme="majorHAnsi"/>
          <w:sz w:val="20"/>
        </w:rPr>
      </w:pPr>
    </w:p>
    <w:p w14:paraId="5C7B3815" w14:textId="77777777" w:rsidR="00C20869" w:rsidRDefault="00C20869" w:rsidP="00ED77CB">
      <w:pPr>
        <w:pStyle w:val="TAMainText"/>
        <w:rPr>
          <w:rFonts w:asciiTheme="majorHAnsi" w:hAnsiTheme="majorHAnsi"/>
          <w:sz w:val="20"/>
        </w:rPr>
      </w:pPr>
    </w:p>
    <w:p w14:paraId="7E23590A" w14:textId="77777777" w:rsidR="00C20869" w:rsidRDefault="00C20869" w:rsidP="00ED77CB">
      <w:pPr>
        <w:pStyle w:val="TAMainText"/>
        <w:rPr>
          <w:rFonts w:asciiTheme="majorHAnsi" w:hAnsiTheme="majorHAnsi"/>
          <w:sz w:val="20"/>
        </w:rPr>
      </w:pPr>
    </w:p>
    <w:p w14:paraId="2D1BC58D" w14:textId="77777777" w:rsidR="00C20869" w:rsidRDefault="00C20869" w:rsidP="00ED77CB">
      <w:pPr>
        <w:pStyle w:val="TAMainText"/>
        <w:rPr>
          <w:rFonts w:asciiTheme="majorHAnsi" w:hAnsiTheme="majorHAnsi"/>
          <w:sz w:val="20"/>
        </w:rPr>
      </w:pPr>
    </w:p>
    <w:p w14:paraId="1D7681E0" w14:textId="77777777" w:rsidR="00C20869" w:rsidRDefault="00C20869" w:rsidP="00ED77CB">
      <w:pPr>
        <w:pStyle w:val="TAMainText"/>
        <w:rPr>
          <w:rFonts w:asciiTheme="majorHAnsi" w:hAnsiTheme="majorHAnsi"/>
          <w:sz w:val="20"/>
        </w:rPr>
      </w:pPr>
    </w:p>
    <w:p w14:paraId="66612512" w14:textId="77777777" w:rsidR="00C20869" w:rsidRDefault="00C20869" w:rsidP="00ED77CB">
      <w:pPr>
        <w:pStyle w:val="TAMainText"/>
        <w:rPr>
          <w:rFonts w:asciiTheme="majorHAnsi" w:hAnsiTheme="majorHAnsi"/>
          <w:sz w:val="20"/>
        </w:rPr>
      </w:pPr>
    </w:p>
    <w:p w14:paraId="37D8144F" w14:textId="77777777" w:rsidR="00C20869" w:rsidRDefault="00C20869" w:rsidP="00ED77CB">
      <w:pPr>
        <w:pStyle w:val="TAMainText"/>
        <w:rPr>
          <w:rFonts w:asciiTheme="majorHAnsi" w:hAnsiTheme="majorHAnsi"/>
          <w:sz w:val="20"/>
        </w:rPr>
      </w:pPr>
    </w:p>
    <w:p w14:paraId="6504AD93" w14:textId="0B84B7B1" w:rsidR="00C20869" w:rsidRDefault="00C20869" w:rsidP="00ED77CB">
      <w:pPr>
        <w:pStyle w:val="TAMainText"/>
        <w:rPr>
          <w:rFonts w:asciiTheme="majorHAnsi" w:hAnsiTheme="majorHAnsi"/>
          <w:sz w:val="20"/>
        </w:rPr>
      </w:pPr>
    </w:p>
    <w:p w14:paraId="7F09B9C0" w14:textId="77777777" w:rsidR="00EB627D" w:rsidRDefault="00EB627D" w:rsidP="00ED77CB">
      <w:pPr>
        <w:pStyle w:val="TAMainText"/>
        <w:rPr>
          <w:rFonts w:asciiTheme="majorHAnsi" w:hAnsiTheme="majorHAnsi"/>
          <w:sz w:val="20"/>
        </w:rPr>
      </w:pPr>
    </w:p>
    <w:p w14:paraId="74221DB3" w14:textId="7D87B945" w:rsidR="00E41B51" w:rsidRPr="00C75B78" w:rsidRDefault="00E41B51" w:rsidP="00E41B51">
      <w:pPr>
        <w:pStyle w:val="TAMainText"/>
        <w:ind w:firstLine="0"/>
        <w:rPr>
          <w:b/>
        </w:rPr>
      </w:pPr>
      <w:r>
        <w:rPr>
          <w:b/>
        </w:rPr>
        <w:t>RESULTS AND DISCUSSION</w:t>
      </w:r>
    </w:p>
    <w:p w14:paraId="5BDA5B54" w14:textId="77777777" w:rsidR="00E41B51" w:rsidRPr="00394FE4" w:rsidRDefault="00E41B51" w:rsidP="00E41B51">
      <w:pPr>
        <w:pStyle w:val="TAMainText"/>
        <w:ind w:firstLine="0"/>
        <w:rPr>
          <w:b/>
        </w:rPr>
      </w:pPr>
      <w:r w:rsidRPr="00394FE4">
        <w:rPr>
          <w:b/>
        </w:rPr>
        <w:t>Overview</w:t>
      </w:r>
    </w:p>
    <w:p w14:paraId="7D9C4FF0" w14:textId="77777777" w:rsidR="006945B5" w:rsidRPr="00A41F97" w:rsidRDefault="006945B5" w:rsidP="006945B5">
      <w:pPr>
        <w:spacing w:after="0" w:line="360" w:lineRule="auto"/>
        <w:ind w:firstLine="284"/>
        <w:rPr>
          <w:rFonts w:asciiTheme="majorHAnsi" w:hAnsiTheme="majorHAnsi"/>
          <w:sz w:val="20"/>
        </w:rPr>
      </w:pPr>
      <w:r>
        <w:rPr>
          <w:rFonts w:asciiTheme="majorHAnsi" w:hAnsiTheme="majorHAnsi"/>
          <w:noProof/>
          <w:sz w:val="20"/>
          <w:lang w:val="en-GB" w:eastAsia="en-GB"/>
        </w:rPr>
        <w:drawing>
          <wp:inline distT="0" distB="0" distL="0" distR="0" wp14:anchorId="35D38490" wp14:editId="0E9164DA">
            <wp:extent cx="5565648" cy="669340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11.tif"/>
                    <pic:cNvPicPr/>
                  </pic:nvPicPr>
                  <pic:blipFill>
                    <a:blip r:embed="rId13">
                      <a:extLst>
                        <a:ext uri="{28A0092B-C50C-407E-A947-70E740481C1C}">
                          <a14:useLocalDpi xmlns:a14="http://schemas.microsoft.com/office/drawing/2010/main" val="0"/>
                        </a:ext>
                      </a:extLst>
                    </a:blip>
                    <a:stretch>
                      <a:fillRect/>
                    </a:stretch>
                  </pic:blipFill>
                  <pic:spPr>
                    <a:xfrm>
                      <a:off x="0" y="0"/>
                      <a:ext cx="5565648" cy="6693408"/>
                    </a:xfrm>
                    <a:prstGeom prst="rect">
                      <a:avLst/>
                    </a:prstGeom>
                  </pic:spPr>
                </pic:pic>
              </a:graphicData>
            </a:graphic>
          </wp:inline>
        </w:drawing>
      </w:r>
    </w:p>
    <w:p w14:paraId="70B39E79" w14:textId="51926BC9" w:rsidR="006945B5" w:rsidRDefault="006945B5" w:rsidP="006945B5">
      <w:pPr>
        <w:pStyle w:val="VAFigureCaption"/>
        <w:pBdr>
          <w:bottom w:val="single" w:sz="6" w:space="1" w:color="auto"/>
        </w:pBdr>
        <w:rPr>
          <w:rFonts w:cstheme="majorHAnsi"/>
        </w:rPr>
      </w:pPr>
      <w:r w:rsidRPr="007D017B">
        <w:rPr>
          <w:b/>
        </w:rPr>
        <w:t>Figure 2.</w:t>
      </w:r>
      <w:r w:rsidRPr="007D017B">
        <w:t xml:space="preserve"> Optical microscopy images of</w:t>
      </w:r>
      <w:r>
        <w:t xml:space="preserve"> the crystallization of</w:t>
      </w:r>
      <w:r w:rsidRPr="007D017B">
        <w:t xml:space="preserve"> 20% SDS-H</w:t>
      </w:r>
      <w:r w:rsidRPr="007D017B">
        <w:rPr>
          <w:vertAlign w:val="subscript"/>
        </w:rPr>
        <w:t>2</w:t>
      </w:r>
      <w:r w:rsidRPr="007D017B">
        <w:t>O</w:t>
      </w:r>
      <w:r>
        <w:t xml:space="preserve"> micellar</w:t>
      </w:r>
      <w:r w:rsidRPr="007D017B">
        <w:t xml:space="preserve"> solutions</w:t>
      </w:r>
      <w:r>
        <w:t>, at the cooling rates (</w:t>
      </w:r>
      <w:r w:rsidRPr="00AD7C91">
        <w:rPr>
          <w:rFonts w:ascii="Symbol" w:hAnsi="Symbol"/>
          <w:i/>
        </w:rPr>
        <w:t></w:t>
      </w:r>
      <w:r>
        <w:t>) indicated on the left,</w:t>
      </w:r>
      <w:r w:rsidRPr="007D017B">
        <w:t xml:space="preserve"> showing the progression of nucleation and growth as a function of time </w:t>
      </w:r>
      <w:r>
        <w:lastRenderedPageBreak/>
        <w:t>(</w:t>
      </w:r>
      <w:r>
        <w:rPr>
          <w:i/>
        </w:rPr>
        <w:t>t</w:t>
      </w:r>
      <w:r>
        <w:t xml:space="preserve">) </w:t>
      </w:r>
      <w:r w:rsidRPr="007D017B">
        <w:t>and</w:t>
      </w:r>
      <w:r w:rsidRPr="00A41F97">
        <w:t xml:space="preserve"> temperature</w:t>
      </w:r>
      <w:r>
        <w:t xml:space="preserve"> (</w:t>
      </w:r>
      <w:r w:rsidRPr="00944434">
        <w:rPr>
          <w:i/>
        </w:rPr>
        <w:t>T</w:t>
      </w:r>
      <w:r>
        <w:t>)</w:t>
      </w:r>
      <w:r w:rsidR="005F1081">
        <w:t>,</w:t>
      </w:r>
      <w:r>
        <w:t xml:space="preserve"> to a final temperature (</w:t>
      </w:r>
      <w:r w:rsidRPr="0055190E">
        <w:rPr>
          <w:i/>
        </w:rPr>
        <w:t>T</w:t>
      </w:r>
      <w:r w:rsidRPr="0055190E">
        <w:rPr>
          <w:vertAlign w:val="subscript"/>
        </w:rPr>
        <w:t>f</w:t>
      </w:r>
      <w:r>
        <w:t>) of -5 °C.</w:t>
      </w:r>
      <w:r w:rsidRPr="00A41F97">
        <w:t xml:space="preserve"> </w:t>
      </w:r>
      <w:r>
        <w:t xml:space="preserve">On the right, the </w:t>
      </w:r>
      <w:r w:rsidRPr="00E948EE">
        <w:rPr>
          <w:rFonts w:ascii="Symbol" w:hAnsi="Symbol"/>
          <w:i/>
        </w:rPr>
        <w:t></w:t>
      </w:r>
      <w:r>
        <w:t xml:space="preserve"> are associated to environmental (0.1 °C min</w:t>
      </w:r>
      <w:r w:rsidRPr="000B25BC">
        <w:rPr>
          <w:vertAlign w:val="superscript"/>
        </w:rPr>
        <w:t>-1</w:t>
      </w:r>
      <w:r>
        <w:t>) and induced (0.5 to 10 °C min</w:t>
      </w:r>
      <w:r w:rsidRPr="000B25BC">
        <w:rPr>
          <w:vertAlign w:val="superscript"/>
        </w:rPr>
        <w:t>-1</w:t>
      </w:r>
      <w:r>
        <w:t>) cooling profiles, and an “isothermal” quench (50 °C min</w:t>
      </w:r>
      <w:r w:rsidRPr="000B25BC">
        <w:rPr>
          <w:vertAlign w:val="superscript"/>
        </w:rPr>
        <w:t>-1</w:t>
      </w:r>
      <w:r>
        <w:t>). The top graph summarizes the start of nucleation (</w:t>
      </w:r>
      <w:r w:rsidRPr="00904167">
        <w:rPr>
          <w:i/>
        </w:rPr>
        <w:t>T</w:t>
      </w:r>
      <w:r w:rsidRPr="00904167">
        <w:rPr>
          <w:vertAlign w:val="subscript"/>
        </w:rPr>
        <w:t>ind</w:t>
      </w:r>
      <w:r w:rsidRPr="00466732">
        <w:t>,</w:t>
      </w:r>
      <w:r w:rsidRPr="00466732">
        <w:rPr>
          <w:i/>
        </w:rPr>
        <w:t xml:space="preserve"> </w:t>
      </w:r>
      <w:r>
        <w:rPr>
          <w:i/>
        </w:rPr>
        <w:t>t</w:t>
      </w:r>
      <w:r w:rsidRPr="00904167">
        <w:rPr>
          <w:vertAlign w:val="subscript"/>
        </w:rPr>
        <w:t>ind</w:t>
      </w:r>
      <w:r>
        <w:t>) and the completion of growth (</w:t>
      </w:r>
      <w:r w:rsidRPr="00904167">
        <w:rPr>
          <w:i/>
        </w:rPr>
        <w:t>T</w:t>
      </w:r>
      <w:r>
        <w:rPr>
          <w:vertAlign w:val="subscript"/>
        </w:rPr>
        <w:t>f</w:t>
      </w:r>
      <w:r w:rsidRPr="00466732">
        <w:t>,</w:t>
      </w:r>
      <w:r w:rsidRPr="00466732">
        <w:rPr>
          <w:i/>
        </w:rPr>
        <w:t xml:space="preserve"> </w:t>
      </w:r>
      <w:r>
        <w:rPr>
          <w:i/>
        </w:rPr>
        <w:t>t</w:t>
      </w:r>
      <w:r>
        <w:rPr>
          <w:vertAlign w:val="subscript"/>
        </w:rPr>
        <w:t>f</w:t>
      </w:r>
      <w:r>
        <w:t xml:space="preserve">). </w:t>
      </w:r>
      <w:r>
        <w:rPr>
          <w:rFonts w:cstheme="majorHAnsi"/>
        </w:rPr>
        <w:t xml:space="preserve">The red region is the metastable zone where nucleation was not observed; crystallization was </w:t>
      </w:r>
      <w:r w:rsidR="00EB627D">
        <w:rPr>
          <w:rFonts w:cstheme="majorHAnsi"/>
        </w:rPr>
        <w:t>noted</w:t>
      </w:r>
      <w:r>
        <w:rPr>
          <w:rFonts w:cstheme="majorHAnsi"/>
        </w:rPr>
        <w:t xml:space="preserve"> in the light blue region, reaching completion entering the purple region. </w:t>
      </w:r>
      <w:r w:rsidRPr="00332401">
        <w:rPr>
          <w:rFonts w:cstheme="majorHAnsi"/>
        </w:rPr>
        <w:t xml:space="preserve">The dotted lines correspond to the </w:t>
      </w:r>
      <w:r w:rsidRPr="00332401">
        <w:rPr>
          <w:rFonts w:cstheme="majorHAnsi"/>
          <w:i/>
        </w:rPr>
        <w:t>T</w:t>
      </w:r>
      <w:r w:rsidRPr="00332401">
        <w:rPr>
          <w:rFonts w:cstheme="majorHAnsi"/>
        </w:rPr>
        <w:t xml:space="preserve">, </w:t>
      </w:r>
      <w:r w:rsidRPr="00332401">
        <w:rPr>
          <w:rFonts w:cstheme="majorHAnsi"/>
          <w:i/>
        </w:rPr>
        <w:t>t</w:t>
      </w:r>
      <w:r w:rsidRPr="00332401">
        <w:rPr>
          <w:rFonts w:cstheme="majorHAnsi"/>
        </w:rPr>
        <w:t xml:space="preserve"> trajectory of the employed </w:t>
      </w:r>
      <w:r w:rsidRPr="00B168D3">
        <w:rPr>
          <w:rFonts w:ascii="Symbol" w:hAnsi="Symbol"/>
          <w:i/>
        </w:rPr>
        <w:t></w:t>
      </w:r>
      <w:r w:rsidRPr="00332401">
        <w:rPr>
          <w:rFonts w:cstheme="majorHAnsi"/>
        </w:rPr>
        <w:t xml:space="preserve">; where </w:t>
      </w:r>
      <w:r w:rsidRPr="00332401">
        <w:rPr>
          <w:rFonts w:cstheme="majorHAnsi"/>
          <w:i/>
        </w:rPr>
        <w:t>t</w:t>
      </w:r>
      <w:r w:rsidRPr="00332401">
        <w:rPr>
          <w:rFonts w:cstheme="majorHAnsi"/>
        </w:rPr>
        <w:t xml:space="preserve"> = 0 is at </w:t>
      </w:r>
      <w:r w:rsidRPr="00332401">
        <w:rPr>
          <w:rFonts w:cstheme="majorHAnsi"/>
          <w:i/>
        </w:rPr>
        <w:t>T</w:t>
      </w:r>
      <w:r w:rsidRPr="00332401">
        <w:rPr>
          <w:rFonts w:cstheme="majorHAnsi"/>
        </w:rPr>
        <w:t xml:space="preserve"> = 19.1 °C.</w:t>
      </w:r>
    </w:p>
    <w:p w14:paraId="7AD6BF2E" w14:textId="77777777" w:rsidR="006945B5" w:rsidRDefault="006945B5" w:rsidP="00B725E6">
      <w:pPr>
        <w:pStyle w:val="TAMainText"/>
      </w:pPr>
    </w:p>
    <w:p w14:paraId="7E388CD7" w14:textId="0D4BFF42" w:rsidR="00B725E6" w:rsidRDefault="00B725E6" w:rsidP="00B725E6">
      <w:pPr>
        <w:pStyle w:val="TAMainText"/>
      </w:pPr>
      <w:r w:rsidRPr="00786651">
        <w:t>The crystallization of micellar SDS-H</w:t>
      </w:r>
      <w:r w:rsidRPr="00786651">
        <w:rPr>
          <w:vertAlign w:val="subscript"/>
        </w:rPr>
        <w:t>2</w:t>
      </w:r>
      <w:r w:rsidRPr="00786651">
        <w:t xml:space="preserve">O solutions yields a </w:t>
      </w:r>
      <w:r>
        <w:t>sequence</w:t>
      </w:r>
      <w:r w:rsidRPr="00786651">
        <w:t xml:space="preserve"> of morphologies ranging from platelets</w:t>
      </w:r>
      <w:r>
        <w:t xml:space="preserve"> to bundles and isolated needles, upon decreasing the </w:t>
      </w:r>
      <w:r>
        <w:rPr>
          <w:i/>
        </w:rPr>
        <w:t>T</w:t>
      </w:r>
      <w:r>
        <w:t xml:space="preserve"> from 6 to -5 </w:t>
      </w:r>
      <w:r w:rsidRPr="00A57429">
        <w:t>°C</w:t>
      </w:r>
      <w:r>
        <w:t>, under isothermal conditions.</w:t>
      </w:r>
      <w:r w:rsidRPr="00A41F97">
        <w:fldChar w:fldCharType="begin" w:fldLock="1"/>
      </w:r>
      <w:r>
        <w:instrText>ADDIN CSL_CITATION { "citationItems" : [ { "id" : "ITEM-1", "itemData" : { "author" : [ { "dropping-particle" : "", "family" : "Miller", "given" : "R. M.", "non-dropping-particle" : "", "parse-names" : false, "suffix" : "" }, { "dropping-particle" : "", "family" : "Poulos", "given" : "A. S.", "non-dropping-particle" : "", "parse-names" : false, "suffix" : "" }, { "dropping-particle" : "", "family" : "Robles", "given" : "E. S. J.", "non-dropping-particle" : "", "parse-names" : false, "suffix" : "" }, { "dropping-particle" : "", "family" : "Brooks", "given" : "N. J.", "non-dropping-particle" : "", "parse-names" : false, "suffix" : "" }, { "dropping-particle" : "", "family" : "Ces", "given" : "O.", "non-dropping-particle" : "", "parse-names" : false, "suffix" : "" }, { "dropping-particle" : "", "family" : "Cabral", "given" : "J. T.", "non-dropping-particle" : "", "parse-names" : false, "suffix" : "" } ], "container-title" : "Cryst. Growth Des.", "id" : "ITEM-1", "issued" : { "date-parts" : [ [ "2016" ] ] }, "page" : "3379-3388", "title" : "Isothermal Crystallization Kinetics of Sodium Dodecyl Sulfate\u2013Water Micellar Solutions", "type" : "article-journal", "volume" : "16" }, "uris" : [ "http://www.mendeley.com/documents/?uuid=c77d6518-e4f2-4f40-95b8-ff5cf089bc17" ] } ], "mendeley" : { "formattedCitation" : "&lt;sup&gt;41&lt;/sup&gt;", "plainTextFormattedCitation" : "41", "previouslyFormattedCitation" : "&lt;sup&gt;41&lt;/sup&gt;" }, "properties" : { "noteIndex" : 0 }, "schema" : "https://github.com/citation-style-language/schema/raw/master/csl-citation.json" }</w:instrText>
      </w:r>
      <w:r w:rsidRPr="00A41F97">
        <w:fldChar w:fldCharType="separate"/>
      </w:r>
      <w:r w:rsidRPr="00290E7E">
        <w:rPr>
          <w:noProof/>
          <w:vertAlign w:val="superscript"/>
        </w:rPr>
        <w:t>41</w:t>
      </w:r>
      <w:r w:rsidRPr="00A41F97">
        <w:fldChar w:fldCharType="end"/>
      </w:r>
      <w:r w:rsidRPr="00A41F97">
        <w:t xml:space="preserve"> </w:t>
      </w:r>
      <w:r>
        <w:t>The associated crystallization timescales are relatively short, ranging from a few to hundreds of seconds, across the stated temperature</w:t>
      </w:r>
      <w:r w:rsidRPr="0001205A">
        <w:t xml:space="preserve"> </w:t>
      </w:r>
      <w:r>
        <w:t xml:space="preserve">window. </w:t>
      </w:r>
      <w:r w:rsidRPr="00681897">
        <w:t xml:space="preserve">As a result, </w:t>
      </w:r>
      <w:r>
        <w:t>the imposed cooling rates (</w:t>
      </w:r>
      <w:r w:rsidRPr="00B168D3">
        <w:rPr>
          <w:rFonts w:ascii="Symbol" w:hAnsi="Symbol"/>
          <w:i/>
        </w:rPr>
        <w:t></w:t>
      </w:r>
      <w:r w:rsidRPr="00B168D3">
        <w:rPr>
          <w:rFonts w:cstheme="majorHAnsi"/>
        </w:rPr>
        <w:t>)</w:t>
      </w:r>
      <w:r>
        <w:t xml:space="preserve"> are</w:t>
      </w:r>
      <w:r w:rsidRPr="00A41F97">
        <w:t xml:space="preserve"> expected to have a considerable impact</w:t>
      </w:r>
      <w:r>
        <w:t xml:space="preserve"> both qualitatively and quantitatively o</w:t>
      </w:r>
      <w:r w:rsidRPr="00681897">
        <w:t>n the crystallization process</w:t>
      </w:r>
      <w:r w:rsidR="00060D04">
        <w:t xml:space="preserve">: clearly, at low </w:t>
      </w:r>
      <w:r w:rsidR="00060D04" w:rsidRPr="00B168D3">
        <w:rPr>
          <w:rFonts w:ascii="Symbol" w:hAnsi="Symbol"/>
          <w:i/>
        </w:rPr>
        <w:t></w:t>
      </w:r>
      <w:r w:rsidR="00060D04">
        <w:t xml:space="preserve"> crystallization occurs predominantly at relatively low supersaturation and comparatively high temperatures; while at high </w:t>
      </w:r>
      <w:r w:rsidRPr="00B168D3">
        <w:rPr>
          <w:rFonts w:ascii="Symbol" w:hAnsi="Symbol"/>
          <w:i/>
        </w:rPr>
        <w:t></w:t>
      </w:r>
      <w:r w:rsidR="00060D04">
        <w:t>, large</w:t>
      </w:r>
      <w:r>
        <w:t xml:space="preserve"> supersaturation levels are </w:t>
      </w:r>
      <w:r w:rsidR="005D360E">
        <w:t xml:space="preserve">achieved </w:t>
      </w:r>
      <w:r>
        <w:t xml:space="preserve">earlier, </w:t>
      </w:r>
      <w:r w:rsidR="00060D04">
        <w:t xml:space="preserve">at lower temperatures, </w:t>
      </w:r>
      <w:r>
        <w:t xml:space="preserve">directly impacting </w:t>
      </w:r>
      <w:r w:rsidR="00060D04">
        <w:t xml:space="preserve">both </w:t>
      </w:r>
      <w:r>
        <w:t>nucleation</w:t>
      </w:r>
      <w:r w:rsidR="00060D04">
        <w:t xml:space="preserve"> and growth</w:t>
      </w:r>
      <w:r>
        <w:t>.</w:t>
      </w:r>
      <w:r>
        <w:fldChar w:fldCharType="begin" w:fldLock="1"/>
      </w:r>
      <w:r>
        <w:instrText>ADDIN CSL_CITATION { "citationItems" : [ { "id" : "ITEM-1", "itemData" : { "author" : [ { "dropping-particle" : "", "family" : "Rodr\u00edguez-Horendo", "given" : "N.", "non-dropping-particle" : "", "parse-names" : false, "suffix" : "" }, { "dropping-particle" : "", "family" : "Murphy", "given" : "D.", "non-dropping-particle" : "", "parse-names" : false, "suffix" : "" } ], "container-title" : "J. Pharm. Sci.", "id" : "ITEM-1", "issued" : { "date-parts" : [ [ "1999" ] ] }, "page" : "651-660", "title" : "Significance of Controlling Crystallization Mechanisms and Kinetics in Pharmaceutical Systems", "type" : "article-journal", "volume" : "88" }, "uris" : [ "http://www.mendeley.com/documents/?uuid=f78bc1a7-9578-4586-8030-e20f70669ed8" ] }, { "id" : "ITEM-2", "itemData" : { "DOI" : "10.1021/cg1011633", "author" : [ { "dropping-particle" : "", "family" : "Vekilov", "given" : "P. G.", "non-dropping-particle" : "", "parse-names" : false, "suffix" : "" } ], "container-title" : "Cryst. Growth Des.", "id" : "ITEM-2", "issued" : { "date-parts" : [ [ "2010" ] ] }, "page" : "5007-5019", "title" : "Nucleation", "type" : "article-journal", "volume" : "10" }, "uris" : [ "http://www.mendeley.com/documents/?uuid=38e76dfd-c1ac-485b-bfc4-2b75e42db277" ] } ], "mendeley" : { "formattedCitation" : "&lt;sup&gt;53,54&lt;/sup&gt;", "plainTextFormattedCitation" : "53,54", "previouslyFormattedCitation" : "&lt;sup&gt;53,54&lt;/sup&gt;" }, "properties" : { "noteIndex" : 0 }, "schema" : "https://github.com/citation-style-language/schema/raw/master/csl-citation.json" }</w:instrText>
      </w:r>
      <w:r>
        <w:fldChar w:fldCharType="separate"/>
      </w:r>
      <w:r w:rsidRPr="00290E7E">
        <w:rPr>
          <w:noProof/>
          <w:vertAlign w:val="superscript"/>
        </w:rPr>
        <w:t>53,54</w:t>
      </w:r>
      <w:r>
        <w:fldChar w:fldCharType="end"/>
      </w:r>
    </w:p>
    <w:p w14:paraId="5AB71AC9" w14:textId="114C3FD6" w:rsidR="00DD30D5" w:rsidRPr="00DD30D5" w:rsidRDefault="00842662" w:rsidP="00DD30D5">
      <w:pPr>
        <w:pStyle w:val="TAMainText"/>
      </w:pPr>
      <w:r w:rsidRPr="00DD2464">
        <w:t>F</w:t>
      </w:r>
      <w:r w:rsidR="00292E82" w:rsidRPr="00DD2464">
        <w:t xml:space="preserve">igure </w:t>
      </w:r>
      <w:r w:rsidR="00107AA4" w:rsidRPr="00DD2464">
        <w:t>2</w:t>
      </w:r>
      <w:r w:rsidR="00292E82" w:rsidRPr="00DD2464">
        <w:t xml:space="preserve"> </w:t>
      </w:r>
      <w:r w:rsidRPr="00DD2464">
        <w:t xml:space="preserve">shows </w:t>
      </w:r>
      <w:r w:rsidR="00C0135A" w:rsidRPr="00DD2464">
        <w:t>the evolution</w:t>
      </w:r>
      <w:r w:rsidR="00292E82" w:rsidRPr="00DD2464">
        <w:t xml:space="preserve"> of </w:t>
      </w:r>
      <w:r w:rsidRPr="00DD2464">
        <w:t xml:space="preserve">crystal </w:t>
      </w:r>
      <w:r w:rsidR="008A6D7F" w:rsidRPr="00DD2464">
        <w:t>morpholog</w:t>
      </w:r>
      <w:r w:rsidR="008A6D7F">
        <w:t>ies</w:t>
      </w:r>
      <w:r w:rsidR="008A6D7F" w:rsidRPr="00DD2464">
        <w:t xml:space="preserve"> </w:t>
      </w:r>
      <w:r w:rsidRPr="00DD2464">
        <w:t>obtained from</w:t>
      </w:r>
      <w:r w:rsidR="00DD2464" w:rsidRPr="00DD2464">
        <w:t xml:space="preserve"> </w:t>
      </w:r>
      <w:r w:rsidR="00107AA4" w:rsidRPr="00DD2464">
        <w:t>optical microscopy images</w:t>
      </w:r>
      <w:r w:rsidRPr="00DD2464">
        <w:t xml:space="preserve"> at </w:t>
      </w:r>
      <w:r w:rsidR="00805AF6">
        <w:t>the investigated</w:t>
      </w:r>
      <w:r w:rsidRPr="00DD2464">
        <w:t xml:space="preserve"> </w:t>
      </w:r>
      <w:r w:rsidR="00DD2464" w:rsidRPr="009B2000">
        <w:rPr>
          <w:rFonts w:ascii="Symbol" w:hAnsi="Symbol"/>
          <w:i/>
        </w:rPr>
        <w:t></w:t>
      </w:r>
      <w:r w:rsidRPr="00DD2464">
        <w:t xml:space="preserve"> as a function</w:t>
      </w:r>
      <w:r>
        <w:t xml:space="preserve"> of temperature (</w:t>
      </w:r>
      <w:r w:rsidRPr="00842662">
        <w:rPr>
          <w:i/>
        </w:rPr>
        <w:t>T</w:t>
      </w:r>
      <w:r>
        <w:t>) and time (</w:t>
      </w:r>
      <w:r>
        <w:rPr>
          <w:i/>
        </w:rPr>
        <w:t>t</w:t>
      </w:r>
      <w:r>
        <w:t>).</w:t>
      </w:r>
      <w:r w:rsidR="00514791">
        <w:t xml:space="preserve"> </w:t>
      </w:r>
      <w:r>
        <w:t xml:space="preserve">Evidently, even though the final temperature </w:t>
      </w:r>
      <w:r w:rsidR="00A1479B">
        <w:t>(</w:t>
      </w:r>
      <w:r w:rsidR="00A1479B" w:rsidRPr="00A1479B">
        <w:rPr>
          <w:i/>
        </w:rPr>
        <w:t>T</w:t>
      </w:r>
      <w:r w:rsidR="00A1479B" w:rsidRPr="00A1479B">
        <w:rPr>
          <w:vertAlign w:val="subscript"/>
        </w:rPr>
        <w:t>f</w:t>
      </w:r>
      <w:r w:rsidR="00A1479B">
        <w:t xml:space="preserve">) </w:t>
      </w:r>
      <w:r>
        <w:t>is constant in all cases (</w:t>
      </w:r>
      <w:r w:rsidR="001C6B8F" w:rsidRPr="001C6B8F">
        <w:rPr>
          <w:i/>
        </w:rPr>
        <w:t>T</w:t>
      </w:r>
      <w:r w:rsidR="001C6B8F" w:rsidRPr="001C6B8F">
        <w:rPr>
          <w:vertAlign w:val="subscript"/>
        </w:rPr>
        <w:t>f</w:t>
      </w:r>
      <w:r w:rsidR="001C6B8F" w:rsidRPr="001C6B8F">
        <w:t xml:space="preserve"> = </w:t>
      </w:r>
      <w:r w:rsidRPr="00AD7C91">
        <w:t>-5 °C</w:t>
      </w:r>
      <w:r>
        <w:t xml:space="preserve">), </w:t>
      </w:r>
      <w:r w:rsidRPr="00A41F97">
        <w:t>with increas</w:t>
      </w:r>
      <w:r w:rsidR="00F876B8">
        <w:t>ing</w:t>
      </w:r>
      <w:r w:rsidRPr="00A41F97">
        <w:t xml:space="preserve"> </w:t>
      </w:r>
      <w:r w:rsidRPr="00AD7C91">
        <w:rPr>
          <w:rFonts w:ascii="Symbol" w:hAnsi="Symbol"/>
          <w:i/>
        </w:rPr>
        <w:t></w:t>
      </w:r>
      <w:r w:rsidR="00060D04">
        <w:t xml:space="preserve">, </w:t>
      </w:r>
      <w:r w:rsidRPr="00F14F9F">
        <w:rPr>
          <w:i/>
        </w:rPr>
        <w:t>N</w:t>
      </w:r>
      <w:r w:rsidRPr="00F14F9F">
        <w:rPr>
          <w:vertAlign w:val="subscript"/>
        </w:rPr>
        <w:t>d</w:t>
      </w:r>
      <w:r w:rsidRPr="00A41F97">
        <w:t xml:space="preserve"> </w:t>
      </w:r>
      <w:r w:rsidR="00060D04">
        <w:t>increases</w:t>
      </w:r>
      <w:r w:rsidRPr="00A41F97">
        <w:t xml:space="preserve"> whil</w:t>
      </w:r>
      <w:r>
        <w:t>e</w:t>
      </w:r>
      <w:r w:rsidR="00C364BD">
        <w:t xml:space="preserve"> the</w:t>
      </w:r>
      <w:r w:rsidRPr="00A41F97">
        <w:t xml:space="preserve"> </w:t>
      </w:r>
      <w:r>
        <w:t>crystal size</w:t>
      </w:r>
      <w:r w:rsidRPr="00A41F97">
        <w:t xml:space="preserve"> decreases</w:t>
      </w:r>
      <w:r w:rsidR="001C6B8F">
        <w:t>.</w:t>
      </w:r>
      <w:r w:rsidR="004F4831">
        <w:t xml:space="preserve"> </w:t>
      </w:r>
      <w:r w:rsidR="001C6B8F">
        <w:t>The n</w:t>
      </w:r>
      <w:r w:rsidR="004F4831" w:rsidRPr="004F4831">
        <w:t xml:space="preserve">ucleation </w:t>
      </w:r>
      <w:r w:rsidR="001C6B8F">
        <w:t xml:space="preserve">process </w:t>
      </w:r>
      <w:r w:rsidR="004F4831" w:rsidRPr="004F4831">
        <w:t xml:space="preserve">is </w:t>
      </w:r>
      <w:r w:rsidR="001C6B8F">
        <w:t>clearly</w:t>
      </w:r>
      <w:r w:rsidR="004F4831" w:rsidRPr="004F4831">
        <w:t xml:space="preserve"> governed by both </w:t>
      </w:r>
      <w:r w:rsidR="004F4831" w:rsidRPr="004F4831">
        <w:rPr>
          <w:i/>
        </w:rPr>
        <w:t>T</w:t>
      </w:r>
      <w:r w:rsidR="004F4831" w:rsidRPr="004F4831">
        <w:t xml:space="preserve"> and </w:t>
      </w:r>
      <w:r w:rsidR="004F4831" w:rsidRPr="004F4831">
        <w:rPr>
          <w:i/>
        </w:rPr>
        <w:t>t</w:t>
      </w:r>
      <w:r w:rsidR="001C6B8F">
        <w:t>. L</w:t>
      </w:r>
      <w:r w:rsidR="004F4831" w:rsidRPr="004F4831">
        <w:t xml:space="preserve">ower </w:t>
      </w:r>
      <w:r w:rsidR="004F4831" w:rsidRPr="00AD7C91">
        <w:rPr>
          <w:rFonts w:ascii="Symbol" w:hAnsi="Symbol"/>
          <w:i/>
        </w:rPr>
        <w:t></w:t>
      </w:r>
      <w:r w:rsidR="004F4831" w:rsidRPr="004F4831">
        <w:t xml:space="preserve"> </w:t>
      </w:r>
      <w:r w:rsidR="001C6B8F">
        <w:t xml:space="preserve">rates </w:t>
      </w:r>
      <w:r w:rsidR="004F4831" w:rsidRPr="004F4831">
        <w:t xml:space="preserve">trigger nucleation at higher </w:t>
      </w:r>
      <w:r w:rsidR="004F4831" w:rsidRPr="004F4831">
        <w:rPr>
          <w:i/>
        </w:rPr>
        <w:t>T</w:t>
      </w:r>
      <w:r w:rsidR="004F4831" w:rsidRPr="004F4831">
        <w:t>, as the solution spends longer</w:t>
      </w:r>
      <w:r w:rsidR="001C6B8F">
        <w:t xml:space="preserve"> time</w:t>
      </w:r>
      <w:r w:rsidR="004F4831" w:rsidRPr="004F4831">
        <w:t xml:space="preserve"> in the labile zone before reaching -5 °C. </w:t>
      </w:r>
      <w:r w:rsidR="004F4831">
        <w:t xml:space="preserve">As an illustration, for </w:t>
      </w:r>
      <w:r w:rsidR="004F4831" w:rsidRPr="00410F5E">
        <w:rPr>
          <w:rFonts w:ascii="Symbol" w:hAnsi="Symbol"/>
          <w:i/>
        </w:rPr>
        <w:t></w:t>
      </w:r>
      <w:r w:rsidR="004F4831">
        <w:rPr>
          <w:rFonts w:ascii="Symbol" w:hAnsi="Symbol"/>
        </w:rPr>
        <w:t></w:t>
      </w:r>
      <w:r w:rsidR="004F4831">
        <w:rPr>
          <w:rFonts w:ascii="Symbol" w:hAnsi="Symbol"/>
        </w:rPr>
        <w:t></w:t>
      </w:r>
      <w:r w:rsidR="004F4831">
        <w:rPr>
          <w:rFonts w:ascii="Symbol" w:hAnsi="Symbol"/>
        </w:rPr>
        <w:t></w:t>
      </w:r>
      <w:r w:rsidR="004F4831" w:rsidRPr="0022327C">
        <w:t>1</w:t>
      </w:r>
      <w:r w:rsidR="004F4831">
        <w:t>.</w:t>
      </w:r>
      <w:r w:rsidR="004F4831" w:rsidRPr="0022327C">
        <w:t>0 °C min</w:t>
      </w:r>
      <w:r w:rsidR="004F4831" w:rsidRPr="0022327C">
        <w:rPr>
          <w:vertAlign w:val="superscript"/>
        </w:rPr>
        <w:t>-1</w:t>
      </w:r>
      <w:r w:rsidR="004F4831">
        <w:t xml:space="preserve"> nucleation was observed, on average, at 1.3</w:t>
      </w:r>
      <w:r w:rsidR="004F4831" w:rsidRPr="0022327C">
        <w:t xml:space="preserve"> ± 0.</w:t>
      </w:r>
      <w:r w:rsidR="004F4831">
        <w:t>9</w:t>
      </w:r>
      <w:r w:rsidR="004F4831" w:rsidRPr="0022327C">
        <w:t xml:space="preserve"> °C,</w:t>
      </w:r>
      <w:r w:rsidR="004F4831">
        <w:t xml:space="preserve"> whereas for </w:t>
      </w:r>
      <w:r w:rsidR="004F4831" w:rsidRPr="00410F5E">
        <w:rPr>
          <w:rFonts w:ascii="Symbol" w:hAnsi="Symbol"/>
          <w:i/>
        </w:rPr>
        <w:t></w:t>
      </w:r>
      <w:r w:rsidR="004F4831">
        <w:rPr>
          <w:rFonts w:ascii="Symbol" w:hAnsi="Symbol"/>
        </w:rPr>
        <w:t></w:t>
      </w:r>
      <w:r w:rsidR="004F4831">
        <w:rPr>
          <w:rFonts w:ascii="Symbol" w:hAnsi="Symbol"/>
        </w:rPr>
        <w:t></w:t>
      </w:r>
      <w:r w:rsidR="004F4831">
        <w:rPr>
          <w:rFonts w:ascii="Symbol" w:hAnsi="Symbol"/>
        </w:rPr>
        <w:t></w:t>
      </w:r>
      <w:r w:rsidR="004F4831">
        <w:t>5</w:t>
      </w:r>
      <w:r w:rsidR="004F4831" w:rsidRPr="0022327C">
        <w:t>0 °C min</w:t>
      </w:r>
      <w:r w:rsidR="004F4831" w:rsidRPr="0022327C">
        <w:rPr>
          <w:vertAlign w:val="superscript"/>
        </w:rPr>
        <w:t>-1</w:t>
      </w:r>
      <w:r w:rsidR="004F4831" w:rsidRPr="0022327C">
        <w:t>,</w:t>
      </w:r>
      <w:r w:rsidR="004F4831">
        <w:t xml:space="preserve"> the </w:t>
      </w:r>
      <w:r w:rsidR="001C6B8F">
        <w:t>‘</w:t>
      </w:r>
      <w:r w:rsidR="004F4831">
        <w:t>isothermal</w:t>
      </w:r>
      <w:r w:rsidR="001C6B8F">
        <w:t>’</w:t>
      </w:r>
      <w:r w:rsidR="004F4831">
        <w:t xml:space="preserve"> rate, nucleation was observed after </w:t>
      </w:r>
      <w:r w:rsidR="004F4831" w:rsidRPr="0022327C">
        <w:t>7.8 ± 0.9 s at -5 °C.</w:t>
      </w:r>
    </w:p>
    <w:p w14:paraId="649686F6" w14:textId="40CC4281" w:rsidR="00514791" w:rsidRDefault="001C6B8F" w:rsidP="004F4831">
      <w:pPr>
        <w:pStyle w:val="TAMainText"/>
      </w:pPr>
      <w:r w:rsidRPr="00DD30D5">
        <w:t>At the end point of -5 °C, for which dense single needles are found under isothermal conditions, a</w:t>
      </w:r>
      <w:r w:rsidR="00470C09">
        <w:t xml:space="preserve"> variety of fully crystallized </w:t>
      </w:r>
      <w:r w:rsidRPr="00DD30D5">
        <w:t xml:space="preserve">morphologies are found, including large macroscopic crystals at the lowest </w:t>
      </w:r>
      <w:r w:rsidRPr="00DD30D5">
        <w:rPr>
          <w:rFonts w:ascii="Symbol" w:hAnsi="Symbol"/>
          <w:i/>
        </w:rPr>
        <w:t></w:t>
      </w:r>
      <w:r w:rsidRPr="00DD30D5">
        <w:t xml:space="preserve">. </w:t>
      </w:r>
      <w:r w:rsidR="00DD30D5" w:rsidRPr="00DD30D5">
        <w:t xml:space="preserve">The </w:t>
      </w:r>
      <w:r w:rsidR="00DD30D5" w:rsidRPr="00DD30D5">
        <w:lastRenderedPageBreak/>
        <w:t xml:space="preserve">resulting morphologies are </w:t>
      </w:r>
      <w:r w:rsidR="00470C09">
        <w:t xml:space="preserve">also </w:t>
      </w:r>
      <w:r w:rsidR="00DD30D5" w:rsidRPr="00DD30D5">
        <w:t>found to be largely governed by the temperature at which they nucleate</w:t>
      </w:r>
      <w:r w:rsidR="00470C09">
        <w:t>.</w:t>
      </w:r>
      <w:r w:rsidR="00DD30D5" w:rsidRPr="00DD30D5">
        <w:t xml:space="preserve"> </w:t>
      </w:r>
      <w:r w:rsidR="00F6043D">
        <w:t>This can be rationaliz</w:t>
      </w:r>
      <w:r w:rsidR="00470C09">
        <w:t>ed based on the isothermal data;</w:t>
      </w:r>
      <w:r w:rsidR="00F6043D">
        <w:t xml:space="preserve"> for example at </w:t>
      </w:r>
      <w:r w:rsidR="003E35CA" w:rsidRPr="0022327C">
        <w:rPr>
          <w:rFonts w:ascii="Symbol" w:hAnsi="Symbol"/>
          <w:i/>
        </w:rPr>
        <w:t></w:t>
      </w:r>
      <w:r w:rsidR="003E35CA" w:rsidRPr="0022327C">
        <w:rPr>
          <w:rFonts w:ascii="Symbol" w:hAnsi="Symbol"/>
          <w:i/>
        </w:rPr>
        <w:t></w:t>
      </w:r>
      <w:r w:rsidR="003E35CA" w:rsidRPr="0022327C">
        <w:t>= 10 °C min</w:t>
      </w:r>
      <w:r w:rsidR="003E35CA" w:rsidRPr="0022327C">
        <w:rPr>
          <w:vertAlign w:val="superscript"/>
        </w:rPr>
        <w:t>-1</w:t>
      </w:r>
      <w:r w:rsidR="00470C09">
        <w:t xml:space="preserve">, </w:t>
      </w:r>
      <w:r w:rsidR="003E35CA" w:rsidRPr="0022327C">
        <w:t>a needle bundle is observed</w:t>
      </w:r>
      <w:r w:rsidR="003E35CA">
        <w:t xml:space="preserve"> </w:t>
      </w:r>
      <w:r w:rsidR="00DD30D5">
        <w:t>when the temperature reaches</w:t>
      </w:r>
      <w:r w:rsidR="003E35CA">
        <w:t xml:space="preserve"> -2.6 </w:t>
      </w:r>
      <w:r w:rsidR="003E35CA" w:rsidRPr="0022327C">
        <w:t>°C</w:t>
      </w:r>
      <w:r w:rsidR="00470C09" w:rsidRPr="00470C09">
        <w:t xml:space="preserve"> </w:t>
      </w:r>
      <w:r w:rsidR="00470C09">
        <w:t>(Figure 2)</w:t>
      </w:r>
      <w:r w:rsidR="003E35CA">
        <w:t xml:space="preserve"> while</w:t>
      </w:r>
      <w:r w:rsidR="00470C09">
        <w:t>,</w:t>
      </w:r>
      <w:r w:rsidR="003E35CA">
        <w:t xml:space="preserve"> isothermally</w:t>
      </w:r>
      <w:r w:rsidR="00470C09">
        <w:t>,</w:t>
      </w:r>
      <w:r w:rsidR="003E35CA">
        <w:t xml:space="preserve"> bundles </w:t>
      </w:r>
      <w:r w:rsidR="00DD30D5">
        <w:t>are found</w:t>
      </w:r>
      <w:r w:rsidR="003E35CA">
        <w:t xml:space="preserve"> at -2.0 </w:t>
      </w:r>
      <w:r w:rsidR="003E35CA" w:rsidRPr="00A41F97">
        <w:t>°C</w:t>
      </w:r>
      <w:r w:rsidR="00DD30D5">
        <w:t xml:space="preserve">, and predominantly </w:t>
      </w:r>
      <w:r w:rsidR="00470C09">
        <w:t xml:space="preserve">single </w:t>
      </w:r>
      <w:r w:rsidR="00DD30D5">
        <w:t xml:space="preserve">needles are found at -5.0 °C. </w:t>
      </w:r>
      <w:r w:rsidR="00007FE1">
        <w:t xml:space="preserve">Cooling at </w:t>
      </w:r>
      <w:r w:rsidR="00DD30D5">
        <w:t xml:space="preserve">the slowest </w:t>
      </w:r>
      <w:r w:rsidR="00007FE1" w:rsidRPr="0022327C">
        <w:rPr>
          <w:rFonts w:ascii="Symbol" w:hAnsi="Symbol"/>
          <w:i/>
        </w:rPr>
        <w:t></w:t>
      </w:r>
      <w:r w:rsidR="00007FE1" w:rsidRPr="0022327C">
        <w:rPr>
          <w:rFonts w:ascii="Symbol" w:hAnsi="Symbol"/>
          <w:i/>
        </w:rPr>
        <w:t></w:t>
      </w:r>
      <w:r w:rsidR="00007FE1" w:rsidRPr="0022327C">
        <w:t xml:space="preserve">= </w:t>
      </w:r>
      <w:r w:rsidR="00007FE1">
        <w:t>0.1</w:t>
      </w:r>
      <w:r w:rsidR="00007FE1" w:rsidRPr="0022327C">
        <w:t xml:space="preserve"> °C min</w:t>
      </w:r>
      <w:r w:rsidR="00007FE1" w:rsidRPr="0022327C">
        <w:rPr>
          <w:vertAlign w:val="superscript"/>
        </w:rPr>
        <w:t>-1</w:t>
      </w:r>
      <w:r w:rsidR="00007FE1">
        <w:t xml:space="preserve"> d</w:t>
      </w:r>
      <w:r w:rsidR="00754D89">
        <w:t>id</w:t>
      </w:r>
      <w:r w:rsidR="00007FE1">
        <w:t xml:space="preserve"> not result in needle formation, as crystallization is complete before this characteristic </w:t>
      </w:r>
      <w:r w:rsidR="00007FE1">
        <w:rPr>
          <w:i/>
        </w:rPr>
        <w:t>T</w:t>
      </w:r>
      <w:r w:rsidR="00007FE1">
        <w:t xml:space="preserve"> is reached; instead a “rounded” octagon is observed, as shown in Figure 2, in agreement with the formation of octagons at 6 </w:t>
      </w:r>
      <w:r w:rsidR="00007FE1" w:rsidRPr="00A41F97">
        <w:t>°C</w:t>
      </w:r>
      <w:r w:rsidR="00007FE1">
        <w:t xml:space="preserve"> under isothermal conditions.</w:t>
      </w:r>
      <w:r w:rsidR="00514791">
        <w:t xml:space="preserve"> At intermediate </w:t>
      </w:r>
      <w:r w:rsidR="00007FE1" w:rsidRPr="00AD7C91">
        <w:rPr>
          <w:rFonts w:ascii="Symbol" w:hAnsi="Symbol"/>
          <w:i/>
        </w:rPr>
        <w:t></w:t>
      </w:r>
      <w:r w:rsidR="00514791">
        <w:t xml:space="preserve"> the crystal form becomes distorted</w:t>
      </w:r>
      <w:r w:rsidR="00007FE1">
        <w:t xml:space="preserve"> as</w:t>
      </w:r>
      <w:r w:rsidR="00B85CA4">
        <w:t xml:space="preserve"> the</w:t>
      </w:r>
      <w:r w:rsidR="00007FE1">
        <w:t xml:space="preserve"> </w:t>
      </w:r>
      <w:r w:rsidR="00007FE1">
        <w:rPr>
          <w:i/>
        </w:rPr>
        <w:t>T</w:t>
      </w:r>
      <w:r w:rsidR="00007FE1">
        <w:t xml:space="preserve"> is lowered,</w:t>
      </w:r>
      <w:r w:rsidR="00514791">
        <w:t xml:space="preserve"> discussed below. </w:t>
      </w:r>
      <w:r w:rsidR="00303EFD" w:rsidRPr="00303EFD">
        <w:t>For the purpose of brevity, henceforth</w:t>
      </w:r>
      <w:r w:rsidR="00B85CA4">
        <w:t xml:space="preserve"> </w:t>
      </w:r>
      <w:r w:rsidR="00303EFD" w:rsidRPr="00303EFD">
        <w:t>0.1, 0.5 and 1.0 °C min</w:t>
      </w:r>
      <w:r w:rsidR="00303EFD" w:rsidRPr="00303EFD">
        <w:rPr>
          <w:vertAlign w:val="superscript"/>
        </w:rPr>
        <w:t>-1</w:t>
      </w:r>
      <w:r w:rsidR="00303EFD" w:rsidRPr="00303EFD">
        <w:t xml:space="preserve"> will be termed the </w:t>
      </w:r>
      <w:r w:rsidR="00303EFD" w:rsidRPr="00303EFD">
        <w:rPr>
          <w:i/>
        </w:rPr>
        <w:t>slower</w:t>
      </w:r>
      <w:r w:rsidR="00303EFD" w:rsidRPr="00303EFD">
        <w:t xml:space="preserve"> rates, while 5.0 and 10 °C min</w:t>
      </w:r>
      <w:r w:rsidR="00303EFD" w:rsidRPr="00303EFD">
        <w:rPr>
          <w:vertAlign w:val="superscript"/>
        </w:rPr>
        <w:t>-1</w:t>
      </w:r>
      <w:r w:rsidR="00303EFD" w:rsidRPr="00303EFD">
        <w:t xml:space="preserve"> will be the </w:t>
      </w:r>
      <w:r w:rsidR="00303EFD" w:rsidRPr="00303EFD">
        <w:rPr>
          <w:i/>
        </w:rPr>
        <w:t>faster</w:t>
      </w:r>
      <w:r w:rsidR="00303EFD" w:rsidRPr="00303EFD">
        <w:t xml:space="preserve"> rates</w:t>
      </w:r>
      <w:r w:rsidR="00003B91">
        <w:t>, where applicable.</w:t>
      </w:r>
    </w:p>
    <w:p w14:paraId="7FBFFF0C" w14:textId="77777777" w:rsidR="00B725E6" w:rsidRDefault="00B725E6" w:rsidP="005F6B40">
      <w:pPr>
        <w:pStyle w:val="TAMainText"/>
      </w:pPr>
    </w:p>
    <w:p w14:paraId="3CE3F96B" w14:textId="77777777" w:rsidR="005F6B40" w:rsidRPr="00E1638A" w:rsidRDefault="005F6B40" w:rsidP="005F6B40">
      <w:pPr>
        <w:pStyle w:val="TAMainText"/>
        <w:ind w:firstLine="0"/>
        <w:rPr>
          <w:b/>
        </w:rPr>
      </w:pPr>
      <w:r w:rsidRPr="00E1638A">
        <w:rPr>
          <w:b/>
        </w:rPr>
        <w:t>Nucleation Kinetics</w:t>
      </w:r>
    </w:p>
    <w:p w14:paraId="3CDA3C11" w14:textId="125C0588" w:rsidR="00A05078" w:rsidRPr="00A41F97" w:rsidRDefault="004D0E73" w:rsidP="00221457">
      <w:pPr>
        <w:spacing w:after="0" w:line="360" w:lineRule="auto"/>
        <w:ind w:firstLine="284"/>
        <w:rPr>
          <w:rFonts w:asciiTheme="majorHAnsi" w:hAnsiTheme="majorHAnsi"/>
          <w:sz w:val="20"/>
        </w:rPr>
      </w:pPr>
      <w:r>
        <w:rPr>
          <w:rFonts w:asciiTheme="majorHAnsi" w:hAnsiTheme="majorHAnsi"/>
          <w:noProof/>
          <w:sz w:val="20"/>
          <w:lang w:val="en-GB" w:eastAsia="en-GB"/>
        </w:rPr>
        <w:drawing>
          <wp:inline distT="0" distB="0" distL="0" distR="0" wp14:anchorId="6F4CEDD2" wp14:editId="15B2BDBB">
            <wp:extent cx="5145024" cy="360273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12.tif"/>
                    <pic:cNvPicPr/>
                  </pic:nvPicPr>
                  <pic:blipFill>
                    <a:blip r:embed="rId14">
                      <a:extLst>
                        <a:ext uri="{28A0092B-C50C-407E-A947-70E740481C1C}">
                          <a14:useLocalDpi xmlns:a14="http://schemas.microsoft.com/office/drawing/2010/main" val="0"/>
                        </a:ext>
                      </a:extLst>
                    </a:blip>
                    <a:stretch>
                      <a:fillRect/>
                    </a:stretch>
                  </pic:blipFill>
                  <pic:spPr>
                    <a:xfrm>
                      <a:off x="0" y="0"/>
                      <a:ext cx="5145024" cy="3602736"/>
                    </a:xfrm>
                    <a:prstGeom prst="rect">
                      <a:avLst/>
                    </a:prstGeom>
                  </pic:spPr>
                </pic:pic>
              </a:graphicData>
            </a:graphic>
          </wp:inline>
        </w:drawing>
      </w:r>
    </w:p>
    <w:p w14:paraId="26AEF4C2" w14:textId="0EE338FE" w:rsidR="006E6C0D" w:rsidRDefault="00C0135A" w:rsidP="005F6B40">
      <w:pPr>
        <w:pStyle w:val="VAFigureCaption"/>
        <w:pBdr>
          <w:bottom w:val="single" w:sz="6" w:space="1" w:color="auto"/>
        </w:pBdr>
      </w:pPr>
      <w:r w:rsidRPr="00A41F97">
        <w:rPr>
          <w:b/>
        </w:rPr>
        <w:t>Figure 3.</w:t>
      </w:r>
      <w:r w:rsidRPr="00A41F97">
        <w:t xml:space="preserve"> </w:t>
      </w:r>
      <w:r w:rsidR="00215BA6" w:rsidRPr="00A41F97">
        <w:t xml:space="preserve">Nucleation </w:t>
      </w:r>
      <w:r w:rsidR="00EE1D9A" w:rsidRPr="00A41F97">
        <w:t>data</w:t>
      </w:r>
      <w:r w:rsidR="00215BA6" w:rsidRPr="00A41F97">
        <w:t xml:space="preserve"> for</w:t>
      </w:r>
      <w:r w:rsidRPr="00A41F97">
        <w:t xml:space="preserve"> 20% SDS-H</w:t>
      </w:r>
      <w:r w:rsidRPr="00A41F97">
        <w:rPr>
          <w:vertAlign w:val="subscript"/>
        </w:rPr>
        <w:t>2</w:t>
      </w:r>
      <w:r w:rsidRPr="00A41F97">
        <w:t>O solutions</w:t>
      </w:r>
      <w:r w:rsidR="00215BA6" w:rsidRPr="00A41F97">
        <w:t xml:space="preserve"> cooled linearly to -5 °C</w:t>
      </w:r>
      <w:r w:rsidR="00D744D1">
        <w:t xml:space="preserve"> at the various </w:t>
      </w:r>
      <w:r w:rsidR="00873063" w:rsidRPr="004B0171">
        <w:rPr>
          <w:rFonts w:ascii="Symbol" w:hAnsi="Symbol"/>
          <w:i/>
        </w:rPr>
        <w:t></w:t>
      </w:r>
      <w:r w:rsidR="00D744D1">
        <w:t xml:space="preserve"> indicated</w:t>
      </w:r>
      <w:r w:rsidR="00CD0A11">
        <w:t>; graphs are as a function of</w:t>
      </w:r>
      <w:r w:rsidR="005633AA">
        <w:t xml:space="preserve"> </w:t>
      </w:r>
      <w:r w:rsidR="005633AA" w:rsidRPr="005633AA">
        <w:rPr>
          <w:i/>
        </w:rPr>
        <w:t>T</w:t>
      </w:r>
      <w:r w:rsidRPr="00A41F97">
        <w:t xml:space="preserve">. </w:t>
      </w:r>
      <w:r w:rsidR="00C1413F" w:rsidRPr="00A41F97">
        <w:t xml:space="preserve">(a) Nucleation </w:t>
      </w:r>
      <w:r w:rsidR="00D744D1">
        <w:t xml:space="preserve">(number) </w:t>
      </w:r>
      <w:r w:rsidR="00C1413F" w:rsidRPr="00A41F97">
        <w:t>density (</w:t>
      </w:r>
      <w:r w:rsidR="00C1413F" w:rsidRPr="00A41F97">
        <w:rPr>
          <w:i/>
        </w:rPr>
        <w:t>N</w:t>
      </w:r>
      <w:r w:rsidR="00C1413F" w:rsidRPr="00A41F97">
        <w:rPr>
          <w:vertAlign w:val="subscript"/>
        </w:rPr>
        <w:t>d</w:t>
      </w:r>
      <w:r w:rsidR="00C1413F" w:rsidRPr="00A41F97">
        <w:t>)</w:t>
      </w:r>
      <w:r w:rsidR="00447F94" w:rsidRPr="00A41F97">
        <w:t xml:space="preserve"> of c</w:t>
      </w:r>
      <w:r w:rsidR="005633AA">
        <w:t xml:space="preserve">rystals. </w:t>
      </w:r>
      <w:r w:rsidR="00447F94" w:rsidRPr="00A41F97">
        <w:t xml:space="preserve">(b) </w:t>
      </w:r>
      <w:r w:rsidR="00D744D1">
        <w:t xml:space="preserve">Slope of the data shown in panel (a), </w:t>
      </w:r>
      <w:r w:rsidR="004B0171">
        <w:t>given</w:t>
      </w:r>
      <w:r w:rsidR="00D744D1">
        <w:t xml:space="preserve"> as a nucleation rate per degree Celsius</w:t>
      </w:r>
      <w:r w:rsidR="00447F94" w:rsidRPr="00A41F97">
        <w:t xml:space="preserve"> (d</w:t>
      </w:r>
      <w:r w:rsidR="00447F94" w:rsidRPr="00A41F97">
        <w:rPr>
          <w:i/>
        </w:rPr>
        <w:t>N</w:t>
      </w:r>
      <w:r w:rsidR="00447F94" w:rsidRPr="00A41F97">
        <w:rPr>
          <w:vertAlign w:val="subscript"/>
        </w:rPr>
        <w:t>d</w:t>
      </w:r>
      <w:r w:rsidR="00447F94" w:rsidRPr="00A41F97">
        <w:t>/d</w:t>
      </w:r>
      <w:r w:rsidR="00447F94" w:rsidRPr="00A41F97">
        <w:rPr>
          <w:i/>
        </w:rPr>
        <w:t>T</w:t>
      </w:r>
      <w:r w:rsidR="00447F94" w:rsidRPr="00A41F97">
        <w:t>)</w:t>
      </w:r>
      <w:r w:rsidR="002251C6" w:rsidRPr="00A41F97">
        <w:t xml:space="preserve">. </w:t>
      </w:r>
      <w:r w:rsidR="00082592" w:rsidRPr="00A41F97">
        <w:t xml:space="preserve">(c) </w:t>
      </w:r>
      <w:r w:rsidR="00CD0A11">
        <w:t>Maximum</w:t>
      </w:r>
      <w:r w:rsidR="009C60F6" w:rsidRPr="00A41F97">
        <w:t xml:space="preserve"> nucleation</w:t>
      </w:r>
      <w:r w:rsidR="00CD0A11">
        <w:t xml:space="preserve"> rate</w:t>
      </w:r>
      <w:r w:rsidR="009C60F6" w:rsidRPr="00A41F97">
        <w:t xml:space="preserve"> ((d</w:t>
      </w:r>
      <w:r w:rsidR="009C60F6" w:rsidRPr="00A41F97">
        <w:rPr>
          <w:i/>
        </w:rPr>
        <w:t>N</w:t>
      </w:r>
      <w:r w:rsidR="009C60F6" w:rsidRPr="00A41F97">
        <w:rPr>
          <w:vertAlign w:val="subscript"/>
        </w:rPr>
        <w:t>d</w:t>
      </w:r>
      <w:r w:rsidR="009C60F6" w:rsidRPr="00A41F97">
        <w:t>/d</w:t>
      </w:r>
      <w:r w:rsidR="005633AA">
        <w:rPr>
          <w:i/>
        </w:rPr>
        <w:t>t</w:t>
      </w:r>
      <w:r w:rsidR="009C60F6" w:rsidRPr="00A41F97">
        <w:t>)</w:t>
      </w:r>
      <w:r w:rsidR="009C60F6" w:rsidRPr="00A41F97">
        <w:rPr>
          <w:vertAlign w:val="subscript"/>
        </w:rPr>
        <w:t>max</w:t>
      </w:r>
      <w:r w:rsidR="009C60F6" w:rsidRPr="00A41F97">
        <w:t xml:space="preserve"> − </w:t>
      </w:r>
      <w:r w:rsidR="009C60F6" w:rsidRPr="00A41F97">
        <w:lastRenderedPageBreak/>
        <w:t>blue, left axis) and total number density (</w:t>
      </w:r>
      <w:r w:rsidR="009C60F6" w:rsidRPr="00A41F97">
        <w:rPr>
          <w:i/>
        </w:rPr>
        <w:t>N</w:t>
      </w:r>
      <w:r w:rsidR="009C60F6" w:rsidRPr="00A41F97">
        <w:rPr>
          <w:vertAlign w:val="subscript"/>
        </w:rPr>
        <w:t>∞</w:t>
      </w:r>
      <w:r w:rsidR="00B43406">
        <w:t xml:space="preserve"> − </w:t>
      </w:r>
      <w:r w:rsidR="004D0E73">
        <w:t>gray</w:t>
      </w:r>
      <w:r w:rsidR="009C60F6" w:rsidRPr="00A41F97">
        <w:t>, right axis)</w:t>
      </w:r>
      <w:r w:rsidR="00935470" w:rsidRPr="00115EEE">
        <w:t xml:space="preserve">. </w:t>
      </w:r>
      <w:r w:rsidR="005A3B4C" w:rsidRPr="00115EEE">
        <w:t xml:space="preserve">(d) </w:t>
      </w:r>
      <w:r w:rsidR="00067FCE" w:rsidRPr="00115EEE">
        <w:t xml:space="preserve">Nucleation </w:t>
      </w:r>
      <w:r w:rsidR="000B6E82" w:rsidRPr="00115EEE">
        <w:t>type</w:t>
      </w:r>
      <w:r w:rsidR="003055EC">
        <w:t>,</w:t>
      </w:r>
      <w:r w:rsidR="005A3B4C" w:rsidRPr="00115EEE">
        <w:t xml:space="preserve"> classified as primary if the nucleation even</w:t>
      </w:r>
      <w:r w:rsidR="002021A4" w:rsidRPr="00115EEE">
        <w:t>t</w:t>
      </w:r>
      <w:r w:rsidR="005A3B4C" w:rsidRPr="00115EEE">
        <w:t xml:space="preserve"> was isolated, or secondary if </w:t>
      </w:r>
      <w:r w:rsidR="00D744D1">
        <w:t>initiated</w:t>
      </w:r>
      <w:r w:rsidR="005A3B4C" w:rsidRPr="00115EEE">
        <w:t xml:space="preserve"> from another crystal.</w:t>
      </w:r>
      <w:r w:rsidR="00CA234A" w:rsidRPr="00115EEE">
        <w:t xml:space="preserve"> </w:t>
      </w:r>
      <w:bookmarkStart w:id="1" w:name="OLE_LINK5"/>
      <w:r w:rsidR="00D744D1">
        <w:t>In panels</w:t>
      </w:r>
      <w:r w:rsidR="00840B6A">
        <w:t xml:space="preserve"> (c) and (d)</w:t>
      </w:r>
      <w:r w:rsidR="00D744D1">
        <w:t>,</w:t>
      </w:r>
      <w:r w:rsidR="00840B6A">
        <w:t xml:space="preserve"> </w:t>
      </w:r>
      <w:r w:rsidR="001C1CD5">
        <w:t>the horizontal lines indicate the</w:t>
      </w:r>
      <w:r w:rsidR="006E6C0D">
        <w:t xml:space="preserve"> </w:t>
      </w:r>
      <w:r w:rsidR="006E6C0D">
        <w:rPr>
          <w:i/>
        </w:rPr>
        <w:t>T</w:t>
      </w:r>
      <w:r w:rsidR="006E6C0D">
        <w:t xml:space="preserve"> range</w:t>
      </w:r>
      <w:r w:rsidR="001C1CD5">
        <w:t xml:space="preserve"> during which nucleation takes place</w:t>
      </w:r>
      <w:r w:rsidR="00B43406">
        <w:t xml:space="preserve"> (</w:t>
      </w:r>
      <w:r w:rsidR="00B43406" w:rsidRPr="00B43406">
        <w:rPr>
          <w:rFonts w:cstheme="majorHAnsi"/>
        </w:rPr>
        <w:t>Δ</w:t>
      </w:r>
      <w:r w:rsidR="007601FC">
        <w:rPr>
          <w:i/>
        </w:rPr>
        <w:t>T</w:t>
      </w:r>
      <w:r w:rsidR="00B43406" w:rsidRPr="00B43406">
        <w:rPr>
          <w:vertAlign w:val="subscript"/>
        </w:rPr>
        <w:t>(N)</w:t>
      </w:r>
      <w:r w:rsidR="00B43406">
        <w:t>)</w:t>
      </w:r>
      <w:r w:rsidR="001C1CD5">
        <w:t xml:space="preserve">, at </w:t>
      </w:r>
      <w:r w:rsidR="003055EC">
        <w:t xml:space="preserve">the indicated </w:t>
      </w:r>
      <w:r w:rsidR="003055EC" w:rsidRPr="003055EC">
        <w:rPr>
          <w:rFonts w:ascii="Symbol" w:hAnsi="Symbol"/>
          <w:i/>
        </w:rPr>
        <w:t></w:t>
      </w:r>
      <w:r w:rsidR="001C1CD5">
        <w:t>. The</w:t>
      </w:r>
      <w:r w:rsidR="00CA234A" w:rsidRPr="00115EEE">
        <w:t xml:space="preserve"> </w:t>
      </w:r>
      <w:r w:rsidR="00F54431" w:rsidRPr="00115EEE">
        <w:t xml:space="preserve">dashed </w:t>
      </w:r>
      <w:r w:rsidR="00CA234A" w:rsidRPr="00115EEE">
        <w:t xml:space="preserve">lines </w:t>
      </w:r>
      <w:r w:rsidR="000C37F7">
        <w:t>show</w:t>
      </w:r>
      <w:r w:rsidR="00CA234A" w:rsidRPr="00115EEE">
        <w:t xml:space="preserve"> the isothermal </w:t>
      </w:r>
      <w:r w:rsidR="002C5353">
        <w:t xml:space="preserve">(“iso”) </w:t>
      </w:r>
      <w:r w:rsidR="00CA234A" w:rsidRPr="00115EEE">
        <w:t>d</w:t>
      </w:r>
      <w:r w:rsidR="00E15BA7" w:rsidRPr="00115EEE">
        <w:t>ata</w:t>
      </w:r>
      <w:r w:rsidR="000C37F7">
        <w:t>, measured at</w:t>
      </w:r>
      <w:r w:rsidR="00497C79">
        <w:t xml:space="preserve"> various </w:t>
      </w:r>
      <w:r w:rsidR="00497C79">
        <w:rPr>
          <w:i/>
        </w:rPr>
        <w:t>T</w:t>
      </w:r>
      <w:r w:rsidR="00470C09" w:rsidRPr="00B35906">
        <w:rPr>
          <w:i/>
          <w:vertAlign w:val="subscript"/>
        </w:rPr>
        <w:t>f</w:t>
      </w:r>
      <w:r w:rsidR="00470C09">
        <w:rPr>
          <w:i/>
        </w:rPr>
        <w:t xml:space="preserve"> </w:t>
      </w:r>
      <w:r w:rsidR="00B35906" w:rsidRPr="00B35906">
        <w:t>with</w:t>
      </w:r>
      <w:r w:rsidR="00B35906">
        <w:rPr>
          <w:i/>
        </w:rPr>
        <w:t xml:space="preserve"> </w:t>
      </w:r>
      <w:r w:rsidR="00B35906" w:rsidRPr="003055EC">
        <w:rPr>
          <w:rFonts w:ascii="Symbol" w:hAnsi="Symbol"/>
          <w:i/>
        </w:rPr>
        <w:t></w:t>
      </w:r>
      <w:r w:rsidR="00B35906">
        <w:t>=</w:t>
      </w:r>
      <w:r w:rsidR="000C37F7">
        <w:t xml:space="preserve"> </w:t>
      </w:r>
      <w:r w:rsidR="000C37F7" w:rsidRPr="00A41F97">
        <w:t>5</w:t>
      </w:r>
      <w:r w:rsidR="000C37F7">
        <w:t>0</w:t>
      </w:r>
      <w:r w:rsidR="000C37F7" w:rsidRPr="00A41F97">
        <w:t xml:space="preserve"> °C</w:t>
      </w:r>
      <w:r w:rsidR="000C37F7">
        <w:t xml:space="preserve"> min</w:t>
      </w:r>
      <w:r w:rsidR="000C37F7" w:rsidRPr="000C37F7">
        <w:rPr>
          <w:vertAlign w:val="superscript"/>
        </w:rPr>
        <w:t>-1</w:t>
      </w:r>
      <w:r w:rsidR="000C37F7">
        <w:t xml:space="preserve">, for </w:t>
      </w:r>
      <w:bookmarkEnd w:id="1"/>
      <w:r w:rsidR="005F510D">
        <w:t>comparison.</w:t>
      </w:r>
    </w:p>
    <w:p w14:paraId="201800F9" w14:textId="77777777" w:rsidR="005F6B40" w:rsidRDefault="005F6B40" w:rsidP="005F6B40">
      <w:pPr>
        <w:pStyle w:val="TAMainText"/>
      </w:pPr>
    </w:p>
    <w:p w14:paraId="2CB35EA3" w14:textId="4E089654" w:rsidR="00417898" w:rsidRDefault="004D1A0A" w:rsidP="00D7076B">
      <w:pPr>
        <w:pStyle w:val="TAMainText"/>
      </w:pPr>
      <w:r>
        <w:t>The crystal number density (</w:t>
      </w:r>
      <w:r w:rsidRPr="004D1A0A">
        <w:rPr>
          <w:i/>
        </w:rPr>
        <w:t>N</w:t>
      </w:r>
      <w:r w:rsidRPr="004D1A0A">
        <w:rPr>
          <w:vertAlign w:val="subscript"/>
        </w:rPr>
        <w:t>d</w:t>
      </w:r>
      <w:r>
        <w:t xml:space="preserve">) </w:t>
      </w:r>
      <w:r w:rsidR="00DD30D5">
        <w:t>has been</w:t>
      </w:r>
      <w:r>
        <w:t xml:space="preserve"> computed as a function of </w:t>
      </w:r>
      <w:r w:rsidRPr="00115EEE">
        <w:rPr>
          <w:i/>
        </w:rPr>
        <w:t>T</w:t>
      </w:r>
      <w:r>
        <w:t xml:space="preserve">, </w:t>
      </w:r>
      <w:r w:rsidR="008913C4">
        <w:t xml:space="preserve">as </w:t>
      </w:r>
      <w:r>
        <w:t xml:space="preserve">shown in </w:t>
      </w:r>
      <w:r w:rsidRPr="00115EEE">
        <w:t xml:space="preserve">Figure 3(a), </w:t>
      </w:r>
      <w:r w:rsidR="008913C4">
        <w:t>and</w:t>
      </w:r>
      <w:r w:rsidRPr="00115EEE">
        <w:t xml:space="preserve"> forms the basis of subsequent analysis</w:t>
      </w:r>
      <w:r w:rsidR="00F53744">
        <w:t>. I</w:t>
      </w:r>
      <w:r>
        <w:t xml:space="preserve">ts </w:t>
      </w:r>
      <w:r w:rsidRPr="00115EEE">
        <w:t xml:space="preserve">first derivative </w:t>
      </w:r>
      <w:r>
        <w:t>yields</w:t>
      </w:r>
      <w:r w:rsidRPr="00115EEE">
        <w:t xml:space="preserve"> </w:t>
      </w:r>
      <w:r w:rsidRPr="0013402D">
        <w:t>d</w:t>
      </w:r>
      <w:r w:rsidRPr="0013402D">
        <w:rPr>
          <w:i/>
        </w:rPr>
        <w:t>N</w:t>
      </w:r>
      <w:r w:rsidRPr="0013402D">
        <w:rPr>
          <w:vertAlign w:val="subscript"/>
        </w:rPr>
        <w:t>d</w:t>
      </w:r>
      <w:r>
        <w:t>/d</w:t>
      </w:r>
      <w:r w:rsidRPr="0013402D">
        <w:rPr>
          <w:i/>
        </w:rPr>
        <w:t>T</w:t>
      </w:r>
      <w:r>
        <w:t>,</w:t>
      </w:r>
      <w:r w:rsidR="001C4340">
        <w:t xml:space="preserve"> provided</w:t>
      </w:r>
      <w:r>
        <w:t xml:space="preserve"> in </w:t>
      </w:r>
      <w:r w:rsidRPr="00115EEE">
        <w:t>Figure 3(b).</w:t>
      </w:r>
      <w:r>
        <w:t xml:space="preserve"> Complementary </w:t>
      </w:r>
      <w:r w:rsidRPr="00115EEE">
        <w:t xml:space="preserve">data </w:t>
      </w:r>
      <w:r>
        <w:t xml:space="preserve">can also be </w:t>
      </w:r>
      <w:r w:rsidRPr="00115EEE">
        <w:t xml:space="preserve">extracted </w:t>
      </w:r>
      <w:r>
        <w:t>as a function of</w:t>
      </w:r>
      <w:r w:rsidRPr="00115EEE">
        <w:t xml:space="preserve"> </w:t>
      </w:r>
      <w:r w:rsidRPr="00115EEE">
        <w:rPr>
          <w:i/>
        </w:rPr>
        <w:t>t</w:t>
      </w:r>
      <w:r w:rsidRPr="00115EEE">
        <w:t>,</w:t>
      </w:r>
      <w:r w:rsidR="00417898" w:rsidRPr="00417898">
        <w:t xml:space="preserve"> </w:t>
      </w:r>
      <w:r w:rsidR="00A432FA">
        <w:t xml:space="preserve">as done conventionally (Supporting Information </w:t>
      </w:r>
      <w:r w:rsidR="00417898" w:rsidRPr="00115EEE">
        <w:t>Figures S</w:t>
      </w:r>
      <w:r w:rsidR="00417898">
        <w:t>2</w:t>
      </w:r>
      <w:r w:rsidR="00417898" w:rsidRPr="00115EEE">
        <w:t>a,b</w:t>
      </w:r>
      <w:r w:rsidR="00417898">
        <w:t>).</w:t>
      </w:r>
      <w:r w:rsidR="00776BFB">
        <w:t xml:space="preserve"> </w:t>
      </w:r>
      <w:r w:rsidR="00417898">
        <w:t xml:space="preserve">The evolution of </w:t>
      </w:r>
      <w:r w:rsidR="00417898" w:rsidRPr="00417898">
        <w:rPr>
          <w:i/>
        </w:rPr>
        <w:t>N</w:t>
      </w:r>
      <w:r w:rsidR="00417898" w:rsidRPr="00417898">
        <w:rPr>
          <w:vertAlign w:val="subscript"/>
        </w:rPr>
        <w:t>d</w:t>
      </w:r>
      <w:r w:rsidR="00A432FA">
        <w:t xml:space="preserve"> is clearly non-monotonic, as </w:t>
      </w:r>
      <w:r w:rsidR="00776BFB">
        <w:t xml:space="preserve">with decreasing </w:t>
      </w:r>
      <w:r w:rsidR="00776BFB" w:rsidRPr="00776BFB">
        <w:rPr>
          <w:i/>
        </w:rPr>
        <w:t>T</w:t>
      </w:r>
      <w:r w:rsidR="00A432FA">
        <w:t xml:space="preserve"> i</w:t>
      </w:r>
      <w:r w:rsidR="00776BFB">
        <w:t xml:space="preserve">ncreased levels of supersaturation are achieved, resulting in an acceleration in </w:t>
      </w:r>
      <w:r w:rsidR="00776BFB" w:rsidRPr="00115EEE">
        <w:rPr>
          <w:i/>
        </w:rPr>
        <w:t>N</w:t>
      </w:r>
      <w:r w:rsidR="00776BFB" w:rsidRPr="00115EEE">
        <w:rPr>
          <w:vertAlign w:val="subscript"/>
        </w:rPr>
        <w:t>d</w:t>
      </w:r>
      <w:r w:rsidR="00776BFB">
        <w:t xml:space="preserve"> </w:t>
      </w:r>
      <w:r w:rsidR="00C02542">
        <w:t xml:space="preserve">followed by a </w:t>
      </w:r>
      <w:r w:rsidR="00A267B3">
        <w:t>plateau</w:t>
      </w:r>
      <w:r w:rsidR="00C02542">
        <w:t xml:space="preserve"> </w:t>
      </w:r>
      <w:r w:rsidR="00754D89">
        <w:t>(</w:t>
      </w:r>
      <w:r w:rsidR="00C02542">
        <w:t xml:space="preserve">before -5 </w:t>
      </w:r>
      <w:r w:rsidR="00C02542" w:rsidRPr="00115EEE">
        <w:t>°C</w:t>
      </w:r>
      <w:r w:rsidR="00754D89">
        <w:t>)</w:t>
      </w:r>
      <w:r w:rsidR="00776BFB">
        <w:t xml:space="preserve"> due to solute limitations</w:t>
      </w:r>
      <w:r w:rsidR="00EF0E23" w:rsidRPr="00B06F49">
        <w:t>.</w:t>
      </w:r>
      <w:r w:rsidR="00EF0E23">
        <w:fldChar w:fldCharType="begin" w:fldLock="1"/>
      </w:r>
      <w:r w:rsidR="00600480">
        <w:instrText>ADDIN CSL_CITATION { "citationItems" : [ { "id" : "ITEM-1", "itemData" : { "DOI" : "10.1021/cg1011633", "author" : [ { "dropping-particle" : "", "family" : "Vekilov", "given" : "P. G.", "non-dropping-particle" : "", "parse-names" : false, "suffix" : "" } ], "container-title" : "Cryst. Growth Des.", "id" : "ITEM-1", "issued" : { "date-parts" : [ [ "2010" ] ] }, "page" : "5007-5019", "title" : "Nucleation", "type" : "article-journal", "volume" : "10" }, "uris" : [ "http://www.mendeley.com/documents/?uuid=38e76dfd-c1ac-485b-bfc4-2b75e42db277" ] } ], "mendeley" : { "formattedCitation" : "&lt;sup&gt;54&lt;/sup&gt;", "plainTextFormattedCitation" : "54", "previouslyFormattedCitation" : "&lt;sup&gt;54&lt;/sup&gt;" }, "properties" : { "noteIndex" : 0 }, "schema" : "https://github.com/citation-style-language/schema/raw/master/csl-citation.json" }</w:instrText>
      </w:r>
      <w:r w:rsidR="00EF0E23">
        <w:fldChar w:fldCharType="separate"/>
      </w:r>
      <w:r w:rsidR="00290E7E" w:rsidRPr="00290E7E">
        <w:rPr>
          <w:noProof/>
          <w:vertAlign w:val="superscript"/>
        </w:rPr>
        <w:t>54</w:t>
      </w:r>
      <w:r w:rsidR="00EF0E23">
        <w:fldChar w:fldCharType="end"/>
      </w:r>
      <w:r w:rsidR="00EF0E23">
        <w:t xml:space="preserve"> </w:t>
      </w:r>
      <w:r w:rsidR="00F271D0">
        <w:t xml:space="preserve">For the </w:t>
      </w:r>
      <w:r w:rsidR="00A267B3">
        <w:rPr>
          <w:i/>
        </w:rPr>
        <w:t>fast</w:t>
      </w:r>
      <w:r w:rsidR="00F271D0" w:rsidRPr="00F271D0">
        <w:rPr>
          <w:i/>
        </w:rPr>
        <w:t>er</w:t>
      </w:r>
      <w:r w:rsidR="00F271D0">
        <w:t xml:space="preserve"> </w:t>
      </w:r>
      <w:r w:rsidR="00F271D0" w:rsidRPr="00F271D0">
        <w:rPr>
          <w:rFonts w:ascii="Symbol" w:hAnsi="Symbol"/>
          <w:i/>
        </w:rPr>
        <w:t></w:t>
      </w:r>
      <w:r w:rsidR="00F271D0">
        <w:t xml:space="preserve"> </w:t>
      </w:r>
      <w:r w:rsidR="00776BFB" w:rsidRPr="00F271D0">
        <w:t>in</w:t>
      </w:r>
      <w:r w:rsidR="00776BFB">
        <w:t xml:space="preserve"> particular, </w:t>
      </w:r>
      <w:r w:rsidR="008B7640">
        <w:t xml:space="preserve">a sharp transition is </w:t>
      </w:r>
      <w:r w:rsidR="00B35906">
        <w:t>observed</w:t>
      </w:r>
      <w:r w:rsidR="00EB13F9" w:rsidRPr="00EB13F9">
        <w:t xml:space="preserve"> </w:t>
      </w:r>
      <w:r w:rsidR="00EB13F9">
        <w:t>below -3.5</w:t>
      </w:r>
      <w:r w:rsidR="00EB13F9" w:rsidRPr="00111147">
        <w:t xml:space="preserve"> °C</w:t>
      </w:r>
      <w:r w:rsidR="008B7640">
        <w:t>, with a</w:t>
      </w:r>
      <w:r w:rsidR="00417898">
        <w:t xml:space="preserve"> corresponding peak in its derivative</w:t>
      </w:r>
      <w:r w:rsidR="00EB13F9">
        <w:t xml:space="preserve">. </w:t>
      </w:r>
      <w:r w:rsidR="00AF49BB">
        <w:t xml:space="preserve">This </w:t>
      </w:r>
      <w:r w:rsidR="008913C4">
        <w:t xml:space="preserve">is </w:t>
      </w:r>
      <w:r w:rsidR="009F26A8">
        <w:t>related to</w:t>
      </w:r>
      <w:r w:rsidR="008913C4">
        <w:t xml:space="preserve"> </w:t>
      </w:r>
      <w:r w:rsidR="008B7640">
        <w:t>a</w:t>
      </w:r>
      <w:r w:rsidR="009F3FC7">
        <w:t xml:space="preserve"> crossover </w:t>
      </w:r>
      <w:r w:rsidR="008B7640">
        <w:t>in</w:t>
      </w:r>
      <w:r w:rsidR="009F3FC7">
        <w:t>to a r</w:t>
      </w:r>
      <w:r w:rsidR="00EB13F9">
        <w:t>egime</w:t>
      </w:r>
      <w:r w:rsidR="009F3FC7">
        <w:t xml:space="preserve"> where isolated needles</w:t>
      </w:r>
      <w:r w:rsidR="00EB13F9">
        <w:t xml:space="preserve"> predominate, </w:t>
      </w:r>
      <w:r w:rsidR="00B35906">
        <w:t>with</w:t>
      </w:r>
      <w:r w:rsidR="00EB13F9">
        <w:t xml:space="preserve"> high</w:t>
      </w:r>
      <w:r w:rsidR="009F3FC7">
        <w:t xml:space="preserve"> </w:t>
      </w:r>
      <w:r w:rsidR="00DC5C6B" w:rsidRPr="00115EEE">
        <w:rPr>
          <w:i/>
        </w:rPr>
        <w:t>N</w:t>
      </w:r>
      <w:r w:rsidR="00DC5C6B" w:rsidRPr="00115EEE">
        <w:rPr>
          <w:vertAlign w:val="subscript"/>
        </w:rPr>
        <w:t>∞</w:t>
      </w:r>
      <w:r w:rsidR="00DC5C6B" w:rsidRPr="00115EEE">
        <w:t xml:space="preserve"> and d</w:t>
      </w:r>
      <w:r w:rsidR="00DC5C6B" w:rsidRPr="00115EEE">
        <w:rPr>
          <w:i/>
        </w:rPr>
        <w:t>N</w:t>
      </w:r>
      <w:r w:rsidR="00DC5C6B" w:rsidRPr="00115EEE">
        <w:rPr>
          <w:vertAlign w:val="subscript"/>
        </w:rPr>
        <w:t>d</w:t>
      </w:r>
      <w:r w:rsidR="00DC5C6B" w:rsidRPr="00115EEE">
        <w:t>/d</w:t>
      </w:r>
      <w:r w:rsidR="00DC5C6B" w:rsidRPr="00115EEE">
        <w:rPr>
          <w:i/>
        </w:rPr>
        <w:t>t</w:t>
      </w:r>
      <w:r w:rsidR="00DC5C6B" w:rsidRPr="00115EEE">
        <w:t xml:space="preserve"> </w:t>
      </w:r>
      <w:r w:rsidR="00EB13F9">
        <w:t>values in the isothermal studies</w:t>
      </w:r>
      <w:r w:rsidR="009F3FC7">
        <w:t>.</w:t>
      </w:r>
      <w:r w:rsidR="00F53744">
        <w:t xml:space="preserve"> </w:t>
      </w:r>
      <w:r w:rsidR="008913C4" w:rsidRPr="00E36B3D">
        <w:rPr>
          <w:color w:val="FF0000"/>
        </w:rPr>
        <w:t xml:space="preserve">Likely due to </w:t>
      </w:r>
      <w:r w:rsidR="000F25A5" w:rsidRPr="00E36B3D">
        <w:rPr>
          <w:color w:val="FF0000"/>
        </w:rPr>
        <w:t xml:space="preserve">this sharp change </w:t>
      </w:r>
      <w:r w:rsidR="00E36B3D" w:rsidRPr="00E36B3D">
        <w:rPr>
          <w:color w:val="FF0000"/>
        </w:rPr>
        <w:t xml:space="preserve">in nucleation rate at the highest </w:t>
      </w:r>
      <w:r w:rsidR="00E36B3D" w:rsidRPr="00E36B3D">
        <w:rPr>
          <w:rFonts w:ascii="Symbol" w:hAnsi="Symbol"/>
          <w:i/>
          <w:color w:val="FF0000"/>
        </w:rPr>
        <w:t></w:t>
      </w:r>
      <w:r w:rsidR="00E36B3D" w:rsidRPr="00E36B3D">
        <w:rPr>
          <w:color w:val="FF0000"/>
        </w:rPr>
        <w:t xml:space="preserve">, when single needles predominate, </w:t>
      </w:r>
      <w:r w:rsidR="00B2324F" w:rsidRPr="00E36B3D">
        <w:rPr>
          <w:color w:val="FF0000"/>
        </w:rPr>
        <w:t>master curve</w:t>
      </w:r>
      <w:r w:rsidR="00A267B3" w:rsidRPr="00E36B3D">
        <w:rPr>
          <w:color w:val="FF0000"/>
        </w:rPr>
        <w:t>s</w:t>
      </w:r>
      <w:r w:rsidR="00B2324F" w:rsidRPr="00E36B3D">
        <w:rPr>
          <w:color w:val="FF0000"/>
        </w:rPr>
        <w:t xml:space="preserve"> for</w:t>
      </w:r>
      <w:r w:rsidR="00B2324F" w:rsidRPr="00E36B3D">
        <w:rPr>
          <w:i/>
          <w:color w:val="FF0000"/>
        </w:rPr>
        <w:t xml:space="preserve"> N</w:t>
      </w:r>
      <w:r w:rsidR="00B2324F" w:rsidRPr="00E36B3D">
        <w:rPr>
          <w:color w:val="FF0000"/>
          <w:vertAlign w:val="subscript"/>
        </w:rPr>
        <w:t>d</w:t>
      </w:r>
      <w:r w:rsidR="00EB13F9" w:rsidRPr="00E36B3D">
        <w:rPr>
          <w:color w:val="FF0000"/>
        </w:rPr>
        <w:t xml:space="preserve"> and</w:t>
      </w:r>
      <w:r w:rsidR="00B2324F" w:rsidRPr="00E36B3D">
        <w:rPr>
          <w:color w:val="FF0000"/>
        </w:rPr>
        <w:t xml:space="preserve"> d</w:t>
      </w:r>
      <w:r w:rsidR="00B2324F" w:rsidRPr="00E36B3D">
        <w:rPr>
          <w:i/>
          <w:color w:val="FF0000"/>
        </w:rPr>
        <w:t>N</w:t>
      </w:r>
      <w:r w:rsidR="00B2324F" w:rsidRPr="00E36B3D">
        <w:rPr>
          <w:color w:val="FF0000"/>
          <w:vertAlign w:val="subscript"/>
        </w:rPr>
        <w:t>d</w:t>
      </w:r>
      <w:r w:rsidR="00B2324F" w:rsidRPr="00E36B3D">
        <w:rPr>
          <w:color w:val="FF0000"/>
        </w:rPr>
        <w:t>/d</w:t>
      </w:r>
      <w:r w:rsidR="00B2324F" w:rsidRPr="00E36B3D">
        <w:rPr>
          <w:i/>
          <w:color w:val="FF0000"/>
        </w:rPr>
        <w:t>T</w:t>
      </w:r>
      <w:r w:rsidR="00B2324F" w:rsidRPr="00E36B3D">
        <w:rPr>
          <w:color w:val="FF0000"/>
        </w:rPr>
        <w:t xml:space="preserve"> do not appear feasible.</w:t>
      </w:r>
      <w:r w:rsidR="003F3AA5">
        <w:rPr>
          <w:color w:val="FF0000"/>
        </w:rPr>
        <w:t xml:space="preserve"> </w:t>
      </w:r>
      <w:r w:rsidR="008913C4" w:rsidRPr="008913C4">
        <w:t xml:space="preserve">At all rates investigated, nucleation reaches completion at, or before -5 °C, corresponding to the various plateaus in </w:t>
      </w:r>
      <w:r w:rsidR="008913C4" w:rsidRPr="008913C4">
        <w:rPr>
          <w:i/>
        </w:rPr>
        <w:t>N</w:t>
      </w:r>
      <w:r w:rsidR="008913C4" w:rsidRPr="008913C4">
        <w:rPr>
          <w:vertAlign w:val="subscript"/>
        </w:rPr>
        <w:t>d</w:t>
      </w:r>
      <w:r w:rsidR="008913C4" w:rsidRPr="008913C4">
        <w:t>.</w:t>
      </w:r>
    </w:p>
    <w:p w14:paraId="4710C515" w14:textId="255FF9A2" w:rsidR="00801306" w:rsidRDefault="00155E0E" w:rsidP="00801306">
      <w:pPr>
        <w:pStyle w:val="TAMainText"/>
      </w:pPr>
      <w:r>
        <w:t>Figure 3(c)</w:t>
      </w:r>
      <w:r w:rsidR="008B7640">
        <w:t xml:space="preserve"> </w:t>
      </w:r>
      <w:r w:rsidR="008913C4">
        <w:t xml:space="preserve">summarizes </w:t>
      </w:r>
      <w:r w:rsidR="008B7640">
        <w:t>the maximum rates (</w:t>
      </w:r>
      <w:r w:rsidR="008B7640" w:rsidRPr="00115EEE">
        <w:t>(d</w:t>
      </w:r>
      <w:r w:rsidR="008B7640" w:rsidRPr="00115EEE">
        <w:rPr>
          <w:i/>
        </w:rPr>
        <w:t>N</w:t>
      </w:r>
      <w:r w:rsidR="008B7640" w:rsidRPr="00115EEE">
        <w:rPr>
          <w:vertAlign w:val="subscript"/>
        </w:rPr>
        <w:t>d</w:t>
      </w:r>
      <w:r w:rsidR="008B7640" w:rsidRPr="00115EEE">
        <w:t>/d</w:t>
      </w:r>
      <w:r w:rsidR="00A6537A">
        <w:rPr>
          <w:i/>
        </w:rPr>
        <w:t>t</w:t>
      </w:r>
      <w:r w:rsidR="008B7640" w:rsidRPr="00115EEE">
        <w:t>)</w:t>
      </w:r>
      <w:r w:rsidR="008B7640" w:rsidRPr="00115EEE">
        <w:rPr>
          <w:vertAlign w:val="subscript"/>
        </w:rPr>
        <w:t>max</w:t>
      </w:r>
      <w:r w:rsidR="008B7640">
        <w:t>) and final crystal number density (</w:t>
      </w:r>
      <w:r w:rsidR="008B7640" w:rsidRPr="00115EEE">
        <w:rPr>
          <w:i/>
        </w:rPr>
        <w:t>N</w:t>
      </w:r>
      <w:r w:rsidR="008B7640" w:rsidRPr="00115EEE">
        <w:rPr>
          <w:vertAlign w:val="subscript"/>
        </w:rPr>
        <w:t>∞</w:t>
      </w:r>
      <w:r w:rsidR="008B7640">
        <w:t>)</w:t>
      </w:r>
      <w:r>
        <w:t xml:space="preserve"> </w:t>
      </w:r>
      <w:r w:rsidR="008913C4">
        <w:t xml:space="preserve">for the various </w:t>
      </w:r>
      <w:r w:rsidR="008913C4" w:rsidRPr="008913C4">
        <w:rPr>
          <w:rFonts w:ascii="Symbol" w:hAnsi="Symbol"/>
          <w:i/>
        </w:rPr>
        <w:t></w:t>
      </w:r>
      <w:r w:rsidR="008913C4">
        <w:t>. T</w:t>
      </w:r>
      <w:r w:rsidR="004176E7">
        <w:t xml:space="preserve">he horizontal lines indicate </w:t>
      </w:r>
      <w:r w:rsidR="00E96537">
        <w:t xml:space="preserve">the </w:t>
      </w:r>
      <w:r w:rsidR="00E96537">
        <w:rPr>
          <w:i/>
        </w:rPr>
        <w:t>T</w:t>
      </w:r>
      <w:r w:rsidR="00E96537">
        <w:t xml:space="preserve"> range </w:t>
      </w:r>
      <w:r w:rsidR="00A85952">
        <w:t>over</w:t>
      </w:r>
      <w:r w:rsidR="00E96537">
        <w:t xml:space="preserve"> which </w:t>
      </w:r>
      <w:r w:rsidR="00E96537" w:rsidRPr="0099736D">
        <w:rPr>
          <w:rFonts w:cstheme="majorHAnsi"/>
        </w:rPr>
        <w:t>nucleation</w:t>
      </w:r>
      <w:r w:rsidR="005C74FC" w:rsidRPr="0099736D">
        <w:rPr>
          <w:rFonts w:cstheme="majorHAnsi"/>
        </w:rPr>
        <w:t xml:space="preserve"> (Δ</w:t>
      </w:r>
      <w:r w:rsidR="005C74FC" w:rsidRPr="0099736D">
        <w:rPr>
          <w:rFonts w:cstheme="majorHAnsi"/>
          <w:i/>
        </w:rPr>
        <w:t>T</w:t>
      </w:r>
      <w:r w:rsidR="00E75AEE" w:rsidRPr="0099736D">
        <w:rPr>
          <w:rFonts w:cstheme="majorHAnsi"/>
          <w:vertAlign w:val="subscript"/>
        </w:rPr>
        <w:t>(N</w:t>
      </w:r>
      <w:r w:rsidR="00E75AEE">
        <w:rPr>
          <w:vertAlign w:val="subscript"/>
        </w:rPr>
        <w:t>)</w:t>
      </w:r>
      <w:r w:rsidR="005C74FC">
        <w:t>)</w:t>
      </w:r>
      <w:r w:rsidR="00E96537">
        <w:t xml:space="preserve"> is observed for </w:t>
      </w:r>
      <w:r w:rsidR="004176E7">
        <w:t xml:space="preserve">the corresponding </w:t>
      </w:r>
      <w:r w:rsidR="004176E7" w:rsidRPr="00112364">
        <w:rPr>
          <w:rFonts w:ascii="Symbol" w:hAnsi="Symbol"/>
          <w:i/>
        </w:rPr>
        <w:t></w:t>
      </w:r>
      <w:r w:rsidR="004176E7">
        <w:t>.</w:t>
      </w:r>
      <w:r w:rsidR="00E96537">
        <w:t xml:space="preserve"> </w:t>
      </w:r>
      <w:r w:rsidR="00D524FC" w:rsidRPr="00115EEE">
        <w:t>(d</w:t>
      </w:r>
      <w:r w:rsidR="00D524FC" w:rsidRPr="00115EEE">
        <w:rPr>
          <w:i/>
        </w:rPr>
        <w:t>N</w:t>
      </w:r>
      <w:r w:rsidR="00D524FC" w:rsidRPr="00115EEE">
        <w:rPr>
          <w:vertAlign w:val="subscript"/>
        </w:rPr>
        <w:t>d</w:t>
      </w:r>
      <w:r w:rsidR="00D524FC" w:rsidRPr="00115EEE">
        <w:t>/d</w:t>
      </w:r>
      <w:r w:rsidR="00D524FC">
        <w:rPr>
          <w:i/>
        </w:rPr>
        <w:t>t</w:t>
      </w:r>
      <w:r w:rsidR="00D524FC" w:rsidRPr="00115EEE">
        <w:t>)</w:t>
      </w:r>
      <w:r w:rsidR="00D524FC" w:rsidRPr="00115EEE">
        <w:rPr>
          <w:vertAlign w:val="subscript"/>
        </w:rPr>
        <w:t>max</w:t>
      </w:r>
      <w:r w:rsidR="00D524FC">
        <w:t xml:space="preserve">), as opposed to </w:t>
      </w:r>
      <w:r w:rsidR="00D524FC" w:rsidRPr="00115EEE">
        <w:t>(d</w:t>
      </w:r>
      <w:r w:rsidR="00D524FC" w:rsidRPr="00115EEE">
        <w:rPr>
          <w:i/>
        </w:rPr>
        <w:t>N</w:t>
      </w:r>
      <w:r w:rsidR="00D524FC" w:rsidRPr="00115EEE">
        <w:rPr>
          <w:vertAlign w:val="subscript"/>
        </w:rPr>
        <w:t>d</w:t>
      </w:r>
      <w:r w:rsidR="00D524FC" w:rsidRPr="00115EEE">
        <w:t>/d</w:t>
      </w:r>
      <w:r w:rsidR="00D524FC">
        <w:rPr>
          <w:i/>
        </w:rPr>
        <w:t>T</w:t>
      </w:r>
      <w:r w:rsidR="00D524FC" w:rsidRPr="00115EEE">
        <w:t>)</w:t>
      </w:r>
      <w:r w:rsidR="00D524FC" w:rsidRPr="00115EEE">
        <w:rPr>
          <w:vertAlign w:val="subscript"/>
        </w:rPr>
        <w:t>max</w:t>
      </w:r>
      <w:r w:rsidR="00D524FC">
        <w:t xml:space="preserve">) is considered to allow </w:t>
      </w:r>
      <w:r w:rsidR="00E96537">
        <w:t>comparison</w:t>
      </w:r>
      <w:r w:rsidR="00D524FC">
        <w:t xml:space="preserve"> with</w:t>
      </w:r>
      <w:r w:rsidR="00E96537">
        <w:t xml:space="preserve"> the isothermal (</w:t>
      </w:r>
      <w:r w:rsidR="00B06F49">
        <w:t xml:space="preserve">“iso” = </w:t>
      </w:r>
      <w:r w:rsidR="00E96537">
        <w:t>50</w:t>
      </w:r>
      <w:r w:rsidR="00754D89">
        <w:t xml:space="preserve"> </w:t>
      </w:r>
      <w:r w:rsidR="00E96537" w:rsidRPr="00A41F97">
        <w:t>°C min</w:t>
      </w:r>
      <w:r w:rsidR="00E96537" w:rsidRPr="00A41F97">
        <w:rPr>
          <w:vertAlign w:val="superscript"/>
        </w:rPr>
        <w:t>-1</w:t>
      </w:r>
      <w:r w:rsidR="00E96537">
        <w:t>) quench data</w:t>
      </w:r>
      <w:r w:rsidR="00D524FC">
        <w:t>,</w:t>
      </w:r>
      <w:r w:rsidR="00E05034">
        <w:t xml:space="preserve"> included</w:t>
      </w:r>
      <w:r w:rsidR="00DF0D53">
        <w:t xml:space="preserve"> as dashed lines,</w:t>
      </w:r>
      <w:r w:rsidR="00E96537">
        <w:t xml:space="preserve"> </w:t>
      </w:r>
      <w:r w:rsidR="003E5188">
        <w:t xml:space="preserve">for measured </w:t>
      </w:r>
      <w:r w:rsidR="003E5188">
        <w:rPr>
          <w:i/>
        </w:rPr>
        <w:t>T</w:t>
      </w:r>
      <w:r w:rsidR="003E5188">
        <w:t xml:space="preserve"> points</w:t>
      </w:r>
      <w:r w:rsidR="00E96537">
        <w:t>.</w:t>
      </w:r>
      <w:r w:rsidR="008976B9">
        <w:t xml:space="preserve"> </w:t>
      </w:r>
      <w:r w:rsidR="00BB28E1">
        <w:t xml:space="preserve">These ramps are considered a suitable approximation to isothermal crystallization, </w:t>
      </w:r>
      <w:r w:rsidR="00D7076B">
        <w:t>taking</w:t>
      </w:r>
      <w:r w:rsidR="00714B2E">
        <w:t xml:space="preserve"> </w:t>
      </w:r>
      <w:r w:rsidR="005E0EEA">
        <w:rPr>
          <w:rFonts w:cstheme="majorHAnsi"/>
        </w:rPr>
        <w:t>≤</w:t>
      </w:r>
      <w:r w:rsidR="00714B2E">
        <w:t>29 s</w:t>
      </w:r>
      <w:r w:rsidR="00BB28E1">
        <w:t xml:space="preserve"> </w:t>
      </w:r>
      <w:r w:rsidR="008913C4">
        <w:t>to reach</w:t>
      </w:r>
      <w:r w:rsidR="00BB28E1">
        <w:t xml:space="preserve"> </w:t>
      </w:r>
      <w:r w:rsidR="005E0EEA">
        <w:rPr>
          <w:i/>
        </w:rPr>
        <w:t xml:space="preserve">T </w:t>
      </w:r>
      <w:r w:rsidR="005E0EEA">
        <w:rPr>
          <w:rFonts w:cstheme="majorHAnsi"/>
          <w:i/>
        </w:rPr>
        <w:t>≤</w:t>
      </w:r>
      <w:r w:rsidR="00714B2E">
        <w:t xml:space="preserve">-5 </w:t>
      </w:r>
      <w:r w:rsidR="00714B2E" w:rsidRPr="00A41F97">
        <w:t>°</w:t>
      </w:r>
      <w:r w:rsidR="00714B2E">
        <w:t>C</w:t>
      </w:r>
      <w:r w:rsidR="00BB28E1">
        <w:t xml:space="preserve"> </w:t>
      </w:r>
      <w:r w:rsidR="00714B2E">
        <w:t>after crossing the phase boundary</w:t>
      </w:r>
      <w:r w:rsidR="00BB28E1">
        <w:t xml:space="preserve">. </w:t>
      </w:r>
      <w:r w:rsidR="00714B2E" w:rsidRPr="00304CE1">
        <w:t>Th</w:t>
      </w:r>
      <w:r w:rsidR="00801306">
        <w:t xml:space="preserve">is comparison </w:t>
      </w:r>
      <w:r w:rsidR="008976B9">
        <w:t>yield</w:t>
      </w:r>
      <w:r w:rsidR="00801306">
        <w:t>s</w:t>
      </w:r>
      <w:r w:rsidR="008976B9">
        <w:t xml:space="preserve"> two important observations: that </w:t>
      </w:r>
      <w:r w:rsidR="008976B9" w:rsidRPr="00115EEE">
        <w:t>(d</w:t>
      </w:r>
      <w:r w:rsidR="008976B9" w:rsidRPr="00115EEE">
        <w:rPr>
          <w:i/>
        </w:rPr>
        <w:t>N</w:t>
      </w:r>
      <w:r w:rsidR="008976B9" w:rsidRPr="00115EEE">
        <w:rPr>
          <w:vertAlign w:val="subscript"/>
        </w:rPr>
        <w:t>d</w:t>
      </w:r>
      <w:r w:rsidR="008976B9" w:rsidRPr="00115EEE">
        <w:t>/d</w:t>
      </w:r>
      <w:r w:rsidR="00A6537A">
        <w:rPr>
          <w:i/>
        </w:rPr>
        <w:t>t</w:t>
      </w:r>
      <w:r w:rsidR="008976B9" w:rsidRPr="00115EEE">
        <w:t>)</w:t>
      </w:r>
      <w:r w:rsidR="008976B9" w:rsidRPr="00115EEE">
        <w:rPr>
          <w:vertAlign w:val="subscript"/>
        </w:rPr>
        <w:t>max</w:t>
      </w:r>
      <w:r w:rsidR="008976B9" w:rsidRPr="00115EEE">
        <w:t xml:space="preserve"> increase</w:t>
      </w:r>
      <w:r w:rsidR="008976B9">
        <w:t>s</w:t>
      </w:r>
      <w:r w:rsidR="008976B9" w:rsidRPr="00115EEE">
        <w:t xml:space="preserve"> exponentially with </w:t>
      </w:r>
      <w:r w:rsidR="00A85952">
        <w:t>increasing</w:t>
      </w:r>
      <w:r w:rsidR="008976B9">
        <w:t xml:space="preserve"> </w:t>
      </w:r>
      <w:r w:rsidR="00A85952" w:rsidRPr="005A0BA4">
        <w:rPr>
          <w:rFonts w:ascii="Symbol" w:hAnsi="Symbol"/>
          <w:i/>
        </w:rPr>
        <w:t></w:t>
      </w:r>
      <w:r w:rsidR="008976B9" w:rsidRPr="008976B9">
        <w:t>,</w:t>
      </w:r>
      <w:r w:rsidR="00424A45">
        <w:t xml:space="preserve"> and that these values consistently fall below their isothermal counterparts, converging, as expected, at the highest </w:t>
      </w:r>
      <w:r w:rsidR="00424A45" w:rsidRPr="00917EE8">
        <w:rPr>
          <w:rFonts w:ascii="Symbol" w:hAnsi="Symbol"/>
          <w:i/>
        </w:rPr>
        <w:t></w:t>
      </w:r>
      <w:r w:rsidR="00424A45" w:rsidRPr="00917EE8">
        <w:t>.</w:t>
      </w:r>
      <w:r w:rsidR="00401EB3" w:rsidRPr="00917EE8">
        <w:t xml:space="preserve"> </w:t>
      </w:r>
      <w:r w:rsidR="0043205D" w:rsidRPr="00917EE8">
        <w:t xml:space="preserve">As </w:t>
      </w:r>
      <w:r w:rsidR="00401EB3" w:rsidRPr="00917EE8">
        <w:t>shown in Supporting Information (Figure S2c)</w:t>
      </w:r>
      <w:r w:rsidR="00A6537A" w:rsidRPr="00917EE8">
        <w:t>,</w:t>
      </w:r>
      <w:r w:rsidR="0043205D" w:rsidRPr="00917EE8">
        <w:t xml:space="preserve"> (d</w:t>
      </w:r>
      <w:r w:rsidR="0043205D" w:rsidRPr="00917EE8">
        <w:rPr>
          <w:i/>
        </w:rPr>
        <w:t>N</w:t>
      </w:r>
      <w:r w:rsidR="0043205D" w:rsidRPr="00917EE8">
        <w:rPr>
          <w:vertAlign w:val="subscript"/>
        </w:rPr>
        <w:t>d</w:t>
      </w:r>
      <w:r w:rsidR="0043205D" w:rsidRPr="00917EE8">
        <w:t>/d</w:t>
      </w:r>
      <w:r w:rsidR="0043205D" w:rsidRPr="00917EE8">
        <w:rPr>
          <w:i/>
        </w:rPr>
        <w:t>T</w:t>
      </w:r>
      <w:r w:rsidR="0043205D" w:rsidRPr="00917EE8">
        <w:t>)</w:t>
      </w:r>
      <w:r w:rsidR="0043205D" w:rsidRPr="00917EE8">
        <w:rPr>
          <w:vertAlign w:val="subscript"/>
        </w:rPr>
        <w:t>max</w:t>
      </w:r>
      <w:r w:rsidR="00A6537A" w:rsidRPr="00917EE8">
        <w:t xml:space="preserve"> also increases with </w:t>
      </w:r>
      <w:r w:rsidR="00A6537A" w:rsidRPr="00917EE8">
        <w:rPr>
          <w:rFonts w:ascii="Symbol" w:hAnsi="Symbol"/>
          <w:i/>
        </w:rPr>
        <w:t></w:t>
      </w:r>
      <w:r w:rsidR="00401EB3" w:rsidRPr="00917EE8">
        <w:t>.</w:t>
      </w:r>
      <w:r w:rsidR="00801306">
        <w:t xml:space="preserve"> Both the </w:t>
      </w:r>
      <w:r w:rsidR="00801306" w:rsidRPr="00801306">
        <w:t>estimated final number of nuclei</w:t>
      </w:r>
      <w:r w:rsidR="00F25744" w:rsidRPr="00917EE8">
        <w:t xml:space="preserve"> </w:t>
      </w:r>
      <w:r w:rsidR="00EC6485">
        <w:t>(</w:t>
      </w:r>
      <w:r w:rsidR="00F25744" w:rsidRPr="00917EE8">
        <w:rPr>
          <w:i/>
        </w:rPr>
        <w:t>N</w:t>
      </w:r>
      <w:r w:rsidR="00F25744" w:rsidRPr="00917EE8">
        <w:rPr>
          <w:vertAlign w:val="subscript"/>
        </w:rPr>
        <w:t>∞</w:t>
      </w:r>
      <w:r w:rsidR="00EC6485">
        <w:t>)</w:t>
      </w:r>
      <w:r w:rsidR="0043205D" w:rsidRPr="00917EE8">
        <w:t xml:space="preserve"> and</w:t>
      </w:r>
      <w:r w:rsidR="00801306">
        <w:t xml:space="preserve"> nucleation </w:t>
      </w:r>
      <w:r w:rsidR="00EC6485">
        <w:t>rates</w:t>
      </w:r>
      <w:r w:rsidR="00EC6485" w:rsidRPr="00917EE8">
        <w:t xml:space="preserve"> </w:t>
      </w:r>
      <w:r w:rsidR="00F25744" w:rsidRPr="00B06F49">
        <w:t>(d</w:t>
      </w:r>
      <w:r w:rsidR="00F25744" w:rsidRPr="00B06F49">
        <w:rPr>
          <w:i/>
        </w:rPr>
        <w:t>N</w:t>
      </w:r>
      <w:r w:rsidR="00F25744" w:rsidRPr="00B06F49">
        <w:rPr>
          <w:vertAlign w:val="subscript"/>
        </w:rPr>
        <w:t>d</w:t>
      </w:r>
      <w:r w:rsidR="00F25744" w:rsidRPr="00B06F49">
        <w:t>/d</w:t>
      </w:r>
      <w:r w:rsidR="00917EE8" w:rsidRPr="00B06F49">
        <w:rPr>
          <w:i/>
        </w:rPr>
        <w:t>T</w:t>
      </w:r>
      <w:r w:rsidR="00F25744" w:rsidRPr="00B06F49">
        <w:t>)</w:t>
      </w:r>
      <w:r w:rsidR="00F25744" w:rsidRPr="00B06F49">
        <w:rPr>
          <w:vertAlign w:val="subscript"/>
        </w:rPr>
        <w:t>max</w:t>
      </w:r>
      <w:r w:rsidR="00917EE8" w:rsidRPr="00B06F49">
        <w:t xml:space="preserve"> and </w:t>
      </w:r>
      <w:r w:rsidR="00917EE8" w:rsidRPr="00B06F49">
        <w:lastRenderedPageBreak/>
        <w:t>(d</w:t>
      </w:r>
      <w:r w:rsidR="00917EE8" w:rsidRPr="00B06F49">
        <w:rPr>
          <w:i/>
        </w:rPr>
        <w:t>N</w:t>
      </w:r>
      <w:r w:rsidR="00917EE8" w:rsidRPr="00B06F49">
        <w:rPr>
          <w:vertAlign w:val="subscript"/>
        </w:rPr>
        <w:t>d</w:t>
      </w:r>
      <w:r w:rsidR="00917EE8" w:rsidRPr="00B06F49">
        <w:t>/d</w:t>
      </w:r>
      <w:r w:rsidR="00917EE8" w:rsidRPr="00B06F49">
        <w:rPr>
          <w:i/>
        </w:rPr>
        <w:t>t</w:t>
      </w:r>
      <w:r w:rsidR="00917EE8" w:rsidRPr="00B06F49">
        <w:t>)</w:t>
      </w:r>
      <w:r w:rsidR="00917EE8" w:rsidRPr="00B06F49">
        <w:rPr>
          <w:vertAlign w:val="subscript"/>
        </w:rPr>
        <w:t>max</w:t>
      </w:r>
      <w:r w:rsidR="00917EE8" w:rsidRPr="00B06F49">
        <w:t xml:space="preserve"> </w:t>
      </w:r>
      <w:r w:rsidR="00F25744" w:rsidRPr="00B06F49">
        <w:t>vary</w:t>
      </w:r>
      <w:r w:rsidR="00A6537A" w:rsidRPr="00B06F49">
        <w:t xml:space="preserve"> </w:t>
      </w:r>
      <w:r w:rsidR="00F25744" w:rsidRPr="00B06F49">
        <w:t xml:space="preserve">by 3 to 5 orders of magnitude </w:t>
      </w:r>
      <w:r w:rsidR="00416E5C" w:rsidRPr="00B06F49">
        <w:rPr>
          <w:rFonts w:cstheme="majorHAnsi"/>
        </w:rPr>
        <w:t>respectively</w:t>
      </w:r>
      <w:r w:rsidR="00416E5C" w:rsidRPr="00B06F49">
        <w:t xml:space="preserve"> </w:t>
      </w:r>
      <w:r w:rsidR="00F25744" w:rsidRPr="00B06F49">
        <w:t>across</w:t>
      </w:r>
      <w:r w:rsidR="00E05034">
        <w:t xml:space="preserve"> the</w:t>
      </w:r>
      <w:r w:rsidR="00F25744" w:rsidRPr="00B06F49">
        <w:t xml:space="preserve"> </w:t>
      </w:r>
      <w:r w:rsidR="00F25744" w:rsidRPr="00B06F49">
        <w:rPr>
          <w:rFonts w:ascii="Symbol" w:hAnsi="Symbol"/>
          <w:i/>
        </w:rPr>
        <w:t></w:t>
      </w:r>
      <w:r w:rsidR="00416E5C">
        <w:rPr>
          <w:rFonts w:cstheme="majorHAnsi"/>
        </w:rPr>
        <w:t xml:space="preserve"> range. </w:t>
      </w:r>
      <w:r w:rsidR="008F6FAE" w:rsidRPr="00B06F49">
        <w:t xml:space="preserve">For the </w:t>
      </w:r>
      <w:r w:rsidR="008F6FAE" w:rsidRPr="00B06F49">
        <w:rPr>
          <w:i/>
        </w:rPr>
        <w:t>slower</w:t>
      </w:r>
      <w:r w:rsidR="00DB1DFE">
        <w:t xml:space="preserve"> rates, </w:t>
      </w:r>
      <w:r w:rsidR="008F6FAE" w:rsidRPr="00B06F49">
        <w:rPr>
          <w:i/>
        </w:rPr>
        <w:t>N</w:t>
      </w:r>
      <w:r w:rsidR="008F6FAE" w:rsidRPr="00B06F49">
        <w:rPr>
          <w:vertAlign w:val="subscript"/>
        </w:rPr>
        <w:t>∞</w:t>
      </w:r>
      <w:r w:rsidR="008F6FAE" w:rsidRPr="00B06F49">
        <w:t xml:space="preserve"> values are notably lower than their isothermal counterparts as </w:t>
      </w:r>
      <w:r w:rsidR="008D09F0">
        <w:t xml:space="preserve">the solution spends </w:t>
      </w:r>
      <w:r w:rsidR="00E44CC1">
        <w:t xml:space="preserve">a prolonged period </w:t>
      </w:r>
      <w:r w:rsidR="008F6FAE" w:rsidRPr="00B06F49">
        <w:t>at high</w:t>
      </w:r>
      <w:r w:rsidR="00801306">
        <w:t>er</w:t>
      </w:r>
      <w:r w:rsidR="008F6FAE" w:rsidRPr="00B06F49">
        <w:t xml:space="preserve"> </w:t>
      </w:r>
      <w:r w:rsidR="008F6FAE" w:rsidRPr="00B06F49">
        <w:rPr>
          <w:i/>
        </w:rPr>
        <w:t>T</w:t>
      </w:r>
      <w:r w:rsidR="00801306">
        <w:t xml:space="preserve"> where nucleation is slower </w:t>
      </w:r>
      <w:r w:rsidR="0019791E">
        <w:t xml:space="preserve">and </w:t>
      </w:r>
      <w:r w:rsidR="008F6FAE" w:rsidRPr="00B06F49">
        <w:t xml:space="preserve">growth dominates, thereby depleting the solute and reducing </w:t>
      </w:r>
      <w:r w:rsidR="002A1537">
        <w:t>f</w:t>
      </w:r>
      <w:r w:rsidR="00960E81">
        <w:t xml:space="preserve">urther </w:t>
      </w:r>
      <w:r w:rsidR="002A1537" w:rsidRPr="00B06F49">
        <w:t>nucleation</w:t>
      </w:r>
      <w:r w:rsidR="002A1537">
        <w:t xml:space="preserve"> </w:t>
      </w:r>
      <w:r w:rsidR="00960E81">
        <w:t xml:space="preserve">when lower </w:t>
      </w:r>
      <w:r w:rsidR="00960E81">
        <w:rPr>
          <w:i/>
        </w:rPr>
        <w:t>T</w:t>
      </w:r>
      <w:r w:rsidR="00801306">
        <w:t xml:space="preserve"> are reached</w:t>
      </w:r>
      <w:r w:rsidR="008F6FAE" w:rsidRPr="00B06F49">
        <w:t>.</w:t>
      </w:r>
      <w:r w:rsidR="00AC209D">
        <w:fldChar w:fldCharType="begin" w:fldLock="1"/>
      </w:r>
      <w:r w:rsidR="00600480">
        <w:instrText>ADDIN CSL_CITATION { "citationItems" : [ { "id" : "ITEM-1", "itemData" : { "DOI" : "10.1021/cg1011633", "author" : [ { "dropping-particle" : "", "family" : "Vekilov", "given" : "P. G.", "non-dropping-particle" : "", "parse-names" : false, "suffix" : "" } ], "container-title" : "Cryst. Growth Des.", "id" : "ITEM-1", "issued" : { "date-parts" : [ [ "2010" ] ] }, "page" : "5007-5019", "title" : "Nucleation", "type" : "article-journal", "volume" : "10" }, "uris" : [ "http://www.mendeley.com/documents/?uuid=38e76dfd-c1ac-485b-bfc4-2b75e42db277" ] } ], "mendeley" : { "formattedCitation" : "&lt;sup&gt;54&lt;/sup&gt;", "plainTextFormattedCitation" : "54", "previouslyFormattedCitation" : "&lt;sup&gt;54&lt;/sup&gt;" }, "properties" : { "noteIndex" : 0 }, "schema" : "https://github.com/citation-style-language/schema/raw/master/csl-citation.json" }</w:instrText>
      </w:r>
      <w:r w:rsidR="00AC209D">
        <w:fldChar w:fldCharType="separate"/>
      </w:r>
      <w:r w:rsidR="00290E7E" w:rsidRPr="00290E7E">
        <w:rPr>
          <w:noProof/>
          <w:vertAlign w:val="superscript"/>
        </w:rPr>
        <w:t>54</w:t>
      </w:r>
      <w:r w:rsidR="00AC209D">
        <w:fldChar w:fldCharType="end"/>
      </w:r>
      <w:r w:rsidR="008F6FAE" w:rsidRPr="00B06F49">
        <w:t xml:space="preserve"> </w:t>
      </w:r>
      <w:r w:rsidR="003F3AA5">
        <w:rPr>
          <w:rFonts w:cstheme="majorHAnsi"/>
          <w:color w:val="FF0000"/>
        </w:rPr>
        <w:t>As expected,</w:t>
      </w:r>
      <w:r w:rsidR="003F3AA5" w:rsidRPr="003F3AA5">
        <w:rPr>
          <w:rFonts w:cstheme="majorHAnsi"/>
          <w:color w:val="FF0000"/>
        </w:rPr>
        <w:t xml:space="preserve"> the number of nuclei and nucleation rates (</w:t>
      </w:r>
      <w:r w:rsidR="008F6FAE" w:rsidRPr="003F3AA5">
        <w:rPr>
          <w:i/>
          <w:color w:val="FF0000"/>
        </w:rPr>
        <w:t>N</w:t>
      </w:r>
      <w:r w:rsidR="008F6FAE" w:rsidRPr="003F3AA5">
        <w:rPr>
          <w:color w:val="FF0000"/>
          <w:vertAlign w:val="subscript"/>
        </w:rPr>
        <w:t>∞</w:t>
      </w:r>
      <w:r w:rsidR="008F6FAE" w:rsidRPr="003F3AA5">
        <w:rPr>
          <w:color w:val="FF0000"/>
        </w:rPr>
        <w:t>, (d</w:t>
      </w:r>
      <w:r w:rsidR="008F6FAE" w:rsidRPr="003F3AA5">
        <w:rPr>
          <w:i/>
          <w:color w:val="FF0000"/>
        </w:rPr>
        <w:t>N</w:t>
      </w:r>
      <w:r w:rsidR="008F6FAE" w:rsidRPr="003F3AA5">
        <w:rPr>
          <w:color w:val="FF0000"/>
          <w:vertAlign w:val="subscript"/>
        </w:rPr>
        <w:t>d</w:t>
      </w:r>
      <w:r w:rsidR="008F6FAE" w:rsidRPr="003F3AA5">
        <w:rPr>
          <w:color w:val="FF0000"/>
        </w:rPr>
        <w:t>/d</w:t>
      </w:r>
      <w:r w:rsidR="008F6FAE" w:rsidRPr="003F3AA5">
        <w:rPr>
          <w:i/>
          <w:color w:val="FF0000"/>
        </w:rPr>
        <w:t>t</w:t>
      </w:r>
      <w:r w:rsidR="008F6FAE" w:rsidRPr="003F3AA5">
        <w:rPr>
          <w:color w:val="FF0000"/>
        </w:rPr>
        <w:t>)</w:t>
      </w:r>
      <w:r w:rsidR="008F6FAE" w:rsidRPr="003F3AA5">
        <w:rPr>
          <w:color w:val="FF0000"/>
          <w:vertAlign w:val="subscript"/>
        </w:rPr>
        <w:t>max</w:t>
      </w:r>
      <w:r w:rsidR="008F6FAE" w:rsidRPr="003F3AA5">
        <w:rPr>
          <w:color w:val="FF0000"/>
        </w:rPr>
        <w:t xml:space="preserve"> and (d</w:t>
      </w:r>
      <w:r w:rsidR="008F6FAE" w:rsidRPr="003F3AA5">
        <w:rPr>
          <w:i/>
          <w:color w:val="FF0000"/>
        </w:rPr>
        <w:t>N</w:t>
      </w:r>
      <w:r w:rsidR="008F6FAE" w:rsidRPr="003F3AA5">
        <w:rPr>
          <w:color w:val="FF0000"/>
          <w:vertAlign w:val="subscript"/>
        </w:rPr>
        <w:t>d</w:t>
      </w:r>
      <w:r w:rsidR="008F6FAE" w:rsidRPr="003F3AA5">
        <w:rPr>
          <w:color w:val="FF0000"/>
        </w:rPr>
        <w:t>/d</w:t>
      </w:r>
      <w:r w:rsidR="008F6FAE" w:rsidRPr="003F3AA5">
        <w:rPr>
          <w:i/>
          <w:color w:val="FF0000"/>
        </w:rPr>
        <w:t>T</w:t>
      </w:r>
      <w:r w:rsidR="008F6FAE" w:rsidRPr="003F3AA5">
        <w:rPr>
          <w:color w:val="FF0000"/>
        </w:rPr>
        <w:t>)</w:t>
      </w:r>
      <w:r w:rsidR="008F6FAE" w:rsidRPr="003F3AA5">
        <w:rPr>
          <w:color w:val="FF0000"/>
          <w:vertAlign w:val="subscript"/>
        </w:rPr>
        <w:t>max</w:t>
      </w:r>
      <w:r w:rsidR="003F3AA5" w:rsidRPr="003F3AA5">
        <w:rPr>
          <w:color w:val="FF0000"/>
        </w:rPr>
        <w:t xml:space="preserve">) </w:t>
      </w:r>
      <w:r w:rsidR="008F6FAE" w:rsidRPr="003F3AA5">
        <w:rPr>
          <w:color w:val="FF0000"/>
        </w:rPr>
        <w:t>increase rapidly with</w:t>
      </w:r>
      <w:r w:rsidR="003F3AA5" w:rsidRPr="003F3AA5">
        <w:rPr>
          <w:color w:val="FF0000"/>
        </w:rPr>
        <w:t xml:space="preserve"> increasing</w:t>
      </w:r>
      <w:r w:rsidR="00C77E6C" w:rsidRPr="003F3AA5">
        <w:rPr>
          <w:color w:val="FF0000"/>
        </w:rPr>
        <w:t xml:space="preserve"> </w:t>
      </w:r>
      <w:r w:rsidR="008F6FAE" w:rsidRPr="003F3AA5">
        <w:rPr>
          <w:rFonts w:ascii="Symbol" w:hAnsi="Symbol"/>
          <w:i/>
          <w:color w:val="FF0000"/>
        </w:rPr>
        <w:t></w:t>
      </w:r>
      <w:r w:rsidR="003F3AA5" w:rsidRPr="003F3AA5">
        <w:rPr>
          <w:rFonts w:cstheme="majorHAnsi"/>
          <w:color w:val="FF0000"/>
        </w:rPr>
        <w:t xml:space="preserve">, </w:t>
      </w:r>
      <w:r w:rsidR="00E44CC1" w:rsidRPr="003F3AA5">
        <w:rPr>
          <w:rFonts w:cstheme="majorHAnsi"/>
          <w:color w:val="FF0000"/>
        </w:rPr>
        <w:t>as</w:t>
      </w:r>
      <w:r w:rsidR="00107D2B" w:rsidRPr="003F3AA5">
        <w:rPr>
          <w:rFonts w:cstheme="majorHAnsi"/>
          <w:color w:val="FF0000"/>
        </w:rPr>
        <w:t xml:space="preserve"> </w:t>
      </w:r>
      <w:r w:rsidR="008F6FAE" w:rsidRPr="003F3AA5">
        <w:rPr>
          <w:rFonts w:cstheme="majorHAnsi"/>
          <w:color w:val="FF0000"/>
        </w:rPr>
        <w:t xml:space="preserve">lower </w:t>
      </w:r>
      <w:r w:rsidR="008F6FAE" w:rsidRPr="003F3AA5">
        <w:rPr>
          <w:rFonts w:cstheme="majorHAnsi"/>
          <w:i/>
          <w:color w:val="FF0000"/>
        </w:rPr>
        <w:t>T</w:t>
      </w:r>
      <w:r w:rsidR="008F6FAE" w:rsidRPr="003F3AA5">
        <w:rPr>
          <w:rFonts w:cstheme="majorHAnsi"/>
          <w:color w:val="FF0000"/>
        </w:rPr>
        <w:t xml:space="preserve"> </w:t>
      </w:r>
      <w:r w:rsidR="009F5D44" w:rsidRPr="003F3AA5">
        <w:rPr>
          <w:rFonts w:cstheme="majorHAnsi"/>
          <w:color w:val="FF0000"/>
        </w:rPr>
        <w:t xml:space="preserve">and higher supersaturation levels </w:t>
      </w:r>
      <w:r w:rsidR="008F6FAE" w:rsidRPr="003F3AA5">
        <w:rPr>
          <w:rFonts w:cstheme="majorHAnsi"/>
          <w:color w:val="FF0000"/>
        </w:rPr>
        <w:t xml:space="preserve">are </w:t>
      </w:r>
      <w:r w:rsidR="001863DC" w:rsidRPr="003F3AA5">
        <w:rPr>
          <w:rFonts w:cstheme="majorHAnsi"/>
          <w:color w:val="FF0000"/>
        </w:rPr>
        <w:t>obtaine</w:t>
      </w:r>
      <w:r w:rsidR="008F6FAE" w:rsidRPr="003F3AA5">
        <w:rPr>
          <w:rFonts w:cstheme="majorHAnsi"/>
          <w:color w:val="FF0000"/>
        </w:rPr>
        <w:t xml:space="preserve">d </w:t>
      </w:r>
      <w:r w:rsidR="003F3AA5" w:rsidRPr="003F3AA5">
        <w:rPr>
          <w:rFonts w:cstheme="majorHAnsi"/>
          <w:color w:val="FF0000"/>
        </w:rPr>
        <w:t xml:space="preserve">at </w:t>
      </w:r>
      <w:r w:rsidR="008F6FAE" w:rsidRPr="003F3AA5">
        <w:rPr>
          <w:rFonts w:cstheme="majorHAnsi"/>
          <w:color w:val="FF0000"/>
        </w:rPr>
        <w:t>earlier</w:t>
      </w:r>
      <w:r w:rsidR="003F3AA5" w:rsidRPr="003F3AA5">
        <w:rPr>
          <w:rFonts w:cstheme="majorHAnsi"/>
          <w:color w:val="FF0000"/>
        </w:rPr>
        <w:t xml:space="preserve"> times</w:t>
      </w:r>
      <w:r w:rsidR="008F6FAE" w:rsidRPr="003F3AA5">
        <w:rPr>
          <w:rFonts w:cstheme="majorHAnsi"/>
          <w:color w:val="FF0000"/>
        </w:rPr>
        <w:t xml:space="preserve">, </w:t>
      </w:r>
      <w:r w:rsidR="003F3AA5" w:rsidRPr="003F3AA5">
        <w:rPr>
          <w:rFonts w:cstheme="majorHAnsi"/>
          <w:color w:val="FF0000"/>
        </w:rPr>
        <w:t xml:space="preserve">thus </w:t>
      </w:r>
      <w:r w:rsidR="00C028A8" w:rsidRPr="003F3AA5">
        <w:rPr>
          <w:color w:val="FF0000"/>
        </w:rPr>
        <w:t xml:space="preserve">converging </w:t>
      </w:r>
      <w:r w:rsidR="00801306" w:rsidRPr="003F3AA5">
        <w:rPr>
          <w:color w:val="FF0000"/>
        </w:rPr>
        <w:t xml:space="preserve">towards their isothermal values. </w:t>
      </w:r>
      <w:r w:rsidR="00801306" w:rsidRPr="003F3AA5">
        <w:rPr>
          <w:rFonts w:cstheme="majorHAnsi"/>
          <w:color w:val="FF0000"/>
        </w:rPr>
        <w:t xml:space="preserve"> </w:t>
      </w:r>
    </w:p>
    <w:p w14:paraId="720D064E" w14:textId="12367D47" w:rsidR="001C79F7" w:rsidRPr="009C217F" w:rsidRDefault="001C3CB6" w:rsidP="00D7076B">
      <w:pPr>
        <w:pStyle w:val="TAMainText"/>
        <w:rPr>
          <w:rFonts w:cstheme="majorHAnsi"/>
        </w:rPr>
      </w:pPr>
      <w:r w:rsidRPr="00D16F20">
        <w:t xml:space="preserve">Nucleation was </w:t>
      </w:r>
      <w:r w:rsidR="00801306">
        <w:t>classified</w:t>
      </w:r>
      <w:r w:rsidR="00BE50C4" w:rsidRPr="00D16F20" w:rsidDel="00BE50C4">
        <w:t xml:space="preserve"> </w:t>
      </w:r>
      <w:r w:rsidR="002021A4" w:rsidRPr="00D16F20">
        <w:t xml:space="preserve">as primary or secondary, </w:t>
      </w:r>
      <w:r w:rsidR="00675967">
        <w:t xml:space="preserve">as shown in </w:t>
      </w:r>
      <w:r w:rsidR="002C524E" w:rsidRPr="00115EEE">
        <w:t>Figure 3(d)</w:t>
      </w:r>
      <w:r w:rsidR="00946DFE" w:rsidRPr="00115EEE">
        <w:t>.</w:t>
      </w:r>
      <w:r w:rsidR="0099736D">
        <w:t xml:space="preserve"> </w:t>
      </w:r>
      <w:r w:rsidR="00891063" w:rsidRPr="00891063">
        <w:rPr>
          <w:color w:val="FF0000"/>
        </w:rPr>
        <w:t xml:space="preserve">Experimentally, these events were determined by manual inspection if the optical images, by the evolution of the crystal morphology with time, by detecting </w:t>
      </w:r>
      <w:r w:rsidR="00891063" w:rsidRPr="00891063">
        <w:rPr>
          <w:color w:val="FF0000"/>
        </w:rPr>
        <w:t>whether the nucleation event was isolated</w:t>
      </w:r>
      <w:r w:rsidR="00891063" w:rsidRPr="00891063">
        <w:rPr>
          <w:color w:val="FF0000"/>
        </w:rPr>
        <w:t xml:space="preserve"> (primary nucleation)</w:t>
      </w:r>
      <w:r w:rsidR="00891063" w:rsidRPr="00891063">
        <w:rPr>
          <w:color w:val="FF0000"/>
        </w:rPr>
        <w:t xml:space="preserve"> or initiated from another crystal</w:t>
      </w:r>
      <w:r w:rsidR="00891063" w:rsidRPr="00891063">
        <w:rPr>
          <w:color w:val="FF0000"/>
        </w:rPr>
        <w:t xml:space="preserve"> (secondary), within </w:t>
      </w:r>
      <w:r w:rsidR="00891063" w:rsidRPr="00891063">
        <w:rPr>
          <w:color w:val="FF0000"/>
        </w:rPr>
        <w:t xml:space="preserve">measurement </w:t>
      </w:r>
      <w:r w:rsidR="00891063" w:rsidRPr="00891063">
        <w:rPr>
          <w:color w:val="FF0000"/>
        </w:rPr>
        <w:t xml:space="preserve">resolution (~1 </w:t>
      </w:r>
      <w:r w:rsidR="00891063" w:rsidRPr="00891063">
        <w:rPr>
          <w:rFonts w:ascii="Symbol" w:hAnsi="Symbol"/>
          <w:color w:val="FF0000"/>
        </w:rPr>
        <w:t></w:t>
      </w:r>
      <w:r w:rsidR="00891063" w:rsidRPr="00891063">
        <w:rPr>
          <w:color w:val="FF0000"/>
        </w:rPr>
        <w:t xml:space="preserve">m). </w:t>
      </w:r>
      <w:r w:rsidR="00DB1DFE">
        <w:t>Again t</w:t>
      </w:r>
      <w:r w:rsidR="0099736D">
        <w:t xml:space="preserve">he horizontal lines represent </w:t>
      </w:r>
      <w:r w:rsidR="0099736D" w:rsidRPr="0099736D">
        <w:rPr>
          <w:rFonts w:cstheme="majorHAnsi"/>
        </w:rPr>
        <w:t>Δ</w:t>
      </w:r>
      <w:r w:rsidR="0099736D" w:rsidRPr="0099736D">
        <w:rPr>
          <w:rFonts w:cstheme="majorHAnsi"/>
          <w:i/>
        </w:rPr>
        <w:t>T</w:t>
      </w:r>
      <w:r w:rsidR="0099736D" w:rsidRPr="0099736D">
        <w:rPr>
          <w:rFonts w:cstheme="majorHAnsi"/>
          <w:vertAlign w:val="subscript"/>
        </w:rPr>
        <w:t>(N</w:t>
      </w:r>
      <w:r w:rsidR="0099736D">
        <w:rPr>
          <w:vertAlign w:val="subscript"/>
        </w:rPr>
        <w:t>)</w:t>
      </w:r>
      <w:r w:rsidR="00883774">
        <w:t xml:space="preserve">, with the </w:t>
      </w:r>
      <w:r w:rsidR="001C79F7">
        <w:t xml:space="preserve">isothermal quench data </w:t>
      </w:r>
      <w:r w:rsidR="00801306">
        <w:t xml:space="preserve">shown </w:t>
      </w:r>
      <w:r w:rsidR="001C79F7">
        <w:t>as dashed lines.</w:t>
      </w:r>
      <w:r w:rsidR="0099736D">
        <w:t xml:space="preserve"> </w:t>
      </w:r>
      <w:r w:rsidR="00DB1DFE" w:rsidRPr="00115EEE">
        <w:t xml:space="preserve">Secondary nucleation </w:t>
      </w:r>
      <w:r w:rsidR="00DB1DFE">
        <w:t xml:space="preserve">can </w:t>
      </w:r>
      <w:r w:rsidR="00DB1DFE" w:rsidRPr="00115EEE">
        <w:t>include both contact and shear nucleation,</w:t>
      </w:r>
      <w:r w:rsidR="00DB1DFE" w:rsidRPr="00115EEE">
        <w:fldChar w:fldCharType="begin" w:fldLock="1"/>
      </w:r>
      <w:r w:rsidR="00600480">
        <w:instrText>ADDIN CSL_CITATION { "citationItems" : [ { "id" : "ITEM-1", "itemData" : { "edition" : "2nd", "editor" : [ { "dropping-particle" : "", "family" : "Garside", "given" : "J.", "non-dropping-particle" : "", "parse-names" : false, "suffix" : "" }, { "dropping-particle" : "", "family" : "Mersmann", "given" : "A.", "non-dropping-particle" : "", "parse-names" : false, "suffix" : "" }, { "dropping-particle" : "", "family" : "Nyvlt", "given" : "J.", "non-dropping-particle" : "", "parse-names" : false, "suffix" : "" } ], "id" : "ITEM-1", "issued" : { "date-parts" : [ [ "2002" ] ] }, "publisher" : "IChemE", "publisher-place" : "Salisbury", "title" : "Measurement of Crystal Growth and Nucleation Rates", "type" : "chapter" }, "uris" : [ "http://www.mendeley.com/documents/?uuid=be6e6f8f-4275-4423-a0f8-3660321df440" ] } ], "mendeley" : { "formattedCitation" : "&lt;sup&gt;55&lt;/sup&gt;", "plainTextFormattedCitation" : "55", "previouslyFormattedCitation" : "&lt;sup&gt;55&lt;/sup&gt;" }, "properties" : { "noteIndex" : 0 }, "schema" : "https://github.com/citation-style-language/schema/raw/master/csl-citation.json" }</w:instrText>
      </w:r>
      <w:r w:rsidR="00DB1DFE" w:rsidRPr="00115EEE">
        <w:fldChar w:fldCharType="separate"/>
      </w:r>
      <w:r w:rsidR="00290E7E" w:rsidRPr="00290E7E">
        <w:rPr>
          <w:noProof/>
          <w:vertAlign w:val="superscript"/>
        </w:rPr>
        <w:t>55</w:t>
      </w:r>
      <w:r w:rsidR="00DB1DFE" w:rsidRPr="00115EEE">
        <w:fldChar w:fldCharType="end"/>
      </w:r>
      <w:r w:rsidR="00DB1DFE" w:rsidRPr="00115EEE">
        <w:t xml:space="preserve"> </w:t>
      </w:r>
      <w:r w:rsidR="00DB1DFE">
        <w:t xml:space="preserve">however in these experiments the latter is unlikely as the solution is stationary. </w:t>
      </w:r>
      <w:r w:rsidR="001C79F7">
        <w:t xml:space="preserve">Both data sets are non-monotonic with </w:t>
      </w:r>
      <w:r w:rsidR="001C79F7" w:rsidRPr="009C217F">
        <w:rPr>
          <w:i/>
        </w:rPr>
        <w:t>T</w:t>
      </w:r>
      <w:r w:rsidR="001C79F7">
        <w:t xml:space="preserve">, with secondary nucleation reaching a maximum at intermediate </w:t>
      </w:r>
      <w:r w:rsidR="00D55263" w:rsidRPr="00D55263">
        <w:rPr>
          <w:rFonts w:ascii="Symbol" w:hAnsi="Symbol"/>
          <w:i/>
        </w:rPr>
        <w:t></w:t>
      </w:r>
      <w:r w:rsidR="00D63CB4" w:rsidRPr="00D63CB4">
        <w:t xml:space="preserve"> </w:t>
      </w:r>
      <w:r w:rsidR="00D55263">
        <w:rPr>
          <w:rFonts w:cstheme="majorHAnsi"/>
        </w:rPr>
        <w:t>=</w:t>
      </w:r>
      <w:r w:rsidR="001C79F7">
        <w:t xml:space="preserve"> </w:t>
      </w:r>
      <w:r w:rsidR="00D55263">
        <w:t>1.0</w:t>
      </w:r>
      <w:r w:rsidR="009C217F">
        <w:t xml:space="preserve"> </w:t>
      </w:r>
      <w:r w:rsidR="001C79F7" w:rsidRPr="00115EEE">
        <w:t>°C</w:t>
      </w:r>
      <w:r w:rsidR="00D55263">
        <w:t xml:space="preserve"> min</w:t>
      </w:r>
      <w:r w:rsidR="00D55263" w:rsidRPr="00D55263">
        <w:rPr>
          <w:vertAlign w:val="superscript"/>
        </w:rPr>
        <w:t>-1</w:t>
      </w:r>
      <w:r w:rsidR="00D55263">
        <w:t>; the data</w:t>
      </w:r>
      <w:r w:rsidR="00D61959">
        <w:t xml:space="preserve"> plotted</w:t>
      </w:r>
      <w:r w:rsidR="00D55263">
        <w:t xml:space="preserve"> as a function of</w:t>
      </w:r>
      <w:r w:rsidR="00DB1DFE" w:rsidRPr="00DB1DFE">
        <w:t xml:space="preserve"> </w:t>
      </w:r>
      <w:r w:rsidR="00D55263" w:rsidRPr="00AD4C29">
        <w:rPr>
          <w:rFonts w:ascii="Symbol" w:hAnsi="Symbol"/>
          <w:i/>
        </w:rPr>
        <w:t></w:t>
      </w:r>
      <w:r w:rsidR="00D55263">
        <w:t xml:space="preserve"> </w:t>
      </w:r>
      <w:r w:rsidR="00D61BA7">
        <w:t>are</w:t>
      </w:r>
      <w:r w:rsidR="00D55263">
        <w:t xml:space="preserve"> provided in </w:t>
      </w:r>
      <w:r w:rsidR="00D55263" w:rsidRPr="00917EE8">
        <w:t>Supporting Information (Figure S2</w:t>
      </w:r>
      <w:r w:rsidR="00D55263">
        <w:t>d</w:t>
      </w:r>
      <w:r w:rsidR="00D55263" w:rsidRPr="00917EE8">
        <w:t>)</w:t>
      </w:r>
      <w:r w:rsidR="00D55263">
        <w:t>.</w:t>
      </w:r>
    </w:p>
    <w:p w14:paraId="5A308F7A" w14:textId="2F17D730" w:rsidR="004A27B3" w:rsidRPr="00572A96" w:rsidRDefault="00AD4720" w:rsidP="00B50802">
      <w:pPr>
        <w:pStyle w:val="TAMainText"/>
      </w:pPr>
      <w:r w:rsidRPr="00115EEE">
        <w:t xml:space="preserve">At </w:t>
      </w:r>
      <w:r>
        <w:t xml:space="preserve">low </w:t>
      </w:r>
      <w:r w:rsidR="004A27B3" w:rsidRPr="00B764E9">
        <w:rPr>
          <w:rFonts w:ascii="Symbol" w:hAnsi="Symbol"/>
          <w:i/>
        </w:rPr>
        <w:t></w:t>
      </w:r>
      <w:r w:rsidR="004A27B3" w:rsidRPr="004A27B3">
        <w:rPr>
          <w:rFonts w:cstheme="majorHAnsi"/>
          <w:i/>
        </w:rPr>
        <w:t>,</w:t>
      </w:r>
      <w:r w:rsidRPr="00115EEE">
        <w:t xml:space="preserve"> primary nucleation </w:t>
      </w:r>
      <w:r>
        <w:t xml:space="preserve">dominates as </w:t>
      </w:r>
      <w:r w:rsidRPr="00115EEE">
        <w:t xml:space="preserve">platelets grow with </w:t>
      </w:r>
      <w:r>
        <w:t xml:space="preserve">relatively </w:t>
      </w:r>
      <w:r w:rsidRPr="00115EEE">
        <w:t xml:space="preserve">few imperfections and </w:t>
      </w:r>
      <w:r w:rsidRPr="00115EEE">
        <w:rPr>
          <w:i/>
        </w:rPr>
        <w:t>N</w:t>
      </w:r>
      <w:r w:rsidRPr="00115EEE">
        <w:rPr>
          <w:vertAlign w:val="subscript"/>
        </w:rPr>
        <w:t>∞</w:t>
      </w:r>
      <w:r w:rsidRPr="00115EEE">
        <w:t xml:space="preserve"> is low, reducing the </w:t>
      </w:r>
      <w:r>
        <w:t xml:space="preserve">likelihood </w:t>
      </w:r>
      <w:r w:rsidRPr="00115EEE">
        <w:t>of contact nucleation.</w:t>
      </w:r>
      <w:r>
        <w:t xml:space="preserve"> </w:t>
      </w:r>
      <w:r w:rsidR="00C1353F">
        <w:t xml:space="preserve">At </w:t>
      </w:r>
      <w:r>
        <w:t xml:space="preserve">intermediate </w:t>
      </w:r>
      <w:r w:rsidRPr="00B764E9">
        <w:rPr>
          <w:rFonts w:ascii="Symbol" w:hAnsi="Symbol"/>
          <w:i/>
        </w:rPr>
        <w:t></w:t>
      </w:r>
      <w:r w:rsidR="00EE50CD">
        <w:t xml:space="preserve">, </w:t>
      </w:r>
      <w:r>
        <w:t>the increase in secondary nu</w:t>
      </w:r>
      <w:r w:rsidR="00971EFF">
        <w:t>cleation is attributed to both</w:t>
      </w:r>
      <w:r w:rsidR="00B120D3">
        <w:t xml:space="preserve"> a rise in crystalline </w:t>
      </w:r>
      <w:r w:rsidR="00B120D3" w:rsidRPr="00115EEE">
        <w:t>defects with faster growth rates</w:t>
      </w:r>
      <w:r w:rsidR="00B120D3" w:rsidRPr="00115EEE">
        <w:fldChar w:fldCharType="begin" w:fldLock="1"/>
      </w:r>
      <w:r w:rsidR="00600480">
        <w:instrText>ADDIN CSL_CITATION { "citationItems" : [ { "id" : "ITEM-1", "itemData" : { "author" : [ { "dropping-particle" : "V.", "family" : "Hook", "given" : "A.", "non-dropping-particle" : "", "parse-names" : false, "suffix" : "" } ], "container-title" : "Crystallization: Theory and Practice", "edition" : "1st", "editor" : [ { "dropping-particle" : "", "family" : "Pamplin", "given" : "B. R.", "non-dropping-particle" : "", "parse-names" : false, "suffix" : "" } ], "id" : "ITEM-1", "issued" : { "date-parts" : [ [ "1961" ] ] }, "page" : "1-153", "publisher" : "Reinhold Publishing Corporation", "publisher-place" : "New York", "title" : "Crystallization: Theory and Practice", "type" : "chapter" }, "uris" : [ "http://www.mendeley.com/documents/?uuid=0ea5a071-5a99-445d-848a-3f55b4130651" ] } ], "mendeley" : { "formattedCitation" : "&lt;sup&gt;56&lt;/sup&gt;", "plainTextFormattedCitation" : "56", "previouslyFormattedCitation" : "&lt;sup&gt;56&lt;/sup&gt;" }, "properties" : { "noteIndex" : 0 }, "schema" : "https://github.com/citation-style-language/schema/raw/master/csl-citation.json" }</w:instrText>
      </w:r>
      <w:r w:rsidR="00B120D3" w:rsidRPr="00115EEE">
        <w:fldChar w:fldCharType="separate"/>
      </w:r>
      <w:r w:rsidR="00290E7E" w:rsidRPr="00290E7E">
        <w:rPr>
          <w:noProof/>
          <w:vertAlign w:val="superscript"/>
        </w:rPr>
        <w:t>56</w:t>
      </w:r>
      <w:r w:rsidR="00B120D3" w:rsidRPr="00115EEE">
        <w:fldChar w:fldCharType="end"/>
      </w:r>
      <w:r w:rsidR="00B120D3">
        <w:t xml:space="preserve"> </w:t>
      </w:r>
      <w:r w:rsidR="00971EFF">
        <w:t xml:space="preserve">and an increase in </w:t>
      </w:r>
      <w:r w:rsidR="00971EFF" w:rsidRPr="00115EEE">
        <w:rPr>
          <w:i/>
        </w:rPr>
        <w:t>N</w:t>
      </w:r>
      <w:r w:rsidR="00971EFF" w:rsidRPr="00B06F49">
        <w:rPr>
          <w:vertAlign w:val="subscript"/>
        </w:rPr>
        <w:t>∞</w:t>
      </w:r>
      <w:r w:rsidR="00971EFF">
        <w:t xml:space="preserve"> </w:t>
      </w:r>
      <w:r w:rsidR="008A6BFE">
        <w:t>as</w:t>
      </w:r>
      <w:r w:rsidR="00971EFF">
        <w:t xml:space="preserve"> lower </w:t>
      </w:r>
      <w:r w:rsidR="00971EFF" w:rsidRPr="00D61959">
        <w:rPr>
          <w:i/>
        </w:rPr>
        <w:t>T</w:t>
      </w:r>
      <w:r w:rsidR="008A6BFE">
        <w:t xml:space="preserve"> (nucleation </w:t>
      </w:r>
      <w:r w:rsidR="00971EFF">
        <w:t>favored regimes</w:t>
      </w:r>
      <w:r w:rsidR="008A6BFE">
        <w:t>)</w:t>
      </w:r>
      <w:r w:rsidR="00971EFF">
        <w:t xml:space="preserve"> </w:t>
      </w:r>
      <w:r w:rsidR="00971EFF" w:rsidRPr="00D61959">
        <w:t>are</w:t>
      </w:r>
      <w:r w:rsidR="00971EFF">
        <w:t xml:space="preserve"> </w:t>
      </w:r>
      <w:r w:rsidR="00C1353F">
        <w:t xml:space="preserve">reached </w:t>
      </w:r>
      <w:r w:rsidR="00971EFF">
        <w:t xml:space="preserve">faster, </w:t>
      </w:r>
      <w:r w:rsidR="00B120D3" w:rsidRPr="00115EEE">
        <w:t>increasing the likelihood of contact nucleation</w:t>
      </w:r>
      <w:r w:rsidR="00B120D3">
        <w:t>.</w:t>
      </w:r>
      <w:r w:rsidR="009A371C">
        <w:t xml:space="preserve"> However</w:t>
      </w:r>
      <w:r w:rsidR="00C1353F">
        <w:t>,</w:t>
      </w:r>
      <w:r w:rsidR="009A371C">
        <w:t xml:space="preserve"> </w:t>
      </w:r>
      <w:r w:rsidR="00C1353F">
        <w:t>at</w:t>
      </w:r>
      <w:r w:rsidR="009A371C">
        <w:t xml:space="preserve"> the </w:t>
      </w:r>
      <w:r w:rsidR="00C028A8">
        <w:rPr>
          <w:i/>
        </w:rPr>
        <w:t>faster</w:t>
      </w:r>
      <w:r w:rsidR="00C028A8">
        <w:t xml:space="preserve"> </w:t>
      </w:r>
      <w:r w:rsidR="009A371C">
        <w:t>rates,</w:t>
      </w:r>
      <w:r w:rsidR="00351CC5">
        <w:t xml:space="preserve"> </w:t>
      </w:r>
      <w:r w:rsidR="00351CC5" w:rsidRPr="00115EEE">
        <w:t xml:space="preserve">primary nucleation </w:t>
      </w:r>
      <w:r w:rsidR="00351CC5">
        <w:t xml:space="preserve">again </w:t>
      </w:r>
      <w:r w:rsidR="00D61BA7">
        <w:t xml:space="preserve">dominates </w:t>
      </w:r>
      <w:r w:rsidR="00985CFB">
        <w:t>as</w:t>
      </w:r>
      <w:r w:rsidR="00351CC5">
        <w:t xml:space="preserve"> </w:t>
      </w:r>
      <w:r w:rsidR="00351CC5" w:rsidRPr="00115EEE">
        <w:t>d</w:t>
      </w:r>
      <w:r w:rsidR="00351CC5" w:rsidRPr="00115EEE">
        <w:rPr>
          <w:i/>
        </w:rPr>
        <w:t>N</w:t>
      </w:r>
      <w:r w:rsidR="00351CC5" w:rsidRPr="00115EEE">
        <w:rPr>
          <w:vertAlign w:val="subscript"/>
        </w:rPr>
        <w:t>d</w:t>
      </w:r>
      <w:r w:rsidR="00351CC5" w:rsidRPr="00115EEE">
        <w:t>/d</w:t>
      </w:r>
      <w:r w:rsidR="00351CC5" w:rsidRPr="00115EEE">
        <w:rPr>
          <w:i/>
        </w:rPr>
        <w:t>t</w:t>
      </w:r>
      <w:r w:rsidR="00351CC5">
        <w:t xml:space="preserve"> becomes sufficiently high </w:t>
      </w:r>
      <w:r w:rsidR="00B04AC6">
        <w:t xml:space="preserve">such that nucleation occurs </w:t>
      </w:r>
      <w:r w:rsidR="008E7379">
        <w:rPr>
          <w:rFonts w:cstheme="majorHAnsi"/>
        </w:rPr>
        <w:t xml:space="preserve">over a </w:t>
      </w:r>
      <w:r w:rsidR="008E7379" w:rsidRPr="00572A96">
        <w:rPr>
          <w:rFonts w:cstheme="majorHAnsi"/>
        </w:rPr>
        <w:t>short Δ</w:t>
      </w:r>
      <w:r w:rsidR="008E7379" w:rsidRPr="00572A96">
        <w:rPr>
          <w:rFonts w:cstheme="majorHAnsi"/>
          <w:i/>
        </w:rPr>
        <w:t>t</w:t>
      </w:r>
      <w:r w:rsidR="008E7379" w:rsidRPr="00572A96">
        <w:rPr>
          <w:rFonts w:cstheme="majorHAnsi"/>
          <w:vertAlign w:val="subscript"/>
        </w:rPr>
        <w:t>(N</w:t>
      </w:r>
      <w:r w:rsidR="008E7379" w:rsidRPr="00572A96">
        <w:rPr>
          <w:vertAlign w:val="subscript"/>
        </w:rPr>
        <w:t>)</w:t>
      </w:r>
      <w:r w:rsidR="008E7379" w:rsidRPr="00572A96">
        <w:t>.</w:t>
      </w:r>
      <w:r w:rsidR="00C1353F">
        <w:t xml:space="preserve"> </w:t>
      </w:r>
      <w:r w:rsidR="00C1353F" w:rsidRPr="00C1353F">
        <w:t xml:space="preserve">Comparison with isothermal measurements indicates that finite </w:t>
      </w:r>
      <w:r w:rsidR="00C1353F" w:rsidRPr="00C1353F">
        <w:rPr>
          <w:rFonts w:ascii="Symbol" w:hAnsi="Symbol"/>
          <w:i/>
        </w:rPr>
        <w:t></w:t>
      </w:r>
      <w:r w:rsidR="00C1353F" w:rsidRPr="00C1353F">
        <w:t xml:space="preserve"> data are slightly offs</w:t>
      </w:r>
      <w:r w:rsidR="003F3AA5">
        <w:t>et towards low temperatures, corresponding to</w:t>
      </w:r>
      <w:r w:rsidR="00C1353F">
        <w:t xml:space="preserve"> a</w:t>
      </w:r>
      <w:r w:rsidR="00C1353F" w:rsidRPr="00C1353F">
        <w:t xml:space="preserve"> </w:t>
      </w:r>
      <w:r w:rsidR="00C1353F" w:rsidRPr="00572A96">
        <w:rPr>
          <w:rFonts w:cstheme="majorHAnsi"/>
        </w:rPr>
        <w:t>higher proportion of secondary nucleation</w:t>
      </w:r>
      <w:r w:rsidR="00A83991">
        <w:rPr>
          <w:rFonts w:cstheme="majorHAnsi"/>
        </w:rPr>
        <w:t xml:space="preserve">. </w:t>
      </w:r>
      <w:r w:rsidR="00A83991">
        <w:t xml:space="preserve">This effect is more pronounced at low </w:t>
      </w:r>
      <w:r w:rsidR="00A83991" w:rsidRPr="00572A96">
        <w:rPr>
          <w:rFonts w:ascii="Symbol" w:hAnsi="Symbol"/>
          <w:i/>
        </w:rPr>
        <w:t></w:t>
      </w:r>
      <w:r w:rsidR="00A83991">
        <w:rPr>
          <w:rFonts w:cstheme="majorHAnsi"/>
        </w:rPr>
        <w:t xml:space="preserve"> due to</w:t>
      </w:r>
      <w:r w:rsidR="00A83991" w:rsidRPr="00572A96">
        <w:t xml:space="preserve"> the gradual time spent cooling</w:t>
      </w:r>
      <w:r w:rsidR="003F3AA5">
        <w:t>, as</w:t>
      </w:r>
      <w:r w:rsidR="00D15C44" w:rsidRPr="00D15C44">
        <w:t xml:space="preserve"> the presence of crystals in solution increas</w:t>
      </w:r>
      <w:r w:rsidR="003F3AA5">
        <w:t>e</w:t>
      </w:r>
      <w:r w:rsidR="00D15C44" w:rsidRPr="00D15C44">
        <w:t xml:space="preserve"> the chance of contact nucleation</w:t>
      </w:r>
      <w:r w:rsidR="00A83991">
        <w:t>.</w:t>
      </w:r>
    </w:p>
    <w:p w14:paraId="7F8080AB" w14:textId="77777777" w:rsidR="00C20869" w:rsidRDefault="00C20869" w:rsidP="00B50802">
      <w:pPr>
        <w:pStyle w:val="TAMainText"/>
      </w:pPr>
    </w:p>
    <w:p w14:paraId="7FD52737" w14:textId="77777777" w:rsidR="00C20869" w:rsidRDefault="00C20869" w:rsidP="00B50802">
      <w:pPr>
        <w:pStyle w:val="TAMainText"/>
      </w:pPr>
    </w:p>
    <w:p w14:paraId="1F08D0D9" w14:textId="77777777" w:rsidR="00C20869" w:rsidRDefault="00C20869" w:rsidP="00B50802">
      <w:pPr>
        <w:pStyle w:val="TAMainText"/>
      </w:pPr>
    </w:p>
    <w:p w14:paraId="3D17AB28" w14:textId="77777777" w:rsidR="00B50802" w:rsidRDefault="00B50802" w:rsidP="00B50802">
      <w:pPr>
        <w:pStyle w:val="TAMainText"/>
      </w:pPr>
    </w:p>
    <w:p w14:paraId="1A080027" w14:textId="77777777" w:rsidR="00B725E6" w:rsidRDefault="00B50802" w:rsidP="003F3AA5">
      <w:pPr>
        <w:pStyle w:val="TAMainText"/>
        <w:ind w:firstLine="0"/>
      </w:pPr>
      <w:bookmarkStart w:id="2" w:name="OLE_LINK2"/>
      <w:r w:rsidRPr="005E77F8">
        <w:rPr>
          <w:b/>
        </w:rPr>
        <w:t>Metastable Zone Width</w:t>
      </w:r>
      <w:bookmarkEnd w:id="2"/>
      <w:r w:rsidR="00B725E6" w:rsidRPr="00B725E6">
        <w:t xml:space="preserve"> </w:t>
      </w:r>
    </w:p>
    <w:p w14:paraId="5205EB0B" w14:textId="77777777" w:rsidR="00C20869" w:rsidRPr="00A41F97" w:rsidRDefault="00C20869" w:rsidP="00C20869">
      <w:pPr>
        <w:spacing w:after="0" w:line="360" w:lineRule="auto"/>
        <w:rPr>
          <w:rFonts w:asciiTheme="majorHAnsi" w:hAnsiTheme="majorHAnsi"/>
          <w:sz w:val="20"/>
        </w:rPr>
      </w:pPr>
      <w:r>
        <w:rPr>
          <w:rFonts w:asciiTheme="majorHAnsi" w:hAnsiTheme="majorHAnsi"/>
          <w:noProof/>
          <w:sz w:val="20"/>
          <w:lang w:val="en-GB" w:eastAsia="en-GB"/>
        </w:rPr>
        <w:drawing>
          <wp:inline distT="0" distB="0" distL="0" distR="0" wp14:anchorId="0D08F8C9" wp14:editId="2C3CFC08">
            <wp:extent cx="2615184" cy="5254752"/>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13.tif"/>
                    <pic:cNvPicPr/>
                  </pic:nvPicPr>
                  <pic:blipFill>
                    <a:blip r:embed="rId15">
                      <a:extLst>
                        <a:ext uri="{28A0092B-C50C-407E-A947-70E740481C1C}">
                          <a14:useLocalDpi xmlns:a14="http://schemas.microsoft.com/office/drawing/2010/main" val="0"/>
                        </a:ext>
                      </a:extLst>
                    </a:blip>
                    <a:stretch>
                      <a:fillRect/>
                    </a:stretch>
                  </pic:blipFill>
                  <pic:spPr>
                    <a:xfrm>
                      <a:off x="0" y="0"/>
                      <a:ext cx="2615184" cy="5254752"/>
                    </a:xfrm>
                    <a:prstGeom prst="rect">
                      <a:avLst/>
                    </a:prstGeom>
                  </pic:spPr>
                </pic:pic>
              </a:graphicData>
            </a:graphic>
          </wp:inline>
        </w:drawing>
      </w:r>
    </w:p>
    <w:p w14:paraId="21E9FF99" w14:textId="15E1F45C" w:rsidR="00C20869" w:rsidRPr="00C65AF0" w:rsidRDefault="00C20869" w:rsidP="00C20869">
      <w:pPr>
        <w:pStyle w:val="VAFigureCaption"/>
      </w:pPr>
      <w:bookmarkStart w:id="3" w:name="OLE_LINK3"/>
      <w:r w:rsidRPr="00A41F97">
        <w:rPr>
          <w:b/>
        </w:rPr>
        <w:t xml:space="preserve">Figure </w:t>
      </w:r>
      <w:r>
        <w:rPr>
          <w:b/>
        </w:rPr>
        <w:t>4</w:t>
      </w:r>
      <w:r w:rsidRPr="00A41F97">
        <w:rPr>
          <w:b/>
        </w:rPr>
        <w:t>.</w:t>
      </w:r>
      <w:r w:rsidRPr="00A41F97">
        <w:t xml:space="preserve"> (a) </w:t>
      </w:r>
      <w:r>
        <w:t>Induction time (</w:t>
      </w:r>
      <w:r w:rsidRPr="00CE2275">
        <w:rPr>
          <w:i/>
        </w:rPr>
        <w:t>t</w:t>
      </w:r>
      <w:r w:rsidRPr="00CE2275">
        <w:rPr>
          <w:vertAlign w:val="subscript"/>
        </w:rPr>
        <w:t>ind</w:t>
      </w:r>
      <w:r>
        <w:t xml:space="preserve">) comparison for the isothermal (smooth lines) and linear cooling data (square points) as a function of </w:t>
      </w:r>
      <w:r>
        <w:rPr>
          <w:i/>
        </w:rPr>
        <w:t>T</w:t>
      </w:r>
      <w:r>
        <w:t xml:space="preserve">. The dotted lines correspond to the </w:t>
      </w:r>
      <w:r>
        <w:rPr>
          <w:i/>
        </w:rPr>
        <w:t>T</w:t>
      </w:r>
      <w:r>
        <w:t xml:space="preserve">, </w:t>
      </w:r>
      <w:r>
        <w:rPr>
          <w:i/>
        </w:rPr>
        <w:t>t</w:t>
      </w:r>
      <w:r>
        <w:t xml:space="preserve"> trajectory of the employed </w:t>
      </w:r>
      <w:r w:rsidRPr="00985CFB">
        <w:rPr>
          <w:rFonts w:ascii="Symbol" w:hAnsi="Symbol"/>
          <w:i/>
        </w:rPr>
        <w:t></w:t>
      </w:r>
      <w:r>
        <w:t>; for the linear cooling data</w:t>
      </w:r>
      <w:r w:rsidRPr="003F1A1B">
        <w:t xml:space="preserve"> and this graph only </w:t>
      </w:r>
      <w:r w:rsidRPr="003D42EA">
        <w:rPr>
          <w:i/>
        </w:rPr>
        <w:t>t</w:t>
      </w:r>
      <w:r w:rsidRPr="003F1A1B">
        <w:t xml:space="preserve"> = 0 is set at </w:t>
      </w:r>
      <w:r w:rsidRPr="003D42EA">
        <w:rPr>
          <w:i/>
        </w:rPr>
        <w:t>T</w:t>
      </w:r>
      <w:r w:rsidRPr="003F1A1B">
        <w:t xml:space="preserve"> = 6 °C</w:t>
      </w:r>
      <w:r>
        <w:t>, which the is the lower boundary of the isothermally established metastable zone. The gray shaded area (</w:t>
      </w:r>
      <w:r w:rsidRPr="0007475C">
        <w:rPr>
          <w:i/>
        </w:rPr>
        <w:t>t</w:t>
      </w:r>
      <w:r>
        <w:t xml:space="preserve"> </w:t>
      </w:r>
      <w:r>
        <w:rPr>
          <w:rFonts w:cstheme="majorHAnsi"/>
        </w:rPr>
        <w:t>≈</w:t>
      </w:r>
      <w:r>
        <w:t xml:space="preserve"> </w:t>
      </w:r>
      <w:r w:rsidRPr="0007475C">
        <w:rPr>
          <w:i/>
        </w:rPr>
        <w:t>t</w:t>
      </w:r>
      <w:r w:rsidRPr="002C0547">
        <w:rPr>
          <w:vertAlign w:val="subscript"/>
        </w:rPr>
        <w:t>ind</w:t>
      </w:r>
      <w:r>
        <w:t xml:space="preserve">) represents the </w:t>
      </w:r>
      <w:r>
        <w:rPr>
          <w:i/>
        </w:rPr>
        <w:t>t</w:t>
      </w:r>
      <w:r w:rsidRPr="00871807">
        <w:rPr>
          <w:vertAlign w:val="subscript"/>
        </w:rPr>
        <w:t>ind</w:t>
      </w:r>
      <w:r w:rsidRPr="00871807">
        <w:t xml:space="preserve"> </w:t>
      </w:r>
      <w:r>
        <w:t xml:space="preserve">window required to observe nucleation at that </w:t>
      </w:r>
      <w:r>
        <w:rPr>
          <w:i/>
        </w:rPr>
        <w:t>T</w:t>
      </w:r>
      <w:r>
        <w:t>, under isothermal conditions. Below this, the purple zone (</w:t>
      </w:r>
      <w:r w:rsidRPr="0007475C">
        <w:rPr>
          <w:i/>
        </w:rPr>
        <w:t>t</w:t>
      </w:r>
      <w:r>
        <w:t xml:space="preserve"> &lt; </w:t>
      </w:r>
      <w:r w:rsidRPr="0007475C">
        <w:rPr>
          <w:i/>
        </w:rPr>
        <w:t>t</w:t>
      </w:r>
      <w:r w:rsidRPr="002C0547">
        <w:rPr>
          <w:vertAlign w:val="subscript"/>
        </w:rPr>
        <w:t>ind</w:t>
      </w:r>
      <w:r>
        <w:t xml:space="preserve">) indicates the </w:t>
      </w:r>
      <w:r w:rsidRPr="00941CE8">
        <w:rPr>
          <w:i/>
        </w:rPr>
        <w:t>T</w:t>
      </w:r>
      <w:r>
        <w:t xml:space="preserve">, </w:t>
      </w:r>
      <w:r w:rsidRPr="00941CE8">
        <w:rPr>
          <w:i/>
        </w:rPr>
        <w:t>t</w:t>
      </w:r>
      <w:r>
        <w:t xml:space="preserve"> combination for which isothermal nucleation was not observed, and is thus not expected under linear cooling conditions, with the green area corresponding to </w:t>
      </w:r>
      <w:r w:rsidRPr="0007475C">
        <w:rPr>
          <w:i/>
        </w:rPr>
        <w:t>t</w:t>
      </w:r>
      <w:r>
        <w:t xml:space="preserve"> </w:t>
      </w:r>
      <w:r w:rsidRPr="002C0547">
        <w:t>&gt;</w:t>
      </w:r>
      <w:r>
        <w:t xml:space="preserve"> </w:t>
      </w:r>
      <w:r w:rsidRPr="0007475C">
        <w:rPr>
          <w:i/>
        </w:rPr>
        <w:t>t</w:t>
      </w:r>
      <w:r w:rsidRPr="002C0547">
        <w:rPr>
          <w:vertAlign w:val="subscript"/>
        </w:rPr>
        <w:t>ind</w:t>
      </w:r>
      <w:r>
        <w:t xml:space="preserve">. (b) </w:t>
      </w:r>
      <w:r w:rsidRPr="00A41F97">
        <w:t>Metastable zone width (MSZW or Δ</w:t>
      </w:r>
      <w:r w:rsidRPr="00A41F97">
        <w:rPr>
          <w:i/>
        </w:rPr>
        <w:t>T</w:t>
      </w:r>
      <w:r w:rsidRPr="00A41F97">
        <w:rPr>
          <w:vertAlign w:val="subscript"/>
        </w:rPr>
        <w:t>max</w:t>
      </w:r>
      <w:r w:rsidRPr="00A41F97">
        <w:t xml:space="preserve">) </w:t>
      </w:r>
      <w:r>
        <w:lastRenderedPageBreak/>
        <w:t xml:space="preserve">dependence on </w:t>
      </w:r>
      <w:r>
        <w:rPr>
          <w:rFonts w:ascii="Symbol" w:hAnsi="Symbol"/>
          <w:i/>
        </w:rPr>
        <w:t></w:t>
      </w:r>
      <w:r w:rsidRPr="00A41F97">
        <w:t>. (</w:t>
      </w:r>
      <w:r>
        <w:t xml:space="preserve">c) Nývlt fits of log </w:t>
      </w:r>
      <w:r>
        <w:rPr>
          <w:rFonts w:ascii="Symbol" w:hAnsi="Symbol"/>
          <w:i/>
        </w:rPr>
        <w:t></w:t>
      </w:r>
      <w:r w:rsidRPr="00A41F97">
        <w:t xml:space="preserve"> </w:t>
      </w:r>
      <w:r>
        <w:t>as a function of log</w:t>
      </w:r>
      <w:r w:rsidRPr="00A41F97">
        <w:t xml:space="preserve"> Δ</w:t>
      </w:r>
      <w:r w:rsidRPr="00A41F97">
        <w:rPr>
          <w:i/>
        </w:rPr>
        <w:t>T</w:t>
      </w:r>
      <w:r w:rsidRPr="00A41F97">
        <w:rPr>
          <w:vertAlign w:val="subscript"/>
        </w:rPr>
        <w:t>max</w:t>
      </w:r>
      <w:r>
        <w:t>, the slope of which is the nucleation order (</w:t>
      </w:r>
      <w:r w:rsidRPr="00A41F97">
        <w:rPr>
          <w:i/>
        </w:rPr>
        <w:t>m</w:t>
      </w:r>
      <w:r>
        <w:t>), detailed in the text</w:t>
      </w:r>
      <w:bookmarkEnd w:id="3"/>
    </w:p>
    <w:p w14:paraId="734C2DA8" w14:textId="374F62CE" w:rsidR="00B725E6" w:rsidRPr="00CC6139" w:rsidRDefault="00B725E6" w:rsidP="00B725E6">
      <w:pPr>
        <w:pStyle w:val="TAMainText"/>
      </w:pPr>
      <w:r w:rsidRPr="0055443A">
        <w:t xml:space="preserve">The effect of </w:t>
      </w:r>
      <w:r w:rsidRPr="0055443A">
        <w:rPr>
          <w:rFonts w:ascii="Symbol" w:hAnsi="Symbol"/>
          <w:i/>
        </w:rPr>
        <w:t></w:t>
      </w:r>
      <w:r w:rsidRPr="00ED292E">
        <w:rPr>
          <w:rFonts w:cstheme="majorHAnsi"/>
        </w:rPr>
        <w:t xml:space="preserve"> </w:t>
      </w:r>
      <w:r>
        <w:rPr>
          <w:rFonts w:cstheme="majorHAnsi"/>
        </w:rPr>
        <w:t xml:space="preserve">on nucleation </w:t>
      </w:r>
      <w:r w:rsidRPr="0055443A">
        <w:t>was</w:t>
      </w:r>
      <w:r>
        <w:t xml:space="preserve"> </w:t>
      </w:r>
      <w:r w:rsidRPr="0055443A">
        <w:t xml:space="preserve">considered </w:t>
      </w:r>
      <w:r>
        <w:t>by comparing</w:t>
      </w:r>
      <w:r w:rsidR="00185594">
        <w:t xml:space="preserve"> the</w:t>
      </w:r>
      <w:r>
        <w:t xml:space="preserve"> induction times</w:t>
      </w:r>
      <w:r w:rsidRPr="0055443A">
        <w:t xml:space="preserve"> </w:t>
      </w:r>
      <w:r w:rsidR="00BE2BB3">
        <w:t>(</w:t>
      </w:r>
      <w:r w:rsidRPr="0055443A">
        <w:rPr>
          <w:i/>
        </w:rPr>
        <w:t>t</w:t>
      </w:r>
      <w:r w:rsidRPr="0040183B">
        <w:rPr>
          <w:vertAlign w:val="subscript"/>
        </w:rPr>
        <w:t>ind</w:t>
      </w:r>
      <w:r w:rsidR="00BE2BB3">
        <w:t>)</w:t>
      </w:r>
      <w:r>
        <w:t xml:space="preserve"> of </w:t>
      </w:r>
      <w:r w:rsidRPr="0055443A">
        <w:t xml:space="preserve">isothermal </w:t>
      </w:r>
      <w:r>
        <w:t>and non-isothermal (</w:t>
      </w:r>
      <w:r w:rsidRPr="0055443A">
        <w:t xml:space="preserve">finite </w:t>
      </w:r>
      <w:r w:rsidRPr="0055443A">
        <w:rPr>
          <w:rFonts w:ascii="Symbol" w:hAnsi="Symbol"/>
          <w:i/>
        </w:rPr>
        <w:t></w:t>
      </w:r>
      <w:r>
        <w:t>) q</w:t>
      </w:r>
      <w:r w:rsidRPr="0055443A">
        <w:t>uenches</w:t>
      </w:r>
      <w:r w:rsidRPr="0055443A">
        <w:rPr>
          <w:rFonts w:cstheme="majorHAnsi"/>
        </w:rPr>
        <w:t xml:space="preserve">. The </w:t>
      </w:r>
      <w:r w:rsidRPr="0055443A">
        <w:rPr>
          <w:rFonts w:cstheme="majorHAnsi"/>
          <w:i/>
        </w:rPr>
        <w:t>T</w:t>
      </w:r>
      <w:r w:rsidRPr="0055443A">
        <w:rPr>
          <w:rFonts w:cstheme="majorHAnsi"/>
        </w:rPr>
        <w:t xml:space="preserve">, </w:t>
      </w:r>
      <w:r w:rsidRPr="0055443A">
        <w:rPr>
          <w:rFonts w:cstheme="majorHAnsi"/>
          <w:i/>
        </w:rPr>
        <w:t>t</w:t>
      </w:r>
      <w:r>
        <w:rPr>
          <w:rFonts w:cstheme="majorHAnsi"/>
        </w:rPr>
        <w:t xml:space="preserve"> </w:t>
      </w:r>
      <w:r w:rsidRPr="0055443A">
        <w:rPr>
          <w:rFonts w:cstheme="majorHAnsi"/>
        </w:rPr>
        <w:t>trajector</w:t>
      </w:r>
      <w:r>
        <w:rPr>
          <w:rFonts w:cstheme="majorHAnsi"/>
        </w:rPr>
        <w:t>ies</w:t>
      </w:r>
      <w:r w:rsidRPr="0055443A">
        <w:rPr>
          <w:rFonts w:cstheme="majorHAnsi"/>
        </w:rPr>
        <w:t xml:space="preserve"> for the </w:t>
      </w:r>
      <w:r>
        <w:t xml:space="preserve">investigated </w:t>
      </w:r>
      <w:r w:rsidRPr="0055443A">
        <w:rPr>
          <w:rFonts w:ascii="Symbol" w:hAnsi="Symbol"/>
          <w:i/>
        </w:rPr>
        <w:t></w:t>
      </w:r>
      <w:r>
        <w:rPr>
          <w:rFonts w:cstheme="majorHAnsi"/>
        </w:rPr>
        <w:t xml:space="preserve"> </w:t>
      </w:r>
      <w:r>
        <w:t>are</w:t>
      </w:r>
      <w:r w:rsidRPr="0055443A">
        <w:t xml:space="preserve"> represented by the dotted lines in Figure 4(a), with the square points indicating the experimentally measured </w:t>
      </w:r>
      <w:r w:rsidRPr="0055443A">
        <w:rPr>
          <w:i/>
        </w:rPr>
        <w:t>t</w:t>
      </w:r>
      <w:r w:rsidRPr="0055443A">
        <w:rPr>
          <w:vertAlign w:val="subscript"/>
        </w:rPr>
        <w:t>ind</w:t>
      </w:r>
      <w:r w:rsidRPr="0055443A">
        <w:t xml:space="preserve"> for each </w:t>
      </w:r>
      <w:r w:rsidRPr="0055443A">
        <w:rPr>
          <w:rFonts w:ascii="Symbol" w:hAnsi="Symbol"/>
          <w:i/>
        </w:rPr>
        <w:t></w:t>
      </w:r>
      <w:r w:rsidRPr="0055443A">
        <w:t xml:space="preserve">. </w:t>
      </w:r>
      <w:r>
        <w:t>I</w:t>
      </w:r>
      <w:r w:rsidRPr="0055443A">
        <w:t>sothermal nucleation was previousl</w:t>
      </w:r>
      <w:r>
        <w:t xml:space="preserve">y not observed between 19.1 to 6 </w:t>
      </w:r>
      <w:r w:rsidRPr="0055443A">
        <w:t>°C,</w:t>
      </w:r>
      <w:r w:rsidRPr="0055443A">
        <w:fldChar w:fldCharType="begin" w:fldLock="1"/>
      </w:r>
      <w:r>
        <w:instrText>ADDIN CSL_CITATION { "citationItems" : [ { "id" : "ITEM-1", "itemData" : { "author" : [ { "dropping-particle" : "", "family" : "Miller", "given" : "R. M.", "non-dropping-particle" : "", "parse-names" : false, "suffix" : "" }, { "dropping-particle" : "", "family" : "Poulos", "given" : "A. S.", "non-dropping-particle" : "", "parse-names" : false, "suffix" : "" }, { "dropping-particle" : "", "family" : "Robles", "given" : "E. S. J.", "non-dropping-particle" : "", "parse-names" : false, "suffix" : "" }, { "dropping-particle" : "", "family" : "Brooks", "given" : "N. J.", "non-dropping-particle" : "", "parse-names" : false, "suffix" : "" }, { "dropping-particle" : "", "family" : "Ces", "given" : "O.", "non-dropping-particle" : "", "parse-names" : false, "suffix" : "" }, { "dropping-particle" : "", "family" : "Cabral", "given" : "J. T.", "non-dropping-particle" : "", "parse-names" : false, "suffix" : "" } ], "container-title" : "Cryst. Growth Des.", "id" : "ITEM-1", "issued" : { "date-parts" : [ [ "2016" ] ] }, "page" : "3379-3388", "title" : "Isothermal Crystallization Kinetics of Sodium Dodecyl Sulfate\u2013Water Micellar Solutions", "type" : "article-journal", "volume" : "16" }, "uris" : [ "http://www.mendeley.com/documents/?uuid=c77d6518-e4f2-4f40-95b8-ff5cf089bc17" ] } ], "mendeley" : { "formattedCitation" : "&lt;sup&gt;41&lt;/sup&gt;", "plainTextFormattedCitation" : "41", "previouslyFormattedCitation" : "&lt;sup&gt;41&lt;/sup&gt;" }, "properties" : { "noteIndex" : 0 }, "schema" : "https://github.com/citation-style-language/schema/raw/master/csl-citation.json" }</w:instrText>
      </w:r>
      <w:r w:rsidRPr="0055443A">
        <w:fldChar w:fldCharType="separate"/>
      </w:r>
      <w:r w:rsidRPr="00290E7E">
        <w:rPr>
          <w:noProof/>
          <w:vertAlign w:val="superscript"/>
        </w:rPr>
        <w:t>41</w:t>
      </w:r>
      <w:r w:rsidRPr="0055443A">
        <w:fldChar w:fldCharType="end"/>
      </w:r>
      <w:r w:rsidRPr="0055443A">
        <w:t xml:space="preserve"> </w:t>
      </w:r>
      <w:r w:rsidR="00C65AF0">
        <w:t xml:space="preserve">which was </w:t>
      </w:r>
      <w:r>
        <w:t xml:space="preserve">therefore </w:t>
      </w:r>
      <w:r w:rsidRPr="0055443A">
        <w:t>classified as the metastable region.</w:t>
      </w:r>
      <w:r>
        <w:fldChar w:fldCharType="begin" w:fldLock="1"/>
      </w:r>
      <w:r>
        <w:instrText>ADDIN CSL_CITATION { "citationItems" : [ { "id" : "ITEM-1", "itemData" : { "edition" : "2nd", "editor" : [ { "dropping-particle" : "", "family" : "Garside", "given" : "J.", "non-dropping-particle" : "", "parse-names" : false, "suffix" : "" }, { "dropping-particle" : "", "family" : "Mersmann", "given" : "A.", "non-dropping-particle" : "", "parse-names" : false, "suffix" : "" }, { "dropping-particle" : "", "family" : "Nyvlt", "given" : "J.", "non-dropping-particle" : "", "parse-names" : false, "suffix" : "" } ], "id" : "ITEM-1", "issued" : { "date-parts" : [ [ "2002" ] ] }, "publisher" : "IChemE", "publisher-place" : "Salisbury", "title" : "Measurement of Crystal Growth and Nucleation Rates", "type" : "chapter" }, "uris" : [ "http://www.mendeley.com/documents/?uuid=be6e6f8f-4275-4423-a0f8-3660321df440" ] }, { "id" : "ITEM-2", "itemData" : { "author" : [ { "dropping-particle" : "V.", "family" : "Hook", "given" : "A.", "non-dropping-particle" : "", "parse-names" : false, "suffix" : "" } ], "container-title" : "Crystallization: Theory and Practice", "edition" : "1st", "editor" : [ { "dropping-particle" : "", "family" : "Pamplin", "given" : "B. R.", "non-dropping-particle" : "", "parse-names" : false, "suffix" : "" } ], "id" : "ITEM-2", "issued" : { "date-parts" : [ [ "1961" ] ] }, "page" : "1-153", "publisher" : "Reinhold Publishing Corporation", "publisher-place" : "New York", "title" : "Crystallization: Theory and Practice", "type" : "chapter" }, "uris" : [ "http://www.mendeley.com/documents/?uuid=0ea5a071-5a99-445d-848a-3f55b4130651" ] }, { "id" : "ITEM-3", "itemData" : { "author" : [ { "dropping-particle" : "", "family" : "Mullin", "given" : "J. W.", "non-dropping-particle" : "", "parse-names" : false, "suffix" : "" } ], "chapter-number" : "Ch 1", "container-title" : "Crystallization", "edition" : "4th", "id" : "ITEM-3", "issued" : { "date-parts" : [ [ "2001" ] ] }, "page" : "1-31", "publisher" : "Butterworth Heinmann", "publisher-place" : "Oxford", "title" : "Crystallization", "type" : "chapter" }, "uris" : [ "http://www.mendeley.com/documents/?uuid=794330a8-b2a8-40fa-bbdb-9c2e0a286b66" ] } ], "mendeley" : { "formattedCitation" : "&lt;sup&gt;55\u201357&lt;/sup&gt;", "plainTextFormattedCitation" : "55\u201357", "previouslyFormattedCitation" : "&lt;sup&gt;55\u201357&lt;/sup&gt;" }, "properties" : { "noteIndex" : 0 }, "schema" : "https://github.com/citation-style-language/schema/raw/master/csl-citation.json" }</w:instrText>
      </w:r>
      <w:r>
        <w:fldChar w:fldCharType="separate"/>
      </w:r>
      <w:r w:rsidRPr="00290E7E">
        <w:rPr>
          <w:noProof/>
          <w:vertAlign w:val="superscript"/>
        </w:rPr>
        <w:t>55–57</w:t>
      </w:r>
      <w:r>
        <w:fldChar w:fldCharType="end"/>
      </w:r>
      <w:r w:rsidRPr="0055443A">
        <w:t xml:space="preserve"> </w:t>
      </w:r>
      <w:r>
        <w:rPr>
          <w:rFonts w:cstheme="majorHAnsi"/>
        </w:rPr>
        <w:t>For the purpose of this analysis</w:t>
      </w:r>
      <w:r w:rsidR="00A21F81">
        <w:rPr>
          <w:rFonts w:cstheme="majorHAnsi"/>
        </w:rPr>
        <w:t xml:space="preserve"> only</w:t>
      </w:r>
      <w:r>
        <w:rPr>
          <w:rFonts w:cstheme="majorHAnsi"/>
        </w:rPr>
        <w:t xml:space="preserve">, </w:t>
      </w:r>
      <w:r w:rsidRPr="0055443A">
        <w:rPr>
          <w:i/>
        </w:rPr>
        <w:t>t</w:t>
      </w:r>
      <w:r>
        <w:t xml:space="preserve"> = 0</w:t>
      </w:r>
      <w:r w:rsidR="00C20869">
        <w:t xml:space="preserve"> was </w:t>
      </w:r>
      <w:r w:rsidR="00EB627D">
        <w:t xml:space="preserve">therefore </w:t>
      </w:r>
      <w:r w:rsidR="00C20869">
        <w:t xml:space="preserve">set at </w:t>
      </w:r>
      <w:r w:rsidR="00C20869" w:rsidRPr="0055443A">
        <w:rPr>
          <w:i/>
        </w:rPr>
        <w:t>T</w:t>
      </w:r>
      <w:r w:rsidR="00C20869" w:rsidRPr="0055443A">
        <w:t xml:space="preserve"> = 6 °C (</w:t>
      </w:r>
      <w:r w:rsidR="00C20869" w:rsidRPr="000F1C39">
        <w:t xml:space="preserve">instead of </w:t>
      </w:r>
      <w:r w:rsidR="00C20869">
        <w:t>19.1</w:t>
      </w:r>
      <w:r w:rsidR="00C20869" w:rsidRPr="000F1C39">
        <w:t xml:space="preserve"> °C)</w:t>
      </w:r>
      <w:r>
        <w:t xml:space="preserve">, for the linear </w:t>
      </w:r>
      <w:r w:rsidRPr="00E87998">
        <w:rPr>
          <w:rFonts w:cstheme="majorHAnsi"/>
        </w:rPr>
        <w:t>cooling data</w:t>
      </w:r>
      <w:r w:rsidRPr="000F1C39">
        <w:t>. The gray region (</w:t>
      </w:r>
      <w:r w:rsidRPr="000F1C39">
        <w:rPr>
          <w:i/>
        </w:rPr>
        <w:t>t</w:t>
      </w:r>
      <w:r w:rsidRPr="000F1C39">
        <w:t xml:space="preserve"> </w:t>
      </w:r>
      <w:r w:rsidRPr="000F1C39">
        <w:rPr>
          <w:rFonts w:cstheme="majorHAnsi"/>
        </w:rPr>
        <w:t>≈</w:t>
      </w:r>
      <w:r w:rsidRPr="000F1C39">
        <w:t xml:space="preserve"> </w:t>
      </w:r>
      <w:r w:rsidRPr="000F1C39">
        <w:rPr>
          <w:i/>
        </w:rPr>
        <w:t>t</w:t>
      </w:r>
      <w:r w:rsidRPr="000F1C39">
        <w:rPr>
          <w:vertAlign w:val="subscript"/>
        </w:rPr>
        <w:t>ind</w:t>
      </w:r>
      <w:r w:rsidRPr="000F1C39">
        <w:t xml:space="preserve">) denotes the distribution of </w:t>
      </w:r>
      <w:r w:rsidRPr="000F1C39">
        <w:rPr>
          <w:i/>
        </w:rPr>
        <w:t>t</w:t>
      </w:r>
      <w:r w:rsidRPr="000F1C39">
        <w:rPr>
          <w:vertAlign w:val="subscript"/>
        </w:rPr>
        <w:t>ind</w:t>
      </w:r>
      <w:r w:rsidRPr="000F1C39">
        <w:t xml:space="preserve"> values measured experimentally during the isothermal studies. </w:t>
      </w:r>
      <w:r w:rsidRPr="00096A80">
        <w:t xml:space="preserve">The regions indicated in green </w:t>
      </w:r>
      <w:r w:rsidRPr="000F1C39">
        <w:t>(</w:t>
      </w:r>
      <w:r w:rsidRPr="000F1C39">
        <w:rPr>
          <w:i/>
        </w:rPr>
        <w:t>t</w:t>
      </w:r>
      <w:r w:rsidRPr="000F1C39">
        <w:t xml:space="preserve"> &gt; </w:t>
      </w:r>
      <w:r w:rsidRPr="000F1C39">
        <w:rPr>
          <w:i/>
        </w:rPr>
        <w:t>t</w:t>
      </w:r>
      <w:r w:rsidRPr="000F1C39">
        <w:rPr>
          <w:vertAlign w:val="subscript"/>
        </w:rPr>
        <w:t>ind</w:t>
      </w:r>
      <w:r w:rsidRPr="000F1C39">
        <w:t xml:space="preserve">) </w:t>
      </w:r>
      <w:r w:rsidRPr="00096A80">
        <w:t xml:space="preserve">and red </w:t>
      </w:r>
      <w:r w:rsidRPr="000F1C39">
        <w:t>(</w:t>
      </w:r>
      <w:r w:rsidRPr="000F1C39">
        <w:rPr>
          <w:i/>
        </w:rPr>
        <w:t>t</w:t>
      </w:r>
      <w:r w:rsidRPr="000F1C39">
        <w:t xml:space="preserve"> &lt; </w:t>
      </w:r>
      <w:r w:rsidRPr="000F1C39">
        <w:rPr>
          <w:i/>
        </w:rPr>
        <w:t>t</w:t>
      </w:r>
      <w:r w:rsidRPr="000F1C39">
        <w:rPr>
          <w:vertAlign w:val="subscript"/>
        </w:rPr>
        <w:t>ind</w:t>
      </w:r>
      <w:r w:rsidRPr="000F1C39">
        <w:t xml:space="preserve">) </w:t>
      </w:r>
      <w:r w:rsidRPr="00096A80">
        <w:t xml:space="preserve">correspond to conditions for which isothermal crystallization is expected, and not expected, respectively, </w:t>
      </w:r>
      <w:r w:rsidR="008303DE">
        <w:t>based on</w:t>
      </w:r>
      <w:r w:rsidRPr="00096A80">
        <w:t xml:space="preserve"> the distribution of </w:t>
      </w:r>
      <w:r w:rsidRPr="0041729E">
        <w:rPr>
          <w:i/>
        </w:rPr>
        <w:t>t</w:t>
      </w:r>
      <w:r w:rsidRPr="00C65AF0">
        <w:rPr>
          <w:vertAlign w:val="subscript"/>
        </w:rPr>
        <w:t>ind</w:t>
      </w:r>
      <w:r w:rsidRPr="00096A80">
        <w:t xml:space="preserve">. </w:t>
      </w:r>
      <w:r>
        <w:t>F</w:t>
      </w:r>
      <w:r w:rsidRPr="000F1C39">
        <w:t>or nucleation to be</w:t>
      </w:r>
      <w:r>
        <w:t xml:space="preserve"> detected, a solution has to be at &lt;</w:t>
      </w:r>
      <w:r w:rsidRPr="0084413C">
        <w:t>6 °C</w:t>
      </w:r>
      <w:r>
        <w:t xml:space="preserve"> for at least the red period in </w:t>
      </w:r>
      <w:r>
        <w:rPr>
          <w:i/>
        </w:rPr>
        <w:t>t</w:t>
      </w:r>
      <w:r>
        <w:t xml:space="preserve"> for a given </w:t>
      </w:r>
      <w:r>
        <w:rPr>
          <w:i/>
        </w:rPr>
        <w:t>T</w:t>
      </w:r>
      <w:r>
        <w:t>.</w:t>
      </w:r>
    </w:p>
    <w:p w14:paraId="770F3E83" w14:textId="3E35706F" w:rsidR="008F60F9" w:rsidRDefault="00212671" w:rsidP="008F60F9">
      <w:pPr>
        <w:pStyle w:val="TAMainText"/>
      </w:pPr>
      <w:r w:rsidRPr="00F96B3F">
        <w:t xml:space="preserve">For the slowest </w:t>
      </w:r>
      <w:r w:rsidR="00644DF5" w:rsidRPr="00F96B3F">
        <w:rPr>
          <w:rFonts w:ascii="Symbol" w:hAnsi="Symbol"/>
          <w:i/>
        </w:rPr>
        <w:t></w:t>
      </w:r>
      <w:r w:rsidRPr="00F96B3F">
        <w:t xml:space="preserve"> </w:t>
      </w:r>
      <w:r w:rsidR="00F61882">
        <w:t>=</w:t>
      </w:r>
      <w:r w:rsidRPr="00F96B3F">
        <w:t xml:space="preserve"> 0.1 °C min</w:t>
      </w:r>
      <w:r w:rsidRPr="00F96B3F">
        <w:rPr>
          <w:vertAlign w:val="superscript"/>
        </w:rPr>
        <w:t>-1</w:t>
      </w:r>
      <w:r w:rsidR="0057359E">
        <w:t xml:space="preserve">, </w:t>
      </w:r>
      <w:r w:rsidRPr="00137655">
        <w:rPr>
          <w:i/>
        </w:rPr>
        <w:t>t</w:t>
      </w:r>
      <w:r w:rsidRPr="00F96B3F">
        <w:rPr>
          <w:vertAlign w:val="subscript"/>
        </w:rPr>
        <w:t>ind</w:t>
      </w:r>
      <w:r w:rsidRPr="00F96B3F">
        <w:t xml:space="preserve"> falls within the gray region, as the rate of cooling (600 s per 1 °C) becomes commensurate with </w:t>
      </w:r>
      <w:r w:rsidRPr="00F96B3F">
        <w:rPr>
          <w:i/>
        </w:rPr>
        <w:t>t</w:t>
      </w:r>
      <w:r w:rsidRPr="00F96B3F">
        <w:rPr>
          <w:vertAlign w:val="subscript"/>
        </w:rPr>
        <w:t>ind</w:t>
      </w:r>
      <w:r w:rsidR="00644DF5" w:rsidRPr="00F96B3F">
        <w:t xml:space="preserve"> </w:t>
      </w:r>
      <w:r w:rsidRPr="00F96B3F">
        <w:rPr>
          <w:rFonts w:cstheme="majorHAnsi"/>
        </w:rPr>
        <w:t>≈</w:t>
      </w:r>
      <w:r w:rsidR="00644DF5" w:rsidRPr="00F96B3F">
        <w:rPr>
          <w:rFonts w:cstheme="majorHAnsi"/>
        </w:rPr>
        <w:t xml:space="preserve"> </w:t>
      </w:r>
      <w:r w:rsidR="00096A80">
        <w:t xml:space="preserve">600 s, effectively behaving </w:t>
      </w:r>
      <w:r w:rsidR="00FB2F11">
        <w:t xml:space="preserve">as </w:t>
      </w:r>
      <w:r w:rsidR="00096A80">
        <w:t xml:space="preserve">an </w:t>
      </w:r>
      <w:r w:rsidR="00A676F7" w:rsidRPr="00F96B3F">
        <w:t xml:space="preserve">isothermal </w:t>
      </w:r>
      <w:r w:rsidR="00096A80">
        <w:t>quench</w:t>
      </w:r>
      <w:r w:rsidR="00A676F7" w:rsidRPr="00F96B3F">
        <w:t xml:space="preserve"> at high </w:t>
      </w:r>
      <w:r w:rsidR="00A676F7" w:rsidRPr="00F96B3F">
        <w:rPr>
          <w:i/>
        </w:rPr>
        <w:t>T</w:t>
      </w:r>
      <w:r w:rsidR="00C27D43">
        <w:t xml:space="preserve"> past the metastable</w:t>
      </w:r>
      <w:r w:rsidR="00B371A5" w:rsidRPr="00F96B3F">
        <w:t xml:space="preserve"> boundary.</w:t>
      </w:r>
      <w:r w:rsidR="00CA6514" w:rsidRPr="00F96B3F">
        <w:t xml:space="preserve"> At intermediate </w:t>
      </w:r>
      <w:r w:rsidR="00CA6514" w:rsidRPr="00F96B3F">
        <w:rPr>
          <w:rFonts w:ascii="Symbol" w:hAnsi="Symbol"/>
          <w:i/>
        </w:rPr>
        <w:t></w:t>
      </w:r>
      <w:r w:rsidR="00CA6514" w:rsidRPr="00F96B3F">
        <w:t xml:space="preserve"> </w:t>
      </w:r>
      <w:r w:rsidR="00006B3E">
        <w:t>=</w:t>
      </w:r>
      <w:r w:rsidR="00CA6514" w:rsidRPr="00F96B3F">
        <w:t xml:space="preserve"> 0.5 and 1.0 °C min</w:t>
      </w:r>
      <w:r w:rsidR="00CA6514" w:rsidRPr="00F96B3F">
        <w:rPr>
          <w:vertAlign w:val="superscript"/>
        </w:rPr>
        <w:t>-1</w:t>
      </w:r>
      <w:r w:rsidR="00890B13">
        <w:t>,</w:t>
      </w:r>
      <w:r w:rsidR="00CA6514" w:rsidRPr="00F96B3F">
        <w:t xml:space="preserve"> significant deviations </w:t>
      </w:r>
      <w:r w:rsidR="00EF7655" w:rsidRPr="00F96B3F">
        <w:t>between the isothermal and linear</w:t>
      </w:r>
      <w:r w:rsidR="00CA6514" w:rsidRPr="00F96B3F">
        <w:t xml:space="preserve"> </w:t>
      </w:r>
      <w:r w:rsidR="00CA6514" w:rsidRPr="00F96B3F">
        <w:rPr>
          <w:i/>
        </w:rPr>
        <w:t>t</w:t>
      </w:r>
      <w:r w:rsidR="00CA6514" w:rsidRPr="00F96B3F">
        <w:rPr>
          <w:vertAlign w:val="subscript"/>
        </w:rPr>
        <w:t>ind</w:t>
      </w:r>
      <w:r w:rsidR="00CA6514" w:rsidRPr="00F96B3F">
        <w:t xml:space="preserve"> are observed</w:t>
      </w:r>
      <w:r w:rsidR="00096A80">
        <w:t>, with computed</w:t>
      </w:r>
      <w:r w:rsidR="00955B15">
        <w:t xml:space="preserve"> difference</w:t>
      </w:r>
      <w:r w:rsidR="00096A80">
        <w:t>s</w:t>
      </w:r>
      <w:r w:rsidR="00345988">
        <w:t xml:space="preserve"> </w:t>
      </w:r>
      <w:r w:rsidR="006E65CC">
        <w:t xml:space="preserve">provided in the </w:t>
      </w:r>
      <w:r w:rsidR="00CA6514">
        <w:t xml:space="preserve">Supporting Information </w:t>
      </w:r>
      <w:r w:rsidR="006E65CC">
        <w:t>(</w:t>
      </w:r>
      <w:r w:rsidR="00CA6514">
        <w:t>Figure S3).</w:t>
      </w:r>
      <w:r w:rsidR="00CC6139">
        <w:t xml:space="preserve"> </w:t>
      </w:r>
      <w:r w:rsidR="008F60F9" w:rsidRPr="008F60F9">
        <w:t xml:space="preserve">This temperature offset (or equivalent time ‘delay’) in observing crystallization cannot be simply explained by the fact that temperature is continually changing throughout the metastable region during cooling, as </w:t>
      </w:r>
      <w:r w:rsidR="008F60F9" w:rsidRPr="00C65AF0">
        <w:t>d</w:t>
      </w:r>
      <w:r w:rsidR="008F60F9" w:rsidRPr="008F60F9">
        <w:rPr>
          <w:i/>
        </w:rPr>
        <w:t>T/</w:t>
      </w:r>
      <w:r w:rsidR="008F60F9" w:rsidRPr="00C65AF0">
        <w:t>d</w:t>
      </w:r>
      <w:r w:rsidR="008F60F9" w:rsidRPr="008F60F9">
        <w:rPr>
          <w:i/>
        </w:rPr>
        <w:t>t x t</w:t>
      </w:r>
      <w:r w:rsidR="008F60F9" w:rsidRPr="00C65AF0">
        <w:rPr>
          <w:vertAlign w:val="subscript"/>
        </w:rPr>
        <w:t>ind</w:t>
      </w:r>
      <w:r w:rsidR="008F60F9" w:rsidRPr="008F60F9">
        <w:t xml:space="preserve">  does not provide a reasonable estimate for the offset </w:t>
      </w:r>
      <w:r w:rsidR="008F60F9" w:rsidRPr="00C65AF0">
        <w:rPr>
          <w:rFonts w:ascii="Symbol" w:hAnsi="Symbol"/>
        </w:rPr>
        <w:t></w:t>
      </w:r>
      <w:r w:rsidR="008F60F9" w:rsidRPr="00137655">
        <w:rPr>
          <w:i/>
        </w:rPr>
        <w:t>T</w:t>
      </w:r>
      <w:r w:rsidR="008F60F9" w:rsidRPr="008F60F9">
        <w:t xml:space="preserve">, in particular for the </w:t>
      </w:r>
      <w:r w:rsidR="004A76B6">
        <w:t>intermediate</w:t>
      </w:r>
      <w:r w:rsidR="004A76B6" w:rsidRPr="008F60F9">
        <w:t xml:space="preserve"> </w:t>
      </w:r>
      <w:r w:rsidR="008F60F9" w:rsidRPr="008F60F9">
        <w:rPr>
          <w:rFonts w:ascii="Symbol" w:hAnsi="Symbol"/>
          <w:i/>
        </w:rPr>
        <w:t></w:t>
      </w:r>
      <w:r w:rsidR="008F60F9" w:rsidRPr="008F60F9">
        <w:t xml:space="preserve">. </w:t>
      </w:r>
      <w:r w:rsidR="00A7690B">
        <w:t>Such differences result from a complex interplay between the cooling time and the continuously varying (</w:t>
      </w:r>
      <w:r w:rsidR="00A7690B" w:rsidRPr="00EE64E0">
        <w:t>isothermal</w:t>
      </w:r>
      <w:r w:rsidR="00A7690B">
        <w:t>)</w:t>
      </w:r>
      <w:r w:rsidR="00A7690B" w:rsidRPr="00EE64E0">
        <w:t xml:space="preserve"> </w:t>
      </w:r>
      <w:r w:rsidR="00A7690B" w:rsidRPr="00EE64E0">
        <w:rPr>
          <w:i/>
        </w:rPr>
        <w:t>t</w:t>
      </w:r>
      <w:r w:rsidR="00A7690B" w:rsidRPr="00890B13">
        <w:rPr>
          <w:vertAlign w:val="subscript"/>
        </w:rPr>
        <w:t>ind</w:t>
      </w:r>
      <w:r w:rsidR="00A7690B" w:rsidRPr="00EE64E0">
        <w:t xml:space="preserve"> requirements for crystallization</w:t>
      </w:r>
      <w:r w:rsidR="00A7690B" w:rsidRPr="00A7690B">
        <w:t xml:space="preserve"> </w:t>
      </w:r>
      <w:r w:rsidR="00A7690B" w:rsidRPr="00B93A50">
        <w:t>which</w:t>
      </w:r>
      <w:r w:rsidR="00A7690B">
        <w:t>,</w:t>
      </w:r>
      <w:r w:rsidR="00A7690B" w:rsidRPr="00B93A50">
        <w:t xml:space="preserve"> combined</w:t>
      </w:r>
      <w:r w:rsidR="00A7690B">
        <w:t>,</w:t>
      </w:r>
      <w:r w:rsidR="00A7690B" w:rsidRPr="00B93A50">
        <w:t xml:space="preserve"> yield a longer non-isothermal </w:t>
      </w:r>
      <w:r w:rsidR="00A7690B" w:rsidRPr="00B93A50">
        <w:rPr>
          <w:i/>
        </w:rPr>
        <w:t>t</w:t>
      </w:r>
      <w:r w:rsidR="00A7690B" w:rsidRPr="00890B13">
        <w:rPr>
          <w:vertAlign w:val="subscript"/>
        </w:rPr>
        <w:t>ind</w:t>
      </w:r>
      <w:r w:rsidR="00A7690B" w:rsidRPr="00B93A50">
        <w:t xml:space="preserve"> than expected at a given </w:t>
      </w:r>
      <w:r w:rsidR="00A7690B" w:rsidRPr="00B93A50">
        <w:rPr>
          <w:i/>
        </w:rPr>
        <w:t>T</w:t>
      </w:r>
      <w:r w:rsidR="00A7690B">
        <w:t xml:space="preserve">. </w:t>
      </w:r>
      <w:r w:rsidR="008F60F9" w:rsidRPr="00B93A50">
        <w:t xml:space="preserve">For the </w:t>
      </w:r>
      <w:r w:rsidR="008F60F9" w:rsidRPr="00B93A50">
        <w:rPr>
          <w:i/>
        </w:rPr>
        <w:t>faster</w:t>
      </w:r>
      <w:r w:rsidR="008F60F9" w:rsidRPr="00B93A50">
        <w:t xml:space="preserve"> </w:t>
      </w:r>
      <w:r w:rsidR="008F60F9" w:rsidRPr="00C13758">
        <w:rPr>
          <w:rFonts w:ascii="Symbol" w:hAnsi="Symbol"/>
          <w:i/>
        </w:rPr>
        <w:t></w:t>
      </w:r>
      <w:r w:rsidR="008F60F9" w:rsidRPr="00B93A50">
        <w:t xml:space="preserve">, a convergence </w:t>
      </w:r>
      <w:r w:rsidR="008E09DB">
        <w:t xml:space="preserve">towards the </w:t>
      </w:r>
      <w:r w:rsidR="008E09DB" w:rsidRPr="00B93A50">
        <w:t xml:space="preserve">isothermal data </w:t>
      </w:r>
      <w:r w:rsidR="008E09DB">
        <w:t>is observed,</w:t>
      </w:r>
      <w:r w:rsidR="008F60F9">
        <w:t xml:space="preserve"> as</w:t>
      </w:r>
      <w:r w:rsidR="008F60F9" w:rsidRPr="00B93A50">
        <w:t xml:space="preserve"> the</w:t>
      </w:r>
      <w:r w:rsidR="008E09DB">
        <w:t xml:space="preserve"> </w:t>
      </w:r>
      <w:r w:rsidR="00137655">
        <w:t xml:space="preserve">cooling </w:t>
      </w:r>
      <w:r w:rsidR="008E09DB">
        <w:t xml:space="preserve">time to </w:t>
      </w:r>
      <w:r w:rsidR="008F60F9" w:rsidRPr="00B93A50">
        <w:t>-5 °C</w:t>
      </w:r>
      <w:r w:rsidR="008E09DB">
        <w:t xml:space="preserve"> decreases</w:t>
      </w:r>
      <w:r w:rsidR="008F60F9">
        <w:t>, approach</w:t>
      </w:r>
      <w:r w:rsidR="008E09DB">
        <w:t xml:space="preserve">ing </w:t>
      </w:r>
      <w:r w:rsidR="008F60F9">
        <w:t>isothermal conditions.</w:t>
      </w:r>
    </w:p>
    <w:p w14:paraId="05C462DD" w14:textId="5266D3BA" w:rsidR="00B223DE" w:rsidRDefault="00D22922" w:rsidP="00633F9C">
      <w:pPr>
        <w:pStyle w:val="TAMainText"/>
      </w:pPr>
      <w:r w:rsidRPr="00B93A50">
        <w:lastRenderedPageBreak/>
        <w:t>The metastable zone width (MSZW</w:t>
      </w:r>
      <w:r w:rsidR="0027293A">
        <w:t xml:space="preserve"> or </w:t>
      </w:r>
      <w:r w:rsidR="0027293A" w:rsidRPr="00B93A50">
        <w:t>Δ</w:t>
      </w:r>
      <w:r w:rsidR="0027293A" w:rsidRPr="00B93A50">
        <w:rPr>
          <w:i/>
        </w:rPr>
        <w:t>T</w:t>
      </w:r>
      <w:r w:rsidR="0027293A" w:rsidRPr="00B93A50">
        <w:rPr>
          <w:vertAlign w:val="subscript"/>
        </w:rPr>
        <w:t>max</w:t>
      </w:r>
      <w:r w:rsidRPr="00B93A50">
        <w:t>) corresponds to the window between the saturation temperature (</w:t>
      </w:r>
      <w:r w:rsidRPr="00B93A50">
        <w:rPr>
          <w:i/>
        </w:rPr>
        <w:t>T</w:t>
      </w:r>
      <w:r w:rsidRPr="00C13758">
        <w:rPr>
          <w:vertAlign w:val="subscript"/>
        </w:rPr>
        <w:t>0</w:t>
      </w:r>
      <w:r w:rsidRPr="00B93A50">
        <w:t>) and the temperature at which crystallization is detected (</w:t>
      </w:r>
      <w:r w:rsidRPr="00B93A50">
        <w:rPr>
          <w:i/>
        </w:rPr>
        <w:t>T</w:t>
      </w:r>
      <w:r w:rsidRPr="00704E85">
        <w:rPr>
          <w:vertAlign w:val="subscript"/>
        </w:rPr>
        <w:t>ind</w:t>
      </w:r>
      <w:r w:rsidRPr="00B93A50">
        <w:t>)</w:t>
      </w:r>
      <w:r w:rsidR="006B7E5C">
        <w:t xml:space="preserve"> for</w:t>
      </w:r>
      <w:r w:rsidR="008E09DB" w:rsidRPr="008E09DB">
        <w:t xml:space="preserve"> a given cooling rate.</w:t>
      </w:r>
      <w:r w:rsidRPr="00B93A50">
        <w:t xml:space="preserve"> The polythermal method was </w:t>
      </w:r>
      <w:r w:rsidR="009F7C36" w:rsidRPr="00B93A50">
        <w:t>employed</w:t>
      </w:r>
      <w:r w:rsidRPr="00B93A50">
        <w:t xml:space="preserve"> to calculate the MSZW according to Δ</w:t>
      </w:r>
      <w:r w:rsidRPr="00B93A50">
        <w:rPr>
          <w:i/>
        </w:rPr>
        <w:t>T</w:t>
      </w:r>
      <w:r w:rsidRPr="00B93A50">
        <w:rPr>
          <w:vertAlign w:val="subscript"/>
        </w:rPr>
        <w:t>max</w:t>
      </w:r>
      <w:r w:rsidRPr="00B93A50">
        <w:t xml:space="preserve"> = </w:t>
      </w:r>
      <w:r w:rsidRPr="00B93A50">
        <w:rPr>
          <w:i/>
        </w:rPr>
        <w:t>T</w:t>
      </w:r>
      <w:r w:rsidRPr="00B93A50">
        <w:rPr>
          <w:vertAlign w:val="subscript"/>
        </w:rPr>
        <w:t>0</w:t>
      </w:r>
      <w:r w:rsidRPr="00B93A50">
        <w:t xml:space="preserve"> – </w:t>
      </w:r>
      <w:r w:rsidRPr="00B93A50">
        <w:rPr>
          <w:i/>
        </w:rPr>
        <w:t>T</w:t>
      </w:r>
      <w:r w:rsidRPr="00B93A50">
        <w:rPr>
          <w:vertAlign w:val="subscript"/>
        </w:rPr>
        <w:t>ind</w:t>
      </w:r>
      <w:r w:rsidR="00306300">
        <w:fldChar w:fldCharType="begin" w:fldLock="1"/>
      </w:r>
      <w:r w:rsidR="00600480">
        <w:instrText>ADDIN CSL_CITATION { "citationItems" : [ { "id" : "ITEM-1", "itemData" : { "author" : [ { "dropping-particle" : "", "family" : "Lyczko", "given" : "N.", "non-dropping-particle" : "", "parse-names" : false, "suffix" : "" }, { "dropping-particle" : "", "family" : "Espitalier", "given" : "F.", "non-dropping-particle" : "", "parse-names" : false, "suffix" : "" }, { "dropping-particle" : "", "family" : "Louisnard", "given" : "O.", "non-dropping-particle" : "", "parse-names" : false, "suffix" : "" }, { "dropping-particle" : "", "family" : "Schwartzentruber", "given" : "J.", "non-dropping-particle" : "", "parse-names" : false, "suffix" : "" } ], "container-title" : "Chem. Eng. J.", "id" : "ITEM-1", "issued" : { "date-parts" : [ [ "2002" ] ] }, "page" : "233-241", "title" : "Effect of ultrasound on the induction time and the metastable zone widths of potassium sulphate", "type" : "article-journal", "volume" : "86" }, "uris" : [ "http://www.mendeley.com/documents/?uuid=d2eb50f0-52d5-495a-ae82-c42d91249036" ] }, { "id" : "ITEM-2", "itemData" : { "author" : [ { "dropping-particle" : "", "family" : "Sangwal", "given" : "K.", "non-dropping-particle" : "", "parse-names" : false, "suffix" : "" } ], "container-title" : "Cryst. Growth Des.", "id" : "ITEM-2", "issued" : { "date-parts" : [ [ "2009" ] ] }, "page" : "942-950", "title" : "Novel Approach to Analyze Metastable Zone Width Determined by the Polythermal Method : Physical Interpretation of Various Parameters", "type" : "article-journal", "volume" : "9" }, "uris" : [ "http://www.mendeley.com/documents/?uuid=2e64934c-5c4c-4ca4-b76c-a64e42d97e9b" ] }, { "id" : "ITEM-3", "itemData" : { "author" : [ { "dropping-particle" : "", "family" : "Mullin", "given" : "J. W.", "non-dropping-particle" : "", "parse-names" : false, "suffix" : "" } ], "chapter-number" : "Ch 1", "container-title" : "Crystallization", "edition" : "4th", "id" : "ITEM-3", "issued" : { "date-parts" : [ [ "2001" ] ] }, "page" : "1-31", "publisher" : "Butterworth Heinmann", "publisher-place" : "Oxford", "title" : "Crystallization", "type" : "chapter" }, "uris" : [ "http://www.mendeley.com/documents/?uuid=794330a8-b2a8-40fa-bbdb-9c2e0a286b66" ] } ], "mendeley" : { "formattedCitation" : "&lt;sup&gt;22,23,57&lt;/sup&gt;", "plainTextFormattedCitation" : "22,23,57", "previouslyFormattedCitation" : "&lt;sup&gt;22,23,57&lt;/sup&gt;" }, "properties" : { "noteIndex" : 0 }, "schema" : "https://github.com/citation-style-language/schema/raw/master/csl-citation.json" }</w:instrText>
      </w:r>
      <w:r w:rsidR="00306300">
        <w:fldChar w:fldCharType="separate"/>
      </w:r>
      <w:r w:rsidR="00290E7E" w:rsidRPr="00290E7E">
        <w:rPr>
          <w:noProof/>
          <w:vertAlign w:val="superscript"/>
        </w:rPr>
        <w:t>22,23,57</w:t>
      </w:r>
      <w:r w:rsidR="00306300">
        <w:fldChar w:fldCharType="end"/>
      </w:r>
      <w:r w:rsidR="009F7C36" w:rsidRPr="00B93A50">
        <w:t xml:space="preserve"> </w:t>
      </w:r>
      <w:r w:rsidR="008E09DB" w:rsidRPr="008E09DB">
        <w:t xml:space="preserve">for each </w:t>
      </w:r>
      <w:r w:rsidR="008E09DB" w:rsidRPr="008E09DB">
        <w:rPr>
          <w:rFonts w:ascii="Symbol" w:hAnsi="Symbol"/>
          <w:i/>
        </w:rPr>
        <w:t></w:t>
      </w:r>
      <w:r w:rsidR="008E09DB" w:rsidRPr="008E09DB">
        <w:rPr>
          <w:rFonts w:ascii="Symbol" w:hAnsi="Symbol"/>
          <w:i/>
        </w:rPr>
        <w:t></w:t>
      </w:r>
      <w:r w:rsidR="008E09DB" w:rsidRPr="008E09DB">
        <w:t xml:space="preserve"> </w:t>
      </w:r>
      <w:r w:rsidR="00B223DE">
        <w:t>For this system</w:t>
      </w:r>
      <w:r w:rsidR="006938C9">
        <w:t>,</w:t>
      </w:r>
      <w:r w:rsidR="00B223DE">
        <w:t xml:space="preserve"> </w:t>
      </w:r>
      <w:r w:rsidR="00B223DE" w:rsidRPr="00B93A50">
        <w:rPr>
          <w:i/>
        </w:rPr>
        <w:t>T</w:t>
      </w:r>
      <w:r w:rsidR="00B223DE" w:rsidRPr="00B93A50">
        <w:rPr>
          <w:vertAlign w:val="subscript"/>
        </w:rPr>
        <w:t>0</w:t>
      </w:r>
      <w:r w:rsidR="00B223DE">
        <w:t xml:space="preserve"> = 19</w:t>
      </w:r>
      <w:r w:rsidR="007C1E6D">
        <w:t>.1</w:t>
      </w:r>
      <w:r w:rsidR="00B36694">
        <w:t xml:space="preserve"> </w:t>
      </w:r>
      <w:r w:rsidR="00B36694" w:rsidRPr="0022327C">
        <w:t>±</w:t>
      </w:r>
      <w:r w:rsidR="00B36694">
        <w:t xml:space="preserve"> 0.1</w:t>
      </w:r>
      <w:r w:rsidR="00B223DE">
        <w:t xml:space="preserve"> </w:t>
      </w:r>
      <w:r w:rsidR="00B223DE" w:rsidRPr="00B93A50">
        <w:t>°C</w:t>
      </w:r>
      <w:r w:rsidR="00B36694">
        <w:t>, based on several</w:t>
      </w:r>
      <w:r w:rsidR="00B223DE">
        <w:t xml:space="preserve"> DSC measurements </w:t>
      </w:r>
      <w:r w:rsidR="00B36694">
        <w:t>for</w:t>
      </w:r>
      <w:r w:rsidR="00CD2278">
        <w:t xml:space="preserve"> three different sample preparations, </w:t>
      </w:r>
      <w:r w:rsidR="00B223DE">
        <w:t xml:space="preserve">at the slowest </w:t>
      </w:r>
      <w:r w:rsidR="00B223DE" w:rsidRPr="00DE4EE2">
        <w:rPr>
          <w:rFonts w:ascii="Symbol" w:hAnsi="Symbol"/>
          <w:i/>
        </w:rPr>
        <w:t></w:t>
      </w:r>
      <w:r w:rsidR="00B223DE">
        <w:rPr>
          <w:rFonts w:cstheme="majorHAnsi"/>
        </w:rPr>
        <w:t xml:space="preserve"> = </w:t>
      </w:r>
      <w:r w:rsidR="00B223DE">
        <w:t xml:space="preserve">0.1 </w:t>
      </w:r>
      <w:r w:rsidR="00B223DE">
        <w:rPr>
          <w:rFonts w:ascii="Calibri" w:hAnsi="Calibri"/>
        </w:rPr>
        <w:t>°</w:t>
      </w:r>
      <w:r w:rsidR="00B223DE">
        <w:t>C min</w:t>
      </w:r>
      <w:r w:rsidR="00B223DE" w:rsidRPr="006012F0">
        <w:rPr>
          <w:vertAlign w:val="superscript"/>
        </w:rPr>
        <w:t>-1</w:t>
      </w:r>
      <w:r w:rsidR="00C65AF0">
        <w:t xml:space="preserve"> upon heating,</w:t>
      </w:r>
      <w:r w:rsidR="00B223DE">
        <w:t xml:space="preserve"> as shown in Supporting Information</w:t>
      </w:r>
      <w:r w:rsidR="006723A7">
        <w:t xml:space="preserve"> </w:t>
      </w:r>
      <w:r w:rsidR="006723A7" w:rsidRPr="00D84478">
        <w:t>(Figure S</w:t>
      </w:r>
      <w:r w:rsidR="00C014C9">
        <w:t>4)</w:t>
      </w:r>
      <w:r w:rsidR="00C65AF0">
        <w:t xml:space="preserve">, </w:t>
      </w:r>
      <w:r w:rsidR="008E09DB">
        <w:t xml:space="preserve"> and </w:t>
      </w:r>
      <w:r w:rsidR="00C014C9">
        <w:t xml:space="preserve">in </w:t>
      </w:r>
      <w:r w:rsidR="00835922">
        <w:t xml:space="preserve">(apparent) </w:t>
      </w:r>
      <w:r w:rsidR="00C014C9">
        <w:t>agreement with previously reported values.</w:t>
      </w:r>
      <w:r w:rsidR="00C014C9">
        <w:fldChar w:fldCharType="begin" w:fldLock="1"/>
      </w:r>
      <w:r w:rsidR="00600480">
        <w:instrText>ADDIN CSL_CITATION { "citationItems" : [ { "id" : "ITEM-1", "itemData" : { "author" : [ { "dropping-particle" : "", "family" : "K\u00e9kicheff", "given" : "P.", "non-dropping-particle" : "", "parse-names" : false, "suffix" : "" }, { "dropping-particle" : "", "family" : "Grabielle-Madelmont", "given" : "C.", "non-dropping-particle" : "", "parse-names" : false, "suffix" : "" }, { "dropping-particle" : "", "family" : "Ollivon", "given" : "M.", "non-dropping-particle" : "", "parse-names" : false, "suffix" : "" } ], "container-title" : "J. Colloid Interface Sci.", "id" : "ITEM-1", "issued" : { "date-parts" : [ [ "1989" ] ] }, "page" : "112-132", "title" : "Phase Diagram of Sodium Dodecyl Sulfate-Water System : I", "type" : "article-journal", "volume" : "131" }, "uris" : [ "http://www.mendeley.com/documents/?uuid=4ac19c05-69e5-4e91-974e-090bf1d463a4" ] }, { "id" : "ITEM-2", "itemData" : { "author" : [ { "dropping-particle" : "", "family" : "Smith", "given" : "L. A.",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"ITEM-2", "issued" : { "date-parts" : [ [ "2001" ] ] }, "page" : "158-167", "title" : "An examination of the solution phase and nucleation properties of sodium , potassium and rubidium dodecyl sulphates", "type" : "article-journal", "volume" : "226" }, "uris" : [ "http://www.mendeley.com/documents/?uuid=74281b3b-be73-4462-955c-c6329e5dc666" ] } ], "mendeley" : { "formattedCitation" : "&lt;sup&gt;28,43&lt;/sup&gt;", "plainTextFormattedCitation" : "28,43", "previouslyFormattedCitation" : "&lt;sup&gt;28,43&lt;/sup&gt;" }, "properties" : { "noteIndex" : 0 }, "schema" : "https://github.com/citation-style-language/schema/raw/master/csl-citation.json" }</w:instrText>
      </w:r>
      <w:r w:rsidR="00C014C9">
        <w:fldChar w:fldCharType="separate"/>
      </w:r>
      <w:r w:rsidR="00290E7E" w:rsidRPr="00290E7E">
        <w:rPr>
          <w:noProof/>
          <w:vertAlign w:val="superscript"/>
        </w:rPr>
        <w:t>28,43</w:t>
      </w:r>
      <w:r w:rsidR="00C014C9">
        <w:fldChar w:fldCharType="end"/>
      </w:r>
    </w:p>
    <w:p w14:paraId="43E6C4AF" w14:textId="190CD2FD" w:rsidR="003242E9" w:rsidRPr="00573559" w:rsidRDefault="009F7C36" w:rsidP="006938C9">
      <w:pPr>
        <w:pStyle w:val="TAMainText"/>
      </w:pPr>
      <w:r w:rsidRPr="00B93A50">
        <w:t xml:space="preserve">The dependence of the MSZW with </w:t>
      </w:r>
      <w:r w:rsidRPr="00B93A50">
        <w:rPr>
          <w:rFonts w:ascii="Symbol" w:hAnsi="Symbol"/>
          <w:i/>
        </w:rPr>
        <w:t></w:t>
      </w:r>
      <w:r w:rsidRPr="00B93A50">
        <w:t xml:space="preserve"> is given in Figure 4(b)</w:t>
      </w:r>
      <w:r w:rsidR="006533F7">
        <w:t xml:space="preserve">, </w:t>
      </w:r>
      <w:r w:rsidR="006938C9">
        <w:t>yielding</w:t>
      </w:r>
      <w:r w:rsidR="006533F7">
        <w:t xml:space="preserve"> values between </w:t>
      </w:r>
      <w:r w:rsidR="006533F7" w:rsidRPr="00573559">
        <w:t>≈</w:t>
      </w:r>
      <w:r w:rsidR="006533F7">
        <w:t xml:space="preserve"> </w:t>
      </w:r>
      <w:r w:rsidR="006533F7" w:rsidRPr="00336BA9">
        <w:t>1</w:t>
      </w:r>
      <w:r w:rsidR="00A4609A">
        <w:t>3</w:t>
      </w:r>
      <w:r w:rsidR="006533F7" w:rsidRPr="00336BA9">
        <w:t>.</w:t>
      </w:r>
      <w:r w:rsidR="00847A26">
        <w:t>9</w:t>
      </w:r>
      <w:r w:rsidR="006533F7" w:rsidRPr="00336BA9">
        <w:t xml:space="preserve"> to 2</w:t>
      </w:r>
      <w:r w:rsidR="00A4609A">
        <w:t>1</w:t>
      </w:r>
      <w:r w:rsidR="006533F7" w:rsidRPr="00336BA9">
        <w:t>.</w:t>
      </w:r>
      <w:r w:rsidR="00847A26">
        <w:t>2</w:t>
      </w:r>
      <w:r w:rsidR="006533F7">
        <w:t xml:space="preserve"> </w:t>
      </w:r>
      <w:r w:rsidR="006533F7">
        <w:rPr>
          <w:rFonts w:ascii="Calibri" w:hAnsi="Calibri"/>
        </w:rPr>
        <w:t>°</w:t>
      </w:r>
      <w:r w:rsidR="006533F7">
        <w:t>C</w:t>
      </w:r>
      <w:r w:rsidR="006938C9">
        <w:t>,</w:t>
      </w:r>
      <w:r w:rsidR="006533F7">
        <w:t xml:space="preserve"> for </w:t>
      </w:r>
      <w:r w:rsidR="006533F7" w:rsidRPr="00DE4EE2">
        <w:rPr>
          <w:rFonts w:ascii="Symbol" w:hAnsi="Symbol"/>
          <w:i/>
        </w:rPr>
        <w:t></w:t>
      </w:r>
      <w:r w:rsidR="006533F7">
        <w:rPr>
          <w:rFonts w:cstheme="majorHAnsi"/>
        </w:rPr>
        <w:t xml:space="preserve"> = </w:t>
      </w:r>
      <w:r w:rsidR="006533F7">
        <w:t xml:space="preserve">0.1 to 10 </w:t>
      </w:r>
      <w:r w:rsidR="006533F7">
        <w:rPr>
          <w:rFonts w:ascii="Calibri" w:hAnsi="Calibri"/>
        </w:rPr>
        <w:t>°</w:t>
      </w:r>
      <w:r w:rsidR="006533F7">
        <w:t>C min</w:t>
      </w:r>
      <w:r w:rsidR="006533F7" w:rsidRPr="006012F0">
        <w:rPr>
          <w:vertAlign w:val="superscript"/>
        </w:rPr>
        <w:t>-1</w:t>
      </w:r>
      <w:r w:rsidR="006344F2">
        <w:t xml:space="preserve">, with the labile region </w:t>
      </w:r>
      <w:r w:rsidR="00B3161B">
        <w:t>at</w:t>
      </w:r>
      <w:r w:rsidR="006344F2">
        <w:t xml:space="preserve"> &lt;6 </w:t>
      </w:r>
      <w:r w:rsidR="006344F2">
        <w:rPr>
          <w:rFonts w:ascii="Calibri" w:hAnsi="Calibri"/>
        </w:rPr>
        <w:t>°</w:t>
      </w:r>
      <w:r w:rsidR="006344F2">
        <w:t>C.</w:t>
      </w:r>
      <w:r w:rsidRPr="00B93A50">
        <w:t xml:space="preserve"> As expected</w:t>
      </w:r>
      <w:r w:rsidR="000C1FEF">
        <w:t>,</w:t>
      </w:r>
      <w:r w:rsidRPr="00B93A50">
        <w:t xml:space="preserve"> Δ</w:t>
      </w:r>
      <w:r w:rsidRPr="00B93A50">
        <w:rPr>
          <w:i/>
        </w:rPr>
        <w:t>T</w:t>
      </w:r>
      <w:r w:rsidRPr="00B93A50">
        <w:rPr>
          <w:vertAlign w:val="subscript"/>
        </w:rPr>
        <w:t>max</w:t>
      </w:r>
      <w:r w:rsidRPr="00B93A50">
        <w:t xml:space="preserve"> increases with </w:t>
      </w:r>
      <w:r w:rsidRPr="00B93A50">
        <w:rPr>
          <w:rFonts w:ascii="Symbol" w:hAnsi="Symbol"/>
          <w:i/>
        </w:rPr>
        <w:t></w:t>
      </w:r>
      <w:r w:rsidR="006938C9">
        <w:t xml:space="preserve">, </w:t>
      </w:r>
      <w:r w:rsidR="006938C9" w:rsidRPr="006938C9">
        <w:t xml:space="preserve">corroborating the nucleation data shown in Figure 3(a), showing that </w:t>
      </w:r>
      <w:r w:rsidR="006938C9" w:rsidRPr="006938C9">
        <w:rPr>
          <w:i/>
        </w:rPr>
        <w:t>T</w:t>
      </w:r>
      <w:r w:rsidR="006938C9" w:rsidRPr="006938C9">
        <w:rPr>
          <w:vertAlign w:val="subscript"/>
        </w:rPr>
        <w:t>ind</w:t>
      </w:r>
      <w:r w:rsidR="006938C9" w:rsidRPr="006938C9">
        <w:t xml:space="preserve"> decreases with increasing </w:t>
      </w:r>
      <w:r w:rsidR="006938C9" w:rsidRPr="006938C9">
        <w:rPr>
          <w:rFonts w:ascii="Symbol" w:hAnsi="Symbol"/>
          <w:i/>
        </w:rPr>
        <w:t></w:t>
      </w:r>
      <w:r w:rsidR="006938C9" w:rsidRPr="006938C9">
        <w:t xml:space="preserve">. Evidently, decreasing the </w:t>
      </w:r>
      <w:r w:rsidR="00C65AF0">
        <w:t xml:space="preserve">cooling time with higher </w:t>
      </w:r>
      <w:r w:rsidR="00C65AF0" w:rsidRPr="00C65AF0">
        <w:rPr>
          <w:rFonts w:ascii="Symbol" w:hAnsi="Symbol"/>
          <w:i/>
        </w:rPr>
        <w:t></w:t>
      </w:r>
      <w:r w:rsidR="006938C9" w:rsidRPr="006938C9">
        <w:t xml:space="preserve"> leads to crystallization taking place at lower temperatures</w:t>
      </w:r>
      <w:r w:rsidR="006938C9">
        <w:t>.</w:t>
      </w:r>
      <w:r w:rsidR="00CB0911" w:rsidRPr="00B93A50">
        <w:t xml:space="preserve"> </w:t>
      </w:r>
      <w:r w:rsidR="006938C9" w:rsidRPr="006938C9">
        <w:t>The Δ</w:t>
      </w:r>
      <w:r w:rsidR="006938C9" w:rsidRPr="006938C9">
        <w:rPr>
          <w:i/>
        </w:rPr>
        <w:t>T</w:t>
      </w:r>
      <w:r w:rsidR="006938C9" w:rsidRPr="006938C9">
        <w:rPr>
          <w:vertAlign w:val="subscript"/>
        </w:rPr>
        <w:t>max</w:t>
      </w:r>
      <w:r w:rsidR="006938C9" w:rsidRPr="006938C9">
        <w:t xml:space="preserve"> data is found to depend logarithmically on </w:t>
      </w:r>
      <w:r w:rsidR="006938C9" w:rsidRPr="006938C9">
        <w:rPr>
          <w:rFonts w:ascii="Symbol" w:hAnsi="Symbol"/>
          <w:i/>
        </w:rPr>
        <w:t></w:t>
      </w:r>
      <w:r w:rsidR="006938C9" w:rsidRPr="006938C9">
        <w:t>, according to Δ</w:t>
      </w:r>
      <w:r w:rsidR="006938C9" w:rsidRPr="006938C9">
        <w:rPr>
          <w:i/>
        </w:rPr>
        <w:t>T</w:t>
      </w:r>
      <w:r w:rsidR="006938C9" w:rsidRPr="006938C9">
        <w:rPr>
          <w:vertAlign w:val="subscript"/>
        </w:rPr>
        <w:t>max</w:t>
      </w:r>
      <w:r w:rsidR="006938C9" w:rsidRPr="006938C9">
        <w:t xml:space="preserve"> = 1.</w:t>
      </w:r>
      <w:r w:rsidR="00B725E6">
        <w:t>5225</w:t>
      </w:r>
      <w:r w:rsidR="006938C9" w:rsidRPr="006938C9">
        <w:t xml:space="preserve"> ln(</w:t>
      </w:r>
      <w:r w:rsidR="006938C9" w:rsidRPr="006938C9">
        <w:rPr>
          <w:rFonts w:ascii="Symbol" w:hAnsi="Symbol"/>
          <w:i/>
        </w:rPr>
        <w:t></w:t>
      </w:r>
      <w:r w:rsidR="006938C9" w:rsidRPr="006938C9">
        <w:t>) + 1</w:t>
      </w:r>
      <w:r w:rsidR="00B725E6">
        <w:t>7.671</w:t>
      </w:r>
      <w:r w:rsidR="006938C9" w:rsidRPr="006938C9">
        <w:t xml:space="preserve">, where </w:t>
      </w:r>
      <w:r w:rsidR="006938C9" w:rsidRPr="006938C9">
        <w:rPr>
          <w:rFonts w:ascii="Symbol" w:hAnsi="Symbol"/>
          <w:i/>
        </w:rPr>
        <w:t></w:t>
      </w:r>
      <w:r w:rsidR="006938C9" w:rsidRPr="006938C9">
        <w:t xml:space="preserve"> is given in °C min</w:t>
      </w:r>
      <w:r w:rsidR="006938C9" w:rsidRPr="006938C9">
        <w:rPr>
          <w:vertAlign w:val="superscript"/>
        </w:rPr>
        <w:t>-1</w:t>
      </w:r>
      <w:r w:rsidR="006938C9" w:rsidRPr="006938C9">
        <w:t xml:space="preserve">, indicated by the solid line in Figure 4(b). </w:t>
      </w:r>
      <w:r w:rsidR="005C143F" w:rsidRPr="00B93A50">
        <w:t>The MSZW</w:t>
      </w:r>
      <w:r w:rsidR="000C1FEF">
        <w:t xml:space="preserve"> trend</w:t>
      </w:r>
      <w:r w:rsidR="00B97BFA" w:rsidRPr="00B93A50">
        <w:fldChar w:fldCharType="begin" w:fldLock="1"/>
      </w:r>
      <w:r w:rsidR="00600480">
        <w:instrText>ADDIN CSL_CITATION { "citationItems" : [ { "id" : "ITEM-1", "itemData" : { "author" : [ { "dropping-particle" : "", "family" : "Smith", "given" : "L. A.",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"ITEM-1", "issued" : { "date-parts" : [ [ "2001" ] ] }, "page" : "158-167", "title" : "An examination of the solution phase and nucleation properties of sodium , potassium and rubidium dodecyl sulphates", "type" : "article-journal", "volume" : "226" }, "uris" : [ "http://www.mendeley.com/documents/?uuid=74281b3b-be73-4462-955c-c6329e5dc666" ] } ], "mendeley" : { "formattedCitation" : "&lt;sup&gt;43&lt;/sup&gt;", "plainTextFormattedCitation" : "43", "previouslyFormattedCitation" : "&lt;sup&gt;43&lt;/sup&gt;" }, "properties" : { "noteIndex" : 0 }, "schema" : "https://github.com/citation-style-language/schema/raw/master/csl-citation.json" }</w:instrText>
      </w:r>
      <w:r w:rsidR="00B97BFA" w:rsidRPr="00B93A50">
        <w:fldChar w:fldCharType="separate"/>
      </w:r>
      <w:r w:rsidR="00290E7E" w:rsidRPr="00290E7E">
        <w:rPr>
          <w:noProof/>
          <w:vertAlign w:val="superscript"/>
        </w:rPr>
        <w:t>43</w:t>
      </w:r>
      <w:r w:rsidR="00B97BFA" w:rsidRPr="00B93A50">
        <w:fldChar w:fldCharType="end"/>
      </w:r>
      <w:r w:rsidR="005C143F" w:rsidRPr="00B93A50">
        <w:t xml:space="preserve"> and </w:t>
      </w:r>
      <w:r w:rsidR="005C143F" w:rsidRPr="00B93A50">
        <w:rPr>
          <w:i/>
        </w:rPr>
        <w:t>T</w:t>
      </w:r>
      <w:r w:rsidR="006F1127" w:rsidRPr="00B93A50">
        <w:rPr>
          <w:vertAlign w:val="subscript"/>
        </w:rPr>
        <w:t>ind</w:t>
      </w:r>
      <w:r w:rsidR="006F1127" w:rsidRPr="00B93A50">
        <w:t xml:space="preserve"> values</w:t>
      </w:r>
      <w:r w:rsidR="005C143F" w:rsidRPr="00B93A50">
        <w:t xml:space="preserve"> (for measured </w:t>
      </w:r>
      <w:r w:rsidR="005C143F" w:rsidRPr="00B93A50">
        <w:rPr>
          <w:rFonts w:ascii="Symbol" w:hAnsi="Symbol"/>
          <w:i/>
        </w:rPr>
        <w:t></w:t>
      </w:r>
      <w:r w:rsidR="005C143F" w:rsidRPr="00B93A50">
        <w:t xml:space="preserve"> </w:t>
      </w:r>
      <w:r w:rsidR="001846D1">
        <w:rPr>
          <w:rFonts w:cstheme="majorHAnsi"/>
        </w:rPr>
        <w:t>≤</w:t>
      </w:r>
      <w:r w:rsidR="005C143F" w:rsidRPr="00B93A50">
        <w:t xml:space="preserve"> 0.75 °C min</w:t>
      </w:r>
      <w:r w:rsidR="005C143F" w:rsidRPr="00B93A50">
        <w:rPr>
          <w:vertAlign w:val="superscript"/>
        </w:rPr>
        <w:t>-1</w:t>
      </w:r>
      <w:r w:rsidR="005C143F" w:rsidRPr="00B93A50">
        <w:t>)</w:t>
      </w:r>
      <w:r w:rsidR="00B97BFA" w:rsidRPr="00B93A50">
        <w:fldChar w:fldCharType="begin" w:fldLock="1"/>
      </w:r>
      <w:r w:rsidR="00600480">
        <w:instrText>ADDIN CSL_CITATION { "citationItems" : [ { "id" : "ITEM-1", "itemData" : { "DOI" : "10.1021/cg058003g", "ISSN" : "15287483", "author" : [ { "dropping-particle" : "", "family" : "Smith", "given" : "L. A.", "non-dropping-particle" : "", "parse-names" : false, "suffix" : "" }, { "dropping-particle" : "", "family" : "Thomson", "given" : "G.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"Cryst. Growth Des.", "id" : "ITEM-1", "issue" : "6", "issued" : { "date-parts" : [ [ "2005" ] ] }, "page" : "2164-2172", "title" : "Modeling the crystal morphology of alkali-metal alkyl surfactants: Sodium and rubidium dodecyl sulfates", "type" : "article-journal", "volume" : "5" }, "uris" : [ "http://www.mendeley.com/documents/?uuid=2cf4211d-ba35-4b1e-bf72-f4ec5722c765" ] } ], "mendeley" : { "formattedCitation" : "&lt;sup&gt;44&lt;/sup&gt;", "plainTextFormattedCitation" : "44", "previouslyFormattedCitation" : "&lt;sup&gt;44&lt;/sup&gt;" }, "properties" : { "noteIndex" : 0 }, "schema" : "https://github.com/citation-style-language/schema/raw/master/csl-citation.json" }</w:instrText>
      </w:r>
      <w:r w:rsidR="00B97BFA" w:rsidRPr="00B93A50">
        <w:fldChar w:fldCharType="separate"/>
      </w:r>
      <w:r w:rsidR="00290E7E" w:rsidRPr="00290E7E">
        <w:rPr>
          <w:noProof/>
          <w:vertAlign w:val="superscript"/>
        </w:rPr>
        <w:t>44</w:t>
      </w:r>
      <w:r w:rsidR="00B97BFA" w:rsidRPr="00B93A50">
        <w:fldChar w:fldCharType="end"/>
      </w:r>
      <w:r w:rsidR="00B97BFA" w:rsidRPr="00B93A50">
        <w:t xml:space="preserve"> are</w:t>
      </w:r>
      <w:r w:rsidR="005C143F" w:rsidRPr="00B93A50">
        <w:t xml:space="preserve"> </w:t>
      </w:r>
      <w:r w:rsidR="001C4346">
        <w:t xml:space="preserve">in agreement with </w:t>
      </w:r>
      <w:r w:rsidR="00B97BFA" w:rsidRPr="00B93A50">
        <w:t>observations</w:t>
      </w:r>
      <w:r w:rsidR="00CD2B84" w:rsidRPr="00CD2B84">
        <w:t xml:space="preserve"> </w:t>
      </w:r>
      <w:r w:rsidR="00CD2B84" w:rsidRPr="00B93A50">
        <w:t>previously reported</w:t>
      </w:r>
      <w:r w:rsidR="00B97BFA" w:rsidRPr="00B93A50">
        <w:t xml:space="preserve"> </w:t>
      </w:r>
      <w:r w:rsidR="005C143F" w:rsidRPr="00B93A50">
        <w:t>for this system</w:t>
      </w:r>
      <w:r w:rsidR="00B97BFA" w:rsidRPr="00B93A50">
        <w:t>, although these studies</w:t>
      </w:r>
      <w:r w:rsidR="000E666D" w:rsidRPr="00B93A50">
        <w:t xml:space="preserve"> do not appear fully consistent with each other.</w:t>
      </w:r>
      <w:r w:rsidR="008E7D24" w:rsidRPr="00B93A50">
        <w:t xml:space="preserve"> </w:t>
      </w:r>
      <w:r w:rsidRPr="00B93A50">
        <w:t>The values for the MSZW are relatively large by comparison to other</w:t>
      </w:r>
      <w:r w:rsidR="003E1672">
        <w:t xml:space="preserve"> systems, for instance</w:t>
      </w:r>
      <w:r w:rsidR="005D6935">
        <w:t xml:space="preserve"> </w:t>
      </w:r>
      <w:r w:rsidR="001A0B70">
        <w:t xml:space="preserve">simple </w:t>
      </w:r>
      <w:r w:rsidR="00835922">
        <w:t>inorganic</w:t>
      </w:r>
      <w:r w:rsidRPr="00B93A50">
        <w:t xml:space="preserve"> salt</w:t>
      </w:r>
      <w:r w:rsidR="00BF42D5">
        <w:t>-H</w:t>
      </w:r>
      <w:r w:rsidR="00BF42D5" w:rsidRPr="00BF42D5">
        <w:rPr>
          <w:vertAlign w:val="subscript"/>
        </w:rPr>
        <w:t>2</w:t>
      </w:r>
      <w:r w:rsidR="00BF42D5">
        <w:t>O solutions</w:t>
      </w:r>
      <w:r w:rsidRPr="00B93A50">
        <w:t>,</w:t>
      </w:r>
      <w:r w:rsidRPr="00B93A50">
        <w:fldChar w:fldCharType="begin" w:fldLock="1"/>
      </w:r>
      <w:r w:rsidR="00600480">
        <w:instrText>ADDIN CSL_CITATION { "citationItems" : [ { "id" : "ITEM-1", "itemData" : { "author" : [ { "dropping-particle" : "", "family" : "J. N\u00fdvlt", "given" : "", "non-dropping-particle" : "", "parse-names" : false, "suffix" : "" }, { "dropping-particle" : "", "family" : "Rychl\u00fd", "given" : "R.", "non-dropping-particle" : "", "parse-names" : false, "suffix" : "" }, { "dropping-particle" : "", "family" : "Gottfried", "given" : "J.", "non-dropping-particle" : "", "parse-names" : false, "suffix" : "" }, { "dropping-particle" : "", "family" : "Wurzelov\u00e1", "given" : "J.", "non-dropping-particle" : "", "parse-names" : false, "suffix" : "" } ], "container-title" : "J. Cryst. Growth", "id" : "ITEM-1", "issued" : { "date-parts" : [ [ "1970" ] ] }, "page" : "151-162", "title" : "Metastable zone-width of some aqueous solutions", "type" : "article-journal", "volume" : "6" }, "uris" : [ "http://www.mendeley.com/documents/?uuid=06c736e1-768e-46ad-a93b-9eb8059533c7" ] } ], "mendeley" : { "formattedCitation" : "&lt;sup&gt;58&lt;/sup&gt;", "plainTextFormattedCitation" : "58", "previouslyFormattedCitation" : "&lt;sup&gt;58&lt;/sup&gt;" }, "properties" : { "noteIndex" : 0 }, "schema" : "https://github.com/citation-style-language/schema/raw/master/csl-citation.json" }</w:instrText>
      </w:r>
      <w:r w:rsidRPr="00B93A50">
        <w:fldChar w:fldCharType="separate"/>
      </w:r>
      <w:r w:rsidR="00290E7E" w:rsidRPr="00290E7E">
        <w:rPr>
          <w:noProof/>
          <w:vertAlign w:val="superscript"/>
        </w:rPr>
        <w:t>58</w:t>
      </w:r>
      <w:r w:rsidRPr="00B93A50">
        <w:fldChar w:fldCharType="end"/>
      </w:r>
      <w:r w:rsidR="00031FC1">
        <w:t xml:space="preserve"> but similar</w:t>
      </w:r>
      <w:r w:rsidRPr="00B93A50">
        <w:t xml:space="preserve"> to </w:t>
      </w:r>
      <w:r w:rsidR="00835922">
        <w:t>organic</w:t>
      </w:r>
      <w:r w:rsidRPr="00B93A50">
        <w:t xml:space="preserve"> moieties dissolved in polar solvents (for instance paracetamol in ethanol</w:t>
      </w:r>
      <w:r w:rsidR="005C571A" w:rsidRPr="00B93A50">
        <w:fldChar w:fldCharType="begin" w:fldLock="1"/>
      </w:r>
      <w:r w:rsidR="00600480">
        <w:instrText>ADDIN CSL_CITATION { "citationItems" : [ { "id" : "ITEM-1", "itemData" : { "DOI" : "10.1016/j.jcrysgro.2010.05.043", "ISSN" : "0022-0248", "author" : [ { "dropping-particle" : "", "family" : "Mitchell", "given" : "N. A.", "non-dropping-particle" : "", "parse-names" : false, "suffix" : "" }, { "dropping-particle" : "", "family" : "Frawley", "given" : "P. J.", "non-dropping-particle" : "", "parse-names" : false, "suffix" : "" } ], "container-title" : "J. Cryst. Growth", "id" : "ITEM-1", "issue" : "19", "issued" : { "date-parts" : [ [ "2010" ] ] }, "page" : "2740-2746", "publisher" : "Elsevier", "title" : "Nucleation kinetics of paracetamol \u2013 ethanol solutions from metastable zone widths", "type" : "article-journal", "volume" : "312" }, "uris" : [ "http://www.mendeley.com/documents/?uuid=c003f11d-04c0-457f-8258-06575434696e" ] } ], "mendeley" : { "formattedCitation" : "&lt;sup&gt;59&lt;/sup&gt;", "plainTextFormattedCitation" : "59", "previouslyFormattedCitation" : "&lt;sup&gt;59&lt;/sup&gt;" }, "properties" : { "noteIndex" : 0 }, "schema" : "https://github.com/citation-style-language/schema/raw/master/csl-citation.json" }</w:instrText>
      </w:r>
      <w:r w:rsidR="005C571A" w:rsidRPr="00B93A50">
        <w:fldChar w:fldCharType="separate"/>
      </w:r>
      <w:r w:rsidR="00290E7E" w:rsidRPr="00290E7E">
        <w:rPr>
          <w:noProof/>
          <w:vertAlign w:val="superscript"/>
        </w:rPr>
        <w:t>59</w:t>
      </w:r>
      <w:r w:rsidR="005C571A" w:rsidRPr="00B93A50">
        <w:fldChar w:fldCharType="end"/>
      </w:r>
      <w:r w:rsidR="005C571A">
        <w:t xml:space="preserve"> or </w:t>
      </w:r>
      <w:r w:rsidR="005C571A" w:rsidRPr="005C571A">
        <w:t>L-isoleucine</w:t>
      </w:r>
      <w:r w:rsidR="005C571A">
        <w:t xml:space="preserve"> in H</w:t>
      </w:r>
      <w:r w:rsidR="005C571A" w:rsidRPr="00EF0E23">
        <w:rPr>
          <w:vertAlign w:val="subscript"/>
        </w:rPr>
        <w:t>2</w:t>
      </w:r>
      <w:r w:rsidR="005C571A">
        <w:t>O</w:t>
      </w:r>
      <w:r w:rsidRPr="00B93A50">
        <w:t>,</w:t>
      </w:r>
      <w:r w:rsidR="005C571A">
        <w:fldChar w:fldCharType="begin" w:fldLock="1"/>
      </w:r>
      <w:r w:rsidR="00600480">
        <w:instrText>ADDIN CSL_CITATION { "citationItems" : [ { "id" : "ITEM-1", "itemData" : { "author" : [ { "dropping-particle" : "", "family" : "Anuar", "given" : "N.", "non-dropping-particle" : "", "parse-names" : false, "suffix" : "" }, { "dropping-particle" : "", "family" : "Daud", "given" : "W. R. W.", "non-dropping-particle" : "", "parse-names" : false, "suffix" : "" }, { "dropping-particle" : "", "family" : "Roberts", "given" : "K. J.", "non-dropping-particle" : "", "parse-names" : false, "suffix" : "" }, { "dropping-particle" : "", "family" : "Kamarudin", "given" : "S. K.", "non-dropping-particle" : "", "parse-names" : false, "suffix" : "" }, { "dropping-particle" : "", "family" : "Tasirin", "given" : "S. M.", "non-dropping-particle" : "", "parse-names" : false, "suffix" : "" } ], "container-title" : "Cryst. Growth Des.", "id" : "ITEM-1", "issued" : { "date-parts" : [ [ "2009" ] ] }, "page" : "2853-2862", "title" : "An Examination of the Solution Chemistry, Nucleation Kinetics, Crystal Morphology, and Polymorphic Behavior of Aqueous phase Batch Crystallized L-Isoleucine at the 250 mL Scale Size", "type" : "article-journal", "volume" : "9" }, "uris" : [ "http://www.mendeley.com/documents/?uuid=b9415a1d-1f8e-4aa8-a25c-7fdbd29c00e3" ] } ], "mendeley" : { "formattedCitation" : "&lt;sup&gt;60&lt;/sup&gt;", "plainTextFormattedCitation" : "60", "previouslyFormattedCitation" : "&lt;sup&gt;60&lt;/sup&gt;" }, "properties" : { "noteIndex" : 0 }, "schema" : "https://github.com/citation-style-language/schema/raw/master/csl-citation.json" }</w:instrText>
      </w:r>
      <w:r w:rsidR="005C571A">
        <w:fldChar w:fldCharType="separate"/>
      </w:r>
      <w:r w:rsidR="00290E7E" w:rsidRPr="00290E7E">
        <w:rPr>
          <w:noProof/>
          <w:vertAlign w:val="superscript"/>
        </w:rPr>
        <w:t>60</w:t>
      </w:r>
      <w:r w:rsidR="005C571A">
        <w:fldChar w:fldCharType="end"/>
      </w:r>
      <w:r w:rsidRPr="00B93A50">
        <w:t xml:space="preserve"> measured at low </w:t>
      </w:r>
      <w:r w:rsidRPr="00B93A50">
        <w:rPr>
          <w:rFonts w:ascii="Symbol" w:hAnsi="Symbol"/>
          <w:i/>
        </w:rPr>
        <w:t></w:t>
      </w:r>
      <w:r w:rsidR="00206490">
        <w:rPr>
          <w:rFonts w:ascii="Calibri" w:hAnsi="Calibri"/>
        </w:rPr>
        <w:t xml:space="preserve"> </w:t>
      </w:r>
      <w:r w:rsidRPr="00B93A50">
        <w:rPr>
          <w:rFonts w:ascii="Calibri" w:hAnsi="Calibri"/>
        </w:rPr>
        <w:t>≤</w:t>
      </w:r>
      <w:r w:rsidR="00206490">
        <w:rPr>
          <w:rFonts w:ascii="Calibri" w:hAnsi="Calibri"/>
        </w:rPr>
        <w:t xml:space="preserve"> </w:t>
      </w:r>
      <w:r w:rsidRPr="00B93A50">
        <w:t>1</w:t>
      </w:r>
      <w:r w:rsidR="0095490A">
        <w:t>.0</w:t>
      </w:r>
      <w:r w:rsidRPr="00B93A50">
        <w:t xml:space="preserve"> °C min</w:t>
      </w:r>
      <w:r w:rsidRPr="00B93A50">
        <w:rPr>
          <w:vertAlign w:val="superscript"/>
        </w:rPr>
        <w:t>-1</w:t>
      </w:r>
      <w:r w:rsidRPr="00B93A50">
        <w:t xml:space="preserve">). Qualitatively, a large MSZW can be expected </w:t>
      </w:r>
      <w:r w:rsidR="001C4346">
        <w:t>for</w:t>
      </w:r>
      <w:r w:rsidR="00B3161B">
        <w:t xml:space="preserve"> </w:t>
      </w:r>
      <w:r w:rsidR="005558A6">
        <w:t xml:space="preserve">this </w:t>
      </w:r>
      <w:r w:rsidR="00B3161B">
        <w:t>SDS-H</w:t>
      </w:r>
      <w:r w:rsidR="00B3161B" w:rsidRPr="00B3161B">
        <w:rPr>
          <w:vertAlign w:val="subscript"/>
        </w:rPr>
        <w:t>2</w:t>
      </w:r>
      <w:r w:rsidR="00B3161B">
        <w:t xml:space="preserve">O </w:t>
      </w:r>
      <w:r w:rsidR="005558A6">
        <w:t>composition</w:t>
      </w:r>
      <w:r w:rsidR="00B3161B">
        <w:t xml:space="preserve">, </w:t>
      </w:r>
      <w:r w:rsidRPr="00B93A50">
        <w:t>given the rearrangement</w:t>
      </w:r>
      <w:r w:rsidR="00B93A50" w:rsidRPr="00B93A50">
        <w:t xml:space="preserve"> that must occur when a micellar solution crystallizes </w:t>
      </w:r>
      <w:r w:rsidR="008D5916">
        <w:t>into a</w:t>
      </w:r>
      <w:r w:rsidR="00B93A50" w:rsidRPr="00B93A50">
        <w:t xml:space="preserve"> </w:t>
      </w:r>
      <w:r w:rsidRPr="00B93A50">
        <w:t>lamellar</w:t>
      </w:r>
      <w:r w:rsidRPr="00573559">
        <w:fldChar w:fldCharType="begin" w:fldLock="1"/>
      </w:r>
      <w:r w:rsidR="00600480">
        <w:instrText>ADDIN CSL_CITATION { "citationItems" : [ { "id" : "ITEM-1", "itemData" : { "author" : [ { "dropping-particle" : "", "family" : "Smith", "given" : "L. A.", "non-dropping-particle" : "", "parse-names" : false, "suffix" : "" }, { "dropping-particle" : "", "family" : "Hammond", "given" : "R. B.",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Mol. Struct.", "id" : "ITEM-1", "issued" : { "date-parts" : [ [ "2000" ] ] }, "page" : "173-182", "title" : "Determination of the crystal structure of anhydrous sodium dodecyl sulphate using a combination of synchrotron radiation powder diffraction and molecular modelling techniques", "type" : "article-journal", "volume" : "554" }, "uris" : [ "http://www.mendeley.com/documents/?uuid=ff7f5155-d748-465e-befd-48c77c9ff70d" ] }, { "id" : "ITEM-2", "itemData" : { "author" : [ { "dropping-particle" : "", "family" : "Sundell", "given" : "S.", "non-dropping-particle" : "", "parse-names" : false, "suffix" : "" } ], "container-title" : "Acta Chem. Scand.", "id" : "ITEM-2", "issued" : { "date-parts" : [ [ "1977" ] ] }, "page" : "799-807", "title" : "The Crystal Structure of Sodium Dodecyl Sulfate", "type" : "article-journal", "volume" : "A31" }, "uris" : [ "http://www.mendeley.com/documents/?uuid=1d032678-55cc-466d-bd65-6b2a3b802ef0" ] }, { "id" : "ITEM-3", "itemData" : { "DOI" : "10.1107/S0108270186093757", "ISSN" : "01082701", "author" : [ { "dropping-particle" : "", "family" : "Coiro", "given" : "V. M.", "non-dropping-particle" : "", "parse-names" : false, "suffix" : "" }, { "dropping-particle" : "", "family" : "Mazza", "given" : "F.", "non-dropping-particle" : "", "parse-names" : false, "suffix" : "" }, { "dropping-particle" : "", "family" : "Pochetti", "given" : "G.", "non-dropping-particle" : "", "parse-names" : false, "suffix" : "" } ], "container-title" : "Acta Crystallogr.", "id" : "ITEM-3", "issued" : { "date-parts" : [ [ "1986" ] ] }, "page" : "991-995", "title" : "Crystal phases obtained from aqueous solutions of sodium dodecyl sulfate. The structure of a monoclinic phase of sodium dodecyl sulfate hemihydrate", "type" : "article-journal", "volume" : "C42" }, "uris" : [ "http://www.mendeley.com/documents/?uuid=cd094a77-2bbc-431b-af38-86a0f8bbb511" ] }, { "id" : "ITEM-4", "itemData" : { "DOI" : "10.1107/S010827018709382X", "ISSN" : "01082701", "author" : [ { "dropping-particle" : "", "family" : "Coiro", "given" : "V. M.", "non-dropping-particle" : "", "parse-names" : false, "suffix" : "" }, { "dropping-particle" : "", "family" : "Manigrasso", "given" : "M.", "non-dropping-particle" : "", "parse-names" : false, "suffix" : "" }, { "dropping-particle" : "", "family" : "Mazza", "given" : "F.", "non-dropping-particle" : "", "parse-names" : false, "suffix" : "" }, { "dropping-particle" : "", "family" : "Pochetti", "given" : "G.", "non-dropping-particle" : "", "parse-names" : false, "suffix" : "" } ], "container-title" : "Acta Crystallogr.", "id" : "ITEM-4", "issued" : { "date-parts" : [ [ "1987" ] ] }, "page" : "850-854", "title" : "Structure of a triclinic phase of sodium dodecyl sulfate monohydrate. A comparison with other sodium dodecyl sulfate crystal phases", "type" : "article-journal", "volume" : "C43" }, "uris" : [ "http://www.mendeley.com/documents/?uuid=b5fc0a8c-25c6-4d66-bc76-e17902ed6947" ] } ], "mendeley" : { "formattedCitation" : "&lt;sup&gt;31\u201334&lt;/sup&gt;", "plainTextFormattedCitation" : "31\u201334", "previouslyFormattedCitation" : "&lt;sup&gt;31\u201334&lt;/sup&gt;" }, "properties" : { "noteIndex" : 0 }, "schema" : "https://github.com/citation-style-language/schema/raw/master/csl-citation.json" }</w:instrText>
      </w:r>
      <w:r w:rsidRPr="00573559">
        <w:fldChar w:fldCharType="separate"/>
      </w:r>
      <w:r w:rsidR="00290E7E" w:rsidRPr="00290E7E">
        <w:rPr>
          <w:noProof/>
          <w:vertAlign w:val="superscript"/>
        </w:rPr>
        <w:t>31–34</w:t>
      </w:r>
      <w:r w:rsidRPr="00573559">
        <w:fldChar w:fldCharType="end"/>
      </w:r>
      <w:r w:rsidR="00D95AB6" w:rsidRPr="00D95AB6">
        <w:t xml:space="preserve"> </w:t>
      </w:r>
      <w:r w:rsidR="00D95AB6" w:rsidRPr="00573559">
        <w:t>structure.</w:t>
      </w:r>
    </w:p>
    <w:p w14:paraId="0388A3B8" w14:textId="6C4A39F2" w:rsidR="00794E3A" w:rsidRDefault="00794E3A" w:rsidP="00633F9C">
      <w:pPr>
        <w:pStyle w:val="TAMainText"/>
      </w:pPr>
      <w:r w:rsidRPr="00573559">
        <w:t>From the experimentally determined Δ</w:t>
      </w:r>
      <w:r w:rsidRPr="00573559">
        <w:rPr>
          <w:i/>
        </w:rPr>
        <w:t>T</w:t>
      </w:r>
      <w:r w:rsidRPr="00573559">
        <w:rPr>
          <w:vertAlign w:val="subscript"/>
        </w:rPr>
        <w:t>max</w:t>
      </w:r>
      <w:r w:rsidRPr="00573559">
        <w:t>, the nucleation order (</w:t>
      </w:r>
      <w:r w:rsidRPr="00573559">
        <w:rPr>
          <w:i/>
        </w:rPr>
        <w:t>m</w:t>
      </w:r>
      <w:r w:rsidRPr="00573559">
        <w:t>)</w:t>
      </w:r>
      <w:r w:rsidRPr="00573559">
        <w:rPr>
          <w:i/>
        </w:rPr>
        <w:t xml:space="preserve"> </w:t>
      </w:r>
      <w:r w:rsidRPr="00573559">
        <w:t xml:space="preserve">can be determined </w:t>
      </w:r>
      <w:r w:rsidR="001057D6">
        <w:t>using</w:t>
      </w:r>
      <w:r w:rsidRPr="00573559">
        <w:t xml:space="preserve"> the Nývlt relation</w:t>
      </w:r>
      <w:r w:rsidR="007151FE" w:rsidRPr="00573559">
        <w:t>.</w:t>
      </w:r>
      <w:r w:rsidRPr="00573559">
        <w:fldChar w:fldCharType="begin" w:fldLock="1"/>
      </w:r>
      <w:r w:rsidR="00600480">
        <w:instrText>ADDIN CSL_CITATION { "citationItems" : [ { "id" : "ITEM-1", "itemData" : { "author" : [ { "dropping-particle" : "", "family" : "J. N\u00fdvlt", "given" : "", "non-dropping-particle" : "", "parse-names" : false, "suffix" : "" } ], "container-title" : "J. Cryst. Growth", "id" : "ITEM-1", "issued" : { "date-parts" : [ [ "1968" ] ] }, "page" : "377-383", "title" : "Kinetics of Nucleation in Solutions", "type" : "article-journal", "volume" : "3,4" }, "uris" : [ "http://www.mendeley.com/documents/?uuid=d2062cdd-c86c-403d-b0f2-75b5e8e58feb" ] } ], "mendeley" : { "formattedCitation" : "&lt;sup&gt;24&lt;/sup&gt;", "plainTextFormattedCitation" : "24", "previouslyFormattedCitation" : "&lt;sup&gt;24&lt;/sup&gt;" }, "properties" : { "noteIndex" : 0 }, "schema" : "https://github.com/citation-style-language/schema/raw/master/csl-citation.json" }</w:instrText>
      </w:r>
      <w:r w:rsidRPr="00573559">
        <w:fldChar w:fldCharType="separate"/>
      </w:r>
      <w:r w:rsidR="00290E7E" w:rsidRPr="00290E7E">
        <w:rPr>
          <w:noProof/>
          <w:vertAlign w:val="superscript"/>
        </w:rPr>
        <w:t>24</w:t>
      </w:r>
      <w:r w:rsidRPr="00573559">
        <w:fldChar w:fldCharType="end"/>
      </w:r>
      <w:r w:rsidRPr="00573559">
        <w:t xml:space="preserve"> </w:t>
      </w:r>
      <w:r w:rsidR="007151FE" w:rsidRPr="00573559">
        <w:t>A</w:t>
      </w:r>
      <w:r w:rsidR="004C683C" w:rsidRPr="00573559">
        <w:t xml:space="preserve"> plot of log </w:t>
      </w:r>
      <w:r w:rsidR="004C683C" w:rsidRPr="00573559">
        <w:rPr>
          <w:rFonts w:ascii="Symbol" w:hAnsi="Symbol"/>
          <w:i/>
        </w:rPr>
        <w:t></w:t>
      </w:r>
      <w:r w:rsidR="004C683C" w:rsidRPr="00573559">
        <w:rPr>
          <w:rFonts w:cstheme="majorHAnsi"/>
        </w:rPr>
        <w:t xml:space="preserve"> as a function of </w:t>
      </w:r>
      <w:r w:rsidRPr="00573559">
        <w:t>log Δ</w:t>
      </w:r>
      <w:r w:rsidRPr="00573559">
        <w:rPr>
          <w:i/>
        </w:rPr>
        <w:t>T</w:t>
      </w:r>
      <w:r w:rsidRPr="00573559">
        <w:rPr>
          <w:vertAlign w:val="subscript"/>
        </w:rPr>
        <w:t>max</w:t>
      </w:r>
      <w:r w:rsidR="007151FE" w:rsidRPr="00573559">
        <w:t xml:space="preserve"> provides a slope (</w:t>
      </w:r>
      <w:r w:rsidR="007151FE" w:rsidRPr="00573559">
        <w:rPr>
          <w:i/>
        </w:rPr>
        <w:t>m</w:t>
      </w:r>
      <w:r w:rsidR="007151FE" w:rsidRPr="00573559">
        <w:t>),</w:t>
      </w:r>
      <w:r w:rsidRPr="00573559">
        <w:t xml:space="preserve"> shown in Figure 7(c).  While </w:t>
      </w:r>
      <w:r w:rsidRPr="00573559">
        <w:rPr>
          <w:i/>
        </w:rPr>
        <w:t>m</w:t>
      </w:r>
      <w:r w:rsidR="004B01A6">
        <w:t xml:space="preserve"> do</w:t>
      </w:r>
      <w:r w:rsidR="00894849">
        <w:t>es</w:t>
      </w:r>
      <w:r w:rsidRPr="00573559">
        <w:t xml:space="preserve"> not have a clear physical meaning,</w:t>
      </w:r>
      <w:r w:rsidRPr="00573559">
        <w:fldChar w:fldCharType="begin" w:fldLock="1"/>
      </w:r>
      <w:r w:rsidR="00600480">
        <w:instrText>ADDIN CSL_CITATION { "citationItems" : [ { "id" : "ITEM-1", "itemData" : { "author" : [ { "dropping-particle" : "", "family" : "J. N\u00fdvlt", "given" : "", "non-dropping-particle" : "", "parse-names" : false, "suffix" : "" } ], "container-title" : "J. Cryst. Growth", "id" : "ITEM-1", "issued" : { "date-parts" : [ [ "1968" ] ] }, "page" : "377-383", "title" : "Kinetics of Nucleation in Solutions", "type" : "article-journal", "volume" : "3,4" }, "uris" : [ "http://www.mendeley.com/documents/?uuid=d2062cdd-c86c-403d-b0f2-75b5e8e58feb" ] } ], "mendeley" : { "formattedCitation" : "&lt;sup&gt;24&lt;/sup&gt;", "plainTextFormattedCitation" : "24", "previouslyFormattedCitation" : "&lt;sup&gt;24&lt;/sup&gt;" }, "properties" : { "noteIndex" : 0 }, "schema" : "https://github.com/citation-style-language/schema/raw/master/csl-citation.json" }</w:instrText>
      </w:r>
      <w:r w:rsidRPr="00573559">
        <w:fldChar w:fldCharType="separate"/>
      </w:r>
      <w:r w:rsidR="00290E7E" w:rsidRPr="00290E7E">
        <w:rPr>
          <w:noProof/>
          <w:vertAlign w:val="superscript"/>
        </w:rPr>
        <w:t>24</w:t>
      </w:r>
      <w:r w:rsidRPr="00573559">
        <w:fldChar w:fldCharType="end"/>
      </w:r>
      <w:r w:rsidRPr="00573559">
        <w:t xml:space="preserve"> it is </w:t>
      </w:r>
      <w:r w:rsidR="002C4292" w:rsidRPr="00573559">
        <w:t xml:space="preserve">beneficial </w:t>
      </w:r>
      <w:r w:rsidRPr="00573559">
        <w:t xml:space="preserve">to parameterize the dependence of MSZW with </w:t>
      </w:r>
      <w:r w:rsidR="002C4292" w:rsidRPr="00573559">
        <w:rPr>
          <w:rFonts w:ascii="Symbol" w:hAnsi="Symbol"/>
          <w:i/>
        </w:rPr>
        <w:t></w:t>
      </w:r>
      <w:r w:rsidRPr="00573559">
        <w:t>.</w:t>
      </w:r>
      <w:r w:rsidR="00705756" w:rsidRPr="00573559">
        <w:t xml:space="preserve"> From the data, </w:t>
      </w:r>
      <w:r w:rsidR="00705756" w:rsidRPr="00573559">
        <w:rPr>
          <w:i/>
        </w:rPr>
        <w:t>m</w:t>
      </w:r>
      <w:r w:rsidR="00705756" w:rsidRPr="00573559">
        <w:t xml:space="preserve"> </w:t>
      </w:r>
      <w:r w:rsidRPr="00573559">
        <w:t>≈ 11.</w:t>
      </w:r>
      <w:r w:rsidR="00584526">
        <w:t>1</w:t>
      </w:r>
      <w:r w:rsidRPr="00573559">
        <w:t>.</w:t>
      </w:r>
      <w:r w:rsidR="00E55860" w:rsidRPr="00573559">
        <w:t xml:space="preserve"> A previously reported value for 20% SDS-H</w:t>
      </w:r>
      <w:r w:rsidR="00E55860" w:rsidRPr="00573559">
        <w:rPr>
          <w:vertAlign w:val="subscript"/>
        </w:rPr>
        <w:t>2</w:t>
      </w:r>
      <w:r w:rsidR="00E55860" w:rsidRPr="00573559">
        <w:t xml:space="preserve">O </w:t>
      </w:r>
      <w:r w:rsidR="0046186D" w:rsidRPr="00573559">
        <w:t xml:space="preserve">gave </w:t>
      </w:r>
      <w:r w:rsidR="00E55860" w:rsidRPr="00573559">
        <w:rPr>
          <w:i/>
        </w:rPr>
        <w:t>m</w:t>
      </w:r>
      <w:r w:rsidR="00E55860" w:rsidRPr="00573559">
        <w:t xml:space="preserve"> ≈ 4.9</w:t>
      </w:r>
      <w:r w:rsidR="0046186D" w:rsidRPr="00573559">
        <w:t>,</w:t>
      </w:r>
      <w:r w:rsidR="00E55860" w:rsidRPr="00573559">
        <w:fldChar w:fldCharType="begin" w:fldLock="1"/>
      </w:r>
      <w:r w:rsidR="00600480">
        <w:instrText>ADDIN CSL_CITATION { "citationItems" : [ { "id" : "ITEM-1", "itemData" : { "author" : [ { "dropping-particle" : "", "family" : "Smith", "given" : "L. A.", "non-dropping-particle" : "", "parse-names" : false, "suffix" : "" }, { "dropping-particle" : "", "family" : "Roberts", "given" : "K. J.", "non-dropping-particle" : "", "parse-names" : false, "suffix" : "" }, { "dropping-particle" : "", "family" : "Machin", "given" : "D.", "non-dropping-particle" : "", "parse-names" : false, "suffix" : "" }, { "dropping-particle" : "", "family" : "McLeod", "given" : "G.", "non-dropping-particle" : "", "parse-names" : false, "suffix" : "" } ], "container-title" : "J. Cryst. Growth", "id" : "ITEM-1", "issued" : { "date-parts" : [ [ "2001" ] ] }, "page" : "158-167", "title" : "An examination of the solution phase and nucleation properties of sodium , potassium and rubidium dodecyl sulphates", "type" : "article-journal", "volume" : "226" }, "uris" : [ "http://www.mendeley.com/documents/?uuid=74281b3b-be73-4462-955c-c6329e5dc666" ] } ], "mendeley" : { "formattedCitation" : "&lt;sup&gt;43&lt;/sup&gt;", "plainTextFormattedCitation" : "43", "previouslyFormattedCitation" : "&lt;sup&gt;43&lt;/sup&gt;" }, "properties" : { "noteIndex" : 0 }, "schema" : "https://github.com/citation-style-language/schema/raw/master/csl-citation.json" }</w:instrText>
      </w:r>
      <w:r w:rsidR="00E55860" w:rsidRPr="00573559">
        <w:fldChar w:fldCharType="separate"/>
      </w:r>
      <w:r w:rsidR="00290E7E" w:rsidRPr="00290E7E">
        <w:rPr>
          <w:noProof/>
          <w:vertAlign w:val="superscript"/>
        </w:rPr>
        <w:t>43</w:t>
      </w:r>
      <w:r w:rsidR="00E55860" w:rsidRPr="00573559">
        <w:fldChar w:fldCharType="end"/>
      </w:r>
      <w:r w:rsidRPr="00573559">
        <w:t xml:space="preserve"> </w:t>
      </w:r>
      <w:r w:rsidR="0046186D" w:rsidRPr="00573559">
        <w:t xml:space="preserve">however a </w:t>
      </w:r>
      <w:r w:rsidRPr="00573559">
        <w:t xml:space="preserve">different criterion </w:t>
      </w:r>
      <w:r w:rsidR="0046186D" w:rsidRPr="00573559">
        <w:t xml:space="preserve">was used for </w:t>
      </w:r>
      <w:r w:rsidR="0046186D" w:rsidRPr="00573559">
        <w:rPr>
          <w:i/>
        </w:rPr>
        <w:t>T</w:t>
      </w:r>
      <w:r w:rsidR="0046186D" w:rsidRPr="00573559">
        <w:rPr>
          <w:vertAlign w:val="subscript"/>
        </w:rPr>
        <w:t>0</w:t>
      </w:r>
      <w:r w:rsidR="0046186D" w:rsidRPr="00573559">
        <w:t xml:space="preserve"> (defined as the melting point of the equivalent heating rate). B</w:t>
      </w:r>
      <w:r w:rsidRPr="00573559">
        <w:t>y re-calculating</w:t>
      </w:r>
      <w:r w:rsidRPr="00573559">
        <w:rPr>
          <w:i/>
        </w:rPr>
        <w:t xml:space="preserve"> </w:t>
      </w:r>
      <w:r w:rsidRPr="001057D6">
        <w:rPr>
          <w:i/>
        </w:rPr>
        <w:t>m</w:t>
      </w:r>
      <w:r w:rsidRPr="00573559">
        <w:t xml:space="preserve"> </w:t>
      </w:r>
      <w:r w:rsidRPr="00573559">
        <w:lastRenderedPageBreak/>
        <w:t>with the more common definition utilized in this work,</w:t>
      </w:r>
      <w:r w:rsidR="00306300">
        <w:fldChar w:fldCharType="begin" w:fldLock="1"/>
      </w:r>
      <w:r w:rsidR="00600480">
        <w:instrText>ADDIN CSL_CITATION { "citationItems" : [ { "id" : "ITEM-1", "itemData" : { "author" : [ { "dropping-particle" : "", "family" : "Lyczko", "given" : "N.", "non-dropping-particle" : "", "parse-names" : false, "suffix" : "" }, { "dropping-particle" : "", "family" : "Espitalier", "given" : "F.", "non-dropping-particle" : "", "parse-names" : false, "suffix" : "" }, { "dropping-particle" : "", "family" : "Louisnard", "given" : "O.", "non-dropping-particle" : "", "parse-names" : false, "suffix" : "" }, { "dropping-particle" : "", "family" : "Schwartzentruber", "given" : "J.", "non-dropping-particle" : "", "parse-names" : false, "suffix" : "" } ], "container-title" : "Chem. Eng. J.", "id" : "ITEM-1", "issued" : { "date-parts" : [ [ "2002" ] ] }, "page" : "233-241", "title" : "Effect of ultrasound on the induction time and the metastable zone widths of potassium sulphate", "type" : "article-journal", "volume" : "86" }, "uris" : [ "http://www.mendeley.com/documents/?uuid=d2eb50f0-52d5-495a-ae82-c42d91249036" ] }, { "id" : "ITEM-2", "itemData" : { "author" : [ { "dropping-particle" : "", "family" : "Sangwal", "given" : "K.", "non-dropping-particle" : "", "parse-names" : false, "suffix" : "" } ], "container-title" : "Cryst. Growth Des.", "id" : "ITEM-2", "issued" : { "date-parts" : [ [ "2009" ] ] }, "page" : "942-950", "title" : "Novel Approach to Analyze Metastable Zone Width Determined by the Polythermal Method : Physical Interpretation of Various Parameters", "type" : "article-journal", "volume" : "9" }, "uris" : [ "http://www.mendeley.com/documents/?uuid=2e64934c-5c4c-4ca4-b76c-a64e42d97e9b" ] }, { "id" : "ITEM-3", "itemData" : { "author" : [ { "dropping-particle" : "", "family" : "Mullin", "given" : "J. W.", "non-dropping-particle" : "", "parse-names" : false, "suffix" : "" } ], "chapter-number" : "Ch 1", "container-title" : "Crystallization", "edition" : "4th", "id" : "ITEM-3", "issued" : { "date-parts" : [ [ "2001" ] ] }, "page" : "1-31", "publisher" : "Butterworth Heinmann", "publisher-place" : "Oxford", "title" : "Crystallization", "type" : "chapter" }, "uris" : [ "http://www.mendeley.com/documents/?uuid=794330a8-b2a8-40fa-bbdb-9c2e0a286b66" ] } ], "mendeley" : { "formattedCitation" : "&lt;sup&gt;22,23,57&lt;/sup&gt;", "plainTextFormattedCitation" : "22,23,57", "previouslyFormattedCitation" : "&lt;sup&gt;22,23,57&lt;/sup&gt;" }, "properties" : { "noteIndex" : 0 }, "schema" : "https://github.com/citation-style-language/schema/raw/master/csl-citation.json" }</w:instrText>
      </w:r>
      <w:r w:rsidR="00306300">
        <w:fldChar w:fldCharType="separate"/>
      </w:r>
      <w:r w:rsidR="00290E7E" w:rsidRPr="00290E7E">
        <w:rPr>
          <w:noProof/>
          <w:vertAlign w:val="superscript"/>
        </w:rPr>
        <w:t>22,23,57</w:t>
      </w:r>
      <w:r w:rsidR="00306300">
        <w:fldChar w:fldCharType="end"/>
      </w:r>
      <w:r w:rsidRPr="00573559">
        <w:t xml:space="preserve"> </w:t>
      </w:r>
      <w:r w:rsidR="00E71A15" w:rsidRPr="00573559">
        <w:rPr>
          <w:i/>
        </w:rPr>
        <w:t>m</w:t>
      </w:r>
      <w:r w:rsidR="00E71A15" w:rsidRPr="00573559">
        <w:t xml:space="preserve"> </w:t>
      </w:r>
      <w:r w:rsidRPr="00573559">
        <w:t xml:space="preserve">≈ </w:t>
      </w:r>
      <w:r w:rsidR="00370C44">
        <w:t>9.</w:t>
      </w:r>
      <w:r w:rsidR="00624E91">
        <w:t>3</w:t>
      </w:r>
      <w:r w:rsidRPr="00573559">
        <w:t xml:space="preserve"> f</w:t>
      </w:r>
      <w:r w:rsidR="00F964C5">
        <w:t>or</w:t>
      </w:r>
      <w:r w:rsidRPr="00573559">
        <w:t xml:space="preserve"> their data, in </w:t>
      </w:r>
      <w:r w:rsidR="00370C44">
        <w:t xml:space="preserve">closer </w:t>
      </w:r>
      <w:r w:rsidRPr="00573559">
        <w:t xml:space="preserve">agreement in </w:t>
      </w:r>
      <w:r w:rsidR="00E71A15" w:rsidRPr="00573559">
        <w:t xml:space="preserve">with </w:t>
      </w:r>
      <w:r w:rsidR="00031FC1">
        <w:t>these</w:t>
      </w:r>
      <w:r w:rsidRPr="00573559">
        <w:t xml:space="preserve"> findings.</w:t>
      </w:r>
    </w:p>
    <w:p w14:paraId="2F35405E" w14:textId="77777777" w:rsidR="00887404" w:rsidRDefault="00887404" w:rsidP="00633F9C">
      <w:pPr>
        <w:pStyle w:val="TAMainText"/>
      </w:pPr>
    </w:p>
    <w:p w14:paraId="3610AB8B" w14:textId="77777777" w:rsidR="00AD0206" w:rsidRDefault="00AD0206" w:rsidP="00633F9C">
      <w:pPr>
        <w:pStyle w:val="TAMainText"/>
      </w:pPr>
    </w:p>
    <w:p w14:paraId="3891B8BB" w14:textId="77777777" w:rsidR="00AD0206" w:rsidRDefault="00AD0206" w:rsidP="00633F9C">
      <w:pPr>
        <w:pStyle w:val="TAMainText"/>
      </w:pPr>
    </w:p>
    <w:p w14:paraId="014F7D16" w14:textId="77777777" w:rsidR="00B725E6" w:rsidRDefault="00361BCD" w:rsidP="00B725E6">
      <w:pPr>
        <w:pStyle w:val="TAMainText"/>
        <w:ind w:firstLine="0"/>
      </w:pPr>
      <w:r w:rsidRPr="006F47F5">
        <w:rPr>
          <w:b/>
        </w:rPr>
        <w:t xml:space="preserve">Morphology and </w:t>
      </w:r>
      <w:r w:rsidR="008822C7" w:rsidRPr="006F47F5">
        <w:rPr>
          <w:b/>
        </w:rPr>
        <w:t>Si</w:t>
      </w:r>
      <w:r w:rsidR="00A86922" w:rsidRPr="006F47F5">
        <w:rPr>
          <w:b/>
        </w:rPr>
        <w:t xml:space="preserve">ze </w:t>
      </w:r>
      <w:r w:rsidR="008822C7" w:rsidRPr="006F47F5">
        <w:rPr>
          <w:b/>
        </w:rPr>
        <w:t>D</w:t>
      </w:r>
      <w:r w:rsidR="00A86922" w:rsidRPr="006F47F5">
        <w:rPr>
          <w:b/>
        </w:rPr>
        <w:t>istributions</w:t>
      </w:r>
      <w:r w:rsidR="00B725E6" w:rsidRPr="00B725E6">
        <w:t xml:space="preserve"> </w:t>
      </w:r>
    </w:p>
    <w:p w14:paraId="0836BBD7" w14:textId="77777777" w:rsidR="00FE59B1" w:rsidRPr="00A41F97" w:rsidRDefault="00FE59B1" w:rsidP="00FE59B1">
      <w:pPr>
        <w:spacing w:after="0" w:line="360" w:lineRule="auto"/>
        <w:ind w:firstLine="284"/>
        <w:rPr>
          <w:rFonts w:asciiTheme="majorHAnsi" w:hAnsiTheme="majorHAnsi"/>
          <w:sz w:val="20"/>
        </w:rPr>
      </w:pPr>
      <w:r>
        <w:rPr>
          <w:rFonts w:asciiTheme="majorHAnsi" w:hAnsiTheme="majorHAnsi"/>
          <w:noProof/>
          <w:sz w:val="20"/>
          <w:lang w:val="en-GB" w:eastAsia="en-GB"/>
        </w:rPr>
        <w:drawing>
          <wp:inline distT="0" distB="0" distL="0" distR="0" wp14:anchorId="46117BEF" wp14:editId="27CC56BE">
            <wp:extent cx="2633472" cy="4437888"/>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14.tif"/>
                    <pic:cNvPicPr/>
                  </pic:nvPicPr>
                  <pic:blipFill>
                    <a:blip r:embed="rId16">
                      <a:extLst>
                        <a:ext uri="{28A0092B-C50C-407E-A947-70E740481C1C}">
                          <a14:useLocalDpi xmlns:a14="http://schemas.microsoft.com/office/drawing/2010/main" val="0"/>
                        </a:ext>
                      </a:extLst>
                    </a:blip>
                    <a:stretch>
                      <a:fillRect/>
                    </a:stretch>
                  </pic:blipFill>
                  <pic:spPr>
                    <a:xfrm>
                      <a:off x="0" y="0"/>
                      <a:ext cx="2633472" cy="4437888"/>
                    </a:xfrm>
                    <a:prstGeom prst="rect">
                      <a:avLst/>
                    </a:prstGeom>
                  </pic:spPr>
                </pic:pic>
              </a:graphicData>
            </a:graphic>
          </wp:inline>
        </w:drawing>
      </w:r>
    </w:p>
    <w:p w14:paraId="36D0EBAA" w14:textId="77777777" w:rsidR="00FE59B1" w:rsidRDefault="00FE59B1" w:rsidP="00FE59B1">
      <w:pPr>
        <w:pStyle w:val="VAFigureCaption"/>
        <w:pBdr>
          <w:bottom w:val="single" w:sz="6" w:space="1" w:color="auto"/>
        </w:pBdr>
      </w:pPr>
      <w:r w:rsidRPr="00A41F97">
        <w:rPr>
          <w:b/>
        </w:rPr>
        <w:t xml:space="preserve">Figure </w:t>
      </w:r>
      <w:r>
        <w:rPr>
          <w:b/>
        </w:rPr>
        <w:t>5</w:t>
      </w:r>
      <w:r w:rsidRPr="00A41F97">
        <w:rPr>
          <w:b/>
        </w:rPr>
        <w:t>.</w:t>
      </w:r>
      <w:r w:rsidRPr="00A41F97">
        <w:t xml:space="preserve"> Characterization of the crystal sizes and morphologies from </w:t>
      </w:r>
      <w:r>
        <w:t xml:space="preserve">the </w:t>
      </w:r>
      <w:r w:rsidRPr="00A41F97">
        <w:t xml:space="preserve">optical microscopy images of </w:t>
      </w:r>
      <w:r>
        <w:t xml:space="preserve">20% </w:t>
      </w:r>
      <w:r w:rsidRPr="00A41F97">
        <w:t>SDS-H</w:t>
      </w:r>
      <w:r w:rsidRPr="00A41F97">
        <w:rPr>
          <w:vertAlign w:val="subscript"/>
        </w:rPr>
        <w:t>2</w:t>
      </w:r>
      <w:r w:rsidRPr="00A41F97">
        <w:t>O solutions cooled linearly.</w:t>
      </w:r>
      <w:r>
        <w:t xml:space="preserve"> (a) Average crystal size</w:t>
      </w:r>
      <w:r w:rsidRPr="00A41F97">
        <w:t xml:space="preserve"> (&lt;</w:t>
      </w:r>
      <w:r w:rsidRPr="00A41F97">
        <w:rPr>
          <w:i/>
        </w:rPr>
        <w:t>A</w:t>
      </w:r>
      <w:r w:rsidRPr="00A41F97">
        <w:rPr>
          <w:vertAlign w:val="subscript"/>
        </w:rPr>
        <w:t>single</w:t>
      </w:r>
      <w:r w:rsidRPr="00A41F97">
        <w:t xml:space="preserve">&gt;), calculated via </w:t>
      </w:r>
      <w:r>
        <w:t xml:space="preserve">the sum of the representative area over the </w:t>
      </w:r>
      <w:r w:rsidRPr="009D3FBE">
        <w:t xml:space="preserve">total crystal number density </w:t>
      </w:r>
      <w:r>
        <w:t>(</w:t>
      </w:r>
      <w:r w:rsidRPr="00A41F97">
        <w:t>Σ</w:t>
      </w:r>
      <w:r w:rsidRPr="00576CDA">
        <w:rPr>
          <w:i/>
        </w:rPr>
        <w:t>A</w:t>
      </w:r>
      <w:r w:rsidRPr="00A41F97">
        <w:t>/</w:t>
      </w:r>
      <w:r w:rsidRPr="00A41F97">
        <w:rPr>
          <w:i/>
        </w:rPr>
        <w:t>N</w:t>
      </w:r>
      <w:r w:rsidRPr="00A41F97">
        <w:rPr>
          <w:vertAlign w:val="subscript"/>
        </w:rPr>
        <w:t>∞</w:t>
      </w:r>
      <w:r>
        <w:t>).</w:t>
      </w:r>
      <w:r w:rsidRPr="00A41F97">
        <w:t xml:space="preserve"> The </w:t>
      </w:r>
      <w:r>
        <w:t xml:space="preserve">vertical bars </w:t>
      </w:r>
      <w:r w:rsidRPr="00A41F97">
        <w:t>represent the</w:t>
      </w:r>
      <w:r>
        <w:t xml:space="preserve"> measured</w:t>
      </w:r>
      <w:r w:rsidRPr="00A41F97">
        <w:t xml:space="preserve"> </w:t>
      </w:r>
      <w:r>
        <w:t xml:space="preserve">size distribution at </w:t>
      </w:r>
      <w:r>
        <w:rPr>
          <w:i/>
        </w:rPr>
        <w:t>T</w:t>
      </w:r>
      <w:r w:rsidRPr="00A9152F">
        <w:rPr>
          <w:vertAlign w:val="subscript"/>
        </w:rPr>
        <w:t>f</w:t>
      </w:r>
      <w:r w:rsidRPr="00A41F97">
        <w:t>. (b</w:t>
      </w:r>
      <w:r>
        <w:t xml:space="preserve">) </w:t>
      </w:r>
      <w:r w:rsidRPr="00A41F97">
        <w:t>Broad classification of the morphologies as needles and platelets</w:t>
      </w:r>
      <w:r>
        <w:t xml:space="preserve"> and</w:t>
      </w:r>
      <w:r w:rsidRPr="00A41F97">
        <w:t xml:space="preserve"> (</w:t>
      </w:r>
      <w:r>
        <w:t>c</w:t>
      </w:r>
      <w:r w:rsidRPr="00A41F97">
        <w:t xml:space="preserve">) </w:t>
      </w:r>
      <w:r>
        <w:t>a f</w:t>
      </w:r>
      <w:r w:rsidRPr="00A41F97">
        <w:t xml:space="preserve">urther classification of </w:t>
      </w:r>
      <w:r>
        <w:t xml:space="preserve">the </w:t>
      </w:r>
      <w:r w:rsidRPr="00A41F97">
        <w:t>needles as single needles and bundles.</w:t>
      </w:r>
      <w:r>
        <w:t xml:space="preserve"> For graphs (b) and (c), the s</w:t>
      </w:r>
      <w:r w:rsidRPr="00115EEE">
        <w:t>quare</w:t>
      </w:r>
      <w:r>
        <w:t xml:space="preserve"> and circular</w:t>
      </w:r>
      <w:r w:rsidRPr="00115EEE">
        <w:t xml:space="preserve"> </w:t>
      </w:r>
      <w:r w:rsidRPr="00115EEE">
        <w:lastRenderedPageBreak/>
        <w:t>symbols</w:t>
      </w:r>
      <w:r>
        <w:t xml:space="preserve"> correspond to the linear cooling data and the horizontal lines indicate the </w:t>
      </w:r>
      <w:r w:rsidRPr="000F58B1">
        <w:rPr>
          <w:rFonts w:cstheme="majorHAnsi"/>
        </w:rPr>
        <w:t>Δ</w:t>
      </w:r>
      <w:r>
        <w:rPr>
          <w:rFonts w:cstheme="majorHAnsi"/>
          <w:i/>
        </w:rPr>
        <w:t>T</w:t>
      </w:r>
      <w:r w:rsidRPr="000C5FA4">
        <w:rPr>
          <w:vertAlign w:val="subscript"/>
        </w:rPr>
        <w:t>(N)</w:t>
      </w:r>
      <w:r>
        <w:t xml:space="preserve">, at the </w:t>
      </w:r>
      <w:r w:rsidRPr="007B2B2E">
        <w:rPr>
          <w:rFonts w:ascii="Symbol" w:hAnsi="Symbol"/>
          <w:i/>
        </w:rPr>
        <w:t></w:t>
      </w:r>
      <w:r>
        <w:t xml:space="preserve"> shown in the adjacent label. For comparison, the dashed lines are the isothermal (“iso”) data for each </w:t>
      </w:r>
      <w:r w:rsidRPr="00931A4C">
        <w:rPr>
          <w:i/>
        </w:rPr>
        <w:t>T</w:t>
      </w:r>
      <w:r>
        <w:t>.</w:t>
      </w:r>
    </w:p>
    <w:p w14:paraId="07EDBA51" w14:textId="77777777" w:rsidR="00FE59B1" w:rsidRDefault="00FE59B1" w:rsidP="00FE59B1">
      <w:pPr>
        <w:pStyle w:val="TAMainText"/>
      </w:pPr>
    </w:p>
    <w:p w14:paraId="127CED05" w14:textId="3BE3E366" w:rsidR="00B725E6" w:rsidRDefault="00B725E6" w:rsidP="00B725E6">
      <w:pPr>
        <w:pStyle w:val="TAMainText"/>
      </w:pPr>
      <w:r w:rsidRPr="00A41F97">
        <w:t xml:space="preserve">The </w:t>
      </w:r>
      <w:r w:rsidRPr="003E2F19">
        <w:rPr>
          <w:i/>
        </w:rPr>
        <w:t>average</w:t>
      </w:r>
      <w:r w:rsidRPr="00A41F97">
        <w:t xml:space="preserve"> single crystal area &lt;</w:t>
      </w:r>
      <w:r w:rsidRPr="00A41F97">
        <w:rPr>
          <w:i/>
        </w:rPr>
        <w:t>A</w:t>
      </w:r>
      <w:r w:rsidRPr="00A41F97">
        <w:rPr>
          <w:vertAlign w:val="subscript"/>
        </w:rPr>
        <w:t>single</w:t>
      </w:r>
      <w:r w:rsidRPr="00A41F97">
        <w:t>&gt; = Σ</w:t>
      </w:r>
      <w:r w:rsidRPr="00A41F97">
        <w:rPr>
          <w:i/>
        </w:rPr>
        <w:t>A</w:t>
      </w:r>
      <w:r w:rsidRPr="00A41F97">
        <w:t>/</w:t>
      </w:r>
      <w:r w:rsidRPr="000F58B1">
        <w:rPr>
          <w:i/>
        </w:rPr>
        <w:t>N</w:t>
      </w:r>
      <w:r w:rsidRPr="00A41F97">
        <w:rPr>
          <w:vertAlign w:val="subscript"/>
        </w:rPr>
        <w:t>∞</w:t>
      </w:r>
      <w:r>
        <w:t xml:space="preserve"> at </w:t>
      </w:r>
      <w:r w:rsidRPr="00E24C57">
        <w:rPr>
          <w:i/>
        </w:rPr>
        <w:t>T</w:t>
      </w:r>
      <w:r w:rsidRPr="00E24C57">
        <w:rPr>
          <w:vertAlign w:val="subscript"/>
        </w:rPr>
        <w:t>f</w:t>
      </w:r>
      <w:r>
        <w:t xml:space="preserve">, depicted in </w:t>
      </w:r>
      <w:r w:rsidRPr="00A41F97">
        <w:t xml:space="preserve">Figure </w:t>
      </w:r>
      <w:r>
        <w:t>5</w:t>
      </w:r>
      <w:r w:rsidRPr="00A41F97">
        <w:t xml:space="preserve">(a), decreases with increasing </w:t>
      </w:r>
      <w:r w:rsidRPr="007E06BB">
        <w:rPr>
          <w:rFonts w:ascii="Symbol" w:hAnsi="Symbol"/>
          <w:i/>
        </w:rPr>
        <w:t></w:t>
      </w:r>
      <w:r>
        <w:t xml:space="preserve">, </w:t>
      </w:r>
      <w:r w:rsidRPr="00264FE5">
        <w:t xml:space="preserve">as </w:t>
      </w:r>
      <w:r w:rsidR="00FE59B1" w:rsidRPr="00264FE5">
        <w:t xml:space="preserve"> </w:t>
      </w:r>
      <w:r w:rsidRPr="00264FE5">
        <w:t>large nucleation rates restrict</w:t>
      </w:r>
      <w:r w:rsidR="00C9757A">
        <w:t xml:space="preserve"> </w:t>
      </w:r>
      <w:r w:rsidRPr="00264FE5">
        <w:t>crystal size</w:t>
      </w:r>
      <w:r w:rsidR="00FE59B1">
        <w:t>s</w:t>
      </w:r>
      <w:r w:rsidRPr="00264FE5">
        <w:t xml:space="preserve"> </w:t>
      </w:r>
      <w:r>
        <w:t>(cf.</w:t>
      </w:r>
      <w:r w:rsidRPr="00A41F97">
        <w:t xml:space="preserve"> Figure 2</w:t>
      </w:r>
      <w:r>
        <w:t>)</w:t>
      </w:r>
      <w:r w:rsidRPr="00264FE5">
        <w:t xml:space="preserve">. </w:t>
      </w:r>
      <w:r>
        <w:t xml:space="preserve">The measured crystal size distribution or polydispersity, indicated by the vertical bars around the average estimates, also decreases with increasing </w:t>
      </w:r>
      <w:r w:rsidRPr="006B66EC">
        <w:rPr>
          <w:rFonts w:ascii="Symbol" w:hAnsi="Symbol"/>
          <w:i/>
        </w:rPr>
        <w:t></w:t>
      </w:r>
      <w:r>
        <w:t xml:space="preserve"> (note the vertical log scale). </w:t>
      </w:r>
      <w:r w:rsidRPr="00264FE5">
        <w:t xml:space="preserve">An approximate dependence </w:t>
      </w:r>
      <w:r w:rsidR="00C9757A">
        <w:t xml:space="preserve">of </w:t>
      </w:r>
      <w:r w:rsidRPr="00264FE5">
        <w:t>&lt;</w:t>
      </w:r>
      <w:r w:rsidRPr="00C9757A">
        <w:rPr>
          <w:i/>
        </w:rPr>
        <w:t>A</w:t>
      </w:r>
      <w:r w:rsidRPr="00C9757A">
        <w:rPr>
          <w:vertAlign w:val="subscript"/>
        </w:rPr>
        <w:t>single</w:t>
      </w:r>
      <w:r w:rsidRPr="00264FE5">
        <w:t xml:space="preserve">&gt; </w:t>
      </w:r>
      <w:r w:rsidRPr="00264FE5">
        <w:rPr>
          <w:rFonts w:ascii="Cambria Math" w:hAnsi="Cambria Math" w:cs="Cambria Math"/>
        </w:rPr>
        <w:t>∝</w:t>
      </w:r>
      <w:r w:rsidRPr="00264FE5">
        <w:t xml:space="preserve"> </w:t>
      </w:r>
      <w:r w:rsidRPr="00264FE5">
        <w:rPr>
          <w:rFonts w:ascii="Symbol" w:hAnsi="Symbol"/>
          <w:i/>
        </w:rPr>
        <w:t></w:t>
      </w:r>
      <w:r w:rsidRPr="00264FE5">
        <w:rPr>
          <w:rFonts w:ascii="Symbol" w:hAnsi="Symbol"/>
          <w:i/>
          <w:vertAlign w:val="superscript"/>
        </w:rPr>
        <w:t></w:t>
      </w:r>
      <w:r w:rsidRPr="00264FE5">
        <w:rPr>
          <w:rFonts w:ascii="Symbol" w:hAnsi="Symbol"/>
          <w:i/>
          <w:vertAlign w:val="superscript"/>
        </w:rPr>
        <w:t></w:t>
      </w:r>
      <w:r w:rsidRPr="00264FE5">
        <w:t xml:space="preserve">, where </w:t>
      </w:r>
      <w:r w:rsidRPr="00C9757A">
        <w:rPr>
          <w:rFonts w:ascii="Symbol" w:hAnsi="Symbol"/>
          <w:i/>
        </w:rPr>
        <w:t></w:t>
      </w:r>
      <w:r w:rsidR="009E178C">
        <w:t xml:space="preserve"> </w:t>
      </w:r>
      <w:r w:rsidRPr="00264FE5">
        <w:t>≈</w:t>
      </w:r>
      <w:r w:rsidR="009E178C">
        <w:t xml:space="preserve"> </w:t>
      </w:r>
      <w:r w:rsidRPr="00264FE5">
        <w:t>1.1-1.4, describes the measurements</w:t>
      </w:r>
      <w:r w:rsidR="009E178C" w:rsidRPr="00264FE5">
        <w:t xml:space="preserve"> </w:t>
      </w:r>
      <w:r w:rsidRPr="00264FE5">
        <w:t>within the observed polydispersity</w:t>
      </w:r>
      <w:r>
        <w:t xml:space="preserve">. These trends can be rationalized based on the </w:t>
      </w:r>
      <w:r w:rsidRPr="00A41F97">
        <w:t>competition between nucleation and growth</w:t>
      </w:r>
      <w:r>
        <w:t xml:space="preserve"> within a finite volume: a</w:t>
      </w:r>
      <w:r w:rsidRPr="00A41F97">
        <w:t xml:space="preserve">t </w:t>
      </w:r>
      <w:r w:rsidRPr="005F1C3B">
        <w:t>faster</w:t>
      </w:r>
      <w:r>
        <w:t xml:space="preserve"> </w:t>
      </w:r>
      <w:r w:rsidRPr="006B66EC">
        <w:rPr>
          <w:rFonts w:ascii="Symbol" w:hAnsi="Symbol"/>
          <w:i/>
        </w:rPr>
        <w:t></w:t>
      </w:r>
      <w:r>
        <w:rPr>
          <w:rFonts w:cstheme="majorHAnsi"/>
        </w:rPr>
        <w:t xml:space="preserve"> nucleation</w:t>
      </w:r>
      <w:r w:rsidR="00C9757A">
        <w:rPr>
          <w:rFonts w:cstheme="majorHAnsi"/>
        </w:rPr>
        <w:t>-</w:t>
      </w:r>
      <w:r>
        <w:rPr>
          <w:rFonts w:cstheme="majorHAnsi"/>
        </w:rPr>
        <w:t xml:space="preserve">favored regimes </w:t>
      </w:r>
      <w:r>
        <w:t xml:space="preserve">(lower </w:t>
      </w:r>
      <w:r w:rsidRPr="005C6069">
        <w:rPr>
          <w:i/>
        </w:rPr>
        <w:t>T</w:t>
      </w:r>
      <w:r>
        <w:t>) are reached quicker, where</w:t>
      </w:r>
      <w:r w:rsidRPr="00A41F97">
        <w:t xml:space="preserve"> </w:t>
      </w:r>
      <w:r>
        <w:t>d</w:t>
      </w:r>
      <w:r w:rsidRPr="0083468C">
        <w:rPr>
          <w:i/>
        </w:rPr>
        <w:t>N</w:t>
      </w:r>
      <w:r w:rsidRPr="006C1965">
        <w:rPr>
          <w:vertAlign w:val="subscript"/>
        </w:rPr>
        <w:t>d</w:t>
      </w:r>
      <w:r>
        <w:t>/d</w:t>
      </w:r>
      <w:r w:rsidRPr="0083468C">
        <w:rPr>
          <w:i/>
        </w:rPr>
        <w:t>t</w:t>
      </w:r>
      <w:r>
        <w:rPr>
          <w:i/>
        </w:rPr>
        <w:t xml:space="preserve"> </w:t>
      </w:r>
      <w:r w:rsidRPr="004C6F24">
        <w:t>is high</w:t>
      </w:r>
      <w:r>
        <w:t xml:space="preserve"> and </w:t>
      </w:r>
      <w:r w:rsidRPr="00A41F97">
        <w:t>Δ</w:t>
      </w:r>
      <w:r w:rsidRPr="00A41F97">
        <w:rPr>
          <w:i/>
        </w:rPr>
        <w:t>t</w:t>
      </w:r>
      <w:r w:rsidRPr="00A41F97">
        <w:rPr>
          <w:vertAlign w:val="subscript"/>
        </w:rPr>
        <w:t>(N)</w:t>
      </w:r>
      <w:r w:rsidRPr="00A41F97">
        <w:t xml:space="preserve"> </w:t>
      </w:r>
      <w:r>
        <w:t xml:space="preserve">is </w:t>
      </w:r>
      <w:r w:rsidRPr="00A41F97">
        <w:t>low</w:t>
      </w:r>
      <w:r>
        <w:t>, yielding c</w:t>
      </w:r>
      <w:r w:rsidRPr="00A41F97">
        <w:t xml:space="preserve">rystals </w:t>
      </w:r>
      <w:r>
        <w:t>of</w:t>
      </w:r>
      <w:r w:rsidRPr="00A41F97">
        <w:t xml:space="preserve"> </w:t>
      </w:r>
      <w:r>
        <w:t xml:space="preserve">smaller, </w:t>
      </w:r>
      <w:r w:rsidRPr="00A41F97">
        <w:t>similar sizes</w:t>
      </w:r>
      <w:r>
        <w:t xml:space="preserve"> </w:t>
      </w:r>
      <w:r w:rsidRPr="00A41F97">
        <w:t>before the solute is depleted</w:t>
      </w:r>
      <w:r>
        <w:t>.</w:t>
      </w:r>
      <w:r>
        <w:fldChar w:fldCharType="begin" w:fldLock="1"/>
      </w:r>
      <w:r>
        <w:instrText>ADDIN CSL_CITATION { "citationItems" : [ { "id" : "ITEM-1", "itemData" : { "DOI" : "10.1021/cg1011633", "author" : [ { "dropping-particle" : "", "family" : "Vekilov", "given" : "P. G.", "non-dropping-particle" : "", "parse-names" : false, "suffix" : "" } ], "container-title" : "Cryst. Growth Des.", "id" : "ITEM-1", "issued" : { "date-parts" : [ [ "2010" ] ] }, "page" : "5007-5019", "title" : "Nucleation", "type" : "article-journal", "volume" : "10" }, "uris" : [ "http://www.mendeley.com/documents/?uuid=38e76dfd-c1ac-485b-bfc4-2b75e42db277" ] } ], "mendeley" : { "formattedCitation" : "&lt;sup&gt;54&lt;/sup&gt;", "plainTextFormattedCitation" : "54", "previouslyFormattedCitation" : "&lt;sup&gt;54&lt;/sup&gt;" }, "properties" : { "noteIndex" : 0 }, "schema" : "https://github.com/citation-style-language/schema/raw/master/csl-citation.json" }</w:instrText>
      </w:r>
      <w:r>
        <w:fldChar w:fldCharType="separate"/>
      </w:r>
      <w:r w:rsidRPr="00290E7E">
        <w:rPr>
          <w:noProof/>
          <w:vertAlign w:val="superscript"/>
        </w:rPr>
        <w:t>54</w:t>
      </w:r>
      <w:r>
        <w:fldChar w:fldCharType="end"/>
      </w:r>
    </w:p>
    <w:p w14:paraId="2C28515D" w14:textId="671B98A7" w:rsidR="00E90645" w:rsidRDefault="00287965" w:rsidP="001A56E7">
      <w:pPr>
        <w:pStyle w:val="TAMainText"/>
      </w:pPr>
      <w:r w:rsidRPr="00DD17CB">
        <w:t xml:space="preserve">The dominant crystal </w:t>
      </w:r>
      <w:r w:rsidR="0081420F">
        <w:t>morphologies are</w:t>
      </w:r>
      <w:r w:rsidRPr="00DD17CB">
        <w:t xml:space="preserve"> also affected by </w:t>
      </w:r>
      <w:r w:rsidR="005C0FFD" w:rsidRPr="00DD17CB">
        <w:rPr>
          <w:rFonts w:ascii="Symbol" w:hAnsi="Symbol"/>
          <w:i/>
        </w:rPr>
        <w:t></w:t>
      </w:r>
      <w:r w:rsidRPr="00DD17CB">
        <w:t xml:space="preserve">. Surfactants </w:t>
      </w:r>
      <w:r w:rsidR="00155A42">
        <w:t>typica</w:t>
      </w:r>
      <w:r w:rsidRPr="00DD17CB">
        <w:t xml:space="preserve">lly crystallize </w:t>
      </w:r>
      <w:r w:rsidR="005C0FFD" w:rsidRPr="00DD17CB">
        <w:t>as</w:t>
      </w:r>
      <w:r w:rsidRPr="00DD17CB">
        <w:t xml:space="preserve"> p</w:t>
      </w:r>
      <w:r w:rsidR="005C0FFD" w:rsidRPr="00DD17CB">
        <w:t>latelet</w:t>
      </w:r>
      <w:r w:rsidR="005F1C3B">
        <w:t>s</w:t>
      </w:r>
      <w:r w:rsidR="005C0FFD" w:rsidRPr="00DD17CB">
        <w:t xml:space="preserve"> or needle</w:t>
      </w:r>
      <w:r w:rsidR="00456A48">
        <w:t xml:space="preserve">s with </w:t>
      </w:r>
      <w:r w:rsidRPr="00DD17CB">
        <w:t>a high surface area to volume ratio.</w:t>
      </w:r>
      <w:r w:rsidR="005C0FFD" w:rsidRPr="00DD17CB">
        <w:fldChar w:fldCharType="begin" w:fldLock="1"/>
      </w:r>
      <w:r w:rsidR="00600480">
        <w:instrText>ADDIN CSL_CITATION { "citationItems" : [ { "id" : "ITEM-1", "itemData" : { "DOI" : "10.1021/la9702087", "ISSN" : "0743-7463", "abstract" : "Four hydrate forms of sodium dodecyl sulfate (SDS), the 1/8 hydrate, the hemihydrate, the monohydrate, and the dihydrate, and the Rb+ and Mg2+ salts of dodecyl sulfate (RbDS and MgDS) were synthesized under conditions previously used to form crystals for X-ray crystallography. Correlations were made between the IR transmission spectra and crystal structures. IR spectra of 10-75 wt % slurries of DS salts in water were examined at the same concentration and after the same thermal treatments as previously described for \u201ccoagel phases\u201d of SDS. The \u201ccoagels\u201d of SDS were shown to consist of suspensions of well- characterized crystalline hydrate phases or of metastable solids in the process of conversion to one of the hydrates described; the term \u201ccoagel\u201d should be rejected in favor of \u201ccrystalline phase\u201d. The crystalline phases of SDS formed under \u201ccoagelization\u201d included the hemihydrate, the monohydrate, and the dihydrate. Only the dihydrate was stable (two different forms, interconverted at 19.6 \u00b0C) in contact with aqueous solutions at temperatures below 55 \u00b0C and compositions below 87.8 wt %, as predicted in the literature. The other hydrates slowly interconverted to the dihydrate when in contact with aqueous solutions, even below 0 \u00b0C. The interconversion often required &gt;7 days under the conditions favoring formation of a single hydrate, but did occur in &lt;2 h near 5 \u00b0C. The practice of prediction of order in the packing of alkyl chains based on the position of the 2920 cm-1 band was criticized; SDS monohydrate, having one all-trans molecule and one chain with one gauche bond, presented the band at 2915.7 cm-1; the hemihydrate, however, with all-trans bonds presented the band at 2923.2 cm-1. The relative absorbances of the 2850 and 2920 cm-1 peaks in SDS changed drastically with crystallinity and crystal identity. Three of the unit cells (methylene local symmetries, MLS) of the packed all-trans alkyl chains occurring in these phases were novel. The A2/m structures (of SDS mono- and hemihydrate) have been predicted but not previously observed. The MLS of RbDS required four chains to describe the methylene unit cell but is otherwise similar to \u201chybrid\u201d cells, while the nonintegral chain-to-chain axial offset in the MgDS structure was unique.", "author" : [ { "dropping-particle" : "", "family" : "Sperline", "given" : "R. P.", "non-dropping-particle" : "", "parse-names" : false, "suffix" : "" } ], "container-title" : "Langmuir", "id" : "ITEM-1", "issued" : { "date-parts" : [ [ "1997" ] ] }, "page" : "3715-3726", "title" : "Infrared Spectroscopic Study of the Crystalline Phases of Sodium Dodecyl Sulfate", "type" : "article-journal", "volume" : "13" }, "uris" : [ "http://www.mendeley.com/documents/?uuid=cc4cf619-2cf8-455a-b01e-ff9d6cd5a615" ] } ], "mendeley" : { "formattedCitation" : "&lt;sup&gt;37&lt;/sup&gt;", "plainTextFormattedCitation" : "37", "previouslyFormattedCitation" : "&lt;sup&gt;37&lt;/sup&gt;" }, "properties" : { "noteIndex" : 0 }, "schema" : "https://github.com/citation-style-language/schema/raw/master/csl-citation.json" }</w:instrText>
      </w:r>
      <w:r w:rsidR="005C0FFD" w:rsidRPr="00DD17CB">
        <w:fldChar w:fldCharType="separate"/>
      </w:r>
      <w:r w:rsidR="00290E7E" w:rsidRPr="00290E7E">
        <w:rPr>
          <w:noProof/>
          <w:vertAlign w:val="superscript"/>
        </w:rPr>
        <w:t>37</w:t>
      </w:r>
      <w:r w:rsidR="005C0FFD" w:rsidRPr="00DD17CB">
        <w:fldChar w:fldCharType="end"/>
      </w:r>
      <w:r w:rsidRPr="00DD17CB">
        <w:t xml:space="preserve"> In this work, needles were classified</w:t>
      </w:r>
      <w:r w:rsidR="00A667C0" w:rsidRPr="00DD17CB">
        <w:t xml:space="preserve"> further</w:t>
      </w:r>
      <w:r w:rsidRPr="00DD17CB">
        <w:t xml:space="preserve"> as bundles or single needles, </w:t>
      </w:r>
      <w:r w:rsidR="00185E50">
        <w:t xml:space="preserve">which are </w:t>
      </w:r>
      <w:r w:rsidR="00DD17CB">
        <w:t xml:space="preserve">evident in Figure 2. </w:t>
      </w:r>
      <w:r w:rsidRPr="00806E37">
        <w:t xml:space="preserve">The distribution of crystal morphologies </w:t>
      </w:r>
      <w:r w:rsidR="00B406FD">
        <w:t>at the various</w:t>
      </w:r>
      <w:r w:rsidRPr="00806E37">
        <w:t xml:space="preserve"> </w:t>
      </w:r>
      <w:r w:rsidR="00DD17CB" w:rsidRPr="00806E37">
        <w:rPr>
          <w:rFonts w:ascii="Symbol" w:hAnsi="Symbol"/>
          <w:i/>
        </w:rPr>
        <w:t></w:t>
      </w:r>
      <w:r w:rsidR="00B406FD">
        <w:t xml:space="preserve"> as a function of </w:t>
      </w:r>
      <w:r w:rsidR="00B406FD" w:rsidRPr="00B406FD">
        <w:rPr>
          <w:i/>
        </w:rPr>
        <w:t>t</w:t>
      </w:r>
      <w:r w:rsidR="00B406FD">
        <w:t xml:space="preserve"> </w:t>
      </w:r>
      <w:r w:rsidR="006D6856">
        <w:t xml:space="preserve">is </w:t>
      </w:r>
      <w:r w:rsidRPr="00806E37">
        <w:t>in shown in Figures 5(b) and (c)</w:t>
      </w:r>
      <w:r w:rsidR="00806E37" w:rsidRPr="00806E37">
        <w:t>,</w:t>
      </w:r>
      <w:r w:rsidRPr="00806E37">
        <w:t xml:space="preserve"> and </w:t>
      </w:r>
      <w:r w:rsidR="00181975">
        <w:t xml:space="preserve">has been </w:t>
      </w:r>
      <w:r w:rsidRPr="00806E37">
        <w:t xml:space="preserve">compared </w:t>
      </w:r>
      <w:r w:rsidR="00806E37" w:rsidRPr="00806E37">
        <w:t>to the</w:t>
      </w:r>
      <w:r w:rsidRPr="00806E37">
        <w:t xml:space="preserve"> isothermal data</w:t>
      </w:r>
      <w:r w:rsidR="00806E37" w:rsidRPr="00806E37">
        <w:t xml:space="preserve">, </w:t>
      </w:r>
      <w:r w:rsidR="00185E50">
        <w:t xml:space="preserve">shown by </w:t>
      </w:r>
      <w:r w:rsidR="00806E37" w:rsidRPr="00806E37">
        <w:t xml:space="preserve">the </w:t>
      </w:r>
      <w:r w:rsidRPr="00806E37">
        <w:t>dashed lines</w:t>
      </w:r>
      <w:r w:rsidRPr="005C4CE2">
        <w:t>.</w:t>
      </w:r>
      <w:r w:rsidR="00CE6576">
        <w:t xml:space="preserve"> With increas</w:t>
      </w:r>
      <w:r w:rsidR="00185E50">
        <w:t>ing</w:t>
      </w:r>
      <w:r w:rsidR="00CE6576">
        <w:t xml:space="preserve"> </w:t>
      </w:r>
      <w:r w:rsidR="00CE6576" w:rsidRPr="00806E37">
        <w:rPr>
          <w:rFonts w:ascii="Symbol" w:hAnsi="Symbol"/>
          <w:i/>
        </w:rPr>
        <w:t></w:t>
      </w:r>
      <w:r w:rsidR="00185E50">
        <w:t xml:space="preserve">, </w:t>
      </w:r>
      <w:r w:rsidR="00CE6576">
        <w:t>the proportion of needles to platelets increases</w:t>
      </w:r>
      <w:r w:rsidR="004A798D">
        <w:t xml:space="preserve">, in agreement with the decrease in </w:t>
      </w:r>
      <w:r w:rsidR="004A798D" w:rsidRPr="004A798D">
        <w:t>&lt;</w:t>
      </w:r>
      <w:r w:rsidR="004A798D" w:rsidRPr="004A798D">
        <w:rPr>
          <w:i/>
        </w:rPr>
        <w:t>A</w:t>
      </w:r>
      <w:r w:rsidR="004A798D" w:rsidRPr="004A798D">
        <w:rPr>
          <w:vertAlign w:val="subscript"/>
        </w:rPr>
        <w:t>single</w:t>
      </w:r>
      <w:r w:rsidR="004A798D" w:rsidRPr="004A798D">
        <w:t xml:space="preserve">&gt; </w:t>
      </w:r>
      <w:r w:rsidR="00C9757A">
        <w:t xml:space="preserve">as </w:t>
      </w:r>
      <w:r w:rsidR="004A798D" w:rsidRPr="004A798D">
        <w:rPr>
          <w:i/>
        </w:rPr>
        <w:t>N</w:t>
      </w:r>
      <w:r w:rsidR="006D6856" w:rsidRPr="00A41F97">
        <w:rPr>
          <w:vertAlign w:val="subscript"/>
        </w:rPr>
        <w:t>∞</w:t>
      </w:r>
      <w:r w:rsidR="00F06714" w:rsidRPr="00F06714">
        <w:t xml:space="preserve"> </w:t>
      </w:r>
      <w:r w:rsidR="00C9757A">
        <w:t>increases.</w:t>
      </w:r>
      <w:r w:rsidR="002C2972">
        <w:t xml:space="preserve"> </w:t>
      </w:r>
      <w:r w:rsidR="00C9757A">
        <w:t>Intermediate rates impose a</w:t>
      </w:r>
      <w:r w:rsidR="00C9757A" w:rsidRPr="00A55780">
        <w:t xml:space="preserve"> prolonged cooling period during which nucleation, growth and a crossover of dominant crystal morphology takes place.  </w:t>
      </w:r>
      <w:r w:rsidR="00C9757A">
        <w:t>Further, t</w:t>
      </w:r>
      <w:r w:rsidR="002C2972" w:rsidRPr="00D84478">
        <w:t xml:space="preserve">he crystals </w:t>
      </w:r>
      <w:r w:rsidR="005F1C3B">
        <w:t xml:space="preserve">that </w:t>
      </w:r>
      <w:r w:rsidR="00185E50">
        <w:t xml:space="preserve">grow non-isothermally </w:t>
      </w:r>
      <w:r w:rsidR="002C2972" w:rsidRPr="00C56940">
        <w:t>are distorted when compared to those grown isothermally</w:t>
      </w:r>
      <w:r w:rsidR="008A1945">
        <w:t xml:space="preserve">, </w:t>
      </w:r>
      <w:r w:rsidR="00A55780">
        <w:t>particularly</w:t>
      </w:r>
      <w:r w:rsidR="00185E50">
        <w:t xml:space="preserve"> visible at the </w:t>
      </w:r>
      <w:r w:rsidR="008A1945">
        <w:t xml:space="preserve">intermediate </w:t>
      </w:r>
      <w:r w:rsidR="008A1945" w:rsidRPr="008A1945">
        <w:rPr>
          <w:rFonts w:ascii="Symbol" w:hAnsi="Symbol"/>
          <w:i/>
        </w:rPr>
        <w:t></w:t>
      </w:r>
      <w:r w:rsidR="008A1945">
        <w:t xml:space="preserve"> = 0.5 and 1.0 </w:t>
      </w:r>
      <w:r w:rsidR="008A1945" w:rsidRPr="00EF36D5">
        <w:t>°C min</w:t>
      </w:r>
      <w:r w:rsidR="008A1945" w:rsidRPr="00EF36D5">
        <w:rPr>
          <w:vertAlign w:val="superscript"/>
        </w:rPr>
        <w:t>-1</w:t>
      </w:r>
      <w:r w:rsidR="002C2972" w:rsidRPr="00C56940">
        <w:t>,</w:t>
      </w:r>
      <w:r w:rsidR="008A1945">
        <w:t xml:space="preserve"> which are not readily comparable to the morphologies observed isothermally. This effect is pronounced as lower</w:t>
      </w:r>
      <w:r w:rsidR="002C2972" w:rsidRPr="00C56940">
        <w:t xml:space="preserve"> </w:t>
      </w:r>
      <w:r w:rsidR="002C2972" w:rsidRPr="00C56940">
        <w:rPr>
          <w:i/>
        </w:rPr>
        <w:t>T</w:t>
      </w:r>
      <w:r w:rsidR="008A1945">
        <w:t xml:space="preserve"> are </w:t>
      </w:r>
      <w:r w:rsidR="00185E50">
        <w:t>reached</w:t>
      </w:r>
      <w:r w:rsidR="002C2972" w:rsidRPr="00C56940">
        <w:t xml:space="preserve"> </w:t>
      </w:r>
      <w:r w:rsidR="00F06714">
        <w:t>because</w:t>
      </w:r>
      <w:r w:rsidR="00F06714" w:rsidRPr="00C56940">
        <w:t xml:space="preserve"> </w:t>
      </w:r>
      <w:r w:rsidR="002C2972" w:rsidRPr="00C56940">
        <w:t xml:space="preserve">growth rates </w:t>
      </w:r>
      <w:r w:rsidR="00D36BEB">
        <w:t>ris</w:t>
      </w:r>
      <w:r w:rsidR="002C2972" w:rsidRPr="00C56940">
        <w:t>e</w:t>
      </w:r>
      <w:r w:rsidR="005F1C3B">
        <w:t>, thereby</w:t>
      </w:r>
      <w:r w:rsidR="00494F6E">
        <w:t xml:space="preserve"> introducing </w:t>
      </w:r>
      <w:r w:rsidR="00C9757A">
        <w:t>additional</w:t>
      </w:r>
      <w:r w:rsidR="00494F6E">
        <w:t xml:space="preserve"> defects into the system</w:t>
      </w:r>
      <w:r w:rsidR="00185E50">
        <w:t>.</w:t>
      </w:r>
      <w:r w:rsidR="00C56940" w:rsidRPr="00C56940">
        <w:fldChar w:fldCharType="begin" w:fldLock="1"/>
      </w:r>
      <w:r w:rsidR="00600480">
        <w:instrText>ADDIN CSL_CITATION { "citationItems" : [ { "id" : "ITEM-1", "itemData" : { "author" : [ { "dropping-particle" : "V.", "family" : "Hook", "given" : "A.", "non-dropping-particle" : "", "parse-names" : false, "suffix" : "" } ], "container-title" : "Crystallization: Theory and Practice", "edition" : "1st", "editor" : [ { "dropping-particle" : "", "family" : "Pamplin", "given" : "B. R.", "non-dropping-particle" : "", "parse-names" : false, "suffix" : "" } ], "id" : "ITEM-1", "issued" : { "date-parts" : [ [ "1961" ] ] }, "page" : "1-153", "publisher" : "Reinhold Publishing Corporation", "publisher-place" : "New York", "title" : "Crystallization: Theory and Practice", "type" : "chapter" }, "uris" : [ "http://www.mendeley.com/documents/?uuid=0ea5a071-5a99-445d-848a-3f55b4130651" ] } ], "mendeley" : { "formattedCitation" : "&lt;sup&gt;56&lt;/sup&gt;", "plainTextFormattedCitation" : "56", "previouslyFormattedCitation" : "&lt;sup&gt;56&lt;/sup&gt;" }, "properties" : { "noteIndex" : 0 }, "schema" : "https://github.com/citation-style-language/schema/raw/master/csl-citation.json" }</w:instrText>
      </w:r>
      <w:r w:rsidR="00C56940" w:rsidRPr="00C56940">
        <w:fldChar w:fldCharType="separate"/>
      </w:r>
      <w:r w:rsidR="00290E7E" w:rsidRPr="00290E7E">
        <w:rPr>
          <w:noProof/>
          <w:vertAlign w:val="superscript"/>
        </w:rPr>
        <w:t>56</w:t>
      </w:r>
      <w:r w:rsidR="00C56940" w:rsidRPr="00C56940">
        <w:fldChar w:fldCharType="end"/>
      </w:r>
      <w:r w:rsidR="00C56940" w:rsidRPr="00C56940">
        <w:t xml:space="preserve"> </w:t>
      </w:r>
      <w:r w:rsidR="00E90645" w:rsidRPr="00D84478">
        <w:t xml:space="preserve">The dependence of </w:t>
      </w:r>
      <w:r w:rsidR="00D902AC">
        <w:t xml:space="preserve">the </w:t>
      </w:r>
      <w:r w:rsidR="00E90645" w:rsidRPr="00D84478">
        <w:t xml:space="preserve">morphologies </w:t>
      </w:r>
      <w:r w:rsidR="00185E50">
        <w:t>with</w:t>
      </w:r>
      <w:r w:rsidR="00E90645" w:rsidRPr="00D84478">
        <w:t xml:space="preserve"> </w:t>
      </w:r>
      <w:r w:rsidR="00E90645" w:rsidRPr="001D6114">
        <w:rPr>
          <w:rFonts w:ascii="Symbol" w:hAnsi="Symbol"/>
          <w:i/>
        </w:rPr>
        <w:t></w:t>
      </w:r>
      <w:r w:rsidR="00E90645" w:rsidRPr="00D84478">
        <w:t xml:space="preserve"> is detailed in Supporting Information (Figure </w:t>
      </w:r>
      <w:r w:rsidR="006723A7" w:rsidRPr="00D84478">
        <w:t>S</w:t>
      </w:r>
      <w:r w:rsidR="006723A7">
        <w:t>5</w:t>
      </w:r>
      <w:r w:rsidR="00E90645">
        <w:t>)</w:t>
      </w:r>
      <w:r w:rsidR="00D902AC">
        <w:t>. Char</w:t>
      </w:r>
      <w:r w:rsidR="00E90645">
        <w:t xml:space="preserve">acterization of the platelets and needles </w:t>
      </w:r>
      <w:r w:rsidR="00D902AC">
        <w:t xml:space="preserve">was also conducted via ATR-FTIR, </w:t>
      </w:r>
      <w:r w:rsidR="00185E50">
        <w:lastRenderedPageBreak/>
        <w:t xml:space="preserve">available in </w:t>
      </w:r>
      <w:r w:rsidR="00D902AC">
        <w:t xml:space="preserve">Supporting Information (Figure </w:t>
      </w:r>
      <w:r w:rsidR="006723A7">
        <w:t>S6</w:t>
      </w:r>
      <w:r w:rsidR="00D902AC">
        <w:t xml:space="preserve">), assigned </w:t>
      </w:r>
      <w:r w:rsidR="00F27053">
        <w:t>to</w:t>
      </w:r>
      <w:r w:rsidR="004A3600">
        <w:t xml:space="preserve"> </w:t>
      </w:r>
      <w:r w:rsidR="00D902AC">
        <w:t xml:space="preserve">the </w:t>
      </w:r>
      <w:r w:rsidR="00E90645">
        <w:t xml:space="preserve">monohydrate </w:t>
      </w:r>
      <w:r w:rsidR="00D902AC">
        <w:t>and</w:t>
      </w:r>
      <w:r w:rsidR="00F70CC9">
        <w:t xml:space="preserve"> hemihydrate </w:t>
      </w:r>
      <w:r w:rsidR="00185E50">
        <w:t xml:space="preserve">polymorphs </w:t>
      </w:r>
      <w:r w:rsidR="00E90645">
        <w:t>respectively</w:t>
      </w:r>
      <w:r w:rsidR="005570F1">
        <w:t>.</w:t>
      </w:r>
    </w:p>
    <w:p w14:paraId="4CAFF310" w14:textId="483B52CB" w:rsidR="00D84478" w:rsidRDefault="00A55780" w:rsidP="001A56E7">
      <w:pPr>
        <w:pStyle w:val="TAMainText"/>
      </w:pPr>
      <w:r w:rsidRPr="00A55780">
        <w:t xml:space="preserve">As expected, the results at the highest and lowest rates </w:t>
      </w:r>
      <w:r w:rsidR="00F61495">
        <w:t>are comparable</w:t>
      </w:r>
      <w:r w:rsidR="00F61495" w:rsidRPr="00A55780">
        <w:t xml:space="preserve"> </w:t>
      </w:r>
      <w:r w:rsidRPr="00A55780">
        <w:t>with the isothermal measurement</w:t>
      </w:r>
      <w:r w:rsidR="0006510F">
        <w:t>s</w:t>
      </w:r>
      <w:r w:rsidRPr="00A55780">
        <w:t>.</w:t>
      </w:r>
      <w:r>
        <w:t xml:space="preserve"> </w:t>
      </w:r>
      <w:r w:rsidR="00A33876">
        <w:t>T</w:t>
      </w:r>
      <w:r w:rsidR="00287965" w:rsidRPr="00EF36D5">
        <w:t xml:space="preserve">he results at the slowest </w:t>
      </w:r>
      <w:r w:rsidR="00287965" w:rsidRPr="00EF36D5">
        <w:rPr>
          <w:rFonts w:ascii="Symbol" w:hAnsi="Symbol"/>
          <w:i/>
        </w:rPr>
        <w:t></w:t>
      </w:r>
      <w:r w:rsidR="00287965" w:rsidRPr="00EF36D5">
        <w:t xml:space="preserve"> </w:t>
      </w:r>
      <w:r w:rsidR="005C4CE2" w:rsidRPr="00EF36D5">
        <w:t xml:space="preserve">= </w:t>
      </w:r>
      <w:r w:rsidR="00287965" w:rsidRPr="00EF36D5">
        <w:t>0.1</w:t>
      </w:r>
      <w:r w:rsidR="005C4CE2" w:rsidRPr="00EF36D5">
        <w:t xml:space="preserve"> </w:t>
      </w:r>
      <w:r w:rsidR="00287965" w:rsidRPr="00EF36D5">
        <w:t>°C min</w:t>
      </w:r>
      <w:r w:rsidR="00287965" w:rsidRPr="00EF36D5">
        <w:rPr>
          <w:vertAlign w:val="superscript"/>
        </w:rPr>
        <w:t>-1</w:t>
      </w:r>
      <w:r w:rsidR="00287965" w:rsidRPr="00EF36D5">
        <w:t xml:space="preserve"> yield one large platelet at ≈5.2 °C</w:t>
      </w:r>
      <w:r w:rsidR="006616CF">
        <w:t>,</w:t>
      </w:r>
      <w:r w:rsidR="005C4CE2" w:rsidRPr="00EF36D5">
        <w:t xml:space="preserve"> as this </w:t>
      </w:r>
      <w:r w:rsidR="005C4CE2" w:rsidRPr="00EF36D5">
        <w:rPr>
          <w:rFonts w:ascii="Symbol" w:hAnsi="Symbol"/>
          <w:i/>
        </w:rPr>
        <w:t></w:t>
      </w:r>
      <w:r w:rsidR="00287965" w:rsidRPr="00EF36D5">
        <w:t xml:space="preserve"> essentially</w:t>
      </w:r>
      <w:r w:rsidR="005C4CE2" w:rsidRPr="00EF36D5">
        <w:t xml:space="preserve"> behaves as</w:t>
      </w:r>
      <w:r w:rsidR="00A33876">
        <w:t xml:space="preserve"> an</w:t>
      </w:r>
      <w:r w:rsidR="00287965" w:rsidRPr="00EF36D5">
        <w:t xml:space="preserve"> isothermal quench at </w:t>
      </w:r>
      <w:r w:rsidR="005C4CE2" w:rsidRPr="00EF36D5">
        <w:t>a</w:t>
      </w:r>
      <w:r w:rsidR="00287965" w:rsidRPr="00EF36D5">
        <w:t xml:space="preserve"> </w:t>
      </w:r>
      <w:r w:rsidR="00185E50">
        <w:t xml:space="preserve">comparatively </w:t>
      </w:r>
      <w:r w:rsidR="00287965" w:rsidRPr="00EF36D5">
        <w:t xml:space="preserve">high </w:t>
      </w:r>
      <w:r w:rsidR="005C4CE2" w:rsidRPr="00EF36D5">
        <w:rPr>
          <w:i/>
        </w:rPr>
        <w:t>T</w:t>
      </w:r>
      <w:r w:rsidR="00287965" w:rsidRPr="00EF36D5">
        <w:t>.</w:t>
      </w:r>
      <w:r w:rsidR="00EA21F6">
        <w:t xml:space="preserve"> </w:t>
      </w:r>
      <w:r w:rsidR="006616CF">
        <w:t xml:space="preserve">At the highest </w:t>
      </w:r>
      <w:r w:rsidR="006616CF" w:rsidRPr="00EF36D5">
        <w:rPr>
          <w:rFonts w:ascii="Symbol" w:hAnsi="Symbol"/>
          <w:i/>
        </w:rPr>
        <w:t></w:t>
      </w:r>
      <w:r w:rsidR="006616CF" w:rsidRPr="00EF36D5">
        <w:t xml:space="preserve"> = </w:t>
      </w:r>
      <w:r w:rsidR="006616CF">
        <w:t>10</w:t>
      </w:r>
      <w:r w:rsidR="006616CF" w:rsidRPr="00EF36D5">
        <w:t xml:space="preserve"> °C min</w:t>
      </w:r>
      <w:r w:rsidR="006616CF" w:rsidRPr="00EF36D5">
        <w:rPr>
          <w:vertAlign w:val="superscript"/>
        </w:rPr>
        <w:t>-1</w:t>
      </w:r>
      <w:r w:rsidR="009004F2">
        <w:t xml:space="preserve"> </w:t>
      </w:r>
      <w:r w:rsidR="006616CF">
        <w:t xml:space="preserve">the solution is </w:t>
      </w:r>
      <w:r w:rsidR="009266AF">
        <w:t>primarily</w:t>
      </w:r>
      <w:r w:rsidR="00F53696">
        <w:t xml:space="preserve"> </w:t>
      </w:r>
      <w:r w:rsidR="006616CF">
        <w:t xml:space="preserve">composed of needles, </w:t>
      </w:r>
      <w:r w:rsidR="005D2F24">
        <w:t xml:space="preserve">as nucleation </w:t>
      </w:r>
      <w:r w:rsidR="009266AF">
        <w:t>begins at</w:t>
      </w:r>
      <w:r w:rsidR="005D2F24">
        <w:t xml:space="preserve"> low </w:t>
      </w:r>
      <w:r w:rsidR="005D2F24">
        <w:rPr>
          <w:i/>
        </w:rPr>
        <w:t>T</w:t>
      </w:r>
      <w:r w:rsidR="005D2F24">
        <w:t xml:space="preserve"> (&lt;-2 </w:t>
      </w:r>
      <w:r w:rsidR="005D2F24" w:rsidRPr="00E54470">
        <w:t>°C)</w:t>
      </w:r>
      <w:r w:rsidR="005D2F24">
        <w:t xml:space="preserve"> where this morphology predominates isothermally</w:t>
      </w:r>
      <w:r w:rsidR="006616CF">
        <w:t xml:space="preserve">. </w:t>
      </w:r>
      <w:r w:rsidR="00445A75" w:rsidRPr="005C4CE2">
        <w:t xml:space="preserve">The largest deviations are found at intermediate rates </w:t>
      </w:r>
      <w:r w:rsidR="00445A75" w:rsidRPr="00EF36D5">
        <w:rPr>
          <w:rFonts w:ascii="Symbol" w:hAnsi="Symbol"/>
          <w:i/>
        </w:rPr>
        <w:t></w:t>
      </w:r>
      <w:r w:rsidR="00445A75" w:rsidRPr="00EF36D5">
        <w:t xml:space="preserve"> = </w:t>
      </w:r>
      <w:r w:rsidR="00445A75" w:rsidRPr="005C4CE2">
        <w:t>0.5 and 1</w:t>
      </w:r>
      <w:r w:rsidR="00445A75">
        <w:t>.0</w:t>
      </w:r>
      <w:r w:rsidR="00445A75" w:rsidRPr="005C4CE2">
        <w:t xml:space="preserve"> °C min</w:t>
      </w:r>
      <w:r w:rsidR="00445A75" w:rsidRPr="005C4CE2">
        <w:rPr>
          <w:vertAlign w:val="superscript"/>
        </w:rPr>
        <w:t>-1</w:t>
      </w:r>
      <w:r w:rsidR="00445A75" w:rsidRPr="005C4CE2">
        <w:t xml:space="preserve">, </w:t>
      </w:r>
      <w:r w:rsidR="009004F2">
        <w:t xml:space="preserve">which exhibit </w:t>
      </w:r>
      <w:r w:rsidR="009004F2" w:rsidRPr="00E54470">
        <w:t>a higher proportion of platelets than expected.</w:t>
      </w:r>
      <w:r w:rsidR="009004F2">
        <w:t xml:space="preserve"> The prolonged coolin</w:t>
      </w:r>
      <w:r w:rsidR="0073615D">
        <w:t xml:space="preserve">g is </w:t>
      </w:r>
      <w:r>
        <w:t xml:space="preserve">likely </w:t>
      </w:r>
      <w:r w:rsidR="0073615D">
        <w:t>responsible for this shift</w:t>
      </w:r>
      <w:r>
        <w:t>,</w:t>
      </w:r>
      <w:r w:rsidR="009004F2">
        <w:t xml:space="preserve"> as nucleation </w:t>
      </w:r>
      <w:r w:rsidR="0073615D">
        <w:t>starts</w:t>
      </w:r>
      <w:r w:rsidR="009004F2">
        <w:t xml:space="preserve"> at higher </w:t>
      </w:r>
      <w:r w:rsidR="009004F2">
        <w:rPr>
          <w:i/>
        </w:rPr>
        <w:t>T</w:t>
      </w:r>
      <w:r w:rsidR="0073615D">
        <w:t xml:space="preserve"> (</w:t>
      </w:r>
      <w:r w:rsidR="00EC7F45" w:rsidRPr="00EF36D5">
        <w:t>≈</w:t>
      </w:r>
      <w:r w:rsidR="00EC7F45">
        <w:t>2.1 to 1.3</w:t>
      </w:r>
      <w:r w:rsidR="00EC7F45" w:rsidRPr="00EF36D5">
        <w:t xml:space="preserve"> °C</w:t>
      </w:r>
      <w:r w:rsidR="0073615D">
        <w:t>)</w:t>
      </w:r>
      <w:r w:rsidR="00EC7F45">
        <w:t xml:space="preserve"> in a regime favored </w:t>
      </w:r>
      <w:r w:rsidR="00B7219F">
        <w:t xml:space="preserve">still favored </w:t>
      </w:r>
      <w:r w:rsidR="00EC7F45">
        <w:t>by growth</w:t>
      </w:r>
      <w:r w:rsidR="007B19D5">
        <w:t xml:space="preserve"> and this morphology</w:t>
      </w:r>
      <w:r w:rsidR="001B7BF8">
        <w:t>,</w:t>
      </w:r>
      <w:r w:rsidR="00EC7F45">
        <w:t xml:space="preserve"> th</w:t>
      </w:r>
      <w:r w:rsidR="001B7BF8">
        <w:t>u</w:t>
      </w:r>
      <w:r w:rsidR="00EC7F45">
        <w:t>s lead</w:t>
      </w:r>
      <w:r w:rsidR="001B7BF8">
        <w:t>ing</w:t>
      </w:r>
      <w:r w:rsidR="00EC7F45">
        <w:t xml:space="preserve"> to a depletion of solute available for the crystallization of needles when lower </w:t>
      </w:r>
      <w:r w:rsidR="00EC7F45">
        <w:rPr>
          <w:i/>
        </w:rPr>
        <w:t>T</w:t>
      </w:r>
      <w:r w:rsidR="00EC7F45">
        <w:t xml:space="preserve"> are reached. F</w:t>
      </w:r>
      <w:r w:rsidR="00CE6576" w:rsidRPr="00E54470">
        <w:t xml:space="preserve">igure 5(c) further establishes that </w:t>
      </w:r>
      <w:r w:rsidR="00E54470" w:rsidRPr="00E54470">
        <w:t xml:space="preserve">a </w:t>
      </w:r>
      <w:r w:rsidR="00CE6576" w:rsidRPr="00E54470">
        <w:t>similar deviation</w:t>
      </w:r>
      <w:r w:rsidR="00E54470" w:rsidRPr="00E54470">
        <w:t xml:space="preserve"> is observed</w:t>
      </w:r>
      <w:r w:rsidR="00CE6576" w:rsidRPr="00E54470">
        <w:t xml:space="preserve"> between single needles and bundles, with the latter yielding a larger fra</w:t>
      </w:r>
      <w:r w:rsidR="00CE6576" w:rsidRPr="00D84478">
        <w:t>ction of single needles</w:t>
      </w:r>
      <w:r w:rsidR="00CD77AF">
        <w:t>,</w:t>
      </w:r>
      <w:r w:rsidR="00CE6576" w:rsidRPr="00D84478">
        <w:t xml:space="preserve"> as bundle formation </w:t>
      </w:r>
      <w:r w:rsidR="005B4725">
        <w:t>appears to be</w:t>
      </w:r>
      <w:r w:rsidR="00CE6576" w:rsidRPr="00D84478">
        <w:t xml:space="preserve"> disproportionally affected b</w:t>
      </w:r>
      <w:r w:rsidR="002C2972">
        <w:t>y solute removal from solution.</w:t>
      </w:r>
    </w:p>
    <w:p w14:paraId="115E82B4" w14:textId="443F1975" w:rsidR="007656DF" w:rsidRPr="00A41F97" w:rsidRDefault="00D84478" w:rsidP="001A56E7">
      <w:pPr>
        <w:pStyle w:val="TAMainText"/>
      </w:pPr>
      <w:r w:rsidRPr="00A41F97">
        <w:t xml:space="preserve"> </w:t>
      </w:r>
    </w:p>
    <w:p w14:paraId="52BE04E2" w14:textId="77777777" w:rsidR="001A56E7" w:rsidRPr="00292CFD" w:rsidRDefault="001A56E7" w:rsidP="001A56E7">
      <w:pPr>
        <w:pStyle w:val="TAMainText"/>
        <w:ind w:firstLine="0"/>
        <w:rPr>
          <w:b/>
        </w:rPr>
      </w:pPr>
      <w:r w:rsidRPr="00292CFD">
        <w:rPr>
          <w:b/>
        </w:rPr>
        <w:t>Crystallization Kinetics – Optical Microscopy and DSC</w:t>
      </w:r>
    </w:p>
    <w:p w14:paraId="5F3E1B38" w14:textId="2D62F907" w:rsidR="000F1A00" w:rsidRPr="00A41F97" w:rsidRDefault="0097158C" w:rsidP="00840246">
      <w:pPr>
        <w:spacing w:after="0" w:line="360" w:lineRule="auto"/>
        <w:rPr>
          <w:rFonts w:asciiTheme="majorHAnsi" w:hAnsiTheme="majorHAnsi"/>
          <w:sz w:val="20"/>
        </w:rPr>
      </w:pPr>
      <w:r>
        <w:rPr>
          <w:rFonts w:asciiTheme="majorHAnsi" w:hAnsiTheme="majorHAnsi"/>
          <w:noProof/>
          <w:sz w:val="20"/>
          <w:lang w:val="en-GB" w:eastAsia="en-GB"/>
        </w:rPr>
        <w:lastRenderedPageBreak/>
        <w:drawing>
          <wp:inline distT="0" distB="0" distL="0" distR="0" wp14:anchorId="48F85251" wp14:editId="251FABFB">
            <wp:extent cx="5138928" cy="3596640"/>
            <wp:effectExtent l="0" t="0" r="508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15.tif"/>
                    <pic:cNvPicPr/>
                  </pic:nvPicPr>
                  <pic:blipFill>
                    <a:blip r:embed="rId17">
                      <a:extLst>
                        <a:ext uri="{28A0092B-C50C-407E-A947-70E740481C1C}">
                          <a14:useLocalDpi xmlns:a14="http://schemas.microsoft.com/office/drawing/2010/main" val="0"/>
                        </a:ext>
                      </a:extLst>
                    </a:blip>
                    <a:stretch>
                      <a:fillRect/>
                    </a:stretch>
                  </pic:blipFill>
                  <pic:spPr>
                    <a:xfrm>
                      <a:off x="0" y="0"/>
                      <a:ext cx="5138928" cy="3596640"/>
                    </a:xfrm>
                    <a:prstGeom prst="rect">
                      <a:avLst/>
                    </a:prstGeom>
                  </pic:spPr>
                </pic:pic>
              </a:graphicData>
            </a:graphic>
          </wp:inline>
        </w:drawing>
      </w:r>
    </w:p>
    <w:p w14:paraId="098D4BD8" w14:textId="2FBF7453" w:rsidR="001A56E7" w:rsidRDefault="00785D75" w:rsidP="001A56E7">
      <w:pPr>
        <w:pStyle w:val="VAFigureCaption"/>
        <w:pBdr>
          <w:bottom w:val="single" w:sz="6" w:space="1" w:color="auto"/>
        </w:pBdr>
      </w:pPr>
      <w:r w:rsidRPr="00A41F97">
        <w:rPr>
          <w:b/>
        </w:rPr>
        <w:t xml:space="preserve">Figure </w:t>
      </w:r>
      <w:r w:rsidR="007A7757">
        <w:rPr>
          <w:b/>
        </w:rPr>
        <w:t>6</w:t>
      </w:r>
      <w:r w:rsidRPr="00A41F97">
        <w:rPr>
          <w:b/>
        </w:rPr>
        <w:t>.</w:t>
      </w:r>
      <w:r w:rsidRPr="00A41F97">
        <w:t xml:space="preserve"> </w:t>
      </w:r>
      <w:r w:rsidR="00BC0EFD">
        <w:t>Overall c</w:t>
      </w:r>
      <w:r w:rsidR="00EE1D9A" w:rsidRPr="00A41F97">
        <w:t>rystallization</w:t>
      </w:r>
      <w:r w:rsidRPr="00A41F97">
        <w:t xml:space="preserve"> </w:t>
      </w:r>
      <w:r w:rsidR="00882852">
        <w:t>kinetics obtained from</w:t>
      </w:r>
      <w:r w:rsidR="00F36D95">
        <w:t xml:space="preserve"> </w:t>
      </w:r>
      <w:r w:rsidR="00B163FE">
        <w:t>optical microscopy (</w:t>
      </w:r>
      <w:r w:rsidR="00444D04">
        <w:t>OM</w:t>
      </w:r>
      <w:r w:rsidR="00B163FE">
        <w:t>)</w:t>
      </w:r>
      <w:r w:rsidR="00F36D95">
        <w:t xml:space="preserve"> and DSC</w:t>
      </w:r>
      <w:r w:rsidRPr="00A41F97">
        <w:t xml:space="preserve">. (a) </w:t>
      </w:r>
      <w:r w:rsidR="00882852">
        <w:t>Crystalline a</w:t>
      </w:r>
      <w:r w:rsidR="00EE1D9A" w:rsidRPr="00A41F97">
        <w:t xml:space="preserve">rea </w:t>
      </w:r>
      <w:r w:rsidR="006C15F9">
        <w:t xml:space="preserve">fraction </w:t>
      </w:r>
      <w:r w:rsidR="00A01C13" w:rsidRPr="00A01C13">
        <w:rPr>
          <w:color w:val="FF0000"/>
        </w:rPr>
        <w:t>(</w:t>
      </w:r>
      <w:r w:rsidR="00A01C13" w:rsidRPr="00A01C13">
        <w:rPr>
          <w:rFonts w:ascii="Symbol" w:hAnsi="Symbol"/>
          <w:color w:val="FF0000"/>
        </w:rPr>
        <w:t></w:t>
      </w:r>
      <w:r w:rsidR="00A01C13" w:rsidRPr="00A01C13">
        <w:rPr>
          <w:color w:val="FF0000"/>
          <w:vertAlign w:val="subscript"/>
        </w:rPr>
        <w:t>OM</w:t>
      </w:r>
      <w:r w:rsidR="00A01C13" w:rsidRPr="00A01C13">
        <w:rPr>
          <w:color w:val="FF0000"/>
        </w:rPr>
        <w:t xml:space="preserve">) </w:t>
      </w:r>
      <w:r w:rsidRPr="00A41F97">
        <w:t xml:space="preserve">as a function of </w:t>
      </w:r>
      <w:r w:rsidR="00817672">
        <w:rPr>
          <w:i/>
        </w:rPr>
        <w:t>T</w:t>
      </w:r>
      <w:r w:rsidR="00882852">
        <w:t xml:space="preserve">, for </w:t>
      </w:r>
      <w:r w:rsidR="002D6725">
        <w:t>the</w:t>
      </w:r>
      <w:r w:rsidR="002C5FDC">
        <w:t xml:space="preserve"> various</w:t>
      </w:r>
      <w:r w:rsidR="00882852">
        <w:t xml:space="preserve"> </w:t>
      </w:r>
      <w:r w:rsidR="0012731F" w:rsidRPr="0012731F">
        <w:rPr>
          <w:rFonts w:ascii="Symbol" w:hAnsi="Symbol"/>
          <w:i/>
        </w:rPr>
        <w:t></w:t>
      </w:r>
      <w:r w:rsidR="00882852">
        <w:t xml:space="preserve">. </w:t>
      </w:r>
      <w:r w:rsidRPr="00A41F97">
        <w:t xml:space="preserve">(b) </w:t>
      </w:r>
      <w:r w:rsidR="00760E0B" w:rsidRPr="00A41F97">
        <w:t xml:space="preserve">Growth </w:t>
      </w:r>
      <w:r w:rsidR="00882852">
        <w:t>temperature window</w:t>
      </w:r>
      <w:r w:rsidR="00760E0B" w:rsidRPr="00A41F97">
        <w:t xml:space="preserve">, </w:t>
      </w:r>
      <w:r w:rsidR="0072606D" w:rsidRPr="00A41F97">
        <w:t>Δ</w:t>
      </w:r>
      <w:r w:rsidR="00817672">
        <w:rPr>
          <w:i/>
        </w:rPr>
        <w:t>T</w:t>
      </w:r>
      <w:r w:rsidR="0072606D" w:rsidRPr="00A41F97">
        <w:t xml:space="preserve"> = </w:t>
      </w:r>
      <w:r w:rsidR="00817672">
        <w:rPr>
          <w:i/>
        </w:rPr>
        <w:t>T</w:t>
      </w:r>
      <w:r w:rsidR="0072606D" w:rsidRPr="00A41F97">
        <w:rPr>
          <w:vertAlign w:val="subscript"/>
        </w:rPr>
        <w:t>f</w:t>
      </w:r>
      <w:r w:rsidR="0072606D" w:rsidRPr="00A41F97">
        <w:t xml:space="preserve"> – </w:t>
      </w:r>
      <w:r w:rsidR="00817672">
        <w:rPr>
          <w:i/>
        </w:rPr>
        <w:t>T</w:t>
      </w:r>
      <w:r w:rsidR="0072606D" w:rsidRPr="00A41F97">
        <w:rPr>
          <w:vertAlign w:val="subscript"/>
        </w:rPr>
        <w:t>ind</w:t>
      </w:r>
      <w:r w:rsidR="0072606D" w:rsidRPr="00A41F97">
        <w:t xml:space="preserve"> </w:t>
      </w:r>
      <w:r w:rsidR="00BF43A8" w:rsidRPr="00A41F97">
        <w:t>as a f</w:t>
      </w:r>
      <w:r w:rsidR="00324618" w:rsidRPr="00A41F97">
        <w:t xml:space="preserve">unction of </w:t>
      </w:r>
      <w:r w:rsidR="00E02B4D" w:rsidRPr="0012731F">
        <w:rPr>
          <w:rFonts w:ascii="Symbol" w:hAnsi="Symbol"/>
          <w:i/>
        </w:rPr>
        <w:t></w:t>
      </w:r>
      <w:r w:rsidR="002B6858">
        <w:t>. (c</w:t>
      </w:r>
      <w:r w:rsidR="002B6858" w:rsidRPr="00A41F97">
        <w:t xml:space="preserve">) Representative data extraction </w:t>
      </w:r>
      <w:r w:rsidR="00EC73B9">
        <w:t xml:space="preserve">from a DSC trace </w:t>
      </w:r>
      <w:r w:rsidR="006C15F9">
        <w:t>for</w:t>
      </w:r>
      <w:r w:rsidR="002B6858" w:rsidRPr="00A41F97">
        <w:t xml:space="preserve"> a solution cooled linearly at </w:t>
      </w:r>
      <w:bookmarkStart w:id="4" w:name="OLE_LINK1"/>
      <w:r w:rsidR="002B6858" w:rsidRPr="00A41F97">
        <w:t>1</w:t>
      </w:r>
      <w:r w:rsidR="0095490A">
        <w:t>.0</w:t>
      </w:r>
      <w:r w:rsidR="002B6858" w:rsidRPr="00A41F97">
        <w:t xml:space="preserve"> °C min</w:t>
      </w:r>
      <w:r w:rsidR="002B6858" w:rsidRPr="00A41F97">
        <w:rPr>
          <w:vertAlign w:val="superscript"/>
        </w:rPr>
        <w:t>-1</w:t>
      </w:r>
      <w:bookmarkEnd w:id="4"/>
      <w:r w:rsidR="00882852">
        <w:t>, showing the induction time (</w:t>
      </w:r>
      <w:r w:rsidR="00882852" w:rsidRPr="005325D2">
        <w:rPr>
          <w:i/>
        </w:rPr>
        <w:t>t</w:t>
      </w:r>
      <w:r w:rsidR="00882852" w:rsidRPr="00882852">
        <w:rPr>
          <w:vertAlign w:val="subscript"/>
        </w:rPr>
        <w:t>ind</w:t>
      </w:r>
      <w:r w:rsidR="00882852" w:rsidRPr="00882852">
        <w:t>)</w:t>
      </w:r>
      <w:r w:rsidR="00E33319">
        <w:t>,</w:t>
      </w:r>
      <w:r w:rsidR="00882852">
        <w:t xml:space="preserve"> temperature (</w:t>
      </w:r>
      <w:r w:rsidR="00882852">
        <w:rPr>
          <w:i/>
        </w:rPr>
        <w:t>T</w:t>
      </w:r>
      <w:r w:rsidR="00882852" w:rsidRPr="00882852">
        <w:rPr>
          <w:vertAlign w:val="subscript"/>
        </w:rPr>
        <w:t>ind</w:t>
      </w:r>
      <w:r w:rsidR="00882852" w:rsidRPr="00882852">
        <w:t>)</w:t>
      </w:r>
      <w:r w:rsidR="00882852">
        <w:t>, peak temperature (</w:t>
      </w:r>
      <w:r w:rsidR="00882852">
        <w:rPr>
          <w:i/>
        </w:rPr>
        <w:t>T</w:t>
      </w:r>
      <w:r w:rsidR="00882852">
        <w:rPr>
          <w:vertAlign w:val="subscript"/>
        </w:rPr>
        <w:t>p</w:t>
      </w:r>
      <w:r w:rsidR="00882852" w:rsidRPr="00882852">
        <w:t>)</w:t>
      </w:r>
      <w:r w:rsidR="00882852">
        <w:t>, final time (</w:t>
      </w:r>
      <w:r w:rsidR="00EC73B9">
        <w:rPr>
          <w:i/>
        </w:rPr>
        <w:t>t</w:t>
      </w:r>
      <w:r w:rsidR="00882852">
        <w:rPr>
          <w:vertAlign w:val="subscript"/>
        </w:rPr>
        <w:t>f</w:t>
      </w:r>
      <w:r w:rsidR="00882852" w:rsidRPr="00882852">
        <w:t>)</w:t>
      </w:r>
      <w:r w:rsidR="00882852">
        <w:t xml:space="preserve"> and temperature (</w:t>
      </w:r>
      <w:r w:rsidR="00882852">
        <w:rPr>
          <w:i/>
        </w:rPr>
        <w:t>T</w:t>
      </w:r>
      <w:r w:rsidR="00882852">
        <w:rPr>
          <w:vertAlign w:val="subscript"/>
        </w:rPr>
        <w:t>f</w:t>
      </w:r>
      <w:r w:rsidR="00882852" w:rsidRPr="00882852">
        <w:t>)</w:t>
      </w:r>
      <w:r w:rsidR="00882852">
        <w:t>.</w:t>
      </w:r>
      <w:r w:rsidR="002B6858" w:rsidRPr="00A41F97">
        <w:t xml:space="preserve"> (</w:t>
      </w:r>
      <w:r w:rsidR="002B6858">
        <w:t>d</w:t>
      </w:r>
      <w:r w:rsidR="002B6858" w:rsidRPr="00A41F97">
        <w:t>)</w:t>
      </w:r>
      <w:r w:rsidR="00882852">
        <w:t xml:space="preserve"> </w:t>
      </w:r>
      <w:r w:rsidR="00237176">
        <w:t>C</w:t>
      </w:r>
      <w:r w:rsidR="00882852">
        <w:t>rysta</w:t>
      </w:r>
      <w:r w:rsidR="00237176">
        <w:t>lline fraction</w:t>
      </w:r>
      <w:r w:rsidR="002B6858" w:rsidRPr="00A41F97">
        <w:t xml:space="preserve"> </w:t>
      </w:r>
      <w:r w:rsidR="00A01C13">
        <w:t xml:space="preserve">determined by DSC </w:t>
      </w:r>
      <w:r w:rsidR="002B6858" w:rsidRPr="00A01C13">
        <w:rPr>
          <w:color w:val="FF0000"/>
        </w:rPr>
        <w:t>(</w:t>
      </w:r>
      <w:r w:rsidR="00A01C13" w:rsidRPr="00A01C13">
        <w:rPr>
          <w:rFonts w:ascii="Symbol" w:hAnsi="Symbol"/>
          <w:color w:val="FF0000"/>
        </w:rPr>
        <w:t></w:t>
      </w:r>
      <w:r w:rsidR="00A01C13" w:rsidRPr="00A01C13">
        <w:rPr>
          <w:color w:val="FF0000"/>
          <w:vertAlign w:val="subscript"/>
        </w:rPr>
        <w:t>DSC</w:t>
      </w:r>
      <w:r w:rsidR="002B6858" w:rsidRPr="00A01C13">
        <w:rPr>
          <w:color w:val="FF0000"/>
        </w:rPr>
        <w:t xml:space="preserve">) </w:t>
      </w:r>
      <w:r w:rsidR="002B6858" w:rsidRPr="00A41F97">
        <w:t xml:space="preserve">as a function of </w:t>
      </w:r>
      <w:r w:rsidR="006C15F9">
        <w:rPr>
          <w:i/>
        </w:rPr>
        <w:t>t</w:t>
      </w:r>
      <w:r w:rsidR="002B6858" w:rsidRPr="00A41F97">
        <w:t>; curves have been shifted to</w:t>
      </w:r>
      <w:r w:rsidR="002B6858">
        <w:t xml:space="preserve"> </w:t>
      </w:r>
      <w:r w:rsidR="002B6858" w:rsidRPr="00502524">
        <w:rPr>
          <w:i/>
        </w:rPr>
        <w:t>t</w:t>
      </w:r>
      <w:r w:rsidR="002B6858" w:rsidRPr="001F4EAA">
        <w:rPr>
          <w:vertAlign w:val="subscript"/>
        </w:rPr>
        <w:t>ind</w:t>
      </w:r>
      <w:r w:rsidR="002B6858">
        <w:t xml:space="preserve"> =</w:t>
      </w:r>
      <w:r w:rsidR="002B6858" w:rsidRPr="00A41F97">
        <w:t xml:space="preserve"> 0 for analysis</w:t>
      </w:r>
      <w:r w:rsidR="002B6858">
        <w:t xml:space="preserve"> purposes.</w:t>
      </w:r>
    </w:p>
    <w:p w14:paraId="250845D7" w14:textId="77777777" w:rsidR="001A56E7" w:rsidRDefault="001A56E7" w:rsidP="001A56E7">
      <w:pPr>
        <w:pStyle w:val="TAMainText"/>
      </w:pPr>
    </w:p>
    <w:p w14:paraId="6BAD7C2C" w14:textId="29072690" w:rsidR="005B0594" w:rsidRPr="00A41F97" w:rsidRDefault="00190397" w:rsidP="001A56E7">
      <w:pPr>
        <w:pStyle w:val="TAMainText"/>
      </w:pPr>
      <w:r>
        <w:t xml:space="preserve">Following on from the </w:t>
      </w:r>
      <w:r w:rsidR="002E01B9" w:rsidRPr="00A16BC0">
        <w:t>quanti</w:t>
      </w:r>
      <w:r w:rsidR="002E01B9">
        <w:t>fication</w:t>
      </w:r>
      <w:r>
        <w:t xml:space="preserve"> of</w:t>
      </w:r>
      <w:r w:rsidR="00EB6006" w:rsidRPr="00A16BC0">
        <w:t xml:space="preserve"> nucleation and crystal morpholog</w:t>
      </w:r>
      <w:r w:rsidR="002D6725">
        <w:t>ies</w:t>
      </w:r>
      <w:r w:rsidR="00EB6006" w:rsidRPr="00A16BC0">
        <w:t xml:space="preserve"> under </w:t>
      </w:r>
      <w:r w:rsidR="00EB6006" w:rsidRPr="00A16BC0">
        <w:rPr>
          <w:rFonts w:ascii="Symbol" w:hAnsi="Symbol"/>
          <w:i/>
        </w:rPr>
        <w:t></w:t>
      </w:r>
      <w:r w:rsidR="00EB6006" w:rsidRPr="00A16BC0">
        <w:t xml:space="preserve"> conditions, the overall crystallization kinetics based on optical </w:t>
      </w:r>
      <w:r w:rsidR="007B19D5">
        <w:t xml:space="preserve">microscopy </w:t>
      </w:r>
      <w:r w:rsidR="00EB6006" w:rsidRPr="00A16BC0">
        <w:t xml:space="preserve">and DSC data is examined. </w:t>
      </w:r>
      <w:r w:rsidR="00565736">
        <w:t>From</w:t>
      </w:r>
      <w:r w:rsidR="002D6725">
        <w:t xml:space="preserve"> </w:t>
      </w:r>
      <w:r w:rsidR="00A01C13">
        <w:t xml:space="preserve">optical </w:t>
      </w:r>
      <w:r w:rsidR="00EB6006" w:rsidRPr="00A16BC0">
        <w:t xml:space="preserve">image analysis, the crystalline area </w:t>
      </w:r>
      <w:r w:rsidR="002E01B9">
        <w:t>(</w:t>
      </w:r>
      <w:r w:rsidR="002E01B9" w:rsidRPr="002E01B9">
        <w:rPr>
          <w:i/>
        </w:rPr>
        <w:t>A</w:t>
      </w:r>
      <w:r w:rsidR="002E01B9">
        <w:t xml:space="preserve">) </w:t>
      </w:r>
      <w:r w:rsidR="002D6725">
        <w:t>for each image</w:t>
      </w:r>
      <w:r w:rsidR="00EB6006" w:rsidRPr="00A16BC0">
        <w:t xml:space="preserve"> was normalized by the total</w:t>
      </w:r>
      <w:r w:rsidR="007B19D5">
        <w:t xml:space="preserve"> representative</w:t>
      </w:r>
      <w:r w:rsidR="00EB6006" w:rsidRPr="00A16BC0">
        <w:t xml:space="preserve"> area (</w:t>
      </w:r>
      <w:r w:rsidR="00EB6006" w:rsidRPr="00A16BC0">
        <w:rPr>
          <w:rFonts w:cs="Arial"/>
        </w:rPr>
        <w:t>Σ</w:t>
      </w:r>
      <w:r w:rsidR="00EB6006" w:rsidRPr="00A16BC0">
        <w:rPr>
          <w:i/>
        </w:rPr>
        <w:t>A</w:t>
      </w:r>
      <w:r w:rsidR="00EB6006" w:rsidRPr="00A16BC0">
        <w:t xml:space="preserve">) to yield an area fraction </w:t>
      </w:r>
      <w:r w:rsidR="00EB6006" w:rsidRPr="00A01C13">
        <w:rPr>
          <w:color w:val="FF0000"/>
        </w:rPr>
        <w:t>(</w:t>
      </w:r>
      <w:r w:rsidR="00A01C13" w:rsidRPr="00A01C13">
        <w:rPr>
          <w:rFonts w:ascii="Symbol" w:hAnsi="Symbol"/>
          <w:i/>
          <w:color w:val="FF0000"/>
        </w:rPr>
        <w:t></w:t>
      </w:r>
      <w:r w:rsidR="00A01C13" w:rsidRPr="00A01C13">
        <w:rPr>
          <w:color w:val="FF0000"/>
          <w:vertAlign w:val="subscript"/>
        </w:rPr>
        <w:t>OM</w:t>
      </w:r>
      <w:r w:rsidR="00EB6006" w:rsidRPr="00A01C13">
        <w:rPr>
          <w:color w:val="FF0000"/>
        </w:rPr>
        <w:t xml:space="preserve">). </w:t>
      </w:r>
      <w:r w:rsidR="00EB6006" w:rsidRPr="00A16BC0">
        <w:t>Sigmoidal crystallization cur</w:t>
      </w:r>
      <w:r w:rsidR="00EB6006" w:rsidRPr="008266D2">
        <w:t xml:space="preserve">ves were </w:t>
      </w:r>
      <w:r w:rsidR="00565736">
        <w:t>observed</w:t>
      </w:r>
      <w:r w:rsidR="00EB6006" w:rsidRPr="008266D2">
        <w:t xml:space="preserve"> at all </w:t>
      </w:r>
      <w:r w:rsidR="00EB6006" w:rsidRPr="008266D2">
        <w:rPr>
          <w:rFonts w:ascii="Symbol" w:hAnsi="Symbol"/>
          <w:i/>
        </w:rPr>
        <w:t></w:t>
      </w:r>
      <w:r w:rsidR="00EB6006" w:rsidRPr="008266D2">
        <w:t xml:space="preserve">, as shown in Figure 6(a) and </w:t>
      </w:r>
      <w:r w:rsidR="00363501" w:rsidRPr="008266D2">
        <w:t>Supporting Information (Figure S</w:t>
      </w:r>
      <w:r w:rsidR="00B60E7D">
        <w:t>7</w:t>
      </w:r>
      <w:r w:rsidR="00363501" w:rsidRPr="008266D2">
        <w:t>a)</w:t>
      </w:r>
      <w:r w:rsidR="00EB6006" w:rsidRPr="008266D2">
        <w:t xml:space="preserve"> for </w:t>
      </w:r>
      <w:r w:rsidR="00EB6006" w:rsidRPr="008266D2">
        <w:rPr>
          <w:i/>
        </w:rPr>
        <w:t>T</w:t>
      </w:r>
      <w:r w:rsidR="00EB6006" w:rsidRPr="008266D2">
        <w:t xml:space="preserve"> and </w:t>
      </w:r>
      <w:r w:rsidR="00EB6006" w:rsidRPr="008266D2">
        <w:rPr>
          <w:i/>
        </w:rPr>
        <w:t>t</w:t>
      </w:r>
      <w:r w:rsidR="00EB6006" w:rsidRPr="008266D2">
        <w:t xml:space="preserve"> respectively. The </w:t>
      </w:r>
      <w:r w:rsidR="00F06BC6" w:rsidRPr="00F06BC6">
        <w:rPr>
          <w:rFonts w:cstheme="majorHAnsi"/>
        </w:rPr>
        <w:t>Δ</w:t>
      </w:r>
      <w:r w:rsidR="00F06BC6" w:rsidRPr="00F06BC6">
        <w:rPr>
          <w:rFonts w:cstheme="majorHAnsi"/>
          <w:i/>
        </w:rPr>
        <w:t>T</w:t>
      </w:r>
      <w:r w:rsidR="00EB6006" w:rsidRPr="008266D2">
        <w:t xml:space="preserve"> betw</w:t>
      </w:r>
      <w:r w:rsidR="00EB6006" w:rsidRPr="00135E4B">
        <w:t>een the (observed) start of nucleation</w:t>
      </w:r>
      <w:r w:rsidR="00F06BC6">
        <w:t xml:space="preserve"> (</w:t>
      </w:r>
      <w:r w:rsidR="00F06BC6" w:rsidRPr="00F06BC6">
        <w:rPr>
          <w:i/>
        </w:rPr>
        <w:t>T</w:t>
      </w:r>
      <w:r w:rsidR="00F06BC6" w:rsidRPr="00F06BC6">
        <w:rPr>
          <w:vertAlign w:val="subscript"/>
        </w:rPr>
        <w:t>ind</w:t>
      </w:r>
      <w:r w:rsidR="00F06BC6">
        <w:t>)</w:t>
      </w:r>
      <w:r w:rsidR="00EB6006" w:rsidRPr="00135E4B">
        <w:t xml:space="preserve"> and completion of crystallization</w:t>
      </w:r>
      <w:r w:rsidR="00F06BC6">
        <w:t xml:space="preserve"> (</w:t>
      </w:r>
      <w:r w:rsidR="00F06BC6" w:rsidRPr="00F06BC6">
        <w:rPr>
          <w:i/>
        </w:rPr>
        <w:t>T</w:t>
      </w:r>
      <w:r w:rsidR="00F06BC6">
        <w:rPr>
          <w:vertAlign w:val="subscript"/>
        </w:rPr>
        <w:t>f</w:t>
      </w:r>
      <w:r w:rsidR="00F06BC6">
        <w:t xml:space="preserve">) </w:t>
      </w:r>
      <w:r w:rsidR="00EB6006" w:rsidRPr="00135E4B">
        <w:t xml:space="preserve">is plotted as a function of </w:t>
      </w:r>
      <w:r w:rsidR="00EB6006" w:rsidRPr="00135E4B">
        <w:rPr>
          <w:rFonts w:ascii="Symbol" w:hAnsi="Symbol"/>
          <w:i/>
        </w:rPr>
        <w:t></w:t>
      </w:r>
      <w:r w:rsidR="00EB6006" w:rsidRPr="00135E4B">
        <w:t xml:space="preserve"> in Figure 6(b</w:t>
      </w:r>
      <w:r w:rsidR="00BA0ED8">
        <w:t>)</w:t>
      </w:r>
      <w:r w:rsidR="00684CA4">
        <w:t>; complementary</w:t>
      </w:r>
      <w:r w:rsidR="00684CA4" w:rsidRPr="00684CA4">
        <w:rPr>
          <w:rFonts w:ascii="Calibri" w:hAnsi="Calibri"/>
        </w:rPr>
        <w:t xml:space="preserve"> </w:t>
      </w:r>
      <w:r w:rsidR="00684CA4" w:rsidRPr="0073615D">
        <w:rPr>
          <w:rFonts w:ascii="Calibri Light" w:hAnsi="Calibri Light" w:cs="Calibri Light"/>
        </w:rPr>
        <w:t>Δ</w:t>
      </w:r>
      <w:r w:rsidR="00684CA4">
        <w:rPr>
          <w:i/>
        </w:rPr>
        <w:t>t</w:t>
      </w:r>
      <w:r w:rsidR="00684CA4">
        <w:t xml:space="preserve"> data is provided in </w:t>
      </w:r>
      <w:r w:rsidR="00565736">
        <w:t xml:space="preserve">Supporting Information </w:t>
      </w:r>
      <w:r w:rsidR="00C028A8">
        <w:t>(</w:t>
      </w:r>
      <w:r w:rsidR="00684CA4">
        <w:t>Figure S</w:t>
      </w:r>
      <w:r w:rsidR="00B60E7D">
        <w:t>7</w:t>
      </w:r>
      <w:r w:rsidR="00684CA4">
        <w:t>b</w:t>
      </w:r>
      <w:r w:rsidR="00C028A8">
        <w:t>)</w:t>
      </w:r>
      <w:r w:rsidR="00EB6006" w:rsidRPr="00135E4B">
        <w:t xml:space="preserve">. For the </w:t>
      </w:r>
      <w:r w:rsidR="00EB6006" w:rsidRPr="00135E4B">
        <w:rPr>
          <w:i/>
        </w:rPr>
        <w:t>slower</w:t>
      </w:r>
      <w:r w:rsidR="00EB6006" w:rsidRPr="00135E4B">
        <w:t xml:space="preserve"> </w:t>
      </w:r>
      <w:r w:rsidR="007265E0" w:rsidRPr="00135E4B">
        <w:rPr>
          <w:rFonts w:ascii="Symbol" w:hAnsi="Symbol"/>
          <w:i/>
        </w:rPr>
        <w:t></w:t>
      </w:r>
      <w:r w:rsidR="00EB6006" w:rsidRPr="00135E4B">
        <w:t xml:space="preserve">, the profiles in </w:t>
      </w:r>
      <w:r w:rsidR="00EB6006" w:rsidRPr="00135E4B">
        <w:lastRenderedPageBreak/>
        <w:t xml:space="preserve">Figure 6(a) are relatively narrow, as </w:t>
      </w:r>
      <w:r w:rsidR="002C5FDC">
        <w:t>the crystallization</w:t>
      </w:r>
      <w:r w:rsidR="00EB6006" w:rsidRPr="00135E4B">
        <w:t xml:space="preserve"> </w:t>
      </w:r>
      <w:r w:rsidR="002C5FDC">
        <w:t xml:space="preserve">processes </w:t>
      </w:r>
      <w:r w:rsidR="00EB6006" w:rsidRPr="00135E4B">
        <w:t>explore a small</w:t>
      </w:r>
      <w:r w:rsidR="00567DF2" w:rsidRPr="00135E4B">
        <w:t xml:space="preserve"> </w:t>
      </w:r>
      <w:r w:rsidR="00567DF2" w:rsidRPr="00135E4B">
        <w:rPr>
          <w:i/>
        </w:rPr>
        <w:t>T</w:t>
      </w:r>
      <w:r w:rsidR="00EB6006" w:rsidRPr="00135E4B">
        <w:t xml:space="preserve"> range</w:t>
      </w:r>
      <w:r w:rsidR="00F27053">
        <w:t xml:space="preserve">, </w:t>
      </w:r>
      <w:r w:rsidR="00565736">
        <w:t xml:space="preserve">before </w:t>
      </w:r>
      <w:r w:rsidR="00BF1284">
        <w:t>completion</w:t>
      </w:r>
      <w:r w:rsidR="00EB6006" w:rsidRPr="00AC466F">
        <w:t xml:space="preserve">. </w:t>
      </w:r>
      <w:r w:rsidR="00BF1284" w:rsidRPr="00BF1284">
        <w:t xml:space="preserve">Upon increasing </w:t>
      </w:r>
      <w:r w:rsidR="00B73A6B" w:rsidRPr="00135E4B">
        <w:rPr>
          <w:rFonts w:ascii="Symbol" w:hAnsi="Symbol"/>
          <w:i/>
        </w:rPr>
        <w:t></w:t>
      </w:r>
      <w:r w:rsidR="00BF1284" w:rsidRPr="00BF1284">
        <w:t xml:space="preserve"> the system experiences a larger </w:t>
      </w:r>
      <w:r w:rsidR="00BF1284" w:rsidRPr="00F27053">
        <w:t>Δ</w:t>
      </w:r>
      <w:r w:rsidR="00BF1284" w:rsidRPr="00BF1284">
        <w:rPr>
          <w:i/>
        </w:rPr>
        <w:t>T</w:t>
      </w:r>
      <w:r w:rsidR="00F27053">
        <w:t>,</w:t>
      </w:r>
      <w:r w:rsidR="00B73A6B" w:rsidRPr="00BF1284">
        <w:t xml:space="preserve"> </w:t>
      </w:r>
      <w:r w:rsidR="00F27053">
        <w:t>with the conversions</w:t>
      </w:r>
      <w:r w:rsidR="00BF1284" w:rsidRPr="00BF1284">
        <w:t xml:space="preserve"> profiles becom</w:t>
      </w:r>
      <w:r w:rsidR="00F27053">
        <w:t>ing</w:t>
      </w:r>
      <w:r w:rsidR="00BF1284" w:rsidRPr="00BF1284">
        <w:t xml:space="preserve"> elongated at the higher temperatures, as nucleation is initially slower and then increases sharply upon further cooling.</w:t>
      </w:r>
      <w:r w:rsidR="00F27053">
        <w:t xml:space="preserve"> </w:t>
      </w:r>
      <w:r w:rsidR="00A16BC0" w:rsidRPr="00B62872">
        <w:t xml:space="preserve">At the </w:t>
      </w:r>
      <w:r w:rsidR="00D7556E" w:rsidRPr="00B62872">
        <w:t>highest</w:t>
      </w:r>
      <w:r w:rsidR="00A16BC0" w:rsidRPr="00B62872">
        <w:t xml:space="preserve"> </w:t>
      </w:r>
      <w:r w:rsidR="00EB6006" w:rsidRPr="00B62872">
        <w:rPr>
          <w:rFonts w:ascii="Symbol" w:hAnsi="Symbol"/>
          <w:i/>
        </w:rPr>
        <w:t></w:t>
      </w:r>
      <w:r w:rsidR="00A16BC0" w:rsidRPr="00B62872">
        <w:t xml:space="preserve"> </w:t>
      </w:r>
      <w:r w:rsidR="00F27053">
        <w:rPr>
          <w:rFonts w:cs="Times"/>
        </w:rPr>
        <w:t>≥</w:t>
      </w:r>
      <w:r w:rsidR="00A16BC0" w:rsidRPr="00B62872">
        <w:t xml:space="preserve"> </w:t>
      </w:r>
      <w:r w:rsidR="00EB6006" w:rsidRPr="00B62872">
        <w:t>10 °C min</w:t>
      </w:r>
      <w:r w:rsidR="00EB6006" w:rsidRPr="00B62872">
        <w:rPr>
          <w:vertAlign w:val="superscript"/>
        </w:rPr>
        <w:t>-1</w:t>
      </w:r>
      <w:r w:rsidR="00EB6006" w:rsidRPr="00B62872">
        <w:t>,</w:t>
      </w:r>
      <w:r w:rsidR="00BF1284">
        <w:t xml:space="preserve"> however,</w:t>
      </w:r>
      <w:r w:rsidR="00EB6006" w:rsidRPr="00B62872">
        <w:t xml:space="preserve"> </w:t>
      </w:r>
      <w:r w:rsidR="00010CAC" w:rsidRPr="0073615D">
        <w:rPr>
          <w:rFonts w:ascii="Calibri Light" w:hAnsi="Calibri Light" w:cs="Calibri Light"/>
        </w:rPr>
        <w:t>Δ</w:t>
      </w:r>
      <w:r w:rsidR="00EB6006" w:rsidRPr="00B62872">
        <w:rPr>
          <w:i/>
        </w:rPr>
        <w:t>T</w:t>
      </w:r>
      <w:r w:rsidR="00EB6006" w:rsidRPr="00B62872">
        <w:t xml:space="preserve"> decreases </w:t>
      </w:r>
      <w:r w:rsidR="00BF1284">
        <w:t xml:space="preserve">again </w:t>
      </w:r>
      <w:r w:rsidR="00EB6006" w:rsidRPr="00B62872">
        <w:t>as d</w:t>
      </w:r>
      <w:r w:rsidR="00EB6006" w:rsidRPr="00B62872">
        <w:rPr>
          <w:i/>
        </w:rPr>
        <w:t>N</w:t>
      </w:r>
      <w:r w:rsidR="00EB6006" w:rsidRPr="00B62872">
        <w:rPr>
          <w:vertAlign w:val="subscript"/>
        </w:rPr>
        <w:t>d</w:t>
      </w:r>
      <w:r w:rsidR="00EB6006" w:rsidRPr="00B62872">
        <w:t>/d</w:t>
      </w:r>
      <w:r w:rsidR="00684CA4" w:rsidRPr="00B62872">
        <w:rPr>
          <w:i/>
        </w:rPr>
        <w:t>T</w:t>
      </w:r>
      <w:r w:rsidR="00EB6006" w:rsidRPr="00B62872">
        <w:t xml:space="preserve"> </w:t>
      </w:r>
      <w:r w:rsidR="00684CA4" w:rsidRPr="00B62872">
        <w:t>becomes sufficiently high such that</w:t>
      </w:r>
      <w:r w:rsidR="00564882">
        <w:t xml:space="preserve"> </w:t>
      </w:r>
      <w:r w:rsidR="00684CA4" w:rsidRPr="00B62872">
        <w:t xml:space="preserve">solute depletion occurs </w:t>
      </w:r>
      <w:r w:rsidR="00BF1284" w:rsidRPr="00BF1284">
        <w:t>within a short timescale Δ</w:t>
      </w:r>
      <w:r w:rsidR="00BF1284" w:rsidRPr="00BF1284">
        <w:rPr>
          <w:i/>
        </w:rPr>
        <w:t>t</w:t>
      </w:r>
      <w:r w:rsidR="00BF1284" w:rsidRPr="00BF1284">
        <w:t xml:space="preserve"> </w:t>
      </w:r>
      <w:r w:rsidR="00C358DD">
        <w:t>(</w:t>
      </w:r>
      <w:r w:rsidR="00BF1284">
        <w:t xml:space="preserve">thus </w:t>
      </w:r>
      <w:r w:rsidR="00684CA4" w:rsidRPr="00B62872">
        <w:t xml:space="preserve">smaller </w:t>
      </w:r>
      <w:r w:rsidR="00B27393" w:rsidRPr="0073615D">
        <w:rPr>
          <w:rFonts w:ascii="Calibri Light" w:hAnsi="Calibri Light" w:cs="Calibri Light"/>
        </w:rPr>
        <w:t>Δ</w:t>
      </w:r>
      <w:r w:rsidR="00684CA4" w:rsidRPr="00B62872">
        <w:rPr>
          <w:i/>
        </w:rPr>
        <w:t>T</w:t>
      </w:r>
      <w:r w:rsidR="00C358DD">
        <w:t>)</w:t>
      </w:r>
      <w:r w:rsidR="00B62872" w:rsidRPr="00B62872">
        <w:t>.</w:t>
      </w:r>
    </w:p>
    <w:p w14:paraId="0DEFD215" w14:textId="4C8EC798" w:rsidR="00F75BA8" w:rsidRPr="00A41F97" w:rsidRDefault="004A1510" w:rsidP="00C809BE">
      <w:pPr>
        <w:pStyle w:val="TAMainText"/>
      </w:pPr>
      <w:r w:rsidRPr="00A41F97">
        <w:t xml:space="preserve">DSC </w:t>
      </w:r>
      <w:r w:rsidR="00487B8C">
        <w:t xml:space="preserve">measurements at </w:t>
      </w:r>
      <w:r w:rsidR="00800AB4">
        <w:t>the same</w:t>
      </w:r>
      <w:r w:rsidR="00487B8C">
        <w:t xml:space="preserve"> </w:t>
      </w:r>
      <w:r w:rsidR="00487B8C" w:rsidRPr="007E2090">
        <w:rPr>
          <w:rFonts w:ascii="Symbol" w:hAnsi="Symbol"/>
          <w:i/>
        </w:rPr>
        <w:t></w:t>
      </w:r>
      <w:r w:rsidRPr="00A41F97">
        <w:t xml:space="preserve"> </w:t>
      </w:r>
      <w:r w:rsidR="007E2090">
        <w:t xml:space="preserve">provide complementary </w:t>
      </w:r>
      <w:r w:rsidR="007E2090" w:rsidRPr="00A41F97">
        <w:t xml:space="preserve">data to </w:t>
      </w:r>
      <w:r w:rsidR="00800AB4">
        <w:t xml:space="preserve">the </w:t>
      </w:r>
      <w:r w:rsidR="007E2090" w:rsidRPr="00A41F97">
        <w:t>optical microscopy</w:t>
      </w:r>
      <w:r w:rsidR="007E2090">
        <w:t xml:space="preserve"> studies</w:t>
      </w:r>
      <w:r w:rsidR="00C56940">
        <w:t>, employing a larger sample volume</w:t>
      </w:r>
      <w:r w:rsidR="00077CE4">
        <w:t>.</w:t>
      </w:r>
      <w:r w:rsidR="0023467B">
        <w:t xml:space="preserve"> </w:t>
      </w:r>
      <w:r w:rsidR="0023467B" w:rsidRPr="00A41F97">
        <w:t xml:space="preserve">Figure </w:t>
      </w:r>
      <w:r w:rsidR="0023467B">
        <w:t>6</w:t>
      </w:r>
      <w:r w:rsidR="0023467B" w:rsidRPr="00A41F97">
        <w:t>(</w:t>
      </w:r>
      <w:r w:rsidR="0023467B">
        <w:t>c</w:t>
      </w:r>
      <w:r w:rsidR="0023467B" w:rsidRPr="00A41F97">
        <w:t>)</w:t>
      </w:r>
      <w:r w:rsidR="0023467B">
        <w:t xml:space="preserve"> details a</w:t>
      </w:r>
      <w:r w:rsidR="0023467B" w:rsidRPr="00A41F97">
        <w:t xml:space="preserve"> representative </w:t>
      </w:r>
      <w:r w:rsidR="0023467B">
        <w:t xml:space="preserve">DSC </w:t>
      </w:r>
      <w:r w:rsidR="00F5359F">
        <w:t>trace</w:t>
      </w:r>
      <w:r w:rsidR="0023467B" w:rsidRPr="00A41F97">
        <w:t xml:space="preserve"> </w:t>
      </w:r>
      <w:r w:rsidR="0023467B">
        <w:t xml:space="preserve">for </w:t>
      </w:r>
      <w:r w:rsidR="0023467B" w:rsidRPr="008B62F2">
        <w:rPr>
          <w:rFonts w:ascii="Symbol" w:hAnsi="Symbol"/>
          <w:i/>
        </w:rPr>
        <w:t></w:t>
      </w:r>
      <w:r w:rsidR="0023467B">
        <w:t xml:space="preserve"> = </w:t>
      </w:r>
      <w:r w:rsidR="0023467B" w:rsidRPr="00961C6B">
        <w:t>1</w:t>
      </w:r>
      <w:r w:rsidR="0095490A">
        <w:t>.0</w:t>
      </w:r>
      <w:r w:rsidR="0023467B" w:rsidRPr="00961C6B">
        <w:t xml:space="preserve"> °C min</w:t>
      </w:r>
      <w:r w:rsidR="0023467B" w:rsidRPr="00961C6B">
        <w:rPr>
          <w:vertAlign w:val="superscript"/>
        </w:rPr>
        <w:t>-1</w:t>
      </w:r>
      <w:r w:rsidR="00E27E02">
        <w:t>, cooled</w:t>
      </w:r>
      <w:r w:rsidR="0023467B">
        <w:t xml:space="preserve"> </w:t>
      </w:r>
      <w:r w:rsidR="0023467B" w:rsidRPr="00A41F97">
        <w:t>linear</w:t>
      </w:r>
      <w:r w:rsidR="0023467B">
        <w:t>ly</w:t>
      </w:r>
      <w:r w:rsidR="0023467B" w:rsidRPr="00A41F97">
        <w:t xml:space="preserve"> </w:t>
      </w:r>
      <w:r w:rsidR="0023467B">
        <w:t xml:space="preserve">from </w:t>
      </w:r>
      <w:r w:rsidR="00B054FA">
        <w:t>23</w:t>
      </w:r>
      <w:r w:rsidR="00D67053">
        <w:t xml:space="preserve"> </w:t>
      </w:r>
      <w:r w:rsidR="0023467B" w:rsidRPr="00A41F97">
        <w:t xml:space="preserve">to -10 °C. </w:t>
      </w:r>
      <w:r w:rsidR="0023467B">
        <w:t xml:space="preserve">The slightly wider </w:t>
      </w:r>
      <w:r w:rsidR="0023467B">
        <w:rPr>
          <w:i/>
        </w:rPr>
        <w:t>T</w:t>
      </w:r>
      <w:r w:rsidR="0023467B">
        <w:t xml:space="preserve"> window </w:t>
      </w:r>
      <w:r w:rsidR="00F5359F">
        <w:t xml:space="preserve">explored </w:t>
      </w:r>
      <w:r w:rsidR="0023467B">
        <w:t>(beyond -5</w:t>
      </w:r>
      <w:r w:rsidR="00315477">
        <w:t xml:space="preserve"> </w:t>
      </w:r>
      <w:r w:rsidR="0023467B" w:rsidRPr="008B62F2">
        <w:t>°C</w:t>
      </w:r>
      <w:r w:rsidR="0023467B">
        <w:t>) allow</w:t>
      </w:r>
      <w:r w:rsidR="00315477">
        <w:t>s</w:t>
      </w:r>
      <w:r w:rsidR="0023467B">
        <w:t xml:space="preserve"> for </w:t>
      </w:r>
      <w:r w:rsidR="00176133">
        <w:t xml:space="preserve">clear </w:t>
      </w:r>
      <w:r w:rsidR="0023467B">
        <w:t>heat flow stabilization and does not affect the results</w:t>
      </w:r>
      <w:r w:rsidR="00F5359F">
        <w:t>,</w:t>
      </w:r>
      <w:r w:rsidR="0023467B">
        <w:t xml:space="preserve"> si</w:t>
      </w:r>
      <w:r w:rsidR="000D60DC">
        <w:t>nce crystallization is complete</w:t>
      </w:r>
      <w:r w:rsidR="0023467B">
        <w:t xml:space="preserve"> before</w:t>
      </w:r>
      <w:r w:rsidR="000D60DC">
        <w:t xml:space="preserve"> </w:t>
      </w:r>
      <w:r w:rsidR="0023467B">
        <w:t>-5</w:t>
      </w:r>
      <w:r w:rsidR="000D60DC">
        <w:t xml:space="preserve"> </w:t>
      </w:r>
      <w:r w:rsidR="0023467B" w:rsidRPr="008B62F2">
        <w:t>°C</w:t>
      </w:r>
      <w:r w:rsidR="0023467B">
        <w:t>.</w:t>
      </w:r>
      <w:r w:rsidR="006E747B" w:rsidRPr="006E747B">
        <w:t xml:space="preserve"> </w:t>
      </w:r>
      <w:r w:rsidR="00BF1284">
        <w:t xml:space="preserve">Profile </w:t>
      </w:r>
      <w:r w:rsidR="002D6725">
        <w:t>parameters</w:t>
      </w:r>
      <w:r w:rsidR="002D6725" w:rsidRPr="00A41F97">
        <w:t xml:space="preserve"> </w:t>
      </w:r>
      <w:r w:rsidR="002D6725">
        <w:t>determined</w:t>
      </w:r>
      <w:r w:rsidR="00D77905" w:rsidRPr="00A41F97">
        <w:t xml:space="preserve"> are</w:t>
      </w:r>
      <w:r w:rsidR="002D6725">
        <w:t xml:space="preserve"> based </w:t>
      </w:r>
      <w:r w:rsidR="002D6725" w:rsidRPr="00A41F97">
        <w:t xml:space="preserve">on the extrapolated onset </w:t>
      </w:r>
      <w:r w:rsidR="002D6725">
        <w:t>(</w:t>
      </w:r>
      <w:r w:rsidR="002D6725" w:rsidRPr="00A41F97">
        <w:rPr>
          <w:i/>
        </w:rPr>
        <w:t>T</w:t>
      </w:r>
      <w:r w:rsidR="002D6725" w:rsidRPr="00A41F97">
        <w:rPr>
          <w:vertAlign w:val="subscript"/>
        </w:rPr>
        <w:t>ind</w:t>
      </w:r>
      <w:r w:rsidR="002D6725">
        <w:t xml:space="preserve">, </w:t>
      </w:r>
      <w:r w:rsidR="002D6725" w:rsidRPr="00A41F97">
        <w:rPr>
          <w:i/>
        </w:rPr>
        <w:t>t</w:t>
      </w:r>
      <w:r w:rsidR="002D6725" w:rsidRPr="00A41F97">
        <w:rPr>
          <w:vertAlign w:val="subscript"/>
        </w:rPr>
        <w:t>ind</w:t>
      </w:r>
      <w:r w:rsidR="002D6725">
        <w:t xml:space="preserve">) </w:t>
      </w:r>
      <w:r w:rsidR="002D6725" w:rsidRPr="00A41F97">
        <w:t xml:space="preserve">and finish </w:t>
      </w:r>
      <w:r w:rsidR="002D6725">
        <w:t>(</w:t>
      </w:r>
      <w:r w:rsidR="002D6725" w:rsidRPr="00A41F97">
        <w:rPr>
          <w:i/>
        </w:rPr>
        <w:t>T</w:t>
      </w:r>
      <w:r w:rsidR="002D6725" w:rsidRPr="00A41F97">
        <w:rPr>
          <w:vertAlign w:val="subscript"/>
        </w:rPr>
        <w:t>f</w:t>
      </w:r>
      <w:r w:rsidR="002D6725">
        <w:t xml:space="preserve">, </w:t>
      </w:r>
      <w:r w:rsidR="002D6725" w:rsidRPr="00A41F97">
        <w:rPr>
          <w:i/>
        </w:rPr>
        <w:t>t</w:t>
      </w:r>
      <w:r w:rsidR="002D6725" w:rsidRPr="00A41F97">
        <w:rPr>
          <w:vertAlign w:val="subscript"/>
        </w:rPr>
        <w:t>f</w:t>
      </w:r>
      <w:r w:rsidR="002D6725">
        <w:t>) points,</w:t>
      </w:r>
      <w:r w:rsidR="002D6725" w:rsidRPr="00A41F97">
        <w:t xml:space="preserve"> as well as</w:t>
      </w:r>
      <w:r w:rsidR="002D6725">
        <w:t xml:space="preserve"> </w:t>
      </w:r>
      <w:r w:rsidR="002133C1">
        <w:t xml:space="preserve">the </w:t>
      </w:r>
      <w:r w:rsidR="002D6725">
        <w:t>peak temperature</w:t>
      </w:r>
      <w:r w:rsidR="002D6725" w:rsidRPr="00A41F97">
        <w:t xml:space="preserve"> </w:t>
      </w:r>
      <w:r w:rsidR="002D6725" w:rsidRPr="00A41F97">
        <w:rPr>
          <w:i/>
        </w:rPr>
        <w:t>T</w:t>
      </w:r>
      <w:r w:rsidR="002D6725">
        <w:rPr>
          <w:vertAlign w:val="subscript"/>
        </w:rPr>
        <w:t>p</w:t>
      </w:r>
      <w:r w:rsidR="002D6725" w:rsidRPr="00A41F97">
        <w:t xml:space="preserve"> (</w:t>
      </w:r>
      <w:r w:rsidR="002D6725">
        <w:t xml:space="preserve">at the </w:t>
      </w:r>
      <w:r w:rsidR="002D6725" w:rsidRPr="00A41F97">
        <w:t>maximum heat flow value).</w:t>
      </w:r>
      <w:r w:rsidR="002D6725" w:rsidRPr="00A41F97">
        <w:fldChar w:fldCharType="begin" w:fldLock="1"/>
      </w:r>
      <w:r w:rsidR="00600480">
        <w:instrText>ADDIN CSL_CITATION { "citationItems" : [ { "id" : "ITEM-1", "itemData" : { "author" : [ { "dropping-particle" : "", "family" : "Jeziorny", "given" : "A.", "non-dropping-particle" : "", "parse-names" : false, "suffix" : "" } ], "container-title" : "Polymer", "id" : "ITEM-1", "issued" : { "date-parts" : [ [ "1978" ] ] }, "page" : "1142-1144", "title" : "Parameters characterizing the kinetics of the non-isothermal crystallization of poly(ethylene terephthalate) determined by d.s.c.", "type" : "article-journal", "volume" : "19" }, "uris" : [ "http://www.mendeley.com/documents/?uuid=65759b3b-0345-4d66-8d0f-ce70ceb3a072" ] } ], "mendeley" : { "formattedCitation" : "&lt;sup&gt;61&lt;/sup&gt;", "plainTextFormattedCitation" : "61", "previouslyFormattedCitation" : "&lt;sup&gt;61&lt;/sup&gt;" }, "properties" : { "noteIndex" : 0 }, "schema" : "https://github.com/citation-style-language/schema/raw/master/csl-citation.json" }</w:instrText>
      </w:r>
      <w:r w:rsidR="002D6725" w:rsidRPr="00A41F97">
        <w:fldChar w:fldCharType="separate"/>
      </w:r>
      <w:r w:rsidR="00290E7E" w:rsidRPr="00290E7E">
        <w:rPr>
          <w:noProof/>
          <w:vertAlign w:val="superscript"/>
        </w:rPr>
        <w:t>61</w:t>
      </w:r>
      <w:r w:rsidR="002D6725" w:rsidRPr="00A41F97">
        <w:fldChar w:fldCharType="end"/>
      </w:r>
      <w:r w:rsidR="002D6725" w:rsidRPr="00A41F97">
        <w:t xml:space="preserve"> </w:t>
      </w:r>
      <w:r w:rsidR="002D6725">
        <w:t>D</w:t>
      </w:r>
      <w:r w:rsidR="00E85DE3">
        <w:t xml:space="preserve">SC traces for all </w:t>
      </w:r>
      <w:r w:rsidR="00E85DE3" w:rsidRPr="00924A20">
        <w:rPr>
          <w:rFonts w:ascii="Symbol" w:hAnsi="Symbol"/>
          <w:i/>
        </w:rPr>
        <w:t></w:t>
      </w:r>
      <w:r w:rsidR="00E85DE3" w:rsidRPr="00A41F97">
        <w:t xml:space="preserve"> are provided in the </w:t>
      </w:r>
      <w:r w:rsidR="001C1097" w:rsidRPr="00A41F97">
        <w:t>S</w:t>
      </w:r>
      <w:r w:rsidR="0070393D">
        <w:t>upporting Information (Figure S</w:t>
      </w:r>
      <w:r w:rsidR="00B60E7D">
        <w:t>8</w:t>
      </w:r>
      <w:r w:rsidR="002B3DFE">
        <w:t>a</w:t>
      </w:r>
      <w:r w:rsidR="0070393D">
        <w:t>)</w:t>
      </w:r>
      <w:r w:rsidR="001C1097" w:rsidRPr="00A41F97">
        <w:t xml:space="preserve">. </w:t>
      </w:r>
      <w:r w:rsidR="006C1AF7" w:rsidRPr="00A41F97">
        <w:t xml:space="preserve">The relative degree of crystallinity </w:t>
      </w:r>
      <w:r w:rsidR="00B75836" w:rsidRPr="00A41F97">
        <w:t>was</w:t>
      </w:r>
      <w:r w:rsidR="006C1AF7" w:rsidRPr="00A41F97">
        <w:t xml:space="preserve"> </w:t>
      </w:r>
      <w:r w:rsidR="00B1072C">
        <w:t>calculat</w:t>
      </w:r>
      <w:r w:rsidR="006C1AF7" w:rsidRPr="00A41F97">
        <w:t>ed using:</w:t>
      </w:r>
      <w:r w:rsidR="00A37BD4">
        <w:fldChar w:fldCharType="begin" w:fldLock="1"/>
      </w:r>
      <w:r w:rsidR="00600480">
        <w:instrText>ADDIN CSL_CITATION { "citationItems" : [ { "id" : "ITEM-1", "itemData" : { "author" : [ { "dropping-particle" : "", "family" : "Liu", "given" : "T.", "non-dropping-particle" : "", "parse-names" : false, "suffix" : "" }, { "dropping-particle" : "", "family" : "Mo", "given" : "Z.", "non-dropping-particle" : "", "parse-names" : false, "suffix" : "" }, { "dropping-particle" : "", "family" : "Wang", "given" : "S.", "non-dropping-particle" : "", "parse-names" : false, "suffix" : "" }, { "dropping-particle" : "", "family" : "Zhang", "given" : "H.", "non-dropping-particle" : "", "parse-names" : false, "suffix" : "" } ], "container-title" : "Polym. Eng. Sci.", "id" : "ITEM-1", "issued" : { "date-parts" : [ [ "1997" ] ] }, "page" : "568-575", "title" : "Nonisothermal Melt and Cold Crystallization Kinetics of Poly ( Ary1 Ether Ether Ketone Ketone )", "type" : "article-journal", "volume" : "37" }, "uris" : [ "http://www.mendeley.com/documents/?uuid=8e824de9-4cc5-483b-9b08-777970f59651" ] }, { "id" : "ITEM-2",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"ITEM-2", "issued" : { "date-parts" : [ [ "2002" ] ] }, "page" : "408-414", "title" : "Nonisothermal Crystallization Kinetics of Polypropylene/ Montmorillonite Nanocomposites", "type" : "article-journal", "volume" : "40" }, "uris" : [ "http://www.mendeley.com/documents/?uuid=7de44ac5-cfec-408b-b55a-7c8c3f1f1824" ] } ], "mendeley" : { "formattedCitation" : "&lt;sup&gt;10,20&lt;/sup&gt;", "plainTextFormattedCitation" : "10,20", "previouslyFormattedCitation" : "&lt;sup&gt;10,20&lt;/sup&gt;" }, "properties" : { "noteIndex" : 0 }, "schema" : "https://github.com/citation-style-language/schema/raw/master/csl-citation.json" }</w:instrText>
      </w:r>
      <w:r w:rsidR="00A37BD4">
        <w:fldChar w:fldCharType="separate"/>
      </w:r>
      <w:r w:rsidR="00290E7E" w:rsidRPr="00290E7E">
        <w:rPr>
          <w:noProof/>
          <w:vertAlign w:val="superscript"/>
        </w:rPr>
        <w:t>10,20</w:t>
      </w:r>
      <w:r w:rsidR="00A37BD4">
        <w:fldChar w:fldCharType="end"/>
      </w:r>
    </w:p>
    <w:p w14:paraId="352D1E90" w14:textId="0A7FF40E" w:rsidR="00146544" w:rsidRPr="00C809BE" w:rsidRDefault="00A01C13" w:rsidP="00C809BE">
      <w:pPr>
        <w:pStyle w:val="TAMainText"/>
      </w:pPr>
      <m:oMath>
        <m:sSub>
          <m:sSubPr>
            <m:ctrlPr>
              <w:rPr>
                <w:rFonts w:ascii="Cambria Math" w:hAnsi="Cambria Math"/>
                <w:i/>
                <w:color w:val="FF0000"/>
              </w:rPr>
            </m:ctrlPr>
          </m:sSubPr>
          <m:e>
            <m:r>
              <w:rPr>
                <w:rFonts w:ascii="Cambria Math" w:hAnsi="Cambria Math"/>
                <w:color w:val="FF0000"/>
              </w:rPr>
              <m:t>α</m:t>
            </m:r>
          </m:e>
          <m:sub>
            <m:r>
              <w:rPr>
                <w:rFonts w:ascii="Cambria Math" w:hAnsi="Cambria Math"/>
                <w:color w:val="FF0000"/>
              </w:rPr>
              <m:t>DSC</m:t>
            </m:r>
          </m:sub>
        </m:sSub>
        <m:r>
          <m:rPr>
            <m:sty m:val="p"/>
          </m:rPr>
          <w:rPr>
            <w:rFonts w:ascii="Cambria Math" w:hAnsi="Cambria Math"/>
            <w:color w:val="FF0000"/>
          </w:rPr>
          <m:t>(</m:t>
        </m:r>
        <m:r>
          <w:rPr>
            <w:rFonts w:ascii="Cambria Math" w:hAnsi="Cambria Math"/>
            <w:color w:val="FF0000"/>
          </w:rPr>
          <m:t>T</m:t>
        </m:r>
        <m:r>
          <m:rPr>
            <m:sty m:val="p"/>
          </m:rPr>
          <w:rPr>
            <w:rFonts w:ascii="Cambria Math" w:hAnsi="Cambria Math"/>
            <w:color w:val="FF0000"/>
          </w:rPr>
          <m:t>)</m:t>
        </m:r>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w:rPr>
                        <w:rFonts w:ascii="Cambria Math" w:hAnsi="Cambria Math"/>
                      </w:rPr>
                      <m:t>T</m:t>
                    </m:r>
                  </m:e>
                  <m:sub>
                    <m:r>
                      <m:rPr>
                        <m:sty m:val="p"/>
                      </m:rPr>
                      <w:rPr>
                        <w:rFonts w:ascii="Cambria Math" w:hAnsi="Cambria Math"/>
                      </w:rPr>
                      <m:t>ind</m:t>
                    </m:r>
                  </m:sub>
                </m:sSub>
              </m:sub>
              <m:sup>
                <m:r>
                  <w:rPr>
                    <w:rFonts w:ascii="Cambria Math" w:hAnsi="Cambria Math"/>
                  </w:rPr>
                  <m:t>T</m:t>
                </m:r>
              </m:sup>
              <m:e>
                <m:r>
                  <m:rPr>
                    <m:sty m:val="p"/>
                  </m:rPr>
                  <w:rPr>
                    <w:rFonts w:ascii="Cambria Math" w:hAnsi="Cambria Math"/>
                  </w:rPr>
                  <m:t xml:space="preserve">  </m:t>
                </m:r>
                <m:f>
                  <m:fPr>
                    <m:ctrlPr>
                      <w:rPr>
                        <w:rFonts w:ascii="Cambria Math" w:hAnsi="Cambria Math"/>
                      </w:rPr>
                    </m:ctrlPr>
                  </m:fPr>
                  <m:num>
                    <m:r>
                      <m:rPr>
                        <m:sty m:val="p"/>
                      </m:rPr>
                      <w:rPr>
                        <w:rFonts w:ascii="Cambria Math" w:hAnsi="Cambria Math"/>
                      </w:rPr>
                      <m:t>d</m:t>
                    </m:r>
                    <m:sSub>
                      <m:sSubPr>
                        <m:ctrlPr>
                          <w:rPr>
                            <w:rFonts w:ascii="Cambria Math" w:hAnsi="Cambria Math"/>
                          </w:rPr>
                        </m:ctrlPr>
                      </m:sSubPr>
                      <m:e>
                        <m:r>
                          <w:rPr>
                            <w:rFonts w:ascii="Cambria Math" w:hAnsi="Cambria Math"/>
                          </w:rPr>
                          <m:t>H</m:t>
                        </m:r>
                      </m:e>
                      <m:sub>
                        <m:r>
                          <w:rPr>
                            <w:rFonts w:ascii="Cambria Math" w:hAnsi="Cambria Math"/>
                          </w:rPr>
                          <m:t>C</m:t>
                        </m:r>
                      </m:sub>
                    </m:sSub>
                  </m:num>
                  <m:den>
                    <m:r>
                      <m:rPr>
                        <m:sty m:val="p"/>
                      </m:rPr>
                      <w:rPr>
                        <w:rFonts w:ascii="Cambria Math" w:hAnsi="Cambria Math"/>
                      </w:rPr>
                      <m:t>d</m:t>
                    </m:r>
                    <m:r>
                      <w:rPr>
                        <w:rFonts w:ascii="Cambria Math" w:hAnsi="Cambria Math"/>
                      </w:rPr>
                      <m:t>T</m:t>
                    </m:r>
                  </m:den>
                </m:f>
                <m:r>
                  <w:rPr>
                    <w:rFonts w:ascii="Cambria Math" w:hAnsi="Cambria Math"/>
                  </w:rPr>
                  <m:t>dT</m:t>
                </m:r>
              </m:e>
            </m:nary>
          </m:num>
          <m:den>
            <m:nary>
              <m:naryPr>
                <m:limLoc m:val="subSup"/>
                <m:ctrlPr>
                  <w:rPr>
                    <w:rFonts w:ascii="Cambria Math" w:hAnsi="Cambria Math"/>
                  </w:rPr>
                </m:ctrlPr>
              </m:naryPr>
              <m:sub>
                <m:sSub>
                  <m:sSubPr>
                    <m:ctrlPr>
                      <w:rPr>
                        <w:rFonts w:ascii="Cambria Math" w:hAnsi="Cambria Math"/>
                      </w:rPr>
                    </m:ctrlPr>
                  </m:sSubPr>
                  <m:e>
                    <m:r>
                      <w:rPr>
                        <w:rFonts w:ascii="Cambria Math" w:hAnsi="Cambria Math"/>
                      </w:rPr>
                      <m:t>T</m:t>
                    </m:r>
                  </m:e>
                  <m:sub>
                    <m:r>
                      <m:rPr>
                        <m:sty m:val="p"/>
                      </m:rPr>
                      <w:rPr>
                        <w:rFonts w:ascii="Cambria Math" w:hAnsi="Cambria Math"/>
                      </w:rPr>
                      <m:t>ind</m:t>
                    </m:r>
                  </m:sub>
                </m:sSub>
              </m:sub>
              <m:sup>
                <m:sSub>
                  <m:sSubPr>
                    <m:ctrlPr>
                      <w:rPr>
                        <w:rFonts w:ascii="Cambria Math" w:hAnsi="Cambria Math"/>
                      </w:rPr>
                    </m:ctrlPr>
                  </m:sSubPr>
                  <m:e>
                    <m:r>
                      <w:rPr>
                        <w:rFonts w:ascii="Cambria Math" w:hAnsi="Cambria Math"/>
                      </w:rPr>
                      <m:t>T</m:t>
                    </m:r>
                  </m:e>
                  <m:sub>
                    <m:r>
                      <m:rPr>
                        <m:sty m:val="p"/>
                      </m:rPr>
                      <w:rPr>
                        <w:rFonts w:ascii="Cambria Math" w:hAnsi="Cambria Math"/>
                      </w:rPr>
                      <m:t>f</m:t>
                    </m:r>
                  </m:sub>
                </m:sSub>
              </m:sup>
              <m:e>
                <m:r>
                  <m:rPr>
                    <m:sty m:val="p"/>
                  </m:rPr>
                  <w:rPr>
                    <w:rFonts w:ascii="Cambria Math" w:hAnsi="Cambria Math"/>
                  </w:rPr>
                  <m:t xml:space="preserve"> </m:t>
                </m:r>
                <m:f>
                  <m:fPr>
                    <m:ctrlPr>
                      <w:rPr>
                        <w:rFonts w:ascii="Cambria Math" w:hAnsi="Cambria Math"/>
                      </w:rPr>
                    </m:ctrlPr>
                  </m:fPr>
                  <m:num>
                    <m:r>
                      <m:rPr>
                        <m:sty m:val="p"/>
                      </m:rPr>
                      <w:rPr>
                        <w:rFonts w:ascii="Cambria Math" w:hAnsi="Cambria Math"/>
                      </w:rPr>
                      <m:t>d</m:t>
                    </m:r>
                    <m:sSub>
                      <m:sSubPr>
                        <m:ctrlPr>
                          <w:rPr>
                            <w:rFonts w:ascii="Cambria Math" w:hAnsi="Cambria Math"/>
                          </w:rPr>
                        </m:ctrlPr>
                      </m:sSubPr>
                      <m:e>
                        <m:r>
                          <w:rPr>
                            <w:rFonts w:ascii="Cambria Math" w:hAnsi="Cambria Math"/>
                          </w:rPr>
                          <m:t>H</m:t>
                        </m:r>
                      </m:e>
                      <m:sub>
                        <m:r>
                          <w:rPr>
                            <w:rFonts w:ascii="Cambria Math" w:hAnsi="Cambria Math"/>
                          </w:rPr>
                          <m:t>C</m:t>
                        </m:r>
                      </m:sub>
                    </m:sSub>
                  </m:num>
                  <m:den>
                    <m:r>
                      <m:rPr>
                        <m:sty m:val="p"/>
                      </m:rPr>
                      <w:rPr>
                        <w:rFonts w:ascii="Cambria Math" w:hAnsi="Cambria Math"/>
                      </w:rPr>
                      <m:t>d</m:t>
                    </m:r>
                    <m:r>
                      <w:rPr>
                        <w:rFonts w:ascii="Cambria Math" w:hAnsi="Cambria Math"/>
                      </w:rPr>
                      <m:t>T</m:t>
                    </m:r>
                  </m:den>
                </m:f>
                <m:r>
                  <w:rPr>
                    <w:rFonts w:ascii="Cambria Math" w:hAnsi="Cambria Math"/>
                  </w:rPr>
                  <m:t>dT</m:t>
                </m:r>
              </m:e>
            </m:nary>
          </m:den>
        </m:f>
      </m:oMath>
      <w:r w:rsidR="00146544" w:rsidRPr="00C809BE">
        <w:tab/>
      </w:r>
      <w:r w:rsidR="00146544" w:rsidRPr="00C809BE">
        <w:tab/>
      </w:r>
      <w:r w:rsidR="00146544" w:rsidRPr="00C809BE">
        <w:tab/>
      </w:r>
      <w:r w:rsidR="00146544" w:rsidRPr="00C809BE">
        <w:tab/>
      </w:r>
      <w:r w:rsidR="00C809BE">
        <w:tab/>
      </w:r>
      <w:r w:rsidR="00C809BE">
        <w:tab/>
      </w:r>
      <w:r w:rsidR="00C809BE">
        <w:tab/>
      </w:r>
      <w:r w:rsidR="00C809BE">
        <w:tab/>
      </w:r>
      <w:r w:rsidR="00C809BE">
        <w:tab/>
      </w:r>
      <w:r w:rsidR="00C809BE">
        <w:tab/>
      </w:r>
      <w:r w:rsidR="00C809BE">
        <w:tab/>
      </w:r>
      <w:r w:rsidR="00C809BE">
        <w:tab/>
        <w:t xml:space="preserve">  </w:t>
      </w:r>
      <w:r w:rsidR="00146544" w:rsidRPr="00C809BE">
        <w:t>(1)</w:t>
      </w:r>
    </w:p>
    <w:p w14:paraId="00FA4F31" w14:textId="7CFDE018" w:rsidR="000415DF" w:rsidRDefault="00B75836" w:rsidP="00A665CF">
      <w:pPr>
        <w:pStyle w:val="TAMainText"/>
        <w:ind w:firstLine="0"/>
      </w:pPr>
      <w:r w:rsidRPr="00A41F97">
        <w:t>where d</w:t>
      </w:r>
      <w:r w:rsidRPr="00A41F97">
        <w:rPr>
          <w:i/>
        </w:rPr>
        <w:t>H</w:t>
      </w:r>
      <w:r w:rsidRPr="00A41F97">
        <w:rPr>
          <w:vertAlign w:val="subscript"/>
        </w:rPr>
        <w:t>c</w:t>
      </w:r>
      <w:r w:rsidRPr="00A41F97">
        <w:t>/d</w:t>
      </w:r>
      <w:r w:rsidR="00497234">
        <w:rPr>
          <w:i/>
        </w:rPr>
        <w:t>T</w:t>
      </w:r>
      <w:r w:rsidRPr="00A41F97">
        <w:t xml:space="preserve"> is the heat flow, </w:t>
      </w:r>
      <w:r w:rsidR="00BF1284">
        <w:t>yielding</w:t>
      </w:r>
      <w:r w:rsidRPr="00A41F97">
        <w:t xml:space="preserve"> normalized values between </w:t>
      </w:r>
      <w:r w:rsidR="00EA4954" w:rsidRPr="00A41F97">
        <w:t>0 and 1</w:t>
      </w:r>
      <w:r w:rsidR="00BF1284">
        <w:t xml:space="preserve">. </w:t>
      </w:r>
      <w:r w:rsidR="00A86D0E">
        <w:t xml:space="preserve">This </w:t>
      </w:r>
      <w:r w:rsidR="00BF1284">
        <w:t xml:space="preserve">data </w:t>
      </w:r>
      <w:r w:rsidR="00DB0CCE">
        <w:t xml:space="preserve">can also be reported in </w:t>
      </w:r>
      <w:r w:rsidR="00DB0CCE">
        <w:rPr>
          <w:i/>
        </w:rPr>
        <w:t>t</w:t>
      </w:r>
      <w:r w:rsidR="00DB0CCE" w:rsidRPr="00DB0CCE">
        <w:t>,</w:t>
      </w:r>
      <w:r w:rsidR="00DB0CCE">
        <w:t xml:space="preserve"> as shown in </w:t>
      </w:r>
      <w:r w:rsidR="00DB0CCE" w:rsidRPr="00A41F97">
        <w:t xml:space="preserve">Figure </w:t>
      </w:r>
      <w:r w:rsidR="00DB0CCE">
        <w:t>6</w:t>
      </w:r>
      <w:r w:rsidR="00DB0CCE" w:rsidRPr="00A41F97">
        <w:t>(</w:t>
      </w:r>
      <w:r w:rsidR="00DB0CCE">
        <w:t>d</w:t>
      </w:r>
      <w:r w:rsidR="00DB0CCE" w:rsidRPr="00A41F97">
        <w:t>)</w:t>
      </w:r>
      <w:r w:rsidR="00DB0CCE">
        <w:t xml:space="preserve">; </w:t>
      </w:r>
      <w:r w:rsidR="00DB0CCE" w:rsidRPr="00DB0CCE">
        <w:t>f</w:t>
      </w:r>
      <w:r w:rsidR="00BD6EF7" w:rsidRPr="00DB0CCE">
        <w:t xml:space="preserve">or the purpose of </w:t>
      </w:r>
      <w:r w:rsidR="00654C7A" w:rsidRPr="00DB0CCE">
        <w:t xml:space="preserve">the </w:t>
      </w:r>
      <w:r w:rsidR="00BD6EF7" w:rsidRPr="00DB0CCE">
        <w:t>analysis, time</w:t>
      </w:r>
      <w:r w:rsidR="00176133" w:rsidRPr="00DB0CCE">
        <w:t>s</w:t>
      </w:r>
      <w:r w:rsidR="00BD6EF7" w:rsidRPr="00DB0CCE">
        <w:t xml:space="preserve"> </w:t>
      </w:r>
      <w:r w:rsidR="005F2278">
        <w:t>a</w:t>
      </w:r>
      <w:r w:rsidR="00176133" w:rsidRPr="00DB0CCE">
        <w:t>re</w:t>
      </w:r>
      <w:r w:rsidR="00BD6EF7" w:rsidRPr="00DB0CCE">
        <w:t xml:space="preserve"> shifted to</w:t>
      </w:r>
      <w:r w:rsidR="00B5657B" w:rsidRPr="00DB0CCE">
        <w:t xml:space="preserve"> </w:t>
      </w:r>
      <w:r w:rsidR="004C5707" w:rsidRPr="00DB0CCE">
        <w:rPr>
          <w:i/>
        </w:rPr>
        <w:t>t</w:t>
      </w:r>
      <w:r w:rsidR="004C5707" w:rsidRPr="00DB0CCE">
        <w:rPr>
          <w:vertAlign w:val="subscript"/>
        </w:rPr>
        <w:t>ind</w:t>
      </w:r>
      <w:r w:rsidR="004C5707" w:rsidRPr="00DB0CCE">
        <w:t xml:space="preserve"> </w:t>
      </w:r>
      <w:r w:rsidR="00E629C8" w:rsidRPr="00DB0CCE">
        <w:t>= 0</w:t>
      </w:r>
      <w:r w:rsidR="004B207A" w:rsidRPr="00DB0CCE">
        <w:t xml:space="preserve"> for all </w:t>
      </w:r>
      <w:r w:rsidR="004B207A" w:rsidRPr="00DB0CCE">
        <w:rPr>
          <w:rFonts w:ascii="Symbol" w:hAnsi="Symbol"/>
          <w:i/>
        </w:rPr>
        <w:t></w:t>
      </w:r>
      <w:r w:rsidR="00B5657B" w:rsidRPr="00DB0CCE">
        <w:t>.</w:t>
      </w:r>
      <w:r w:rsidR="00464238" w:rsidRPr="00DB0CCE">
        <w:t xml:space="preserve"> </w:t>
      </w:r>
      <w:r w:rsidR="006D56EE" w:rsidRPr="00DB0CCE">
        <w:t>At</w:t>
      </w:r>
      <w:r w:rsidR="00464238">
        <w:t xml:space="preserve"> the fastest </w:t>
      </w:r>
      <w:r w:rsidR="006D56EE" w:rsidRPr="006D56EE">
        <w:rPr>
          <w:rFonts w:ascii="Symbol" w:eastAsia="Yu Gothic" w:hAnsi="Symbol"/>
          <w:i/>
        </w:rPr>
        <w:t></w:t>
      </w:r>
      <w:r w:rsidR="006D56EE">
        <w:t xml:space="preserve"> = </w:t>
      </w:r>
      <w:r w:rsidR="00464238">
        <w:t xml:space="preserve">10 </w:t>
      </w:r>
      <w:r w:rsidR="00BF1284" w:rsidRPr="00BF1284">
        <w:t xml:space="preserve"> </w:t>
      </w:r>
      <w:r w:rsidR="00BF1284">
        <w:t xml:space="preserve">and </w:t>
      </w:r>
      <w:r w:rsidR="00BF1284" w:rsidRPr="00BF1284">
        <w:t>50 °C min</w:t>
      </w:r>
      <w:r w:rsidR="00BF1284" w:rsidRPr="00BF1284">
        <w:rPr>
          <w:vertAlign w:val="superscript"/>
        </w:rPr>
        <w:t>-1</w:t>
      </w:r>
      <w:r w:rsidR="00BF1284" w:rsidRPr="00BF1284">
        <w:t xml:space="preserve">, </w:t>
      </w:r>
      <w:r w:rsidR="00BD6EF7">
        <w:t xml:space="preserve">the measured sample </w:t>
      </w:r>
      <w:r w:rsidR="00DC35DD">
        <w:rPr>
          <w:i/>
        </w:rPr>
        <w:t>T</w:t>
      </w:r>
      <w:r w:rsidR="00BD6EF7">
        <w:t xml:space="preserve"> was not able to </w:t>
      </w:r>
      <w:r w:rsidR="00AA3645">
        <w:t xml:space="preserve">follow </w:t>
      </w:r>
      <w:r w:rsidR="00BD6EF7">
        <w:t xml:space="preserve">the imposed </w:t>
      </w:r>
      <w:r w:rsidR="00871644" w:rsidRPr="00871644">
        <w:rPr>
          <w:rFonts w:ascii="Symbol" w:eastAsia="Yu Gothic" w:hAnsi="Symbol"/>
          <w:i/>
        </w:rPr>
        <w:t></w:t>
      </w:r>
      <w:r w:rsidR="00AD0D01">
        <w:t>,</w:t>
      </w:r>
      <w:r w:rsidR="00BD6EF7">
        <w:t xml:space="preserve"> </w:t>
      </w:r>
      <w:r w:rsidR="00AD0D01">
        <w:t>therefore</w:t>
      </w:r>
      <w:r w:rsidR="00BF1284">
        <w:t xml:space="preserve"> these</w:t>
      </w:r>
      <w:r w:rsidR="00BD6EF7">
        <w:t xml:space="preserve"> data </w:t>
      </w:r>
      <w:r w:rsidR="00F313D1">
        <w:t>ha</w:t>
      </w:r>
      <w:r w:rsidR="00BF1284">
        <w:t>ve</w:t>
      </w:r>
      <w:r w:rsidR="00BD6EF7">
        <w:t xml:space="preserve"> not </w:t>
      </w:r>
      <w:r w:rsidR="00F313D1">
        <w:t xml:space="preserve">been </w:t>
      </w:r>
      <w:r w:rsidR="00BD6EF7">
        <w:t>included in th</w:t>
      </w:r>
      <w:r w:rsidR="00AD0D01">
        <w:t>e</w:t>
      </w:r>
      <w:r w:rsidR="00BD6EF7">
        <w:t xml:space="preserve"> analysis. In order to estimate parameter sensitivity</w:t>
      </w:r>
      <w:r w:rsidR="00555A8D">
        <w:t xml:space="preserve"> due</w:t>
      </w:r>
      <w:r w:rsidR="00BD6EF7">
        <w:t xml:space="preserve"> to changes </w:t>
      </w:r>
      <w:r w:rsidR="00AA3645">
        <w:t>in</w:t>
      </w:r>
      <w:r w:rsidR="00BD6EF7">
        <w:t xml:space="preserve"> mass (or volume), a s</w:t>
      </w:r>
      <w:r w:rsidR="002F3916">
        <w:t>eries of samples ranging from 10–</w:t>
      </w:r>
      <w:r w:rsidR="00BD6EF7">
        <w:t>20 mg</w:t>
      </w:r>
      <w:r w:rsidR="00555A8D">
        <w:t>,</w:t>
      </w:r>
      <w:r w:rsidR="00BD6EF7">
        <w:t xml:space="preserve"> at fixed </w:t>
      </w:r>
      <w:r w:rsidR="00BD6EF7" w:rsidRPr="0008074F">
        <w:rPr>
          <w:rFonts w:ascii="Symbol" w:hAnsi="Symbol"/>
          <w:i/>
        </w:rPr>
        <w:t></w:t>
      </w:r>
      <w:r w:rsidR="00BD6EF7">
        <w:t xml:space="preserve"> = </w:t>
      </w:r>
      <w:r w:rsidR="00BD6EF7" w:rsidRPr="00A41F97">
        <w:t>1</w:t>
      </w:r>
      <w:r w:rsidR="00D77905">
        <w:t>.0</w:t>
      </w:r>
      <w:r w:rsidR="00BD6EF7" w:rsidRPr="00A41F97">
        <w:t xml:space="preserve"> °C min</w:t>
      </w:r>
      <w:r w:rsidR="00BD6EF7" w:rsidRPr="00A41F97">
        <w:rPr>
          <w:vertAlign w:val="superscript"/>
        </w:rPr>
        <w:t>-1</w:t>
      </w:r>
      <w:r w:rsidR="00555A8D">
        <w:t xml:space="preserve">, </w:t>
      </w:r>
      <w:r w:rsidR="00BD6EF7">
        <w:t xml:space="preserve">was investigated. Supporting Information </w:t>
      </w:r>
      <w:r w:rsidR="00555A8D">
        <w:t>(</w:t>
      </w:r>
      <w:r w:rsidR="00BD6EF7" w:rsidRPr="00A41F97">
        <w:t xml:space="preserve">Figure </w:t>
      </w:r>
      <w:r w:rsidR="00BD6EF7">
        <w:t>S</w:t>
      </w:r>
      <w:r w:rsidR="00B60E7D">
        <w:t>8</w:t>
      </w:r>
      <w:r w:rsidR="00BD6EF7">
        <w:t>b</w:t>
      </w:r>
      <w:r w:rsidR="00555A8D">
        <w:t>)</w:t>
      </w:r>
      <w:r w:rsidR="00BD6EF7">
        <w:t xml:space="preserve"> provides the obtained </w:t>
      </w:r>
      <w:r w:rsidR="00BD6EF7" w:rsidRPr="00A41F97">
        <w:rPr>
          <w:i/>
        </w:rPr>
        <w:t>T</w:t>
      </w:r>
      <w:r w:rsidR="00BD6EF7" w:rsidRPr="00A41F97">
        <w:rPr>
          <w:vertAlign w:val="subscript"/>
        </w:rPr>
        <w:t>ind</w:t>
      </w:r>
      <w:r w:rsidR="00BD6EF7" w:rsidRPr="00A41F97">
        <w:t xml:space="preserve"> and </w:t>
      </w:r>
      <w:r w:rsidR="00BD6EF7" w:rsidRPr="00A41F97">
        <w:rPr>
          <w:i/>
        </w:rPr>
        <w:t>T</w:t>
      </w:r>
      <w:r w:rsidR="00BD6EF7" w:rsidRPr="00A41F97">
        <w:rPr>
          <w:vertAlign w:val="subscript"/>
        </w:rPr>
        <w:t>f</w:t>
      </w:r>
      <w:r w:rsidR="00BD6EF7" w:rsidRPr="00A41F97">
        <w:t xml:space="preserve"> values</w:t>
      </w:r>
      <w:r w:rsidR="007E2373">
        <w:t>, the variation of which was found to be</w:t>
      </w:r>
      <w:r w:rsidR="00BD6EF7" w:rsidRPr="00A41F97">
        <w:t xml:space="preserve"> </w:t>
      </w:r>
      <w:r w:rsidR="00BD6EF7">
        <w:t xml:space="preserve">within </w:t>
      </w:r>
      <w:r w:rsidR="00BD6EF7" w:rsidRPr="00A41F97">
        <w:t>1.0 and 1.2 °C respectively</w:t>
      </w:r>
      <w:r w:rsidR="00BD6EF7">
        <w:t>, thus taken as the experimental error</w:t>
      </w:r>
      <w:r w:rsidR="005F7AC2">
        <w:t>.</w:t>
      </w:r>
    </w:p>
    <w:p w14:paraId="2F279117" w14:textId="0D7513A6" w:rsidR="00326F2A" w:rsidRPr="00A41F97" w:rsidRDefault="0097158C" w:rsidP="000415DF">
      <w:pPr>
        <w:spacing w:after="0" w:line="360" w:lineRule="auto"/>
        <w:rPr>
          <w:rFonts w:asciiTheme="majorHAnsi" w:hAnsiTheme="majorHAnsi"/>
          <w:sz w:val="20"/>
        </w:rPr>
      </w:pPr>
      <w:r>
        <w:rPr>
          <w:rFonts w:asciiTheme="majorHAnsi" w:hAnsiTheme="majorHAnsi"/>
          <w:noProof/>
          <w:sz w:val="20"/>
          <w:lang w:val="en-GB" w:eastAsia="en-GB"/>
        </w:rPr>
        <w:lastRenderedPageBreak/>
        <w:drawing>
          <wp:inline distT="0" distB="0" distL="0" distR="0" wp14:anchorId="5F7F80D9" wp14:editId="699441EE">
            <wp:extent cx="2621280" cy="484632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16.tif"/>
                    <pic:cNvPicPr/>
                  </pic:nvPicPr>
                  <pic:blipFill>
                    <a:blip r:embed="rId18">
                      <a:extLst>
                        <a:ext uri="{28A0092B-C50C-407E-A947-70E740481C1C}">
                          <a14:useLocalDpi xmlns:a14="http://schemas.microsoft.com/office/drawing/2010/main" val="0"/>
                        </a:ext>
                      </a:extLst>
                    </a:blip>
                    <a:stretch>
                      <a:fillRect/>
                    </a:stretch>
                  </pic:blipFill>
                  <pic:spPr>
                    <a:xfrm>
                      <a:off x="0" y="0"/>
                      <a:ext cx="2621280" cy="4846320"/>
                    </a:xfrm>
                    <a:prstGeom prst="rect">
                      <a:avLst/>
                    </a:prstGeom>
                  </pic:spPr>
                </pic:pic>
              </a:graphicData>
            </a:graphic>
          </wp:inline>
        </w:drawing>
      </w:r>
    </w:p>
    <w:p w14:paraId="19682628" w14:textId="3D74339A" w:rsidR="00547FBF" w:rsidRDefault="001B4C05" w:rsidP="00E72FFC">
      <w:pPr>
        <w:pStyle w:val="VAFigureCaption"/>
        <w:pBdr>
          <w:bottom w:val="single" w:sz="6" w:space="1" w:color="auto"/>
        </w:pBdr>
      </w:pPr>
      <w:r w:rsidRPr="00A41F97">
        <w:rPr>
          <w:b/>
        </w:rPr>
        <w:t xml:space="preserve">Figure </w:t>
      </w:r>
      <w:r w:rsidR="009E0DB8">
        <w:rPr>
          <w:b/>
        </w:rPr>
        <w:t>7</w:t>
      </w:r>
      <w:r w:rsidRPr="00A41F97">
        <w:rPr>
          <w:b/>
        </w:rPr>
        <w:t>.</w:t>
      </w:r>
      <w:r w:rsidRPr="00A41F97">
        <w:t xml:space="preserve"> </w:t>
      </w:r>
      <w:r w:rsidR="007929E0" w:rsidRPr="00A41F97">
        <w:t xml:space="preserve">Representative analysis </w:t>
      </w:r>
      <w:r w:rsidR="001E47BE">
        <w:t xml:space="preserve">and extracted crystallization parameters from </w:t>
      </w:r>
      <w:r w:rsidR="007929E0" w:rsidRPr="00A41F97">
        <w:t xml:space="preserve">the DSC </w:t>
      </w:r>
      <w:r w:rsidR="001E47BE">
        <w:t>and optical microscopy</w:t>
      </w:r>
      <w:r w:rsidR="00B1072C">
        <w:t xml:space="preserve"> (OM)</w:t>
      </w:r>
      <w:r w:rsidR="001E47BE">
        <w:t xml:space="preserve"> </w:t>
      </w:r>
      <w:r w:rsidR="007929E0" w:rsidRPr="00A41F97">
        <w:t xml:space="preserve">data. </w:t>
      </w:r>
      <w:r w:rsidRPr="00A41F97">
        <w:t xml:space="preserve">(a) </w:t>
      </w:r>
      <w:r w:rsidR="00FA04A1" w:rsidRPr="00A41F97">
        <w:t xml:space="preserve">Avarmi </w:t>
      </w:r>
      <w:r w:rsidR="007929E0" w:rsidRPr="00A41F97">
        <w:t xml:space="preserve">plots in </w:t>
      </w:r>
      <w:r w:rsidR="00D46F7D">
        <w:t xml:space="preserve">the </w:t>
      </w:r>
      <w:r w:rsidR="007929E0" w:rsidRPr="00A41F97">
        <w:t>linear form, log [-ln(1-</w:t>
      </w:r>
      <w:r w:rsidR="007929E0" w:rsidRPr="00A41F97">
        <w:rPr>
          <w:i/>
        </w:rPr>
        <w:t>α</w:t>
      </w:r>
      <w:r w:rsidR="007929E0" w:rsidRPr="00A41F97">
        <w:t xml:space="preserve">)] against log </w:t>
      </w:r>
      <w:r w:rsidR="00D46F7D" w:rsidRPr="00193FB6">
        <w:rPr>
          <w:i/>
        </w:rPr>
        <w:t>t</w:t>
      </w:r>
      <w:r w:rsidR="00D46F7D">
        <w:t>*</w:t>
      </w:r>
      <w:r w:rsidR="00654C7A">
        <w:t xml:space="preserve">, </w:t>
      </w:r>
      <w:r w:rsidR="00DF6610">
        <w:t>obtained from</w:t>
      </w:r>
      <w:r w:rsidR="007929E0" w:rsidRPr="00A41F97">
        <w:t xml:space="preserve"> the DSC data. </w:t>
      </w:r>
      <w:r w:rsidR="00220CE8">
        <w:t xml:space="preserve">KJMA parameters </w:t>
      </w:r>
      <w:r w:rsidR="008B3EF5" w:rsidRPr="00A41F97">
        <w:t>(</w:t>
      </w:r>
      <w:r w:rsidR="00D67E8A">
        <w:t>b</w:t>
      </w:r>
      <w:r w:rsidR="008B3EF5" w:rsidRPr="00A41F97">
        <w:t>)</w:t>
      </w:r>
      <w:r w:rsidR="00220CE8">
        <w:t xml:space="preserve"> </w:t>
      </w:r>
      <w:r w:rsidR="00220CE8">
        <w:rPr>
          <w:i/>
        </w:rPr>
        <w:t>n</w:t>
      </w:r>
      <w:r w:rsidR="008B3EF5" w:rsidRPr="00A41F97">
        <w:t xml:space="preserve"> and (</w:t>
      </w:r>
      <w:r w:rsidR="00D67E8A">
        <w:t>c</w:t>
      </w:r>
      <w:r w:rsidR="008B3EF5" w:rsidRPr="00A41F97">
        <w:t xml:space="preserve">) </w:t>
      </w:r>
      <w:r w:rsidR="008B3EF5" w:rsidRPr="00A41F97">
        <w:rPr>
          <w:i/>
        </w:rPr>
        <w:t>K</w:t>
      </w:r>
      <w:r w:rsidR="008B3EF5" w:rsidRPr="00A41F97">
        <w:t xml:space="preserve"> </w:t>
      </w:r>
      <w:r w:rsidR="003F0DA8" w:rsidRPr="00A41F97">
        <w:t xml:space="preserve">for </w:t>
      </w:r>
      <w:r w:rsidR="008D4DCA">
        <w:t>OM</w:t>
      </w:r>
      <w:r w:rsidR="0057072B">
        <w:t xml:space="preserve"> </w:t>
      </w:r>
      <w:r w:rsidR="00D9041A">
        <w:t>(</w:t>
      </w:r>
      <w:r w:rsidR="00193FB6">
        <w:t>blue) and DSC (</w:t>
      </w:r>
      <w:r w:rsidR="0097158C">
        <w:t>gray</w:t>
      </w:r>
      <w:r w:rsidR="00193FB6">
        <w:t>).</w:t>
      </w:r>
      <w:r w:rsidR="00D67E8A">
        <w:t xml:space="preserve"> </w:t>
      </w:r>
      <w:r w:rsidR="00D67E8A" w:rsidRPr="00A41F97">
        <w:t>(</w:t>
      </w:r>
      <w:r w:rsidR="00F63482">
        <w:t>d</w:t>
      </w:r>
      <w:r w:rsidR="00D67E8A" w:rsidRPr="00A41F97">
        <w:t>) Kissinger fit</w:t>
      </w:r>
      <w:r w:rsidR="00922C3C">
        <w:t>;</w:t>
      </w:r>
      <w:r w:rsidR="00D67E8A" w:rsidRPr="00A41F97">
        <w:t xml:space="preserve"> from the slope the activation energy (</w:t>
      </w:r>
      <w:r w:rsidR="00D67E8A" w:rsidRPr="00851DD4">
        <w:rPr>
          <w:i/>
        </w:rPr>
        <w:t>E</w:t>
      </w:r>
      <w:r w:rsidR="00D67E8A" w:rsidRPr="00A41F97">
        <w:t xml:space="preserve">) can be </w:t>
      </w:r>
      <w:r w:rsidR="00220CE8">
        <w:t>e</w:t>
      </w:r>
      <w:r w:rsidR="00DF6610">
        <w:t>stimated</w:t>
      </w:r>
      <w:r w:rsidR="00D67E8A" w:rsidRPr="00A41F97">
        <w:t>.</w:t>
      </w:r>
    </w:p>
    <w:p w14:paraId="1938565E" w14:textId="77777777" w:rsidR="001B4C05" w:rsidRPr="00A41F97" w:rsidRDefault="001B4C05" w:rsidP="00E72FFC">
      <w:pPr>
        <w:pStyle w:val="TAMainText"/>
      </w:pPr>
    </w:p>
    <w:p w14:paraId="3A040AD5" w14:textId="045CEA95" w:rsidR="00D058A4" w:rsidRPr="00A41F97" w:rsidRDefault="004A0711" w:rsidP="00E72FFC">
      <w:pPr>
        <w:pStyle w:val="TAMainText"/>
      </w:pPr>
      <w:r w:rsidRPr="00A41F97">
        <w:t>Various models reported in the literature were considered to</w:t>
      </w:r>
      <w:r w:rsidR="003458BB" w:rsidRPr="00A41F97">
        <w:t xml:space="preserve"> </w:t>
      </w:r>
      <w:r w:rsidR="00403D59">
        <w:t>analyze the data</w:t>
      </w:r>
      <w:r w:rsidRPr="00A41F97">
        <w:t>, including the Ozawa</w:t>
      </w:r>
      <w:r w:rsidR="0047749F" w:rsidRPr="00A41F97">
        <w:fldChar w:fldCharType="begin" w:fldLock="1"/>
      </w:r>
      <w:r w:rsidR="00600480">
        <w:instrText>ADDIN CSL_CITATION { "citationItems" : [ { "id" : "ITEM-1", "itemData" : { "author" : [ { "dropping-particle" : "", "family" : "Ozawa", "given" : "T.", "non-dropping-particle" : "", "parse-names" : false, "suffix" : "" } ], "container-title" : "Polymer", "id" : "ITEM-1", "issued" : { "date-parts" : [ [ "1971" ] ] }, "page" : "150-158", "title" : "Kinetics of non-isothermal crystallization", "type" : "article-journal", "volume" : "12" }, "uris" : [ "http://www.mendeley.com/documents/?uuid=c6b91b95-15dd-4fe0-af41-24b1bf5e0e75" ] } ], "mendeley" : { "formattedCitation" : "&lt;sup&gt;12&lt;/sup&gt;", "plainTextFormattedCitation" : "12", "previouslyFormattedCitation" : "&lt;sup&gt;12&lt;/sup&gt;" }, "properties" : { "noteIndex" : 0 }, "schema" : "https://github.com/citation-style-language/schema/raw/master/csl-citation.json" }</w:instrText>
      </w:r>
      <w:r w:rsidR="0047749F" w:rsidRPr="00A41F97">
        <w:fldChar w:fldCharType="separate"/>
      </w:r>
      <w:r w:rsidR="00290E7E" w:rsidRPr="00290E7E">
        <w:rPr>
          <w:noProof/>
          <w:vertAlign w:val="superscript"/>
        </w:rPr>
        <w:t>12</w:t>
      </w:r>
      <w:r w:rsidR="0047749F" w:rsidRPr="00A41F97">
        <w:fldChar w:fldCharType="end"/>
      </w:r>
      <w:r w:rsidRPr="00A41F97">
        <w:t xml:space="preserve"> and </w:t>
      </w:r>
      <w:r w:rsidR="00772452">
        <w:t>the combined Avrami and Ozawa</w:t>
      </w:r>
      <w:r w:rsidR="008A7C8C" w:rsidRPr="00A41F97">
        <w:fldChar w:fldCharType="begin" w:fldLock="1"/>
      </w:r>
      <w:r w:rsidR="00600480">
        <w:instrText>ADDIN CSL_CITATION { "citationItems" : [ { "id" : "ITEM-1", "itemData" : { "author" : [ { "dropping-particle" : "", "family" : "Liu", "given" : "T.", "non-dropping-particle" : "", "parse-names" : false, "suffix" : "" }, { "dropping-particle" : "", "family" : "Mo", "given" : "Z.", "non-dropping-particle" : "", "parse-names" : false, "suffix" : "" }, { "dropping-particle" : "", "family" : "Wang", "given" : "S.", "non-dropping-particle" : "", "parse-names" : false, "suffix" : "" }, { "dropping-particle" : "", "family" : "Zhang", "given" : "H.", "non-dropping-particle" : "", "parse-names" : false, "suffix" : "" } ], "container-title" : "Polym. Eng. Sci.", "id" : "ITEM-1", "issued" : { "date-parts" : [ [ "1997" ] ] }, "page" : "568-575", "title" : "Nonisothermal Melt and Cold Crystallization Kinetics of Poly ( Ary1 Ether Ether Ketone Ketone )", "type" : "article-journal", "volume" : "37" }, "uris" : [ "http://www.mendeley.com/documents/?uuid=8e824de9-4cc5-483b-9b08-777970f59651" ] } ], "mendeley" : { "formattedCitation" : "&lt;sup&gt;20&lt;/sup&gt;", "plainTextFormattedCitation" : "20", "previouslyFormattedCitation" : "&lt;sup&gt;20&lt;/sup&gt;" }, "properties" : { "noteIndex" : 0 }, "schema" : "https://github.com/citation-style-language/schema/raw/master/csl-citation.json" }</w:instrText>
      </w:r>
      <w:r w:rsidR="008A7C8C" w:rsidRPr="00A41F97">
        <w:fldChar w:fldCharType="separate"/>
      </w:r>
      <w:r w:rsidR="00290E7E" w:rsidRPr="00290E7E">
        <w:rPr>
          <w:noProof/>
          <w:vertAlign w:val="superscript"/>
        </w:rPr>
        <w:t>20</w:t>
      </w:r>
      <w:r w:rsidR="008A7C8C" w:rsidRPr="00A41F97">
        <w:fldChar w:fldCharType="end"/>
      </w:r>
      <w:r w:rsidRPr="00A41F97">
        <w:t xml:space="preserve"> </w:t>
      </w:r>
      <w:r w:rsidR="00654C7A">
        <w:t>equations</w:t>
      </w:r>
      <w:r w:rsidR="00403D59">
        <w:t>. These</w:t>
      </w:r>
      <w:r w:rsidR="00654C7A">
        <w:t>,</w:t>
      </w:r>
      <w:r w:rsidR="00403D59">
        <w:t xml:space="preserve"> however</w:t>
      </w:r>
      <w:r w:rsidR="00654C7A">
        <w:t>,</w:t>
      </w:r>
      <w:r w:rsidR="00403D59">
        <w:t xml:space="preserve"> require a finer variation of </w:t>
      </w:r>
      <w:r w:rsidR="00403D59" w:rsidRPr="00480ED7">
        <w:rPr>
          <w:rFonts w:ascii="Symbol" w:hAnsi="Symbol"/>
          <w:i/>
        </w:rPr>
        <w:t></w:t>
      </w:r>
      <w:r w:rsidR="00403D59">
        <w:t xml:space="preserve"> for this system, as shown</w:t>
      </w:r>
      <w:r w:rsidR="00BF1284">
        <w:t xml:space="preserve"> in the Supporting Information </w:t>
      </w:r>
      <w:r w:rsidR="00C028A8">
        <w:t>(</w:t>
      </w:r>
      <w:r w:rsidR="00403D59">
        <w:t xml:space="preserve">Figure </w:t>
      </w:r>
      <w:r w:rsidR="00B60E7D">
        <w:t>S9</w:t>
      </w:r>
      <w:r w:rsidR="00C028A8">
        <w:t>)</w:t>
      </w:r>
      <w:r w:rsidR="00403D59">
        <w:t>, and were thus not pursued</w:t>
      </w:r>
      <w:r w:rsidR="00A04B1D">
        <w:t xml:space="preserve"> further</w:t>
      </w:r>
      <w:r w:rsidR="00403D59" w:rsidRPr="00A41F97">
        <w:t>.</w:t>
      </w:r>
      <w:r w:rsidR="00D058A4" w:rsidRPr="00D058A4">
        <w:t xml:space="preserve"> </w:t>
      </w:r>
      <w:r w:rsidR="00D058A4">
        <w:t xml:space="preserve">Instead the </w:t>
      </w:r>
      <w:r w:rsidR="00D058A4" w:rsidRPr="00A41F97">
        <w:t>Kolmogorov−Mehl−Johnson−Avrami equation (Avrami or KMJA) equation</w:t>
      </w:r>
      <w:r w:rsidR="006716ED">
        <w:fldChar w:fldCharType="begin" w:fldLock="1"/>
      </w:r>
      <w:r w:rsidR="00600480">
        <w:instrText>ADDIN CSL_CITATION { "citationItems" : [ { "id" : "ITEM-1", "itemData" : { "DOI" : "10.1063/1.1750380", "ISBN" : "0080431526", "ISSN" : "00219606", "author" : [ { "dropping-particle" : "", "family" : "Avrami", "given" : "M.", "non-dropping-particle" : "", "parse-names" : false, "suffix" : "" } ], "container-title" : "J. Chem. Phys.", "id" : "ITEM-1", "issue" : "12", "issued" : { "date-parts" : [ [ "1939" ] ] }, "page" : "1103-1112", "title" : "Kinetics of Phase Change. I General Theory", "type" : "article-journal", "volume" : "7" }, "uris" : [ "http://www.mendeley.com/documents/?uuid=8428bc58-e090-4f01-bc41-e51f7327e604" ] }, { "id" : "ITEM-2", "itemData" : { "DOI" : "10.1063/1.1750631", "ISSN" : "00219606", "abstract" : "Following upon the general theory in Part I, a considerable simplification is here introdced in the treatment of the case where the grain centers of the new phase are randomly distributed. Also, the kinetics of the main types of crystalline growth, such as result in polyhedral, plate.like and lineal grains, are studied. A relation between the actual transformed volume V and a related extended volume V1ex is derived upon statistical considerations. A rough approximation to this relation is shown to lead, under the proper conditions, to the empirical formulation of Austin and Rickett. The exact relation is used to reduce the entire problem to the determinatio of V1ex, in terms of which all other quantities are expressed. The approximate treatment of the beginning of transformation in the isokinetic range is shown to lead to the empirical formula of Krainer and to account quantitatively for certain relations observed in recrystallization phenomena. It is shown that the predicted shapes for isothermal transformation-time curves correspond well with the experimental data.", "author" : [ { "dropping-particle" : "", "family" : "Avrami", "given" : "M.", "non-dropping-particle" : "", "parse-names" : false, "suffix" : "" } ], "container-title" : "J. Chem. Phys.", "id" : "ITEM-2", "issued" : { "date-parts" : [ [ "1940" ] ] }, "page" : "212-224", "title" : "Kinetics of Phase Change. II - Transformation-Time Relations for Random Distribution of Nuclei", "type" : "article-journal", "volume" : "8" }, "uris" : [ "http://www.mendeley.com/documents/?uuid=8e1f3a63-729a-451e-b581-b861e38265e9" ] }, { "id" : "ITEM-3", "itemData" : { "DOI" : "10.1063/1.1750872", "ISBN" : "0021-9606", "ISSN" : "00219606", "author" : [ { "dropping-particle" : "", "family" : "Avrami", "given" : "M.", "non-dropping-particle" : "", "parse-names" : false, "suffix" : "" } ], "container-title" : "J. Chem. Phys.", "id" : "ITEM-3", "issued" : { "date-parts" : [ [ "1941" ] ] }, "page" : "177-184", "title" : "Granulation, Phase Change, and Microstructure Kinetics of Phase Change. III", "type" : "article-journal", "volume" : "9" }, "uris" : [ "http://www.mendeley.com/documents/?uuid=45aaead3-bbbb-4634-9855-73fbb4a5565e" ] } ], "mendeley" : { "formattedCitation" : "&lt;sup&gt;17\u201319&lt;/sup&gt;", "plainTextFormattedCitation" : "17\u201319", "previouslyFormattedCitation" : "&lt;sup&gt;17\u201319&lt;/sup&gt;" }, "properties" : { "noteIndex" : 0 }, "schema" : "https://github.com/citation-style-language/schema/raw/master/csl-citation.json" }</w:instrText>
      </w:r>
      <w:r w:rsidR="006716ED">
        <w:fldChar w:fldCharType="separate"/>
      </w:r>
      <w:r w:rsidR="00290E7E" w:rsidRPr="00290E7E">
        <w:rPr>
          <w:noProof/>
          <w:vertAlign w:val="superscript"/>
        </w:rPr>
        <w:t>17–19</w:t>
      </w:r>
      <w:r w:rsidR="006716ED">
        <w:fldChar w:fldCharType="end"/>
      </w:r>
      <w:r w:rsidR="00D058A4" w:rsidRPr="00A41F97">
        <w:t xml:space="preserve"> </w:t>
      </w:r>
      <w:r w:rsidR="00F01780">
        <w:t xml:space="preserve">was utilized, </w:t>
      </w:r>
      <w:r w:rsidR="00D058A4">
        <w:t>which</w:t>
      </w:r>
      <w:r w:rsidR="00F0388E">
        <w:t>,</w:t>
      </w:r>
      <w:r w:rsidR="00D058A4">
        <w:t xml:space="preserve"> although not strictly </w:t>
      </w:r>
      <w:r w:rsidR="00D058A4" w:rsidRPr="00A41F97">
        <w:t>valid for nonisothermal crystallization</w:t>
      </w:r>
      <w:r w:rsidR="00D058A4">
        <w:t xml:space="preserve">, is often employed to parameterize </w:t>
      </w:r>
      <w:r w:rsidR="00AA0876" w:rsidRPr="00AA0876">
        <w:rPr>
          <w:rFonts w:ascii="Symbol" w:hAnsi="Symbol"/>
          <w:i/>
        </w:rPr>
        <w:t></w:t>
      </w:r>
      <w:r w:rsidR="00AA0876">
        <w:t xml:space="preserve"> </w:t>
      </w:r>
      <w:r w:rsidR="00D058A4">
        <w:t>crystallization data:</w:t>
      </w:r>
      <w:r w:rsidR="00D058A4">
        <w:fldChar w:fldCharType="begin" w:fldLock="1"/>
      </w:r>
      <w:r w:rsidR="00600480">
        <w:instrText>ADDIN CSL_CITATION { "citationItems" : [ { "id" : "ITEM-1",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"ITEM-1", "issued" : { "date-parts" : [ [ "1986" ] ] }, "page" : "1183-1192", "title" : "Crystallization behaviour of poly(ether-ether-ketone)", "type" : "article-journal", "volume" : "27" }, "uris" : [ "http://www.mendeley.com/documents/?uuid=5a5bd7f7-af8d-461f-9700-fd562deca3bf" ] }, { "id" : "ITEM-2",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"ITEM-2", "issued" : { "date-parts" : [ [ "2002" ] ] }, "page" : "408-414", "title" : "Nonisothermal Crystallization Kinetics of Polypropylene/ Montmorillonite Nanocomposites", "type" : "article-journal", "volume" : "40" }, "uris" : [ "http://www.mendeley.com/documents/?uuid=7de44ac5-cfec-408b-b55a-7c8c3f1f1824" ] }, { "id" : "ITEM-3", "itemData" : { "author" : [ { "dropping-particle" : "", "family" : "Herrero", "given" : "C. R.", "non-dropping-particle" : "", "parse-names" : false, "suffix" : "" }, { "dropping-particle" : "", "family" : "Acosta", "given" : "J. L.", "non-dropping-particle" : "", "parse-names" : false, "suffix" : "" } ], "container-title" : "Polymer J.", "id" : "ITEM-3",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"mendeley" : { "formattedCitation" : "&lt;sup&gt;9\u201311&lt;/sup&gt;", "plainTextFormattedCitation" : "9\u201311", "previouslyFormattedCitation" : "&lt;sup&gt;9\u201311&lt;/sup&gt;" }, "properties" : { "noteIndex" : 0 }, "schema" : "https://github.com/citation-style-language/schema/raw/master/csl-citation.json" }</w:instrText>
      </w:r>
      <w:r w:rsidR="00D058A4">
        <w:fldChar w:fldCharType="separate"/>
      </w:r>
      <w:r w:rsidR="00290E7E" w:rsidRPr="00290E7E">
        <w:rPr>
          <w:noProof/>
          <w:vertAlign w:val="superscript"/>
        </w:rPr>
        <w:t>9–11</w:t>
      </w:r>
      <w:r w:rsidR="00D058A4">
        <w:fldChar w:fldCharType="end"/>
      </w:r>
    </w:p>
    <w:p w14:paraId="4820730E" w14:textId="37D7B8CD" w:rsidR="00D058A4" w:rsidRPr="00A41F97" w:rsidRDefault="00D058A4" w:rsidP="00E72FFC">
      <w:pPr>
        <w:pStyle w:val="TAMainText"/>
      </w:pPr>
      <w:r w:rsidRPr="00A41F97">
        <w:lastRenderedPageBreak/>
        <w:t>log [–ln</w:t>
      </w:r>
      <w:r>
        <w:t xml:space="preserve"> </w:t>
      </w:r>
      <w:r w:rsidRPr="00A41F97">
        <w:t>(1</w:t>
      </w:r>
      <w:r>
        <w:t xml:space="preserve"> </w:t>
      </w:r>
      <w:r w:rsidRPr="00A41F97">
        <w:t>–</w:t>
      </w:r>
      <w:r>
        <w:t xml:space="preserve"> </w:t>
      </w:r>
      <w:r w:rsidRPr="00A41F97">
        <w:rPr>
          <w:i/>
        </w:rPr>
        <w:t>α</w:t>
      </w:r>
      <w:r w:rsidRPr="00A41F97">
        <w:t xml:space="preserve">)] = </w:t>
      </w:r>
      <w:r w:rsidRPr="00A41F97">
        <w:rPr>
          <w:i/>
        </w:rPr>
        <w:t xml:space="preserve">n </w:t>
      </w:r>
      <w:r w:rsidRPr="00277D2C">
        <w:rPr>
          <w:rFonts w:cstheme="majorHAnsi"/>
        </w:rPr>
        <w:t xml:space="preserve">log </w:t>
      </w:r>
      <w:r w:rsidRPr="00277D2C">
        <w:rPr>
          <w:rFonts w:cstheme="majorHAnsi"/>
          <w:i/>
        </w:rPr>
        <w:t>t*</w:t>
      </w:r>
      <w:r w:rsidRPr="00A41F97">
        <w:t xml:space="preserve"> + log </w:t>
      </w:r>
      <w:r w:rsidRPr="00A41F97">
        <w:rPr>
          <w:i/>
        </w:rPr>
        <w:t>K</w:t>
      </w:r>
      <w:r w:rsidR="00E72FFC">
        <w:rPr>
          <w:i/>
        </w:rPr>
        <w:tab/>
      </w:r>
      <w:r w:rsidR="00E72FFC">
        <w:rPr>
          <w:i/>
        </w:rPr>
        <w:tab/>
      </w:r>
      <w:r w:rsidR="00E72FFC">
        <w:rPr>
          <w:i/>
        </w:rPr>
        <w:tab/>
      </w:r>
      <w:r w:rsidR="00E72FFC">
        <w:rPr>
          <w:i/>
        </w:rPr>
        <w:tab/>
      </w:r>
      <w:r w:rsidR="00E72FFC">
        <w:rPr>
          <w:i/>
        </w:rPr>
        <w:tab/>
      </w:r>
      <w:r w:rsidR="00E72FFC">
        <w:rPr>
          <w:i/>
        </w:rPr>
        <w:tab/>
      </w:r>
      <w:r w:rsidR="00E72FFC">
        <w:rPr>
          <w:i/>
        </w:rPr>
        <w:tab/>
      </w:r>
      <w:r w:rsidR="00E72FFC">
        <w:rPr>
          <w:i/>
        </w:rPr>
        <w:tab/>
      </w:r>
      <w:r w:rsidR="00E72FFC">
        <w:rPr>
          <w:i/>
        </w:rPr>
        <w:tab/>
      </w:r>
      <w:r w:rsidR="00E72FFC">
        <w:rPr>
          <w:i/>
        </w:rPr>
        <w:tab/>
        <w:t xml:space="preserve">  </w:t>
      </w:r>
      <w:r w:rsidRPr="00A41F97">
        <w:t>(</w:t>
      </w:r>
      <w:r>
        <w:t>2</w:t>
      </w:r>
      <w:r w:rsidRPr="00A41F97">
        <w:t>)</w:t>
      </w:r>
    </w:p>
    <w:p w14:paraId="44C8A59B" w14:textId="13956ED0" w:rsidR="00BA4EFF" w:rsidRDefault="00B31C2F" w:rsidP="0081313E">
      <w:pPr>
        <w:pStyle w:val="TAMainText"/>
        <w:ind w:firstLine="0"/>
        <w:rPr>
          <w:rFonts w:eastAsiaTheme="minorEastAsia"/>
        </w:rPr>
      </w:pPr>
      <w:r>
        <w:t>w</w:t>
      </w:r>
      <w:r w:rsidR="0003119B" w:rsidRPr="00A41F97">
        <w:t xml:space="preserve">here </w:t>
      </w:r>
      <w:r w:rsidR="0003119B" w:rsidRPr="00A41F97">
        <w:rPr>
          <w:i/>
        </w:rPr>
        <w:t>α</w:t>
      </w:r>
      <w:r w:rsidR="0003119B" w:rsidRPr="00A41F97">
        <w:t xml:space="preserve"> is the degree of conversion, </w:t>
      </w:r>
      <w:r w:rsidR="0003119B" w:rsidRPr="00A41F97">
        <w:rPr>
          <w:i/>
        </w:rPr>
        <w:t>n</w:t>
      </w:r>
      <w:r w:rsidR="0003119B" w:rsidRPr="00A41F97">
        <w:t xml:space="preserve"> </w:t>
      </w:r>
      <w:r w:rsidR="00D21C99">
        <w:t xml:space="preserve">= </w:t>
      </w:r>
      <w:r w:rsidR="00D21C99">
        <w:rPr>
          <w:i/>
        </w:rPr>
        <w:t>n</w:t>
      </w:r>
      <w:r w:rsidR="00D21C99" w:rsidRPr="004D2741">
        <w:rPr>
          <w:vertAlign w:val="subscript"/>
        </w:rPr>
        <w:t>d</w:t>
      </w:r>
      <w:r w:rsidR="00D21C99" w:rsidRPr="00D21C99">
        <w:t xml:space="preserve"> + </w:t>
      </w:r>
      <w:r w:rsidR="00D21C99">
        <w:rPr>
          <w:i/>
        </w:rPr>
        <w:t>n</w:t>
      </w:r>
      <w:r w:rsidR="00D21C99" w:rsidRPr="00D21C99">
        <w:rPr>
          <w:vertAlign w:val="subscript"/>
        </w:rPr>
        <w:t>v</w:t>
      </w:r>
      <w:r w:rsidR="005729E3">
        <w:t xml:space="preserve">, where </w:t>
      </w:r>
      <w:r w:rsidR="005729E3" w:rsidRPr="004D2741">
        <w:rPr>
          <w:i/>
        </w:rPr>
        <w:t>n</w:t>
      </w:r>
      <w:r w:rsidR="005729E3" w:rsidRPr="004D2741">
        <w:rPr>
          <w:vertAlign w:val="subscript"/>
        </w:rPr>
        <w:t>d</w:t>
      </w:r>
      <w:r w:rsidR="005729E3">
        <w:t xml:space="preserve"> </w:t>
      </w:r>
      <w:r w:rsidR="000D7657" w:rsidRPr="00A41F97">
        <w:t>is the dimensionality</w:t>
      </w:r>
      <w:r w:rsidR="00D21C99">
        <w:t xml:space="preserve"> </w:t>
      </w:r>
      <w:r w:rsidR="005729E3">
        <w:t xml:space="preserve">of growth </w:t>
      </w:r>
      <w:r w:rsidR="007D1A8B">
        <w:t>(</w:t>
      </w:r>
      <w:r w:rsidR="00492549">
        <w:t xml:space="preserve">assuming values between 1 to 3), </w:t>
      </w:r>
      <w:r w:rsidR="003C200A" w:rsidRPr="003C200A">
        <w:rPr>
          <w:i/>
        </w:rPr>
        <w:t>n</w:t>
      </w:r>
      <w:r w:rsidR="003C200A" w:rsidRPr="003C200A">
        <w:rPr>
          <w:vertAlign w:val="subscript"/>
        </w:rPr>
        <w:t>v</w:t>
      </w:r>
      <w:r w:rsidR="003C200A">
        <w:t xml:space="preserve"> the </w:t>
      </w:r>
      <w:r w:rsidR="00D21C99">
        <w:t>time dependence</w:t>
      </w:r>
      <w:r w:rsidR="000D7657" w:rsidRPr="00A41F97">
        <w:t xml:space="preserve"> of crystallization</w:t>
      </w:r>
      <w:r w:rsidR="003C200A">
        <w:t xml:space="preserve"> </w:t>
      </w:r>
      <w:r w:rsidR="00794282">
        <w:t>(</w:t>
      </w:r>
      <w:r w:rsidR="003C200A">
        <w:t>between 0 and 1)</w:t>
      </w:r>
      <w:r w:rsidR="00AA356A">
        <w:t>,</w:t>
      </w:r>
      <w:r w:rsidR="00D16F20">
        <w:fldChar w:fldCharType="begin" w:fldLock="1"/>
      </w:r>
      <w:r w:rsidR="00600480">
        <w:instrText>ADDIN CSL_CITATION { "citationItems" : [ { "id" : "ITEM-1", "itemData" : { "DOI" : "10.1016/j.polymertesting.2006.10.005", "ISBN" : "0142-9418", "ISSN" : "01429418", "PMID" : "244769400012", "author" : [ { "dropping-particle" : "", "family" : "Lorenzo", "given" : "A. T.", "non-dropping-particle" : "", "parse-names" : false, "suffix" : "" }, { "dropping-particle" : "", "family" : "Arnal", "given" : "M. L.", "non-dropping-particle" : "", "parse-names" : false, "suffix" : "" }, { "dropping-particle" : "", "family" : "Albuerne", "given" : "J.", "non-dropping-particle" : "", "parse-names" : false, "suffix" : "" }, { "dropping-particle" : "", "family" : "M\u00fcller", "given" : "A. J.", "non-dropping-particle" : "", "parse-names" : false, "suffix" : "" } ], "container-title" : "Polym. Test.", "id" : "ITEM-1", "issued" : { "date-parts" : [ [ "2007" ] ] }, "page" : "222-231", "title" : "DSC isothermal polymer crystallization kinetics measurements and the use of the Avrami equation to fit the data: Guidelines to avoid common problems", "type" : "article-journal", "volume" : "26" }, "uris" : [ "http://www.mendeley.com/documents/?uuid=ab72655b-a2ee-4f28-9ac4-04d0cbd3644e" ] } ], "mendeley" : { "formattedCitation" : "&lt;sup&gt;62&lt;/sup&gt;", "plainTextFormattedCitation" : "62", "previouslyFormattedCitation" : "&lt;sup&gt;62&lt;/sup&gt;" }, "properties" : { "noteIndex" : 0 }, "schema" : "https://github.com/citation-style-language/schema/raw/master/csl-citation.json" }</w:instrText>
      </w:r>
      <w:r w:rsidR="00D16F20">
        <w:fldChar w:fldCharType="separate"/>
      </w:r>
      <w:r w:rsidR="00290E7E" w:rsidRPr="00290E7E">
        <w:rPr>
          <w:noProof/>
          <w:vertAlign w:val="superscript"/>
        </w:rPr>
        <w:t>62</w:t>
      </w:r>
      <w:r w:rsidR="00D16F20">
        <w:fldChar w:fldCharType="end"/>
      </w:r>
      <w:r w:rsidR="000D7657" w:rsidRPr="00A41F97">
        <w:t xml:space="preserve"> </w:t>
      </w:r>
      <w:r w:rsidR="000D7657" w:rsidRPr="00A41F97">
        <w:rPr>
          <w:i/>
        </w:rPr>
        <w:t>K</w:t>
      </w:r>
      <w:r w:rsidR="000D7657" w:rsidRPr="00A41F97">
        <w:t xml:space="preserve"> (s</w:t>
      </w:r>
      <w:r w:rsidR="000D7657" w:rsidRPr="00A41F97">
        <w:rPr>
          <w:vertAlign w:val="superscript"/>
        </w:rPr>
        <w:t>-n</w:t>
      </w:r>
      <w:r w:rsidR="000D7657" w:rsidRPr="00A41F97">
        <w:t xml:space="preserve">) is </w:t>
      </w:r>
      <w:r w:rsidR="00772452">
        <w:t xml:space="preserve">the </w:t>
      </w:r>
      <w:r w:rsidR="00AA356A">
        <w:t>crystallization rate constant</w:t>
      </w:r>
      <w:r w:rsidR="0003119B" w:rsidRPr="00A41F97">
        <w:t xml:space="preserve"> </w:t>
      </w:r>
      <w:r w:rsidR="00AA356A" w:rsidRPr="00F0388E">
        <w:rPr>
          <w:rFonts w:cstheme="majorHAnsi"/>
        </w:rPr>
        <w:t>and</w:t>
      </w:r>
      <w:r w:rsidR="004B4DB6" w:rsidRPr="00F0388E">
        <w:rPr>
          <w:rFonts w:cstheme="majorHAnsi"/>
        </w:rPr>
        <w:t xml:space="preserve"> </w:t>
      </w:r>
      <w:r w:rsidR="00E402E9" w:rsidRPr="00F0388E">
        <w:rPr>
          <w:rFonts w:cstheme="majorHAnsi"/>
          <w:i/>
        </w:rPr>
        <w:t>t</w:t>
      </w:r>
      <w:r w:rsidR="00AA356A" w:rsidRPr="00F0388E">
        <w:rPr>
          <w:rFonts w:cstheme="majorHAnsi"/>
        </w:rPr>
        <w:t>*</w:t>
      </w:r>
      <w:r w:rsidR="004B4DB6" w:rsidRPr="00F0388E">
        <w:rPr>
          <w:rFonts w:cstheme="majorHAnsi"/>
        </w:rPr>
        <w:t xml:space="preserve"> </w:t>
      </w:r>
      <w:r w:rsidR="00D85E36" w:rsidRPr="00F0388E">
        <w:rPr>
          <w:rFonts w:cstheme="majorHAnsi"/>
        </w:rPr>
        <w:t>≡</w:t>
      </w:r>
      <w:r w:rsidR="004B4DB6" w:rsidRPr="00A41F97">
        <w:t xml:space="preserve"> (</w:t>
      </w:r>
      <w:r w:rsidR="004B4DB6" w:rsidRPr="00A41F97">
        <w:rPr>
          <w:i/>
        </w:rPr>
        <w:t>T</w:t>
      </w:r>
      <w:r w:rsidR="004B4DB6" w:rsidRPr="00A41F97">
        <w:rPr>
          <w:vertAlign w:val="subscript"/>
        </w:rPr>
        <w:t>ind</w:t>
      </w:r>
      <w:r w:rsidR="004B4DB6" w:rsidRPr="00A41F97">
        <w:t xml:space="preserve"> – </w:t>
      </w:r>
      <w:r w:rsidR="004B4DB6" w:rsidRPr="00A41F97">
        <w:rPr>
          <w:i/>
        </w:rPr>
        <w:t>T</w:t>
      </w:r>
      <w:r w:rsidR="004B4DB6" w:rsidRPr="00A41F97">
        <w:t>)/</w:t>
      </w:r>
      <w:r w:rsidR="000D45C7" w:rsidRPr="00AA0876">
        <w:rPr>
          <w:rFonts w:ascii="Symbol" w:hAnsi="Symbol"/>
          <w:i/>
        </w:rPr>
        <w:t></w:t>
      </w:r>
      <w:r w:rsidR="00F26C6F">
        <w:t xml:space="preserve"> (s).</w:t>
      </w:r>
      <w:r w:rsidR="00770D9B">
        <w:fldChar w:fldCharType="begin" w:fldLock="1"/>
      </w:r>
      <w:r w:rsidR="00600480">
        <w:instrText>ADDIN CSL_CITATION { "citationItems" : [ { "id" : "ITEM-1",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"ITEM-1", "issued" : { "date-parts" : [ [ "2002" ] ] }, "page" : "408-414", "title" : "Nonisothermal Crystallization Kinetics of Polypropylene/ Montmorillonite Nanocomposites", "type" : "article-journal", "volume" : "40" }, "uris" : [ "http://www.mendeley.com/documents/?uuid=7de44ac5-cfec-408b-b55a-7c8c3f1f1824" ] }, { "id" : "ITEM-2", "itemData" : { "DOI" : "10.1016/j.progpolymsci.2006.05.001", "author" : [ { "dropping-particle" : "", "family" : "Piorkowska", "given" : "E.", "non-dropping-particle" : "", "parse-names" : false, "suffix" : "" }, { "dropping-particle" : "", "family" : "Galeski", "given" : "A.", "non-dropping-particle" : "", "parse-names" : false, "suffix" : "" }, { "dropping-particle" : "", "family" : "Haudin", "given" : "J.-M.", "non-dropping-particle" : "", "parse-names" : false, "suffix" : "" } ], "container-title" : "Prog. Polym. Sci.", "id" : "ITEM-2", "issued" : { "date-parts" : [ [ "2006" ] ] }, "page" : "549-575", "title" : "Critical assessment of overall crystallization kinetics theories and predictions", "type" : "article-journal", "volume" : "31" }, "uris" : [ "http://www.mendeley.com/documents/?uuid=2954507e-3f23-4d12-ba13-8348facb67e2" ] }, { "id" : "ITEM-3", "itemData" : { "author" : [ { "dropping-particle" : "", "family" : "Liu", "given" : "T.", "non-dropping-particle" : "", "parse-names" : false, "suffix" : "" }, { "dropping-particle" : "", "family" : "Mo", "given" : "Z.", "non-dropping-particle" : "", "parse-names" : false, "suffix" : "" }, { "dropping-particle" : "", "family" : "Wang", "given" : "S.", "non-dropping-particle" : "", "parse-names" : false, "suffix" : "" }, { "dropping-particle" : "", "family" : "Zhang", "given" : "H.", "non-dropping-particle" : "", "parse-names" : false, "suffix" : "" } ], "container-title" : "Polym. Eng. Sci.", "id" : "ITEM-3", "issued" : { "date-parts" : [ [ "1997" ] ] }, "page" : "568-575", "title" : "Nonisothermal Melt and Cold Crystallization Kinetics of Poly ( Ary1 Ether Ether Ketone Ketone )", "type" : "article-journal", "volume" : "37" }, "uris" : [ "http://www.mendeley.com/documents/?uuid=8e824de9-4cc5-483b-9b08-777970f59651" ] } ], "mendeley" : { "formattedCitation" : "&lt;sup&gt;10,20,63&lt;/sup&gt;", "plainTextFormattedCitation" : "10,20,63", "previouslyFormattedCitation" : "&lt;sup&gt;10,20,63&lt;/sup&gt;" }, "properties" : { "noteIndex" : 0 }, "schema" : "https://github.com/citation-style-language/schema/raw/master/csl-citation.json" }</w:instrText>
      </w:r>
      <w:r w:rsidR="00770D9B">
        <w:fldChar w:fldCharType="separate"/>
      </w:r>
      <w:r w:rsidR="00290E7E" w:rsidRPr="00290E7E">
        <w:rPr>
          <w:noProof/>
          <w:vertAlign w:val="superscript"/>
        </w:rPr>
        <w:t>10,20,63</w:t>
      </w:r>
      <w:r w:rsidR="00770D9B">
        <w:fldChar w:fldCharType="end"/>
      </w:r>
      <w:r w:rsidR="008A5CD0" w:rsidRPr="00A41F97">
        <w:t xml:space="preserve"> The </w:t>
      </w:r>
      <w:r w:rsidR="000F215B">
        <w:t>Avrami</w:t>
      </w:r>
      <w:r>
        <w:t xml:space="preserve"> plots for </w:t>
      </w:r>
      <w:r w:rsidR="0068553D">
        <w:t>the</w:t>
      </w:r>
      <w:r>
        <w:t xml:space="preserve"> </w:t>
      </w:r>
      <w:r w:rsidR="00794282">
        <w:t xml:space="preserve">DSC </w:t>
      </w:r>
      <w:r w:rsidR="00D85E36" w:rsidRPr="00D85E36">
        <w:rPr>
          <w:rFonts w:ascii="Symbol" w:hAnsi="Symbol"/>
          <w:i/>
        </w:rPr>
        <w:t></w:t>
      </w:r>
      <w:r>
        <w:t xml:space="preserve"> </w:t>
      </w:r>
      <w:r w:rsidR="000F5261">
        <w:t>are shown</w:t>
      </w:r>
      <w:r>
        <w:t xml:space="preserve"> in</w:t>
      </w:r>
      <w:r w:rsidR="008A5CD0" w:rsidRPr="00A41F97">
        <w:t xml:space="preserve"> Figure </w:t>
      </w:r>
      <w:r w:rsidR="00502841">
        <w:t>7</w:t>
      </w:r>
      <w:r w:rsidR="008A5CD0" w:rsidRPr="00A41F97">
        <w:t>(</w:t>
      </w:r>
      <w:r>
        <w:t>a</w:t>
      </w:r>
      <w:r w:rsidR="008A5CD0" w:rsidRPr="00A41F97">
        <w:t>)</w:t>
      </w:r>
      <w:r w:rsidR="0081313E">
        <w:t>,</w:t>
      </w:r>
      <w:r w:rsidR="00BF1284">
        <w:t xml:space="preserve"> </w:t>
      </w:r>
      <w:r w:rsidR="0081313E">
        <w:t xml:space="preserve">with </w:t>
      </w:r>
      <w:r w:rsidR="00A85F54">
        <w:t>model parameters</w:t>
      </w:r>
      <w:r w:rsidR="00337459">
        <w:t xml:space="preserve"> extracted from the initial, linear portion of the curve, considered as the primary crystallization </w:t>
      </w:r>
      <w:r w:rsidR="00337459" w:rsidRPr="00990840">
        <w:t>stage.</w:t>
      </w:r>
      <w:r w:rsidR="00343317" w:rsidRPr="00990840">
        <w:fldChar w:fldCharType="begin" w:fldLock="1"/>
      </w:r>
      <w:r w:rsidR="00600480">
        <w:instrText>ADDIN CSL_CITATION { "citationItems" : [ { "id" : "ITEM-1", "itemData" : { "DOI" : "10.1016/0032-3861(86)90006-6", "ISSN" : "00323861", "author" : [ { "dropping-particle" : "", "family" : "Cebe", "given" : "P.", "non-dropping-particle" : "", "parse-names" : false, "suffix" : "" }, { "dropping-particle" : "", "family" : "Hong", "given" : "S.-D.", "non-dropping-particle" : "", "parse-names" : false, "suffix" : "" } ], "container-title" : "Polymer", "id" : "ITEM-1", "issued" : { "date-parts" : [ [ "1986" ] ] }, "page" : "1183-1192", "title" : "Crystallization behaviour of poly(ether-ether-ketone)", "type" : "article-journal", "volume" : "27" }, "uris" : [ "http://www.mendeley.com/documents/?uuid=5a5bd7f7-af8d-461f-9700-fd562deca3bf" ] } ], "mendeley" : { "formattedCitation" : "&lt;sup&gt;9&lt;/sup&gt;", "plainTextFormattedCitation" : "9", "previouslyFormattedCitation" : "&lt;sup&gt;9&lt;/sup&gt;" }, "properties" : { "noteIndex" : 0 }, "schema" : "https://github.com/citation-style-language/schema/raw/master/csl-citation.json" }</w:instrText>
      </w:r>
      <w:r w:rsidR="00343317" w:rsidRPr="00990840">
        <w:fldChar w:fldCharType="separate"/>
      </w:r>
      <w:r w:rsidR="00290E7E" w:rsidRPr="00290E7E">
        <w:rPr>
          <w:noProof/>
          <w:vertAlign w:val="superscript"/>
        </w:rPr>
        <w:t>9</w:t>
      </w:r>
      <w:r w:rsidR="00343317" w:rsidRPr="00990840">
        <w:fldChar w:fldCharType="end"/>
      </w:r>
      <w:r w:rsidR="00B724C6">
        <w:t xml:space="preserve"> </w:t>
      </w:r>
      <w:r w:rsidR="00E274BF">
        <w:t>Both optical</w:t>
      </w:r>
      <w:r w:rsidR="00392E3C">
        <w:t xml:space="preserve"> microscopy</w:t>
      </w:r>
      <w:r w:rsidR="00E274BF">
        <w:t xml:space="preserve"> and DSC measurements are found to be in good agreement. </w:t>
      </w:r>
      <w:r w:rsidR="00B724C6">
        <w:t xml:space="preserve">Parameter </w:t>
      </w:r>
      <w:r w:rsidR="00B724C6">
        <w:rPr>
          <w:i/>
        </w:rPr>
        <w:t>n</w:t>
      </w:r>
      <w:r w:rsidR="00E27E02">
        <w:t xml:space="preserve"> </w:t>
      </w:r>
      <w:r w:rsidR="00B724C6">
        <w:t>increases slightly with</w:t>
      </w:r>
      <w:r w:rsidR="00B724C6" w:rsidRPr="00990840">
        <w:t xml:space="preserve"> </w:t>
      </w:r>
      <w:r w:rsidR="00B724C6" w:rsidRPr="001F0724">
        <w:rPr>
          <w:rFonts w:ascii="Symbol" w:hAnsi="Symbol"/>
          <w:i/>
        </w:rPr>
        <w:t></w:t>
      </w:r>
      <w:r w:rsidR="00B724C6">
        <w:t xml:space="preserve">, yielding </w:t>
      </w:r>
      <w:r w:rsidR="005153BA">
        <w:t>an</w:t>
      </w:r>
      <w:r w:rsidR="00B724C6">
        <w:t xml:space="preserve"> average </w:t>
      </w:r>
      <w:r w:rsidR="005153BA">
        <w:t xml:space="preserve">value </w:t>
      </w:r>
      <w:r w:rsidR="00B724C6" w:rsidRPr="00A41F97">
        <w:t>≈ 2.</w:t>
      </w:r>
      <w:r w:rsidR="00B724C6">
        <w:t xml:space="preserve">6, </w:t>
      </w:r>
      <w:r w:rsidR="005153BA">
        <w:t xml:space="preserve">as shown in Figure 7(b), </w:t>
      </w:r>
      <w:r w:rsidR="00B724C6">
        <w:t xml:space="preserve">in agreement with the </w:t>
      </w:r>
      <w:r w:rsidR="00B724C6" w:rsidRPr="00A41F97">
        <w:t xml:space="preserve">isothermal value, </w:t>
      </w:r>
      <w:r w:rsidR="00B724C6" w:rsidRPr="00A41F97">
        <w:rPr>
          <w:i/>
        </w:rPr>
        <w:t>n</w:t>
      </w:r>
      <w:r w:rsidR="00B724C6" w:rsidRPr="00A41F97">
        <w:t xml:space="preserve"> ≈ 2.6</w:t>
      </w:r>
      <w:r w:rsidR="00A04B04">
        <w:t>.</w:t>
      </w:r>
      <w:r w:rsidR="0046707F">
        <w:t xml:space="preserve"> Parameter</w:t>
      </w:r>
      <w:r w:rsidR="00A04B04">
        <w:t xml:space="preserve"> </w:t>
      </w:r>
      <w:r w:rsidR="00B724C6">
        <w:rPr>
          <w:i/>
        </w:rPr>
        <w:t>K</w:t>
      </w:r>
      <w:r w:rsidR="005153BA">
        <w:t xml:space="preserve"> </w:t>
      </w:r>
      <w:r w:rsidR="00B724C6">
        <w:t xml:space="preserve">is found to increase exponentially with </w:t>
      </w:r>
      <w:r w:rsidR="00B724C6" w:rsidRPr="001F0724">
        <w:rPr>
          <w:rFonts w:ascii="Symbol" w:hAnsi="Symbol"/>
          <w:i/>
        </w:rPr>
        <w:t></w:t>
      </w:r>
      <w:r w:rsidR="005153BA">
        <w:t>, depicted in Figure 7(c).</w:t>
      </w:r>
      <w:r w:rsidR="00CE2C27">
        <w:t xml:space="preserve"> </w:t>
      </w:r>
      <w:r w:rsidR="00036D41">
        <w:t>I</w:t>
      </w:r>
      <w:r w:rsidR="00B724C6">
        <w:t>n nonisothermal</w:t>
      </w:r>
      <w:r w:rsidR="00B724C6" w:rsidRPr="00A41F97">
        <w:t xml:space="preserve"> </w:t>
      </w:r>
      <w:r w:rsidR="00B724C6">
        <w:t xml:space="preserve">crystallization, </w:t>
      </w:r>
      <w:r w:rsidR="00B724C6" w:rsidRPr="001F0724">
        <w:rPr>
          <w:i/>
        </w:rPr>
        <w:t>n</w:t>
      </w:r>
      <w:r w:rsidR="00B724C6">
        <w:t xml:space="preserve"> and </w:t>
      </w:r>
      <w:r w:rsidR="00B724C6" w:rsidRPr="00B724C6">
        <w:rPr>
          <w:i/>
        </w:rPr>
        <w:t>K</w:t>
      </w:r>
      <w:r w:rsidR="00B724C6">
        <w:t xml:space="preserve"> are simply taken as a fitting parameters, </w:t>
      </w:r>
      <w:r w:rsidR="008C79C8">
        <w:t>as</w:t>
      </w:r>
      <w:r w:rsidR="00B724C6">
        <w:t xml:space="preserve"> </w:t>
      </w:r>
      <w:r w:rsidR="00B724C6" w:rsidRPr="0022327C">
        <w:rPr>
          <w:i/>
        </w:rPr>
        <w:t>T</w:t>
      </w:r>
      <w:r w:rsidR="00B724C6">
        <w:t xml:space="preserve"> is not constant.</w:t>
      </w:r>
      <w:r w:rsidR="00B724C6">
        <w:fldChar w:fldCharType="begin" w:fldLock="1"/>
      </w:r>
      <w:r w:rsidR="00600480">
        <w:instrText>ADDIN CSL_CITATION { "citationItems" : [ { "id" : "ITEM-1", "itemData" : { "DOI" : "10.1002/polb.10101", "author" : [ { "dropping-particle" : "", "family" : "Xu", "given" : "W.", "non-dropping-particle" : "", "parse-names" : false, "suffix" : "" }, { "dropping-particle" : "", "family" : "Ge", "given" : "M.", "non-dropping-particle" : "", "parse-names" : false, "suffix" : "" }, { "dropping-particle" : "", "family" : "He", "given" : "P.", "non-dropping-particle" : "", "parse-names" : false, "suffix" : "" } ], "container-title" : "J. Polym. Sci., Part B: Polym. Phys.", "id" : "ITEM-1", "issued" : { "date-parts" : [ [ "2002" ] ] }, "page" : "408-414", "title" : "Nonisothermal Crystallization Kinetics of Polypropylene/ Montmorillonite Nanocomposites", "type" : "article-journal", "volume" : "40" }, "uris" : [ "http://www.mendeley.com/documents/?uuid=7de44ac5-cfec-408b-b55a-7c8c3f1f1824" ] }, { "id" : "ITEM-2", "itemData" : { "author" : [ { "dropping-particle" : "", "family" : "Herrero", "given" : "C. R.", "non-dropping-particle" : "", "parse-names" : false, "suffix" : "" }, { "dropping-particle" : "", "family" : "Acosta", "given" : "J. L.", "non-dropping-particle" : "", "parse-names" : false, "suffix" : "" } ], "container-title" : "Polymer J.", "id" : "ITEM-2", "issued" : { "date-parts" : [ [ "1994" ] ] }, "page" : "786-789", "title" : "Effect of Poly (epichlorhydrin) on the Crystallization and Compatibility Behavior of Poly(ethylene oxide) Polyphosphazene Blends", "type" : "article-journal", "volume" : "26" }, "uris" : [ "http://www.mendeley.com/documents/?uuid=564375a3-6e6e-4052-b250-94fc7773b6c8" ] } ], "mendeley" : { "formattedCitation" : "&lt;sup&gt;10,11&lt;/sup&gt;", "plainTextFormattedCitation" : "10,11", "previouslyFormattedCitation" : "&lt;sup&gt;10,11&lt;/sup&gt;" }, "properties" : { "noteIndex" : 0 }, "schema" : "https://github.com/citation-style-language/schema/raw/master/csl-citation.json" }</w:instrText>
      </w:r>
      <w:r w:rsidR="00B724C6">
        <w:fldChar w:fldCharType="separate"/>
      </w:r>
      <w:r w:rsidR="00290E7E" w:rsidRPr="00290E7E">
        <w:rPr>
          <w:noProof/>
          <w:vertAlign w:val="superscript"/>
        </w:rPr>
        <w:t>10,11</w:t>
      </w:r>
      <w:r w:rsidR="00B724C6">
        <w:fldChar w:fldCharType="end"/>
      </w:r>
      <w:r w:rsidR="0046707F">
        <w:t xml:space="preserve"> </w:t>
      </w:r>
      <w:r w:rsidR="00B724C6" w:rsidRPr="00A41F97">
        <w:t>The activation energy for nonisothermal cooling can be calculated using the Kissinger equation:</w:t>
      </w:r>
      <w:r w:rsidR="00B62483" w:rsidRPr="00A41F97">
        <w:rPr>
          <w:rFonts w:eastAsiaTheme="minorEastAsia"/>
        </w:rPr>
        <w:fldChar w:fldCharType="begin" w:fldLock="1"/>
      </w:r>
      <w:r w:rsidR="00600480">
        <w:rPr>
          <w:rFonts w:eastAsiaTheme="minorEastAsia"/>
        </w:rPr>
        <w:instrText>ADDIN CSL_CITATION { "citationItems" : [ { "id" : "ITEM-1", "itemData" : { "author" : [ { "dropping-particle" : "", "family" : "Kissinger", "given" : "H. E.", "non-dropping-particle" : "", "parse-names" : false, "suffix" : "" } ], "container-title" : "J. Res. Natl. Bur. Stand.", "id" : "ITEM-1", "issued" : { "date-parts" : [ [ "1956" ] ] }, "page" : "217-221", "title" : "Variation of Peak Temperature With Heating Rate In Differential Thermal Analysis", "type" : "article-journal", "volume" : "57" }, "uris" : [ "http://www.mendeley.com/documents/?uuid=6ee4ed4e-9420-4049-8ced-bac243a9b294" ] } ], "mendeley" : { "formattedCitation" : "&lt;sup&gt;45&lt;/sup&gt;", "plainTextFormattedCitation" : "45", "previouslyFormattedCitation" : "&lt;sup&gt;45&lt;/sup&gt;" }, "properties" : { "noteIndex" : 0 }, "schema" : "https://github.com/citation-style-language/schema/raw/master/csl-citation.json" }</w:instrText>
      </w:r>
      <w:r w:rsidR="00B62483" w:rsidRPr="00A41F97">
        <w:rPr>
          <w:rFonts w:eastAsiaTheme="minorEastAsia"/>
        </w:rPr>
        <w:fldChar w:fldCharType="separate"/>
      </w:r>
      <w:r w:rsidR="00290E7E" w:rsidRPr="00290E7E">
        <w:rPr>
          <w:rFonts w:eastAsiaTheme="minorEastAsia"/>
          <w:noProof/>
          <w:vertAlign w:val="superscript"/>
        </w:rPr>
        <w:t>45</w:t>
      </w:r>
      <w:r w:rsidR="00B62483" w:rsidRPr="00A41F97">
        <w:rPr>
          <w:rFonts w:eastAsiaTheme="minorEastAsia"/>
        </w:rPr>
        <w:fldChar w:fldCharType="end"/>
      </w:r>
    </w:p>
    <w:p w14:paraId="35DA016C" w14:textId="44CE0A45" w:rsidR="000415DF" w:rsidRPr="00591EAE" w:rsidRDefault="00693D8B" w:rsidP="005B1F98">
      <w:pPr>
        <w:pStyle w:val="TAMainText"/>
        <w:rPr>
          <w:rFonts w:asciiTheme="majorHAnsi" w:hAnsiTheme="majorHAnsi"/>
        </w:rPr>
      </w:pPr>
      <m:oMath>
        <m:f>
          <m:fPr>
            <m:ctrlPr>
              <w:rPr>
                <w:rFonts w:ascii="Cambria Math" w:hAnsi="Cambria Math"/>
              </w:rPr>
            </m:ctrlPr>
          </m:fPr>
          <m:num>
            <m:r>
              <m:rPr>
                <m:sty m:val="p"/>
              </m:rPr>
              <w:rPr>
                <w:rFonts w:ascii="Cambria Math" w:hAnsi="Cambria Math"/>
              </w:rPr>
              <m:t>d</m:t>
            </m:r>
            <m:d>
              <m:dPr>
                <m:begChr m:val="["/>
                <m:endChr m:val="]"/>
                <m:ctrlPr>
                  <w:rPr>
                    <w:rFonts w:ascii="Cambria Math" w:hAnsi="Cambria Math"/>
                  </w:rPr>
                </m:ctrlPr>
              </m:dPr>
              <m:e>
                <m:func>
                  <m:funcPr>
                    <m:ctrlPr>
                      <w:rPr>
                        <w:rFonts w:ascii="Cambria Math" w:hAnsi="Cambria Math"/>
                      </w:rPr>
                    </m:ctrlPr>
                  </m:funcPr>
                  <m:fName>
                    <m:r>
                      <m:rPr>
                        <m:sty m:val="p"/>
                      </m:rPr>
                      <w:rPr>
                        <w:rFonts w:ascii="Cambria Math" w:hAnsi="Cambria Math"/>
                      </w:rPr>
                      <m:t>ln</m:t>
                    </m:r>
                  </m:fName>
                  <m:e>
                    <m:d>
                      <m:dPr>
                        <m:ctrlPr>
                          <w:rPr>
                            <w:rFonts w:ascii="Cambria Math" w:hAnsi="Cambria Math"/>
                          </w:rPr>
                        </m:ctrlPr>
                      </m:dPr>
                      <m:e>
                        <m:f>
                          <m:fPr>
                            <m:ctrlPr>
                              <w:rPr>
                                <w:rFonts w:ascii="Cambria Math" w:hAnsi="Cambria Math"/>
                                <w:i/>
                              </w:rPr>
                            </m:ctrlPr>
                          </m:fPr>
                          <m:num>
                            <m:r>
                              <w:rPr>
                                <w:rFonts w:ascii="Cambria Math" w:hAnsi="Cambria Math"/>
                              </w:rPr>
                              <m:t>φ</m:t>
                            </m:r>
                            <m:ctrlPr>
                              <w:rPr>
                                <w:rFonts w:ascii="Cambria Math" w:hAnsi="Cambria Math"/>
                              </w:rPr>
                            </m:ctrlPr>
                          </m:num>
                          <m:den>
                            <m:sSubSup>
                              <m:sSubSupPr>
                                <m:ctrlPr>
                                  <w:rPr>
                                    <w:rFonts w:ascii="Cambria Math" w:hAnsi="Cambria Math"/>
                                  </w:rPr>
                                </m:ctrlPr>
                              </m:sSubSupPr>
                              <m:e>
                                <m:r>
                                  <w:rPr>
                                    <w:rFonts w:ascii="Cambria Math" w:hAnsi="Cambria Math"/>
                                  </w:rPr>
                                  <m:t>T</m:t>
                                </m:r>
                              </m:e>
                              <m:sub>
                                <m:r>
                                  <m:rPr>
                                    <m:sty m:val="p"/>
                                  </m:rPr>
                                  <w:rPr>
                                    <w:rFonts w:ascii="Cambria Math" w:hAnsi="Cambria Math"/>
                                  </w:rPr>
                                  <m:t>p</m:t>
                                </m:r>
                              </m:sub>
                              <m:sup>
                                <m:r>
                                  <m:rPr>
                                    <m:sty m:val="p"/>
                                  </m:rPr>
                                  <w:rPr>
                                    <w:rFonts w:ascii="Cambria Math" w:hAnsi="Cambria Math"/>
                                  </w:rPr>
                                  <m:t>2</m:t>
                                </m:r>
                              </m:sup>
                            </m:sSubSup>
                          </m:den>
                        </m:f>
                        <m:ctrlPr>
                          <w:rPr>
                            <w:rFonts w:ascii="Cambria Math" w:hAnsi="Cambria Math"/>
                            <w:i/>
                          </w:rPr>
                        </m:ctrlPr>
                      </m:e>
                    </m:d>
                  </m:e>
                </m:func>
              </m:e>
            </m:d>
          </m:num>
          <m:den>
            <m:r>
              <m:rPr>
                <m:sty m:val="p"/>
              </m:rPr>
              <w:rPr>
                <w:rFonts w:ascii="Cambria Math" w:hAnsi="Cambria Math"/>
              </w:rPr>
              <m:t>d</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i/>
                          </w:rPr>
                        </m:ctrlPr>
                      </m:sSubPr>
                      <m:e>
                        <m:r>
                          <w:rPr>
                            <w:rFonts w:ascii="Cambria Math" w:hAnsi="Cambria Math"/>
                          </w:rPr>
                          <m:t>T</m:t>
                        </m:r>
                      </m:e>
                      <m:sub>
                        <m:r>
                          <m:rPr>
                            <m:sty m:val="p"/>
                          </m:rPr>
                          <w:rPr>
                            <w:rFonts w:ascii="Cambria Math" w:hAnsi="Cambria Math"/>
                          </w:rPr>
                          <m:t>p</m:t>
                        </m:r>
                      </m:sub>
                    </m:sSub>
                  </m:den>
                </m:f>
              </m:e>
            </m:d>
          </m:den>
        </m:f>
      </m:oMath>
      <w:r w:rsidR="00591EAE" w:rsidRPr="00A41F97">
        <w:rPr>
          <w:rFonts w:asciiTheme="majorHAnsi" w:hAnsiTheme="majorHAnsi"/>
        </w:rPr>
        <w:t xml:space="preserve"> =</w:t>
      </w:r>
      <w:r w:rsidR="00591EAE">
        <w:rPr>
          <w:rFonts w:asciiTheme="majorHAnsi" w:hAnsiTheme="majorHAnsi"/>
        </w:rPr>
        <w:t xml:space="preserve"> </w:t>
      </w:r>
      <w:r w:rsidR="00591EAE" w:rsidRPr="00A41F97">
        <w:rPr>
          <w:rFonts w:asciiTheme="majorHAnsi" w:hAnsiTheme="majorHAnsi"/>
        </w:rPr>
        <w:t xml:space="preserve">- </w:t>
      </w:r>
      <m:oMath>
        <m:f>
          <m:fPr>
            <m:ctrlPr>
              <w:rPr>
                <w:rFonts w:ascii="Cambria Math" w:hAnsi="Cambria Math"/>
              </w:rPr>
            </m:ctrlPr>
          </m:fPr>
          <m:num>
            <m:r>
              <w:rPr>
                <w:rFonts w:ascii="Cambria Math" w:hAnsi="Cambria Math"/>
              </w:rPr>
              <m:t>E</m:t>
            </m:r>
          </m:num>
          <m:den>
            <m:r>
              <w:rPr>
                <w:rFonts w:ascii="Cambria Math" w:hAnsi="Cambria Math"/>
              </w:rPr>
              <m:t>R</m:t>
            </m:r>
          </m:den>
        </m:f>
      </m:oMath>
      <w:r w:rsidR="00591EAE">
        <w:rPr>
          <w:rFonts w:asciiTheme="majorHAnsi" w:eastAsiaTheme="minorEastAsia" w:hAnsiTheme="majorHAnsi"/>
        </w:rPr>
        <w:tab/>
      </w:r>
      <w:r w:rsidR="00591EAE">
        <w:rPr>
          <w:rFonts w:asciiTheme="majorHAnsi" w:eastAsiaTheme="minorEastAsia" w:hAnsiTheme="majorHAnsi"/>
        </w:rPr>
        <w:tab/>
      </w:r>
      <w:r w:rsidR="00591EAE">
        <w:rPr>
          <w:rFonts w:asciiTheme="majorHAnsi" w:eastAsiaTheme="minorEastAsia" w:hAnsiTheme="majorHAnsi"/>
        </w:rPr>
        <w:tab/>
      </w:r>
      <w:r w:rsidR="00591EAE">
        <w:rPr>
          <w:rFonts w:asciiTheme="majorHAnsi" w:eastAsiaTheme="minorEastAsia" w:hAnsiTheme="majorHAnsi"/>
        </w:rPr>
        <w:tab/>
      </w:r>
      <w:r w:rsidR="00591EAE">
        <w:rPr>
          <w:rFonts w:asciiTheme="majorHAnsi" w:eastAsiaTheme="minorEastAsia" w:hAnsiTheme="majorHAnsi"/>
        </w:rPr>
        <w:tab/>
      </w:r>
      <w:r w:rsidR="00591EAE">
        <w:rPr>
          <w:rFonts w:asciiTheme="majorHAnsi" w:eastAsiaTheme="minorEastAsia" w:hAnsiTheme="majorHAnsi"/>
        </w:rPr>
        <w:tab/>
      </w:r>
      <w:r w:rsidR="00591EAE">
        <w:rPr>
          <w:rFonts w:asciiTheme="majorHAnsi" w:eastAsiaTheme="minorEastAsia" w:hAnsiTheme="majorHAnsi"/>
        </w:rPr>
        <w:tab/>
      </w:r>
      <w:r w:rsidR="005B1F98">
        <w:rPr>
          <w:rFonts w:asciiTheme="majorHAnsi" w:eastAsiaTheme="minorEastAsia" w:hAnsiTheme="majorHAnsi"/>
        </w:rPr>
        <w:tab/>
      </w:r>
      <w:r w:rsidR="005B1F98">
        <w:rPr>
          <w:rFonts w:asciiTheme="majorHAnsi" w:eastAsiaTheme="minorEastAsia" w:hAnsiTheme="majorHAnsi"/>
        </w:rPr>
        <w:tab/>
      </w:r>
      <w:r w:rsidR="005B1F98">
        <w:rPr>
          <w:rFonts w:asciiTheme="majorHAnsi" w:eastAsiaTheme="minorEastAsia" w:hAnsiTheme="majorHAnsi"/>
        </w:rPr>
        <w:tab/>
      </w:r>
      <w:r w:rsidR="005B1F98">
        <w:rPr>
          <w:rFonts w:asciiTheme="majorHAnsi" w:eastAsiaTheme="minorEastAsia" w:hAnsiTheme="majorHAnsi"/>
        </w:rPr>
        <w:tab/>
      </w:r>
      <w:r w:rsidR="005B1F98">
        <w:rPr>
          <w:rFonts w:asciiTheme="majorHAnsi" w:eastAsiaTheme="minorEastAsia" w:hAnsiTheme="majorHAnsi"/>
        </w:rPr>
        <w:tab/>
        <w:t xml:space="preserve">   </w:t>
      </w:r>
      <w:r w:rsidR="009550CD" w:rsidRPr="00A41F97">
        <w:rPr>
          <w:rFonts w:asciiTheme="majorHAnsi" w:eastAsiaTheme="minorEastAsia" w:hAnsiTheme="majorHAnsi"/>
        </w:rPr>
        <w:t>(</w:t>
      </w:r>
      <w:r w:rsidR="00A52637">
        <w:rPr>
          <w:rFonts w:asciiTheme="majorHAnsi" w:eastAsiaTheme="minorEastAsia" w:hAnsiTheme="majorHAnsi"/>
        </w:rPr>
        <w:t>3</w:t>
      </w:r>
      <w:r w:rsidR="009550CD" w:rsidRPr="00A41F97">
        <w:rPr>
          <w:rFonts w:asciiTheme="majorHAnsi" w:eastAsiaTheme="minorEastAsia" w:hAnsiTheme="majorHAnsi"/>
        </w:rPr>
        <w:t>)</w:t>
      </w:r>
    </w:p>
    <w:p w14:paraId="7DF1D524" w14:textId="3905ACAD" w:rsidR="00540952" w:rsidRPr="007250BC" w:rsidRDefault="00C9528C" w:rsidP="0081313E">
      <w:pPr>
        <w:pStyle w:val="TAMainText"/>
        <w:ind w:firstLine="0"/>
      </w:pPr>
      <w:r w:rsidRPr="00A41F97">
        <w:rPr>
          <w:rFonts w:eastAsiaTheme="minorEastAsia"/>
        </w:rPr>
        <w:t xml:space="preserve">where </w:t>
      </w:r>
      <w:r w:rsidRPr="00A41F97">
        <w:rPr>
          <w:rFonts w:eastAsiaTheme="minorEastAsia"/>
          <w:i/>
        </w:rPr>
        <w:t>T</w:t>
      </w:r>
      <w:r w:rsidR="00604123">
        <w:rPr>
          <w:rFonts w:eastAsiaTheme="minorEastAsia"/>
          <w:vertAlign w:val="subscript"/>
        </w:rPr>
        <w:t>p</w:t>
      </w:r>
      <w:r w:rsidRPr="00A41F97">
        <w:rPr>
          <w:rFonts w:eastAsiaTheme="minorEastAsia"/>
        </w:rPr>
        <w:t xml:space="preserve"> </w:t>
      </w:r>
      <w:r w:rsidR="00604123">
        <w:rPr>
          <w:rFonts w:eastAsiaTheme="minorEastAsia"/>
        </w:rPr>
        <w:t>(</w:t>
      </w:r>
      <w:r w:rsidRPr="00A41F97">
        <w:t xml:space="preserve">°C) </w:t>
      </w:r>
      <w:r w:rsidRPr="00A41F97">
        <w:rPr>
          <w:rFonts w:eastAsiaTheme="minorEastAsia"/>
        </w:rPr>
        <w:t xml:space="preserve">is the peak maximum, </w:t>
      </w:r>
      <w:r w:rsidR="008A6246" w:rsidRPr="004A73DB">
        <w:rPr>
          <w:rFonts w:eastAsiaTheme="minorEastAsia"/>
          <w:i/>
        </w:rPr>
        <w:t>E</w:t>
      </w:r>
      <w:r w:rsidR="008A6246" w:rsidRPr="00A41F97">
        <w:rPr>
          <w:rFonts w:eastAsiaTheme="minorEastAsia"/>
        </w:rPr>
        <w:t xml:space="preserve"> the activation energy (kJ mol</w:t>
      </w:r>
      <w:r w:rsidR="008A6246" w:rsidRPr="00A41F97">
        <w:rPr>
          <w:rFonts w:eastAsiaTheme="minorEastAsia"/>
          <w:vertAlign w:val="superscript"/>
        </w:rPr>
        <w:t>-1</w:t>
      </w:r>
      <w:r w:rsidR="008A6246" w:rsidRPr="00A41F97">
        <w:rPr>
          <w:rFonts w:eastAsiaTheme="minorEastAsia"/>
        </w:rPr>
        <w:t>)</w:t>
      </w:r>
      <w:r w:rsidR="000C286A" w:rsidRPr="00A41F97">
        <w:rPr>
          <w:rFonts w:eastAsiaTheme="minorEastAsia"/>
        </w:rPr>
        <w:t xml:space="preserve"> and </w:t>
      </w:r>
      <w:r w:rsidR="006B591B" w:rsidRPr="00A41F97">
        <w:rPr>
          <w:rFonts w:eastAsiaTheme="minorEastAsia"/>
          <w:i/>
        </w:rPr>
        <w:t>R</w:t>
      </w:r>
      <w:r w:rsidR="006B591B" w:rsidRPr="00A41F97">
        <w:rPr>
          <w:rFonts w:eastAsiaTheme="minorEastAsia"/>
        </w:rPr>
        <w:t xml:space="preserve"> the ideal gas constant (kJ K</w:t>
      </w:r>
      <w:r w:rsidR="006B591B" w:rsidRPr="00A41F97">
        <w:rPr>
          <w:rFonts w:eastAsiaTheme="minorEastAsia"/>
          <w:vertAlign w:val="superscript"/>
        </w:rPr>
        <w:t>-1</w:t>
      </w:r>
      <w:r w:rsidR="006B591B" w:rsidRPr="00A41F97">
        <w:rPr>
          <w:rFonts w:eastAsiaTheme="minorEastAsia"/>
        </w:rPr>
        <w:t xml:space="preserve"> mol</w:t>
      </w:r>
      <w:r w:rsidR="006B591B" w:rsidRPr="00A41F97">
        <w:rPr>
          <w:rFonts w:eastAsiaTheme="minorEastAsia"/>
          <w:vertAlign w:val="superscript"/>
        </w:rPr>
        <w:t>-1</w:t>
      </w:r>
      <w:r w:rsidR="006B591B" w:rsidRPr="00A41F97">
        <w:rPr>
          <w:rFonts w:eastAsiaTheme="minorEastAsia"/>
        </w:rPr>
        <w:t>).</w:t>
      </w:r>
      <w:r w:rsidR="005F3E97" w:rsidRPr="00A41F97">
        <w:rPr>
          <w:rFonts w:eastAsiaTheme="minorEastAsia"/>
        </w:rPr>
        <w:t xml:space="preserve"> </w:t>
      </w:r>
      <w:r w:rsidR="00B62483">
        <w:rPr>
          <w:rFonts w:eastAsiaTheme="minorEastAsia"/>
        </w:rPr>
        <w:t xml:space="preserve">From the slope of </w:t>
      </w:r>
      <w:r w:rsidR="005F3E97" w:rsidRPr="007250BC">
        <w:rPr>
          <w:rFonts w:eastAsiaTheme="minorEastAsia"/>
        </w:rPr>
        <w:t xml:space="preserve">ln </w:t>
      </w:r>
      <m:oMath>
        <m:d>
          <m:dPr>
            <m:ctrlPr>
              <w:rPr>
                <w:rFonts w:ascii="Cambria Math" w:hAnsi="Cambria Math"/>
              </w:rPr>
            </m:ctrlPr>
          </m:dPr>
          <m:e>
            <m:f>
              <m:fPr>
                <m:ctrlPr>
                  <w:rPr>
                    <w:rFonts w:ascii="Cambria Math" w:hAnsi="Cambria Math"/>
                  </w:rPr>
                </m:ctrlPr>
              </m:fPr>
              <m:num>
                <m:r>
                  <w:rPr>
                    <w:rFonts w:ascii="Cambria Math" w:hAnsi="Cambria Math"/>
                  </w:rPr>
                  <m:t>φ</m:t>
                </m:r>
              </m:num>
              <m:den>
                <m:sSubSup>
                  <m:sSubSupPr>
                    <m:ctrlPr>
                      <w:rPr>
                        <w:rFonts w:ascii="Cambria Math" w:hAnsi="Cambria Math"/>
                      </w:rPr>
                    </m:ctrlPr>
                  </m:sSubSupPr>
                  <m:e>
                    <m:r>
                      <w:rPr>
                        <w:rFonts w:ascii="Cambria Math" w:hAnsi="Cambria Math"/>
                      </w:rPr>
                      <m:t>T</m:t>
                    </m:r>
                  </m:e>
                  <m:sub>
                    <m:r>
                      <m:rPr>
                        <m:sty m:val="p"/>
                      </m:rPr>
                      <w:rPr>
                        <w:rFonts w:ascii="Cambria Math" w:hAnsi="Cambria Math"/>
                      </w:rPr>
                      <m:t>p</m:t>
                    </m:r>
                  </m:sub>
                  <m:sup>
                    <m:r>
                      <m:rPr>
                        <m:sty m:val="p"/>
                      </m:rPr>
                      <w:rPr>
                        <w:rFonts w:ascii="Cambria Math" w:hAnsi="Cambria Math"/>
                      </w:rPr>
                      <m:t>2</m:t>
                    </m:r>
                  </m:sup>
                </m:sSubSup>
              </m:den>
            </m:f>
          </m:e>
        </m:d>
      </m:oMath>
      <w:r w:rsidR="005F3E97" w:rsidRPr="007250BC">
        <w:rPr>
          <w:rFonts w:eastAsiaTheme="minorEastAsia"/>
        </w:rPr>
        <w:t xml:space="preserve"> against 1000/</w:t>
      </w:r>
      <w:r w:rsidR="005F3E97" w:rsidRPr="007250BC">
        <w:rPr>
          <w:rFonts w:eastAsiaTheme="minorEastAsia"/>
          <w:i/>
        </w:rPr>
        <w:t>T</w:t>
      </w:r>
      <w:r w:rsidR="000721A9">
        <w:rPr>
          <w:rFonts w:eastAsiaTheme="minorEastAsia"/>
          <w:vertAlign w:val="subscript"/>
        </w:rPr>
        <w:t>p</w:t>
      </w:r>
      <w:r w:rsidR="00B62483">
        <w:rPr>
          <w:rFonts w:eastAsiaTheme="minorEastAsia"/>
        </w:rPr>
        <w:t xml:space="preserve"> in</w:t>
      </w:r>
      <w:r w:rsidR="003F3319" w:rsidRPr="007250BC">
        <w:rPr>
          <w:rFonts w:eastAsiaTheme="minorEastAsia"/>
        </w:rPr>
        <w:t xml:space="preserve"> </w:t>
      </w:r>
      <w:r w:rsidR="00F63851">
        <w:rPr>
          <w:rFonts w:eastAsiaTheme="minorEastAsia"/>
        </w:rPr>
        <w:t xml:space="preserve">Figure </w:t>
      </w:r>
      <w:r w:rsidR="0024545E">
        <w:rPr>
          <w:rFonts w:eastAsiaTheme="minorEastAsia"/>
        </w:rPr>
        <w:t>7</w:t>
      </w:r>
      <w:r w:rsidR="00F63851">
        <w:rPr>
          <w:rFonts w:eastAsiaTheme="minorEastAsia"/>
        </w:rPr>
        <w:t>(</w:t>
      </w:r>
      <w:r w:rsidR="0024545E">
        <w:rPr>
          <w:rFonts w:eastAsiaTheme="minorEastAsia"/>
        </w:rPr>
        <w:t>d</w:t>
      </w:r>
      <w:r w:rsidR="00F63851">
        <w:rPr>
          <w:rFonts w:eastAsiaTheme="minorEastAsia"/>
        </w:rPr>
        <w:t>)</w:t>
      </w:r>
      <w:r w:rsidR="00B62483">
        <w:rPr>
          <w:rFonts w:eastAsiaTheme="minorEastAsia"/>
        </w:rPr>
        <w:t xml:space="preserve">, </w:t>
      </w:r>
      <w:r w:rsidR="00B62483" w:rsidRPr="007250BC">
        <w:rPr>
          <w:rFonts w:eastAsiaTheme="minorEastAsia"/>
          <w:i/>
        </w:rPr>
        <w:t>E</w:t>
      </w:r>
      <w:r w:rsidR="00B62483" w:rsidRPr="007250BC">
        <w:rPr>
          <w:rFonts w:eastAsiaTheme="minorEastAsia"/>
        </w:rPr>
        <w:t xml:space="preserve"> </w:t>
      </w:r>
      <w:r w:rsidR="003415A5">
        <w:rPr>
          <w:rFonts w:eastAsiaTheme="minorEastAsia"/>
        </w:rPr>
        <w:t>=</w:t>
      </w:r>
      <w:r w:rsidR="00B62483" w:rsidRPr="007250BC">
        <w:rPr>
          <w:rFonts w:eastAsiaTheme="minorEastAsia"/>
        </w:rPr>
        <w:t xml:space="preserve"> 2</w:t>
      </w:r>
      <w:r w:rsidR="00B62483">
        <w:rPr>
          <w:rFonts w:eastAsiaTheme="minorEastAsia"/>
        </w:rPr>
        <w:t>72</w:t>
      </w:r>
      <w:r w:rsidR="00B62483" w:rsidRPr="007250BC">
        <w:rPr>
          <w:rFonts w:eastAsiaTheme="minorEastAsia"/>
        </w:rPr>
        <w:t xml:space="preserve"> ± </w:t>
      </w:r>
      <w:r w:rsidR="00B62483">
        <w:rPr>
          <w:rFonts w:eastAsiaTheme="minorEastAsia"/>
        </w:rPr>
        <w:t>8</w:t>
      </w:r>
      <w:r w:rsidR="00B62483" w:rsidRPr="007250BC">
        <w:rPr>
          <w:rFonts w:eastAsiaTheme="minorEastAsia"/>
        </w:rPr>
        <w:t xml:space="preserve"> </w:t>
      </w:r>
      <w:r w:rsidR="00B62483" w:rsidRPr="00E933F1">
        <w:rPr>
          <w:rFonts w:eastAsiaTheme="minorEastAsia"/>
        </w:rPr>
        <w:t>kJ mol</w:t>
      </w:r>
      <w:r w:rsidR="00B62483" w:rsidRPr="00E933F1">
        <w:rPr>
          <w:rFonts w:eastAsiaTheme="minorEastAsia"/>
          <w:vertAlign w:val="superscript"/>
        </w:rPr>
        <w:t>-1</w:t>
      </w:r>
      <w:r w:rsidR="003415A5">
        <w:rPr>
          <w:rFonts w:eastAsiaTheme="minorEastAsia"/>
        </w:rPr>
        <w:t xml:space="preserve"> </w:t>
      </w:r>
      <w:r w:rsidR="003415A5" w:rsidRPr="003415A5">
        <w:rPr>
          <w:rFonts w:eastAsiaTheme="minorEastAsia"/>
          <w:color w:val="FF0000"/>
        </w:rPr>
        <w:t>is obtained.</w:t>
      </w:r>
      <w:r w:rsidR="0024545E" w:rsidRPr="003415A5">
        <w:rPr>
          <w:rFonts w:eastAsiaTheme="minorEastAsia"/>
          <w:color w:val="FF0000"/>
        </w:rPr>
        <w:t xml:space="preserve"> </w:t>
      </w:r>
      <w:r w:rsidR="003415A5" w:rsidRPr="003415A5">
        <w:rPr>
          <w:rFonts w:eastAsiaTheme="minorEastAsia"/>
          <w:color w:val="FF0000"/>
        </w:rPr>
        <w:t>This value is comparable, but higher that the activation energy obtained under isothermal conditions (</w:t>
      </w:r>
      <w:r w:rsidR="003415A5" w:rsidRPr="003415A5">
        <w:rPr>
          <w:rFonts w:eastAsiaTheme="minorEastAsia"/>
          <w:i/>
          <w:color w:val="FF0000"/>
        </w:rPr>
        <w:t>E</w:t>
      </w:r>
      <w:r w:rsidR="003415A5" w:rsidRPr="003415A5">
        <w:rPr>
          <w:rFonts w:eastAsiaTheme="minorEastAsia"/>
          <w:color w:val="FF0000"/>
        </w:rPr>
        <w:t xml:space="preserve"> = 218 ± 46 kJ mol</w:t>
      </w:r>
      <w:r w:rsidR="003415A5" w:rsidRPr="003415A5">
        <w:rPr>
          <w:rFonts w:eastAsiaTheme="minorEastAsia"/>
          <w:color w:val="FF0000"/>
          <w:vertAlign w:val="superscript"/>
        </w:rPr>
        <w:t>-1</w:t>
      </w:r>
      <w:r w:rsidR="003415A5" w:rsidRPr="003415A5">
        <w:rPr>
          <w:rFonts w:eastAsiaTheme="minorEastAsia"/>
          <w:color w:val="FF0000"/>
        </w:rPr>
        <w:t>).</w:t>
      </w:r>
      <w:r w:rsidR="003415A5" w:rsidRPr="003415A5">
        <w:rPr>
          <w:rFonts w:eastAsiaTheme="minorEastAsia"/>
          <w:color w:val="FF0000"/>
          <w:vertAlign w:val="superscript"/>
        </w:rPr>
        <w:t>41</w:t>
      </w:r>
      <w:r w:rsidR="003415A5" w:rsidRPr="003415A5">
        <w:rPr>
          <w:rFonts w:eastAsiaTheme="minorEastAsia"/>
          <w:color w:val="FF0000"/>
        </w:rPr>
        <w:t xml:space="preserve"> </w:t>
      </w:r>
      <w:r w:rsidR="003415A5" w:rsidRPr="003415A5">
        <w:rPr>
          <w:rFonts w:eastAsiaTheme="minorEastAsia"/>
        </w:rPr>
        <w:t xml:space="preserve">We have added a comment in the manuscript to this effect. </w:t>
      </w:r>
      <w:r w:rsidR="0024545E">
        <w:rPr>
          <w:rFonts w:eastAsiaTheme="minorEastAsia"/>
        </w:rPr>
        <w:t>Th</w:t>
      </w:r>
      <w:r w:rsidR="00392E3C">
        <w:rPr>
          <w:rFonts w:eastAsiaTheme="minorEastAsia"/>
        </w:rPr>
        <w:t>e above</w:t>
      </w:r>
      <w:r w:rsidR="0024545E">
        <w:rPr>
          <w:rFonts w:eastAsiaTheme="minorEastAsia"/>
        </w:rPr>
        <w:t xml:space="preserve"> parameterization provides a full description of </w:t>
      </w:r>
      <w:r w:rsidR="00540952">
        <w:rPr>
          <w:rFonts w:eastAsiaTheme="minorEastAsia"/>
        </w:rPr>
        <w:t xml:space="preserve">crystallization </w:t>
      </w:r>
      <w:r w:rsidR="00392E3C">
        <w:rPr>
          <w:rFonts w:eastAsiaTheme="minorEastAsia"/>
        </w:rPr>
        <w:t>for a</w:t>
      </w:r>
      <w:r w:rsidR="00540952">
        <w:rPr>
          <w:rFonts w:eastAsiaTheme="minorEastAsia"/>
        </w:rPr>
        <w:t xml:space="preserve"> reference micellar </w:t>
      </w:r>
      <w:r w:rsidR="0024545E">
        <w:rPr>
          <w:rFonts w:eastAsiaTheme="minorEastAsia"/>
        </w:rPr>
        <w:t>SDS-H</w:t>
      </w:r>
      <w:r w:rsidR="0024545E" w:rsidRPr="0024545E">
        <w:rPr>
          <w:rFonts w:eastAsiaTheme="minorEastAsia"/>
          <w:vertAlign w:val="subscript"/>
        </w:rPr>
        <w:t>2</w:t>
      </w:r>
      <w:r w:rsidR="0024545E">
        <w:rPr>
          <w:rFonts w:eastAsiaTheme="minorEastAsia"/>
        </w:rPr>
        <w:t>O</w:t>
      </w:r>
      <w:r w:rsidR="00540952">
        <w:rPr>
          <w:rFonts w:eastAsiaTheme="minorEastAsia"/>
        </w:rPr>
        <w:t xml:space="preserve"> solution under linear cooling conditions, enabling the predictive estimation of nucleation and overall crystallization kinetics, as well as crystal </w:t>
      </w:r>
      <w:r w:rsidR="00392E3C">
        <w:rPr>
          <w:rFonts w:eastAsiaTheme="minorEastAsia"/>
        </w:rPr>
        <w:t>morphologies</w:t>
      </w:r>
      <w:r w:rsidR="00540952">
        <w:rPr>
          <w:rFonts w:eastAsiaTheme="minorEastAsia"/>
        </w:rPr>
        <w:t>, under practically relevant condition</w:t>
      </w:r>
      <w:r w:rsidR="006161AE">
        <w:rPr>
          <w:rFonts w:eastAsiaTheme="minorEastAsia"/>
        </w:rPr>
        <w:t>s</w:t>
      </w:r>
      <w:r w:rsidR="00540952">
        <w:rPr>
          <w:rFonts w:eastAsiaTheme="minorEastAsia"/>
        </w:rPr>
        <w:t xml:space="preserve"> of temperature variation.  </w:t>
      </w:r>
    </w:p>
    <w:p w14:paraId="3C870B6B" w14:textId="77777777" w:rsidR="00B725E6" w:rsidRDefault="00B725E6" w:rsidP="00DD300C">
      <w:pPr>
        <w:pStyle w:val="TAMainText"/>
        <w:ind w:firstLine="0"/>
        <w:rPr>
          <w:b/>
        </w:rPr>
      </w:pPr>
    </w:p>
    <w:p w14:paraId="08D664E6" w14:textId="77777777" w:rsidR="00C028A8" w:rsidRDefault="00C028A8" w:rsidP="00DD300C">
      <w:pPr>
        <w:pStyle w:val="TAMainText"/>
        <w:ind w:firstLine="0"/>
        <w:rPr>
          <w:b/>
        </w:rPr>
      </w:pPr>
    </w:p>
    <w:p w14:paraId="6C9EAF78" w14:textId="77777777" w:rsidR="00DD300C" w:rsidRPr="00236244" w:rsidRDefault="00DD300C" w:rsidP="00DD300C">
      <w:pPr>
        <w:pStyle w:val="TAMainText"/>
        <w:ind w:firstLine="0"/>
        <w:rPr>
          <w:b/>
        </w:rPr>
      </w:pPr>
      <w:r w:rsidRPr="00236244">
        <w:rPr>
          <w:b/>
        </w:rPr>
        <w:t>CONCLUSION</w:t>
      </w:r>
    </w:p>
    <w:p w14:paraId="34B3944F" w14:textId="76C4FEE4" w:rsidR="006940E3" w:rsidRDefault="006012F0" w:rsidP="00DD300C">
      <w:pPr>
        <w:pStyle w:val="TAMainText"/>
      </w:pPr>
      <w:r>
        <w:lastRenderedPageBreak/>
        <w:t>The crystallization mechanisms and kinetics of the binary SDS-H</w:t>
      </w:r>
      <w:r w:rsidRPr="006012F0">
        <w:rPr>
          <w:vertAlign w:val="subscript"/>
        </w:rPr>
        <w:t>2</w:t>
      </w:r>
      <w:r>
        <w:t>O syste</w:t>
      </w:r>
      <w:r w:rsidR="007A17E7">
        <w:t xml:space="preserve">m, at a reference concentration of 20%, </w:t>
      </w:r>
      <w:r>
        <w:t xml:space="preserve">was investigated </w:t>
      </w:r>
      <w:r w:rsidR="00540952">
        <w:t>under</w:t>
      </w:r>
      <w:r w:rsidR="006D3992">
        <w:t xml:space="preserve"> </w:t>
      </w:r>
      <w:r w:rsidR="00D67053">
        <w:t xml:space="preserve">linear cooling conditions from </w:t>
      </w:r>
      <w:r>
        <w:t>2</w:t>
      </w:r>
      <w:r w:rsidR="005908EC">
        <w:t>2</w:t>
      </w:r>
      <w:r w:rsidR="00D67053">
        <w:t xml:space="preserve"> </w:t>
      </w:r>
      <w:r w:rsidR="00792C77">
        <w:t>to</w:t>
      </w:r>
      <w:r>
        <w:t xml:space="preserve"> -</w:t>
      </w:r>
      <w:r w:rsidR="00C77C20">
        <w:t>5</w:t>
      </w:r>
      <w:r w:rsidRPr="00540952">
        <w:t xml:space="preserve"> </w:t>
      </w:r>
      <w:r w:rsidRPr="00540952">
        <w:rPr>
          <w:rFonts w:ascii="Calibri" w:hAnsi="Calibri"/>
        </w:rPr>
        <w:t>°</w:t>
      </w:r>
      <w:r w:rsidRPr="00540952">
        <w:t>C</w:t>
      </w:r>
      <w:r w:rsidR="00540952" w:rsidRPr="00540952">
        <w:t>.</w:t>
      </w:r>
      <w:r w:rsidRPr="00540952">
        <w:t xml:space="preserve"> </w:t>
      </w:r>
      <w:r w:rsidR="00540952">
        <w:t>Cooling rates (</w:t>
      </w:r>
      <w:r w:rsidR="00540952" w:rsidRPr="001848E8">
        <w:rPr>
          <w:rFonts w:ascii="Symbol" w:hAnsi="Symbol"/>
          <w:i/>
        </w:rPr>
        <w:t></w:t>
      </w:r>
      <w:r w:rsidR="00540952">
        <w:rPr>
          <w:rFonts w:ascii="Symbol" w:hAnsi="Symbol"/>
        </w:rPr>
        <w:t></w:t>
      </w:r>
      <w:r w:rsidR="00540952">
        <w:t xml:space="preserve"> were systematically varied from </w:t>
      </w:r>
      <w:r w:rsidR="00540952" w:rsidRPr="001848E8">
        <w:t>0.1</w:t>
      </w:r>
      <w:r w:rsidR="0046707F">
        <w:t xml:space="preserve"> to 5</w:t>
      </w:r>
      <w:r w:rsidR="00540952" w:rsidRPr="001848E8">
        <w:t>0 °C min</w:t>
      </w:r>
      <w:r w:rsidR="00540952" w:rsidRPr="001848E8">
        <w:rPr>
          <w:vertAlign w:val="superscript"/>
        </w:rPr>
        <w:t>-1</w:t>
      </w:r>
      <w:r w:rsidR="00540952">
        <w:t xml:space="preserve">, spanning conditions comparable to diurnal temperature fluctuations through to </w:t>
      </w:r>
      <w:r w:rsidR="000A01E3">
        <w:t xml:space="preserve">rapidly </w:t>
      </w:r>
      <w:r w:rsidR="00540952">
        <w:t>induced changes.</w:t>
      </w:r>
      <w:r w:rsidR="005B68D3" w:rsidRPr="005B68D3">
        <w:t xml:space="preserve"> </w:t>
      </w:r>
      <w:r w:rsidR="005B68D3">
        <w:t>The practical utilization of surfactant solutions</w:t>
      </w:r>
      <w:r w:rsidR="0081313E">
        <w:t>,</w:t>
      </w:r>
      <w:r w:rsidR="005B68D3">
        <w:t xml:space="preserve"> and SDS in particular, in ubiquitous personal care and pharmaceutical formulations, involves frequent temperature</w:t>
      </w:r>
      <w:r w:rsidR="00457E23">
        <w:t xml:space="preserve"> (</w:t>
      </w:r>
      <w:r w:rsidR="00457E23">
        <w:rPr>
          <w:i/>
        </w:rPr>
        <w:t>T</w:t>
      </w:r>
      <w:r w:rsidR="00457E23">
        <w:t>)</w:t>
      </w:r>
      <w:r w:rsidR="005B68D3">
        <w:t xml:space="preserve"> fluctuations</w:t>
      </w:r>
      <w:r w:rsidR="0046707F">
        <w:t xml:space="preserve"> –</w:t>
      </w:r>
      <w:r w:rsidR="005B68D3">
        <w:t xml:space="preserve"> both</w:t>
      </w:r>
      <w:r w:rsidR="0046707F">
        <w:t xml:space="preserve"> </w:t>
      </w:r>
      <w:r w:rsidR="005B68D3">
        <w:t>deliberate and inadvertent</w:t>
      </w:r>
      <w:r w:rsidR="0081313E">
        <w:t>. U</w:t>
      </w:r>
      <w:r w:rsidR="00F7560E">
        <w:t>nderstanding</w:t>
      </w:r>
      <w:r w:rsidR="0046707F">
        <w:t xml:space="preserve"> </w:t>
      </w:r>
      <w:r w:rsidR="00F7560E">
        <w:t>their effect on the stability of micellar solutions is thus important.</w:t>
      </w:r>
      <w:r w:rsidR="00FF5574" w:rsidRPr="00FF5574">
        <w:t xml:space="preserve"> </w:t>
      </w:r>
      <w:r w:rsidR="00FF5574">
        <w:t xml:space="preserve">A combination of optical microscopy and calorimetry </w:t>
      </w:r>
      <w:r w:rsidR="00792C77">
        <w:t>was</w:t>
      </w:r>
      <w:r w:rsidR="00FF5574">
        <w:t xml:space="preserve"> employed, supported by ATR-FTIR for </w:t>
      </w:r>
      <w:r w:rsidR="00792C77">
        <w:t>polymorph assignment</w:t>
      </w:r>
      <w:r w:rsidR="00FF5574">
        <w:t xml:space="preserve">, to estimate </w:t>
      </w:r>
      <w:r w:rsidR="005F2278">
        <w:t>the effects of</w:t>
      </w:r>
      <w:r w:rsidR="00FF5574">
        <w:t xml:space="preserve"> non-isothermal temperature profile</w:t>
      </w:r>
      <w:r w:rsidR="00792C77">
        <w:t>s</w:t>
      </w:r>
      <w:r w:rsidR="00FF5574">
        <w:t xml:space="preserve"> </w:t>
      </w:r>
      <w:r w:rsidR="005F2278">
        <w:t>on</w:t>
      </w:r>
      <w:r w:rsidR="00FF5574">
        <w:t xml:space="preserve"> crystallization.</w:t>
      </w:r>
      <w:r w:rsidR="006940E3">
        <w:t xml:space="preserve"> </w:t>
      </w:r>
    </w:p>
    <w:p w14:paraId="5C63F12F" w14:textId="57033191" w:rsidR="006940E3" w:rsidRPr="006940E3" w:rsidRDefault="006940E3" w:rsidP="00DD300C">
      <w:pPr>
        <w:pStyle w:val="TAMainText"/>
      </w:pPr>
      <w:r w:rsidRPr="004722C8">
        <w:t xml:space="preserve">Given the </w:t>
      </w:r>
      <w:r w:rsidR="00457E23" w:rsidRPr="004722C8">
        <w:rPr>
          <w:i/>
        </w:rPr>
        <w:t>T</w:t>
      </w:r>
      <w:r w:rsidRPr="004722C8">
        <w:t xml:space="preserve"> dependence o</w:t>
      </w:r>
      <w:r w:rsidR="00A04B04">
        <w:t>n</w:t>
      </w:r>
      <w:r w:rsidRPr="004722C8">
        <w:t xml:space="preserve"> nucleation</w:t>
      </w:r>
      <w:r w:rsidR="00A04B04">
        <w:t>, growth and the</w:t>
      </w:r>
      <w:r w:rsidRPr="004722C8">
        <w:t xml:space="preserve"> dominant crystal habits, </w:t>
      </w:r>
      <w:r w:rsidR="004722C8">
        <w:t>our</w:t>
      </w:r>
      <w:r w:rsidRPr="004722C8">
        <w:t xml:space="preserve"> hypothesis was that varying</w:t>
      </w:r>
      <w:r w:rsidRPr="006940E3">
        <w:t xml:space="preserve"> </w:t>
      </w:r>
      <w:r w:rsidR="00457E23" w:rsidRPr="00457E23">
        <w:rPr>
          <w:i/>
        </w:rPr>
        <w:t>T</w:t>
      </w:r>
      <w:r w:rsidRPr="006940E3">
        <w:t xml:space="preserve"> profiles would result in a nontrivial superposition or convolution o</w:t>
      </w:r>
      <w:r w:rsidR="00792C77">
        <w:t xml:space="preserve">f crystal </w:t>
      </w:r>
      <w:r w:rsidR="007B5769">
        <w:t xml:space="preserve">kinetics and </w:t>
      </w:r>
      <w:r w:rsidR="00792C77">
        <w:t xml:space="preserve">morphologies. The </w:t>
      </w:r>
      <w:r w:rsidR="00A00666">
        <w:t>time</w:t>
      </w:r>
      <w:r w:rsidR="00A00666" w:rsidRPr="00A00666">
        <w:t xml:space="preserve"> </w:t>
      </w:r>
      <w:r w:rsidRPr="006940E3">
        <w:t xml:space="preserve">spent by the solution at each </w:t>
      </w:r>
      <w:r w:rsidR="00792C77">
        <w:rPr>
          <w:i/>
        </w:rPr>
        <w:t>T</w:t>
      </w:r>
      <w:r w:rsidRPr="006940E3">
        <w:t xml:space="preserve"> during a cooling ramp was believed to play a </w:t>
      </w:r>
      <w:r w:rsidR="0046707F">
        <w:t>key role</w:t>
      </w:r>
      <w:r w:rsidR="00F80535">
        <w:t>,</w:t>
      </w:r>
      <w:r w:rsidRPr="006940E3">
        <w:t xml:space="preserve"> </w:t>
      </w:r>
      <w:r w:rsidR="00C15A55">
        <w:t xml:space="preserve">therefore </w:t>
      </w:r>
      <w:r w:rsidR="00C15A55" w:rsidRPr="001A308B">
        <w:rPr>
          <w:rFonts w:ascii="Symbol" w:hAnsi="Symbol"/>
          <w:i/>
        </w:rPr>
        <w:t></w:t>
      </w:r>
      <w:r w:rsidRPr="006940E3">
        <w:t xml:space="preserve"> </w:t>
      </w:r>
      <w:r w:rsidR="001A308B">
        <w:t>w</w:t>
      </w:r>
      <w:r w:rsidR="00F62AF2">
        <w:t>as</w:t>
      </w:r>
      <w:r w:rsidR="001A308B">
        <w:t xml:space="preserve"> </w:t>
      </w:r>
      <w:r w:rsidRPr="006940E3">
        <w:t xml:space="preserve">precisely controlled. </w:t>
      </w:r>
      <w:r w:rsidR="0046707F" w:rsidRPr="0046707F">
        <w:t xml:space="preserve">Given the metastable nature of the nucleation process, several repetitions for each experimental condition were carried out to ensure </w:t>
      </w:r>
      <w:r w:rsidR="0081313E">
        <w:t xml:space="preserve">statistical </w:t>
      </w:r>
      <w:r w:rsidR="0046707F" w:rsidRPr="0046707F">
        <w:t>significance</w:t>
      </w:r>
      <w:r w:rsidR="0081313E">
        <w:t xml:space="preserve">. </w:t>
      </w:r>
      <w:r w:rsidRPr="006940E3">
        <w:t xml:space="preserve">Despite this complexity, </w:t>
      </w:r>
      <w:r w:rsidR="001A308B">
        <w:t>the</w:t>
      </w:r>
      <w:r w:rsidRPr="006940E3">
        <w:t xml:space="preserve"> findings </w:t>
      </w:r>
      <w:r w:rsidR="00A57D5A">
        <w:t>were</w:t>
      </w:r>
      <w:r w:rsidRPr="006940E3">
        <w:t xml:space="preserve"> rationalized </w:t>
      </w:r>
      <w:r w:rsidR="001A308B">
        <w:t xml:space="preserve">by comparing the data to </w:t>
      </w:r>
      <w:r w:rsidR="00C46B16">
        <w:t>an</w:t>
      </w:r>
      <w:r w:rsidR="001A308B">
        <w:t xml:space="preserve"> “isothermal” benchmark, as well as employing relevant non-isothermal crystallization models</w:t>
      </w:r>
      <w:r w:rsidR="0046707F">
        <w:t xml:space="preserve">, </w:t>
      </w:r>
      <w:r w:rsidR="0046707F" w:rsidRPr="0046707F">
        <w:t xml:space="preserve">in a remarkably consistent manner.  </w:t>
      </w:r>
    </w:p>
    <w:p w14:paraId="37AAB30D" w14:textId="329E6EFE" w:rsidR="00770268" w:rsidRPr="0058696E" w:rsidRDefault="00770268" w:rsidP="00DD300C">
      <w:pPr>
        <w:pStyle w:val="TAMainText"/>
      </w:pPr>
      <w:r w:rsidRPr="0058696E">
        <w:t xml:space="preserve">As expected, </w:t>
      </w:r>
      <w:r w:rsidRPr="0058696E">
        <w:rPr>
          <w:rFonts w:ascii="Symbol" w:hAnsi="Symbol"/>
          <w:i/>
        </w:rPr>
        <w:t></w:t>
      </w:r>
      <w:r w:rsidRPr="0058696E">
        <w:t xml:space="preserve"> plays a key role in determining the </w:t>
      </w:r>
      <w:r w:rsidR="00761848">
        <w:t>morpholog</w:t>
      </w:r>
      <w:r w:rsidR="0098323B">
        <w:t>ies</w:t>
      </w:r>
      <w:r w:rsidRPr="0058696E">
        <w:t xml:space="preserve">, yielding platelets at the slowest </w:t>
      </w:r>
      <w:r w:rsidRPr="0058696E">
        <w:rPr>
          <w:rFonts w:ascii="Symbol" w:hAnsi="Symbol"/>
          <w:i/>
        </w:rPr>
        <w:t></w:t>
      </w:r>
      <w:r w:rsidRPr="0058696E">
        <w:t xml:space="preserve"> = 0.1 </w:t>
      </w:r>
      <w:r w:rsidRPr="0058696E">
        <w:rPr>
          <w:rFonts w:ascii="Calibri" w:hAnsi="Calibri"/>
        </w:rPr>
        <w:t>°</w:t>
      </w:r>
      <w:r w:rsidRPr="0058696E">
        <w:t>C min</w:t>
      </w:r>
      <w:r w:rsidRPr="0058696E">
        <w:rPr>
          <w:vertAlign w:val="superscript"/>
        </w:rPr>
        <w:t>-1</w:t>
      </w:r>
      <w:r w:rsidRPr="0058696E">
        <w:t xml:space="preserve">, with a progression towards a mixture of needles by the highest </w:t>
      </w:r>
      <w:r w:rsidRPr="0058696E">
        <w:rPr>
          <w:rFonts w:ascii="Symbol" w:hAnsi="Symbol"/>
          <w:i/>
        </w:rPr>
        <w:t></w:t>
      </w:r>
      <w:r w:rsidRPr="0058696E">
        <w:t xml:space="preserve"> </w:t>
      </w:r>
      <w:r w:rsidR="0046707F">
        <w:rPr>
          <w:rFonts w:cs="Times"/>
        </w:rPr>
        <w:t>≥</w:t>
      </w:r>
      <w:r w:rsidRPr="0058696E">
        <w:t xml:space="preserve"> 10 </w:t>
      </w:r>
      <w:r w:rsidRPr="0058696E">
        <w:rPr>
          <w:rFonts w:ascii="Calibri" w:hAnsi="Calibri"/>
        </w:rPr>
        <w:t>°</w:t>
      </w:r>
      <w:r w:rsidRPr="0058696E">
        <w:t>C min</w:t>
      </w:r>
      <w:r w:rsidRPr="0058696E">
        <w:rPr>
          <w:vertAlign w:val="superscript"/>
        </w:rPr>
        <w:t>-1</w:t>
      </w:r>
      <w:r w:rsidRPr="0058696E">
        <w:t xml:space="preserve">. </w:t>
      </w:r>
      <w:r w:rsidR="00CF68C6" w:rsidRPr="0058696E">
        <w:t>Consequently, the crystal size a</w:t>
      </w:r>
      <w:r w:rsidR="00CF68C6">
        <w:t>nd polydispersity decrease</w:t>
      </w:r>
      <w:r w:rsidR="00CF68C6" w:rsidRPr="0058696E">
        <w:t xml:space="preserve"> with </w:t>
      </w:r>
      <w:r w:rsidR="00CF68C6" w:rsidRPr="0058696E">
        <w:rPr>
          <w:rFonts w:ascii="Symbol" w:hAnsi="Symbol"/>
          <w:i/>
        </w:rPr>
        <w:t></w:t>
      </w:r>
      <w:r w:rsidR="00CF68C6" w:rsidRPr="0058696E">
        <w:t xml:space="preserve">, which can have important implications on processing and performance. </w:t>
      </w:r>
      <w:r w:rsidR="0046707F">
        <w:t>While these</w:t>
      </w:r>
      <w:r w:rsidRPr="0058696E">
        <w:t xml:space="preserve"> morphologies evidently differ from those observed isothermally at -5 </w:t>
      </w:r>
      <w:r w:rsidRPr="0058696E">
        <w:rPr>
          <w:rFonts w:ascii="Calibri" w:hAnsi="Calibri"/>
        </w:rPr>
        <w:t>°</w:t>
      </w:r>
      <w:r w:rsidRPr="0058696E">
        <w:t>C, the final temper</w:t>
      </w:r>
      <w:r w:rsidR="0046707F">
        <w:t xml:space="preserve">ature for all cooling profiles, the data </w:t>
      </w:r>
      <w:r w:rsidRPr="0058696E">
        <w:t xml:space="preserve">can be quantitatively rationalized by comparison with the isothermal data </w:t>
      </w:r>
      <w:r w:rsidR="008973E4">
        <w:t>from</w:t>
      </w:r>
      <w:r w:rsidRPr="0058696E">
        <w:t xml:space="preserve"> </w:t>
      </w:r>
      <w:r w:rsidRPr="00CF68C6">
        <w:rPr>
          <w:i/>
        </w:rPr>
        <w:t>T</w:t>
      </w:r>
      <w:r w:rsidRPr="0058696E">
        <w:t xml:space="preserve"> </w:t>
      </w:r>
      <w:r w:rsidR="00CF68C6">
        <w:t>=</w:t>
      </w:r>
      <w:r w:rsidRPr="0058696E">
        <w:t xml:space="preserve"> 6 to -5 </w:t>
      </w:r>
      <w:r w:rsidRPr="0058696E">
        <w:rPr>
          <w:rFonts w:ascii="Calibri" w:hAnsi="Calibri"/>
        </w:rPr>
        <w:t>°</w:t>
      </w:r>
      <w:r w:rsidRPr="0058696E">
        <w:t xml:space="preserve">C. </w:t>
      </w:r>
      <w:r w:rsidR="005A7AD9" w:rsidRPr="005A7AD9">
        <w:t xml:space="preserve">At the lowest </w:t>
      </w:r>
      <w:r w:rsidR="005A7AD9" w:rsidRPr="005A7AD9">
        <w:rPr>
          <w:rFonts w:ascii="Symbol" w:hAnsi="Symbol"/>
          <w:i/>
        </w:rPr>
        <w:t></w:t>
      </w:r>
      <w:r w:rsidR="005A7AD9" w:rsidRPr="005A7AD9">
        <w:t xml:space="preserve">, crystallization is completed well before reaching the final temperature (of -5°C) and thus the temperature profile explored by the sample is relatively narrow. Isothermal kinetics data, </w:t>
      </w:r>
      <w:r w:rsidR="005A7AD9" w:rsidRPr="005A7AD9">
        <w:rPr>
          <w:i/>
        </w:rPr>
        <w:t>at those relevant</w:t>
      </w:r>
      <w:r w:rsidR="005A7AD9" w:rsidRPr="005A7AD9">
        <w:t xml:space="preserve"> temperatures, provide an effective means to estimate the evolution of the crystallization process as well as its dominant morphologies</w:t>
      </w:r>
      <w:r w:rsidR="005A7AD9">
        <w:t xml:space="preserve">. </w:t>
      </w:r>
      <w:r w:rsidRPr="0058696E">
        <w:t xml:space="preserve">While </w:t>
      </w:r>
      <w:r w:rsidRPr="0058696E">
        <w:rPr>
          <w:rFonts w:ascii="Symbol" w:hAnsi="Symbol"/>
          <w:i/>
        </w:rPr>
        <w:t></w:t>
      </w:r>
      <w:r w:rsidRPr="0058696E">
        <w:t xml:space="preserve"> = 0.1</w:t>
      </w:r>
      <w:r w:rsidR="008973E4">
        <w:t>,</w:t>
      </w:r>
      <w:r w:rsidRPr="0058696E">
        <w:t xml:space="preserve"> </w:t>
      </w:r>
      <w:r w:rsidR="009D52F4">
        <w:t>5.0</w:t>
      </w:r>
      <w:r w:rsidR="008973E4">
        <w:t xml:space="preserve"> and 10</w:t>
      </w:r>
      <w:r w:rsidRPr="0058696E">
        <w:t xml:space="preserve"> </w:t>
      </w:r>
      <w:r w:rsidRPr="0058696E">
        <w:rPr>
          <w:rFonts w:ascii="Calibri" w:hAnsi="Calibri"/>
        </w:rPr>
        <w:t>°</w:t>
      </w:r>
      <w:r w:rsidRPr="0058696E">
        <w:t>C min</w:t>
      </w:r>
      <w:r w:rsidRPr="0058696E">
        <w:rPr>
          <w:vertAlign w:val="superscript"/>
        </w:rPr>
        <w:t>-1</w:t>
      </w:r>
      <w:r w:rsidRPr="0058696E">
        <w:t xml:space="preserve"> </w:t>
      </w:r>
      <w:r w:rsidR="009D52F4">
        <w:lastRenderedPageBreak/>
        <w:t>approached</w:t>
      </w:r>
      <w:r w:rsidRPr="0058696E">
        <w:t xml:space="preserve"> isothermal </w:t>
      </w:r>
      <w:r w:rsidR="006C7C7F">
        <w:t>holds</w:t>
      </w:r>
      <w:r w:rsidR="0081313E">
        <w:t xml:space="preserve">, </w:t>
      </w:r>
      <w:r w:rsidRPr="0058696E">
        <w:t xml:space="preserve">nontrivial deviations were </w:t>
      </w:r>
      <w:r w:rsidR="00C4065C">
        <w:t>found</w:t>
      </w:r>
      <w:r w:rsidRPr="0058696E">
        <w:t xml:space="preserve"> for </w:t>
      </w:r>
      <w:r w:rsidRPr="0058696E">
        <w:rPr>
          <w:rFonts w:ascii="Symbol" w:hAnsi="Symbol"/>
          <w:i/>
        </w:rPr>
        <w:t></w:t>
      </w:r>
      <w:r w:rsidRPr="0058696E">
        <w:t xml:space="preserve"> = 0.5 </w:t>
      </w:r>
      <w:r w:rsidR="00DC4572">
        <w:t>to</w:t>
      </w:r>
      <w:r w:rsidRPr="0058696E">
        <w:t xml:space="preserve"> </w:t>
      </w:r>
      <w:r w:rsidR="009D52F4">
        <w:t>1</w:t>
      </w:r>
      <w:r w:rsidRPr="0058696E">
        <w:t xml:space="preserve">.0 </w:t>
      </w:r>
      <w:r w:rsidRPr="0058696E">
        <w:rPr>
          <w:rFonts w:ascii="Calibri" w:hAnsi="Calibri"/>
        </w:rPr>
        <w:t>°</w:t>
      </w:r>
      <w:r w:rsidRPr="0058696E">
        <w:t>C min</w:t>
      </w:r>
      <w:r w:rsidRPr="0058696E">
        <w:rPr>
          <w:vertAlign w:val="superscript"/>
        </w:rPr>
        <w:t>-1</w:t>
      </w:r>
      <w:r w:rsidRPr="0058696E">
        <w:t xml:space="preserve"> due to the time spent cooling; a higher proportion of platelets and notably lower crystallization rates </w:t>
      </w:r>
      <w:r w:rsidR="00DC4572">
        <w:t>were</w:t>
      </w:r>
      <w:r w:rsidR="00660F9A">
        <w:t xml:space="preserve"> observed</w:t>
      </w:r>
      <w:r w:rsidRPr="0058696E">
        <w:t>. Two distinc</w:t>
      </w:r>
      <w:r w:rsidR="008F60A9">
        <w:t xml:space="preserve">t </w:t>
      </w:r>
      <w:r w:rsidRPr="0058696E">
        <w:t xml:space="preserve">regimes </w:t>
      </w:r>
      <w:r w:rsidR="00660F9A">
        <w:t>we</w:t>
      </w:r>
      <w:r w:rsidRPr="0058696E">
        <w:t xml:space="preserve">re identified for the </w:t>
      </w:r>
      <w:r w:rsidRPr="0058696E">
        <w:rPr>
          <w:i/>
        </w:rPr>
        <w:t>faster</w:t>
      </w:r>
      <w:r w:rsidRPr="0058696E">
        <w:t xml:space="preserve"> (</w:t>
      </w:r>
      <w:r w:rsidRPr="0058696E">
        <w:rPr>
          <w:rFonts w:ascii="Symbol" w:hAnsi="Symbol"/>
          <w:i/>
        </w:rPr>
        <w:t></w:t>
      </w:r>
      <w:r w:rsidRPr="0058696E">
        <w:rPr>
          <w:rFonts w:cstheme="majorHAnsi"/>
        </w:rPr>
        <w:t xml:space="preserve"> = </w:t>
      </w:r>
      <w:r w:rsidRPr="0058696E">
        <w:t xml:space="preserve">5.0, 10.0 </w:t>
      </w:r>
      <w:r w:rsidRPr="0058696E">
        <w:rPr>
          <w:rFonts w:ascii="Calibri" w:hAnsi="Calibri"/>
        </w:rPr>
        <w:t>°</w:t>
      </w:r>
      <w:r w:rsidRPr="0058696E">
        <w:t>C min</w:t>
      </w:r>
      <w:r w:rsidRPr="0058696E">
        <w:rPr>
          <w:vertAlign w:val="superscript"/>
        </w:rPr>
        <w:t>-1</w:t>
      </w:r>
      <w:r w:rsidRPr="0058696E">
        <w:t xml:space="preserve">) and </w:t>
      </w:r>
      <w:r w:rsidRPr="0058696E">
        <w:rPr>
          <w:i/>
        </w:rPr>
        <w:t>slower</w:t>
      </w:r>
      <w:r w:rsidRPr="0058696E">
        <w:t xml:space="preserve"> (</w:t>
      </w:r>
      <w:r w:rsidRPr="0058696E">
        <w:rPr>
          <w:rFonts w:ascii="Symbol" w:hAnsi="Symbol"/>
          <w:i/>
        </w:rPr>
        <w:t></w:t>
      </w:r>
      <w:r w:rsidRPr="0058696E">
        <w:rPr>
          <w:rFonts w:cstheme="majorHAnsi"/>
        </w:rPr>
        <w:t xml:space="preserve"> = </w:t>
      </w:r>
      <w:r w:rsidRPr="0058696E">
        <w:t xml:space="preserve">0.1, 0.5, 1.0 </w:t>
      </w:r>
      <w:r w:rsidRPr="0058696E">
        <w:rPr>
          <w:rFonts w:ascii="Calibri" w:hAnsi="Calibri"/>
        </w:rPr>
        <w:t>°</w:t>
      </w:r>
      <w:r w:rsidRPr="0058696E">
        <w:t>C min</w:t>
      </w:r>
      <w:r w:rsidRPr="0058696E">
        <w:rPr>
          <w:vertAlign w:val="superscript"/>
        </w:rPr>
        <w:t>-1</w:t>
      </w:r>
      <w:r w:rsidRPr="0058696E">
        <w:t>) rates, with the former exhibiting an acceleration in nucleation rate</w:t>
      </w:r>
      <w:r w:rsidR="00C4065C">
        <w:t>s</w:t>
      </w:r>
      <w:r w:rsidRPr="0058696E">
        <w:t xml:space="preserve"> (d</w:t>
      </w:r>
      <w:r w:rsidRPr="0081313E">
        <w:rPr>
          <w:i/>
        </w:rPr>
        <w:t>N</w:t>
      </w:r>
      <w:r w:rsidRPr="0058696E">
        <w:rPr>
          <w:vertAlign w:val="subscript"/>
        </w:rPr>
        <w:t>d</w:t>
      </w:r>
      <w:r w:rsidRPr="0058696E">
        <w:t>/d</w:t>
      </w:r>
      <w:r w:rsidRPr="0058696E">
        <w:rPr>
          <w:i/>
        </w:rPr>
        <w:t>t</w:t>
      </w:r>
      <w:r w:rsidRPr="0058696E">
        <w:t>) at lo</w:t>
      </w:r>
      <w:r w:rsidRPr="0058696E">
        <w:rPr>
          <w:rFonts w:cstheme="majorHAnsi"/>
        </w:rPr>
        <w:t xml:space="preserve">w </w:t>
      </w:r>
      <w:r w:rsidRPr="0058696E">
        <w:rPr>
          <w:rFonts w:cstheme="majorHAnsi"/>
          <w:i/>
        </w:rPr>
        <w:t>T</w:t>
      </w:r>
      <w:r w:rsidRPr="0058696E">
        <w:t xml:space="preserve">, corresponding to the transition from platelets (and bundles) to predominantly single needles. </w:t>
      </w:r>
    </w:p>
    <w:p w14:paraId="3086F877" w14:textId="15AF8BEC" w:rsidR="005A7AD9" w:rsidRDefault="00404371" w:rsidP="00DD300C">
      <w:pPr>
        <w:pStyle w:val="TAMainText"/>
      </w:pPr>
      <w:r w:rsidRPr="00825BE0">
        <w:t>A comparison between the crystallization induction time</w:t>
      </w:r>
      <w:r w:rsidR="005F52F3" w:rsidRPr="00825BE0">
        <w:t>s</w:t>
      </w:r>
      <w:r w:rsidRPr="00825BE0">
        <w:t xml:space="preserve"> </w:t>
      </w:r>
      <w:r w:rsidR="00DE4EE2" w:rsidRPr="00825BE0">
        <w:t>(</w:t>
      </w:r>
      <w:r w:rsidRPr="00825BE0">
        <w:rPr>
          <w:i/>
        </w:rPr>
        <w:t>t</w:t>
      </w:r>
      <w:r w:rsidRPr="00825BE0">
        <w:rPr>
          <w:vertAlign w:val="subscript"/>
        </w:rPr>
        <w:t>ind</w:t>
      </w:r>
      <w:r w:rsidR="00DE4EE2" w:rsidRPr="00825BE0">
        <w:t xml:space="preserve">) for various </w:t>
      </w:r>
      <w:r w:rsidR="00DE4EE2" w:rsidRPr="00825BE0">
        <w:rPr>
          <w:rFonts w:ascii="Symbol" w:hAnsi="Symbol"/>
          <w:i/>
        </w:rPr>
        <w:t></w:t>
      </w:r>
      <w:r w:rsidR="00DE4EE2" w:rsidRPr="00825BE0">
        <w:t xml:space="preserve"> </w:t>
      </w:r>
      <w:r w:rsidR="00852F50" w:rsidRPr="00825BE0">
        <w:t xml:space="preserve">against the isothermal values </w:t>
      </w:r>
      <w:r w:rsidRPr="00825BE0">
        <w:t>enable</w:t>
      </w:r>
      <w:r w:rsidR="0026205A" w:rsidRPr="00825BE0">
        <w:t>d</w:t>
      </w:r>
      <w:r w:rsidRPr="00825BE0">
        <w:t xml:space="preserve"> a </w:t>
      </w:r>
      <w:r w:rsidR="00E36452" w:rsidRPr="00825BE0">
        <w:t>quantitative</w:t>
      </w:r>
      <w:r w:rsidRPr="00825BE0">
        <w:t xml:space="preserve"> prediction of </w:t>
      </w:r>
      <w:r w:rsidR="00C44D7C" w:rsidRPr="00825BE0">
        <w:t xml:space="preserve">how the </w:t>
      </w:r>
      <w:r w:rsidR="00C44D7C" w:rsidRPr="00825BE0">
        <w:rPr>
          <w:rFonts w:ascii="Symbol" w:hAnsi="Symbol"/>
          <w:i/>
        </w:rPr>
        <w:t></w:t>
      </w:r>
      <w:r w:rsidR="00C44D7C" w:rsidRPr="00825BE0">
        <w:t xml:space="preserve"> </w:t>
      </w:r>
      <w:r w:rsidR="00457E23" w:rsidRPr="00825BE0">
        <w:t>affects</w:t>
      </w:r>
      <w:r w:rsidR="00C44D7C" w:rsidRPr="00825BE0">
        <w:t xml:space="preserve"> the nucleation kinetics.</w:t>
      </w:r>
      <w:r w:rsidR="00100C3B" w:rsidRPr="00825BE0">
        <w:t xml:space="preserve"> Evidently</w:t>
      </w:r>
      <w:r w:rsidR="00256BB1" w:rsidRPr="00825BE0">
        <w:t>,</w:t>
      </w:r>
      <w:r w:rsidR="00100C3B" w:rsidRPr="00825BE0">
        <w:t xml:space="preserve"> the data </w:t>
      </w:r>
      <w:r w:rsidR="00256BB1" w:rsidRPr="00825BE0">
        <w:t xml:space="preserve">begins to </w:t>
      </w:r>
      <w:r w:rsidR="00100C3B" w:rsidRPr="00825BE0">
        <w:t xml:space="preserve">converge at the </w:t>
      </w:r>
      <w:r w:rsidR="00100C3B" w:rsidRPr="00825BE0">
        <w:rPr>
          <w:i/>
        </w:rPr>
        <w:t>faster</w:t>
      </w:r>
      <w:r w:rsidR="00100C3B" w:rsidRPr="00825BE0">
        <w:t xml:space="preserve"> </w:t>
      </w:r>
      <w:r w:rsidR="00100C3B" w:rsidRPr="00825BE0">
        <w:rPr>
          <w:rFonts w:ascii="Symbol" w:hAnsi="Symbol"/>
          <w:i/>
        </w:rPr>
        <w:t></w:t>
      </w:r>
      <w:r w:rsidR="00100C3B" w:rsidRPr="00825BE0">
        <w:rPr>
          <w:rFonts w:cstheme="majorHAnsi"/>
        </w:rPr>
        <w:t xml:space="preserve">, as the cooling </w:t>
      </w:r>
      <w:r w:rsidR="005A7AD9">
        <w:rPr>
          <w:rFonts w:cstheme="majorHAnsi"/>
        </w:rPr>
        <w:t>period</w:t>
      </w:r>
      <w:r w:rsidR="00100C3B" w:rsidRPr="00825BE0">
        <w:rPr>
          <w:rFonts w:cstheme="majorHAnsi"/>
        </w:rPr>
        <w:t xml:space="preserve"> is </w:t>
      </w:r>
      <w:r w:rsidR="00100C3B" w:rsidRPr="00825BE0">
        <w:t xml:space="preserve">sufficiently </w:t>
      </w:r>
      <w:r w:rsidR="005A7AD9">
        <w:t xml:space="preserve">short </w:t>
      </w:r>
      <w:r w:rsidR="00100C3B" w:rsidRPr="00825BE0">
        <w:t xml:space="preserve">such that the final </w:t>
      </w:r>
      <w:r w:rsidR="00100C3B" w:rsidRPr="00825BE0">
        <w:rPr>
          <w:i/>
        </w:rPr>
        <w:t>T</w:t>
      </w:r>
      <w:r w:rsidR="00100C3B" w:rsidRPr="00825BE0">
        <w:t xml:space="preserve"> is reached within a short timescale compared to </w:t>
      </w:r>
      <w:r w:rsidR="00100C3B" w:rsidRPr="00825BE0">
        <w:rPr>
          <w:i/>
        </w:rPr>
        <w:t>t</w:t>
      </w:r>
      <w:r w:rsidR="00100C3B" w:rsidRPr="00825BE0">
        <w:rPr>
          <w:vertAlign w:val="subscript"/>
        </w:rPr>
        <w:t>ind</w:t>
      </w:r>
      <w:r w:rsidR="00100C3B" w:rsidRPr="00825BE0">
        <w:t xml:space="preserve">. </w:t>
      </w:r>
      <w:r w:rsidR="00B1340E">
        <w:t>T</w:t>
      </w:r>
      <w:r w:rsidR="00B1340E" w:rsidRPr="00B1340E">
        <w:t xml:space="preserve">he slowest </w:t>
      </w:r>
      <w:r w:rsidR="00B1340E" w:rsidRPr="00825BE0">
        <w:rPr>
          <w:rFonts w:ascii="Symbol" w:hAnsi="Symbol"/>
          <w:i/>
        </w:rPr>
        <w:t></w:t>
      </w:r>
      <w:r w:rsidR="00B1340E" w:rsidRPr="00B1340E">
        <w:t xml:space="preserve"> = 0.1 °C min</w:t>
      </w:r>
      <w:r w:rsidR="00B1340E" w:rsidRPr="00B1340E">
        <w:rPr>
          <w:vertAlign w:val="superscript"/>
        </w:rPr>
        <w:t>-1</w:t>
      </w:r>
      <w:r w:rsidR="00B1340E" w:rsidRPr="00B1340E">
        <w:t xml:space="preserve"> also begins to converge, as conditions are almost equivalent to a high </w:t>
      </w:r>
      <w:r w:rsidR="00B1340E" w:rsidRPr="00B1340E">
        <w:rPr>
          <w:i/>
        </w:rPr>
        <w:t>T</w:t>
      </w:r>
      <w:r w:rsidR="00B1340E" w:rsidRPr="00B1340E">
        <w:t xml:space="preserve"> isothermal </w:t>
      </w:r>
      <w:r w:rsidR="005A7AD9">
        <w:t>quench</w:t>
      </w:r>
      <w:r w:rsidR="00B1340E" w:rsidRPr="00B1340E">
        <w:t xml:space="preserve">. For the intermediate </w:t>
      </w:r>
      <w:r w:rsidR="00B1340E" w:rsidRPr="00825BE0">
        <w:rPr>
          <w:rFonts w:ascii="Symbol" w:hAnsi="Symbol"/>
          <w:i/>
        </w:rPr>
        <w:t></w:t>
      </w:r>
      <w:r w:rsidR="0081313E">
        <w:t xml:space="preserve">, </w:t>
      </w:r>
      <w:r w:rsidR="00B1340E" w:rsidRPr="00B1340E">
        <w:t xml:space="preserve">a significant offset from the isothermal values </w:t>
      </w:r>
      <w:r w:rsidR="0081313E">
        <w:t xml:space="preserve">was found, </w:t>
      </w:r>
      <w:r w:rsidR="005A7AD9">
        <w:t>attributed to the</w:t>
      </w:r>
      <w:r w:rsidR="005A7AD9" w:rsidRPr="005A7AD9">
        <w:t xml:space="preserve"> plethora of rates contribut</w:t>
      </w:r>
      <w:r w:rsidR="005A7AD9">
        <w:t xml:space="preserve">ing across a broad </w:t>
      </w:r>
      <w:r w:rsidR="005A7AD9" w:rsidRPr="005A7AD9">
        <w:rPr>
          <w:i/>
        </w:rPr>
        <w:t xml:space="preserve">T </w:t>
      </w:r>
      <w:r w:rsidR="005A7AD9">
        <w:t>range</w:t>
      </w:r>
      <w:r w:rsidR="00A665CF">
        <w:t>.</w:t>
      </w:r>
    </w:p>
    <w:p w14:paraId="4A714C5B" w14:textId="0E9BC97C" w:rsidR="002D27E2" w:rsidRPr="00EE6F83" w:rsidRDefault="00404371" w:rsidP="00DD300C">
      <w:pPr>
        <w:pStyle w:val="TAMainText"/>
      </w:pPr>
      <w:r w:rsidRPr="00825BE0">
        <w:t xml:space="preserve">The dependence of the </w:t>
      </w:r>
      <w:r w:rsidRPr="00BB2F80">
        <w:t xml:space="preserve">metastable zone width (MSZW) with </w:t>
      </w:r>
      <w:r w:rsidRPr="00BB2F80">
        <w:rPr>
          <w:rFonts w:ascii="Symbol" w:hAnsi="Symbol"/>
          <w:i/>
        </w:rPr>
        <w:t></w:t>
      </w:r>
      <w:r w:rsidRPr="00BB2F80">
        <w:t xml:space="preserve"> was quantified using the polythermal method</w:t>
      </w:r>
      <w:r w:rsidR="00BA68D6" w:rsidRPr="00BB2F80">
        <w:t xml:space="preserve"> and the</w:t>
      </w:r>
      <w:r w:rsidR="00B46FB4" w:rsidRPr="00BB2F80">
        <w:t xml:space="preserve"> Nývlt equation to give</w:t>
      </w:r>
      <w:r w:rsidR="00336BA9" w:rsidRPr="00BB2F80">
        <w:t xml:space="preserve"> </w:t>
      </w:r>
      <w:r w:rsidR="00336BA9">
        <w:t xml:space="preserve">a </w:t>
      </w:r>
      <w:r w:rsidR="00305388">
        <w:t xml:space="preserve">rate dependent </w:t>
      </w:r>
      <w:r w:rsidR="00336BA9">
        <w:t xml:space="preserve">MSZW between </w:t>
      </w:r>
      <w:r w:rsidR="00336BA9" w:rsidRPr="00573559">
        <w:t>≈</w:t>
      </w:r>
      <w:r w:rsidR="00336BA9">
        <w:t xml:space="preserve"> </w:t>
      </w:r>
      <w:r w:rsidR="00336BA9" w:rsidRPr="00336BA9">
        <w:t>1</w:t>
      </w:r>
      <w:r w:rsidR="000E32A0">
        <w:t>3</w:t>
      </w:r>
      <w:r w:rsidR="00336BA9" w:rsidRPr="00336BA9">
        <w:t>.</w:t>
      </w:r>
      <w:r w:rsidR="00410880">
        <w:t>9</w:t>
      </w:r>
      <w:r w:rsidR="00336BA9" w:rsidRPr="00336BA9">
        <w:t xml:space="preserve"> to 2</w:t>
      </w:r>
      <w:r w:rsidR="000E32A0">
        <w:t>1</w:t>
      </w:r>
      <w:r w:rsidR="00336BA9" w:rsidRPr="00336BA9">
        <w:t>.</w:t>
      </w:r>
      <w:r w:rsidR="00410880">
        <w:t>2</w:t>
      </w:r>
      <w:r w:rsidR="00336BA9">
        <w:t xml:space="preserve"> </w:t>
      </w:r>
      <w:r w:rsidR="00336BA9">
        <w:rPr>
          <w:rFonts w:ascii="Calibri" w:hAnsi="Calibri"/>
        </w:rPr>
        <w:t>°</w:t>
      </w:r>
      <w:r w:rsidR="00336BA9">
        <w:t xml:space="preserve">C for </w:t>
      </w:r>
      <w:r w:rsidR="00336BA9" w:rsidRPr="00DE4EE2">
        <w:rPr>
          <w:rFonts w:ascii="Symbol" w:hAnsi="Symbol"/>
          <w:i/>
        </w:rPr>
        <w:t></w:t>
      </w:r>
      <w:r w:rsidR="00336BA9">
        <w:rPr>
          <w:rFonts w:cstheme="majorHAnsi"/>
        </w:rPr>
        <w:t xml:space="preserve"> = </w:t>
      </w:r>
      <w:r w:rsidR="00336BA9">
        <w:t xml:space="preserve">0.1 to 10 </w:t>
      </w:r>
      <w:r w:rsidR="00336BA9">
        <w:rPr>
          <w:rFonts w:ascii="Calibri" w:hAnsi="Calibri"/>
        </w:rPr>
        <w:t>°</w:t>
      </w:r>
      <w:r w:rsidR="00336BA9">
        <w:t>C min</w:t>
      </w:r>
      <w:r w:rsidR="00336BA9" w:rsidRPr="006012F0">
        <w:rPr>
          <w:vertAlign w:val="superscript"/>
        </w:rPr>
        <w:t>-1</w:t>
      </w:r>
      <w:r w:rsidR="00336BA9">
        <w:t xml:space="preserve"> and</w:t>
      </w:r>
      <w:r w:rsidR="00BA68D6">
        <w:t xml:space="preserve"> </w:t>
      </w:r>
      <w:r w:rsidR="00B46FB4" w:rsidRPr="00573559">
        <w:rPr>
          <w:i/>
        </w:rPr>
        <w:t>m</w:t>
      </w:r>
      <w:r w:rsidR="00B46FB4" w:rsidRPr="00573559">
        <w:t xml:space="preserve"> ≈ 11.</w:t>
      </w:r>
      <w:r w:rsidR="000E32A0">
        <w:t>1</w:t>
      </w:r>
      <w:r w:rsidR="00B46FB4" w:rsidRPr="00573559">
        <w:t>.</w:t>
      </w:r>
      <w:r>
        <w:t xml:space="preserve"> The overall crystallization kinetics were </w:t>
      </w:r>
      <w:r w:rsidR="003C4F9E">
        <w:t xml:space="preserve">found to be </w:t>
      </w:r>
      <w:r>
        <w:t xml:space="preserve">well parameterized </w:t>
      </w:r>
      <w:r w:rsidR="00800E13">
        <w:t>using</w:t>
      </w:r>
      <w:r>
        <w:t xml:space="preserve"> a generalized Avrami model, with dimensionality </w:t>
      </w:r>
      <w:r>
        <w:rPr>
          <w:i/>
        </w:rPr>
        <w:t>n</w:t>
      </w:r>
      <w:r w:rsidR="00B46FB4">
        <w:t xml:space="preserve"> </w:t>
      </w:r>
      <w:r w:rsidR="00B46FB4" w:rsidRPr="00573559">
        <w:t>≈</w:t>
      </w:r>
      <w:r w:rsidR="00B46FB4">
        <w:t xml:space="preserve"> </w:t>
      </w:r>
      <w:r>
        <w:t>2.</w:t>
      </w:r>
      <w:r w:rsidR="00B46FB4">
        <w:t>6</w:t>
      </w:r>
      <w:r>
        <w:t xml:space="preserve"> a</w:t>
      </w:r>
      <w:r w:rsidR="00B46FB4">
        <w:t>nd a</w:t>
      </w:r>
      <w:r w:rsidRPr="006F7391">
        <w:rPr>
          <w:rFonts w:ascii="Symbol" w:hAnsi="Symbol"/>
          <w:i/>
        </w:rPr>
        <w:t></w:t>
      </w:r>
      <w:r w:rsidRPr="006F7391">
        <w:rPr>
          <w:rFonts w:ascii="Symbol" w:hAnsi="Symbol"/>
          <w:i/>
        </w:rPr>
        <w:t></w:t>
      </w:r>
      <w:r w:rsidR="003C4F9E">
        <w:t>-</w:t>
      </w:r>
      <w:r>
        <w:t xml:space="preserve">dependent </w:t>
      </w:r>
      <w:r w:rsidRPr="006F7391">
        <w:rPr>
          <w:i/>
        </w:rPr>
        <w:t>K</w:t>
      </w:r>
      <w:r w:rsidR="003C4F9E">
        <w:t xml:space="preserve">, while </w:t>
      </w:r>
      <w:r w:rsidR="00800E13">
        <w:t>t</w:t>
      </w:r>
      <w:r w:rsidRPr="006F7391">
        <w:t>he activation energy</w:t>
      </w:r>
      <w:r w:rsidR="005F2278">
        <w:t xml:space="preserve"> was</w:t>
      </w:r>
      <w:r w:rsidRPr="006F7391">
        <w:t xml:space="preserve"> </w:t>
      </w:r>
      <w:r>
        <w:t xml:space="preserve">determined from the </w:t>
      </w:r>
      <w:r w:rsidRPr="006F7391">
        <w:t>Kissinger equation</w:t>
      </w:r>
      <w:r>
        <w:t xml:space="preserve"> </w:t>
      </w:r>
      <w:r w:rsidR="003C4F9E">
        <w:t>to be</w:t>
      </w:r>
      <w:r>
        <w:t xml:space="preserve"> </w:t>
      </w:r>
      <w:r>
        <w:rPr>
          <w:i/>
        </w:rPr>
        <w:t>E</w:t>
      </w:r>
      <w:r>
        <w:t xml:space="preserve"> ≈ </w:t>
      </w:r>
      <w:r w:rsidRPr="00580969">
        <w:rPr>
          <w:rFonts w:eastAsiaTheme="minorEastAsia"/>
        </w:rPr>
        <w:t>272 ± 8</w:t>
      </w:r>
      <w:r w:rsidRPr="007250BC">
        <w:rPr>
          <w:rFonts w:eastAsiaTheme="minorEastAsia"/>
        </w:rPr>
        <w:t xml:space="preserve"> </w:t>
      </w:r>
      <w:r w:rsidRPr="00E933F1">
        <w:rPr>
          <w:rFonts w:eastAsiaTheme="minorEastAsia"/>
        </w:rPr>
        <w:t>kJ mol</w:t>
      </w:r>
      <w:r w:rsidRPr="00E933F1">
        <w:rPr>
          <w:rFonts w:eastAsiaTheme="minorEastAsia"/>
          <w:vertAlign w:val="superscript"/>
        </w:rPr>
        <w:t>-1</w:t>
      </w:r>
      <w:r>
        <w:t xml:space="preserve">. Overall, the combined effects of rate and final temperature, instead of just the latter, are found to determine the crystalline </w:t>
      </w:r>
      <w:r w:rsidR="008E2F31">
        <w:t>habit</w:t>
      </w:r>
      <w:r w:rsidR="00410880">
        <w:t>s</w:t>
      </w:r>
      <w:r>
        <w:t xml:space="preserve"> and kinetics of the ubiquitous SDS-H</w:t>
      </w:r>
      <w:r w:rsidRPr="00DA563C">
        <w:rPr>
          <w:vertAlign w:val="subscript"/>
        </w:rPr>
        <w:t>2</w:t>
      </w:r>
      <w:r>
        <w:t xml:space="preserve">O system, with important consequences for most practically relevant temperature gradients in </w:t>
      </w:r>
      <w:r w:rsidR="008E2F31">
        <w:t xml:space="preserve">both </w:t>
      </w:r>
      <w:r>
        <w:t>industry and academia.</w:t>
      </w:r>
    </w:p>
    <w:p w14:paraId="5EB4E8D2" w14:textId="71F58C7E" w:rsidR="00BC7C7D" w:rsidRDefault="00BC7C7D" w:rsidP="00DD300C">
      <w:pPr>
        <w:pStyle w:val="TAMainText"/>
      </w:pPr>
    </w:p>
    <w:p w14:paraId="43C075FF" w14:textId="77777777" w:rsidR="007656DF" w:rsidRPr="007250BC" w:rsidRDefault="007656DF" w:rsidP="00DD300C">
      <w:pPr>
        <w:pStyle w:val="TAMainText"/>
      </w:pPr>
    </w:p>
    <w:p w14:paraId="44CA84DE" w14:textId="77777777" w:rsidR="00DD300C" w:rsidRPr="006E5F05" w:rsidRDefault="00DD300C" w:rsidP="00DD300C">
      <w:pPr>
        <w:pStyle w:val="TESupportingInformation"/>
        <w:ind w:firstLine="0"/>
        <w:rPr>
          <w:b/>
        </w:rPr>
      </w:pPr>
      <w:r>
        <w:rPr>
          <w:b/>
        </w:rPr>
        <w:t>ASSOCIATED CONTENT</w:t>
      </w:r>
    </w:p>
    <w:p w14:paraId="28580BBF" w14:textId="77777777" w:rsidR="00DD300C" w:rsidRPr="00A607A4" w:rsidRDefault="00DD300C" w:rsidP="00DD300C">
      <w:pPr>
        <w:pStyle w:val="TESupportingInformation"/>
        <w:ind w:firstLine="0"/>
        <w:rPr>
          <w:b/>
        </w:rPr>
      </w:pPr>
      <w:r w:rsidRPr="00A607A4">
        <w:rPr>
          <w:b/>
        </w:rPr>
        <w:t>Supporting information</w:t>
      </w:r>
    </w:p>
    <w:p w14:paraId="5BE1CD54" w14:textId="48FB559B" w:rsidR="00C42C08" w:rsidRPr="00A41F97" w:rsidRDefault="0052738A" w:rsidP="00DD300C">
      <w:pPr>
        <w:pStyle w:val="TESupportingInformation"/>
      </w:pPr>
      <w:r>
        <w:lastRenderedPageBreak/>
        <w:t xml:space="preserve">Image analysis procedure; </w:t>
      </w:r>
      <w:r w:rsidR="00152E57">
        <w:t>a</w:t>
      </w:r>
      <w:r w:rsidR="00655324">
        <w:t>dditional nucleation, morphology and crystallization kinetics data;</w:t>
      </w:r>
      <w:r>
        <w:t xml:space="preserve"> ATR-FTIR </w:t>
      </w:r>
      <w:r w:rsidRPr="0052738A">
        <w:t>spectra</w:t>
      </w:r>
      <w:r>
        <w:t>,</w:t>
      </w:r>
      <w:r w:rsidR="00655324">
        <w:t xml:space="preserve"> DSC traces and </w:t>
      </w:r>
      <w:r w:rsidR="00C42C08">
        <w:t xml:space="preserve">additional crystallization fits. </w:t>
      </w:r>
    </w:p>
    <w:p w14:paraId="34592B60" w14:textId="77777777" w:rsidR="00C42C08" w:rsidRDefault="00C42C08" w:rsidP="00DD300C">
      <w:pPr>
        <w:pStyle w:val="TESupportingInformation"/>
      </w:pPr>
    </w:p>
    <w:p w14:paraId="6B2FF68D" w14:textId="77777777" w:rsidR="008F5D3F" w:rsidRDefault="008F5D3F" w:rsidP="00A665CF"/>
    <w:p w14:paraId="2A126B0C" w14:textId="77777777" w:rsidR="008F5D3F" w:rsidRDefault="008F5D3F" w:rsidP="00A665CF"/>
    <w:p w14:paraId="1FA16D86" w14:textId="77777777" w:rsidR="008F5D3F" w:rsidRPr="008F5D3F" w:rsidRDefault="008F5D3F" w:rsidP="00A665CF"/>
    <w:p w14:paraId="5E8A0DCB" w14:textId="77777777" w:rsidR="00DD300C" w:rsidRPr="00171982" w:rsidRDefault="00DD300C" w:rsidP="00DD300C">
      <w:pPr>
        <w:pStyle w:val="FACorrespondingAuthorFootnote"/>
        <w:rPr>
          <w:b/>
        </w:rPr>
      </w:pPr>
      <w:r>
        <w:rPr>
          <w:b/>
        </w:rPr>
        <w:t>AUTHOR INFORMATION</w:t>
      </w:r>
    </w:p>
    <w:p w14:paraId="713FFA8A" w14:textId="77777777" w:rsidR="00DD300C" w:rsidRPr="001A4C6D" w:rsidRDefault="00DD300C" w:rsidP="00DD300C">
      <w:pPr>
        <w:pStyle w:val="FACorrespondingAuthorFootnote"/>
        <w:rPr>
          <w:b/>
        </w:rPr>
      </w:pPr>
      <w:r w:rsidRPr="001A4C6D">
        <w:rPr>
          <w:b/>
        </w:rPr>
        <w:t>Corresponding Author</w:t>
      </w:r>
    </w:p>
    <w:p w14:paraId="6F6B2704" w14:textId="77777777" w:rsidR="00655324" w:rsidRPr="00171982" w:rsidRDefault="00655324" w:rsidP="00DD300C">
      <w:pPr>
        <w:pStyle w:val="FACorrespondingAuthorFootnote"/>
      </w:pPr>
      <w:r w:rsidRPr="00171982">
        <w:t>*E-mail: j.cabral@imperial.ac.uk</w:t>
      </w:r>
    </w:p>
    <w:p w14:paraId="1F3FBFB9" w14:textId="77777777" w:rsidR="00DD300C" w:rsidRPr="001A4C6D" w:rsidRDefault="00DD300C" w:rsidP="00DD300C">
      <w:pPr>
        <w:pStyle w:val="FACorrespondingAuthorFootnote"/>
        <w:rPr>
          <w:b/>
        </w:rPr>
      </w:pPr>
      <w:r w:rsidRPr="001A4C6D">
        <w:rPr>
          <w:b/>
        </w:rPr>
        <w:t>Author contributions</w:t>
      </w:r>
    </w:p>
    <w:p w14:paraId="2F9BB88D" w14:textId="4BA11ABB" w:rsidR="001F68EC" w:rsidRPr="001F68EC" w:rsidRDefault="001F68EC" w:rsidP="00DD300C">
      <w:pPr>
        <w:pStyle w:val="FACorrespondingAuthorFootnote"/>
      </w:pPr>
      <w:r w:rsidRPr="001F68EC">
        <w:t>The manuscript was written through contributions of all authors. All authors have given approval to the final version of the manuscript.</w:t>
      </w:r>
    </w:p>
    <w:p w14:paraId="16103A2B" w14:textId="77777777" w:rsidR="00DD300C" w:rsidRPr="001A4C6D" w:rsidRDefault="00DD300C" w:rsidP="00DD300C">
      <w:pPr>
        <w:pStyle w:val="FACorrespondingAuthorFootnote"/>
        <w:rPr>
          <w:b/>
        </w:rPr>
      </w:pPr>
      <w:r w:rsidRPr="001A4C6D">
        <w:rPr>
          <w:b/>
        </w:rPr>
        <w:t>Notes</w:t>
      </w:r>
    </w:p>
    <w:p w14:paraId="24882978" w14:textId="77777777" w:rsidR="00655324" w:rsidRPr="00171982" w:rsidRDefault="00655324" w:rsidP="00DD300C">
      <w:pPr>
        <w:pStyle w:val="FACorrespondingAuthorFootnote"/>
      </w:pPr>
      <w:r w:rsidRPr="00171982">
        <w:t>The authors declare no competing financial interest.</w:t>
      </w:r>
    </w:p>
    <w:p w14:paraId="7DB3F91D" w14:textId="77777777" w:rsidR="00DD300C" w:rsidRPr="00171982" w:rsidRDefault="00DD300C" w:rsidP="00DD300C">
      <w:pPr>
        <w:pStyle w:val="TDAcknowledgments"/>
        <w:ind w:firstLine="0"/>
        <w:rPr>
          <w:b/>
        </w:rPr>
      </w:pPr>
      <w:r w:rsidRPr="00171982">
        <w:rPr>
          <w:b/>
        </w:rPr>
        <w:t>Acknowledgements</w:t>
      </w:r>
    </w:p>
    <w:p w14:paraId="7C3380FE" w14:textId="4FD8B0DF" w:rsidR="00427E8B" w:rsidRPr="00A41F97" w:rsidRDefault="00427E8B" w:rsidP="00065A06">
      <w:pPr>
        <w:pStyle w:val="TDAcknowledgments"/>
      </w:pPr>
      <w:r w:rsidRPr="00A41F97">
        <w:t xml:space="preserve">We thank the Engineering and Physical Sciences Research Council (EPSRC), Institute of Chemical Biology and The Procter &amp; Gamble Company (P&amp;G) for a PhD studentship for RMM. </w:t>
      </w:r>
      <w:r w:rsidR="00065A06">
        <w:t xml:space="preserve">JC thanks EPSRC for financial support EP/L020564/1. </w:t>
      </w:r>
      <w:r w:rsidRPr="00A41F97">
        <w:t>We are grateful to</w:t>
      </w:r>
      <w:r>
        <w:t xml:space="preserve"> Andreas S. Poulos and </w:t>
      </w:r>
      <w:r w:rsidRPr="00A51187">
        <w:t>Fabrizia</w:t>
      </w:r>
      <w:r>
        <w:t xml:space="preserve"> </w:t>
      </w:r>
      <w:r w:rsidRPr="00A51187">
        <w:t>Foglia</w:t>
      </w:r>
      <w:r>
        <w:t xml:space="preserve"> for helpful </w:t>
      </w:r>
      <w:r w:rsidR="00E12AF8">
        <w:t>discussions</w:t>
      </w:r>
      <w:r>
        <w:t xml:space="preserve"> and</w:t>
      </w:r>
      <w:r w:rsidRPr="00A41F97">
        <w:t xml:space="preserve"> </w:t>
      </w:r>
      <w:r w:rsidR="00527B9A">
        <w:t xml:space="preserve">to </w:t>
      </w:r>
      <w:r w:rsidRPr="00A41F97">
        <w:t>Patricia Carry for use of the DSC.</w:t>
      </w:r>
      <w:r w:rsidR="00FF42BF" w:rsidRPr="00FF42BF">
        <w:t xml:space="preserve"> Data </w:t>
      </w:r>
      <w:r w:rsidR="00A665CF">
        <w:t>are</w:t>
      </w:r>
      <w:r w:rsidR="00FF42BF" w:rsidRPr="00FF42BF">
        <w:t xml:space="preserve"> available on request: please contact polymer-microfluidics@imperial.ac.uk.</w:t>
      </w:r>
    </w:p>
    <w:p w14:paraId="788E3C74" w14:textId="77777777" w:rsidR="008C6000" w:rsidRDefault="008C6000" w:rsidP="00771084">
      <w:pPr>
        <w:pStyle w:val="TDAcknowledgments"/>
      </w:pPr>
    </w:p>
    <w:p w14:paraId="4F3877D0" w14:textId="77777777" w:rsidR="008F5D3F" w:rsidRPr="008F5D3F" w:rsidRDefault="008F5D3F" w:rsidP="00A665CF"/>
    <w:p w14:paraId="3FB97FE9" w14:textId="1F7BDFEB" w:rsidR="00CA6804" w:rsidRDefault="009769EB" w:rsidP="0075635D">
      <w:pPr>
        <w:pStyle w:val="TFReferencesSection"/>
        <w:ind w:firstLine="0"/>
      </w:pPr>
      <w:r>
        <w:rPr>
          <w:b/>
        </w:rPr>
        <w:t>REFERENCES</w:t>
      </w:r>
    </w:p>
    <w:p w14:paraId="5AB7BDE8"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Kind, M. </w:t>
      </w:r>
      <w:r w:rsidRPr="0075635D">
        <w:rPr>
          <w:rFonts w:cs="Times"/>
          <w:i/>
          <w:szCs w:val="24"/>
        </w:rPr>
        <w:t>Chem. Eng. Process</w:t>
      </w:r>
      <w:r w:rsidRPr="0075635D">
        <w:rPr>
          <w:rFonts w:cs="Times"/>
          <w:szCs w:val="24"/>
        </w:rPr>
        <w:t xml:space="preserve"> </w:t>
      </w:r>
      <w:r w:rsidRPr="0075635D">
        <w:rPr>
          <w:rFonts w:cs="Times"/>
          <w:b/>
          <w:szCs w:val="24"/>
        </w:rPr>
        <w:t>1999</w:t>
      </w:r>
      <w:r w:rsidRPr="0075635D">
        <w:rPr>
          <w:rFonts w:cs="Times"/>
          <w:szCs w:val="24"/>
        </w:rPr>
        <w:t xml:space="preserve">, </w:t>
      </w:r>
      <w:r w:rsidRPr="0075635D">
        <w:rPr>
          <w:rFonts w:cs="Times"/>
          <w:i/>
          <w:szCs w:val="24"/>
        </w:rPr>
        <w:t>38</w:t>
      </w:r>
      <w:r w:rsidRPr="0075635D">
        <w:rPr>
          <w:rFonts w:cs="Times"/>
          <w:szCs w:val="24"/>
        </w:rPr>
        <w:t>, 405–410.</w:t>
      </w:r>
    </w:p>
    <w:p w14:paraId="55FD477E"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Chappat, M. </w:t>
      </w:r>
      <w:r w:rsidRPr="0075635D">
        <w:rPr>
          <w:rFonts w:cs="Times"/>
          <w:i/>
          <w:iCs/>
          <w:szCs w:val="24"/>
        </w:rPr>
        <w:t>Colloids Surf., A.</w:t>
      </w:r>
      <w:r w:rsidRPr="0075635D">
        <w:rPr>
          <w:rFonts w:cs="Times"/>
          <w:szCs w:val="24"/>
        </w:rPr>
        <w:t xml:space="preserve"> </w:t>
      </w:r>
      <w:r w:rsidRPr="0075635D">
        <w:rPr>
          <w:rFonts w:cs="Times"/>
          <w:b/>
          <w:szCs w:val="24"/>
        </w:rPr>
        <w:t>1994</w:t>
      </w:r>
      <w:r w:rsidRPr="0075635D">
        <w:rPr>
          <w:rFonts w:cs="Times"/>
          <w:szCs w:val="24"/>
        </w:rPr>
        <w:t xml:space="preserve">, </w:t>
      </w:r>
      <w:r w:rsidRPr="0075635D">
        <w:rPr>
          <w:rFonts w:cs="Times"/>
          <w:bCs/>
          <w:i/>
          <w:szCs w:val="24"/>
        </w:rPr>
        <w:t>91</w:t>
      </w:r>
      <w:r w:rsidRPr="0075635D">
        <w:rPr>
          <w:rFonts w:cs="Times"/>
          <w:szCs w:val="24"/>
        </w:rPr>
        <w:t>, 57–77.</w:t>
      </w:r>
    </w:p>
    <w:p w14:paraId="70ACA149"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Hargreaves, A. E. </w:t>
      </w:r>
      <w:r w:rsidRPr="0075635D">
        <w:rPr>
          <w:rFonts w:cs="Times"/>
          <w:i/>
          <w:szCs w:val="24"/>
        </w:rPr>
        <w:t>Chemical Formulation: An Overview of Surfactant-Based Preparations Used in Everyday Life</w:t>
      </w:r>
      <w:r w:rsidRPr="0075635D">
        <w:rPr>
          <w:rFonts w:cs="Times"/>
          <w:szCs w:val="24"/>
        </w:rPr>
        <w:t>; Royal Society of Chemistry: Cambridge, U.K., 2003.</w:t>
      </w:r>
    </w:p>
    <w:p w14:paraId="11F534C4"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Wibowo, C.; Ng, K. M. </w:t>
      </w:r>
      <w:r w:rsidRPr="0075635D">
        <w:rPr>
          <w:rFonts w:cs="Times"/>
          <w:i/>
          <w:szCs w:val="24"/>
        </w:rPr>
        <w:t>AIChE J.</w:t>
      </w:r>
      <w:r w:rsidRPr="0075635D">
        <w:rPr>
          <w:rFonts w:cs="Times"/>
          <w:szCs w:val="24"/>
        </w:rPr>
        <w:t xml:space="preserve"> </w:t>
      </w:r>
      <w:r w:rsidRPr="0075635D">
        <w:rPr>
          <w:rFonts w:cs="Times"/>
          <w:b/>
          <w:szCs w:val="24"/>
        </w:rPr>
        <w:t>2001</w:t>
      </w:r>
      <w:r w:rsidRPr="0075635D">
        <w:rPr>
          <w:rFonts w:cs="Times"/>
          <w:szCs w:val="24"/>
        </w:rPr>
        <w:t xml:space="preserve">, </w:t>
      </w:r>
      <w:r w:rsidRPr="0075635D">
        <w:rPr>
          <w:rFonts w:cs="Times"/>
          <w:i/>
          <w:szCs w:val="24"/>
        </w:rPr>
        <w:t>47</w:t>
      </w:r>
      <w:r w:rsidRPr="0075635D">
        <w:rPr>
          <w:rFonts w:cs="Times"/>
          <w:szCs w:val="24"/>
        </w:rPr>
        <w:t>, 2746–2767.</w:t>
      </w:r>
    </w:p>
    <w:p w14:paraId="3C637430"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Tadros, T. F. </w:t>
      </w:r>
      <w:r w:rsidRPr="0075635D">
        <w:rPr>
          <w:rFonts w:cs="Times"/>
          <w:i/>
          <w:szCs w:val="24"/>
        </w:rPr>
        <w:t>Int. J. Cosmet. Sci.</w:t>
      </w:r>
      <w:r w:rsidRPr="0075635D">
        <w:rPr>
          <w:rFonts w:cs="Times"/>
          <w:szCs w:val="24"/>
        </w:rPr>
        <w:t xml:space="preserve"> </w:t>
      </w:r>
      <w:r w:rsidRPr="0075635D">
        <w:rPr>
          <w:rFonts w:cs="Times"/>
          <w:b/>
          <w:szCs w:val="24"/>
        </w:rPr>
        <w:t>1992</w:t>
      </w:r>
      <w:r w:rsidRPr="0075635D">
        <w:rPr>
          <w:rFonts w:cs="Times"/>
          <w:szCs w:val="24"/>
        </w:rPr>
        <w:t xml:space="preserve">, </w:t>
      </w:r>
      <w:r w:rsidRPr="0075635D">
        <w:rPr>
          <w:rFonts w:cs="Times"/>
          <w:i/>
          <w:szCs w:val="24"/>
        </w:rPr>
        <w:t>14</w:t>
      </w:r>
      <w:r w:rsidRPr="0075635D">
        <w:rPr>
          <w:rFonts w:cs="Times"/>
          <w:szCs w:val="24"/>
        </w:rPr>
        <w:t>, 93–111.</w:t>
      </w:r>
    </w:p>
    <w:p w14:paraId="4E6D2A55" w14:textId="77777777" w:rsidR="004604AD" w:rsidRPr="0075635D" w:rsidRDefault="004604AD" w:rsidP="0075635D">
      <w:pPr>
        <w:pStyle w:val="TFReferencesSection"/>
        <w:numPr>
          <w:ilvl w:val="0"/>
          <w:numId w:val="14"/>
        </w:numPr>
        <w:rPr>
          <w:rFonts w:cs="Times"/>
          <w:szCs w:val="24"/>
        </w:rPr>
      </w:pPr>
      <w:r w:rsidRPr="0075635D">
        <w:rPr>
          <w:rFonts w:cs="Times"/>
          <w:szCs w:val="24"/>
        </w:rPr>
        <w:t xml:space="preserve">Stahly, G. P. </w:t>
      </w:r>
      <w:r w:rsidRPr="0075635D">
        <w:rPr>
          <w:rFonts w:cs="Times"/>
          <w:i/>
          <w:szCs w:val="24"/>
        </w:rPr>
        <w:t>Cryst. Growth Des.</w:t>
      </w:r>
      <w:r w:rsidRPr="0075635D">
        <w:rPr>
          <w:rFonts w:cs="Times"/>
          <w:szCs w:val="24"/>
        </w:rPr>
        <w:t xml:space="preserve"> </w:t>
      </w:r>
      <w:r w:rsidRPr="0075635D">
        <w:rPr>
          <w:rFonts w:cs="Times"/>
          <w:b/>
          <w:szCs w:val="24"/>
        </w:rPr>
        <w:t>2007</w:t>
      </w:r>
      <w:r w:rsidRPr="0075635D">
        <w:rPr>
          <w:rFonts w:cs="Times"/>
          <w:szCs w:val="24"/>
        </w:rPr>
        <w:t xml:space="preserve">, </w:t>
      </w:r>
      <w:r w:rsidRPr="0075635D">
        <w:rPr>
          <w:rFonts w:cs="Times"/>
          <w:i/>
          <w:szCs w:val="24"/>
        </w:rPr>
        <w:t>7</w:t>
      </w:r>
      <w:r w:rsidRPr="0075635D">
        <w:rPr>
          <w:rFonts w:cs="Times"/>
          <w:szCs w:val="24"/>
        </w:rPr>
        <w:t>, 1007–1026.</w:t>
      </w:r>
    </w:p>
    <w:p w14:paraId="4CAC38E1" w14:textId="77777777" w:rsidR="00BE43FE" w:rsidRPr="0075635D" w:rsidRDefault="00BE43FE" w:rsidP="0075635D">
      <w:pPr>
        <w:pStyle w:val="TFReferencesSection"/>
        <w:numPr>
          <w:ilvl w:val="0"/>
          <w:numId w:val="14"/>
        </w:numPr>
        <w:rPr>
          <w:rFonts w:cs="Times"/>
          <w:szCs w:val="24"/>
        </w:rPr>
      </w:pPr>
      <w:r w:rsidRPr="0075635D">
        <w:rPr>
          <w:rFonts w:cs="Times"/>
          <w:szCs w:val="24"/>
        </w:rPr>
        <w:t xml:space="preserve">Lee, A. Y.; Erdemir, D.; Myerson, A.S. </w:t>
      </w:r>
      <w:r w:rsidRPr="0075635D">
        <w:rPr>
          <w:rFonts w:cs="Times"/>
          <w:i/>
          <w:szCs w:val="24"/>
        </w:rPr>
        <w:t>Annu. Rev. Chem. Biomol. Eng.</w:t>
      </w:r>
      <w:r w:rsidRPr="0075635D">
        <w:rPr>
          <w:rFonts w:cs="Times"/>
          <w:b/>
          <w:szCs w:val="24"/>
        </w:rPr>
        <w:t xml:space="preserve"> 2011</w:t>
      </w:r>
      <w:r w:rsidRPr="0075635D">
        <w:rPr>
          <w:rFonts w:cs="Times"/>
          <w:szCs w:val="24"/>
        </w:rPr>
        <w:t xml:space="preserve">, </w:t>
      </w:r>
      <w:r w:rsidRPr="0075635D">
        <w:rPr>
          <w:rFonts w:cs="Times"/>
          <w:i/>
          <w:szCs w:val="24"/>
        </w:rPr>
        <w:t>2</w:t>
      </w:r>
      <w:r w:rsidRPr="0075635D">
        <w:rPr>
          <w:rFonts w:cs="Times"/>
          <w:szCs w:val="24"/>
        </w:rPr>
        <w:t>, 259–280.</w:t>
      </w:r>
    </w:p>
    <w:p w14:paraId="642DCBCD" w14:textId="21FD90C5" w:rsidR="00BE43FE" w:rsidRPr="0075635D" w:rsidRDefault="00BE43FE" w:rsidP="0075635D">
      <w:pPr>
        <w:pStyle w:val="TFReferencesSection"/>
        <w:numPr>
          <w:ilvl w:val="0"/>
          <w:numId w:val="14"/>
        </w:numPr>
        <w:rPr>
          <w:rFonts w:cs="Times"/>
          <w:szCs w:val="24"/>
        </w:rPr>
      </w:pPr>
      <w:r w:rsidRPr="0075635D">
        <w:rPr>
          <w:rFonts w:cs="Times"/>
          <w:szCs w:val="24"/>
        </w:rPr>
        <w:t>Weather Online. http://www.weatheronline.co.uk (accessed 14 March, 2016).</w:t>
      </w:r>
      <w:r w:rsidR="00290E7E" w:rsidRPr="0075635D">
        <w:rPr>
          <w:rFonts w:cs="Times"/>
          <w:szCs w:val="24"/>
        </w:rPr>
        <w:t xml:space="preserve"> </w:t>
      </w:r>
      <w:r w:rsidR="00CA35FC" w:rsidRPr="0075635D">
        <w:rPr>
          <w:rFonts w:cs="Times"/>
          <w:szCs w:val="24"/>
        </w:rPr>
        <w:t>Based on</w:t>
      </w:r>
      <w:r w:rsidRPr="0075635D">
        <w:rPr>
          <w:rFonts w:cs="Times"/>
          <w:szCs w:val="24"/>
        </w:rPr>
        <w:t xml:space="preserve"> temperature data for Northolt (U</w:t>
      </w:r>
      <w:r w:rsidR="00290E7E" w:rsidRPr="0075635D">
        <w:rPr>
          <w:rFonts w:cs="Times"/>
          <w:szCs w:val="24"/>
        </w:rPr>
        <w:t>K</w:t>
      </w:r>
      <w:r w:rsidRPr="0075635D">
        <w:rPr>
          <w:rFonts w:cs="Times"/>
          <w:szCs w:val="24"/>
        </w:rPr>
        <w:t>), Krasnoufimsk (Russia), Orange County (US); for 1</w:t>
      </w:r>
      <w:r w:rsidR="00290E7E" w:rsidRPr="0075635D">
        <w:rPr>
          <w:rFonts w:cs="Times"/>
          <w:szCs w:val="24"/>
          <w:vertAlign w:val="superscript"/>
        </w:rPr>
        <w:t>st</w:t>
      </w:r>
      <w:r w:rsidR="00290E7E" w:rsidRPr="0075635D">
        <w:rPr>
          <w:rFonts w:cs="Times"/>
          <w:szCs w:val="24"/>
        </w:rPr>
        <w:t xml:space="preserve"> </w:t>
      </w:r>
      <w:r w:rsidRPr="0075635D">
        <w:rPr>
          <w:rFonts w:cs="Times"/>
          <w:szCs w:val="24"/>
        </w:rPr>
        <w:t>January</w:t>
      </w:r>
      <w:r w:rsidR="00290E7E" w:rsidRPr="0075635D">
        <w:rPr>
          <w:rFonts w:cs="Times"/>
          <w:szCs w:val="24"/>
        </w:rPr>
        <w:t>, April, July and October</w:t>
      </w:r>
      <w:r w:rsidRPr="0075635D">
        <w:rPr>
          <w:rFonts w:cs="Times"/>
          <w:szCs w:val="24"/>
        </w:rPr>
        <w:t xml:space="preserve"> 2015.</w:t>
      </w:r>
    </w:p>
    <w:p w14:paraId="01582EF3" w14:textId="77777777" w:rsidR="004475B2" w:rsidRPr="0075635D" w:rsidRDefault="004475B2" w:rsidP="0075635D">
      <w:pPr>
        <w:pStyle w:val="TFReferencesSection"/>
        <w:numPr>
          <w:ilvl w:val="0"/>
          <w:numId w:val="14"/>
        </w:numPr>
        <w:rPr>
          <w:rFonts w:cs="Times"/>
          <w:noProof/>
          <w:szCs w:val="24"/>
        </w:rPr>
      </w:pPr>
      <w:r w:rsidRPr="0075635D">
        <w:rPr>
          <w:rFonts w:cs="Times"/>
          <w:noProof/>
          <w:szCs w:val="24"/>
        </w:rPr>
        <w:t xml:space="preserve">Cebe, P.; Hong, S.-D. </w:t>
      </w:r>
      <w:r w:rsidRPr="0075635D">
        <w:rPr>
          <w:rFonts w:cs="Times"/>
          <w:i/>
          <w:noProof/>
          <w:szCs w:val="24"/>
        </w:rPr>
        <w:t>Polymer</w:t>
      </w:r>
      <w:r w:rsidRPr="0075635D">
        <w:rPr>
          <w:rFonts w:cs="Times"/>
          <w:noProof/>
          <w:szCs w:val="24"/>
        </w:rPr>
        <w:t xml:space="preserve"> </w:t>
      </w:r>
      <w:r w:rsidRPr="0075635D">
        <w:rPr>
          <w:rFonts w:cs="Times"/>
          <w:b/>
          <w:noProof/>
          <w:szCs w:val="24"/>
        </w:rPr>
        <w:t>1986</w:t>
      </w:r>
      <w:r w:rsidRPr="0075635D">
        <w:rPr>
          <w:rFonts w:cs="Times"/>
          <w:noProof/>
          <w:szCs w:val="24"/>
        </w:rPr>
        <w:t xml:space="preserve">, </w:t>
      </w:r>
      <w:r w:rsidRPr="0075635D">
        <w:rPr>
          <w:rFonts w:cs="Times"/>
          <w:i/>
          <w:noProof/>
          <w:szCs w:val="24"/>
        </w:rPr>
        <w:t>27</w:t>
      </w:r>
      <w:r w:rsidRPr="0075635D">
        <w:rPr>
          <w:rFonts w:cs="Times"/>
          <w:noProof/>
          <w:szCs w:val="24"/>
        </w:rPr>
        <w:t>, 1183–1192.</w:t>
      </w:r>
    </w:p>
    <w:p w14:paraId="2F0DCBE3" w14:textId="77777777" w:rsidR="004475B2" w:rsidRPr="0075635D" w:rsidRDefault="004475B2" w:rsidP="0075635D">
      <w:pPr>
        <w:pStyle w:val="TFReferencesSection"/>
        <w:numPr>
          <w:ilvl w:val="0"/>
          <w:numId w:val="14"/>
        </w:numPr>
        <w:rPr>
          <w:rFonts w:cs="Times"/>
          <w:b/>
          <w:szCs w:val="24"/>
        </w:rPr>
      </w:pPr>
      <w:r w:rsidRPr="0075635D">
        <w:rPr>
          <w:rFonts w:cs="Times"/>
          <w:szCs w:val="24"/>
        </w:rPr>
        <w:t xml:space="preserve">Xu, W.; Ge, M.; He, P. </w:t>
      </w:r>
      <w:r w:rsidRPr="0075635D">
        <w:rPr>
          <w:rFonts w:cs="Times"/>
          <w:i/>
          <w:szCs w:val="24"/>
        </w:rPr>
        <w:t>J. Polym. Sci., Part B: Polym. Phys.</w:t>
      </w:r>
      <w:r w:rsidRPr="0075635D">
        <w:rPr>
          <w:rFonts w:cs="Times"/>
          <w:szCs w:val="24"/>
        </w:rPr>
        <w:t xml:space="preserve"> </w:t>
      </w:r>
      <w:r w:rsidRPr="0075635D">
        <w:rPr>
          <w:rFonts w:cs="Times"/>
          <w:b/>
          <w:szCs w:val="24"/>
        </w:rPr>
        <w:t>2002</w:t>
      </w:r>
      <w:r w:rsidRPr="0075635D">
        <w:rPr>
          <w:rFonts w:cs="Times"/>
          <w:szCs w:val="24"/>
        </w:rPr>
        <w:t xml:space="preserve">, </w:t>
      </w:r>
      <w:r w:rsidRPr="0075635D">
        <w:rPr>
          <w:rFonts w:cs="Times"/>
          <w:i/>
          <w:szCs w:val="24"/>
        </w:rPr>
        <w:t>40</w:t>
      </w:r>
      <w:r w:rsidRPr="0075635D">
        <w:rPr>
          <w:rFonts w:cs="Times"/>
          <w:szCs w:val="24"/>
        </w:rPr>
        <w:t>, 408</w:t>
      </w:r>
      <w:r w:rsidRPr="0075635D">
        <w:rPr>
          <w:rFonts w:cs="Times"/>
          <w:noProof/>
          <w:szCs w:val="24"/>
        </w:rPr>
        <w:t>–414.</w:t>
      </w:r>
    </w:p>
    <w:p w14:paraId="4A607D31" w14:textId="77777777" w:rsidR="004475B2" w:rsidRPr="0075635D" w:rsidRDefault="004475B2" w:rsidP="0075635D">
      <w:pPr>
        <w:pStyle w:val="TFReferencesSection"/>
        <w:numPr>
          <w:ilvl w:val="0"/>
          <w:numId w:val="14"/>
        </w:numPr>
        <w:rPr>
          <w:rFonts w:cs="Times"/>
          <w:b/>
          <w:szCs w:val="24"/>
        </w:rPr>
      </w:pPr>
      <w:r w:rsidRPr="0075635D">
        <w:rPr>
          <w:rFonts w:cs="Times"/>
          <w:szCs w:val="24"/>
        </w:rPr>
        <w:t xml:space="preserve">Herrero, C. R.; Acosta, J. L. </w:t>
      </w:r>
      <w:r w:rsidRPr="0075635D">
        <w:rPr>
          <w:rFonts w:cs="Times"/>
          <w:i/>
          <w:szCs w:val="24"/>
        </w:rPr>
        <w:t>Polym. J.</w:t>
      </w:r>
      <w:r w:rsidRPr="0075635D">
        <w:rPr>
          <w:rFonts w:cs="Times"/>
          <w:szCs w:val="24"/>
        </w:rPr>
        <w:t xml:space="preserve"> </w:t>
      </w:r>
      <w:r w:rsidRPr="0075635D">
        <w:rPr>
          <w:rFonts w:cs="Times"/>
          <w:b/>
          <w:szCs w:val="24"/>
        </w:rPr>
        <w:t>1994</w:t>
      </w:r>
      <w:r w:rsidRPr="0075635D">
        <w:rPr>
          <w:rFonts w:cs="Times"/>
          <w:szCs w:val="24"/>
        </w:rPr>
        <w:t xml:space="preserve">, </w:t>
      </w:r>
      <w:r w:rsidRPr="0075635D">
        <w:rPr>
          <w:rFonts w:cs="Times"/>
          <w:i/>
          <w:szCs w:val="24"/>
        </w:rPr>
        <w:t>26</w:t>
      </w:r>
      <w:r w:rsidRPr="0075635D">
        <w:rPr>
          <w:rFonts w:cs="Times"/>
          <w:szCs w:val="24"/>
        </w:rPr>
        <w:t>, 786</w:t>
      </w:r>
      <w:r w:rsidRPr="0075635D">
        <w:rPr>
          <w:rFonts w:cs="Times"/>
          <w:noProof/>
          <w:szCs w:val="24"/>
        </w:rPr>
        <w:t>–789.</w:t>
      </w:r>
    </w:p>
    <w:p w14:paraId="72AF8ECC" w14:textId="77777777" w:rsidR="004475B2" w:rsidRPr="0075635D" w:rsidRDefault="004475B2" w:rsidP="0075635D">
      <w:pPr>
        <w:pStyle w:val="TFReferencesSection"/>
        <w:numPr>
          <w:ilvl w:val="0"/>
          <w:numId w:val="14"/>
        </w:numPr>
        <w:rPr>
          <w:rFonts w:cs="Times"/>
          <w:b/>
          <w:szCs w:val="24"/>
        </w:rPr>
      </w:pPr>
      <w:r w:rsidRPr="0075635D">
        <w:rPr>
          <w:rFonts w:cs="Times"/>
          <w:noProof/>
          <w:szCs w:val="24"/>
        </w:rPr>
        <w:t xml:space="preserve">Ozawa, T. </w:t>
      </w:r>
      <w:r w:rsidRPr="0075635D">
        <w:rPr>
          <w:rFonts w:cs="Times"/>
          <w:i/>
          <w:noProof/>
          <w:szCs w:val="24"/>
        </w:rPr>
        <w:t>Polymer</w:t>
      </w:r>
      <w:r w:rsidRPr="0075635D">
        <w:rPr>
          <w:rFonts w:cs="Times"/>
          <w:noProof/>
          <w:szCs w:val="24"/>
        </w:rPr>
        <w:t xml:space="preserve"> </w:t>
      </w:r>
      <w:r w:rsidRPr="0075635D">
        <w:rPr>
          <w:rFonts w:cs="Times"/>
          <w:b/>
          <w:noProof/>
          <w:szCs w:val="24"/>
        </w:rPr>
        <w:t>1971</w:t>
      </w:r>
      <w:r w:rsidRPr="0075635D">
        <w:rPr>
          <w:rFonts w:cs="Times"/>
          <w:noProof/>
          <w:szCs w:val="24"/>
        </w:rPr>
        <w:t xml:space="preserve">, </w:t>
      </w:r>
      <w:r w:rsidRPr="0075635D">
        <w:rPr>
          <w:rFonts w:cs="Times"/>
          <w:i/>
          <w:noProof/>
          <w:szCs w:val="24"/>
        </w:rPr>
        <w:t>12</w:t>
      </w:r>
      <w:r w:rsidRPr="0075635D">
        <w:rPr>
          <w:rFonts w:cs="Times"/>
          <w:noProof/>
          <w:szCs w:val="24"/>
        </w:rPr>
        <w:t>, 150–158.</w:t>
      </w:r>
    </w:p>
    <w:p w14:paraId="58249E49" w14:textId="77777777" w:rsidR="004475B2" w:rsidRPr="0075635D" w:rsidRDefault="004475B2" w:rsidP="0075635D">
      <w:pPr>
        <w:pStyle w:val="TFReferencesSection"/>
        <w:numPr>
          <w:ilvl w:val="0"/>
          <w:numId w:val="14"/>
        </w:numPr>
        <w:rPr>
          <w:rFonts w:cs="Times"/>
          <w:b/>
          <w:szCs w:val="24"/>
        </w:rPr>
      </w:pPr>
      <w:r w:rsidRPr="0075635D">
        <w:rPr>
          <w:rFonts w:cs="Times"/>
          <w:noProof/>
          <w:szCs w:val="24"/>
        </w:rPr>
        <w:t xml:space="preserve">Kolodziejczyk, K.; Grzybowska, K.; Wojnarowska, Z.; Dulski, M.; Hawelek, L.; Paluch, M. </w:t>
      </w:r>
      <w:r w:rsidRPr="0075635D">
        <w:rPr>
          <w:rFonts w:cs="Times"/>
          <w:i/>
          <w:noProof/>
          <w:szCs w:val="24"/>
        </w:rPr>
        <w:t>Cryst. Growth Des.</w:t>
      </w:r>
      <w:r w:rsidRPr="0075635D">
        <w:rPr>
          <w:rFonts w:cs="Times"/>
          <w:noProof/>
          <w:szCs w:val="24"/>
        </w:rPr>
        <w:t xml:space="preserve"> </w:t>
      </w:r>
      <w:r w:rsidRPr="0075635D">
        <w:rPr>
          <w:rFonts w:cs="Times"/>
          <w:b/>
          <w:noProof/>
          <w:szCs w:val="24"/>
        </w:rPr>
        <w:t>2014</w:t>
      </w:r>
      <w:r w:rsidRPr="0075635D">
        <w:rPr>
          <w:rFonts w:cs="Times"/>
          <w:noProof/>
          <w:szCs w:val="24"/>
        </w:rPr>
        <w:t xml:space="preserve">, </w:t>
      </w:r>
      <w:r w:rsidRPr="0075635D">
        <w:rPr>
          <w:rFonts w:cs="Times"/>
          <w:i/>
          <w:noProof/>
          <w:szCs w:val="24"/>
        </w:rPr>
        <w:t>14</w:t>
      </w:r>
      <w:r w:rsidRPr="0075635D">
        <w:rPr>
          <w:rFonts w:cs="Times"/>
          <w:noProof/>
          <w:szCs w:val="24"/>
        </w:rPr>
        <w:t>, 3199–3209.</w:t>
      </w:r>
    </w:p>
    <w:p w14:paraId="0FD9439E" w14:textId="77777777" w:rsidR="004475B2" w:rsidRPr="0075635D" w:rsidRDefault="004475B2" w:rsidP="0075635D">
      <w:pPr>
        <w:pStyle w:val="TFReferencesSection"/>
        <w:numPr>
          <w:ilvl w:val="0"/>
          <w:numId w:val="14"/>
        </w:numPr>
        <w:rPr>
          <w:rFonts w:cs="Times"/>
          <w:b/>
          <w:szCs w:val="24"/>
        </w:rPr>
      </w:pPr>
      <w:r w:rsidRPr="0075635D">
        <w:rPr>
          <w:rFonts w:cs="Times"/>
          <w:noProof/>
          <w:szCs w:val="24"/>
        </w:rPr>
        <w:t xml:space="preserve">Marangoni, A. G.; Tang, D.; Singh, A. P. </w:t>
      </w:r>
      <w:r w:rsidRPr="0075635D">
        <w:rPr>
          <w:rFonts w:cs="Times"/>
          <w:i/>
          <w:noProof/>
          <w:szCs w:val="24"/>
        </w:rPr>
        <w:t>Chem. Phys. Lett.</w:t>
      </w:r>
      <w:r w:rsidRPr="0075635D">
        <w:rPr>
          <w:rFonts w:cs="Times"/>
          <w:noProof/>
          <w:szCs w:val="24"/>
        </w:rPr>
        <w:t xml:space="preserve"> </w:t>
      </w:r>
      <w:r w:rsidRPr="0075635D">
        <w:rPr>
          <w:rFonts w:cs="Times"/>
          <w:b/>
          <w:noProof/>
          <w:szCs w:val="24"/>
        </w:rPr>
        <w:t>2006</w:t>
      </w:r>
      <w:r w:rsidRPr="0075635D">
        <w:rPr>
          <w:rFonts w:cs="Times"/>
          <w:noProof/>
          <w:szCs w:val="24"/>
        </w:rPr>
        <w:t xml:space="preserve">, </w:t>
      </w:r>
      <w:r w:rsidRPr="0075635D">
        <w:rPr>
          <w:rFonts w:cs="Times"/>
          <w:i/>
          <w:noProof/>
          <w:szCs w:val="24"/>
        </w:rPr>
        <w:t>419</w:t>
      </w:r>
      <w:r w:rsidRPr="0075635D">
        <w:rPr>
          <w:rFonts w:cs="Times"/>
          <w:noProof/>
          <w:szCs w:val="24"/>
        </w:rPr>
        <w:t>, 259–264.</w:t>
      </w:r>
    </w:p>
    <w:p w14:paraId="1D03C9DC" w14:textId="77777777" w:rsidR="004475B2" w:rsidRPr="0075635D" w:rsidRDefault="004475B2" w:rsidP="0075635D">
      <w:pPr>
        <w:pStyle w:val="TFReferencesSection"/>
        <w:numPr>
          <w:ilvl w:val="0"/>
          <w:numId w:val="14"/>
        </w:numPr>
        <w:rPr>
          <w:rFonts w:cs="Times"/>
          <w:b/>
          <w:szCs w:val="24"/>
        </w:rPr>
      </w:pPr>
      <w:r w:rsidRPr="0075635D">
        <w:rPr>
          <w:rFonts w:cs="Times"/>
          <w:noProof/>
          <w:szCs w:val="24"/>
        </w:rPr>
        <w:lastRenderedPageBreak/>
        <w:t xml:space="preserve">Kadam, S. S.; Kramer, H. J. M.; ter Horst, J. H. </w:t>
      </w:r>
      <w:r w:rsidRPr="0075635D">
        <w:rPr>
          <w:rFonts w:cs="Times"/>
          <w:i/>
          <w:noProof/>
          <w:szCs w:val="24"/>
        </w:rPr>
        <w:t>Cryst. Growth Des.</w:t>
      </w:r>
      <w:r w:rsidRPr="0075635D">
        <w:rPr>
          <w:rFonts w:cs="Times"/>
          <w:noProof/>
          <w:szCs w:val="24"/>
        </w:rPr>
        <w:t xml:space="preserve"> </w:t>
      </w:r>
      <w:r w:rsidRPr="0075635D">
        <w:rPr>
          <w:rFonts w:cs="Times"/>
          <w:b/>
          <w:noProof/>
          <w:szCs w:val="24"/>
        </w:rPr>
        <w:t>2011</w:t>
      </w:r>
      <w:r w:rsidRPr="0075635D">
        <w:rPr>
          <w:rFonts w:cs="Times"/>
          <w:noProof/>
          <w:szCs w:val="24"/>
        </w:rPr>
        <w:t xml:space="preserve">, </w:t>
      </w:r>
      <w:r w:rsidRPr="0075635D">
        <w:rPr>
          <w:rFonts w:cs="Times"/>
          <w:i/>
          <w:noProof/>
          <w:szCs w:val="24"/>
        </w:rPr>
        <w:t>11</w:t>
      </w:r>
      <w:r w:rsidRPr="0075635D">
        <w:rPr>
          <w:rFonts w:cs="Times"/>
          <w:noProof/>
          <w:szCs w:val="24"/>
        </w:rPr>
        <w:t>, 1271–1277.</w:t>
      </w:r>
    </w:p>
    <w:p w14:paraId="4C9D28FA" w14:textId="77777777" w:rsidR="00825CDE" w:rsidRPr="0075635D" w:rsidRDefault="00825CDE" w:rsidP="0075635D">
      <w:pPr>
        <w:pStyle w:val="TFReferencesSection"/>
        <w:numPr>
          <w:ilvl w:val="0"/>
          <w:numId w:val="14"/>
        </w:numPr>
        <w:rPr>
          <w:rFonts w:cs="Times"/>
          <w:b/>
          <w:szCs w:val="24"/>
        </w:rPr>
      </w:pPr>
      <w:r w:rsidRPr="0075635D">
        <w:rPr>
          <w:rFonts w:cs="Times"/>
          <w:noProof/>
          <w:szCs w:val="24"/>
        </w:rPr>
        <w:t xml:space="preserve">Rogers, M. A.; Marangoni, A. G. </w:t>
      </w:r>
      <w:r w:rsidRPr="0075635D">
        <w:rPr>
          <w:rFonts w:cs="Times"/>
          <w:b/>
          <w:noProof/>
          <w:szCs w:val="24"/>
        </w:rPr>
        <w:t>2008</w:t>
      </w:r>
      <w:r w:rsidRPr="0075635D">
        <w:rPr>
          <w:rFonts w:cs="Times"/>
          <w:noProof/>
          <w:szCs w:val="24"/>
        </w:rPr>
        <w:t xml:space="preserve">, </w:t>
      </w:r>
      <w:r w:rsidRPr="0075635D">
        <w:rPr>
          <w:rFonts w:cs="Times"/>
          <w:i/>
          <w:noProof/>
          <w:szCs w:val="24"/>
        </w:rPr>
        <w:t>8</w:t>
      </w:r>
      <w:r w:rsidRPr="0075635D">
        <w:rPr>
          <w:rFonts w:cs="Times"/>
          <w:noProof/>
          <w:szCs w:val="24"/>
        </w:rPr>
        <w:t>, 4596–4601.</w:t>
      </w:r>
    </w:p>
    <w:p w14:paraId="4439CC99" w14:textId="77777777" w:rsidR="00825CDE" w:rsidRPr="0075635D" w:rsidRDefault="00825CDE" w:rsidP="0075635D">
      <w:pPr>
        <w:pStyle w:val="TFReferencesSection"/>
        <w:numPr>
          <w:ilvl w:val="0"/>
          <w:numId w:val="14"/>
        </w:numPr>
        <w:rPr>
          <w:rFonts w:cs="Times"/>
          <w:szCs w:val="24"/>
        </w:rPr>
      </w:pPr>
      <w:r w:rsidRPr="0075635D">
        <w:rPr>
          <w:rFonts w:cs="Times"/>
          <w:szCs w:val="24"/>
        </w:rPr>
        <w:t xml:space="preserve">Avrami, M. </w:t>
      </w:r>
      <w:r w:rsidRPr="0075635D">
        <w:rPr>
          <w:rFonts w:cs="Times"/>
          <w:i/>
          <w:szCs w:val="24"/>
        </w:rPr>
        <w:t>J. Chem. Phys.</w:t>
      </w:r>
      <w:r w:rsidRPr="0075635D">
        <w:rPr>
          <w:rFonts w:cs="Times"/>
          <w:szCs w:val="24"/>
        </w:rPr>
        <w:t xml:space="preserve"> </w:t>
      </w:r>
      <w:r w:rsidRPr="0075635D">
        <w:rPr>
          <w:rFonts w:cs="Times"/>
          <w:b/>
          <w:szCs w:val="24"/>
        </w:rPr>
        <w:t>1939</w:t>
      </w:r>
      <w:r w:rsidRPr="0075635D">
        <w:rPr>
          <w:rFonts w:cs="Times"/>
          <w:szCs w:val="24"/>
        </w:rPr>
        <w:t xml:space="preserve">, </w:t>
      </w:r>
      <w:r w:rsidRPr="0075635D">
        <w:rPr>
          <w:rFonts w:cs="Times"/>
          <w:i/>
          <w:szCs w:val="24"/>
        </w:rPr>
        <w:t>7</w:t>
      </w:r>
      <w:r w:rsidRPr="0075635D">
        <w:rPr>
          <w:rFonts w:cs="Times"/>
          <w:szCs w:val="24"/>
        </w:rPr>
        <w:t>, 1103–1112.</w:t>
      </w:r>
    </w:p>
    <w:p w14:paraId="786AD1E2" w14:textId="77777777" w:rsidR="00825CDE" w:rsidRPr="0075635D" w:rsidRDefault="00825CDE" w:rsidP="0075635D">
      <w:pPr>
        <w:pStyle w:val="TFReferencesSection"/>
        <w:numPr>
          <w:ilvl w:val="0"/>
          <w:numId w:val="14"/>
        </w:numPr>
        <w:rPr>
          <w:rFonts w:cs="Times"/>
          <w:noProof/>
          <w:szCs w:val="24"/>
        </w:rPr>
      </w:pPr>
      <w:r w:rsidRPr="0075635D">
        <w:rPr>
          <w:rFonts w:cs="Times"/>
          <w:noProof/>
          <w:szCs w:val="24"/>
        </w:rPr>
        <w:t xml:space="preserve">Avrami, M. </w:t>
      </w:r>
      <w:r w:rsidRPr="0075635D">
        <w:rPr>
          <w:rFonts w:cs="Times"/>
          <w:i/>
          <w:noProof/>
          <w:szCs w:val="24"/>
        </w:rPr>
        <w:t>J. Chem. Phys</w:t>
      </w:r>
      <w:r w:rsidRPr="0075635D">
        <w:rPr>
          <w:rFonts w:cs="Times"/>
          <w:noProof/>
          <w:szCs w:val="24"/>
        </w:rPr>
        <w:t xml:space="preserve">. </w:t>
      </w:r>
      <w:r w:rsidRPr="0075635D">
        <w:rPr>
          <w:rFonts w:cs="Times"/>
          <w:b/>
          <w:noProof/>
          <w:szCs w:val="24"/>
        </w:rPr>
        <w:t>1940</w:t>
      </w:r>
      <w:r w:rsidRPr="0075635D">
        <w:rPr>
          <w:rFonts w:cs="Times"/>
          <w:noProof/>
          <w:szCs w:val="24"/>
        </w:rPr>
        <w:t xml:space="preserve">, </w:t>
      </w:r>
      <w:r w:rsidRPr="0075635D">
        <w:rPr>
          <w:rFonts w:cs="Times"/>
          <w:i/>
          <w:noProof/>
          <w:szCs w:val="24"/>
        </w:rPr>
        <w:t>8</w:t>
      </w:r>
      <w:r w:rsidRPr="0075635D">
        <w:rPr>
          <w:rFonts w:cs="Times"/>
          <w:noProof/>
          <w:szCs w:val="24"/>
        </w:rPr>
        <w:t>, 212–224.</w:t>
      </w:r>
    </w:p>
    <w:p w14:paraId="3502D62B" w14:textId="77777777" w:rsidR="00825CDE" w:rsidRPr="0075635D" w:rsidRDefault="00825CDE" w:rsidP="0075635D">
      <w:pPr>
        <w:pStyle w:val="TFReferencesSection"/>
        <w:numPr>
          <w:ilvl w:val="0"/>
          <w:numId w:val="14"/>
        </w:numPr>
        <w:rPr>
          <w:rFonts w:cs="Times"/>
          <w:noProof/>
          <w:szCs w:val="24"/>
        </w:rPr>
      </w:pPr>
      <w:r w:rsidRPr="0075635D">
        <w:rPr>
          <w:rFonts w:cs="Times"/>
          <w:noProof/>
          <w:szCs w:val="24"/>
        </w:rPr>
        <w:t xml:space="preserve">Avrami, M. </w:t>
      </w:r>
      <w:r w:rsidRPr="0075635D">
        <w:rPr>
          <w:rFonts w:cs="Times"/>
          <w:i/>
          <w:noProof/>
          <w:szCs w:val="24"/>
        </w:rPr>
        <w:t>J. Chem. Phys</w:t>
      </w:r>
      <w:r w:rsidRPr="0075635D">
        <w:rPr>
          <w:rFonts w:cs="Times"/>
          <w:noProof/>
          <w:szCs w:val="24"/>
        </w:rPr>
        <w:t xml:space="preserve">. </w:t>
      </w:r>
      <w:r w:rsidRPr="0075635D">
        <w:rPr>
          <w:rFonts w:cs="Times"/>
          <w:b/>
          <w:noProof/>
          <w:szCs w:val="24"/>
        </w:rPr>
        <w:t>1941</w:t>
      </w:r>
      <w:r w:rsidRPr="0075635D">
        <w:rPr>
          <w:rFonts w:cs="Times"/>
          <w:noProof/>
          <w:szCs w:val="24"/>
        </w:rPr>
        <w:t xml:space="preserve">, </w:t>
      </w:r>
      <w:r w:rsidRPr="0075635D">
        <w:rPr>
          <w:rFonts w:cs="Times"/>
          <w:i/>
          <w:noProof/>
          <w:szCs w:val="24"/>
        </w:rPr>
        <w:t>9</w:t>
      </w:r>
      <w:r w:rsidRPr="0075635D">
        <w:rPr>
          <w:rFonts w:cs="Times"/>
          <w:noProof/>
          <w:szCs w:val="24"/>
        </w:rPr>
        <w:t>, 177–184.</w:t>
      </w:r>
    </w:p>
    <w:p w14:paraId="4295328C" w14:textId="77777777" w:rsidR="000A6D3B" w:rsidRPr="0075635D" w:rsidRDefault="000A6D3B" w:rsidP="0075635D">
      <w:pPr>
        <w:pStyle w:val="TFReferencesSection"/>
        <w:numPr>
          <w:ilvl w:val="0"/>
          <w:numId w:val="14"/>
        </w:numPr>
        <w:rPr>
          <w:rFonts w:cs="Times"/>
          <w:noProof/>
          <w:szCs w:val="24"/>
        </w:rPr>
      </w:pPr>
      <w:r w:rsidRPr="0075635D">
        <w:rPr>
          <w:rFonts w:cs="Times"/>
          <w:noProof/>
          <w:szCs w:val="24"/>
        </w:rPr>
        <w:t xml:space="preserve">Liu, T.; Mo, Z.; Wang, S.; Zhang, H. </w:t>
      </w:r>
      <w:r w:rsidRPr="0075635D">
        <w:rPr>
          <w:rFonts w:cs="Times"/>
          <w:i/>
          <w:noProof/>
          <w:szCs w:val="24"/>
        </w:rPr>
        <w:t>Polym. Eng. Sci.</w:t>
      </w:r>
      <w:r w:rsidRPr="0075635D">
        <w:rPr>
          <w:rFonts w:cs="Times"/>
          <w:noProof/>
          <w:szCs w:val="24"/>
        </w:rPr>
        <w:t xml:space="preserve"> </w:t>
      </w:r>
      <w:r w:rsidRPr="0075635D">
        <w:rPr>
          <w:rFonts w:cs="Times"/>
          <w:b/>
          <w:noProof/>
          <w:szCs w:val="24"/>
        </w:rPr>
        <w:t>1997</w:t>
      </w:r>
      <w:r w:rsidRPr="0075635D">
        <w:rPr>
          <w:rFonts w:cs="Times"/>
          <w:noProof/>
          <w:szCs w:val="24"/>
        </w:rPr>
        <w:t xml:space="preserve">, </w:t>
      </w:r>
      <w:r w:rsidRPr="0075635D">
        <w:rPr>
          <w:rFonts w:cs="Times"/>
          <w:i/>
          <w:noProof/>
          <w:szCs w:val="24"/>
        </w:rPr>
        <w:t>37</w:t>
      </w:r>
      <w:r w:rsidRPr="0075635D">
        <w:rPr>
          <w:rFonts w:cs="Times"/>
          <w:noProof/>
          <w:szCs w:val="24"/>
        </w:rPr>
        <w:t xml:space="preserve">, </w:t>
      </w:r>
      <w:bookmarkStart w:id="5" w:name="OLE_LINK4"/>
      <w:bookmarkStart w:id="6" w:name="OLE_LINK6"/>
      <w:r w:rsidRPr="0075635D">
        <w:rPr>
          <w:rFonts w:cs="Times"/>
          <w:noProof/>
          <w:szCs w:val="24"/>
        </w:rPr>
        <w:t>568–575</w:t>
      </w:r>
      <w:bookmarkEnd w:id="5"/>
      <w:bookmarkEnd w:id="6"/>
      <w:r w:rsidRPr="0075635D">
        <w:rPr>
          <w:rFonts w:cs="Times"/>
          <w:noProof/>
          <w:szCs w:val="24"/>
        </w:rPr>
        <w:t>.</w:t>
      </w:r>
    </w:p>
    <w:p w14:paraId="70C0EF30" w14:textId="77777777" w:rsidR="000A6D3B" w:rsidRPr="0075635D" w:rsidRDefault="000A6D3B" w:rsidP="0075635D">
      <w:pPr>
        <w:pStyle w:val="TFReferencesSection"/>
        <w:numPr>
          <w:ilvl w:val="0"/>
          <w:numId w:val="14"/>
        </w:numPr>
        <w:rPr>
          <w:rFonts w:cs="Times"/>
          <w:noProof/>
          <w:szCs w:val="24"/>
        </w:rPr>
      </w:pPr>
      <w:r w:rsidRPr="0075635D">
        <w:rPr>
          <w:rFonts w:cs="Times"/>
          <w:noProof/>
          <w:szCs w:val="24"/>
        </w:rPr>
        <w:t xml:space="preserve">Lam, R. S. H.; Rogers, M. A. </w:t>
      </w:r>
      <w:r w:rsidRPr="0075635D">
        <w:rPr>
          <w:rFonts w:cs="Times"/>
          <w:i/>
          <w:noProof/>
          <w:szCs w:val="24"/>
        </w:rPr>
        <w:t>Cryst. Growth Des.</w:t>
      </w:r>
      <w:r w:rsidRPr="0075635D">
        <w:rPr>
          <w:rFonts w:cs="Times"/>
          <w:noProof/>
          <w:szCs w:val="24"/>
        </w:rPr>
        <w:t xml:space="preserve"> </w:t>
      </w:r>
      <w:r w:rsidRPr="0075635D">
        <w:rPr>
          <w:rFonts w:cs="Times"/>
          <w:b/>
          <w:noProof/>
          <w:szCs w:val="24"/>
        </w:rPr>
        <w:t>2011</w:t>
      </w:r>
      <w:r w:rsidRPr="0075635D">
        <w:rPr>
          <w:rFonts w:cs="Times"/>
          <w:noProof/>
          <w:szCs w:val="24"/>
        </w:rPr>
        <w:t xml:space="preserve">, </w:t>
      </w:r>
      <w:r w:rsidRPr="0075635D">
        <w:rPr>
          <w:rFonts w:cs="Times"/>
          <w:i/>
          <w:noProof/>
          <w:szCs w:val="24"/>
        </w:rPr>
        <w:t>11</w:t>
      </w:r>
      <w:r w:rsidRPr="0075635D">
        <w:rPr>
          <w:rFonts w:cs="Times"/>
          <w:noProof/>
          <w:szCs w:val="24"/>
        </w:rPr>
        <w:t>, 3593–3599.</w:t>
      </w:r>
    </w:p>
    <w:p w14:paraId="77C512FE" w14:textId="77777777" w:rsidR="000A6D3B" w:rsidRPr="0075635D" w:rsidRDefault="000A6D3B" w:rsidP="0075635D">
      <w:pPr>
        <w:pStyle w:val="TFReferencesSection"/>
        <w:numPr>
          <w:ilvl w:val="0"/>
          <w:numId w:val="14"/>
        </w:numPr>
        <w:rPr>
          <w:rFonts w:cs="Times"/>
          <w:noProof/>
          <w:szCs w:val="24"/>
        </w:rPr>
      </w:pPr>
      <w:r w:rsidRPr="0075635D">
        <w:rPr>
          <w:rFonts w:cs="Times"/>
          <w:noProof/>
          <w:szCs w:val="24"/>
        </w:rPr>
        <w:t xml:space="preserve">Lyczko, N.; Espitalier, F.; Louisnard, O.; Schwartzentruber, J. </w:t>
      </w:r>
      <w:r w:rsidRPr="0075635D">
        <w:rPr>
          <w:rFonts w:cs="Times"/>
          <w:i/>
          <w:noProof/>
          <w:szCs w:val="24"/>
        </w:rPr>
        <w:t>Chem. Eng. J.</w:t>
      </w:r>
      <w:r w:rsidRPr="0075635D">
        <w:rPr>
          <w:rFonts w:cs="Times"/>
          <w:noProof/>
          <w:szCs w:val="24"/>
        </w:rPr>
        <w:t xml:space="preserve"> </w:t>
      </w:r>
      <w:r w:rsidRPr="0075635D">
        <w:rPr>
          <w:rFonts w:cs="Times"/>
          <w:b/>
          <w:noProof/>
          <w:szCs w:val="24"/>
        </w:rPr>
        <w:t>2002</w:t>
      </w:r>
      <w:r w:rsidRPr="0075635D">
        <w:rPr>
          <w:rFonts w:cs="Times"/>
          <w:noProof/>
          <w:szCs w:val="24"/>
        </w:rPr>
        <w:t xml:space="preserve">, </w:t>
      </w:r>
      <w:r w:rsidRPr="0075635D">
        <w:rPr>
          <w:rFonts w:cs="Times"/>
          <w:i/>
          <w:noProof/>
          <w:szCs w:val="24"/>
        </w:rPr>
        <w:t>86</w:t>
      </w:r>
      <w:r w:rsidRPr="0075635D">
        <w:rPr>
          <w:rFonts w:cs="Times"/>
          <w:noProof/>
          <w:szCs w:val="24"/>
        </w:rPr>
        <w:t>, 233–241.</w:t>
      </w:r>
    </w:p>
    <w:p w14:paraId="5E768857" w14:textId="77777777" w:rsidR="000A6D3B" w:rsidRPr="0075635D" w:rsidRDefault="000A6D3B" w:rsidP="0075635D">
      <w:pPr>
        <w:pStyle w:val="TFReferencesSection"/>
        <w:numPr>
          <w:ilvl w:val="0"/>
          <w:numId w:val="14"/>
        </w:numPr>
        <w:rPr>
          <w:rFonts w:cs="Times"/>
          <w:noProof/>
          <w:szCs w:val="24"/>
        </w:rPr>
      </w:pPr>
      <w:r w:rsidRPr="0075635D">
        <w:rPr>
          <w:rFonts w:cs="Times"/>
          <w:noProof/>
          <w:szCs w:val="24"/>
        </w:rPr>
        <w:t xml:space="preserve">Sangwal, K. </w:t>
      </w:r>
      <w:r w:rsidRPr="0075635D">
        <w:rPr>
          <w:rFonts w:cs="Times"/>
          <w:i/>
          <w:noProof/>
          <w:szCs w:val="24"/>
        </w:rPr>
        <w:t>Cryst. Growth Des.</w:t>
      </w:r>
      <w:r w:rsidRPr="0075635D">
        <w:rPr>
          <w:rFonts w:cs="Times"/>
          <w:noProof/>
          <w:szCs w:val="24"/>
        </w:rPr>
        <w:t xml:space="preserve"> </w:t>
      </w:r>
      <w:r w:rsidRPr="0075635D">
        <w:rPr>
          <w:rFonts w:cs="Times"/>
          <w:b/>
          <w:noProof/>
          <w:szCs w:val="24"/>
        </w:rPr>
        <w:t>2009</w:t>
      </w:r>
      <w:r w:rsidRPr="0075635D">
        <w:rPr>
          <w:rFonts w:cs="Times"/>
          <w:noProof/>
          <w:szCs w:val="24"/>
        </w:rPr>
        <w:t xml:space="preserve">, </w:t>
      </w:r>
      <w:r w:rsidRPr="0075635D">
        <w:rPr>
          <w:rFonts w:cs="Times"/>
          <w:i/>
          <w:noProof/>
          <w:szCs w:val="24"/>
        </w:rPr>
        <w:t>9</w:t>
      </w:r>
      <w:r w:rsidRPr="0075635D">
        <w:rPr>
          <w:rFonts w:cs="Times"/>
          <w:noProof/>
          <w:szCs w:val="24"/>
        </w:rPr>
        <w:t>, 942–950.</w:t>
      </w:r>
    </w:p>
    <w:p w14:paraId="797F07D4" w14:textId="77777777" w:rsidR="000A6D3B" w:rsidRPr="0075635D" w:rsidRDefault="000A6D3B" w:rsidP="0075635D">
      <w:pPr>
        <w:pStyle w:val="TFReferencesSection"/>
        <w:numPr>
          <w:ilvl w:val="0"/>
          <w:numId w:val="14"/>
        </w:numPr>
        <w:rPr>
          <w:rFonts w:cs="Times"/>
          <w:noProof/>
          <w:szCs w:val="24"/>
        </w:rPr>
      </w:pPr>
      <w:r w:rsidRPr="0075635D">
        <w:rPr>
          <w:rFonts w:cs="Times"/>
          <w:noProof/>
          <w:szCs w:val="24"/>
        </w:rPr>
        <w:t xml:space="preserve">Nývlt, J. </w:t>
      </w:r>
      <w:r w:rsidRPr="0075635D">
        <w:rPr>
          <w:rFonts w:cs="Times"/>
          <w:i/>
          <w:noProof/>
          <w:szCs w:val="24"/>
        </w:rPr>
        <w:t>J. Cryst. Growth</w:t>
      </w:r>
      <w:r w:rsidRPr="0075635D">
        <w:rPr>
          <w:rFonts w:cs="Times"/>
          <w:noProof/>
          <w:szCs w:val="24"/>
        </w:rPr>
        <w:t xml:space="preserve">, </w:t>
      </w:r>
      <w:r w:rsidRPr="0075635D">
        <w:rPr>
          <w:rFonts w:cs="Times"/>
          <w:b/>
          <w:noProof/>
          <w:szCs w:val="24"/>
        </w:rPr>
        <w:t>1968</w:t>
      </w:r>
      <w:r w:rsidRPr="0075635D">
        <w:rPr>
          <w:rFonts w:cs="Times"/>
          <w:noProof/>
          <w:szCs w:val="24"/>
        </w:rPr>
        <w:t xml:space="preserve">, </w:t>
      </w:r>
      <w:r w:rsidRPr="0075635D">
        <w:rPr>
          <w:rFonts w:cs="Times"/>
          <w:i/>
          <w:noProof/>
          <w:szCs w:val="24"/>
        </w:rPr>
        <w:t>3,4</w:t>
      </w:r>
      <w:r w:rsidRPr="0075635D">
        <w:rPr>
          <w:rFonts w:cs="Times"/>
          <w:noProof/>
          <w:szCs w:val="24"/>
        </w:rPr>
        <w:t>, 377–383.</w:t>
      </w:r>
    </w:p>
    <w:p w14:paraId="195C4595" w14:textId="2D45043E" w:rsidR="000A6D3B" w:rsidRPr="0075635D" w:rsidRDefault="000A6D3B" w:rsidP="0075635D">
      <w:pPr>
        <w:pStyle w:val="TFReferencesSection"/>
        <w:numPr>
          <w:ilvl w:val="0"/>
          <w:numId w:val="14"/>
        </w:numPr>
        <w:rPr>
          <w:rFonts w:cs="Times"/>
          <w:szCs w:val="24"/>
        </w:rPr>
      </w:pPr>
      <w:r w:rsidRPr="0075635D">
        <w:rPr>
          <w:rFonts w:cs="Times"/>
          <w:szCs w:val="24"/>
        </w:rPr>
        <w:t xml:space="preserve">Rosen, M. J. </w:t>
      </w:r>
      <w:r w:rsidRPr="0075635D">
        <w:rPr>
          <w:rFonts w:cs="Times"/>
          <w:i/>
          <w:szCs w:val="24"/>
        </w:rPr>
        <w:t>Surfactants and Interfacial Phenomena</w:t>
      </w:r>
      <w:r w:rsidRPr="0075635D">
        <w:rPr>
          <w:rFonts w:cs="Times"/>
          <w:szCs w:val="24"/>
        </w:rPr>
        <w:t>, 3rd ed.; John Wiley: New Jersey, 2004.</w:t>
      </w:r>
    </w:p>
    <w:p w14:paraId="3EB31381" w14:textId="0FB93218" w:rsidR="000A6D3B" w:rsidRPr="0075635D" w:rsidRDefault="000A6D3B" w:rsidP="0075635D">
      <w:pPr>
        <w:pStyle w:val="TFReferencesSection"/>
        <w:numPr>
          <w:ilvl w:val="0"/>
          <w:numId w:val="14"/>
        </w:numPr>
        <w:rPr>
          <w:rFonts w:cs="Times"/>
          <w:szCs w:val="24"/>
        </w:rPr>
      </w:pPr>
      <w:r w:rsidRPr="0075635D">
        <w:rPr>
          <w:rFonts w:cs="Times"/>
          <w:szCs w:val="24"/>
        </w:rPr>
        <w:t xml:space="preserve">Smulders, E.; von Rybinsk, W.; Nordskog, A. </w:t>
      </w:r>
      <w:r w:rsidRPr="0075635D">
        <w:rPr>
          <w:rFonts w:cs="Times"/>
          <w:i/>
          <w:szCs w:val="24"/>
        </w:rPr>
        <w:t>Ul</w:t>
      </w:r>
      <w:r w:rsidR="00CA35FC" w:rsidRPr="0075635D">
        <w:rPr>
          <w:rFonts w:cs="Times"/>
          <w:i/>
          <w:szCs w:val="24"/>
        </w:rPr>
        <w:t>l</w:t>
      </w:r>
      <w:r w:rsidRPr="0075635D">
        <w:rPr>
          <w:rFonts w:cs="Times"/>
          <w:i/>
          <w:szCs w:val="24"/>
        </w:rPr>
        <w:t>mann’s Encyclopedia of Industrial Chemistry</w:t>
      </w:r>
      <w:r w:rsidRPr="0075635D">
        <w:rPr>
          <w:rFonts w:cs="Times"/>
          <w:szCs w:val="24"/>
        </w:rPr>
        <w:t>; 2011; pp 355–450.</w:t>
      </w:r>
    </w:p>
    <w:p w14:paraId="77000AAF" w14:textId="77777777" w:rsidR="000A6D3B" w:rsidRPr="0075635D" w:rsidRDefault="000A6D3B" w:rsidP="0075635D">
      <w:pPr>
        <w:pStyle w:val="TFReferencesSection"/>
        <w:numPr>
          <w:ilvl w:val="0"/>
          <w:numId w:val="14"/>
        </w:numPr>
        <w:rPr>
          <w:rFonts w:cs="Times"/>
          <w:szCs w:val="24"/>
        </w:rPr>
      </w:pPr>
      <w:r w:rsidRPr="0075635D">
        <w:rPr>
          <w:rFonts w:cs="Times"/>
          <w:szCs w:val="24"/>
        </w:rPr>
        <w:t xml:space="preserve">Bibette, J.; Calderon, F. L.; Poulin, P. </w:t>
      </w:r>
      <w:r w:rsidRPr="0075635D">
        <w:rPr>
          <w:rFonts w:cs="Times"/>
          <w:i/>
          <w:szCs w:val="24"/>
        </w:rPr>
        <w:t>Rep. Prog. Phys.</w:t>
      </w:r>
      <w:r w:rsidRPr="0075635D">
        <w:rPr>
          <w:rFonts w:cs="Times"/>
          <w:szCs w:val="24"/>
        </w:rPr>
        <w:t xml:space="preserve"> </w:t>
      </w:r>
      <w:r w:rsidRPr="0075635D">
        <w:rPr>
          <w:rFonts w:cs="Times"/>
          <w:b/>
          <w:szCs w:val="24"/>
        </w:rPr>
        <w:t>1999</w:t>
      </w:r>
      <w:r w:rsidRPr="0075635D">
        <w:rPr>
          <w:rFonts w:cs="Times"/>
          <w:szCs w:val="24"/>
        </w:rPr>
        <w:t xml:space="preserve">, </w:t>
      </w:r>
      <w:r w:rsidRPr="0075635D">
        <w:rPr>
          <w:rFonts w:cs="Times"/>
          <w:i/>
          <w:szCs w:val="24"/>
        </w:rPr>
        <w:t>62</w:t>
      </w:r>
      <w:r w:rsidRPr="0075635D">
        <w:rPr>
          <w:rFonts w:cs="Times"/>
          <w:szCs w:val="24"/>
        </w:rPr>
        <w:t>, 969–1033.</w:t>
      </w:r>
    </w:p>
    <w:p w14:paraId="0F881C06" w14:textId="77777777" w:rsidR="006F0521" w:rsidRPr="0075635D" w:rsidRDefault="006F0521" w:rsidP="0075635D">
      <w:pPr>
        <w:pStyle w:val="TFReferencesSection"/>
        <w:numPr>
          <w:ilvl w:val="0"/>
          <w:numId w:val="14"/>
        </w:numPr>
        <w:rPr>
          <w:rFonts w:cs="Times"/>
          <w:szCs w:val="24"/>
        </w:rPr>
      </w:pPr>
      <w:r w:rsidRPr="0075635D">
        <w:rPr>
          <w:rFonts w:cs="Times"/>
          <w:noProof/>
          <w:szCs w:val="24"/>
        </w:rPr>
        <w:t>Kékicheff</w:t>
      </w:r>
      <w:r w:rsidRPr="0075635D">
        <w:rPr>
          <w:rFonts w:cs="Times"/>
          <w:szCs w:val="24"/>
        </w:rPr>
        <w:t xml:space="preserve">, P.; Grabielle-Madelmont, C.; Ollivon, M. </w:t>
      </w:r>
      <w:r w:rsidRPr="0075635D">
        <w:rPr>
          <w:rFonts w:cs="Times"/>
          <w:i/>
          <w:szCs w:val="24"/>
        </w:rPr>
        <w:t>J. Colloid Interface Sci.</w:t>
      </w:r>
      <w:r w:rsidRPr="0075635D">
        <w:rPr>
          <w:rFonts w:cs="Times"/>
          <w:szCs w:val="24"/>
        </w:rPr>
        <w:t xml:space="preserve"> </w:t>
      </w:r>
      <w:r w:rsidRPr="0075635D">
        <w:rPr>
          <w:rFonts w:cs="Times"/>
          <w:b/>
          <w:szCs w:val="24"/>
        </w:rPr>
        <w:t>1989</w:t>
      </w:r>
      <w:r w:rsidRPr="0075635D">
        <w:rPr>
          <w:rFonts w:cs="Times"/>
          <w:szCs w:val="24"/>
        </w:rPr>
        <w:t xml:space="preserve">, </w:t>
      </w:r>
      <w:r w:rsidRPr="0075635D">
        <w:rPr>
          <w:rFonts w:cs="Times"/>
          <w:i/>
          <w:szCs w:val="24"/>
        </w:rPr>
        <w:t>131</w:t>
      </w:r>
      <w:r w:rsidRPr="0075635D">
        <w:rPr>
          <w:rFonts w:cs="Times"/>
          <w:szCs w:val="24"/>
        </w:rPr>
        <w:t>, 112–132.</w:t>
      </w:r>
    </w:p>
    <w:p w14:paraId="73A7BB76" w14:textId="77777777" w:rsidR="006F0521" w:rsidRPr="0075635D" w:rsidRDefault="006F0521" w:rsidP="0075635D">
      <w:pPr>
        <w:pStyle w:val="TFReferencesSection"/>
        <w:numPr>
          <w:ilvl w:val="0"/>
          <w:numId w:val="14"/>
        </w:numPr>
        <w:rPr>
          <w:rFonts w:cs="Times"/>
          <w:szCs w:val="24"/>
        </w:rPr>
      </w:pPr>
      <w:r w:rsidRPr="0075635D">
        <w:rPr>
          <w:rFonts w:cs="Times"/>
          <w:noProof/>
          <w:szCs w:val="24"/>
        </w:rPr>
        <w:t>Kékicheff</w:t>
      </w:r>
      <w:r w:rsidRPr="0075635D">
        <w:rPr>
          <w:rFonts w:cs="Times"/>
          <w:szCs w:val="24"/>
        </w:rPr>
        <w:t xml:space="preserve">, P. </w:t>
      </w:r>
      <w:r w:rsidRPr="0075635D">
        <w:rPr>
          <w:rFonts w:cs="Times"/>
          <w:i/>
          <w:szCs w:val="24"/>
        </w:rPr>
        <w:t>J. Colloid Interface Sci.</w:t>
      </w:r>
      <w:r w:rsidRPr="0075635D">
        <w:rPr>
          <w:rFonts w:cs="Times"/>
          <w:szCs w:val="24"/>
        </w:rPr>
        <w:t xml:space="preserve"> </w:t>
      </w:r>
      <w:r w:rsidRPr="0075635D">
        <w:rPr>
          <w:rFonts w:cs="Times"/>
          <w:b/>
          <w:szCs w:val="24"/>
        </w:rPr>
        <w:t>1989</w:t>
      </w:r>
      <w:r w:rsidRPr="0075635D">
        <w:rPr>
          <w:rFonts w:cs="Times"/>
          <w:szCs w:val="24"/>
        </w:rPr>
        <w:t xml:space="preserve">, </w:t>
      </w:r>
      <w:r w:rsidRPr="0075635D">
        <w:rPr>
          <w:rFonts w:cs="Times"/>
          <w:i/>
          <w:szCs w:val="24"/>
        </w:rPr>
        <w:t>131</w:t>
      </w:r>
      <w:r w:rsidRPr="0075635D">
        <w:rPr>
          <w:rFonts w:cs="Times"/>
          <w:szCs w:val="24"/>
        </w:rPr>
        <w:t>, 133–152.</w:t>
      </w:r>
    </w:p>
    <w:p w14:paraId="2C6B84CD" w14:textId="77777777" w:rsidR="006F0521" w:rsidRPr="0075635D" w:rsidRDefault="006F0521" w:rsidP="0075635D">
      <w:pPr>
        <w:pStyle w:val="TFReferencesSection"/>
        <w:numPr>
          <w:ilvl w:val="0"/>
          <w:numId w:val="14"/>
        </w:numPr>
        <w:rPr>
          <w:rFonts w:cs="Times"/>
          <w:szCs w:val="24"/>
        </w:rPr>
      </w:pPr>
      <w:r w:rsidRPr="0075635D">
        <w:rPr>
          <w:rFonts w:cs="Times"/>
          <w:szCs w:val="24"/>
        </w:rPr>
        <w:t xml:space="preserve">Fontell, K. </w:t>
      </w:r>
      <w:r w:rsidRPr="0075635D">
        <w:rPr>
          <w:rFonts w:cs="Times"/>
          <w:i/>
          <w:szCs w:val="24"/>
        </w:rPr>
        <w:t>Mol. Cryst. Liq. Cryst.</w:t>
      </w:r>
      <w:r w:rsidRPr="0075635D">
        <w:rPr>
          <w:rFonts w:cs="Times"/>
          <w:szCs w:val="24"/>
        </w:rPr>
        <w:t xml:space="preserve"> </w:t>
      </w:r>
      <w:r w:rsidRPr="0075635D">
        <w:rPr>
          <w:rFonts w:cs="Times"/>
          <w:b/>
          <w:szCs w:val="24"/>
        </w:rPr>
        <w:t>1981</w:t>
      </w:r>
      <w:r w:rsidRPr="0075635D">
        <w:rPr>
          <w:rFonts w:cs="Times"/>
          <w:szCs w:val="24"/>
        </w:rPr>
        <w:t xml:space="preserve">, </w:t>
      </w:r>
      <w:r w:rsidRPr="0075635D">
        <w:rPr>
          <w:rFonts w:cs="Times"/>
          <w:i/>
          <w:szCs w:val="24"/>
        </w:rPr>
        <w:t>63</w:t>
      </w:r>
      <w:r w:rsidRPr="0075635D">
        <w:rPr>
          <w:rFonts w:cs="Times"/>
          <w:szCs w:val="24"/>
        </w:rPr>
        <w:t>, 59–82.</w:t>
      </w:r>
    </w:p>
    <w:p w14:paraId="2CEDAE74" w14:textId="77777777" w:rsidR="006F0521" w:rsidRPr="0075635D" w:rsidRDefault="006F0521" w:rsidP="0075635D">
      <w:pPr>
        <w:pStyle w:val="TFReferencesSection"/>
        <w:numPr>
          <w:ilvl w:val="0"/>
          <w:numId w:val="14"/>
        </w:numPr>
        <w:rPr>
          <w:rFonts w:cs="Times"/>
          <w:noProof/>
          <w:szCs w:val="24"/>
        </w:rPr>
      </w:pPr>
      <w:r w:rsidRPr="0075635D">
        <w:rPr>
          <w:rFonts w:cs="Times"/>
          <w:szCs w:val="24"/>
        </w:rPr>
        <w:t xml:space="preserve">Smith, L. A.; Hammond, R. B.; Roberts, K. J.; Machin, D.; McLeod, G. </w:t>
      </w:r>
      <w:r w:rsidRPr="0075635D">
        <w:rPr>
          <w:rFonts w:cs="Times"/>
          <w:i/>
          <w:szCs w:val="24"/>
        </w:rPr>
        <w:t>J. Mol. Struct.</w:t>
      </w:r>
      <w:r w:rsidRPr="0075635D">
        <w:rPr>
          <w:rFonts w:cs="Times"/>
          <w:szCs w:val="24"/>
        </w:rPr>
        <w:t xml:space="preserve"> </w:t>
      </w:r>
      <w:r w:rsidRPr="0075635D">
        <w:rPr>
          <w:rFonts w:cs="Times"/>
          <w:b/>
          <w:szCs w:val="24"/>
        </w:rPr>
        <w:t>2000</w:t>
      </w:r>
      <w:r w:rsidRPr="0075635D">
        <w:rPr>
          <w:rFonts w:cs="Times"/>
          <w:szCs w:val="24"/>
        </w:rPr>
        <w:t xml:space="preserve">, </w:t>
      </w:r>
      <w:r w:rsidRPr="0075635D">
        <w:rPr>
          <w:rFonts w:cs="Times"/>
          <w:i/>
          <w:szCs w:val="24"/>
        </w:rPr>
        <w:t>554</w:t>
      </w:r>
      <w:r w:rsidRPr="0075635D">
        <w:rPr>
          <w:rFonts w:cs="Times"/>
          <w:szCs w:val="24"/>
        </w:rPr>
        <w:t>, 173</w:t>
      </w:r>
      <w:r w:rsidRPr="0075635D">
        <w:rPr>
          <w:rFonts w:cs="Times"/>
          <w:noProof/>
          <w:szCs w:val="24"/>
        </w:rPr>
        <w:t>–</w:t>
      </w:r>
      <w:r w:rsidRPr="0075635D">
        <w:rPr>
          <w:rFonts w:cs="Times"/>
          <w:szCs w:val="24"/>
        </w:rPr>
        <w:t>182.</w:t>
      </w:r>
    </w:p>
    <w:p w14:paraId="4D8B3EE3" w14:textId="47063B25" w:rsidR="006F0521" w:rsidRPr="0075635D" w:rsidRDefault="006F0521" w:rsidP="0075635D">
      <w:pPr>
        <w:pStyle w:val="TFReferencesSection"/>
        <w:numPr>
          <w:ilvl w:val="0"/>
          <w:numId w:val="14"/>
        </w:numPr>
        <w:rPr>
          <w:rFonts w:cs="Times"/>
          <w:noProof/>
          <w:szCs w:val="24"/>
        </w:rPr>
      </w:pPr>
      <w:r w:rsidRPr="0075635D">
        <w:rPr>
          <w:rFonts w:cs="Times"/>
          <w:szCs w:val="24"/>
        </w:rPr>
        <w:lastRenderedPageBreak/>
        <w:t xml:space="preserve">Sundell, S. </w:t>
      </w:r>
      <w:r w:rsidRPr="0075635D">
        <w:rPr>
          <w:rFonts w:cs="Times"/>
          <w:i/>
          <w:iCs/>
          <w:noProof/>
          <w:szCs w:val="24"/>
        </w:rPr>
        <w:t>Acta Chem. Scand., Ser. A</w:t>
      </w:r>
      <w:r w:rsidRPr="0075635D">
        <w:rPr>
          <w:rFonts w:cs="Times"/>
          <w:noProof/>
          <w:szCs w:val="24"/>
        </w:rPr>
        <w:t xml:space="preserve"> </w:t>
      </w:r>
      <w:r w:rsidRPr="0075635D">
        <w:rPr>
          <w:rFonts w:cs="Times"/>
          <w:b/>
          <w:noProof/>
          <w:szCs w:val="24"/>
        </w:rPr>
        <w:t>1977</w:t>
      </w:r>
      <w:r w:rsidRPr="0075635D">
        <w:rPr>
          <w:rFonts w:cs="Times"/>
          <w:noProof/>
          <w:szCs w:val="24"/>
        </w:rPr>
        <w:t xml:space="preserve">, </w:t>
      </w:r>
      <w:r w:rsidRPr="0075635D">
        <w:rPr>
          <w:rFonts w:cs="Times"/>
          <w:i/>
          <w:noProof/>
          <w:szCs w:val="24"/>
        </w:rPr>
        <w:t>31</w:t>
      </w:r>
      <w:r w:rsidRPr="0075635D">
        <w:rPr>
          <w:rFonts w:cs="Times"/>
          <w:noProof/>
          <w:szCs w:val="24"/>
        </w:rPr>
        <w:t>, 799–807.</w:t>
      </w:r>
    </w:p>
    <w:p w14:paraId="71F867E3" w14:textId="77777777" w:rsidR="006F0521" w:rsidRPr="0075635D" w:rsidRDefault="006F0521" w:rsidP="0075635D">
      <w:pPr>
        <w:pStyle w:val="TFReferencesSection"/>
        <w:numPr>
          <w:ilvl w:val="0"/>
          <w:numId w:val="14"/>
        </w:numPr>
        <w:rPr>
          <w:rFonts w:cs="Times"/>
          <w:i/>
          <w:iCs/>
          <w:noProof/>
          <w:szCs w:val="24"/>
        </w:rPr>
      </w:pPr>
      <w:r w:rsidRPr="0075635D">
        <w:rPr>
          <w:rFonts w:cs="Times"/>
          <w:szCs w:val="24"/>
        </w:rPr>
        <w:t xml:space="preserve">Coiro, V. M.; Mazza, F.; Pochetti, G. </w:t>
      </w:r>
      <w:r w:rsidRPr="0075635D">
        <w:rPr>
          <w:rFonts w:cs="Times"/>
          <w:i/>
          <w:iCs/>
          <w:noProof/>
          <w:szCs w:val="24"/>
        </w:rPr>
        <w:t>Acta Crystallogr., Sect. C: Cryst. Struct. Commun.</w:t>
      </w:r>
      <w:r w:rsidRPr="0075635D">
        <w:rPr>
          <w:rFonts w:cs="Times"/>
          <w:iCs/>
          <w:noProof/>
          <w:szCs w:val="24"/>
        </w:rPr>
        <w:t xml:space="preserve"> </w:t>
      </w:r>
      <w:r w:rsidRPr="0075635D">
        <w:rPr>
          <w:rFonts w:cs="Times"/>
          <w:b/>
          <w:iCs/>
          <w:noProof/>
          <w:szCs w:val="24"/>
        </w:rPr>
        <w:t>1986</w:t>
      </w:r>
      <w:r w:rsidRPr="0075635D">
        <w:rPr>
          <w:rFonts w:cs="Times"/>
          <w:iCs/>
          <w:noProof/>
          <w:szCs w:val="24"/>
        </w:rPr>
        <w:t xml:space="preserve">, </w:t>
      </w:r>
      <w:r w:rsidRPr="0075635D">
        <w:rPr>
          <w:rFonts w:cs="Times"/>
          <w:i/>
          <w:iCs/>
          <w:noProof/>
          <w:szCs w:val="24"/>
        </w:rPr>
        <w:t>42</w:t>
      </w:r>
      <w:r w:rsidRPr="0075635D">
        <w:rPr>
          <w:rFonts w:cs="Times"/>
          <w:iCs/>
          <w:noProof/>
          <w:szCs w:val="24"/>
        </w:rPr>
        <w:t xml:space="preserve">, </w:t>
      </w:r>
      <w:r w:rsidRPr="0075635D">
        <w:rPr>
          <w:rFonts w:cs="Times"/>
          <w:noProof/>
          <w:szCs w:val="24"/>
        </w:rPr>
        <w:t>991–995.</w:t>
      </w:r>
    </w:p>
    <w:p w14:paraId="61B673C9" w14:textId="77777777" w:rsidR="006F0521" w:rsidRPr="0075635D" w:rsidRDefault="006F0521" w:rsidP="0075635D">
      <w:pPr>
        <w:pStyle w:val="TFReferencesSection"/>
        <w:numPr>
          <w:ilvl w:val="0"/>
          <w:numId w:val="14"/>
        </w:numPr>
        <w:rPr>
          <w:rFonts w:cs="Times"/>
          <w:noProof/>
          <w:szCs w:val="24"/>
        </w:rPr>
      </w:pPr>
      <w:r w:rsidRPr="0075635D">
        <w:rPr>
          <w:rFonts w:cs="Times"/>
          <w:szCs w:val="24"/>
        </w:rPr>
        <w:t xml:space="preserve">Coiro, V. M.; </w:t>
      </w:r>
      <w:r w:rsidRPr="0075635D">
        <w:rPr>
          <w:rFonts w:cs="Times"/>
          <w:noProof/>
          <w:szCs w:val="24"/>
        </w:rPr>
        <w:t>Manigrasso</w:t>
      </w:r>
      <w:r w:rsidRPr="0075635D">
        <w:rPr>
          <w:rFonts w:cs="Times"/>
          <w:szCs w:val="24"/>
        </w:rPr>
        <w:t xml:space="preserve">, M.; Mazza, F.; Pochetti, G. </w:t>
      </w:r>
      <w:r w:rsidRPr="0075635D">
        <w:rPr>
          <w:rFonts w:cs="Times"/>
          <w:i/>
          <w:iCs/>
          <w:noProof/>
          <w:szCs w:val="24"/>
        </w:rPr>
        <w:t>Acta Crystallogr., Sect. C: Cryst. Struct. Commun.</w:t>
      </w:r>
      <w:r w:rsidRPr="0075635D">
        <w:rPr>
          <w:rFonts w:cs="Times"/>
          <w:iCs/>
          <w:noProof/>
          <w:szCs w:val="24"/>
        </w:rPr>
        <w:t xml:space="preserve"> </w:t>
      </w:r>
      <w:r w:rsidRPr="0075635D">
        <w:rPr>
          <w:rFonts w:cs="Times"/>
          <w:b/>
          <w:iCs/>
          <w:noProof/>
          <w:szCs w:val="24"/>
        </w:rPr>
        <w:t>1987</w:t>
      </w:r>
      <w:r w:rsidRPr="0075635D">
        <w:rPr>
          <w:rFonts w:cs="Times"/>
          <w:iCs/>
          <w:noProof/>
          <w:szCs w:val="24"/>
        </w:rPr>
        <w:t xml:space="preserve">, </w:t>
      </w:r>
      <w:r w:rsidRPr="0075635D">
        <w:rPr>
          <w:rFonts w:cs="Times"/>
          <w:i/>
          <w:iCs/>
          <w:noProof/>
          <w:szCs w:val="24"/>
        </w:rPr>
        <w:t>43</w:t>
      </w:r>
      <w:r w:rsidRPr="0075635D">
        <w:rPr>
          <w:rFonts w:cs="Times"/>
          <w:iCs/>
          <w:noProof/>
          <w:szCs w:val="24"/>
        </w:rPr>
        <w:t xml:space="preserve">, </w:t>
      </w:r>
      <w:r w:rsidRPr="0075635D">
        <w:rPr>
          <w:rFonts w:cs="Times"/>
          <w:noProof/>
          <w:szCs w:val="24"/>
        </w:rPr>
        <w:t>850–854.</w:t>
      </w:r>
    </w:p>
    <w:p w14:paraId="133A2C02" w14:textId="77777777" w:rsidR="006F0521" w:rsidRPr="0075635D" w:rsidRDefault="006F0521" w:rsidP="0075635D">
      <w:pPr>
        <w:pStyle w:val="TFReferencesSection"/>
        <w:numPr>
          <w:ilvl w:val="0"/>
          <w:numId w:val="14"/>
        </w:numPr>
        <w:rPr>
          <w:rFonts w:cs="Times"/>
          <w:noProof/>
          <w:szCs w:val="24"/>
        </w:rPr>
      </w:pPr>
      <w:r w:rsidRPr="0075635D">
        <w:rPr>
          <w:rFonts w:cs="Times"/>
          <w:szCs w:val="24"/>
        </w:rPr>
        <w:t xml:space="preserve">Rawlings, F. F. J.; Lingafelter, E. C. </w:t>
      </w:r>
      <w:r w:rsidRPr="0075635D">
        <w:rPr>
          <w:rFonts w:cs="Times"/>
          <w:i/>
          <w:szCs w:val="24"/>
        </w:rPr>
        <w:t>J. Am. Chem. Soc.</w:t>
      </w:r>
      <w:r w:rsidRPr="0075635D">
        <w:rPr>
          <w:rFonts w:cs="Times"/>
          <w:szCs w:val="24"/>
        </w:rPr>
        <w:t xml:space="preserve"> </w:t>
      </w:r>
      <w:r w:rsidRPr="0075635D">
        <w:rPr>
          <w:rFonts w:cs="Times"/>
          <w:b/>
          <w:szCs w:val="24"/>
        </w:rPr>
        <w:t>1950</w:t>
      </w:r>
      <w:r w:rsidRPr="0075635D">
        <w:rPr>
          <w:rFonts w:cs="Times"/>
          <w:szCs w:val="24"/>
        </w:rPr>
        <w:t xml:space="preserve">, </w:t>
      </w:r>
      <w:r w:rsidRPr="0075635D">
        <w:rPr>
          <w:rFonts w:cs="Times"/>
          <w:i/>
          <w:szCs w:val="24"/>
        </w:rPr>
        <w:t>72</w:t>
      </w:r>
      <w:r w:rsidRPr="0075635D">
        <w:rPr>
          <w:rFonts w:cs="Times"/>
          <w:szCs w:val="24"/>
        </w:rPr>
        <w:t>, 1852.</w:t>
      </w:r>
    </w:p>
    <w:p w14:paraId="39B6F8E8" w14:textId="77777777" w:rsidR="006F0521" w:rsidRPr="0075635D" w:rsidRDefault="006F0521" w:rsidP="0075635D">
      <w:pPr>
        <w:pStyle w:val="TFReferencesSection"/>
        <w:numPr>
          <w:ilvl w:val="0"/>
          <w:numId w:val="14"/>
        </w:numPr>
        <w:rPr>
          <w:rFonts w:cs="Times"/>
          <w:noProof/>
          <w:szCs w:val="24"/>
        </w:rPr>
      </w:pPr>
      <w:r w:rsidRPr="0075635D">
        <w:rPr>
          <w:rFonts w:cs="Times"/>
          <w:szCs w:val="24"/>
        </w:rPr>
        <w:t xml:space="preserve">Rawlings, F. F. J.; Lingafelter, E. C. </w:t>
      </w:r>
      <w:r w:rsidRPr="0075635D">
        <w:rPr>
          <w:rFonts w:cs="Times"/>
          <w:i/>
          <w:szCs w:val="24"/>
        </w:rPr>
        <w:t>J. Am. Chem. Soc.</w:t>
      </w:r>
      <w:r w:rsidRPr="0075635D">
        <w:rPr>
          <w:rFonts w:cs="Times"/>
          <w:szCs w:val="24"/>
        </w:rPr>
        <w:t xml:space="preserve"> </w:t>
      </w:r>
      <w:r w:rsidRPr="0075635D">
        <w:rPr>
          <w:rFonts w:cs="Times"/>
          <w:b/>
          <w:szCs w:val="24"/>
        </w:rPr>
        <w:t>1955</w:t>
      </w:r>
      <w:r w:rsidRPr="0075635D">
        <w:rPr>
          <w:rFonts w:cs="Times"/>
          <w:szCs w:val="24"/>
        </w:rPr>
        <w:t xml:space="preserve">, </w:t>
      </w:r>
      <w:r w:rsidRPr="0075635D">
        <w:rPr>
          <w:rFonts w:cs="Times"/>
          <w:i/>
          <w:szCs w:val="24"/>
        </w:rPr>
        <w:t>77</w:t>
      </w:r>
      <w:r w:rsidRPr="0075635D">
        <w:rPr>
          <w:rFonts w:cs="Times"/>
          <w:szCs w:val="24"/>
        </w:rPr>
        <w:t>, 870-872.</w:t>
      </w:r>
    </w:p>
    <w:p w14:paraId="3B77AE41" w14:textId="77777777" w:rsidR="006F0521" w:rsidRPr="0075635D" w:rsidRDefault="006F0521" w:rsidP="0075635D">
      <w:pPr>
        <w:pStyle w:val="TFReferencesSection"/>
        <w:numPr>
          <w:ilvl w:val="0"/>
          <w:numId w:val="14"/>
        </w:numPr>
        <w:rPr>
          <w:rFonts w:cs="Times"/>
          <w:noProof/>
          <w:szCs w:val="24"/>
        </w:rPr>
      </w:pPr>
      <w:r w:rsidRPr="0075635D">
        <w:rPr>
          <w:rFonts w:cs="Times"/>
          <w:noProof/>
          <w:szCs w:val="24"/>
        </w:rPr>
        <w:t xml:space="preserve">Sperline, R. P. </w:t>
      </w:r>
      <w:r w:rsidRPr="0075635D">
        <w:rPr>
          <w:rFonts w:cs="Times"/>
          <w:i/>
          <w:iCs/>
          <w:noProof/>
          <w:szCs w:val="24"/>
        </w:rPr>
        <w:t>Langmuir</w:t>
      </w:r>
      <w:r w:rsidRPr="0075635D">
        <w:rPr>
          <w:rFonts w:cs="Times"/>
          <w:noProof/>
          <w:szCs w:val="24"/>
        </w:rPr>
        <w:t xml:space="preserve"> </w:t>
      </w:r>
      <w:r w:rsidRPr="0075635D">
        <w:rPr>
          <w:rFonts w:cs="Times"/>
          <w:b/>
          <w:noProof/>
          <w:szCs w:val="24"/>
        </w:rPr>
        <w:t>1997</w:t>
      </w:r>
      <w:r w:rsidRPr="0075635D">
        <w:rPr>
          <w:rFonts w:cs="Times"/>
          <w:noProof/>
          <w:szCs w:val="24"/>
        </w:rPr>
        <w:t xml:space="preserve">, </w:t>
      </w:r>
      <w:r w:rsidRPr="0075635D">
        <w:rPr>
          <w:rFonts w:cs="Times"/>
          <w:i/>
          <w:noProof/>
          <w:szCs w:val="24"/>
        </w:rPr>
        <w:t>13</w:t>
      </w:r>
      <w:r w:rsidRPr="0075635D">
        <w:rPr>
          <w:rFonts w:cs="Times"/>
          <w:noProof/>
          <w:szCs w:val="24"/>
        </w:rPr>
        <w:t>, 3715–3726.</w:t>
      </w:r>
    </w:p>
    <w:p w14:paraId="0B726F79" w14:textId="77777777" w:rsidR="00021C68" w:rsidRPr="0075635D" w:rsidRDefault="00021C68" w:rsidP="0075635D">
      <w:pPr>
        <w:pStyle w:val="TFReferencesSection"/>
        <w:numPr>
          <w:ilvl w:val="0"/>
          <w:numId w:val="14"/>
        </w:numPr>
        <w:rPr>
          <w:rFonts w:cs="Times"/>
          <w:i/>
          <w:noProof/>
          <w:szCs w:val="24"/>
        </w:rPr>
      </w:pPr>
      <w:r w:rsidRPr="0075635D">
        <w:rPr>
          <w:rFonts w:cs="Times"/>
          <w:noProof/>
          <w:szCs w:val="24"/>
        </w:rPr>
        <w:t xml:space="preserve">Thompson, W. K. </w:t>
      </w:r>
      <w:r w:rsidRPr="0075635D">
        <w:rPr>
          <w:rFonts w:cs="Times"/>
          <w:i/>
          <w:noProof/>
          <w:szCs w:val="24"/>
        </w:rPr>
        <w:t>Spectrochim. Acta Part A: Molecular Spectroscopy</w:t>
      </w:r>
      <w:r w:rsidRPr="0075635D">
        <w:rPr>
          <w:rFonts w:cs="Times"/>
          <w:noProof/>
          <w:szCs w:val="24"/>
        </w:rPr>
        <w:t xml:space="preserve">, </w:t>
      </w:r>
      <w:r w:rsidRPr="0075635D">
        <w:rPr>
          <w:rFonts w:cs="Times"/>
          <w:b/>
          <w:noProof/>
          <w:szCs w:val="24"/>
        </w:rPr>
        <w:t>1974</w:t>
      </w:r>
      <w:r w:rsidRPr="0075635D">
        <w:rPr>
          <w:rFonts w:cs="Times"/>
          <w:noProof/>
          <w:szCs w:val="24"/>
        </w:rPr>
        <w:t xml:space="preserve">, </w:t>
      </w:r>
      <w:r w:rsidRPr="0075635D">
        <w:rPr>
          <w:rFonts w:cs="Times"/>
          <w:i/>
          <w:noProof/>
          <w:szCs w:val="24"/>
        </w:rPr>
        <w:t>30</w:t>
      </w:r>
      <w:r w:rsidRPr="0075635D">
        <w:rPr>
          <w:rFonts w:cs="Times"/>
          <w:noProof/>
          <w:szCs w:val="24"/>
        </w:rPr>
        <w:t>, 117–124.</w:t>
      </w:r>
    </w:p>
    <w:p w14:paraId="402B340C" w14:textId="77777777" w:rsidR="00021C68" w:rsidRPr="0075635D" w:rsidRDefault="00021C68" w:rsidP="0075635D">
      <w:pPr>
        <w:pStyle w:val="TFReferencesSection"/>
        <w:numPr>
          <w:ilvl w:val="0"/>
          <w:numId w:val="14"/>
        </w:numPr>
        <w:rPr>
          <w:rFonts w:cs="Times"/>
          <w:noProof/>
          <w:szCs w:val="24"/>
        </w:rPr>
      </w:pPr>
      <w:r w:rsidRPr="0075635D">
        <w:rPr>
          <w:rFonts w:cs="Times"/>
          <w:noProof/>
          <w:szCs w:val="24"/>
        </w:rPr>
        <w:t xml:space="preserve">Kawai, T.; Umemura, J.; Takenaka, T. </w:t>
      </w:r>
      <w:r w:rsidRPr="0075635D">
        <w:rPr>
          <w:rFonts w:cs="Times"/>
          <w:i/>
          <w:noProof/>
          <w:szCs w:val="24"/>
        </w:rPr>
        <w:t>Bull. Inst. Chem. Res., Kyoto Univ.</w:t>
      </w:r>
      <w:r w:rsidRPr="0075635D">
        <w:rPr>
          <w:rFonts w:cs="Times"/>
          <w:noProof/>
          <w:szCs w:val="24"/>
        </w:rPr>
        <w:t xml:space="preserve"> </w:t>
      </w:r>
      <w:r w:rsidRPr="0075635D">
        <w:rPr>
          <w:rFonts w:cs="Times"/>
          <w:b/>
          <w:noProof/>
          <w:szCs w:val="24"/>
        </w:rPr>
        <w:t>1983</w:t>
      </w:r>
      <w:r w:rsidRPr="0075635D">
        <w:rPr>
          <w:rFonts w:cs="Times"/>
          <w:noProof/>
          <w:szCs w:val="24"/>
        </w:rPr>
        <w:t xml:space="preserve">, </w:t>
      </w:r>
      <w:r w:rsidRPr="0075635D">
        <w:rPr>
          <w:rFonts w:cs="Times"/>
          <w:i/>
          <w:noProof/>
          <w:szCs w:val="24"/>
        </w:rPr>
        <w:t>61</w:t>
      </w:r>
      <w:r w:rsidRPr="0075635D">
        <w:rPr>
          <w:rFonts w:cs="Times"/>
          <w:noProof/>
          <w:szCs w:val="24"/>
        </w:rPr>
        <w:t>, 314–323.</w:t>
      </w:r>
    </w:p>
    <w:p w14:paraId="547887F3" w14:textId="77777777" w:rsidR="00021C68" w:rsidRPr="0075635D" w:rsidRDefault="00021C68" w:rsidP="0075635D">
      <w:pPr>
        <w:pStyle w:val="TFReferencesSection"/>
        <w:numPr>
          <w:ilvl w:val="0"/>
          <w:numId w:val="14"/>
        </w:numPr>
        <w:rPr>
          <w:rFonts w:cs="Times"/>
          <w:noProof/>
          <w:szCs w:val="24"/>
        </w:rPr>
      </w:pPr>
      <w:r w:rsidRPr="0075635D">
        <w:rPr>
          <w:rFonts w:cs="Times"/>
          <w:noProof/>
          <w:szCs w:val="24"/>
        </w:rPr>
        <w:t xml:space="preserve">Picquart, M. </w:t>
      </w:r>
      <w:r w:rsidRPr="0075635D">
        <w:rPr>
          <w:rFonts w:cs="Times"/>
          <w:i/>
          <w:iCs/>
          <w:noProof/>
          <w:szCs w:val="24"/>
        </w:rPr>
        <w:t>J. Phys. Chem.</w:t>
      </w:r>
      <w:r w:rsidRPr="0075635D">
        <w:rPr>
          <w:rFonts w:cs="Times"/>
          <w:noProof/>
          <w:szCs w:val="24"/>
        </w:rPr>
        <w:t xml:space="preserve"> </w:t>
      </w:r>
      <w:r w:rsidRPr="0075635D">
        <w:rPr>
          <w:rFonts w:cs="Times"/>
          <w:b/>
          <w:noProof/>
          <w:szCs w:val="24"/>
        </w:rPr>
        <w:t>1986</w:t>
      </w:r>
      <w:r w:rsidRPr="0075635D">
        <w:rPr>
          <w:rFonts w:cs="Times"/>
          <w:noProof/>
          <w:szCs w:val="24"/>
        </w:rPr>
        <w:t xml:space="preserve">, </w:t>
      </w:r>
      <w:r w:rsidRPr="0075635D">
        <w:rPr>
          <w:rFonts w:cs="Times"/>
          <w:i/>
          <w:noProof/>
          <w:szCs w:val="24"/>
        </w:rPr>
        <w:t>90</w:t>
      </w:r>
      <w:r w:rsidRPr="0075635D">
        <w:rPr>
          <w:rFonts w:cs="Times"/>
          <w:noProof/>
          <w:szCs w:val="24"/>
        </w:rPr>
        <w:t>, 243–250.</w:t>
      </w:r>
    </w:p>
    <w:p w14:paraId="5FF27297" w14:textId="77777777" w:rsidR="00021C68" w:rsidRPr="0075635D" w:rsidRDefault="00021C68" w:rsidP="0075635D">
      <w:pPr>
        <w:pStyle w:val="TFReferencesSection"/>
        <w:numPr>
          <w:ilvl w:val="0"/>
          <w:numId w:val="14"/>
        </w:numPr>
        <w:rPr>
          <w:rFonts w:cs="Times"/>
          <w:noProof/>
          <w:szCs w:val="24"/>
        </w:rPr>
      </w:pPr>
      <w:r w:rsidRPr="0075635D">
        <w:rPr>
          <w:rFonts w:cs="Times"/>
          <w:noProof/>
          <w:szCs w:val="24"/>
        </w:rPr>
        <w:t xml:space="preserve">Miller, R. M.; Poulos, A. S.; Robles, E. S. J.; Brooks, N. J.; Ces, O.; Cabral, J. T. </w:t>
      </w:r>
      <w:r w:rsidRPr="0075635D">
        <w:rPr>
          <w:rFonts w:cs="Times"/>
          <w:i/>
          <w:noProof/>
          <w:szCs w:val="24"/>
        </w:rPr>
        <w:t>Cryst. Growth Des.</w:t>
      </w:r>
      <w:r w:rsidRPr="0075635D">
        <w:rPr>
          <w:rFonts w:cs="Times"/>
          <w:noProof/>
          <w:szCs w:val="24"/>
        </w:rPr>
        <w:t xml:space="preserve"> </w:t>
      </w:r>
      <w:r w:rsidRPr="0075635D">
        <w:rPr>
          <w:rFonts w:cs="Times"/>
          <w:b/>
          <w:noProof/>
          <w:szCs w:val="24"/>
        </w:rPr>
        <w:t>2016</w:t>
      </w:r>
      <w:r w:rsidRPr="0075635D">
        <w:rPr>
          <w:rFonts w:cs="Times"/>
          <w:noProof/>
          <w:szCs w:val="24"/>
        </w:rPr>
        <w:t xml:space="preserve">, </w:t>
      </w:r>
      <w:r w:rsidRPr="0075635D">
        <w:rPr>
          <w:rFonts w:cs="Times"/>
          <w:i/>
          <w:noProof/>
          <w:szCs w:val="24"/>
        </w:rPr>
        <w:t>16</w:t>
      </w:r>
      <w:r w:rsidRPr="0075635D">
        <w:rPr>
          <w:rFonts w:cs="Times"/>
          <w:noProof/>
          <w:szCs w:val="24"/>
        </w:rPr>
        <w:t>, 3379–3388.</w:t>
      </w:r>
    </w:p>
    <w:p w14:paraId="0932095C" w14:textId="77777777" w:rsidR="00021C68" w:rsidRPr="0075635D" w:rsidRDefault="00021C68" w:rsidP="0075635D">
      <w:pPr>
        <w:pStyle w:val="TFReferencesSection"/>
        <w:numPr>
          <w:ilvl w:val="0"/>
          <w:numId w:val="14"/>
        </w:numPr>
        <w:rPr>
          <w:rFonts w:cs="Times"/>
          <w:noProof/>
          <w:szCs w:val="24"/>
        </w:rPr>
      </w:pPr>
      <w:r w:rsidRPr="0075635D">
        <w:rPr>
          <w:rFonts w:cs="Times"/>
          <w:szCs w:val="24"/>
        </w:rPr>
        <w:t xml:space="preserve">Smith, L. A.; Duncan, A.; Thomson, G. B.; Roberts, K. J.; Machin, D.; McLeod, G. </w:t>
      </w:r>
      <w:r w:rsidRPr="0075635D">
        <w:rPr>
          <w:rFonts w:cs="Times"/>
          <w:i/>
          <w:szCs w:val="24"/>
        </w:rPr>
        <w:t>J. Cryst. Growth</w:t>
      </w:r>
      <w:r w:rsidRPr="0075635D">
        <w:rPr>
          <w:rFonts w:cs="Times"/>
          <w:szCs w:val="24"/>
        </w:rPr>
        <w:t xml:space="preserve"> </w:t>
      </w:r>
      <w:r w:rsidRPr="0075635D">
        <w:rPr>
          <w:rFonts w:cs="Times"/>
          <w:b/>
          <w:szCs w:val="24"/>
        </w:rPr>
        <w:t>2004</w:t>
      </w:r>
      <w:r w:rsidRPr="0075635D">
        <w:rPr>
          <w:rFonts w:cs="Times"/>
          <w:szCs w:val="24"/>
        </w:rPr>
        <w:t xml:space="preserve">, </w:t>
      </w:r>
      <w:r w:rsidRPr="0075635D">
        <w:rPr>
          <w:rFonts w:cs="Times"/>
          <w:i/>
          <w:szCs w:val="24"/>
        </w:rPr>
        <w:t>263</w:t>
      </w:r>
      <w:r w:rsidRPr="0075635D">
        <w:rPr>
          <w:rFonts w:cs="Times"/>
          <w:szCs w:val="24"/>
        </w:rPr>
        <w:t>, 4</w:t>
      </w:r>
      <w:r w:rsidRPr="0075635D">
        <w:rPr>
          <w:rFonts w:cs="Times"/>
          <w:noProof/>
          <w:szCs w:val="24"/>
        </w:rPr>
        <w:t>80–490</w:t>
      </w:r>
      <w:r w:rsidRPr="0075635D">
        <w:rPr>
          <w:rFonts w:cs="Times"/>
          <w:szCs w:val="24"/>
        </w:rPr>
        <w:t>.</w:t>
      </w:r>
    </w:p>
    <w:p w14:paraId="5F9DB3E2" w14:textId="77777777" w:rsidR="00021C68" w:rsidRPr="0075635D" w:rsidRDefault="00021C68" w:rsidP="0075635D">
      <w:pPr>
        <w:pStyle w:val="TFReferencesSection"/>
        <w:numPr>
          <w:ilvl w:val="0"/>
          <w:numId w:val="14"/>
        </w:numPr>
        <w:rPr>
          <w:rFonts w:cs="Times"/>
          <w:noProof/>
          <w:szCs w:val="24"/>
        </w:rPr>
      </w:pPr>
      <w:r w:rsidRPr="0075635D">
        <w:rPr>
          <w:rFonts w:cs="Times"/>
          <w:szCs w:val="24"/>
        </w:rPr>
        <w:t xml:space="preserve">Smith, L. A.; Roberts, K. J.; Machin, D.; McLeod, G. </w:t>
      </w:r>
      <w:r w:rsidRPr="0075635D">
        <w:rPr>
          <w:rFonts w:cs="Times"/>
          <w:i/>
          <w:szCs w:val="24"/>
        </w:rPr>
        <w:t>J. Cryst. Growth</w:t>
      </w:r>
      <w:r w:rsidRPr="0075635D">
        <w:rPr>
          <w:rFonts w:cs="Times"/>
          <w:szCs w:val="24"/>
        </w:rPr>
        <w:t xml:space="preserve"> </w:t>
      </w:r>
      <w:r w:rsidRPr="0075635D">
        <w:rPr>
          <w:rFonts w:cs="Times"/>
          <w:b/>
          <w:szCs w:val="24"/>
        </w:rPr>
        <w:t>2001</w:t>
      </w:r>
      <w:r w:rsidRPr="0075635D">
        <w:rPr>
          <w:rFonts w:cs="Times"/>
          <w:szCs w:val="24"/>
        </w:rPr>
        <w:t xml:space="preserve">, </w:t>
      </w:r>
      <w:r w:rsidRPr="0075635D">
        <w:rPr>
          <w:rFonts w:cs="Times"/>
          <w:i/>
          <w:szCs w:val="24"/>
        </w:rPr>
        <w:t>226</w:t>
      </w:r>
      <w:r w:rsidRPr="0075635D">
        <w:rPr>
          <w:rFonts w:cs="Times"/>
          <w:szCs w:val="24"/>
        </w:rPr>
        <w:t>, 1</w:t>
      </w:r>
      <w:r w:rsidRPr="0075635D">
        <w:rPr>
          <w:rFonts w:cs="Times"/>
          <w:noProof/>
          <w:szCs w:val="24"/>
        </w:rPr>
        <w:t>58–167.</w:t>
      </w:r>
    </w:p>
    <w:p w14:paraId="7535BDA8" w14:textId="77777777" w:rsidR="00833BDC" w:rsidRPr="0075635D" w:rsidRDefault="00833BDC" w:rsidP="0075635D">
      <w:pPr>
        <w:pStyle w:val="TFReferencesSection"/>
        <w:numPr>
          <w:ilvl w:val="0"/>
          <w:numId w:val="14"/>
        </w:numPr>
        <w:rPr>
          <w:rFonts w:cs="Times"/>
          <w:noProof/>
          <w:szCs w:val="24"/>
        </w:rPr>
      </w:pPr>
      <w:r w:rsidRPr="0075635D">
        <w:rPr>
          <w:rFonts w:cs="Times"/>
          <w:szCs w:val="24"/>
        </w:rPr>
        <w:t xml:space="preserve">Smith, L. A.; Thomson, G. B.; Roberts, K. J.; Machin, D.; McLeod, G. </w:t>
      </w:r>
      <w:r w:rsidRPr="0075635D">
        <w:rPr>
          <w:rFonts w:cs="Times"/>
          <w:i/>
          <w:szCs w:val="24"/>
        </w:rPr>
        <w:t>Cryst. Growth Des.</w:t>
      </w:r>
      <w:r w:rsidRPr="0075635D">
        <w:rPr>
          <w:rFonts w:cs="Times"/>
          <w:szCs w:val="24"/>
        </w:rPr>
        <w:t xml:space="preserve"> </w:t>
      </w:r>
      <w:r w:rsidRPr="0075635D">
        <w:rPr>
          <w:rFonts w:cs="Times"/>
          <w:b/>
          <w:szCs w:val="24"/>
        </w:rPr>
        <w:t>2005</w:t>
      </w:r>
      <w:r w:rsidRPr="0075635D">
        <w:rPr>
          <w:rFonts w:cs="Times"/>
          <w:szCs w:val="24"/>
        </w:rPr>
        <w:t xml:space="preserve">, </w:t>
      </w:r>
      <w:r w:rsidRPr="0075635D">
        <w:rPr>
          <w:rFonts w:cs="Times"/>
          <w:i/>
          <w:szCs w:val="24"/>
        </w:rPr>
        <w:t>5</w:t>
      </w:r>
      <w:r w:rsidRPr="0075635D">
        <w:rPr>
          <w:rFonts w:cs="Times"/>
          <w:szCs w:val="24"/>
        </w:rPr>
        <w:t>, 2164</w:t>
      </w:r>
      <w:r w:rsidRPr="0075635D">
        <w:rPr>
          <w:rFonts w:cs="Times"/>
          <w:noProof/>
          <w:szCs w:val="24"/>
        </w:rPr>
        <w:t>–</w:t>
      </w:r>
      <w:r w:rsidRPr="0075635D">
        <w:rPr>
          <w:rFonts w:cs="Times"/>
          <w:szCs w:val="24"/>
        </w:rPr>
        <w:t>2172.</w:t>
      </w:r>
    </w:p>
    <w:p w14:paraId="29B9D676" w14:textId="77777777" w:rsidR="00833BDC" w:rsidRPr="0075635D" w:rsidRDefault="00833BDC" w:rsidP="0075635D">
      <w:pPr>
        <w:pStyle w:val="TFReferencesSection"/>
        <w:numPr>
          <w:ilvl w:val="0"/>
          <w:numId w:val="14"/>
        </w:numPr>
        <w:rPr>
          <w:rFonts w:cs="Times"/>
          <w:noProof/>
          <w:szCs w:val="24"/>
        </w:rPr>
      </w:pPr>
      <w:r w:rsidRPr="0075635D">
        <w:rPr>
          <w:rFonts w:cs="Times"/>
          <w:noProof/>
          <w:szCs w:val="24"/>
        </w:rPr>
        <w:t xml:space="preserve">Kissinger, H. E. </w:t>
      </w:r>
      <w:r w:rsidRPr="0075635D">
        <w:rPr>
          <w:rFonts w:cs="Times"/>
          <w:i/>
          <w:noProof/>
          <w:szCs w:val="24"/>
        </w:rPr>
        <w:t>J. Res. Natl. Bur. Stand.</w:t>
      </w:r>
      <w:r w:rsidRPr="0075635D">
        <w:rPr>
          <w:rFonts w:cs="Times"/>
          <w:noProof/>
          <w:szCs w:val="24"/>
        </w:rPr>
        <w:t xml:space="preserve"> </w:t>
      </w:r>
      <w:r w:rsidRPr="0075635D">
        <w:rPr>
          <w:rFonts w:cs="Times"/>
          <w:b/>
          <w:noProof/>
          <w:szCs w:val="24"/>
        </w:rPr>
        <w:t>1956</w:t>
      </w:r>
      <w:r w:rsidRPr="0075635D">
        <w:rPr>
          <w:rFonts w:cs="Times"/>
          <w:noProof/>
          <w:szCs w:val="24"/>
        </w:rPr>
        <w:t xml:space="preserve">, </w:t>
      </w:r>
      <w:r w:rsidRPr="0075635D">
        <w:rPr>
          <w:rFonts w:cs="Times"/>
          <w:i/>
          <w:noProof/>
          <w:szCs w:val="24"/>
        </w:rPr>
        <w:t>57</w:t>
      </w:r>
      <w:r w:rsidRPr="0075635D">
        <w:rPr>
          <w:rFonts w:cs="Times"/>
          <w:noProof/>
          <w:szCs w:val="24"/>
        </w:rPr>
        <w:t>, 217–221.</w:t>
      </w:r>
    </w:p>
    <w:p w14:paraId="16398033" w14:textId="142406A8" w:rsidR="00833BDC" w:rsidRPr="0075635D" w:rsidRDefault="00833BDC" w:rsidP="0075635D">
      <w:pPr>
        <w:pStyle w:val="TFReferencesSection"/>
        <w:numPr>
          <w:ilvl w:val="0"/>
          <w:numId w:val="14"/>
        </w:numPr>
        <w:rPr>
          <w:rFonts w:cs="Times"/>
          <w:noProof/>
          <w:szCs w:val="24"/>
        </w:rPr>
      </w:pPr>
      <w:r w:rsidRPr="0075635D">
        <w:rPr>
          <w:rFonts w:cs="Times"/>
          <w:noProof/>
          <w:szCs w:val="24"/>
        </w:rPr>
        <w:t xml:space="preserve">Muramatsu, M.; Inoue, M. </w:t>
      </w:r>
      <w:r w:rsidRPr="0075635D">
        <w:rPr>
          <w:rFonts w:cs="Times"/>
          <w:i/>
          <w:noProof/>
          <w:szCs w:val="24"/>
        </w:rPr>
        <w:t>J. Colloid Interface Sci.</w:t>
      </w:r>
      <w:r w:rsidRPr="0075635D">
        <w:rPr>
          <w:rFonts w:cs="Times"/>
          <w:noProof/>
          <w:szCs w:val="24"/>
        </w:rPr>
        <w:t xml:space="preserve"> </w:t>
      </w:r>
      <w:r w:rsidRPr="0075635D">
        <w:rPr>
          <w:rFonts w:cs="Times"/>
          <w:b/>
          <w:noProof/>
          <w:szCs w:val="24"/>
        </w:rPr>
        <w:t>1976</w:t>
      </w:r>
      <w:r w:rsidRPr="0075635D">
        <w:rPr>
          <w:rFonts w:cs="Times"/>
          <w:noProof/>
          <w:szCs w:val="24"/>
        </w:rPr>
        <w:t xml:space="preserve">, </w:t>
      </w:r>
      <w:r w:rsidRPr="0075635D">
        <w:rPr>
          <w:rFonts w:cs="Times"/>
          <w:i/>
          <w:noProof/>
          <w:szCs w:val="24"/>
        </w:rPr>
        <w:t>55</w:t>
      </w:r>
      <w:r w:rsidRPr="0075635D">
        <w:rPr>
          <w:rFonts w:cs="Times"/>
          <w:noProof/>
          <w:szCs w:val="24"/>
        </w:rPr>
        <w:t>, 80–84.</w:t>
      </w:r>
    </w:p>
    <w:p w14:paraId="36F7D202" w14:textId="77777777" w:rsidR="00833BDC" w:rsidRPr="0075635D" w:rsidRDefault="00833BDC" w:rsidP="0075635D">
      <w:pPr>
        <w:pStyle w:val="TFReferencesSection"/>
        <w:numPr>
          <w:ilvl w:val="0"/>
          <w:numId w:val="14"/>
        </w:numPr>
        <w:rPr>
          <w:rFonts w:cs="Times"/>
          <w:noProof/>
          <w:szCs w:val="24"/>
        </w:rPr>
      </w:pPr>
      <w:r w:rsidRPr="0075635D">
        <w:rPr>
          <w:rFonts w:cs="Times"/>
          <w:szCs w:val="24"/>
        </w:rPr>
        <w:lastRenderedPageBreak/>
        <w:t xml:space="preserve">Bethell, D.; Fessey, R. E.; Namwindwa, E.; Roberts, D. W. </w:t>
      </w:r>
      <w:r w:rsidRPr="0075635D">
        <w:rPr>
          <w:rFonts w:cs="Times"/>
          <w:i/>
          <w:szCs w:val="24"/>
        </w:rPr>
        <w:t>J. Chem. Soc., Perkin Trans. 2</w:t>
      </w:r>
      <w:r w:rsidRPr="0075635D">
        <w:rPr>
          <w:rFonts w:cs="Times"/>
          <w:szCs w:val="24"/>
        </w:rPr>
        <w:t xml:space="preserve"> </w:t>
      </w:r>
      <w:r w:rsidRPr="0075635D">
        <w:rPr>
          <w:rFonts w:cs="Times"/>
          <w:b/>
          <w:szCs w:val="24"/>
        </w:rPr>
        <w:t>2001</w:t>
      </w:r>
      <w:r w:rsidRPr="0075635D">
        <w:rPr>
          <w:rFonts w:cs="Times"/>
          <w:szCs w:val="24"/>
        </w:rPr>
        <w:t>, 1489</w:t>
      </w:r>
      <w:r w:rsidRPr="0075635D">
        <w:rPr>
          <w:rFonts w:cs="Times"/>
          <w:noProof/>
          <w:szCs w:val="24"/>
        </w:rPr>
        <w:t>–1495</w:t>
      </w:r>
      <w:r w:rsidRPr="0075635D">
        <w:rPr>
          <w:rFonts w:cs="Times"/>
          <w:szCs w:val="24"/>
        </w:rPr>
        <w:t>.</w:t>
      </w:r>
    </w:p>
    <w:p w14:paraId="5C407A61" w14:textId="2A2558FE" w:rsidR="00833BDC" w:rsidRPr="0075635D" w:rsidRDefault="00833BDC" w:rsidP="0075635D">
      <w:pPr>
        <w:pStyle w:val="TFReferencesSection"/>
        <w:numPr>
          <w:ilvl w:val="0"/>
          <w:numId w:val="14"/>
        </w:numPr>
        <w:rPr>
          <w:rFonts w:cs="Times"/>
          <w:szCs w:val="24"/>
        </w:rPr>
      </w:pPr>
      <w:r w:rsidRPr="0075635D">
        <w:rPr>
          <w:rFonts w:cs="Times"/>
          <w:szCs w:val="24"/>
        </w:rPr>
        <w:t xml:space="preserve">Melia, T. P.; Moffitt, W. P. </w:t>
      </w:r>
      <w:r w:rsidRPr="0075635D">
        <w:rPr>
          <w:rFonts w:cs="Times"/>
          <w:i/>
          <w:szCs w:val="24"/>
        </w:rPr>
        <w:t>J. Colloid Interface Sci.</w:t>
      </w:r>
      <w:r w:rsidRPr="0075635D">
        <w:rPr>
          <w:rFonts w:cs="Times"/>
          <w:szCs w:val="24"/>
        </w:rPr>
        <w:t xml:space="preserve"> </w:t>
      </w:r>
      <w:r w:rsidRPr="0075635D">
        <w:rPr>
          <w:rFonts w:cs="Times"/>
          <w:b/>
          <w:szCs w:val="24"/>
        </w:rPr>
        <w:t>1964</w:t>
      </w:r>
      <w:r w:rsidRPr="0075635D">
        <w:rPr>
          <w:rFonts w:cs="Times"/>
          <w:szCs w:val="24"/>
        </w:rPr>
        <w:t xml:space="preserve">, </w:t>
      </w:r>
      <w:r w:rsidRPr="0075635D">
        <w:rPr>
          <w:rFonts w:cs="Times"/>
          <w:i/>
          <w:szCs w:val="24"/>
        </w:rPr>
        <w:t>19</w:t>
      </w:r>
      <w:r w:rsidRPr="0075635D">
        <w:rPr>
          <w:rFonts w:cs="Times"/>
          <w:szCs w:val="24"/>
        </w:rPr>
        <w:t>, 4</w:t>
      </w:r>
      <w:r w:rsidR="00CA35FC" w:rsidRPr="0075635D">
        <w:rPr>
          <w:rFonts w:cs="Times"/>
          <w:szCs w:val="24"/>
        </w:rPr>
        <w:t>3</w:t>
      </w:r>
      <w:r w:rsidRPr="0075635D">
        <w:rPr>
          <w:rFonts w:cs="Times"/>
          <w:szCs w:val="24"/>
        </w:rPr>
        <w:t>3–447.</w:t>
      </w:r>
    </w:p>
    <w:p w14:paraId="6A4BAC24" w14:textId="77777777" w:rsidR="00041815" w:rsidRPr="0075635D" w:rsidRDefault="00041815" w:rsidP="0075635D">
      <w:pPr>
        <w:pStyle w:val="TFReferencesSection"/>
        <w:numPr>
          <w:ilvl w:val="0"/>
          <w:numId w:val="14"/>
        </w:numPr>
        <w:rPr>
          <w:rFonts w:cs="Times"/>
          <w:noProof/>
          <w:szCs w:val="24"/>
        </w:rPr>
      </w:pPr>
      <w:r w:rsidRPr="0075635D">
        <w:rPr>
          <w:rFonts w:cs="Times"/>
          <w:szCs w:val="24"/>
        </w:rPr>
        <w:t xml:space="preserve">Mossop, S. C. </w:t>
      </w:r>
      <w:r w:rsidRPr="0075635D">
        <w:rPr>
          <w:rFonts w:cs="Times"/>
          <w:i/>
          <w:iCs/>
          <w:noProof/>
          <w:szCs w:val="24"/>
        </w:rPr>
        <w:t>Proc. Phys. Soc., Sect. B</w:t>
      </w:r>
      <w:r w:rsidRPr="0075635D">
        <w:rPr>
          <w:rFonts w:cs="Times"/>
          <w:noProof/>
          <w:szCs w:val="24"/>
        </w:rPr>
        <w:t xml:space="preserve"> </w:t>
      </w:r>
      <w:r w:rsidRPr="0075635D">
        <w:rPr>
          <w:rFonts w:cs="Times"/>
          <w:b/>
          <w:noProof/>
          <w:szCs w:val="24"/>
        </w:rPr>
        <w:t>1954</w:t>
      </w:r>
      <w:r w:rsidRPr="0075635D">
        <w:rPr>
          <w:rFonts w:cs="Times"/>
          <w:noProof/>
          <w:szCs w:val="24"/>
        </w:rPr>
        <w:t xml:space="preserve">, </w:t>
      </w:r>
      <w:r w:rsidRPr="0075635D">
        <w:rPr>
          <w:rFonts w:cs="Times"/>
          <w:i/>
          <w:noProof/>
          <w:szCs w:val="24"/>
        </w:rPr>
        <w:t>68</w:t>
      </w:r>
      <w:r w:rsidRPr="0075635D">
        <w:rPr>
          <w:rFonts w:cs="Times"/>
          <w:noProof/>
          <w:szCs w:val="24"/>
        </w:rPr>
        <w:t>, 193–208.</w:t>
      </w:r>
    </w:p>
    <w:p w14:paraId="7417E014" w14:textId="77777777" w:rsidR="00041815" w:rsidRPr="0075635D" w:rsidRDefault="00041815" w:rsidP="0075635D">
      <w:pPr>
        <w:pStyle w:val="TFReferencesSection"/>
        <w:numPr>
          <w:ilvl w:val="0"/>
          <w:numId w:val="14"/>
        </w:numPr>
        <w:rPr>
          <w:rFonts w:cs="Times"/>
          <w:szCs w:val="24"/>
        </w:rPr>
      </w:pPr>
      <w:r w:rsidRPr="0075635D">
        <w:rPr>
          <w:rFonts w:cs="Times"/>
          <w:szCs w:val="24"/>
        </w:rPr>
        <w:t xml:space="preserve">Lovette, M. A.; Browning, A. R.; Griffin, D. W.; Sizemore, J. P.; Snyder, R. C.; Doherty, M. F. </w:t>
      </w:r>
      <w:r w:rsidRPr="0075635D">
        <w:rPr>
          <w:rFonts w:cs="Times"/>
          <w:i/>
          <w:szCs w:val="24"/>
        </w:rPr>
        <w:t>Ind. Eng. Chem. Res.</w:t>
      </w:r>
      <w:r w:rsidRPr="0075635D">
        <w:rPr>
          <w:rFonts w:cs="Times"/>
          <w:szCs w:val="24"/>
        </w:rPr>
        <w:t xml:space="preserve"> </w:t>
      </w:r>
      <w:r w:rsidRPr="0075635D">
        <w:rPr>
          <w:rFonts w:cs="Times"/>
          <w:b/>
          <w:szCs w:val="24"/>
        </w:rPr>
        <w:t>2008</w:t>
      </w:r>
      <w:r w:rsidRPr="0075635D">
        <w:rPr>
          <w:rFonts w:cs="Times"/>
          <w:szCs w:val="24"/>
        </w:rPr>
        <w:t xml:space="preserve">, </w:t>
      </w:r>
      <w:r w:rsidRPr="0075635D">
        <w:rPr>
          <w:rFonts w:cs="Times"/>
          <w:i/>
          <w:szCs w:val="24"/>
        </w:rPr>
        <w:t>47</w:t>
      </w:r>
      <w:r w:rsidRPr="0075635D">
        <w:rPr>
          <w:rFonts w:cs="Times"/>
          <w:szCs w:val="24"/>
        </w:rPr>
        <w:t>, 9812–9833.</w:t>
      </w:r>
    </w:p>
    <w:p w14:paraId="52FC5AE6" w14:textId="77777777" w:rsidR="00041815" w:rsidRPr="0075635D" w:rsidRDefault="00041815" w:rsidP="0075635D">
      <w:pPr>
        <w:pStyle w:val="TFReferencesSection"/>
        <w:numPr>
          <w:ilvl w:val="0"/>
          <w:numId w:val="14"/>
        </w:numPr>
        <w:rPr>
          <w:rFonts w:cs="Times"/>
          <w:szCs w:val="24"/>
        </w:rPr>
      </w:pPr>
      <w:r w:rsidRPr="0075635D">
        <w:rPr>
          <w:rFonts w:cs="Times"/>
          <w:szCs w:val="24"/>
        </w:rPr>
        <w:t xml:space="preserve">Bigg, E. K. </w:t>
      </w:r>
      <w:r w:rsidRPr="0075635D">
        <w:rPr>
          <w:rFonts w:cs="Times"/>
          <w:i/>
          <w:szCs w:val="24"/>
        </w:rPr>
        <w:t>Proc. Phys. Soc., Sect. B</w:t>
      </w:r>
      <w:r w:rsidRPr="0075635D">
        <w:rPr>
          <w:rFonts w:cs="Times"/>
          <w:szCs w:val="24"/>
        </w:rPr>
        <w:t xml:space="preserve"> </w:t>
      </w:r>
      <w:r w:rsidRPr="0075635D">
        <w:rPr>
          <w:rFonts w:cs="Times"/>
          <w:b/>
          <w:szCs w:val="24"/>
        </w:rPr>
        <w:t>1953</w:t>
      </w:r>
      <w:r w:rsidRPr="0075635D">
        <w:rPr>
          <w:rFonts w:cs="Times"/>
          <w:szCs w:val="24"/>
        </w:rPr>
        <w:t xml:space="preserve">, </w:t>
      </w:r>
      <w:r w:rsidRPr="0075635D">
        <w:rPr>
          <w:rFonts w:cs="Times"/>
          <w:i/>
          <w:szCs w:val="24"/>
        </w:rPr>
        <w:t>66</w:t>
      </w:r>
      <w:r w:rsidRPr="0075635D">
        <w:rPr>
          <w:rFonts w:cs="Times"/>
          <w:szCs w:val="24"/>
        </w:rPr>
        <w:t>, 688–694.</w:t>
      </w:r>
    </w:p>
    <w:p w14:paraId="480CD690" w14:textId="77777777" w:rsidR="00041815" w:rsidRPr="0075635D" w:rsidRDefault="00041815" w:rsidP="0075635D">
      <w:pPr>
        <w:pStyle w:val="TFReferencesSection"/>
        <w:numPr>
          <w:ilvl w:val="0"/>
          <w:numId w:val="14"/>
        </w:numPr>
        <w:rPr>
          <w:rFonts w:cs="Times"/>
          <w:noProof/>
          <w:szCs w:val="24"/>
        </w:rPr>
      </w:pPr>
      <w:r w:rsidRPr="0075635D">
        <w:rPr>
          <w:rFonts w:cs="Times"/>
          <w:noProof/>
          <w:szCs w:val="24"/>
        </w:rPr>
        <w:t xml:space="preserve">Schick, C. </w:t>
      </w:r>
      <w:r w:rsidRPr="0075635D">
        <w:rPr>
          <w:rFonts w:cs="Times"/>
          <w:i/>
          <w:noProof/>
          <w:szCs w:val="24"/>
        </w:rPr>
        <w:t>Anal. Bioanal. Chem.</w:t>
      </w:r>
      <w:r w:rsidRPr="0075635D">
        <w:rPr>
          <w:rFonts w:cs="Times"/>
          <w:noProof/>
          <w:szCs w:val="24"/>
        </w:rPr>
        <w:t xml:space="preserve"> </w:t>
      </w:r>
      <w:r w:rsidRPr="0075635D">
        <w:rPr>
          <w:rFonts w:cs="Times"/>
          <w:b/>
          <w:noProof/>
          <w:szCs w:val="24"/>
        </w:rPr>
        <w:t>2009</w:t>
      </w:r>
      <w:r w:rsidRPr="0075635D">
        <w:rPr>
          <w:rFonts w:cs="Times"/>
          <w:noProof/>
          <w:szCs w:val="24"/>
        </w:rPr>
        <w:t xml:space="preserve">, </w:t>
      </w:r>
      <w:r w:rsidRPr="0075635D">
        <w:rPr>
          <w:rFonts w:cs="Times"/>
          <w:i/>
          <w:noProof/>
          <w:szCs w:val="24"/>
        </w:rPr>
        <w:t>395</w:t>
      </w:r>
      <w:r w:rsidRPr="0075635D">
        <w:rPr>
          <w:rFonts w:cs="Times"/>
          <w:noProof/>
          <w:szCs w:val="24"/>
        </w:rPr>
        <w:t>, 1589</w:t>
      </w:r>
      <w:r w:rsidRPr="0075635D">
        <w:rPr>
          <w:rFonts w:cs="Times"/>
          <w:szCs w:val="24"/>
        </w:rPr>
        <w:t>–1611.</w:t>
      </w:r>
    </w:p>
    <w:p w14:paraId="2F90348C" w14:textId="77777777" w:rsidR="00041815" w:rsidRPr="0075635D" w:rsidRDefault="00041815" w:rsidP="0075635D">
      <w:pPr>
        <w:pStyle w:val="TFReferencesSection"/>
        <w:numPr>
          <w:ilvl w:val="0"/>
          <w:numId w:val="14"/>
        </w:numPr>
        <w:rPr>
          <w:rFonts w:cs="Times"/>
          <w:szCs w:val="24"/>
        </w:rPr>
      </w:pPr>
      <w:r w:rsidRPr="0075635D">
        <w:rPr>
          <w:rFonts w:cs="Times"/>
          <w:szCs w:val="24"/>
        </w:rPr>
        <w:t xml:space="preserve">Rodríguez-Hornedo, N.; Murphy, D. </w:t>
      </w:r>
      <w:r w:rsidRPr="0075635D">
        <w:rPr>
          <w:rFonts w:cs="Times"/>
          <w:i/>
          <w:szCs w:val="24"/>
        </w:rPr>
        <w:t>J. Pharm. Sci.</w:t>
      </w:r>
      <w:r w:rsidRPr="0075635D">
        <w:rPr>
          <w:rFonts w:cs="Times"/>
          <w:szCs w:val="24"/>
        </w:rPr>
        <w:t xml:space="preserve"> </w:t>
      </w:r>
      <w:r w:rsidRPr="0075635D">
        <w:rPr>
          <w:rFonts w:cs="Times"/>
          <w:b/>
          <w:szCs w:val="24"/>
        </w:rPr>
        <w:t>1999</w:t>
      </w:r>
      <w:r w:rsidRPr="0075635D">
        <w:rPr>
          <w:rFonts w:cs="Times"/>
          <w:szCs w:val="24"/>
        </w:rPr>
        <w:t xml:space="preserve">, </w:t>
      </w:r>
      <w:r w:rsidRPr="0075635D">
        <w:rPr>
          <w:rFonts w:cs="Times"/>
          <w:i/>
          <w:szCs w:val="24"/>
        </w:rPr>
        <w:t>88</w:t>
      </w:r>
      <w:r w:rsidRPr="0075635D">
        <w:rPr>
          <w:rFonts w:cs="Times"/>
          <w:szCs w:val="24"/>
        </w:rPr>
        <w:t>, 651–660.</w:t>
      </w:r>
    </w:p>
    <w:p w14:paraId="4A3CAE5C" w14:textId="77777777" w:rsidR="00041815" w:rsidRPr="0075635D" w:rsidRDefault="00041815" w:rsidP="0075635D">
      <w:pPr>
        <w:pStyle w:val="TFReferencesSection"/>
        <w:numPr>
          <w:ilvl w:val="0"/>
          <w:numId w:val="14"/>
        </w:numPr>
        <w:rPr>
          <w:rFonts w:cs="Times"/>
          <w:szCs w:val="24"/>
        </w:rPr>
      </w:pPr>
      <w:r w:rsidRPr="0075635D">
        <w:rPr>
          <w:rFonts w:cs="Times"/>
          <w:szCs w:val="24"/>
        </w:rPr>
        <w:t xml:space="preserve">Vekilov, P.G. </w:t>
      </w:r>
      <w:r w:rsidRPr="0075635D">
        <w:rPr>
          <w:rFonts w:cs="Times"/>
          <w:i/>
          <w:szCs w:val="24"/>
        </w:rPr>
        <w:t>Cryst. Growth Des.</w:t>
      </w:r>
      <w:r w:rsidRPr="0075635D">
        <w:rPr>
          <w:rFonts w:cs="Times"/>
          <w:szCs w:val="24"/>
        </w:rPr>
        <w:t xml:space="preserve"> </w:t>
      </w:r>
      <w:r w:rsidRPr="0075635D">
        <w:rPr>
          <w:rFonts w:cs="Times"/>
          <w:b/>
          <w:szCs w:val="24"/>
        </w:rPr>
        <w:t>2010</w:t>
      </w:r>
      <w:r w:rsidRPr="0075635D">
        <w:rPr>
          <w:rFonts w:cs="Times"/>
          <w:szCs w:val="24"/>
        </w:rPr>
        <w:t xml:space="preserve">, </w:t>
      </w:r>
      <w:r w:rsidRPr="0075635D">
        <w:rPr>
          <w:rFonts w:cs="Times"/>
          <w:i/>
          <w:szCs w:val="24"/>
        </w:rPr>
        <w:t>10</w:t>
      </w:r>
      <w:r w:rsidRPr="0075635D">
        <w:rPr>
          <w:rFonts w:cs="Times"/>
          <w:szCs w:val="24"/>
        </w:rPr>
        <w:t>, 5007–5019.</w:t>
      </w:r>
    </w:p>
    <w:p w14:paraId="271A88CE" w14:textId="77777777" w:rsidR="00383671" w:rsidRPr="0075635D" w:rsidRDefault="00383671" w:rsidP="0075635D">
      <w:pPr>
        <w:pStyle w:val="TFReferencesSection"/>
        <w:numPr>
          <w:ilvl w:val="0"/>
          <w:numId w:val="14"/>
        </w:numPr>
        <w:rPr>
          <w:rFonts w:cs="Times"/>
          <w:noProof/>
          <w:szCs w:val="24"/>
        </w:rPr>
      </w:pPr>
      <w:r w:rsidRPr="0075635D">
        <w:rPr>
          <w:rFonts w:cs="Times"/>
          <w:szCs w:val="24"/>
        </w:rPr>
        <w:t xml:space="preserve">Garside, J.; Mersmann, A.; Nyvlt, J. </w:t>
      </w:r>
      <w:r w:rsidRPr="0075635D">
        <w:rPr>
          <w:rFonts w:cs="Times"/>
          <w:i/>
          <w:szCs w:val="24"/>
        </w:rPr>
        <w:t>Measurement of Crystal Growth and Nucleation Rates</w:t>
      </w:r>
      <w:r w:rsidRPr="0075635D">
        <w:rPr>
          <w:rFonts w:cs="Times"/>
          <w:szCs w:val="24"/>
        </w:rPr>
        <w:t>, 2nd ed.; Institution of Chemical Engineers: Rugby, 2002.</w:t>
      </w:r>
    </w:p>
    <w:p w14:paraId="0A728CF7" w14:textId="2B070174" w:rsidR="008759A8" w:rsidRPr="0075635D" w:rsidRDefault="008759A8" w:rsidP="0075635D">
      <w:pPr>
        <w:pStyle w:val="TFReferencesSection"/>
        <w:numPr>
          <w:ilvl w:val="0"/>
          <w:numId w:val="14"/>
        </w:numPr>
        <w:rPr>
          <w:rFonts w:cs="Times"/>
          <w:szCs w:val="24"/>
        </w:rPr>
      </w:pPr>
      <w:r w:rsidRPr="0075635D">
        <w:rPr>
          <w:rFonts w:cs="Times"/>
          <w:szCs w:val="24"/>
        </w:rPr>
        <w:t xml:space="preserve">Van Hook, A. </w:t>
      </w:r>
      <w:r w:rsidRPr="0075635D">
        <w:rPr>
          <w:rFonts w:cs="Times"/>
          <w:i/>
          <w:szCs w:val="24"/>
        </w:rPr>
        <w:t>Crystallization: Theory and Practice</w:t>
      </w:r>
      <w:r w:rsidRPr="0075635D">
        <w:rPr>
          <w:rFonts w:cs="Times"/>
          <w:szCs w:val="24"/>
        </w:rPr>
        <w:t>; Reinhold Pub</w:t>
      </w:r>
      <w:r w:rsidR="00C34C2B" w:rsidRPr="0075635D">
        <w:rPr>
          <w:rFonts w:cs="Times"/>
          <w:szCs w:val="24"/>
        </w:rPr>
        <w:t>. Corp.: New York, 1961</w:t>
      </w:r>
      <w:r w:rsidRPr="0075635D">
        <w:rPr>
          <w:rFonts w:cs="Times"/>
          <w:szCs w:val="24"/>
        </w:rPr>
        <w:t>.</w:t>
      </w:r>
    </w:p>
    <w:p w14:paraId="180B3810" w14:textId="6EDECA70" w:rsidR="008759A8" w:rsidRPr="0075635D" w:rsidRDefault="00C34C2B" w:rsidP="0075635D">
      <w:pPr>
        <w:pStyle w:val="TFReferencesSection"/>
        <w:numPr>
          <w:ilvl w:val="0"/>
          <w:numId w:val="14"/>
        </w:numPr>
        <w:rPr>
          <w:rFonts w:cs="Times"/>
          <w:szCs w:val="24"/>
        </w:rPr>
      </w:pPr>
      <w:r w:rsidRPr="0075635D">
        <w:rPr>
          <w:rFonts w:cs="Times"/>
          <w:szCs w:val="24"/>
        </w:rPr>
        <w:t xml:space="preserve">Mullin, J. W. </w:t>
      </w:r>
      <w:r w:rsidRPr="0075635D">
        <w:rPr>
          <w:rFonts w:cs="Times"/>
          <w:i/>
          <w:szCs w:val="24"/>
        </w:rPr>
        <w:t>Crystallization</w:t>
      </w:r>
      <w:r w:rsidR="000B4478" w:rsidRPr="0075635D">
        <w:rPr>
          <w:rFonts w:cs="Times"/>
          <w:szCs w:val="24"/>
        </w:rPr>
        <w:t>,</w:t>
      </w:r>
      <w:r w:rsidRPr="0075635D">
        <w:rPr>
          <w:rFonts w:cs="Times"/>
          <w:szCs w:val="24"/>
        </w:rPr>
        <w:t xml:space="preserve"> </w:t>
      </w:r>
      <w:r w:rsidR="000B4478" w:rsidRPr="0075635D">
        <w:rPr>
          <w:rFonts w:cs="Times"/>
          <w:szCs w:val="24"/>
        </w:rPr>
        <w:t>4</w:t>
      </w:r>
      <w:r w:rsidR="000B4478" w:rsidRPr="0075635D">
        <w:rPr>
          <w:rFonts w:cs="Times"/>
          <w:szCs w:val="24"/>
          <w:vertAlign w:val="superscript"/>
        </w:rPr>
        <w:t>th</w:t>
      </w:r>
      <w:r w:rsidR="000B4478" w:rsidRPr="0075635D">
        <w:rPr>
          <w:rFonts w:cs="Times"/>
          <w:szCs w:val="24"/>
        </w:rPr>
        <w:t xml:space="preserve"> ed.; </w:t>
      </w:r>
      <w:r w:rsidRPr="0075635D">
        <w:rPr>
          <w:rFonts w:cs="Times"/>
          <w:szCs w:val="24"/>
        </w:rPr>
        <w:t>Butterworth</w:t>
      </w:r>
      <w:r w:rsidR="004F11C1" w:rsidRPr="0075635D">
        <w:rPr>
          <w:rFonts w:cs="Times"/>
          <w:szCs w:val="24"/>
        </w:rPr>
        <w:t>-</w:t>
      </w:r>
      <w:r w:rsidRPr="0075635D">
        <w:rPr>
          <w:rFonts w:cs="Times"/>
          <w:szCs w:val="24"/>
        </w:rPr>
        <w:t>Hein</w:t>
      </w:r>
      <w:r w:rsidR="00CA35FC" w:rsidRPr="0075635D">
        <w:rPr>
          <w:rFonts w:cs="Times"/>
          <w:szCs w:val="24"/>
        </w:rPr>
        <w:t>e</w:t>
      </w:r>
      <w:r w:rsidRPr="0075635D">
        <w:rPr>
          <w:rFonts w:cs="Times"/>
          <w:szCs w:val="24"/>
        </w:rPr>
        <w:t>mann: Oxford, 2001.</w:t>
      </w:r>
    </w:p>
    <w:p w14:paraId="1497A114" w14:textId="77777777" w:rsidR="008759A8" w:rsidRPr="0075635D" w:rsidRDefault="008759A8" w:rsidP="0075635D">
      <w:pPr>
        <w:pStyle w:val="TFReferencesSection"/>
        <w:numPr>
          <w:ilvl w:val="0"/>
          <w:numId w:val="14"/>
        </w:numPr>
        <w:rPr>
          <w:rFonts w:cs="Times"/>
          <w:noProof/>
          <w:szCs w:val="24"/>
        </w:rPr>
      </w:pPr>
      <w:r w:rsidRPr="0075635D">
        <w:rPr>
          <w:rFonts w:cs="Times"/>
          <w:noProof/>
          <w:szCs w:val="24"/>
        </w:rPr>
        <w:t xml:space="preserve">Nývlt, J.; Rychlý, R.; Gottfried, J.; Wurzelová, J. </w:t>
      </w:r>
      <w:r w:rsidRPr="0075635D">
        <w:rPr>
          <w:rFonts w:cs="Times"/>
          <w:i/>
          <w:noProof/>
          <w:szCs w:val="24"/>
        </w:rPr>
        <w:t>J. Cryst. Growth</w:t>
      </w:r>
      <w:r w:rsidRPr="0075635D">
        <w:rPr>
          <w:rFonts w:cs="Times"/>
          <w:noProof/>
          <w:szCs w:val="24"/>
        </w:rPr>
        <w:t xml:space="preserve">, </w:t>
      </w:r>
      <w:r w:rsidRPr="0075635D">
        <w:rPr>
          <w:rFonts w:cs="Times"/>
          <w:b/>
          <w:noProof/>
          <w:szCs w:val="24"/>
        </w:rPr>
        <w:t>1970</w:t>
      </w:r>
      <w:r w:rsidRPr="0075635D">
        <w:rPr>
          <w:rFonts w:cs="Times"/>
          <w:noProof/>
          <w:szCs w:val="24"/>
        </w:rPr>
        <w:t xml:space="preserve">, </w:t>
      </w:r>
      <w:r w:rsidRPr="0075635D">
        <w:rPr>
          <w:rFonts w:cs="Times"/>
          <w:i/>
          <w:noProof/>
          <w:szCs w:val="24"/>
        </w:rPr>
        <w:t>6</w:t>
      </w:r>
      <w:r w:rsidRPr="0075635D">
        <w:rPr>
          <w:rFonts w:cs="Times"/>
          <w:noProof/>
          <w:szCs w:val="24"/>
        </w:rPr>
        <w:t>, 151</w:t>
      </w:r>
      <w:r w:rsidRPr="0075635D">
        <w:rPr>
          <w:rFonts w:cs="Times"/>
          <w:szCs w:val="24"/>
        </w:rPr>
        <w:t>–162.</w:t>
      </w:r>
    </w:p>
    <w:p w14:paraId="2DA937E8" w14:textId="77777777" w:rsidR="008759A8" w:rsidRPr="0075635D" w:rsidRDefault="008759A8" w:rsidP="0075635D">
      <w:pPr>
        <w:pStyle w:val="TFReferencesSection"/>
        <w:numPr>
          <w:ilvl w:val="0"/>
          <w:numId w:val="14"/>
        </w:numPr>
        <w:rPr>
          <w:rFonts w:cs="Times"/>
          <w:noProof/>
          <w:szCs w:val="24"/>
        </w:rPr>
      </w:pPr>
      <w:r w:rsidRPr="0075635D">
        <w:rPr>
          <w:rFonts w:cs="Times"/>
          <w:szCs w:val="24"/>
        </w:rPr>
        <w:t xml:space="preserve">Mitchell, N. A.; Frawley, P. J. </w:t>
      </w:r>
      <w:r w:rsidRPr="0075635D">
        <w:rPr>
          <w:rFonts w:cs="Times"/>
          <w:i/>
          <w:szCs w:val="24"/>
        </w:rPr>
        <w:t>J. Cryst. Growth</w:t>
      </w:r>
      <w:r w:rsidRPr="0075635D">
        <w:rPr>
          <w:rFonts w:cs="Times"/>
          <w:szCs w:val="24"/>
        </w:rPr>
        <w:t xml:space="preserve"> </w:t>
      </w:r>
      <w:r w:rsidRPr="0075635D">
        <w:rPr>
          <w:rFonts w:cs="Times"/>
          <w:b/>
          <w:szCs w:val="24"/>
        </w:rPr>
        <w:t>2010</w:t>
      </w:r>
      <w:r w:rsidRPr="0075635D">
        <w:rPr>
          <w:rFonts w:cs="Times"/>
          <w:szCs w:val="24"/>
        </w:rPr>
        <w:t xml:space="preserve">, </w:t>
      </w:r>
      <w:r w:rsidRPr="0075635D">
        <w:rPr>
          <w:rFonts w:cs="Times"/>
          <w:i/>
          <w:szCs w:val="24"/>
        </w:rPr>
        <w:t>312</w:t>
      </w:r>
      <w:r w:rsidRPr="0075635D">
        <w:rPr>
          <w:rFonts w:cs="Times"/>
          <w:szCs w:val="24"/>
        </w:rPr>
        <w:t>, 2740–2746.</w:t>
      </w:r>
    </w:p>
    <w:p w14:paraId="4FD29D04" w14:textId="77777777" w:rsidR="008759A8" w:rsidRPr="0075635D" w:rsidRDefault="008759A8" w:rsidP="0075635D">
      <w:pPr>
        <w:pStyle w:val="TFReferencesSection"/>
        <w:numPr>
          <w:ilvl w:val="0"/>
          <w:numId w:val="14"/>
        </w:numPr>
        <w:rPr>
          <w:rFonts w:cs="Times"/>
          <w:noProof/>
          <w:szCs w:val="24"/>
        </w:rPr>
      </w:pPr>
      <w:r w:rsidRPr="0075635D">
        <w:rPr>
          <w:rFonts w:cs="Times"/>
          <w:szCs w:val="24"/>
        </w:rPr>
        <w:t xml:space="preserve">Anuar, N.; Daud, W. R. W.; Roberts, K. J.; Kamarudin, S. K.; Tasirin, S. M. </w:t>
      </w:r>
      <w:r w:rsidRPr="0075635D">
        <w:rPr>
          <w:rFonts w:cs="Times"/>
          <w:i/>
          <w:szCs w:val="24"/>
        </w:rPr>
        <w:t>Cryst. Growth Des.</w:t>
      </w:r>
      <w:r w:rsidRPr="0075635D">
        <w:rPr>
          <w:rFonts w:cs="Times"/>
          <w:szCs w:val="24"/>
        </w:rPr>
        <w:t xml:space="preserve">, </w:t>
      </w:r>
      <w:r w:rsidRPr="0075635D">
        <w:rPr>
          <w:rFonts w:cs="Times"/>
          <w:b/>
          <w:szCs w:val="24"/>
        </w:rPr>
        <w:t>2009</w:t>
      </w:r>
      <w:r w:rsidRPr="0075635D">
        <w:rPr>
          <w:rFonts w:cs="Times"/>
          <w:szCs w:val="24"/>
        </w:rPr>
        <w:t xml:space="preserve">, </w:t>
      </w:r>
      <w:r w:rsidRPr="0075635D">
        <w:rPr>
          <w:rFonts w:cs="Times"/>
          <w:i/>
          <w:szCs w:val="24"/>
        </w:rPr>
        <w:t>9</w:t>
      </w:r>
      <w:r w:rsidRPr="0075635D">
        <w:rPr>
          <w:rFonts w:cs="Times"/>
          <w:szCs w:val="24"/>
        </w:rPr>
        <w:t>, 2853–2862.</w:t>
      </w:r>
    </w:p>
    <w:p w14:paraId="3CA92B87" w14:textId="77777777" w:rsidR="008759A8" w:rsidRPr="0075635D" w:rsidRDefault="008759A8" w:rsidP="0075635D">
      <w:pPr>
        <w:pStyle w:val="TFReferencesSection"/>
        <w:numPr>
          <w:ilvl w:val="0"/>
          <w:numId w:val="14"/>
        </w:numPr>
        <w:rPr>
          <w:rFonts w:cs="Times"/>
          <w:noProof/>
          <w:szCs w:val="24"/>
        </w:rPr>
      </w:pPr>
      <w:r w:rsidRPr="0075635D">
        <w:rPr>
          <w:rFonts w:cs="Times"/>
          <w:szCs w:val="24"/>
        </w:rPr>
        <w:t xml:space="preserve">Jeziorny, A. </w:t>
      </w:r>
      <w:r w:rsidRPr="0075635D">
        <w:rPr>
          <w:rFonts w:cs="Times"/>
          <w:i/>
          <w:szCs w:val="24"/>
        </w:rPr>
        <w:t>Polymer</w:t>
      </w:r>
      <w:r w:rsidRPr="0075635D">
        <w:rPr>
          <w:rFonts w:cs="Times"/>
          <w:szCs w:val="24"/>
        </w:rPr>
        <w:t xml:space="preserve"> </w:t>
      </w:r>
      <w:r w:rsidRPr="0075635D">
        <w:rPr>
          <w:rFonts w:cs="Times"/>
          <w:b/>
          <w:szCs w:val="24"/>
        </w:rPr>
        <w:t>1978</w:t>
      </w:r>
      <w:r w:rsidRPr="0075635D">
        <w:rPr>
          <w:rFonts w:cs="Times"/>
          <w:szCs w:val="24"/>
        </w:rPr>
        <w:t xml:space="preserve">, </w:t>
      </w:r>
      <w:r w:rsidRPr="0075635D">
        <w:rPr>
          <w:rFonts w:cs="Times"/>
          <w:i/>
          <w:szCs w:val="24"/>
        </w:rPr>
        <w:t>19</w:t>
      </w:r>
      <w:r w:rsidRPr="0075635D">
        <w:rPr>
          <w:rFonts w:cs="Times"/>
          <w:szCs w:val="24"/>
        </w:rPr>
        <w:t>, 1142–1144.</w:t>
      </w:r>
    </w:p>
    <w:p w14:paraId="129E11D8" w14:textId="77777777" w:rsidR="008759A8" w:rsidRPr="0075635D" w:rsidRDefault="008759A8" w:rsidP="0075635D">
      <w:pPr>
        <w:pStyle w:val="TFReferencesSection"/>
        <w:numPr>
          <w:ilvl w:val="0"/>
          <w:numId w:val="14"/>
        </w:numPr>
        <w:rPr>
          <w:rFonts w:cs="Times"/>
          <w:szCs w:val="24"/>
        </w:rPr>
      </w:pPr>
      <w:r w:rsidRPr="0075635D">
        <w:rPr>
          <w:rFonts w:cs="Times"/>
          <w:szCs w:val="24"/>
        </w:rPr>
        <w:t>Lorenzo, A. T.; Arnal, M. L.; Albuerne, J.; Müller, A. J.</w:t>
      </w:r>
      <w:r w:rsidRPr="0075635D">
        <w:rPr>
          <w:rFonts w:cs="Times"/>
          <w:i/>
          <w:szCs w:val="24"/>
        </w:rPr>
        <w:t xml:space="preserve"> Polym. Test.</w:t>
      </w:r>
      <w:r w:rsidRPr="0075635D">
        <w:rPr>
          <w:rFonts w:cs="Times"/>
          <w:szCs w:val="24"/>
        </w:rPr>
        <w:t xml:space="preserve"> </w:t>
      </w:r>
      <w:r w:rsidRPr="0075635D">
        <w:rPr>
          <w:rFonts w:cs="Times"/>
          <w:b/>
          <w:szCs w:val="24"/>
        </w:rPr>
        <w:t>2007</w:t>
      </w:r>
      <w:r w:rsidRPr="0075635D">
        <w:rPr>
          <w:rFonts w:cs="Times"/>
          <w:szCs w:val="24"/>
        </w:rPr>
        <w:t xml:space="preserve">, </w:t>
      </w:r>
      <w:r w:rsidRPr="0075635D">
        <w:rPr>
          <w:rFonts w:cs="Times"/>
          <w:i/>
          <w:szCs w:val="24"/>
        </w:rPr>
        <w:t>26</w:t>
      </w:r>
      <w:r w:rsidRPr="0075635D">
        <w:rPr>
          <w:rFonts w:cs="Times"/>
          <w:szCs w:val="24"/>
        </w:rPr>
        <w:t>, 222–231.</w:t>
      </w:r>
    </w:p>
    <w:p w14:paraId="1EAE88FB" w14:textId="3D786F59" w:rsidR="00FD6ABC" w:rsidRDefault="008759A8" w:rsidP="0075635D">
      <w:pPr>
        <w:pStyle w:val="TFReferencesSection"/>
        <w:numPr>
          <w:ilvl w:val="0"/>
          <w:numId w:val="14"/>
        </w:numPr>
        <w:rPr>
          <w:rFonts w:cs="Times"/>
          <w:szCs w:val="24"/>
        </w:rPr>
      </w:pPr>
      <w:r w:rsidRPr="0075635D">
        <w:rPr>
          <w:rFonts w:cs="Times"/>
          <w:noProof/>
          <w:szCs w:val="24"/>
        </w:rPr>
        <w:lastRenderedPageBreak/>
        <w:t xml:space="preserve">Piorkowaska, E.; Galeski, A.; Haudin, J.-M. </w:t>
      </w:r>
      <w:r w:rsidRPr="0075635D">
        <w:rPr>
          <w:rFonts w:cs="Times"/>
          <w:i/>
          <w:noProof/>
          <w:szCs w:val="24"/>
        </w:rPr>
        <w:t>Prog. Polym. Sci.</w:t>
      </w:r>
      <w:r w:rsidRPr="0075635D">
        <w:rPr>
          <w:rFonts w:cs="Times"/>
          <w:noProof/>
          <w:szCs w:val="24"/>
        </w:rPr>
        <w:t xml:space="preserve"> </w:t>
      </w:r>
      <w:r w:rsidRPr="0075635D">
        <w:rPr>
          <w:rFonts w:cs="Times"/>
          <w:b/>
          <w:noProof/>
          <w:szCs w:val="24"/>
        </w:rPr>
        <w:t>2006</w:t>
      </w:r>
      <w:r w:rsidRPr="0075635D">
        <w:rPr>
          <w:rFonts w:cs="Times"/>
          <w:noProof/>
          <w:szCs w:val="24"/>
        </w:rPr>
        <w:t xml:space="preserve">, </w:t>
      </w:r>
      <w:r w:rsidRPr="0075635D">
        <w:rPr>
          <w:rFonts w:cs="Times"/>
          <w:i/>
          <w:noProof/>
          <w:szCs w:val="24"/>
        </w:rPr>
        <w:t>31</w:t>
      </w:r>
      <w:r w:rsidRPr="0075635D">
        <w:rPr>
          <w:rFonts w:cs="Times"/>
          <w:noProof/>
          <w:szCs w:val="24"/>
        </w:rPr>
        <w:t>, 549</w:t>
      </w:r>
      <w:r w:rsidRPr="0075635D">
        <w:rPr>
          <w:rFonts w:cs="Times"/>
          <w:szCs w:val="24"/>
        </w:rPr>
        <w:t>–575.</w:t>
      </w:r>
    </w:p>
    <w:p w14:paraId="41089E12" w14:textId="77777777" w:rsidR="0075635D" w:rsidRDefault="0075635D" w:rsidP="0075635D">
      <w:pPr>
        <w:pStyle w:val="TFReferencesSection"/>
        <w:rPr>
          <w:rFonts w:cs="Times"/>
          <w:szCs w:val="24"/>
        </w:rPr>
      </w:pPr>
    </w:p>
    <w:p w14:paraId="728E13DA" w14:textId="77777777" w:rsidR="0082750C" w:rsidRDefault="0082750C" w:rsidP="0075635D">
      <w:pPr>
        <w:pStyle w:val="TFReferencesSection"/>
        <w:rPr>
          <w:rFonts w:cs="Times"/>
          <w:szCs w:val="24"/>
        </w:rPr>
      </w:pPr>
    </w:p>
    <w:p w14:paraId="44594C77" w14:textId="77777777" w:rsidR="008F5D3F" w:rsidRDefault="008F5D3F" w:rsidP="0075635D">
      <w:pPr>
        <w:pStyle w:val="TFReferencesSection"/>
        <w:rPr>
          <w:rFonts w:cs="Times"/>
          <w:szCs w:val="24"/>
        </w:rPr>
      </w:pPr>
    </w:p>
    <w:p w14:paraId="30D74C45" w14:textId="77777777" w:rsidR="008F5D3F" w:rsidRDefault="008F5D3F" w:rsidP="0075635D">
      <w:pPr>
        <w:pStyle w:val="TFReferencesSection"/>
        <w:rPr>
          <w:rFonts w:cs="Times"/>
          <w:szCs w:val="24"/>
        </w:rPr>
      </w:pPr>
    </w:p>
    <w:p w14:paraId="5476A1D4" w14:textId="77777777" w:rsidR="0075635D" w:rsidRPr="00EF2E21" w:rsidRDefault="0075635D" w:rsidP="0075635D">
      <w:pPr>
        <w:pStyle w:val="TAMainText"/>
        <w:jc w:val="center"/>
        <w:rPr>
          <w:b/>
        </w:rPr>
      </w:pPr>
      <w:r w:rsidRPr="00EF2E21">
        <w:rPr>
          <w:b/>
        </w:rPr>
        <w:t>For Table of Contents Use Only</w:t>
      </w:r>
    </w:p>
    <w:p w14:paraId="662B3541" w14:textId="77777777" w:rsidR="0075635D" w:rsidRPr="00171982" w:rsidRDefault="0075635D" w:rsidP="0075635D">
      <w:pPr>
        <w:pStyle w:val="TAMainText"/>
        <w:rPr>
          <w:szCs w:val="24"/>
        </w:rPr>
      </w:pPr>
    </w:p>
    <w:p w14:paraId="22A6E664" w14:textId="77777777" w:rsidR="0075635D" w:rsidRPr="00171982" w:rsidRDefault="0075635D" w:rsidP="0075635D">
      <w:pPr>
        <w:pStyle w:val="TAMainText"/>
        <w:rPr>
          <w:rFonts w:cs="Arial"/>
          <w:sz w:val="18"/>
          <w:szCs w:val="18"/>
        </w:rPr>
      </w:pPr>
      <w:r w:rsidRPr="00EC2477">
        <w:rPr>
          <w:b/>
          <w:szCs w:val="24"/>
        </w:rPr>
        <w:t>Crystallization of Sodium Dodecyl Sulfate–Water Micellar Solutions under Linear Cooling</w:t>
      </w:r>
    </w:p>
    <w:p w14:paraId="77E153C1" w14:textId="77777777" w:rsidR="0075635D" w:rsidRPr="00171982" w:rsidRDefault="0075635D" w:rsidP="0075635D">
      <w:pPr>
        <w:pStyle w:val="TAMainText"/>
      </w:pPr>
      <w:r w:rsidRPr="00EC2477">
        <w:t>Ruhina M. Miller</w:t>
      </w:r>
      <w:r w:rsidRPr="00EC2477">
        <w:rPr>
          <w:vertAlign w:val="superscript"/>
        </w:rPr>
        <w:t>†,‡</w:t>
      </w:r>
      <w:r w:rsidRPr="00EC2477">
        <w:t>, Oscar Ces</w:t>
      </w:r>
      <w:r w:rsidRPr="00EC2477">
        <w:rPr>
          <w:vertAlign w:val="superscript"/>
        </w:rPr>
        <w:t>†</w:t>
      </w:r>
      <w:r w:rsidRPr="00EC2477">
        <w:t>, Nicholas J. Brooks</w:t>
      </w:r>
      <w:r w:rsidRPr="00EC2477">
        <w:rPr>
          <w:vertAlign w:val="superscript"/>
        </w:rPr>
        <w:t>†</w:t>
      </w:r>
      <w:r w:rsidRPr="00EC2477">
        <w:t>, Eric S. J. Robles</w:t>
      </w:r>
      <w:r w:rsidRPr="00EC2477">
        <w:rPr>
          <w:vertAlign w:val="superscript"/>
        </w:rPr>
        <w:t>§</w:t>
      </w:r>
      <w:r w:rsidRPr="00EC2477">
        <w:t>, João T. Cabral</w:t>
      </w:r>
      <w:r w:rsidRPr="00EC2477">
        <w:rPr>
          <w:vertAlign w:val="superscript"/>
        </w:rPr>
        <w:t>*‡</w:t>
      </w:r>
    </w:p>
    <w:p w14:paraId="1A57139E" w14:textId="77777777" w:rsidR="0075635D" w:rsidRPr="00171982" w:rsidRDefault="0075635D" w:rsidP="0075635D">
      <w:pPr>
        <w:pStyle w:val="TAMainText"/>
      </w:pPr>
    </w:p>
    <w:p w14:paraId="19985BA8" w14:textId="2E81525D" w:rsidR="0075635D" w:rsidRPr="00171982" w:rsidRDefault="0097158C" w:rsidP="0075635D">
      <w:pPr>
        <w:pStyle w:val="TAMainText"/>
      </w:pPr>
      <w:r>
        <w:rPr>
          <w:noProof/>
          <w:lang w:val="en-GB" w:eastAsia="en-GB"/>
        </w:rPr>
        <w:drawing>
          <wp:inline distT="0" distB="0" distL="0" distR="0" wp14:anchorId="32418E75" wp14:editId="40B40B0B">
            <wp:extent cx="3145536" cy="124358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17.tif"/>
                    <pic:cNvPicPr/>
                  </pic:nvPicPr>
                  <pic:blipFill>
                    <a:blip r:embed="rId10">
                      <a:extLst>
                        <a:ext uri="{28A0092B-C50C-407E-A947-70E740481C1C}">
                          <a14:useLocalDpi xmlns:a14="http://schemas.microsoft.com/office/drawing/2010/main" val="0"/>
                        </a:ext>
                      </a:extLst>
                    </a:blip>
                    <a:stretch>
                      <a:fillRect/>
                    </a:stretch>
                  </pic:blipFill>
                  <pic:spPr>
                    <a:xfrm>
                      <a:off x="0" y="0"/>
                      <a:ext cx="3145536" cy="1243584"/>
                    </a:xfrm>
                    <a:prstGeom prst="rect">
                      <a:avLst/>
                    </a:prstGeom>
                  </pic:spPr>
                </pic:pic>
              </a:graphicData>
            </a:graphic>
          </wp:inline>
        </w:drawing>
      </w:r>
    </w:p>
    <w:p w14:paraId="05010BE9" w14:textId="77777777" w:rsidR="0075635D" w:rsidRDefault="0075635D" w:rsidP="0075635D">
      <w:pPr>
        <w:pStyle w:val="TAMainText"/>
      </w:pPr>
    </w:p>
    <w:p w14:paraId="22BF937F" w14:textId="40AFD5AC" w:rsidR="0075635D" w:rsidRPr="0075635D" w:rsidRDefault="0075635D" w:rsidP="007656DF">
      <w:pPr>
        <w:pStyle w:val="TAMainText"/>
      </w:pPr>
      <w:r>
        <w:t>The crystallization of SDS-H</w:t>
      </w:r>
      <w:r w:rsidRPr="00171982">
        <w:rPr>
          <w:vertAlign w:val="subscript"/>
        </w:rPr>
        <w:t>2</w:t>
      </w:r>
      <w:r w:rsidRPr="00171982">
        <w:t xml:space="preserve">O </w:t>
      </w:r>
      <w:r>
        <w:t xml:space="preserve">micellar </w:t>
      </w:r>
      <w:r w:rsidRPr="00171982">
        <w:t>solutions</w:t>
      </w:r>
      <w:r>
        <w:t xml:space="preserve"> was </w:t>
      </w:r>
      <w:r w:rsidR="00D67053">
        <w:t xml:space="preserve">investigated </w:t>
      </w:r>
      <w:r>
        <w:t xml:space="preserve">under linear cooling conditions, from 0.1 to </w:t>
      </w:r>
      <w:r w:rsidR="00D67053">
        <w:t>5</w:t>
      </w:r>
      <w:r>
        <w:t xml:space="preserve">0 </w:t>
      </w:r>
      <w:r>
        <w:rPr>
          <w:rFonts w:ascii="Calibri" w:hAnsi="Calibri"/>
        </w:rPr>
        <w:t>°</w:t>
      </w:r>
      <w:r>
        <w:t>C min</w:t>
      </w:r>
      <w:r w:rsidRPr="006012F0">
        <w:rPr>
          <w:vertAlign w:val="superscript"/>
        </w:rPr>
        <w:t>-1</w:t>
      </w:r>
      <w:r>
        <w:t>.</w:t>
      </w:r>
      <w:r w:rsidR="00D67053">
        <w:t xml:space="preserve"> </w:t>
      </w:r>
      <w:r w:rsidR="00393A0B">
        <w:t xml:space="preserve">The morphologies </w:t>
      </w:r>
      <w:r w:rsidR="00D67053">
        <w:t>and kinetics were significantly impacted by rate, in p</w:t>
      </w:r>
      <w:r w:rsidR="007656DF">
        <w:t xml:space="preserve">articular at intermediate values, as crystallization takes place over a large temperature range. All data could, however, be </w:t>
      </w:r>
      <w:r>
        <w:t xml:space="preserve">rationalized </w:t>
      </w:r>
      <w:r w:rsidR="00D67053">
        <w:t xml:space="preserve">based </w:t>
      </w:r>
      <w:r w:rsidR="007656DF">
        <w:t xml:space="preserve">on </w:t>
      </w:r>
      <w:r w:rsidR="00D67053">
        <w:t xml:space="preserve">isothermal measurements, </w:t>
      </w:r>
      <w:r w:rsidR="00393A0B">
        <w:t xml:space="preserve">across </w:t>
      </w:r>
      <w:r w:rsidR="00D67053">
        <w:t xml:space="preserve">the relevant temperature window. </w:t>
      </w:r>
    </w:p>
    <w:sectPr w:rsidR="0075635D" w:rsidRPr="0075635D" w:rsidSect="003E69EE">
      <w:footerReference w:type="default" r:id="rId19"/>
      <w:footerReference w:type="first" r:id="rId20"/>
      <w:footnotePr>
        <w:numFmt w:val="lowerLetter"/>
      </w:footnotePr>
      <w:type w:val="continuous"/>
      <w:pgSz w:w="12240" w:h="15840" w:code="1"/>
      <w:pgMar w:top="851" w:right="851" w:bottom="851" w:left="851" w:header="709" w:footer="142"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06B2E4" w15:done="0"/>
  <w15:commentEx w15:paraId="141E2D91" w15:done="0"/>
  <w15:commentEx w15:paraId="164B7750" w15:done="0"/>
  <w15:commentEx w15:paraId="209F8B5B" w15:done="0"/>
  <w15:commentEx w15:paraId="07F5A82B" w15:done="0"/>
  <w15:commentEx w15:paraId="7180F73E" w15:done="0"/>
  <w15:commentEx w15:paraId="59EA8BF0" w15:done="0"/>
  <w15:commentEx w15:paraId="63D61C31" w15:done="0"/>
  <w15:commentEx w15:paraId="0751599D" w15:done="0"/>
  <w15:commentEx w15:paraId="24D38E70" w15:done="0"/>
  <w15:commentEx w15:paraId="0B57A1C7" w15:done="0"/>
  <w15:commentEx w15:paraId="3DCDE87E" w15:done="0"/>
  <w15:commentEx w15:paraId="11B6A460" w15:done="0"/>
  <w15:commentEx w15:paraId="2739D7F4" w15:done="0"/>
  <w15:commentEx w15:paraId="5A2CF209" w15:done="0"/>
  <w15:commentEx w15:paraId="0AD70D92" w15:done="0"/>
  <w15:commentEx w15:paraId="7D37A38B" w15:done="0"/>
  <w15:commentEx w15:paraId="2940C546" w15:done="0"/>
  <w15:commentEx w15:paraId="322130E8" w15:done="0"/>
  <w15:commentEx w15:paraId="52404F89" w15:done="0"/>
  <w15:commentEx w15:paraId="175B4164" w15:done="0"/>
  <w15:commentEx w15:paraId="3CD58C1E" w15:done="0"/>
  <w15:commentEx w15:paraId="3B69CE23" w15:done="0"/>
  <w15:commentEx w15:paraId="0CDDB3D4" w15:done="0"/>
  <w15:commentEx w15:paraId="14759A0A" w15:done="0"/>
  <w15:commentEx w15:paraId="3C6B1597" w15:done="0"/>
  <w15:commentEx w15:paraId="65288579" w15:done="0"/>
  <w15:commentEx w15:paraId="4DBD7F0B" w15:done="0"/>
  <w15:commentEx w15:paraId="15915A71" w15:done="0"/>
  <w15:commentEx w15:paraId="3B8AB9CC" w15:done="0"/>
  <w15:commentEx w15:paraId="5DB6B8C6" w15:done="0"/>
  <w15:commentEx w15:paraId="43753759" w15:done="0"/>
  <w15:commentEx w15:paraId="7D497889" w15:done="0"/>
  <w15:commentEx w15:paraId="60177495" w15:done="0"/>
  <w15:commentEx w15:paraId="1BB1B28B" w15:done="0"/>
  <w15:commentEx w15:paraId="4042400B" w15:done="0"/>
  <w15:commentEx w15:paraId="4033563C" w15:done="0"/>
  <w15:commentEx w15:paraId="3FFC433E" w15:done="0"/>
  <w15:commentEx w15:paraId="548AE13A" w15:done="0"/>
  <w15:commentEx w15:paraId="0E093C9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BF3752" w14:textId="77777777" w:rsidR="00963949" w:rsidRDefault="00963949" w:rsidP="00B76815">
      <w:pPr>
        <w:spacing w:after="0"/>
      </w:pPr>
      <w:r>
        <w:separator/>
      </w:r>
    </w:p>
  </w:endnote>
  <w:endnote w:type="continuationSeparator" w:id="0">
    <w:p w14:paraId="1324C473" w14:textId="77777777" w:rsidR="00963949" w:rsidRDefault="00963949" w:rsidP="00B7681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no Pro">
    <w:altName w:val="Constantia"/>
    <w:panose1 w:val="00000000000000000000"/>
    <w:charset w:val="00"/>
    <w:family w:val="roman"/>
    <w:notTrueType/>
    <w:pitch w:val="variable"/>
    <w:sig w:usb0="00000001" w:usb1="00000001"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Yu Gothic">
    <w:altName w:val="游ゴシック"/>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cstheme="majorHAnsi"/>
        <w:sz w:val="20"/>
      </w:rPr>
      <w:id w:val="-1628388007"/>
      <w:docPartObj>
        <w:docPartGallery w:val="Page Numbers (Bottom of Page)"/>
        <w:docPartUnique/>
      </w:docPartObj>
    </w:sdtPr>
    <w:sdtEndPr>
      <w:rPr>
        <w:noProof/>
      </w:rPr>
    </w:sdtEndPr>
    <w:sdtContent>
      <w:p w14:paraId="0C408313" w14:textId="0DBADEA7" w:rsidR="00693D8B" w:rsidRPr="001B2077" w:rsidRDefault="00693D8B">
        <w:pPr>
          <w:pStyle w:val="Footer"/>
          <w:jc w:val="right"/>
          <w:rPr>
            <w:rFonts w:asciiTheme="majorHAnsi" w:hAnsiTheme="majorHAnsi" w:cstheme="majorHAnsi"/>
            <w:sz w:val="20"/>
          </w:rPr>
        </w:pPr>
        <w:r w:rsidRPr="001B2077">
          <w:rPr>
            <w:rFonts w:asciiTheme="majorHAnsi" w:hAnsiTheme="majorHAnsi" w:cstheme="majorHAnsi"/>
            <w:sz w:val="20"/>
          </w:rPr>
          <w:fldChar w:fldCharType="begin"/>
        </w:r>
        <w:r w:rsidRPr="001B2077">
          <w:rPr>
            <w:rFonts w:asciiTheme="majorHAnsi" w:hAnsiTheme="majorHAnsi" w:cstheme="majorHAnsi"/>
            <w:sz w:val="20"/>
          </w:rPr>
          <w:instrText xml:space="preserve"> PAGE   \* MERGEFORMAT </w:instrText>
        </w:r>
        <w:r w:rsidRPr="001B2077">
          <w:rPr>
            <w:rFonts w:asciiTheme="majorHAnsi" w:hAnsiTheme="majorHAnsi" w:cstheme="majorHAnsi"/>
            <w:sz w:val="20"/>
          </w:rPr>
          <w:fldChar w:fldCharType="separate"/>
        </w:r>
        <w:r w:rsidR="00F80717">
          <w:rPr>
            <w:rFonts w:asciiTheme="majorHAnsi" w:hAnsiTheme="majorHAnsi" w:cstheme="majorHAnsi"/>
            <w:noProof/>
            <w:sz w:val="20"/>
          </w:rPr>
          <w:t>8</w:t>
        </w:r>
        <w:r w:rsidRPr="001B2077">
          <w:rPr>
            <w:rFonts w:asciiTheme="majorHAnsi" w:hAnsiTheme="majorHAnsi" w:cstheme="majorHAnsi"/>
            <w:noProof/>
            <w:sz w:val="20"/>
          </w:rPr>
          <w:fldChar w:fldCharType="end"/>
        </w:r>
      </w:p>
    </w:sdtContent>
  </w:sdt>
  <w:p w14:paraId="567AC1A2" w14:textId="77777777" w:rsidR="00693D8B" w:rsidRPr="001B2077" w:rsidRDefault="00693D8B">
    <w:pPr>
      <w:pStyle w:val="Footer"/>
      <w:rPr>
        <w:rFonts w:asciiTheme="majorHAnsi" w:hAnsiTheme="majorHAnsi" w:cstheme="majorHAnsi"/>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1447112"/>
      <w:docPartObj>
        <w:docPartGallery w:val="Page Numbers (Bottom of Page)"/>
        <w:docPartUnique/>
      </w:docPartObj>
    </w:sdtPr>
    <w:sdtEndPr>
      <w:rPr>
        <w:noProof/>
      </w:rPr>
    </w:sdtEndPr>
    <w:sdtContent>
      <w:p w14:paraId="56AA70D5" w14:textId="13365204" w:rsidR="00693D8B" w:rsidRDefault="00693D8B">
        <w:pPr>
          <w:pStyle w:val="Footer"/>
          <w:jc w:val="right"/>
        </w:pPr>
        <w:r>
          <w:fldChar w:fldCharType="begin"/>
        </w:r>
        <w:r>
          <w:instrText xml:space="preserve"> PAGE   \* MERGEFORMAT </w:instrText>
        </w:r>
        <w:r>
          <w:fldChar w:fldCharType="separate"/>
        </w:r>
        <w:r w:rsidR="00F80717">
          <w:rPr>
            <w:noProof/>
          </w:rPr>
          <w:t>1</w:t>
        </w:r>
        <w:r>
          <w:rPr>
            <w:noProof/>
          </w:rPr>
          <w:fldChar w:fldCharType="end"/>
        </w:r>
      </w:p>
    </w:sdtContent>
  </w:sdt>
  <w:p w14:paraId="63B77285" w14:textId="77777777" w:rsidR="00693D8B" w:rsidRDefault="00693D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F179C5" w14:textId="77777777" w:rsidR="00963949" w:rsidRDefault="00963949" w:rsidP="00B76815">
      <w:pPr>
        <w:spacing w:after="0"/>
      </w:pPr>
      <w:r>
        <w:separator/>
      </w:r>
    </w:p>
  </w:footnote>
  <w:footnote w:type="continuationSeparator" w:id="0">
    <w:p w14:paraId="6DF4CF97" w14:textId="77777777" w:rsidR="00963949" w:rsidRDefault="00963949" w:rsidP="00B76815">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E79FB"/>
    <w:multiLevelType w:val="hybridMultilevel"/>
    <w:tmpl w:val="D7AA28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6B21A4A"/>
    <w:multiLevelType w:val="hybridMultilevel"/>
    <w:tmpl w:val="9E56FB24"/>
    <w:lvl w:ilvl="0" w:tplc="710E8D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2B3695"/>
    <w:multiLevelType w:val="hybridMultilevel"/>
    <w:tmpl w:val="7A0A59D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CAD6838"/>
    <w:multiLevelType w:val="hybridMultilevel"/>
    <w:tmpl w:val="F83A7EE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825560"/>
    <w:multiLevelType w:val="hybridMultilevel"/>
    <w:tmpl w:val="E02CBCE0"/>
    <w:lvl w:ilvl="0" w:tplc="69A42ACE">
      <w:start w:val="1"/>
      <w:numFmt w:val="decimal"/>
      <w:lvlText w:val="(%1)"/>
      <w:lvlJc w:val="left"/>
      <w:pPr>
        <w:ind w:left="547" w:hanging="360"/>
      </w:pPr>
      <w:rPr>
        <w:rFonts w:asciiTheme="majorHAnsi" w:hAnsiTheme="majorHAnsi" w:cstheme="majorHAnsi" w:hint="default"/>
        <w:b w:val="0"/>
        <w:i w:val="0"/>
        <w:sz w:val="20"/>
        <w:szCs w:val="20"/>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6">
    <w:nsid w:val="27B86A3A"/>
    <w:multiLevelType w:val="hybridMultilevel"/>
    <w:tmpl w:val="A7E8E10C"/>
    <w:lvl w:ilvl="0" w:tplc="A796D78C">
      <w:numFmt w:val="bullet"/>
      <w:lvlText w:val="-"/>
      <w:lvlJc w:val="left"/>
      <w:pPr>
        <w:ind w:left="644" w:hanging="360"/>
      </w:pPr>
      <w:rPr>
        <w:rFonts w:ascii="Calibri Light" w:eastAsiaTheme="minorHAnsi" w:hAnsi="Calibri Light" w:cstheme="minorBidi"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7">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3F075D"/>
    <w:multiLevelType w:val="hybridMultilevel"/>
    <w:tmpl w:val="F7B8E358"/>
    <w:lvl w:ilvl="0" w:tplc="2F30A1CC">
      <w:start w:val="1"/>
      <w:numFmt w:val="decimal"/>
      <w:lvlText w:val="(%1)"/>
      <w:lvlJc w:val="left"/>
      <w:pPr>
        <w:ind w:left="547" w:hanging="360"/>
      </w:pPr>
      <w:rPr>
        <w:rFonts w:ascii="Times" w:hAnsi="Times" w:cs="Times" w:hint="default"/>
        <w:b w:val="0"/>
        <w:i w:val="0"/>
        <w:sz w:val="24"/>
        <w:szCs w:val="24"/>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1">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2">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3">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4">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5">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6">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7">
    <w:nsid w:val="454C4036"/>
    <w:multiLevelType w:val="hybridMultilevel"/>
    <w:tmpl w:val="9E56FB24"/>
    <w:lvl w:ilvl="0" w:tplc="710E8D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BB1568"/>
    <w:multiLevelType w:val="hybridMultilevel"/>
    <w:tmpl w:val="FBACB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90B6589"/>
    <w:multiLevelType w:val="hybridMultilevel"/>
    <w:tmpl w:val="E592C2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92F4717"/>
    <w:multiLevelType w:val="hybridMultilevel"/>
    <w:tmpl w:val="080CF572"/>
    <w:lvl w:ilvl="0" w:tplc="FD623984">
      <w:numFmt w:val="bullet"/>
      <w:lvlText w:val="-"/>
      <w:lvlJc w:val="left"/>
      <w:pPr>
        <w:ind w:left="720" w:hanging="360"/>
      </w:pPr>
      <w:rPr>
        <w:rFonts w:ascii="Times" w:eastAsia="Times New Roman" w:hAnsi="Times"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2B36268"/>
    <w:multiLevelType w:val="hybridMultilevel"/>
    <w:tmpl w:val="54941DCE"/>
    <w:lvl w:ilvl="0" w:tplc="2C24EE08">
      <w:start w:val="3"/>
      <w:numFmt w:val="bullet"/>
      <w:lvlText w:val="-"/>
      <w:lvlJc w:val="left"/>
      <w:pPr>
        <w:ind w:left="644" w:hanging="360"/>
      </w:pPr>
      <w:rPr>
        <w:rFonts w:ascii="Calibri Light" w:eastAsiaTheme="minorHAnsi" w:hAnsi="Calibri Light" w:cstheme="minorBidi"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2">
    <w:nsid w:val="65FF3739"/>
    <w:multiLevelType w:val="hybridMultilevel"/>
    <w:tmpl w:val="41AA6BA4"/>
    <w:lvl w:ilvl="0" w:tplc="6C62780E">
      <w:numFmt w:val="bullet"/>
      <w:lvlText w:val="-"/>
      <w:lvlJc w:val="left"/>
      <w:pPr>
        <w:ind w:left="720" w:hanging="360"/>
      </w:pPr>
      <w:rPr>
        <w:rFonts w:ascii="Times" w:eastAsia="Times New Roman" w:hAnsi="Times"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639672C"/>
    <w:multiLevelType w:val="hybridMultilevel"/>
    <w:tmpl w:val="B1BCFF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8746736"/>
    <w:multiLevelType w:val="hybridMultilevel"/>
    <w:tmpl w:val="975C42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F5312D7"/>
    <w:multiLevelType w:val="hybridMultilevel"/>
    <w:tmpl w:val="CC6248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FEB2144"/>
    <w:multiLevelType w:val="hybridMultilevel"/>
    <w:tmpl w:val="E1D07D6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23"/>
  </w:num>
  <w:num w:numId="4">
    <w:abstractNumId w:val="24"/>
  </w:num>
  <w:num w:numId="5">
    <w:abstractNumId w:val="18"/>
  </w:num>
  <w:num w:numId="6">
    <w:abstractNumId w:val="25"/>
  </w:num>
  <w:num w:numId="7">
    <w:abstractNumId w:val="3"/>
  </w:num>
  <w:num w:numId="8">
    <w:abstractNumId w:val="19"/>
  </w:num>
  <w:num w:numId="9">
    <w:abstractNumId w:val="26"/>
  </w:num>
  <w:num w:numId="10">
    <w:abstractNumId w:val="1"/>
  </w:num>
  <w:num w:numId="11">
    <w:abstractNumId w:val="17"/>
  </w:num>
  <w:num w:numId="12">
    <w:abstractNumId w:val="21"/>
  </w:num>
  <w:num w:numId="13">
    <w:abstractNumId w:val="6"/>
  </w:num>
  <w:num w:numId="14">
    <w:abstractNumId w:val="10"/>
  </w:num>
  <w:num w:numId="15">
    <w:abstractNumId w:val="5"/>
  </w:num>
  <w:num w:numId="16">
    <w:abstractNumId w:val="15"/>
  </w:num>
  <w:num w:numId="17">
    <w:abstractNumId w:val="13"/>
  </w:num>
  <w:num w:numId="18">
    <w:abstractNumId w:val="16"/>
  </w:num>
  <w:num w:numId="19">
    <w:abstractNumId w:val="14"/>
  </w:num>
  <w:num w:numId="20">
    <w:abstractNumId w:val="12"/>
  </w:num>
  <w:num w:numId="21">
    <w:abstractNumId w:val="11"/>
  </w:num>
  <w:num w:numId="22">
    <w:abstractNumId w:val="9"/>
  </w:num>
  <w:num w:numId="23">
    <w:abstractNumId w:val="7"/>
  </w:num>
  <w:num w:numId="24">
    <w:abstractNumId w:val="4"/>
  </w:num>
  <w:num w:numId="25">
    <w:abstractNumId w:val="8"/>
  </w:num>
  <w:num w:numId="26">
    <w:abstractNumId w:val="20"/>
  </w:num>
  <w:num w:numId="27">
    <w:abstractNumId w:val="2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uhina">
    <w15:presenceInfo w15:providerId="None" w15:userId="Ruh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activeWritingStyle w:appName="MSWord" w:lang="en-GB" w:vendorID="64" w:dllVersion="131078" w:nlCheck="1" w:checkStyle="1"/>
  <w:activeWritingStyle w:appName="MSWord" w:lang="en-US" w:vendorID="64" w:dllVersion="131078" w:nlCheck="1" w:checkStyle="0"/>
  <w:attachedTemplate r:id="rId1"/>
  <w:linkStyles/>
  <w:defaultTabStop w:val="720"/>
  <w:characterSpacingControl w:val="doNotCompress"/>
  <w:hdrShapeDefaults>
    <o:shapedefaults v:ext="edit" spidmax="2049"/>
  </w:hdrShapeDefaults>
  <w:footnotePr>
    <w:numFmt w:val="lowerLette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815"/>
    <w:rsid w:val="00000ACA"/>
    <w:rsid w:val="00001083"/>
    <w:rsid w:val="0000109A"/>
    <w:rsid w:val="0000119A"/>
    <w:rsid w:val="00001817"/>
    <w:rsid w:val="00001E9E"/>
    <w:rsid w:val="00002072"/>
    <w:rsid w:val="00002273"/>
    <w:rsid w:val="00002A48"/>
    <w:rsid w:val="000035CF"/>
    <w:rsid w:val="00003B91"/>
    <w:rsid w:val="00004175"/>
    <w:rsid w:val="00005614"/>
    <w:rsid w:val="00005ACE"/>
    <w:rsid w:val="00005D5E"/>
    <w:rsid w:val="000062C3"/>
    <w:rsid w:val="0000640D"/>
    <w:rsid w:val="00006B3E"/>
    <w:rsid w:val="00007785"/>
    <w:rsid w:val="00007C67"/>
    <w:rsid w:val="00007FE1"/>
    <w:rsid w:val="0001006F"/>
    <w:rsid w:val="00010CAC"/>
    <w:rsid w:val="0001134A"/>
    <w:rsid w:val="00011351"/>
    <w:rsid w:val="00011377"/>
    <w:rsid w:val="00011531"/>
    <w:rsid w:val="0001205A"/>
    <w:rsid w:val="0001239C"/>
    <w:rsid w:val="0001247E"/>
    <w:rsid w:val="00012B4C"/>
    <w:rsid w:val="000130B4"/>
    <w:rsid w:val="00013341"/>
    <w:rsid w:val="000136FA"/>
    <w:rsid w:val="000138AB"/>
    <w:rsid w:val="000141EA"/>
    <w:rsid w:val="000146DD"/>
    <w:rsid w:val="00014FB5"/>
    <w:rsid w:val="00014FC3"/>
    <w:rsid w:val="00016007"/>
    <w:rsid w:val="0001682E"/>
    <w:rsid w:val="00016D9E"/>
    <w:rsid w:val="00016E4E"/>
    <w:rsid w:val="00016F50"/>
    <w:rsid w:val="00017062"/>
    <w:rsid w:val="00017666"/>
    <w:rsid w:val="0001776A"/>
    <w:rsid w:val="00017C19"/>
    <w:rsid w:val="00017F4C"/>
    <w:rsid w:val="00020793"/>
    <w:rsid w:val="00020823"/>
    <w:rsid w:val="00020C8A"/>
    <w:rsid w:val="00020D13"/>
    <w:rsid w:val="000212A8"/>
    <w:rsid w:val="00021C68"/>
    <w:rsid w:val="00022115"/>
    <w:rsid w:val="0002237A"/>
    <w:rsid w:val="00023176"/>
    <w:rsid w:val="0002393B"/>
    <w:rsid w:val="00023F40"/>
    <w:rsid w:val="00024C35"/>
    <w:rsid w:val="000253E7"/>
    <w:rsid w:val="00025593"/>
    <w:rsid w:val="000256F9"/>
    <w:rsid w:val="000258C3"/>
    <w:rsid w:val="00025C77"/>
    <w:rsid w:val="00025CED"/>
    <w:rsid w:val="00025F87"/>
    <w:rsid w:val="000261AD"/>
    <w:rsid w:val="000261F8"/>
    <w:rsid w:val="000269C8"/>
    <w:rsid w:val="00026C32"/>
    <w:rsid w:val="00026D49"/>
    <w:rsid w:val="00026D9D"/>
    <w:rsid w:val="000273D2"/>
    <w:rsid w:val="00027CCB"/>
    <w:rsid w:val="0003002D"/>
    <w:rsid w:val="000308A8"/>
    <w:rsid w:val="00030901"/>
    <w:rsid w:val="00030C3C"/>
    <w:rsid w:val="00030F79"/>
    <w:rsid w:val="0003119B"/>
    <w:rsid w:val="000311A3"/>
    <w:rsid w:val="00031380"/>
    <w:rsid w:val="00031BBB"/>
    <w:rsid w:val="00031BBF"/>
    <w:rsid w:val="00031FC1"/>
    <w:rsid w:val="00032285"/>
    <w:rsid w:val="00032759"/>
    <w:rsid w:val="000328E5"/>
    <w:rsid w:val="000329D9"/>
    <w:rsid w:val="00032AB2"/>
    <w:rsid w:val="00032AC2"/>
    <w:rsid w:val="00032B5A"/>
    <w:rsid w:val="000332AD"/>
    <w:rsid w:val="000332F1"/>
    <w:rsid w:val="00033396"/>
    <w:rsid w:val="000337FC"/>
    <w:rsid w:val="00033980"/>
    <w:rsid w:val="00034342"/>
    <w:rsid w:val="00034862"/>
    <w:rsid w:val="000349E5"/>
    <w:rsid w:val="00034B78"/>
    <w:rsid w:val="00034C23"/>
    <w:rsid w:val="00034DF2"/>
    <w:rsid w:val="000352D7"/>
    <w:rsid w:val="00035375"/>
    <w:rsid w:val="00035E0D"/>
    <w:rsid w:val="00036D41"/>
    <w:rsid w:val="00036E9F"/>
    <w:rsid w:val="00037170"/>
    <w:rsid w:val="000372A9"/>
    <w:rsid w:val="000377DF"/>
    <w:rsid w:val="000400DB"/>
    <w:rsid w:val="00040444"/>
    <w:rsid w:val="00040A83"/>
    <w:rsid w:val="00040ED7"/>
    <w:rsid w:val="00041013"/>
    <w:rsid w:val="00041217"/>
    <w:rsid w:val="00041278"/>
    <w:rsid w:val="00041343"/>
    <w:rsid w:val="000415DF"/>
    <w:rsid w:val="00041708"/>
    <w:rsid w:val="00041815"/>
    <w:rsid w:val="000419E8"/>
    <w:rsid w:val="0004469F"/>
    <w:rsid w:val="00044D53"/>
    <w:rsid w:val="000452FB"/>
    <w:rsid w:val="00045510"/>
    <w:rsid w:val="00045829"/>
    <w:rsid w:val="00046CC2"/>
    <w:rsid w:val="000479F0"/>
    <w:rsid w:val="00047A05"/>
    <w:rsid w:val="00047DF7"/>
    <w:rsid w:val="00047F86"/>
    <w:rsid w:val="000504FE"/>
    <w:rsid w:val="00050EA3"/>
    <w:rsid w:val="00050F71"/>
    <w:rsid w:val="00050F94"/>
    <w:rsid w:val="00051662"/>
    <w:rsid w:val="000518B2"/>
    <w:rsid w:val="000518FF"/>
    <w:rsid w:val="00051A0C"/>
    <w:rsid w:val="00051AE3"/>
    <w:rsid w:val="00051E7C"/>
    <w:rsid w:val="0005252E"/>
    <w:rsid w:val="000529B4"/>
    <w:rsid w:val="00053D78"/>
    <w:rsid w:val="000546A2"/>
    <w:rsid w:val="00054904"/>
    <w:rsid w:val="00054E9D"/>
    <w:rsid w:val="00054EC1"/>
    <w:rsid w:val="000550D0"/>
    <w:rsid w:val="00055A3C"/>
    <w:rsid w:val="0005605B"/>
    <w:rsid w:val="000571ED"/>
    <w:rsid w:val="0005726A"/>
    <w:rsid w:val="00057614"/>
    <w:rsid w:val="0005787B"/>
    <w:rsid w:val="00057912"/>
    <w:rsid w:val="00057A9C"/>
    <w:rsid w:val="00057C56"/>
    <w:rsid w:val="000603C5"/>
    <w:rsid w:val="00060532"/>
    <w:rsid w:val="00060617"/>
    <w:rsid w:val="00060D04"/>
    <w:rsid w:val="00061BC1"/>
    <w:rsid w:val="00062254"/>
    <w:rsid w:val="0006257D"/>
    <w:rsid w:val="00063006"/>
    <w:rsid w:val="0006374E"/>
    <w:rsid w:val="00063C34"/>
    <w:rsid w:val="000640D3"/>
    <w:rsid w:val="000643D9"/>
    <w:rsid w:val="000645C5"/>
    <w:rsid w:val="000647BD"/>
    <w:rsid w:val="0006486D"/>
    <w:rsid w:val="000649BF"/>
    <w:rsid w:val="00065071"/>
    <w:rsid w:val="0006510F"/>
    <w:rsid w:val="00065A06"/>
    <w:rsid w:val="00065BBF"/>
    <w:rsid w:val="00066213"/>
    <w:rsid w:val="000665CC"/>
    <w:rsid w:val="000666E5"/>
    <w:rsid w:val="0006691B"/>
    <w:rsid w:val="00066A39"/>
    <w:rsid w:val="0006779E"/>
    <w:rsid w:val="0006795F"/>
    <w:rsid w:val="00067981"/>
    <w:rsid w:val="00067A8A"/>
    <w:rsid w:val="00067FCE"/>
    <w:rsid w:val="000701AB"/>
    <w:rsid w:val="0007060D"/>
    <w:rsid w:val="00070E99"/>
    <w:rsid w:val="00070FD8"/>
    <w:rsid w:val="000718A5"/>
    <w:rsid w:val="00071FAC"/>
    <w:rsid w:val="000721A9"/>
    <w:rsid w:val="00072589"/>
    <w:rsid w:val="000732D1"/>
    <w:rsid w:val="000736B4"/>
    <w:rsid w:val="00073F5C"/>
    <w:rsid w:val="00074559"/>
    <w:rsid w:val="00074D95"/>
    <w:rsid w:val="00074ECA"/>
    <w:rsid w:val="0007545D"/>
    <w:rsid w:val="000755DE"/>
    <w:rsid w:val="000757FB"/>
    <w:rsid w:val="00075B6C"/>
    <w:rsid w:val="00075C4B"/>
    <w:rsid w:val="00075CCB"/>
    <w:rsid w:val="00075D87"/>
    <w:rsid w:val="00075E77"/>
    <w:rsid w:val="00076793"/>
    <w:rsid w:val="0007685C"/>
    <w:rsid w:val="00076BD7"/>
    <w:rsid w:val="00077372"/>
    <w:rsid w:val="00077B75"/>
    <w:rsid w:val="00077CE4"/>
    <w:rsid w:val="00077E65"/>
    <w:rsid w:val="0008079D"/>
    <w:rsid w:val="00081359"/>
    <w:rsid w:val="00081378"/>
    <w:rsid w:val="00082158"/>
    <w:rsid w:val="00082592"/>
    <w:rsid w:val="00082956"/>
    <w:rsid w:val="00082D8E"/>
    <w:rsid w:val="000833E0"/>
    <w:rsid w:val="00083D53"/>
    <w:rsid w:val="00084200"/>
    <w:rsid w:val="00084580"/>
    <w:rsid w:val="00084C84"/>
    <w:rsid w:val="00085403"/>
    <w:rsid w:val="0008584E"/>
    <w:rsid w:val="00085A84"/>
    <w:rsid w:val="000860F3"/>
    <w:rsid w:val="00086349"/>
    <w:rsid w:val="000868AA"/>
    <w:rsid w:val="000868C1"/>
    <w:rsid w:val="00087303"/>
    <w:rsid w:val="00090297"/>
    <w:rsid w:val="00090483"/>
    <w:rsid w:val="00090A17"/>
    <w:rsid w:val="00090B20"/>
    <w:rsid w:val="00090BB9"/>
    <w:rsid w:val="000910D1"/>
    <w:rsid w:val="0009111A"/>
    <w:rsid w:val="00091A79"/>
    <w:rsid w:val="00091ADD"/>
    <w:rsid w:val="00091C92"/>
    <w:rsid w:val="00091EF2"/>
    <w:rsid w:val="0009215B"/>
    <w:rsid w:val="000925FE"/>
    <w:rsid w:val="0009285E"/>
    <w:rsid w:val="00092938"/>
    <w:rsid w:val="00092972"/>
    <w:rsid w:val="00092B16"/>
    <w:rsid w:val="00092DB9"/>
    <w:rsid w:val="000936DB"/>
    <w:rsid w:val="00093895"/>
    <w:rsid w:val="00093D44"/>
    <w:rsid w:val="00094540"/>
    <w:rsid w:val="000947D8"/>
    <w:rsid w:val="00094B8D"/>
    <w:rsid w:val="00094D41"/>
    <w:rsid w:val="00094EF0"/>
    <w:rsid w:val="00095B5E"/>
    <w:rsid w:val="000960AE"/>
    <w:rsid w:val="000960B1"/>
    <w:rsid w:val="00096185"/>
    <w:rsid w:val="0009647A"/>
    <w:rsid w:val="0009654E"/>
    <w:rsid w:val="000965AB"/>
    <w:rsid w:val="00096A80"/>
    <w:rsid w:val="00096BEF"/>
    <w:rsid w:val="0009752F"/>
    <w:rsid w:val="00097534"/>
    <w:rsid w:val="000A01E3"/>
    <w:rsid w:val="000A06F6"/>
    <w:rsid w:val="000A071B"/>
    <w:rsid w:val="000A1132"/>
    <w:rsid w:val="000A163E"/>
    <w:rsid w:val="000A1898"/>
    <w:rsid w:val="000A19C3"/>
    <w:rsid w:val="000A1AB4"/>
    <w:rsid w:val="000A1D03"/>
    <w:rsid w:val="000A1D13"/>
    <w:rsid w:val="000A1E52"/>
    <w:rsid w:val="000A216E"/>
    <w:rsid w:val="000A247C"/>
    <w:rsid w:val="000A2BB1"/>
    <w:rsid w:val="000A2E04"/>
    <w:rsid w:val="000A36E9"/>
    <w:rsid w:val="000A3E5F"/>
    <w:rsid w:val="000A4BE6"/>
    <w:rsid w:val="000A4D9A"/>
    <w:rsid w:val="000A5120"/>
    <w:rsid w:val="000A5283"/>
    <w:rsid w:val="000A551E"/>
    <w:rsid w:val="000A5AB6"/>
    <w:rsid w:val="000A5EB5"/>
    <w:rsid w:val="000A605E"/>
    <w:rsid w:val="000A6272"/>
    <w:rsid w:val="000A640D"/>
    <w:rsid w:val="000A6D3B"/>
    <w:rsid w:val="000A6DB8"/>
    <w:rsid w:val="000A76F2"/>
    <w:rsid w:val="000B04A6"/>
    <w:rsid w:val="000B072F"/>
    <w:rsid w:val="000B0CA6"/>
    <w:rsid w:val="000B0D9D"/>
    <w:rsid w:val="000B0F63"/>
    <w:rsid w:val="000B1298"/>
    <w:rsid w:val="000B175F"/>
    <w:rsid w:val="000B179A"/>
    <w:rsid w:val="000B218F"/>
    <w:rsid w:val="000B25BC"/>
    <w:rsid w:val="000B2A3B"/>
    <w:rsid w:val="000B2CED"/>
    <w:rsid w:val="000B3740"/>
    <w:rsid w:val="000B4478"/>
    <w:rsid w:val="000B503F"/>
    <w:rsid w:val="000B56D3"/>
    <w:rsid w:val="000B6759"/>
    <w:rsid w:val="000B6769"/>
    <w:rsid w:val="000B6E82"/>
    <w:rsid w:val="000B73E5"/>
    <w:rsid w:val="000B7480"/>
    <w:rsid w:val="000B7710"/>
    <w:rsid w:val="000B7C72"/>
    <w:rsid w:val="000B7FF8"/>
    <w:rsid w:val="000C01A4"/>
    <w:rsid w:val="000C0617"/>
    <w:rsid w:val="000C1359"/>
    <w:rsid w:val="000C13EB"/>
    <w:rsid w:val="000C14DD"/>
    <w:rsid w:val="000C1BF0"/>
    <w:rsid w:val="000C1FEF"/>
    <w:rsid w:val="000C208C"/>
    <w:rsid w:val="000C210B"/>
    <w:rsid w:val="000C286A"/>
    <w:rsid w:val="000C2C0E"/>
    <w:rsid w:val="000C2CA2"/>
    <w:rsid w:val="000C2E48"/>
    <w:rsid w:val="000C2F97"/>
    <w:rsid w:val="000C3058"/>
    <w:rsid w:val="000C311D"/>
    <w:rsid w:val="000C31F0"/>
    <w:rsid w:val="000C37F7"/>
    <w:rsid w:val="000C3AF4"/>
    <w:rsid w:val="000C3DB8"/>
    <w:rsid w:val="000C3E97"/>
    <w:rsid w:val="000C4380"/>
    <w:rsid w:val="000C441C"/>
    <w:rsid w:val="000C48FF"/>
    <w:rsid w:val="000C526B"/>
    <w:rsid w:val="000C52CD"/>
    <w:rsid w:val="000C5B8C"/>
    <w:rsid w:val="000C5D29"/>
    <w:rsid w:val="000C5FA4"/>
    <w:rsid w:val="000C6249"/>
    <w:rsid w:val="000C64BA"/>
    <w:rsid w:val="000C7019"/>
    <w:rsid w:val="000C7495"/>
    <w:rsid w:val="000C786E"/>
    <w:rsid w:val="000C78E7"/>
    <w:rsid w:val="000C7D93"/>
    <w:rsid w:val="000C7E3C"/>
    <w:rsid w:val="000D0493"/>
    <w:rsid w:val="000D0808"/>
    <w:rsid w:val="000D09F7"/>
    <w:rsid w:val="000D0DBF"/>
    <w:rsid w:val="000D15D3"/>
    <w:rsid w:val="000D2023"/>
    <w:rsid w:val="000D2679"/>
    <w:rsid w:val="000D27A5"/>
    <w:rsid w:val="000D2AC7"/>
    <w:rsid w:val="000D2E55"/>
    <w:rsid w:val="000D34BB"/>
    <w:rsid w:val="000D3B9B"/>
    <w:rsid w:val="000D3C25"/>
    <w:rsid w:val="000D403B"/>
    <w:rsid w:val="000D4094"/>
    <w:rsid w:val="000D4126"/>
    <w:rsid w:val="000D4497"/>
    <w:rsid w:val="000D45A1"/>
    <w:rsid w:val="000D45C7"/>
    <w:rsid w:val="000D4F7B"/>
    <w:rsid w:val="000D51BD"/>
    <w:rsid w:val="000D5223"/>
    <w:rsid w:val="000D5450"/>
    <w:rsid w:val="000D555E"/>
    <w:rsid w:val="000D60DC"/>
    <w:rsid w:val="000D62CF"/>
    <w:rsid w:val="000D686B"/>
    <w:rsid w:val="000D6C1E"/>
    <w:rsid w:val="000D7657"/>
    <w:rsid w:val="000D79BF"/>
    <w:rsid w:val="000D7B88"/>
    <w:rsid w:val="000D7D41"/>
    <w:rsid w:val="000E04DF"/>
    <w:rsid w:val="000E0D87"/>
    <w:rsid w:val="000E0DDB"/>
    <w:rsid w:val="000E0E2F"/>
    <w:rsid w:val="000E0FB8"/>
    <w:rsid w:val="000E11F0"/>
    <w:rsid w:val="000E1DFC"/>
    <w:rsid w:val="000E1E6C"/>
    <w:rsid w:val="000E1E7A"/>
    <w:rsid w:val="000E26DD"/>
    <w:rsid w:val="000E2811"/>
    <w:rsid w:val="000E28C8"/>
    <w:rsid w:val="000E2CDD"/>
    <w:rsid w:val="000E32A0"/>
    <w:rsid w:val="000E32BB"/>
    <w:rsid w:val="000E362A"/>
    <w:rsid w:val="000E3C20"/>
    <w:rsid w:val="000E3EAC"/>
    <w:rsid w:val="000E41C9"/>
    <w:rsid w:val="000E4544"/>
    <w:rsid w:val="000E46D3"/>
    <w:rsid w:val="000E48A1"/>
    <w:rsid w:val="000E49EE"/>
    <w:rsid w:val="000E4B07"/>
    <w:rsid w:val="000E4F5E"/>
    <w:rsid w:val="000E519C"/>
    <w:rsid w:val="000E541C"/>
    <w:rsid w:val="000E54D3"/>
    <w:rsid w:val="000E5AF8"/>
    <w:rsid w:val="000E5B1D"/>
    <w:rsid w:val="000E666D"/>
    <w:rsid w:val="000E6DD8"/>
    <w:rsid w:val="000E7319"/>
    <w:rsid w:val="000E7A74"/>
    <w:rsid w:val="000E7EB3"/>
    <w:rsid w:val="000F00B0"/>
    <w:rsid w:val="000F01F0"/>
    <w:rsid w:val="000F0D14"/>
    <w:rsid w:val="000F1298"/>
    <w:rsid w:val="000F1A00"/>
    <w:rsid w:val="000F1C39"/>
    <w:rsid w:val="000F215B"/>
    <w:rsid w:val="000F23D9"/>
    <w:rsid w:val="000F25A5"/>
    <w:rsid w:val="000F301E"/>
    <w:rsid w:val="000F3288"/>
    <w:rsid w:val="000F33E9"/>
    <w:rsid w:val="000F3990"/>
    <w:rsid w:val="000F43E0"/>
    <w:rsid w:val="000F4480"/>
    <w:rsid w:val="000F46BA"/>
    <w:rsid w:val="000F4B1B"/>
    <w:rsid w:val="000F4BDF"/>
    <w:rsid w:val="000F50F8"/>
    <w:rsid w:val="000F5261"/>
    <w:rsid w:val="000F58B1"/>
    <w:rsid w:val="000F5CE0"/>
    <w:rsid w:val="000F6999"/>
    <w:rsid w:val="000F6B45"/>
    <w:rsid w:val="000F6E92"/>
    <w:rsid w:val="000F6F80"/>
    <w:rsid w:val="000F7798"/>
    <w:rsid w:val="000F77F4"/>
    <w:rsid w:val="00100868"/>
    <w:rsid w:val="0010086D"/>
    <w:rsid w:val="0010087B"/>
    <w:rsid w:val="00100C3B"/>
    <w:rsid w:val="001012CD"/>
    <w:rsid w:val="00101431"/>
    <w:rsid w:val="00102B3C"/>
    <w:rsid w:val="00102B79"/>
    <w:rsid w:val="00102D10"/>
    <w:rsid w:val="00102FD0"/>
    <w:rsid w:val="00103066"/>
    <w:rsid w:val="00103D50"/>
    <w:rsid w:val="001045EC"/>
    <w:rsid w:val="00104655"/>
    <w:rsid w:val="00104743"/>
    <w:rsid w:val="00104F58"/>
    <w:rsid w:val="00105017"/>
    <w:rsid w:val="00105074"/>
    <w:rsid w:val="001055EB"/>
    <w:rsid w:val="00105653"/>
    <w:rsid w:val="001056A0"/>
    <w:rsid w:val="001057D6"/>
    <w:rsid w:val="00105ABA"/>
    <w:rsid w:val="00105F85"/>
    <w:rsid w:val="0010640C"/>
    <w:rsid w:val="00106707"/>
    <w:rsid w:val="00107218"/>
    <w:rsid w:val="00107972"/>
    <w:rsid w:val="00107AA4"/>
    <w:rsid w:val="00107D2B"/>
    <w:rsid w:val="001100D0"/>
    <w:rsid w:val="00110719"/>
    <w:rsid w:val="00111684"/>
    <w:rsid w:val="00111886"/>
    <w:rsid w:val="00112364"/>
    <w:rsid w:val="0011243E"/>
    <w:rsid w:val="0011255B"/>
    <w:rsid w:val="001126C8"/>
    <w:rsid w:val="001128B2"/>
    <w:rsid w:val="00112F89"/>
    <w:rsid w:val="001136C2"/>
    <w:rsid w:val="001136C4"/>
    <w:rsid w:val="00113EFE"/>
    <w:rsid w:val="00113F2F"/>
    <w:rsid w:val="00114154"/>
    <w:rsid w:val="001142C6"/>
    <w:rsid w:val="00114E86"/>
    <w:rsid w:val="00115034"/>
    <w:rsid w:val="001157A1"/>
    <w:rsid w:val="00115EEE"/>
    <w:rsid w:val="00116563"/>
    <w:rsid w:val="00117C2A"/>
    <w:rsid w:val="00117C6C"/>
    <w:rsid w:val="00120888"/>
    <w:rsid w:val="00120A82"/>
    <w:rsid w:val="00121235"/>
    <w:rsid w:val="00121638"/>
    <w:rsid w:val="001224A1"/>
    <w:rsid w:val="00122666"/>
    <w:rsid w:val="0012277D"/>
    <w:rsid w:val="00122C7E"/>
    <w:rsid w:val="00123ABF"/>
    <w:rsid w:val="001245E0"/>
    <w:rsid w:val="00124714"/>
    <w:rsid w:val="001255B5"/>
    <w:rsid w:val="00126455"/>
    <w:rsid w:val="001265DD"/>
    <w:rsid w:val="00126786"/>
    <w:rsid w:val="001269A0"/>
    <w:rsid w:val="00126ABD"/>
    <w:rsid w:val="00126E86"/>
    <w:rsid w:val="00126FBD"/>
    <w:rsid w:val="0012705A"/>
    <w:rsid w:val="0012708B"/>
    <w:rsid w:val="0012731F"/>
    <w:rsid w:val="00127445"/>
    <w:rsid w:val="00127DEB"/>
    <w:rsid w:val="00127F0B"/>
    <w:rsid w:val="00127F58"/>
    <w:rsid w:val="00130472"/>
    <w:rsid w:val="001304C2"/>
    <w:rsid w:val="00130C05"/>
    <w:rsid w:val="00130DD6"/>
    <w:rsid w:val="00130DF5"/>
    <w:rsid w:val="00131003"/>
    <w:rsid w:val="00131032"/>
    <w:rsid w:val="00131B84"/>
    <w:rsid w:val="00131F88"/>
    <w:rsid w:val="0013258C"/>
    <w:rsid w:val="001327FD"/>
    <w:rsid w:val="001328F4"/>
    <w:rsid w:val="001329C0"/>
    <w:rsid w:val="00132BE3"/>
    <w:rsid w:val="00133044"/>
    <w:rsid w:val="00133E91"/>
    <w:rsid w:val="0013402D"/>
    <w:rsid w:val="0013548A"/>
    <w:rsid w:val="00135943"/>
    <w:rsid w:val="00135B00"/>
    <w:rsid w:val="00135E4B"/>
    <w:rsid w:val="00136113"/>
    <w:rsid w:val="0013638F"/>
    <w:rsid w:val="001363BE"/>
    <w:rsid w:val="001375C2"/>
    <w:rsid w:val="00137641"/>
    <w:rsid w:val="00137655"/>
    <w:rsid w:val="00137A05"/>
    <w:rsid w:val="00137D8F"/>
    <w:rsid w:val="00137DC6"/>
    <w:rsid w:val="001400A1"/>
    <w:rsid w:val="00141AF1"/>
    <w:rsid w:val="00141EFA"/>
    <w:rsid w:val="00142396"/>
    <w:rsid w:val="00142D21"/>
    <w:rsid w:val="00142FB6"/>
    <w:rsid w:val="0014306C"/>
    <w:rsid w:val="0014317D"/>
    <w:rsid w:val="001433D5"/>
    <w:rsid w:val="00143837"/>
    <w:rsid w:val="00143D72"/>
    <w:rsid w:val="0014428E"/>
    <w:rsid w:val="0014492C"/>
    <w:rsid w:val="001454DD"/>
    <w:rsid w:val="00145932"/>
    <w:rsid w:val="0014632A"/>
    <w:rsid w:val="001464EA"/>
    <w:rsid w:val="00146544"/>
    <w:rsid w:val="001465D7"/>
    <w:rsid w:val="00146679"/>
    <w:rsid w:val="0014688A"/>
    <w:rsid w:val="001469AF"/>
    <w:rsid w:val="00146E17"/>
    <w:rsid w:val="00147364"/>
    <w:rsid w:val="00147460"/>
    <w:rsid w:val="001476DF"/>
    <w:rsid w:val="001479D1"/>
    <w:rsid w:val="00150F45"/>
    <w:rsid w:val="0015117A"/>
    <w:rsid w:val="00151D01"/>
    <w:rsid w:val="00152741"/>
    <w:rsid w:val="0015284A"/>
    <w:rsid w:val="001528AB"/>
    <w:rsid w:val="00152E57"/>
    <w:rsid w:val="00152EF1"/>
    <w:rsid w:val="00153880"/>
    <w:rsid w:val="00153E5E"/>
    <w:rsid w:val="00153FEE"/>
    <w:rsid w:val="00153FF6"/>
    <w:rsid w:val="00154474"/>
    <w:rsid w:val="001548E3"/>
    <w:rsid w:val="00155383"/>
    <w:rsid w:val="0015543C"/>
    <w:rsid w:val="00155A0B"/>
    <w:rsid w:val="00155A42"/>
    <w:rsid w:val="00155D28"/>
    <w:rsid w:val="00155E0E"/>
    <w:rsid w:val="0015600E"/>
    <w:rsid w:val="0015638C"/>
    <w:rsid w:val="00156432"/>
    <w:rsid w:val="001566AD"/>
    <w:rsid w:val="00156F5F"/>
    <w:rsid w:val="001570D0"/>
    <w:rsid w:val="0015727B"/>
    <w:rsid w:val="001573DB"/>
    <w:rsid w:val="00157514"/>
    <w:rsid w:val="001575E9"/>
    <w:rsid w:val="00157830"/>
    <w:rsid w:val="001600BF"/>
    <w:rsid w:val="0016010B"/>
    <w:rsid w:val="0016018A"/>
    <w:rsid w:val="00160A3E"/>
    <w:rsid w:val="00160CEC"/>
    <w:rsid w:val="00161390"/>
    <w:rsid w:val="00161602"/>
    <w:rsid w:val="00161715"/>
    <w:rsid w:val="00161E7B"/>
    <w:rsid w:val="00161F1F"/>
    <w:rsid w:val="00162B9B"/>
    <w:rsid w:val="00162ED4"/>
    <w:rsid w:val="001633DE"/>
    <w:rsid w:val="001641B5"/>
    <w:rsid w:val="001643E2"/>
    <w:rsid w:val="00164758"/>
    <w:rsid w:val="00164770"/>
    <w:rsid w:val="00164D15"/>
    <w:rsid w:val="001650BC"/>
    <w:rsid w:val="00165C5D"/>
    <w:rsid w:val="00166499"/>
    <w:rsid w:val="00166953"/>
    <w:rsid w:val="00166E52"/>
    <w:rsid w:val="00167590"/>
    <w:rsid w:val="00167951"/>
    <w:rsid w:val="00167AA9"/>
    <w:rsid w:val="00167CF8"/>
    <w:rsid w:val="00170643"/>
    <w:rsid w:val="00170EB4"/>
    <w:rsid w:val="001713E0"/>
    <w:rsid w:val="00171982"/>
    <w:rsid w:val="001719BA"/>
    <w:rsid w:val="00171BAA"/>
    <w:rsid w:val="00171C84"/>
    <w:rsid w:val="00172131"/>
    <w:rsid w:val="001722E7"/>
    <w:rsid w:val="0017232B"/>
    <w:rsid w:val="00172B73"/>
    <w:rsid w:val="00172B88"/>
    <w:rsid w:val="00172DB3"/>
    <w:rsid w:val="00172E9A"/>
    <w:rsid w:val="00173065"/>
    <w:rsid w:val="001739DD"/>
    <w:rsid w:val="00173A39"/>
    <w:rsid w:val="00173C8F"/>
    <w:rsid w:val="00173C96"/>
    <w:rsid w:val="001741B8"/>
    <w:rsid w:val="0017437B"/>
    <w:rsid w:val="00174614"/>
    <w:rsid w:val="00175102"/>
    <w:rsid w:val="001751E9"/>
    <w:rsid w:val="001754CE"/>
    <w:rsid w:val="00175516"/>
    <w:rsid w:val="00176133"/>
    <w:rsid w:val="00176436"/>
    <w:rsid w:val="001767C0"/>
    <w:rsid w:val="00176C7A"/>
    <w:rsid w:val="00177FFD"/>
    <w:rsid w:val="001806AE"/>
    <w:rsid w:val="001809AE"/>
    <w:rsid w:val="00180BE0"/>
    <w:rsid w:val="00180FBA"/>
    <w:rsid w:val="00181607"/>
    <w:rsid w:val="00181975"/>
    <w:rsid w:val="00181AC9"/>
    <w:rsid w:val="00181FE0"/>
    <w:rsid w:val="00182C3C"/>
    <w:rsid w:val="001835E8"/>
    <w:rsid w:val="001835F2"/>
    <w:rsid w:val="00183630"/>
    <w:rsid w:val="001837AA"/>
    <w:rsid w:val="00183866"/>
    <w:rsid w:val="001839AB"/>
    <w:rsid w:val="001839BE"/>
    <w:rsid w:val="00183A3F"/>
    <w:rsid w:val="00184124"/>
    <w:rsid w:val="001846D1"/>
    <w:rsid w:val="00184B33"/>
    <w:rsid w:val="00184E28"/>
    <w:rsid w:val="00185594"/>
    <w:rsid w:val="00185955"/>
    <w:rsid w:val="00185999"/>
    <w:rsid w:val="00185E50"/>
    <w:rsid w:val="00186248"/>
    <w:rsid w:val="001863DC"/>
    <w:rsid w:val="00186525"/>
    <w:rsid w:val="00186542"/>
    <w:rsid w:val="001869AE"/>
    <w:rsid w:val="00187430"/>
    <w:rsid w:val="00187508"/>
    <w:rsid w:val="00187B49"/>
    <w:rsid w:val="00190397"/>
    <w:rsid w:val="00190D0A"/>
    <w:rsid w:val="0019139A"/>
    <w:rsid w:val="0019145E"/>
    <w:rsid w:val="00191653"/>
    <w:rsid w:val="001922AF"/>
    <w:rsid w:val="001922D1"/>
    <w:rsid w:val="0019230D"/>
    <w:rsid w:val="00192719"/>
    <w:rsid w:val="0019298B"/>
    <w:rsid w:val="001937EE"/>
    <w:rsid w:val="00193922"/>
    <w:rsid w:val="00193D4C"/>
    <w:rsid w:val="00193FB6"/>
    <w:rsid w:val="00194726"/>
    <w:rsid w:val="0019517A"/>
    <w:rsid w:val="00195408"/>
    <w:rsid w:val="00195468"/>
    <w:rsid w:val="00195C86"/>
    <w:rsid w:val="0019617F"/>
    <w:rsid w:val="00196514"/>
    <w:rsid w:val="001967D3"/>
    <w:rsid w:val="001968F1"/>
    <w:rsid w:val="00196DFD"/>
    <w:rsid w:val="00197010"/>
    <w:rsid w:val="0019705A"/>
    <w:rsid w:val="0019791E"/>
    <w:rsid w:val="00197EDD"/>
    <w:rsid w:val="001A0259"/>
    <w:rsid w:val="001A0921"/>
    <w:rsid w:val="001A0B70"/>
    <w:rsid w:val="001A0F46"/>
    <w:rsid w:val="001A1EC0"/>
    <w:rsid w:val="001A1F12"/>
    <w:rsid w:val="001A1F41"/>
    <w:rsid w:val="001A219F"/>
    <w:rsid w:val="001A22CE"/>
    <w:rsid w:val="001A2478"/>
    <w:rsid w:val="001A305C"/>
    <w:rsid w:val="001A308B"/>
    <w:rsid w:val="001A3D88"/>
    <w:rsid w:val="001A3E3C"/>
    <w:rsid w:val="001A3F3F"/>
    <w:rsid w:val="001A48B8"/>
    <w:rsid w:val="001A4B7C"/>
    <w:rsid w:val="001A5020"/>
    <w:rsid w:val="001A51AA"/>
    <w:rsid w:val="001A54C8"/>
    <w:rsid w:val="001A56E7"/>
    <w:rsid w:val="001A6483"/>
    <w:rsid w:val="001A683D"/>
    <w:rsid w:val="001A6BCA"/>
    <w:rsid w:val="001A6BE6"/>
    <w:rsid w:val="001A79FF"/>
    <w:rsid w:val="001A7A0C"/>
    <w:rsid w:val="001A7E5E"/>
    <w:rsid w:val="001B01EA"/>
    <w:rsid w:val="001B0671"/>
    <w:rsid w:val="001B0FDC"/>
    <w:rsid w:val="001B1CBB"/>
    <w:rsid w:val="001B2077"/>
    <w:rsid w:val="001B272E"/>
    <w:rsid w:val="001B2901"/>
    <w:rsid w:val="001B34FA"/>
    <w:rsid w:val="001B3A58"/>
    <w:rsid w:val="001B3ECF"/>
    <w:rsid w:val="001B41B7"/>
    <w:rsid w:val="001B48C0"/>
    <w:rsid w:val="001B4C05"/>
    <w:rsid w:val="001B58A2"/>
    <w:rsid w:val="001B5C8F"/>
    <w:rsid w:val="001B5D5C"/>
    <w:rsid w:val="001B5D79"/>
    <w:rsid w:val="001B63A3"/>
    <w:rsid w:val="001B65EC"/>
    <w:rsid w:val="001B6662"/>
    <w:rsid w:val="001B6B29"/>
    <w:rsid w:val="001B7BF8"/>
    <w:rsid w:val="001B7C38"/>
    <w:rsid w:val="001B7F65"/>
    <w:rsid w:val="001C00E7"/>
    <w:rsid w:val="001C046F"/>
    <w:rsid w:val="001C0669"/>
    <w:rsid w:val="001C0B19"/>
    <w:rsid w:val="001C1097"/>
    <w:rsid w:val="001C1223"/>
    <w:rsid w:val="001C170E"/>
    <w:rsid w:val="001C1998"/>
    <w:rsid w:val="001C1C1A"/>
    <w:rsid w:val="001C1CD5"/>
    <w:rsid w:val="001C1E3E"/>
    <w:rsid w:val="001C215D"/>
    <w:rsid w:val="001C2456"/>
    <w:rsid w:val="001C2575"/>
    <w:rsid w:val="001C26C1"/>
    <w:rsid w:val="001C2A80"/>
    <w:rsid w:val="001C2ADA"/>
    <w:rsid w:val="001C2DE3"/>
    <w:rsid w:val="001C2DF9"/>
    <w:rsid w:val="001C30D9"/>
    <w:rsid w:val="001C36CA"/>
    <w:rsid w:val="001C3CB6"/>
    <w:rsid w:val="001C3D27"/>
    <w:rsid w:val="001C4340"/>
    <w:rsid w:val="001C4346"/>
    <w:rsid w:val="001C4433"/>
    <w:rsid w:val="001C4623"/>
    <w:rsid w:val="001C4CD5"/>
    <w:rsid w:val="001C55AD"/>
    <w:rsid w:val="001C65FF"/>
    <w:rsid w:val="001C6A8F"/>
    <w:rsid w:val="001C6B8F"/>
    <w:rsid w:val="001C76D0"/>
    <w:rsid w:val="001C785D"/>
    <w:rsid w:val="001C79F7"/>
    <w:rsid w:val="001C7C15"/>
    <w:rsid w:val="001C7FD2"/>
    <w:rsid w:val="001D0383"/>
    <w:rsid w:val="001D0776"/>
    <w:rsid w:val="001D08E6"/>
    <w:rsid w:val="001D0A75"/>
    <w:rsid w:val="001D0DCB"/>
    <w:rsid w:val="001D105F"/>
    <w:rsid w:val="001D1F0E"/>
    <w:rsid w:val="001D203C"/>
    <w:rsid w:val="001D223E"/>
    <w:rsid w:val="001D270A"/>
    <w:rsid w:val="001D2767"/>
    <w:rsid w:val="001D28B0"/>
    <w:rsid w:val="001D313A"/>
    <w:rsid w:val="001D348B"/>
    <w:rsid w:val="001D35F3"/>
    <w:rsid w:val="001D3746"/>
    <w:rsid w:val="001D3D03"/>
    <w:rsid w:val="001D4209"/>
    <w:rsid w:val="001D4B88"/>
    <w:rsid w:val="001D4B95"/>
    <w:rsid w:val="001D4DDA"/>
    <w:rsid w:val="001D5ED4"/>
    <w:rsid w:val="001D5ED5"/>
    <w:rsid w:val="001D6033"/>
    <w:rsid w:val="001D6114"/>
    <w:rsid w:val="001D6FDE"/>
    <w:rsid w:val="001D7A5C"/>
    <w:rsid w:val="001D7EBC"/>
    <w:rsid w:val="001D7F0C"/>
    <w:rsid w:val="001E0020"/>
    <w:rsid w:val="001E03DA"/>
    <w:rsid w:val="001E0454"/>
    <w:rsid w:val="001E051F"/>
    <w:rsid w:val="001E0883"/>
    <w:rsid w:val="001E0918"/>
    <w:rsid w:val="001E0EE9"/>
    <w:rsid w:val="001E1174"/>
    <w:rsid w:val="001E18E7"/>
    <w:rsid w:val="001E1A72"/>
    <w:rsid w:val="001E220F"/>
    <w:rsid w:val="001E2536"/>
    <w:rsid w:val="001E2D8F"/>
    <w:rsid w:val="001E3512"/>
    <w:rsid w:val="001E3843"/>
    <w:rsid w:val="001E4283"/>
    <w:rsid w:val="001E47BE"/>
    <w:rsid w:val="001E4844"/>
    <w:rsid w:val="001E49C9"/>
    <w:rsid w:val="001E4E07"/>
    <w:rsid w:val="001E4E8E"/>
    <w:rsid w:val="001E51A6"/>
    <w:rsid w:val="001E54F4"/>
    <w:rsid w:val="001E5DC0"/>
    <w:rsid w:val="001E5E2D"/>
    <w:rsid w:val="001E604E"/>
    <w:rsid w:val="001E67B4"/>
    <w:rsid w:val="001E67CF"/>
    <w:rsid w:val="001E67F6"/>
    <w:rsid w:val="001E6CFB"/>
    <w:rsid w:val="001E7199"/>
    <w:rsid w:val="001E7A26"/>
    <w:rsid w:val="001E7CD7"/>
    <w:rsid w:val="001E7FA4"/>
    <w:rsid w:val="001F02E0"/>
    <w:rsid w:val="001F07C2"/>
    <w:rsid w:val="001F0A9C"/>
    <w:rsid w:val="001F1020"/>
    <w:rsid w:val="001F183E"/>
    <w:rsid w:val="001F1A67"/>
    <w:rsid w:val="001F1EFD"/>
    <w:rsid w:val="001F1F58"/>
    <w:rsid w:val="001F2066"/>
    <w:rsid w:val="001F2282"/>
    <w:rsid w:val="001F2425"/>
    <w:rsid w:val="001F26BA"/>
    <w:rsid w:val="001F28E1"/>
    <w:rsid w:val="001F295B"/>
    <w:rsid w:val="001F34DD"/>
    <w:rsid w:val="001F3753"/>
    <w:rsid w:val="001F39E8"/>
    <w:rsid w:val="001F4108"/>
    <w:rsid w:val="001F4312"/>
    <w:rsid w:val="001F4912"/>
    <w:rsid w:val="001F4D6D"/>
    <w:rsid w:val="001F4EAA"/>
    <w:rsid w:val="001F509C"/>
    <w:rsid w:val="001F5220"/>
    <w:rsid w:val="001F52B6"/>
    <w:rsid w:val="001F52C3"/>
    <w:rsid w:val="001F5360"/>
    <w:rsid w:val="001F564A"/>
    <w:rsid w:val="001F6069"/>
    <w:rsid w:val="001F64E0"/>
    <w:rsid w:val="001F68EC"/>
    <w:rsid w:val="001F701D"/>
    <w:rsid w:val="001F7845"/>
    <w:rsid w:val="001F7D59"/>
    <w:rsid w:val="00200907"/>
    <w:rsid w:val="002011C1"/>
    <w:rsid w:val="0020139C"/>
    <w:rsid w:val="002014D9"/>
    <w:rsid w:val="0020153B"/>
    <w:rsid w:val="00201767"/>
    <w:rsid w:val="002019DA"/>
    <w:rsid w:val="00201AF3"/>
    <w:rsid w:val="00201B3F"/>
    <w:rsid w:val="002021A4"/>
    <w:rsid w:val="002021C0"/>
    <w:rsid w:val="0020273A"/>
    <w:rsid w:val="002029B6"/>
    <w:rsid w:val="0020311F"/>
    <w:rsid w:val="0020330C"/>
    <w:rsid w:val="00203D75"/>
    <w:rsid w:val="002041CD"/>
    <w:rsid w:val="00204273"/>
    <w:rsid w:val="00204A00"/>
    <w:rsid w:val="00205730"/>
    <w:rsid w:val="00205AF8"/>
    <w:rsid w:val="00205B03"/>
    <w:rsid w:val="00205EAE"/>
    <w:rsid w:val="00206490"/>
    <w:rsid w:val="00207A00"/>
    <w:rsid w:val="00210041"/>
    <w:rsid w:val="002104B6"/>
    <w:rsid w:val="0021069D"/>
    <w:rsid w:val="002114AD"/>
    <w:rsid w:val="002114CE"/>
    <w:rsid w:val="002122F0"/>
    <w:rsid w:val="00212671"/>
    <w:rsid w:val="00212AC2"/>
    <w:rsid w:val="00212BF4"/>
    <w:rsid w:val="00212DFF"/>
    <w:rsid w:val="00213267"/>
    <w:rsid w:val="002133C1"/>
    <w:rsid w:val="00213766"/>
    <w:rsid w:val="002138B1"/>
    <w:rsid w:val="002144BE"/>
    <w:rsid w:val="00214BF9"/>
    <w:rsid w:val="00214CF4"/>
    <w:rsid w:val="00215B87"/>
    <w:rsid w:val="00215BA6"/>
    <w:rsid w:val="00216311"/>
    <w:rsid w:val="00216349"/>
    <w:rsid w:val="002172DD"/>
    <w:rsid w:val="0021747D"/>
    <w:rsid w:val="0021778C"/>
    <w:rsid w:val="00217C2C"/>
    <w:rsid w:val="0022009F"/>
    <w:rsid w:val="0022038C"/>
    <w:rsid w:val="002203F8"/>
    <w:rsid w:val="0022040F"/>
    <w:rsid w:val="002205F3"/>
    <w:rsid w:val="00220CE8"/>
    <w:rsid w:val="00220E98"/>
    <w:rsid w:val="0022100C"/>
    <w:rsid w:val="00221312"/>
    <w:rsid w:val="00221457"/>
    <w:rsid w:val="00222443"/>
    <w:rsid w:val="00222583"/>
    <w:rsid w:val="002229A1"/>
    <w:rsid w:val="00223077"/>
    <w:rsid w:val="00223A95"/>
    <w:rsid w:val="00223C2B"/>
    <w:rsid w:val="00224367"/>
    <w:rsid w:val="0022467C"/>
    <w:rsid w:val="00224D16"/>
    <w:rsid w:val="002251C6"/>
    <w:rsid w:val="00225710"/>
    <w:rsid w:val="0022616D"/>
    <w:rsid w:val="002263BE"/>
    <w:rsid w:val="00226424"/>
    <w:rsid w:val="002264A0"/>
    <w:rsid w:val="0022655C"/>
    <w:rsid w:val="0022671A"/>
    <w:rsid w:val="00226C4B"/>
    <w:rsid w:val="00226C61"/>
    <w:rsid w:val="00227542"/>
    <w:rsid w:val="00227606"/>
    <w:rsid w:val="00227A5C"/>
    <w:rsid w:val="00227B54"/>
    <w:rsid w:val="00227F75"/>
    <w:rsid w:val="002304C5"/>
    <w:rsid w:val="00230664"/>
    <w:rsid w:val="002319D6"/>
    <w:rsid w:val="00231E30"/>
    <w:rsid w:val="00232D64"/>
    <w:rsid w:val="00232E2F"/>
    <w:rsid w:val="00233333"/>
    <w:rsid w:val="0023333E"/>
    <w:rsid w:val="002333A7"/>
    <w:rsid w:val="002334FB"/>
    <w:rsid w:val="002340B1"/>
    <w:rsid w:val="0023467B"/>
    <w:rsid w:val="002347B5"/>
    <w:rsid w:val="00234A0F"/>
    <w:rsid w:val="00234E47"/>
    <w:rsid w:val="00234F23"/>
    <w:rsid w:val="002350D9"/>
    <w:rsid w:val="00235609"/>
    <w:rsid w:val="00235BC3"/>
    <w:rsid w:val="00235D8A"/>
    <w:rsid w:val="00236024"/>
    <w:rsid w:val="0023664F"/>
    <w:rsid w:val="002367F2"/>
    <w:rsid w:val="00236884"/>
    <w:rsid w:val="00237176"/>
    <w:rsid w:val="002375E9"/>
    <w:rsid w:val="00237601"/>
    <w:rsid w:val="002377D6"/>
    <w:rsid w:val="00237E07"/>
    <w:rsid w:val="00240009"/>
    <w:rsid w:val="00240592"/>
    <w:rsid w:val="00240671"/>
    <w:rsid w:val="00240B3C"/>
    <w:rsid w:val="00241990"/>
    <w:rsid w:val="00241D81"/>
    <w:rsid w:val="002427DE"/>
    <w:rsid w:val="002432D6"/>
    <w:rsid w:val="002436C4"/>
    <w:rsid w:val="00243C5B"/>
    <w:rsid w:val="00243F08"/>
    <w:rsid w:val="00244742"/>
    <w:rsid w:val="002447AD"/>
    <w:rsid w:val="00244B06"/>
    <w:rsid w:val="00244C42"/>
    <w:rsid w:val="00244CE8"/>
    <w:rsid w:val="00244F8F"/>
    <w:rsid w:val="0024545E"/>
    <w:rsid w:val="002455B7"/>
    <w:rsid w:val="00245965"/>
    <w:rsid w:val="00245A02"/>
    <w:rsid w:val="00245FA9"/>
    <w:rsid w:val="00246034"/>
    <w:rsid w:val="002461B3"/>
    <w:rsid w:val="00246439"/>
    <w:rsid w:val="00247506"/>
    <w:rsid w:val="00247554"/>
    <w:rsid w:val="00247886"/>
    <w:rsid w:val="00247ACC"/>
    <w:rsid w:val="00247F84"/>
    <w:rsid w:val="00250099"/>
    <w:rsid w:val="00250A94"/>
    <w:rsid w:val="002514E9"/>
    <w:rsid w:val="002515CB"/>
    <w:rsid w:val="00251A87"/>
    <w:rsid w:val="00251E6D"/>
    <w:rsid w:val="00253028"/>
    <w:rsid w:val="002534F1"/>
    <w:rsid w:val="002535D8"/>
    <w:rsid w:val="00253705"/>
    <w:rsid w:val="0025370F"/>
    <w:rsid w:val="00253A6B"/>
    <w:rsid w:val="0025497B"/>
    <w:rsid w:val="00255709"/>
    <w:rsid w:val="0025588B"/>
    <w:rsid w:val="00255AF7"/>
    <w:rsid w:val="00255D59"/>
    <w:rsid w:val="00255F1E"/>
    <w:rsid w:val="00256059"/>
    <w:rsid w:val="002561C7"/>
    <w:rsid w:val="00256528"/>
    <w:rsid w:val="00256BB1"/>
    <w:rsid w:val="00256C6F"/>
    <w:rsid w:val="00256C71"/>
    <w:rsid w:val="002576BB"/>
    <w:rsid w:val="00257B62"/>
    <w:rsid w:val="00257BD9"/>
    <w:rsid w:val="00257C38"/>
    <w:rsid w:val="002602D8"/>
    <w:rsid w:val="0026079A"/>
    <w:rsid w:val="00260847"/>
    <w:rsid w:val="00260937"/>
    <w:rsid w:val="00260E85"/>
    <w:rsid w:val="00261191"/>
    <w:rsid w:val="0026141F"/>
    <w:rsid w:val="00261B08"/>
    <w:rsid w:val="00261D30"/>
    <w:rsid w:val="0026205A"/>
    <w:rsid w:val="002626F1"/>
    <w:rsid w:val="0026291A"/>
    <w:rsid w:val="00262A2C"/>
    <w:rsid w:val="00262F76"/>
    <w:rsid w:val="00262F7C"/>
    <w:rsid w:val="0026350C"/>
    <w:rsid w:val="002645A0"/>
    <w:rsid w:val="002645CD"/>
    <w:rsid w:val="0026477E"/>
    <w:rsid w:val="00264991"/>
    <w:rsid w:val="002649EB"/>
    <w:rsid w:val="00264FE5"/>
    <w:rsid w:val="002657E5"/>
    <w:rsid w:val="0026591F"/>
    <w:rsid w:val="00265BA3"/>
    <w:rsid w:val="00265C58"/>
    <w:rsid w:val="00265F7E"/>
    <w:rsid w:val="00266B5B"/>
    <w:rsid w:val="0027007F"/>
    <w:rsid w:val="00270359"/>
    <w:rsid w:val="002703BB"/>
    <w:rsid w:val="002709EE"/>
    <w:rsid w:val="00270C9C"/>
    <w:rsid w:val="00271360"/>
    <w:rsid w:val="002713F8"/>
    <w:rsid w:val="00271405"/>
    <w:rsid w:val="00271419"/>
    <w:rsid w:val="002716F8"/>
    <w:rsid w:val="00271FEC"/>
    <w:rsid w:val="002721B6"/>
    <w:rsid w:val="0027256B"/>
    <w:rsid w:val="00272857"/>
    <w:rsid w:val="0027293A"/>
    <w:rsid w:val="002731DF"/>
    <w:rsid w:val="002732B8"/>
    <w:rsid w:val="00273B6B"/>
    <w:rsid w:val="002745F0"/>
    <w:rsid w:val="00274735"/>
    <w:rsid w:val="0027473D"/>
    <w:rsid w:val="002748D9"/>
    <w:rsid w:val="00274AA5"/>
    <w:rsid w:val="00274C6D"/>
    <w:rsid w:val="00275093"/>
    <w:rsid w:val="0027515A"/>
    <w:rsid w:val="002758CE"/>
    <w:rsid w:val="00276743"/>
    <w:rsid w:val="00276B82"/>
    <w:rsid w:val="00276E4C"/>
    <w:rsid w:val="00277064"/>
    <w:rsid w:val="00277881"/>
    <w:rsid w:val="00277D2C"/>
    <w:rsid w:val="002808E9"/>
    <w:rsid w:val="00280D96"/>
    <w:rsid w:val="00281223"/>
    <w:rsid w:val="0028173B"/>
    <w:rsid w:val="002827B3"/>
    <w:rsid w:val="00283007"/>
    <w:rsid w:val="00283433"/>
    <w:rsid w:val="00283A62"/>
    <w:rsid w:val="00283AB1"/>
    <w:rsid w:val="00283FE8"/>
    <w:rsid w:val="0028434A"/>
    <w:rsid w:val="00284CEE"/>
    <w:rsid w:val="00284E91"/>
    <w:rsid w:val="00285016"/>
    <w:rsid w:val="00285075"/>
    <w:rsid w:val="002860D7"/>
    <w:rsid w:val="00286885"/>
    <w:rsid w:val="00287965"/>
    <w:rsid w:val="00287B11"/>
    <w:rsid w:val="00287BDA"/>
    <w:rsid w:val="0029041C"/>
    <w:rsid w:val="00290E7E"/>
    <w:rsid w:val="00291345"/>
    <w:rsid w:val="0029159B"/>
    <w:rsid w:val="0029160B"/>
    <w:rsid w:val="00291F17"/>
    <w:rsid w:val="00292179"/>
    <w:rsid w:val="002923E8"/>
    <w:rsid w:val="002925C1"/>
    <w:rsid w:val="00292782"/>
    <w:rsid w:val="00292852"/>
    <w:rsid w:val="00292A96"/>
    <w:rsid w:val="00292E82"/>
    <w:rsid w:val="00293739"/>
    <w:rsid w:val="00293A1E"/>
    <w:rsid w:val="00293EE3"/>
    <w:rsid w:val="002946D2"/>
    <w:rsid w:val="002948FD"/>
    <w:rsid w:val="00294946"/>
    <w:rsid w:val="002949A1"/>
    <w:rsid w:val="00295323"/>
    <w:rsid w:val="002957AD"/>
    <w:rsid w:val="002963C1"/>
    <w:rsid w:val="00297083"/>
    <w:rsid w:val="00297669"/>
    <w:rsid w:val="00297AEF"/>
    <w:rsid w:val="00297C76"/>
    <w:rsid w:val="00297DE0"/>
    <w:rsid w:val="00297EEE"/>
    <w:rsid w:val="00297FBE"/>
    <w:rsid w:val="002A09A9"/>
    <w:rsid w:val="002A0D36"/>
    <w:rsid w:val="002A113B"/>
    <w:rsid w:val="002A1265"/>
    <w:rsid w:val="002A1537"/>
    <w:rsid w:val="002A1A4D"/>
    <w:rsid w:val="002A1A89"/>
    <w:rsid w:val="002A1E63"/>
    <w:rsid w:val="002A2383"/>
    <w:rsid w:val="002A25B6"/>
    <w:rsid w:val="002A2A99"/>
    <w:rsid w:val="002A2F16"/>
    <w:rsid w:val="002A2F1C"/>
    <w:rsid w:val="002A32BA"/>
    <w:rsid w:val="002A3308"/>
    <w:rsid w:val="002A3A85"/>
    <w:rsid w:val="002A3CFA"/>
    <w:rsid w:val="002A426D"/>
    <w:rsid w:val="002A4277"/>
    <w:rsid w:val="002A5B48"/>
    <w:rsid w:val="002A5EB3"/>
    <w:rsid w:val="002A5F5E"/>
    <w:rsid w:val="002A6198"/>
    <w:rsid w:val="002A6404"/>
    <w:rsid w:val="002A65BB"/>
    <w:rsid w:val="002A6785"/>
    <w:rsid w:val="002A686D"/>
    <w:rsid w:val="002A687D"/>
    <w:rsid w:val="002A6D46"/>
    <w:rsid w:val="002A757B"/>
    <w:rsid w:val="002A7BDC"/>
    <w:rsid w:val="002A7D93"/>
    <w:rsid w:val="002A7EA7"/>
    <w:rsid w:val="002B02CB"/>
    <w:rsid w:val="002B0366"/>
    <w:rsid w:val="002B050F"/>
    <w:rsid w:val="002B0736"/>
    <w:rsid w:val="002B12B7"/>
    <w:rsid w:val="002B155E"/>
    <w:rsid w:val="002B1564"/>
    <w:rsid w:val="002B1B20"/>
    <w:rsid w:val="002B223D"/>
    <w:rsid w:val="002B2AA1"/>
    <w:rsid w:val="002B3A20"/>
    <w:rsid w:val="002B3DFE"/>
    <w:rsid w:val="002B3F60"/>
    <w:rsid w:val="002B48B0"/>
    <w:rsid w:val="002B4F0F"/>
    <w:rsid w:val="002B4F1E"/>
    <w:rsid w:val="002B50F0"/>
    <w:rsid w:val="002B54EF"/>
    <w:rsid w:val="002B58D0"/>
    <w:rsid w:val="002B5C3E"/>
    <w:rsid w:val="002B603C"/>
    <w:rsid w:val="002B65FF"/>
    <w:rsid w:val="002B6858"/>
    <w:rsid w:val="002B6986"/>
    <w:rsid w:val="002B6B69"/>
    <w:rsid w:val="002B706E"/>
    <w:rsid w:val="002B70B8"/>
    <w:rsid w:val="002B7D06"/>
    <w:rsid w:val="002B7F8F"/>
    <w:rsid w:val="002C0547"/>
    <w:rsid w:val="002C091A"/>
    <w:rsid w:val="002C0E49"/>
    <w:rsid w:val="002C15CE"/>
    <w:rsid w:val="002C21C9"/>
    <w:rsid w:val="002C21E4"/>
    <w:rsid w:val="002C24D9"/>
    <w:rsid w:val="002C280E"/>
    <w:rsid w:val="002C2873"/>
    <w:rsid w:val="002C2972"/>
    <w:rsid w:val="002C2DD1"/>
    <w:rsid w:val="002C2DEE"/>
    <w:rsid w:val="002C2FE5"/>
    <w:rsid w:val="002C301D"/>
    <w:rsid w:val="002C3198"/>
    <w:rsid w:val="002C3B3D"/>
    <w:rsid w:val="002C3BAE"/>
    <w:rsid w:val="002C3C6B"/>
    <w:rsid w:val="002C4240"/>
    <w:rsid w:val="002C4292"/>
    <w:rsid w:val="002C4A51"/>
    <w:rsid w:val="002C524E"/>
    <w:rsid w:val="002C52D8"/>
    <w:rsid w:val="002C5353"/>
    <w:rsid w:val="002C5441"/>
    <w:rsid w:val="002C56CA"/>
    <w:rsid w:val="002C5ADD"/>
    <w:rsid w:val="002C5C9A"/>
    <w:rsid w:val="002C5FDC"/>
    <w:rsid w:val="002C649F"/>
    <w:rsid w:val="002C6696"/>
    <w:rsid w:val="002C6F21"/>
    <w:rsid w:val="002C7516"/>
    <w:rsid w:val="002C75A7"/>
    <w:rsid w:val="002C760F"/>
    <w:rsid w:val="002C7E7A"/>
    <w:rsid w:val="002D0317"/>
    <w:rsid w:val="002D0EDC"/>
    <w:rsid w:val="002D0F7F"/>
    <w:rsid w:val="002D10C4"/>
    <w:rsid w:val="002D1AD1"/>
    <w:rsid w:val="002D27E2"/>
    <w:rsid w:val="002D2A23"/>
    <w:rsid w:val="002D38D0"/>
    <w:rsid w:val="002D405C"/>
    <w:rsid w:val="002D53BB"/>
    <w:rsid w:val="002D59CA"/>
    <w:rsid w:val="002D5B5A"/>
    <w:rsid w:val="002D5B61"/>
    <w:rsid w:val="002D665B"/>
    <w:rsid w:val="002D6725"/>
    <w:rsid w:val="002D6A1A"/>
    <w:rsid w:val="002D7899"/>
    <w:rsid w:val="002E016A"/>
    <w:rsid w:val="002E01B9"/>
    <w:rsid w:val="002E0836"/>
    <w:rsid w:val="002E093F"/>
    <w:rsid w:val="002E0B61"/>
    <w:rsid w:val="002E0C31"/>
    <w:rsid w:val="002E11A2"/>
    <w:rsid w:val="002E1A54"/>
    <w:rsid w:val="002E1B7F"/>
    <w:rsid w:val="002E1E11"/>
    <w:rsid w:val="002E321E"/>
    <w:rsid w:val="002E365E"/>
    <w:rsid w:val="002E36A6"/>
    <w:rsid w:val="002E39AE"/>
    <w:rsid w:val="002E4570"/>
    <w:rsid w:val="002E4834"/>
    <w:rsid w:val="002E4EF8"/>
    <w:rsid w:val="002E5029"/>
    <w:rsid w:val="002E5131"/>
    <w:rsid w:val="002E557B"/>
    <w:rsid w:val="002E5E64"/>
    <w:rsid w:val="002E6179"/>
    <w:rsid w:val="002E6406"/>
    <w:rsid w:val="002E65EF"/>
    <w:rsid w:val="002E6F83"/>
    <w:rsid w:val="002E7238"/>
    <w:rsid w:val="002E7B45"/>
    <w:rsid w:val="002F03B3"/>
    <w:rsid w:val="002F07FD"/>
    <w:rsid w:val="002F08AB"/>
    <w:rsid w:val="002F192E"/>
    <w:rsid w:val="002F1951"/>
    <w:rsid w:val="002F1BAD"/>
    <w:rsid w:val="002F2F55"/>
    <w:rsid w:val="002F337F"/>
    <w:rsid w:val="002F3916"/>
    <w:rsid w:val="002F3BBA"/>
    <w:rsid w:val="002F3E79"/>
    <w:rsid w:val="002F3EEE"/>
    <w:rsid w:val="002F43D0"/>
    <w:rsid w:val="002F4516"/>
    <w:rsid w:val="002F4553"/>
    <w:rsid w:val="002F5456"/>
    <w:rsid w:val="002F5965"/>
    <w:rsid w:val="002F59C8"/>
    <w:rsid w:val="002F5BB0"/>
    <w:rsid w:val="002F6A07"/>
    <w:rsid w:val="002F7714"/>
    <w:rsid w:val="002F77FF"/>
    <w:rsid w:val="002F793E"/>
    <w:rsid w:val="002F7B0E"/>
    <w:rsid w:val="002F7CE2"/>
    <w:rsid w:val="002F7F65"/>
    <w:rsid w:val="00300068"/>
    <w:rsid w:val="003003DC"/>
    <w:rsid w:val="00300C33"/>
    <w:rsid w:val="00300F3E"/>
    <w:rsid w:val="003016EC"/>
    <w:rsid w:val="00301CAB"/>
    <w:rsid w:val="00302304"/>
    <w:rsid w:val="003028EE"/>
    <w:rsid w:val="00302971"/>
    <w:rsid w:val="00302D86"/>
    <w:rsid w:val="00302FE9"/>
    <w:rsid w:val="003033ED"/>
    <w:rsid w:val="00303423"/>
    <w:rsid w:val="00303468"/>
    <w:rsid w:val="00303478"/>
    <w:rsid w:val="003035CB"/>
    <w:rsid w:val="00303D58"/>
    <w:rsid w:val="00303EFD"/>
    <w:rsid w:val="0030411A"/>
    <w:rsid w:val="00304242"/>
    <w:rsid w:val="003042AD"/>
    <w:rsid w:val="00304A88"/>
    <w:rsid w:val="0030508B"/>
    <w:rsid w:val="00305388"/>
    <w:rsid w:val="00305546"/>
    <w:rsid w:val="003055C7"/>
    <w:rsid w:val="003055EC"/>
    <w:rsid w:val="003059C2"/>
    <w:rsid w:val="003060CB"/>
    <w:rsid w:val="00306300"/>
    <w:rsid w:val="00306DB5"/>
    <w:rsid w:val="0030711E"/>
    <w:rsid w:val="00307332"/>
    <w:rsid w:val="0030757A"/>
    <w:rsid w:val="00307663"/>
    <w:rsid w:val="00307E91"/>
    <w:rsid w:val="00307EC2"/>
    <w:rsid w:val="003104DB"/>
    <w:rsid w:val="0031115E"/>
    <w:rsid w:val="003112AC"/>
    <w:rsid w:val="003113D4"/>
    <w:rsid w:val="003120B3"/>
    <w:rsid w:val="00312306"/>
    <w:rsid w:val="003124EF"/>
    <w:rsid w:val="00312F6B"/>
    <w:rsid w:val="003130FA"/>
    <w:rsid w:val="003134AF"/>
    <w:rsid w:val="00313C12"/>
    <w:rsid w:val="003140AA"/>
    <w:rsid w:val="0031439A"/>
    <w:rsid w:val="00314D4E"/>
    <w:rsid w:val="00314DF1"/>
    <w:rsid w:val="003150F6"/>
    <w:rsid w:val="00315477"/>
    <w:rsid w:val="003158CF"/>
    <w:rsid w:val="00316437"/>
    <w:rsid w:val="003169E3"/>
    <w:rsid w:val="00316BAC"/>
    <w:rsid w:val="003172E2"/>
    <w:rsid w:val="00317C26"/>
    <w:rsid w:val="00317E39"/>
    <w:rsid w:val="00317F40"/>
    <w:rsid w:val="00320699"/>
    <w:rsid w:val="00320C0C"/>
    <w:rsid w:val="0032108D"/>
    <w:rsid w:val="003228D2"/>
    <w:rsid w:val="00322BA2"/>
    <w:rsid w:val="00322C59"/>
    <w:rsid w:val="003232E1"/>
    <w:rsid w:val="0032396A"/>
    <w:rsid w:val="00323F8C"/>
    <w:rsid w:val="003242E9"/>
    <w:rsid w:val="00324618"/>
    <w:rsid w:val="003247FA"/>
    <w:rsid w:val="00324E94"/>
    <w:rsid w:val="00325181"/>
    <w:rsid w:val="00326CC1"/>
    <w:rsid w:val="00326F2A"/>
    <w:rsid w:val="00327012"/>
    <w:rsid w:val="003270B9"/>
    <w:rsid w:val="00327205"/>
    <w:rsid w:val="003277CC"/>
    <w:rsid w:val="00330027"/>
    <w:rsid w:val="003305DA"/>
    <w:rsid w:val="00330664"/>
    <w:rsid w:val="003307BB"/>
    <w:rsid w:val="00330A41"/>
    <w:rsid w:val="00331630"/>
    <w:rsid w:val="00331949"/>
    <w:rsid w:val="00331999"/>
    <w:rsid w:val="00332287"/>
    <w:rsid w:val="003323FD"/>
    <w:rsid w:val="00332401"/>
    <w:rsid w:val="003327A4"/>
    <w:rsid w:val="003331A9"/>
    <w:rsid w:val="0033372C"/>
    <w:rsid w:val="003337B6"/>
    <w:rsid w:val="00333B9A"/>
    <w:rsid w:val="00333F85"/>
    <w:rsid w:val="003340EE"/>
    <w:rsid w:val="003344DC"/>
    <w:rsid w:val="0033470F"/>
    <w:rsid w:val="00335224"/>
    <w:rsid w:val="00335263"/>
    <w:rsid w:val="003360CF"/>
    <w:rsid w:val="00336328"/>
    <w:rsid w:val="00336BA9"/>
    <w:rsid w:val="00336C0D"/>
    <w:rsid w:val="00337036"/>
    <w:rsid w:val="0033713B"/>
    <w:rsid w:val="00337459"/>
    <w:rsid w:val="0033795B"/>
    <w:rsid w:val="003379D4"/>
    <w:rsid w:val="00337A49"/>
    <w:rsid w:val="00337D03"/>
    <w:rsid w:val="00337D39"/>
    <w:rsid w:val="00337E88"/>
    <w:rsid w:val="003404D1"/>
    <w:rsid w:val="00341015"/>
    <w:rsid w:val="003415A5"/>
    <w:rsid w:val="003421CF"/>
    <w:rsid w:val="003422A5"/>
    <w:rsid w:val="0034253A"/>
    <w:rsid w:val="003426E7"/>
    <w:rsid w:val="00342D1D"/>
    <w:rsid w:val="00342E2F"/>
    <w:rsid w:val="003430AE"/>
    <w:rsid w:val="00343317"/>
    <w:rsid w:val="00344009"/>
    <w:rsid w:val="00344D08"/>
    <w:rsid w:val="003451AE"/>
    <w:rsid w:val="0034551F"/>
    <w:rsid w:val="003456AE"/>
    <w:rsid w:val="003458BB"/>
    <w:rsid w:val="00345988"/>
    <w:rsid w:val="00345AA7"/>
    <w:rsid w:val="00347067"/>
    <w:rsid w:val="00347102"/>
    <w:rsid w:val="003471B6"/>
    <w:rsid w:val="00347344"/>
    <w:rsid w:val="00347444"/>
    <w:rsid w:val="0034757E"/>
    <w:rsid w:val="003479B8"/>
    <w:rsid w:val="00347BB1"/>
    <w:rsid w:val="00347C5D"/>
    <w:rsid w:val="003509FD"/>
    <w:rsid w:val="00351337"/>
    <w:rsid w:val="00351753"/>
    <w:rsid w:val="00351CC5"/>
    <w:rsid w:val="00352355"/>
    <w:rsid w:val="00352AF9"/>
    <w:rsid w:val="003532EE"/>
    <w:rsid w:val="00354DCA"/>
    <w:rsid w:val="003550FF"/>
    <w:rsid w:val="0035524D"/>
    <w:rsid w:val="0035532C"/>
    <w:rsid w:val="00355760"/>
    <w:rsid w:val="00355B86"/>
    <w:rsid w:val="00355D3B"/>
    <w:rsid w:val="00356388"/>
    <w:rsid w:val="003565BD"/>
    <w:rsid w:val="003566EC"/>
    <w:rsid w:val="003569E3"/>
    <w:rsid w:val="00356A60"/>
    <w:rsid w:val="003571D9"/>
    <w:rsid w:val="003574F9"/>
    <w:rsid w:val="0035786E"/>
    <w:rsid w:val="00360AAE"/>
    <w:rsid w:val="00360D87"/>
    <w:rsid w:val="003613D2"/>
    <w:rsid w:val="00361407"/>
    <w:rsid w:val="00361BCD"/>
    <w:rsid w:val="00361D15"/>
    <w:rsid w:val="0036264D"/>
    <w:rsid w:val="003627BF"/>
    <w:rsid w:val="00362AC6"/>
    <w:rsid w:val="003630BA"/>
    <w:rsid w:val="0036327F"/>
    <w:rsid w:val="00363501"/>
    <w:rsid w:val="003638D4"/>
    <w:rsid w:val="00363A17"/>
    <w:rsid w:val="00363ABF"/>
    <w:rsid w:val="00363B1E"/>
    <w:rsid w:val="00364194"/>
    <w:rsid w:val="00364A9D"/>
    <w:rsid w:val="00364B42"/>
    <w:rsid w:val="00364CC6"/>
    <w:rsid w:val="00364EF6"/>
    <w:rsid w:val="003654FE"/>
    <w:rsid w:val="003657D1"/>
    <w:rsid w:val="00365DE7"/>
    <w:rsid w:val="00366CD2"/>
    <w:rsid w:val="00366FDD"/>
    <w:rsid w:val="00367409"/>
    <w:rsid w:val="003675C0"/>
    <w:rsid w:val="003677D6"/>
    <w:rsid w:val="00367B86"/>
    <w:rsid w:val="00367C0B"/>
    <w:rsid w:val="00367D46"/>
    <w:rsid w:val="00367E13"/>
    <w:rsid w:val="00370145"/>
    <w:rsid w:val="00370180"/>
    <w:rsid w:val="00370658"/>
    <w:rsid w:val="00370A32"/>
    <w:rsid w:val="00370C44"/>
    <w:rsid w:val="00370F8F"/>
    <w:rsid w:val="00371AF5"/>
    <w:rsid w:val="0037242F"/>
    <w:rsid w:val="00372DD6"/>
    <w:rsid w:val="00373D80"/>
    <w:rsid w:val="00374251"/>
    <w:rsid w:val="00374E4D"/>
    <w:rsid w:val="00374FCB"/>
    <w:rsid w:val="0037537E"/>
    <w:rsid w:val="003755D8"/>
    <w:rsid w:val="003768EB"/>
    <w:rsid w:val="00376A64"/>
    <w:rsid w:val="00377279"/>
    <w:rsid w:val="00377D9D"/>
    <w:rsid w:val="00380017"/>
    <w:rsid w:val="003802DD"/>
    <w:rsid w:val="0038063B"/>
    <w:rsid w:val="00380B7F"/>
    <w:rsid w:val="00380C7B"/>
    <w:rsid w:val="003813FA"/>
    <w:rsid w:val="0038160A"/>
    <w:rsid w:val="003816ED"/>
    <w:rsid w:val="00381E0B"/>
    <w:rsid w:val="003820E8"/>
    <w:rsid w:val="00382379"/>
    <w:rsid w:val="00382753"/>
    <w:rsid w:val="00382EC8"/>
    <w:rsid w:val="00383671"/>
    <w:rsid w:val="003836E6"/>
    <w:rsid w:val="00383D31"/>
    <w:rsid w:val="00383E61"/>
    <w:rsid w:val="00384246"/>
    <w:rsid w:val="00384B1D"/>
    <w:rsid w:val="00384D8C"/>
    <w:rsid w:val="00384FDD"/>
    <w:rsid w:val="003851D4"/>
    <w:rsid w:val="00385234"/>
    <w:rsid w:val="00385472"/>
    <w:rsid w:val="0038571C"/>
    <w:rsid w:val="00385816"/>
    <w:rsid w:val="00385863"/>
    <w:rsid w:val="00385B06"/>
    <w:rsid w:val="00385CEA"/>
    <w:rsid w:val="00386827"/>
    <w:rsid w:val="003874E8"/>
    <w:rsid w:val="003878A9"/>
    <w:rsid w:val="00387EF5"/>
    <w:rsid w:val="00387F8E"/>
    <w:rsid w:val="00390636"/>
    <w:rsid w:val="00390745"/>
    <w:rsid w:val="003913AA"/>
    <w:rsid w:val="00391718"/>
    <w:rsid w:val="00391A9B"/>
    <w:rsid w:val="00391A9E"/>
    <w:rsid w:val="003925DE"/>
    <w:rsid w:val="003927B7"/>
    <w:rsid w:val="00392975"/>
    <w:rsid w:val="00392E3C"/>
    <w:rsid w:val="00393172"/>
    <w:rsid w:val="003938A4"/>
    <w:rsid w:val="00393A0B"/>
    <w:rsid w:val="00393D90"/>
    <w:rsid w:val="00393F6F"/>
    <w:rsid w:val="0039449E"/>
    <w:rsid w:val="00394809"/>
    <w:rsid w:val="00394BA1"/>
    <w:rsid w:val="00395182"/>
    <w:rsid w:val="0039527C"/>
    <w:rsid w:val="00395BAB"/>
    <w:rsid w:val="00395BFB"/>
    <w:rsid w:val="0039600D"/>
    <w:rsid w:val="003960DB"/>
    <w:rsid w:val="00396441"/>
    <w:rsid w:val="00396444"/>
    <w:rsid w:val="003968BC"/>
    <w:rsid w:val="00396FA1"/>
    <w:rsid w:val="003978A0"/>
    <w:rsid w:val="00397919"/>
    <w:rsid w:val="003A05F4"/>
    <w:rsid w:val="003A0B78"/>
    <w:rsid w:val="003A0E50"/>
    <w:rsid w:val="003A11B7"/>
    <w:rsid w:val="003A18F8"/>
    <w:rsid w:val="003A1D33"/>
    <w:rsid w:val="003A2B00"/>
    <w:rsid w:val="003A2CA3"/>
    <w:rsid w:val="003A4057"/>
    <w:rsid w:val="003A44F0"/>
    <w:rsid w:val="003A45F0"/>
    <w:rsid w:val="003A54FF"/>
    <w:rsid w:val="003A58E7"/>
    <w:rsid w:val="003A5CB7"/>
    <w:rsid w:val="003A61C8"/>
    <w:rsid w:val="003A6489"/>
    <w:rsid w:val="003A72F4"/>
    <w:rsid w:val="003A7D3C"/>
    <w:rsid w:val="003B02D0"/>
    <w:rsid w:val="003B07EA"/>
    <w:rsid w:val="003B096B"/>
    <w:rsid w:val="003B0B73"/>
    <w:rsid w:val="003B0D99"/>
    <w:rsid w:val="003B0F4C"/>
    <w:rsid w:val="003B0F57"/>
    <w:rsid w:val="003B1392"/>
    <w:rsid w:val="003B14F0"/>
    <w:rsid w:val="003B1736"/>
    <w:rsid w:val="003B17FB"/>
    <w:rsid w:val="003B1C08"/>
    <w:rsid w:val="003B20FB"/>
    <w:rsid w:val="003B27AC"/>
    <w:rsid w:val="003B2BE8"/>
    <w:rsid w:val="003B2DB3"/>
    <w:rsid w:val="003B307C"/>
    <w:rsid w:val="003B3290"/>
    <w:rsid w:val="003B37C8"/>
    <w:rsid w:val="003B3930"/>
    <w:rsid w:val="003B3AEC"/>
    <w:rsid w:val="003B3B6F"/>
    <w:rsid w:val="003B410C"/>
    <w:rsid w:val="003B477E"/>
    <w:rsid w:val="003B4EE0"/>
    <w:rsid w:val="003B5364"/>
    <w:rsid w:val="003B5670"/>
    <w:rsid w:val="003B6288"/>
    <w:rsid w:val="003B661B"/>
    <w:rsid w:val="003B6A50"/>
    <w:rsid w:val="003B6B96"/>
    <w:rsid w:val="003B6BE2"/>
    <w:rsid w:val="003B70E3"/>
    <w:rsid w:val="003B78F5"/>
    <w:rsid w:val="003B79D7"/>
    <w:rsid w:val="003C0EA8"/>
    <w:rsid w:val="003C12FE"/>
    <w:rsid w:val="003C1A20"/>
    <w:rsid w:val="003C1DA9"/>
    <w:rsid w:val="003C200A"/>
    <w:rsid w:val="003C250A"/>
    <w:rsid w:val="003C275C"/>
    <w:rsid w:val="003C2C29"/>
    <w:rsid w:val="003C2C3C"/>
    <w:rsid w:val="003C3308"/>
    <w:rsid w:val="003C3375"/>
    <w:rsid w:val="003C3EA9"/>
    <w:rsid w:val="003C428C"/>
    <w:rsid w:val="003C49A0"/>
    <w:rsid w:val="003C4E35"/>
    <w:rsid w:val="003C4F9E"/>
    <w:rsid w:val="003C53DD"/>
    <w:rsid w:val="003C6C03"/>
    <w:rsid w:val="003C6F79"/>
    <w:rsid w:val="003C7059"/>
    <w:rsid w:val="003C70E3"/>
    <w:rsid w:val="003C7973"/>
    <w:rsid w:val="003C7AE1"/>
    <w:rsid w:val="003C7E90"/>
    <w:rsid w:val="003D03C2"/>
    <w:rsid w:val="003D05EF"/>
    <w:rsid w:val="003D0F9F"/>
    <w:rsid w:val="003D0FCD"/>
    <w:rsid w:val="003D15A5"/>
    <w:rsid w:val="003D1A90"/>
    <w:rsid w:val="003D1D83"/>
    <w:rsid w:val="003D23CE"/>
    <w:rsid w:val="003D2A41"/>
    <w:rsid w:val="003D2F8B"/>
    <w:rsid w:val="003D39D7"/>
    <w:rsid w:val="003D42EA"/>
    <w:rsid w:val="003D449B"/>
    <w:rsid w:val="003D453E"/>
    <w:rsid w:val="003D51FA"/>
    <w:rsid w:val="003D5857"/>
    <w:rsid w:val="003D5D62"/>
    <w:rsid w:val="003D5FE8"/>
    <w:rsid w:val="003D62FF"/>
    <w:rsid w:val="003D6760"/>
    <w:rsid w:val="003D6878"/>
    <w:rsid w:val="003D6AF3"/>
    <w:rsid w:val="003D6BE3"/>
    <w:rsid w:val="003D7729"/>
    <w:rsid w:val="003D7EFC"/>
    <w:rsid w:val="003E0043"/>
    <w:rsid w:val="003E0086"/>
    <w:rsid w:val="003E117D"/>
    <w:rsid w:val="003E1672"/>
    <w:rsid w:val="003E1948"/>
    <w:rsid w:val="003E1BB6"/>
    <w:rsid w:val="003E1CFC"/>
    <w:rsid w:val="003E21D0"/>
    <w:rsid w:val="003E2379"/>
    <w:rsid w:val="003E2870"/>
    <w:rsid w:val="003E2A6F"/>
    <w:rsid w:val="003E2E95"/>
    <w:rsid w:val="003E2F19"/>
    <w:rsid w:val="003E3085"/>
    <w:rsid w:val="003E359B"/>
    <w:rsid w:val="003E35CA"/>
    <w:rsid w:val="003E35F5"/>
    <w:rsid w:val="003E3936"/>
    <w:rsid w:val="003E4081"/>
    <w:rsid w:val="003E40CE"/>
    <w:rsid w:val="003E42F2"/>
    <w:rsid w:val="003E4F8E"/>
    <w:rsid w:val="003E5188"/>
    <w:rsid w:val="003E556B"/>
    <w:rsid w:val="003E5A1E"/>
    <w:rsid w:val="003E5A97"/>
    <w:rsid w:val="003E5AC3"/>
    <w:rsid w:val="003E5B46"/>
    <w:rsid w:val="003E60A6"/>
    <w:rsid w:val="003E62D8"/>
    <w:rsid w:val="003E661D"/>
    <w:rsid w:val="003E69EE"/>
    <w:rsid w:val="003E6B36"/>
    <w:rsid w:val="003E6B5B"/>
    <w:rsid w:val="003E6D94"/>
    <w:rsid w:val="003E7058"/>
    <w:rsid w:val="003E7319"/>
    <w:rsid w:val="003E7488"/>
    <w:rsid w:val="003E7FC9"/>
    <w:rsid w:val="003F0699"/>
    <w:rsid w:val="003F0873"/>
    <w:rsid w:val="003F0D83"/>
    <w:rsid w:val="003F0DA8"/>
    <w:rsid w:val="003F0E13"/>
    <w:rsid w:val="003F100E"/>
    <w:rsid w:val="003F104B"/>
    <w:rsid w:val="003F118E"/>
    <w:rsid w:val="003F1263"/>
    <w:rsid w:val="003F145D"/>
    <w:rsid w:val="003F1894"/>
    <w:rsid w:val="003F1A1B"/>
    <w:rsid w:val="003F1E4E"/>
    <w:rsid w:val="003F21B2"/>
    <w:rsid w:val="003F26EE"/>
    <w:rsid w:val="003F2787"/>
    <w:rsid w:val="003F290C"/>
    <w:rsid w:val="003F3095"/>
    <w:rsid w:val="003F31CC"/>
    <w:rsid w:val="003F3296"/>
    <w:rsid w:val="003F32BC"/>
    <w:rsid w:val="003F3319"/>
    <w:rsid w:val="003F33A3"/>
    <w:rsid w:val="003F39A0"/>
    <w:rsid w:val="003F3AA5"/>
    <w:rsid w:val="003F4349"/>
    <w:rsid w:val="003F4F5D"/>
    <w:rsid w:val="003F59B6"/>
    <w:rsid w:val="003F60C3"/>
    <w:rsid w:val="003F6396"/>
    <w:rsid w:val="003F6810"/>
    <w:rsid w:val="003F6C1D"/>
    <w:rsid w:val="003F6E9D"/>
    <w:rsid w:val="003F6FD0"/>
    <w:rsid w:val="003F6FEE"/>
    <w:rsid w:val="003F709A"/>
    <w:rsid w:val="003F7320"/>
    <w:rsid w:val="003F759F"/>
    <w:rsid w:val="00400675"/>
    <w:rsid w:val="00400DFB"/>
    <w:rsid w:val="00401214"/>
    <w:rsid w:val="0040153B"/>
    <w:rsid w:val="0040183B"/>
    <w:rsid w:val="00401EB3"/>
    <w:rsid w:val="00402953"/>
    <w:rsid w:val="0040358D"/>
    <w:rsid w:val="00403B7E"/>
    <w:rsid w:val="00403C09"/>
    <w:rsid w:val="00403D59"/>
    <w:rsid w:val="004041C2"/>
    <w:rsid w:val="00404371"/>
    <w:rsid w:val="00404836"/>
    <w:rsid w:val="00404ADE"/>
    <w:rsid w:val="00404C0B"/>
    <w:rsid w:val="0040578D"/>
    <w:rsid w:val="00406009"/>
    <w:rsid w:val="004062B5"/>
    <w:rsid w:val="004066EE"/>
    <w:rsid w:val="00406EB2"/>
    <w:rsid w:val="00407229"/>
    <w:rsid w:val="004073B6"/>
    <w:rsid w:val="004073B7"/>
    <w:rsid w:val="0040780B"/>
    <w:rsid w:val="00407942"/>
    <w:rsid w:val="00407F61"/>
    <w:rsid w:val="00410338"/>
    <w:rsid w:val="004107FD"/>
    <w:rsid w:val="00410880"/>
    <w:rsid w:val="00410F5E"/>
    <w:rsid w:val="00411342"/>
    <w:rsid w:val="0041177A"/>
    <w:rsid w:val="0041205E"/>
    <w:rsid w:val="00412C0E"/>
    <w:rsid w:val="0041351A"/>
    <w:rsid w:val="00414E6E"/>
    <w:rsid w:val="0041573B"/>
    <w:rsid w:val="00415CB3"/>
    <w:rsid w:val="00416121"/>
    <w:rsid w:val="004164EF"/>
    <w:rsid w:val="00416894"/>
    <w:rsid w:val="00416E5C"/>
    <w:rsid w:val="0041729E"/>
    <w:rsid w:val="004176E7"/>
    <w:rsid w:val="004176EC"/>
    <w:rsid w:val="00417898"/>
    <w:rsid w:val="00417CDA"/>
    <w:rsid w:val="0042009D"/>
    <w:rsid w:val="004201E7"/>
    <w:rsid w:val="004201F9"/>
    <w:rsid w:val="00420A6D"/>
    <w:rsid w:val="00420B8F"/>
    <w:rsid w:val="00420BA8"/>
    <w:rsid w:val="00420DD1"/>
    <w:rsid w:val="00421044"/>
    <w:rsid w:val="0042276D"/>
    <w:rsid w:val="004229A4"/>
    <w:rsid w:val="00422A25"/>
    <w:rsid w:val="00423169"/>
    <w:rsid w:val="004238B5"/>
    <w:rsid w:val="00423A00"/>
    <w:rsid w:val="0042400D"/>
    <w:rsid w:val="004244BD"/>
    <w:rsid w:val="00424A45"/>
    <w:rsid w:val="00424AF1"/>
    <w:rsid w:val="00425606"/>
    <w:rsid w:val="00425698"/>
    <w:rsid w:val="00425B3A"/>
    <w:rsid w:val="004261C8"/>
    <w:rsid w:val="004262FA"/>
    <w:rsid w:val="00426308"/>
    <w:rsid w:val="00426685"/>
    <w:rsid w:val="0042675E"/>
    <w:rsid w:val="004267D9"/>
    <w:rsid w:val="00426EDD"/>
    <w:rsid w:val="00426F28"/>
    <w:rsid w:val="00426FC6"/>
    <w:rsid w:val="004270D8"/>
    <w:rsid w:val="00427522"/>
    <w:rsid w:val="004276AA"/>
    <w:rsid w:val="00427824"/>
    <w:rsid w:val="0042794F"/>
    <w:rsid w:val="00427E8B"/>
    <w:rsid w:val="00430109"/>
    <w:rsid w:val="00430A83"/>
    <w:rsid w:val="0043196A"/>
    <w:rsid w:val="00431BA2"/>
    <w:rsid w:val="00431EF1"/>
    <w:rsid w:val="0043205D"/>
    <w:rsid w:val="004321AF"/>
    <w:rsid w:val="004325E8"/>
    <w:rsid w:val="00433DBF"/>
    <w:rsid w:val="0043434E"/>
    <w:rsid w:val="00434634"/>
    <w:rsid w:val="00434767"/>
    <w:rsid w:val="00434905"/>
    <w:rsid w:val="00434E21"/>
    <w:rsid w:val="004356E9"/>
    <w:rsid w:val="0043572A"/>
    <w:rsid w:val="00435A08"/>
    <w:rsid w:val="00435B1A"/>
    <w:rsid w:val="00435B2C"/>
    <w:rsid w:val="004365E3"/>
    <w:rsid w:val="00436E96"/>
    <w:rsid w:val="004370AB"/>
    <w:rsid w:val="004378A6"/>
    <w:rsid w:val="00437A23"/>
    <w:rsid w:val="00437F73"/>
    <w:rsid w:val="00437F95"/>
    <w:rsid w:val="0044078F"/>
    <w:rsid w:val="0044097E"/>
    <w:rsid w:val="00440CAE"/>
    <w:rsid w:val="004412D6"/>
    <w:rsid w:val="00441501"/>
    <w:rsid w:val="004418AC"/>
    <w:rsid w:val="0044253E"/>
    <w:rsid w:val="00442835"/>
    <w:rsid w:val="00443223"/>
    <w:rsid w:val="0044332E"/>
    <w:rsid w:val="00443A42"/>
    <w:rsid w:val="00443ED4"/>
    <w:rsid w:val="00444048"/>
    <w:rsid w:val="00444073"/>
    <w:rsid w:val="00444160"/>
    <w:rsid w:val="004446C7"/>
    <w:rsid w:val="00444AF6"/>
    <w:rsid w:val="00444D04"/>
    <w:rsid w:val="00444F5C"/>
    <w:rsid w:val="00445A75"/>
    <w:rsid w:val="00446346"/>
    <w:rsid w:val="004464F8"/>
    <w:rsid w:val="004466AE"/>
    <w:rsid w:val="00446734"/>
    <w:rsid w:val="004469D9"/>
    <w:rsid w:val="00446C6A"/>
    <w:rsid w:val="00446DF9"/>
    <w:rsid w:val="004475B2"/>
    <w:rsid w:val="00447BBB"/>
    <w:rsid w:val="00447F94"/>
    <w:rsid w:val="00450155"/>
    <w:rsid w:val="0045029D"/>
    <w:rsid w:val="00450446"/>
    <w:rsid w:val="00450ACC"/>
    <w:rsid w:val="00450C27"/>
    <w:rsid w:val="004513A1"/>
    <w:rsid w:val="00451581"/>
    <w:rsid w:val="00452408"/>
    <w:rsid w:val="0045277A"/>
    <w:rsid w:val="00453390"/>
    <w:rsid w:val="00453CC2"/>
    <w:rsid w:val="00453FC3"/>
    <w:rsid w:val="00454146"/>
    <w:rsid w:val="00454212"/>
    <w:rsid w:val="004549A6"/>
    <w:rsid w:val="00455028"/>
    <w:rsid w:val="0045514F"/>
    <w:rsid w:val="00455353"/>
    <w:rsid w:val="0045567F"/>
    <w:rsid w:val="0045575B"/>
    <w:rsid w:val="004557FB"/>
    <w:rsid w:val="00455CA5"/>
    <w:rsid w:val="00455D96"/>
    <w:rsid w:val="00456246"/>
    <w:rsid w:val="00456375"/>
    <w:rsid w:val="0045651B"/>
    <w:rsid w:val="00456578"/>
    <w:rsid w:val="004569EC"/>
    <w:rsid w:val="00456A48"/>
    <w:rsid w:val="00456C50"/>
    <w:rsid w:val="00456CA6"/>
    <w:rsid w:val="00456D2E"/>
    <w:rsid w:val="00456D5F"/>
    <w:rsid w:val="00456E8C"/>
    <w:rsid w:val="00457008"/>
    <w:rsid w:val="004572C0"/>
    <w:rsid w:val="004573E9"/>
    <w:rsid w:val="0045788D"/>
    <w:rsid w:val="004579BC"/>
    <w:rsid w:val="00457CA6"/>
    <w:rsid w:val="00457E23"/>
    <w:rsid w:val="00457EF1"/>
    <w:rsid w:val="004604AD"/>
    <w:rsid w:val="004607B8"/>
    <w:rsid w:val="0046101F"/>
    <w:rsid w:val="004610B0"/>
    <w:rsid w:val="004611C0"/>
    <w:rsid w:val="0046186D"/>
    <w:rsid w:val="00462179"/>
    <w:rsid w:val="004625DE"/>
    <w:rsid w:val="00462923"/>
    <w:rsid w:val="00462CD5"/>
    <w:rsid w:val="004631D2"/>
    <w:rsid w:val="004632B3"/>
    <w:rsid w:val="004632FE"/>
    <w:rsid w:val="00463D1A"/>
    <w:rsid w:val="004641E5"/>
    <w:rsid w:val="00464238"/>
    <w:rsid w:val="00464262"/>
    <w:rsid w:val="00464620"/>
    <w:rsid w:val="00464EE6"/>
    <w:rsid w:val="00464FA2"/>
    <w:rsid w:val="004655B1"/>
    <w:rsid w:val="00465FF7"/>
    <w:rsid w:val="00466732"/>
    <w:rsid w:val="0046699C"/>
    <w:rsid w:val="00466B2D"/>
    <w:rsid w:val="00466B57"/>
    <w:rsid w:val="00466D06"/>
    <w:rsid w:val="00467017"/>
    <w:rsid w:val="0046707F"/>
    <w:rsid w:val="004675B1"/>
    <w:rsid w:val="00467E3D"/>
    <w:rsid w:val="00467EA4"/>
    <w:rsid w:val="004702ED"/>
    <w:rsid w:val="00470460"/>
    <w:rsid w:val="00470C09"/>
    <w:rsid w:val="00470E24"/>
    <w:rsid w:val="00470ED3"/>
    <w:rsid w:val="004712A5"/>
    <w:rsid w:val="004716B4"/>
    <w:rsid w:val="00471726"/>
    <w:rsid w:val="00471D6B"/>
    <w:rsid w:val="00471E95"/>
    <w:rsid w:val="00472065"/>
    <w:rsid w:val="004722C8"/>
    <w:rsid w:val="0047244D"/>
    <w:rsid w:val="004727CC"/>
    <w:rsid w:val="00472940"/>
    <w:rsid w:val="00473693"/>
    <w:rsid w:val="0047440A"/>
    <w:rsid w:val="00474AF5"/>
    <w:rsid w:val="00474BA2"/>
    <w:rsid w:val="00475967"/>
    <w:rsid w:val="004767E0"/>
    <w:rsid w:val="00476C4F"/>
    <w:rsid w:val="00476F72"/>
    <w:rsid w:val="0047749F"/>
    <w:rsid w:val="00480317"/>
    <w:rsid w:val="004804EC"/>
    <w:rsid w:val="004805FA"/>
    <w:rsid w:val="00480899"/>
    <w:rsid w:val="004809AF"/>
    <w:rsid w:val="00480DD1"/>
    <w:rsid w:val="004811ED"/>
    <w:rsid w:val="0048250D"/>
    <w:rsid w:val="00482D86"/>
    <w:rsid w:val="00482DE2"/>
    <w:rsid w:val="00482E0A"/>
    <w:rsid w:val="00483127"/>
    <w:rsid w:val="0048440E"/>
    <w:rsid w:val="0048495D"/>
    <w:rsid w:val="004852CB"/>
    <w:rsid w:val="0048546B"/>
    <w:rsid w:val="00485493"/>
    <w:rsid w:val="00485C7F"/>
    <w:rsid w:val="00485E1A"/>
    <w:rsid w:val="00486080"/>
    <w:rsid w:val="00486377"/>
    <w:rsid w:val="0048765C"/>
    <w:rsid w:val="00487B8C"/>
    <w:rsid w:val="00487BF7"/>
    <w:rsid w:val="00487BFB"/>
    <w:rsid w:val="00487FB3"/>
    <w:rsid w:val="004906A4"/>
    <w:rsid w:val="004911F2"/>
    <w:rsid w:val="004916E3"/>
    <w:rsid w:val="00491758"/>
    <w:rsid w:val="00491D9F"/>
    <w:rsid w:val="004922A2"/>
    <w:rsid w:val="004924E1"/>
    <w:rsid w:val="00492549"/>
    <w:rsid w:val="00492668"/>
    <w:rsid w:val="0049274A"/>
    <w:rsid w:val="004927ED"/>
    <w:rsid w:val="004927EE"/>
    <w:rsid w:val="004928E5"/>
    <w:rsid w:val="00492B99"/>
    <w:rsid w:val="00492F2D"/>
    <w:rsid w:val="004932DB"/>
    <w:rsid w:val="004935FB"/>
    <w:rsid w:val="00493D59"/>
    <w:rsid w:val="00494ABB"/>
    <w:rsid w:val="00494F6E"/>
    <w:rsid w:val="004950A6"/>
    <w:rsid w:val="004959E7"/>
    <w:rsid w:val="00495F5A"/>
    <w:rsid w:val="0049635A"/>
    <w:rsid w:val="004968DE"/>
    <w:rsid w:val="00496A73"/>
    <w:rsid w:val="004971C3"/>
    <w:rsid w:val="00497234"/>
    <w:rsid w:val="00497279"/>
    <w:rsid w:val="004977FF"/>
    <w:rsid w:val="00497A04"/>
    <w:rsid w:val="00497C79"/>
    <w:rsid w:val="00497D95"/>
    <w:rsid w:val="004A0039"/>
    <w:rsid w:val="004A0446"/>
    <w:rsid w:val="004A0711"/>
    <w:rsid w:val="004A0C74"/>
    <w:rsid w:val="004A1510"/>
    <w:rsid w:val="004A16A6"/>
    <w:rsid w:val="004A1A6C"/>
    <w:rsid w:val="004A1A85"/>
    <w:rsid w:val="004A2220"/>
    <w:rsid w:val="004A268F"/>
    <w:rsid w:val="004A27B3"/>
    <w:rsid w:val="004A2BD5"/>
    <w:rsid w:val="004A2E0B"/>
    <w:rsid w:val="004A3600"/>
    <w:rsid w:val="004A36C0"/>
    <w:rsid w:val="004A3C4F"/>
    <w:rsid w:val="004A4008"/>
    <w:rsid w:val="004A435F"/>
    <w:rsid w:val="004A481A"/>
    <w:rsid w:val="004A4A41"/>
    <w:rsid w:val="004A53F9"/>
    <w:rsid w:val="004A5957"/>
    <w:rsid w:val="004A66D9"/>
    <w:rsid w:val="004A6C85"/>
    <w:rsid w:val="004A73DB"/>
    <w:rsid w:val="004A76B6"/>
    <w:rsid w:val="004A772D"/>
    <w:rsid w:val="004A78B1"/>
    <w:rsid w:val="004A798D"/>
    <w:rsid w:val="004A7F49"/>
    <w:rsid w:val="004A7F76"/>
    <w:rsid w:val="004B00C6"/>
    <w:rsid w:val="004B0171"/>
    <w:rsid w:val="004B01A6"/>
    <w:rsid w:val="004B0343"/>
    <w:rsid w:val="004B0AFE"/>
    <w:rsid w:val="004B0F2C"/>
    <w:rsid w:val="004B13E8"/>
    <w:rsid w:val="004B1804"/>
    <w:rsid w:val="004B2034"/>
    <w:rsid w:val="004B207A"/>
    <w:rsid w:val="004B20D2"/>
    <w:rsid w:val="004B2418"/>
    <w:rsid w:val="004B2A54"/>
    <w:rsid w:val="004B2B15"/>
    <w:rsid w:val="004B2E6A"/>
    <w:rsid w:val="004B315E"/>
    <w:rsid w:val="004B3228"/>
    <w:rsid w:val="004B328D"/>
    <w:rsid w:val="004B38A0"/>
    <w:rsid w:val="004B3A34"/>
    <w:rsid w:val="004B4DB6"/>
    <w:rsid w:val="004B51B7"/>
    <w:rsid w:val="004B522D"/>
    <w:rsid w:val="004B5694"/>
    <w:rsid w:val="004B5868"/>
    <w:rsid w:val="004B5A7A"/>
    <w:rsid w:val="004B75EE"/>
    <w:rsid w:val="004B7976"/>
    <w:rsid w:val="004C02CC"/>
    <w:rsid w:val="004C0822"/>
    <w:rsid w:val="004C08CC"/>
    <w:rsid w:val="004C1036"/>
    <w:rsid w:val="004C1108"/>
    <w:rsid w:val="004C136F"/>
    <w:rsid w:val="004C1C71"/>
    <w:rsid w:val="004C231A"/>
    <w:rsid w:val="004C2A86"/>
    <w:rsid w:val="004C3402"/>
    <w:rsid w:val="004C36A2"/>
    <w:rsid w:val="004C418A"/>
    <w:rsid w:val="004C444A"/>
    <w:rsid w:val="004C44DE"/>
    <w:rsid w:val="004C4A48"/>
    <w:rsid w:val="004C4ADE"/>
    <w:rsid w:val="004C4C34"/>
    <w:rsid w:val="004C5707"/>
    <w:rsid w:val="004C590A"/>
    <w:rsid w:val="004C5A9A"/>
    <w:rsid w:val="004C5B58"/>
    <w:rsid w:val="004C5C9C"/>
    <w:rsid w:val="004C60A8"/>
    <w:rsid w:val="004C61DE"/>
    <w:rsid w:val="004C683C"/>
    <w:rsid w:val="004C6DE9"/>
    <w:rsid w:val="004C7876"/>
    <w:rsid w:val="004C7B00"/>
    <w:rsid w:val="004C7D0A"/>
    <w:rsid w:val="004D0775"/>
    <w:rsid w:val="004D0CFF"/>
    <w:rsid w:val="004D0E73"/>
    <w:rsid w:val="004D1173"/>
    <w:rsid w:val="004D13F6"/>
    <w:rsid w:val="004D1509"/>
    <w:rsid w:val="004D1A0A"/>
    <w:rsid w:val="004D26FD"/>
    <w:rsid w:val="004D2741"/>
    <w:rsid w:val="004D2945"/>
    <w:rsid w:val="004D3053"/>
    <w:rsid w:val="004D3672"/>
    <w:rsid w:val="004D36D7"/>
    <w:rsid w:val="004D487E"/>
    <w:rsid w:val="004D4BFD"/>
    <w:rsid w:val="004D5A87"/>
    <w:rsid w:val="004D5D80"/>
    <w:rsid w:val="004D5DAD"/>
    <w:rsid w:val="004D5F14"/>
    <w:rsid w:val="004D6BFD"/>
    <w:rsid w:val="004D6DC8"/>
    <w:rsid w:val="004D75B2"/>
    <w:rsid w:val="004D7781"/>
    <w:rsid w:val="004E0246"/>
    <w:rsid w:val="004E02B7"/>
    <w:rsid w:val="004E059F"/>
    <w:rsid w:val="004E0AFB"/>
    <w:rsid w:val="004E0E8B"/>
    <w:rsid w:val="004E10F6"/>
    <w:rsid w:val="004E1113"/>
    <w:rsid w:val="004E14A0"/>
    <w:rsid w:val="004E16B5"/>
    <w:rsid w:val="004E1790"/>
    <w:rsid w:val="004E1867"/>
    <w:rsid w:val="004E21A9"/>
    <w:rsid w:val="004E21F5"/>
    <w:rsid w:val="004E2F92"/>
    <w:rsid w:val="004E3504"/>
    <w:rsid w:val="004E3720"/>
    <w:rsid w:val="004E3A43"/>
    <w:rsid w:val="004E3A66"/>
    <w:rsid w:val="004E3B53"/>
    <w:rsid w:val="004E41B2"/>
    <w:rsid w:val="004E4508"/>
    <w:rsid w:val="004E4C6A"/>
    <w:rsid w:val="004E4EFE"/>
    <w:rsid w:val="004E52A4"/>
    <w:rsid w:val="004E5712"/>
    <w:rsid w:val="004E59ED"/>
    <w:rsid w:val="004E5ABF"/>
    <w:rsid w:val="004E60A3"/>
    <w:rsid w:val="004E60C3"/>
    <w:rsid w:val="004E6551"/>
    <w:rsid w:val="004E66D8"/>
    <w:rsid w:val="004E7303"/>
    <w:rsid w:val="004E766C"/>
    <w:rsid w:val="004E7F3B"/>
    <w:rsid w:val="004E7FBE"/>
    <w:rsid w:val="004F0063"/>
    <w:rsid w:val="004F0422"/>
    <w:rsid w:val="004F0730"/>
    <w:rsid w:val="004F11C1"/>
    <w:rsid w:val="004F13C7"/>
    <w:rsid w:val="004F1450"/>
    <w:rsid w:val="004F1490"/>
    <w:rsid w:val="004F18F8"/>
    <w:rsid w:val="004F211F"/>
    <w:rsid w:val="004F2555"/>
    <w:rsid w:val="004F258C"/>
    <w:rsid w:val="004F28BC"/>
    <w:rsid w:val="004F36C7"/>
    <w:rsid w:val="004F3D6B"/>
    <w:rsid w:val="004F4831"/>
    <w:rsid w:val="004F4D36"/>
    <w:rsid w:val="004F4F0B"/>
    <w:rsid w:val="004F515F"/>
    <w:rsid w:val="004F568C"/>
    <w:rsid w:val="004F5755"/>
    <w:rsid w:val="004F5E1F"/>
    <w:rsid w:val="004F5F87"/>
    <w:rsid w:val="004F68C1"/>
    <w:rsid w:val="004F7803"/>
    <w:rsid w:val="005007F6"/>
    <w:rsid w:val="00500E12"/>
    <w:rsid w:val="00500FBD"/>
    <w:rsid w:val="0050137D"/>
    <w:rsid w:val="0050249A"/>
    <w:rsid w:val="00502524"/>
    <w:rsid w:val="00502812"/>
    <w:rsid w:val="00502841"/>
    <w:rsid w:val="005029F5"/>
    <w:rsid w:val="00502C18"/>
    <w:rsid w:val="00502D40"/>
    <w:rsid w:val="00502EAC"/>
    <w:rsid w:val="00502F23"/>
    <w:rsid w:val="00503C5A"/>
    <w:rsid w:val="005041E3"/>
    <w:rsid w:val="00504617"/>
    <w:rsid w:val="00504B2F"/>
    <w:rsid w:val="0050530B"/>
    <w:rsid w:val="0050606E"/>
    <w:rsid w:val="00506245"/>
    <w:rsid w:val="005068A6"/>
    <w:rsid w:val="00506CDF"/>
    <w:rsid w:val="00506D7B"/>
    <w:rsid w:val="005071F6"/>
    <w:rsid w:val="005077EA"/>
    <w:rsid w:val="00507A0B"/>
    <w:rsid w:val="00507A2C"/>
    <w:rsid w:val="00507BDA"/>
    <w:rsid w:val="005100A5"/>
    <w:rsid w:val="00510B81"/>
    <w:rsid w:val="00510C26"/>
    <w:rsid w:val="00511067"/>
    <w:rsid w:val="005110EF"/>
    <w:rsid w:val="0051128C"/>
    <w:rsid w:val="00511A5C"/>
    <w:rsid w:val="00511ED9"/>
    <w:rsid w:val="0051209A"/>
    <w:rsid w:val="005122CA"/>
    <w:rsid w:val="00512A79"/>
    <w:rsid w:val="00512C9E"/>
    <w:rsid w:val="00513004"/>
    <w:rsid w:val="005135BD"/>
    <w:rsid w:val="005137E7"/>
    <w:rsid w:val="005138EE"/>
    <w:rsid w:val="00513914"/>
    <w:rsid w:val="00513DB1"/>
    <w:rsid w:val="00513E43"/>
    <w:rsid w:val="00514263"/>
    <w:rsid w:val="00514791"/>
    <w:rsid w:val="00514AA4"/>
    <w:rsid w:val="00514C8B"/>
    <w:rsid w:val="00514CDB"/>
    <w:rsid w:val="00514DF9"/>
    <w:rsid w:val="00514F93"/>
    <w:rsid w:val="00515323"/>
    <w:rsid w:val="0051535A"/>
    <w:rsid w:val="005153BA"/>
    <w:rsid w:val="00515B40"/>
    <w:rsid w:val="00516AC5"/>
    <w:rsid w:val="00516CEE"/>
    <w:rsid w:val="0051703A"/>
    <w:rsid w:val="0051717D"/>
    <w:rsid w:val="005173C6"/>
    <w:rsid w:val="00517BC4"/>
    <w:rsid w:val="00520131"/>
    <w:rsid w:val="005206C6"/>
    <w:rsid w:val="00520C80"/>
    <w:rsid w:val="00520FE6"/>
    <w:rsid w:val="005210D0"/>
    <w:rsid w:val="00521830"/>
    <w:rsid w:val="00521ACE"/>
    <w:rsid w:val="00522788"/>
    <w:rsid w:val="00522F92"/>
    <w:rsid w:val="00523128"/>
    <w:rsid w:val="005238A1"/>
    <w:rsid w:val="00523A6D"/>
    <w:rsid w:val="005241F0"/>
    <w:rsid w:val="005243A8"/>
    <w:rsid w:val="00524538"/>
    <w:rsid w:val="00524B2F"/>
    <w:rsid w:val="00524C1B"/>
    <w:rsid w:val="00524F1B"/>
    <w:rsid w:val="005256B5"/>
    <w:rsid w:val="0052574A"/>
    <w:rsid w:val="00525CA2"/>
    <w:rsid w:val="00525D2A"/>
    <w:rsid w:val="00525E8B"/>
    <w:rsid w:val="00526B08"/>
    <w:rsid w:val="0052712B"/>
    <w:rsid w:val="0052738A"/>
    <w:rsid w:val="005273FF"/>
    <w:rsid w:val="00527593"/>
    <w:rsid w:val="00527690"/>
    <w:rsid w:val="00527B9A"/>
    <w:rsid w:val="00527CD0"/>
    <w:rsid w:val="0053029D"/>
    <w:rsid w:val="0053059A"/>
    <w:rsid w:val="00531A2C"/>
    <w:rsid w:val="00531CDF"/>
    <w:rsid w:val="005322A5"/>
    <w:rsid w:val="0053263F"/>
    <w:rsid w:val="005327BE"/>
    <w:rsid w:val="00532A2C"/>
    <w:rsid w:val="00532C1E"/>
    <w:rsid w:val="00532C74"/>
    <w:rsid w:val="00532E35"/>
    <w:rsid w:val="00533151"/>
    <w:rsid w:val="005335E3"/>
    <w:rsid w:val="00534391"/>
    <w:rsid w:val="00534872"/>
    <w:rsid w:val="005349D8"/>
    <w:rsid w:val="00535539"/>
    <w:rsid w:val="00535E98"/>
    <w:rsid w:val="00535EA3"/>
    <w:rsid w:val="00535F9F"/>
    <w:rsid w:val="005360EB"/>
    <w:rsid w:val="00536117"/>
    <w:rsid w:val="005366D1"/>
    <w:rsid w:val="00536907"/>
    <w:rsid w:val="00536C65"/>
    <w:rsid w:val="00537039"/>
    <w:rsid w:val="00537131"/>
    <w:rsid w:val="005378E9"/>
    <w:rsid w:val="005379D4"/>
    <w:rsid w:val="00537E5B"/>
    <w:rsid w:val="00540952"/>
    <w:rsid w:val="00541442"/>
    <w:rsid w:val="0054184B"/>
    <w:rsid w:val="00541EE3"/>
    <w:rsid w:val="005426A8"/>
    <w:rsid w:val="0054355D"/>
    <w:rsid w:val="00543A4C"/>
    <w:rsid w:val="00543C53"/>
    <w:rsid w:val="00543E34"/>
    <w:rsid w:val="005443DF"/>
    <w:rsid w:val="0054489B"/>
    <w:rsid w:val="00544E5E"/>
    <w:rsid w:val="00544E90"/>
    <w:rsid w:val="005457B8"/>
    <w:rsid w:val="00545CBC"/>
    <w:rsid w:val="00546189"/>
    <w:rsid w:val="00546944"/>
    <w:rsid w:val="00547A97"/>
    <w:rsid w:val="00547BB1"/>
    <w:rsid w:val="00547D4B"/>
    <w:rsid w:val="00547FBF"/>
    <w:rsid w:val="00550497"/>
    <w:rsid w:val="005504F5"/>
    <w:rsid w:val="00551238"/>
    <w:rsid w:val="0055170B"/>
    <w:rsid w:val="0055190E"/>
    <w:rsid w:val="00551969"/>
    <w:rsid w:val="00551AD7"/>
    <w:rsid w:val="00551B77"/>
    <w:rsid w:val="00551C58"/>
    <w:rsid w:val="00551E15"/>
    <w:rsid w:val="0055237F"/>
    <w:rsid w:val="0055317F"/>
    <w:rsid w:val="00553287"/>
    <w:rsid w:val="0055333C"/>
    <w:rsid w:val="005536E1"/>
    <w:rsid w:val="005540C7"/>
    <w:rsid w:val="0055411F"/>
    <w:rsid w:val="005541D3"/>
    <w:rsid w:val="005542B6"/>
    <w:rsid w:val="0055443A"/>
    <w:rsid w:val="00555551"/>
    <w:rsid w:val="005558A6"/>
    <w:rsid w:val="0055598D"/>
    <w:rsid w:val="00555A8D"/>
    <w:rsid w:val="00556606"/>
    <w:rsid w:val="00556D7F"/>
    <w:rsid w:val="00556DD4"/>
    <w:rsid w:val="00556F33"/>
    <w:rsid w:val="00556FA5"/>
    <w:rsid w:val="005570F1"/>
    <w:rsid w:val="00560598"/>
    <w:rsid w:val="005606E7"/>
    <w:rsid w:val="00560FCF"/>
    <w:rsid w:val="00561388"/>
    <w:rsid w:val="00562215"/>
    <w:rsid w:val="005633AA"/>
    <w:rsid w:val="00563876"/>
    <w:rsid w:val="005639CF"/>
    <w:rsid w:val="00563DB7"/>
    <w:rsid w:val="00564732"/>
    <w:rsid w:val="00564882"/>
    <w:rsid w:val="00564941"/>
    <w:rsid w:val="00564BBF"/>
    <w:rsid w:val="00564D75"/>
    <w:rsid w:val="00564FD9"/>
    <w:rsid w:val="00565234"/>
    <w:rsid w:val="00565736"/>
    <w:rsid w:val="00565B78"/>
    <w:rsid w:val="00565E07"/>
    <w:rsid w:val="005662EC"/>
    <w:rsid w:val="0056660F"/>
    <w:rsid w:val="00566BAA"/>
    <w:rsid w:val="00566DD3"/>
    <w:rsid w:val="00566E8F"/>
    <w:rsid w:val="00567217"/>
    <w:rsid w:val="00567413"/>
    <w:rsid w:val="005674B7"/>
    <w:rsid w:val="005675E6"/>
    <w:rsid w:val="00567B63"/>
    <w:rsid w:val="00567CB6"/>
    <w:rsid w:val="00567DF2"/>
    <w:rsid w:val="00567EB6"/>
    <w:rsid w:val="005700FE"/>
    <w:rsid w:val="00570588"/>
    <w:rsid w:val="00570640"/>
    <w:rsid w:val="0057072B"/>
    <w:rsid w:val="00570D5E"/>
    <w:rsid w:val="005710C0"/>
    <w:rsid w:val="005711D4"/>
    <w:rsid w:val="00571363"/>
    <w:rsid w:val="005713C3"/>
    <w:rsid w:val="005714B2"/>
    <w:rsid w:val="0057154D"/>
    <w:rsid w:val="0057157D"/>
    <w:rsid w:val="00571829"/>
    <w:rsid w:val="00571994"/>
    <w:rsid w:val="00571D18"/>
    <w:rsid w:val="00571DDE"/>
    <w:rsid w:val="00571F26"/>
    <w:rsid w:val="005721B0"/>
    <w:rsid w:val="00572364"/>
    <w:rsid w:val="0057282F"/>
    <w:rsid w:val="005729E3"/>
    <w:rsid w:val="00572A96"/>
    <w:rsid w:val="00573559"/>
    <w:rsid w:val="0057359E"/>
    <w:rsid w:val="00573E07"/>
    <w:rsid w:val="00574664"/>
    <w:rsid w:val="005746CB"/>
    <w:rsid w:val="0057494C"/>
    <w:rsid w:val="00575762"/>
    <w:rsid w:val="00575A97"/>
    <w:rsid w:val="00575B74"/>
    <w:rsid w:val="00576302"/>
    <w:rsid w:val="00576991"/>
    <w:rsid w:val="00576CDA"/>
    <w:rsid w:val="005774FD"/>
    <w:rsid w:val="00577574"/>
    <w:rsid w:val="005775D3"/>
    <w:rsid w:val="00577C5F"/>
    <w:rsid w:val="00577D64"/>
    <w:rsid w:val="00580055"/>
    <w:rsid w:val="00580969"/>
    <w:rsid w:val="00580EE9"/>
    <w:rsid w:val="00581099"/>
    <w:rsid w:val="0058156C"/>
    <w:rsid w:val="005818D4"/>
    <w:rsid w:val="00581E96"/>
    <w:rsid w:val="0058223A"/>
    <w:rsid w:val="005824CE"/>
    <w:rsid w:val="00582741"/>
    <w:rsid w:val="00582942"/>
    <w:rsid w:val="005837C5"/>
    <w:rsid w:val="00584526"/>
    <w:rsid w:val="005847E6"/>
    <w:rsid w:val="00584AF2"/>
    <w:rsid w:val="00585865"/>
    <w:rsid w:val="00585F28"/>
    <w:rsid w:val="005860AA"/>
    <w:rsid w:val="005868E0"/>
    <w:rsid w:val="00586A77"/>
    <w:rsid w:val="005870F2"/>
    <w:rsid w:val="005877D3"/>
    <w:rsid w:val="00587A6A"/>
    <w:rsid w:val="00590539"/>
    <w:rsid w:val="005905C3"/>
    <w:rsid w:val="005908EC"/>
    <w:rsid w:val="005909A9"/>
    <w:rsid w:val="005911A2"/>
    <w:rsid w:val="00591330"/>
    <w:rsid w:val="00591743"/>
    <w:rsid w:val="00591A38"/>
    <w:rsid w:val="00591B59"/>
    <w:rsid w:val="00591C43"/>
    <w:rsid w:val="00591D19"/>
    <w:rsid w:val="00591EAE"/>
    <w:rsid w:val="00593A1C"/>
    <w:rsid w:val="00593CB1"/>
    <w:rsid w:val="00593F82"/>
    <w:rsid w:val="00594386"/>
    <w:rsid w:val="00594964"/>
    <w:rsid w:val="00594C4A"/>
    <w:rsid w:val="00594FC2"/>
    <w:rsid w:val="005958B8"/>
    <w:rsid w:val="005960FA"/>
    <w:rsid w:val="00596293"/>
    <w:rsid w:val="00596399"/>
    <w:rsid w:val="00596760"/>
    <w:rsid w:val="0059711F"/>
    <w:rsid w:val="005975DB"/>
    <w:rsid w:val="00597632"/>
    <w:rsid w:val="005979A3"/>
    <w:rsid w:val="00597BA5"/>
    <w:rsid w:val="00597C15"/>
    <w:rsid w:val="005A0843"/>
    <w:rsid w:val="005A0BA4"/>
    <w:rsid w:val="005A0BB8"/>
    <w:rsid w:val="005A0CAD"/>
    <w:rsid w:val="005A0F8D"/>
    <w:rsid w:val="005A10C6"/>
    <w:rsid w:val="005A10E7"/>
    <w:rsid w:val="005A1605"/>
    <w:rsid w:val="005A1659"/>
    <w:rsid w:val="005A17B3"/>
    <w:rsid w:val="005A260F"/>
    <w:rsid w:val="005A2B65"/>
    <w:rsid w:val="005A2B85"/>
    <w:rsid w:val="005A2CD9"/>
    <w:rsid w:val="005A2FA7"/>
    <w:rsid w:val="005A369E"/>
    <w:rsid w:val="005A3B4C"/>
    <w:rsid w:val="005A3C96"/>
    <w:rsid w:val="005A3FE2"/>
    <w:rsid w:val="005A4119"/>
    <w:rsid w:val="005A4C5D"/>
    <w:rsid w:val="005A539E"/>
    <w:rsid w:val="005A5553"/>
    <w:rsid w:val="005A63FB"/>
    <w:rsid w:val="005A6461"/>
    <w:rsid w:val="005A66BD"/>
    <w:rsid w:val="005A673C"/>
    <w:rsid w:val="005A7AD9"/>
    <w:rsid w:val="005A7E35"/>
    <w:rsid w:val="005A7EAD"/>
    <w:rsid w:val="005B00AB"/>
    <w:rsid w:val="005B03A9"/>
    <w:rsid w:val="005B055A"/>
    <w:rsid w:val="005B0594"/>
    <w:rsid w:val="005B0BA3"/>
    <w:rsid w:val="005B1073"/>
    <w:rsid w:val="005B1460"/>
    <w:rsid w:val="005B173A"/>
    <w:rsid w:val="005B1F98"/>
    <w:rsid w:val="005B216B"/>
    <w:rsid w:val="005B29E8"/>
    <w:rsid w:val="005B2A13"/>
    <w:rsid w:val="005B2EF7"/>
    <w:rsid w:val="005B30CA"/>
    <w:rsid w:val="005B36C2"/>
    <w:rsid w:val="005B3EF8"/>
    <w:rsid w:val="005B46E0"/>
    <w:rsid w:val="005B4725"/>
    <w:rsid w:val="005B4B12"/>
    <w:rsid w:val="005B4B71"/>
    <w:rsid w:val="005B4BF2"/>
    <w:rsid w:val="005B4CE0"/>
    <w:rsid w:val="005B5636"/>
    <w:rsid w:val="005B585A"/>
    <w:rsid w:val="005B585C"/>
    <w:rsid w:val="005B58BE"/>
    <w:rsid w:val="005B5AAA"/>
    <w:rsid w:val="005B5B21"/>
    <w:rsid w:val="005B68D3"/>
    <w:rsid w:val="005B6A16"/>
    <w:rsid w:val="005B6A29"/>
    <w:rsid w:val="005B7023"/>
    <w:rsid w:val="005B71A4"/>
    <w:rsid w:val="005B7BA6"/>
    <w:rsid w:val="005C0998"/>
    <w:rsid w:val="005C0ECF"/>
    <w:rsid w:val="005C0FC6"/>
    <w:rsid w:val="005C0FFD"/>
    <w:rsid w:val="005C143F"/>
    <w:rsid w:val="005C1491"/>
    <w:rsid w:val="005C152F"/>
    <w:rsid w:val="005C16BE"/>
    <w:rsid w:val="005C1928"/>
    <w:rsid w:val="005C1EB2"/>
    <w:rsid w:val="005C2964"/>
    <w:rsid w:val="005C2E62"/>
    <w:rsid w:val="005C3251"/>
    <w:rsid w:val="005C36B2"/>
    <w:rsid w:val="005C3D85"/>
    <w:rsid w:val="005C4092"/>
    <w:rsid w:val="005C40A7"/>
    <w:rsid w:val="005C414B"/>
    <w:rsid w:val="005C4903"/>
    <w:rsid w:val="005C4BC8"/>
    <w:rsid w:val="005C4CE2"/>
    <w:rsid w:val="005C4FEA"/>
    <w:rsid w:val="005C571A"/>
    <w:rsid w:val="005C582F"/>
    <w:rsid w:val="005C5E23"/>
    <w:rsid w:val="005C6029"/>
    <w:rsid w:val="005C6069"/>
    <w:rsid w:val="005C629C"/>
    <w:rsid w:val="005C64FC"/>
    <w:rsid w:val="005C69EE"/>
    <w:rsid w:val="005C6B36"/>
    <w:rsid w:val="005C707A"/>
    <w:rsid w:val="005C74FC"/>
    <w:rsid w:val="005C7823"/>
    <w:rsid w:val="005C783C"/>
    <w:rsid w:val="005C7B65"/>
    <w:rsid w:val="005C7C8E"/>
    <w:rsid w:val="005D0038"/>
    <w:rsid w:val="005D039B"/>
    <w:rsid w:val="005D175A"/>
    <w:rsid w:val="005D1A5E"/>
    <w:rsid w:val="005D1BAA"/>
    <w:rsid w:val="005D1C05"/>
    <w:rsid w:val="005D1C4E"/>
    <w:rsid w:val="005D235E"/>
    <w:rsid w:val="005D2452"/>
    <w:rsid w:val="005D2F24"/>
    <w:rsid w:val="005D360E"/>
    <w:rsid w:val="005D5881"/>
    <w:rsid w:val="005D5997"/>
    <w:rsid w:val="005D5DC3"/>
    <w:rsid w:val="005D5EB1"/>
    <w:rsid w:val="005D5EF3"/>
    <w:rsid w:val="005D5F17"/>
    <w:rsid w:val="005D64BC"/>
    <w:rsid w:val="005D6697"/>
    <w:rsid w:val="005D6745"/>
    <w:rsid w:val="005D6935"/>
    <w:rsid w:val="005D69FA"/>
    <w:rsid w:val="005D6F65"/>
    <w:rsid w:val="005D7180"/>
    <w:rsid w:val="005D7916"/>
    <w:rsid w:val="005D79D9"/>
    <w:rsid w:val="005E0069"/>
    <w:rsid w:val="005E0180"/>
    <w:rsid w:val="005E04CE"/>
    <w:rsid w:val="005E0AEF"/>
    <w:rsid w:val="005E0EEA"/>
    <w:rsid w:val="005E1120"/>
    <w:rsid w:val="005E192B"/>
    <w:rsid w:val="005E1A39"/>
    <w:rsid w:val="005E21B2"/>
    <w:rsid w:val="005E2751"/>
    <w:rsid w:val="005E27F5"/>
    <w:rsid w:val="005E2A8A"/>
    <w:rsid w:val="005E2B48"/>
    <w:rsid w:val="005E2D33"/>
    <w:rsid w:val="005E302A"/>
    <w:rsid w:val="005E3168"/>
    <w:rsid w:val="005E362B"/>
    <w:rsid w:val="005E3CC3"/>
    <w:rsid w:val="005E3F39"/>
    <w:rsid w:val="005E469F"/>
    <w:rsid w:val="005E49AA"/>
    <w:rsid w:val="005E4D06"/>
    <w:rsid w:val="005E50EE"/>
    <w:rsid w:val="005E5CF6"/>
    <w:rsid w:val="005E61AA"/>
    <w:rsid w:val="005E6513"/>
    <w:rsid w:val="005E657C"/>
    <w:rsid w:val="005E67E3"/>
    <w:rsid w:val="005E7315"/>
    <w:rsid w:val="005E73D8"/>
    <w:rsid w:val="005E7858"/>
    <w:rsid w:val="005E79EE"/>
    <w:rsid w:val="005E7A0C"/>
    <w:rsid w:val="005E7E7A"/>
    <w:rsid w:val="005F0113"/>
    <w:rsid w:val="005F01D6"/>
    <w:rsid w:val="005F060B"/>
    <w:rsid w:val="005F0828"/>
    <w:rsid w:val="005F0B20"/>
    <w:rsid w:val="005F0D5B"/>
    <w:rsid w:val="005F0DD9"/>
    <w:rsid w:val="005F101B"/>
    <w:rsid w:val="005F1044"/>
    <w:rsid w:val="005F1081"/>
    <w:rsid w:val="005F1384"/>
    <w:rsid w:val="005F16CE"/>
    <w:rsid w:val="005F191D"/>
    <w:rsid w:val="005F1BF6"/>
    <w:rsid w:val="005F1C14"/>
    <w:rsid w:val="005F1C3B"/>
    <w:rsid w:val="005F2278"/>
    <w:rsid w:val="005F2398"/>
    <w:rsid w:val="005F29A2"/>
    <w:rsid w:val="005F3271"/>
    <w:rsid w:val="005F3921"/>
    <w:rsid w:val="005F3E97"/>
    <w:rsid w:val="005F3FFB"/>
    <w:rsid w:val="005F41DF"/>
    <w:rsid w:val="005F457F"/>
    <w:rsid w:val="005F483B"/>
    <w:rsid w:val="005F4D26"/>
    <w:rsid w:val="005F4D53"/>
    <w:rsid w:val="005F50EC"/>
    <w:rsid w:val="005F510D"/>
    <w:rsid w:val="005F52F3"/>
    <w:rsid w:val="005F55E8"/>
    <w:rsid w:val="005F5906"/>
    <w:rsid w:val="005F65E4"/>
    <w:rsid w:val="005F6780"/>
    <w:rsid w:val="005F6865"/>
    <w:rsid w:val="005F6B40"/>
    <w:rsid w:val="005F6C44"/>
    <w:rsid w:val="005F6E4F"/>
    <w:rsid w:val="005F709E"/>
    <w:rsid w:val="005F73D9"/>
    <w:rsid w:val="005F7653"/>
    <w:rsid w:val="005F784A"/>
    <w:rsid w:val="005F7AC2"/>
    <w:rsid w:val="006001CF"/>
    <w:rsid w:val="00600480"/>
    <w:rsid w:val="006004B0"/>
    <w:rsid w:val="006005DD"/>
    <w:rsid w:val="006005FC"/>
    <w:rsid w:val="00600B37"/>
    <w:rsid w:val="006012F0"/>
    <w:rsid w:val="0060154A"/>
    <w:rsid w:val="006018A5"/>
    <w:rsid w:val="006020E7"/>
    <w:rsid w:val="00602226"/>
    <w:rsid w:val="0060292C"/>
    <w:rsid w:val="00603C8B"/>
    <w:rsid w:val="00603E7C"/>
    <w:rsid w:val="006040CF"/>
    <w:rsid w:val="00604123"/>
    <w:rsid w:val="00604188"/>
    <w:rsid w:val="00604712"/>
    <w:rsid w:val="006050C9"/>
    <w:rsid w:val="006060AB"/>
    <w:rsid w:val="006065DB"/>
    <w:rsid w:val="00606F3A"/>
    <w:rsid w:val="00606F7D"/>
    <w:rsid w:val="006074C7"/>
    <w:rsid w:val="0060786F"/>
    <w:rsid w:val="006078D7"/>
    <w:rsid w:val="00607F74"/>
    <w:rsid w:val="00610024"/>
    <w:rsid w:val="006100D9"/>
    <w:rsid w:val="00610143"/>
    <w:rsid w:val="00610409"/>
    <w:rsid w:val="00611075"/>
    <w:rsid w:val="00611433"/>
    <w:rsid w:val="00611A39"/>
    <w:rsid w:val="00611A3E"/>
    <w:rsid w:val="00611F32"/>
    <w:rsid w:val="006122DC"/>
    <w:rsid w:val="0061262F"/>
    <w:rsid w:val="006128BA"/>
    <w:rsid w:val="00612903"/>
    <w:rsid w:val="0061320C"/>
    <w:rsid w:val="006139A8"/>
    <w:rsid w:val="00613FA0"/>
    <w:rsid w:val="006145BB"/>
    <w:rsid w:val="006148F6"/>
    <w:rsid w:val="00614944"/>
    <w:rsid w:val="006150DA"/>
    <w:rsid w:val="00615C8A"/>
    <w:rsid w:val="006161AE"/>
    <w:rsid w:val="00616277"/>
    <w:rsid w:val="0061657B"/>
    <w:rsid w:val="006165E7"/>
    <w:rsid w:val="00616754"/>
    <w:rsid w:val="00616D47"/>
    <w:rsid w:val="00616E37"/>
    <w:rsid w:val="00617662"/>
    <w:rsid w:val="006178F2"/>
    <w:rsid w:val="00617B92"/>
    <w:rsid w:val="006201DA"/>
    <w:rsid w:val="00620412"/>
    <w:rsid w:val="00620A61"/>
    <w:rsid w:val="00620ADC"/>
    <w:rsid w:val="00620C20"/>
    <w:rsid w:val="00620EFA"/>
    <w:rsid w:val="0062132C"/>
    <w:rsid w:val="006217C1"/>
    <w:rsid w:val="0062183A"/>
    <w:rsid w:val="006219AB"/>
    <w:rsid w:val="00622257"/>
    <w:rsid w:val="006227A1"/>
    <w:rsid w:val="006229AC"/>
    <w:rsid w:val="006236F9"/>
    <w:rsid w:val="00624E91"/>
    <w:rsid w:val="00625074"/>
    <w:rsid w:val="00625422"/>
    <w:rsid w:val="006256A7"/>
    <w:rsid w:val="0062596D"/>
    <w:rsid w:val="00626823"/>
    <w:rsid w:val="00626966"/>
    <w:rsid w:val="00626B32"/>
    <w:rsid w:val="00626E5D"/>
    <w:rsid w:val="00626E65"/>
    <w:rsid w:val="00627116"/>
    <w:rsid w:val="00627196"/>
    <w:rsid w:val="0062765E"/>
    <w:rsid w:val="0062784E"/>
    <w:rsid w:val="00630054"/>
    <w:rsid w:val="0063085F"/>
    <w:rsid w:val="00630931"/>
    <w:rsid w:val="00630AF6"/>
    <w:rsid w:val="0063112B"/>
    <w:rsid w:val="0063117F"/>
    <w:rsid w:val="0063191E"/>
    <w:rsid w:val="0063259B"/>
    <w:rsid w:val="006329BA"/>
    <w:rsid w:val="006329D5"/>
    <w:rsid w:val="00632F1B"/>
    <w:rsid w:val="00632FD6"/>
    <w:rsid w:val="00633185"/>
    <w:rsid w:val="006334E4"/>
    <w:rsid w:val="00633592"/>
    <w:rsid w:val="00633808"/>
    <w:rsid w:val="00633F9C"/>
    <w:rsid w:val="0063421B"/>
    <w:rsid w:val="006342A5"/>
    <w:rsid w:val="006343CE"/>
    <w:rsid w:val="006344F2"/>
    <w:rsid w:val="006347B1"/>
    <w:rsid w:val="00634947"/>
    <w:rsid w:val="00634EA2"/>
    <w:rsid w:val="00635089"/>
    <w:rsid w:val="006352BC"/>
    <w:rsid w:val="006354C5"/>
    <w:rsid w:val="00635A6B"/>
    <w:rsid w:val="00636001"/>
    <w:rsid w:val="006361CB"/>
    <w:rsid w:val="0063668F"/>
    <w:rsid w:val="00636BE1"/>
    <w:rsid w:val="006371E9"/>
    <w:rsid w:val="00637520"/>
    <w:rsid w:val="0063796C"/>
    <w:rsid w:val="00640049"/>
    <w:rsid w:val="006405A9"/>
    <w:rsid w:val="00640765"/>
    <w:rsid w:val="00640966"/>
    <w:rsid w:val="00640974"/>
    <w:rsid w:val="00641564"/>
    <w:rsid w:val="00641616"/>
    <w:rsid w:val="00641DEF"/>
    <w:rsid w:val="006421B8"/>
    <w:rsid w:val="00643E03"/>
    <w:rsid w:val="00643EC0"/>
    <w:rsid w:val="006441CD"/>
    <w:rsid w:val="00644BCB"/>
    <w:rsid w:val="00644DF5"/>
    <w:rsid w:val="00645A90"/>
    <w:rsid w:val="006461FF"/>
    <w:rsid w:val="006463C7"/>
    <w:rsid w:val="00646F9A"/>
    <w:rsid w:val="00651ED3"/>
    <w:rsid w:val="00651F31"/>
    <w:rsid w:val="006526BC"/>
    <w:rsid w:val="00653091"/>
    <w:rsid w:val="006533F7"/>
    <w:rsid w:val="006535BF"/>
    <w:rsid w:val="00654048"/>
    <w:rsid w:val="0065422F"/>
    <w:rsid w:val="00654BFC"/>
    <w:rsid w:val="00654C7A"/>
    <w:rsid w:val="00654F4F"/>
    <w:rsid w:val="00655324"/>
    <w:rsid w:val="00655757"/>
    <w:rsid w:val="00655A58"/>
    <w:rsid w:val="006562FC"/>
    <w:rsid w:val="0065639C"/>
    <w:rsid w:val="00656468"/>
    <w:rsid w:val="00656B18"/>
    <w:rsid w:val="00656B6F"/>
    <w:rsid w:val="006578D1"/>
    <w:rsid w:val="00660167"/>
    <w:rsid w:val="006604A5"/>
    <w:rsid w:val="006609D1"/>
    <w:rsid w:val="00660C0D"/>
    <w:rsid w:val="00660F9A"/>
    <w:rsid w:val="00661699"/>
    <w:rsid w:val="006616CF"/>
    <w:rsid w:val="006617B6"/>
    <w:rsid w:val="0066248D"/>
    <w:rsid w:val="006629A9"/>
    <w:rsid w:val="00662B5A"/>
    <w:rsid w:val="00662BF0"/>
    <w:rsid w:val="00662C4D"/>
    <w:rsid w:val="00663247"/>
    <w:rsid w:val="006632B1"/>
    <w:rsid w:val="006641D3"/>
    <w:rsid w:val="00664D35"/>
    <w:rsid w:val="0066510E"/>
    <w:rsid w:val="00665377"/>
    <w:rsid w:val="00665382"/>
    <w:rsid w:val="0066567A"/>
    <w:rsid w:val="00665E64"/>
    <w:rsid w:val="006676EB"/>
    <w:rsid w:val="006677A9"/>
    <w:rsid w:val="006679AA"/>
    <w:rsid w:val="00667AEB"/>
    <w:rsid w:val="00667BAB"/>
    <w:rsid w:val="00667D3A"/>
    <w:rsid w:val="00670344"/>
    <w:rsid w:val="00670448"/>
    <w:rsid w:val="00670854"/>
    <w:rsid w:val="006714B2"/>
    <w:rsid w:val="006716E2"/>
    <w:rsid w:val="006716ED"/>
    <w:rsid w:val="00671AE8"/>
    <w:rsid w:val="00671C49"/>
    <w:rsid w:val="00672176"/>
    <w:rsid w:val="006723A7"/>
    <w:rsid w:val="00672BE1"/>
    <w:rsid w:val="006733BE"/>
    <w:rsid w:val="00673B8A"/>
    <w:rsid w:val="0067456A"/>
    <w:rsid w:val="0067469B"/>
    <w:rsid w:val="006751FA"/>
    <w:rsid w:val="00675339"/>
    <w:rsid w:val="00675967"/>
    <w:rsid w:val="00675D13"/>
    <w:rsid w:val="00675E9C"/>
    <w:rsid w:val="00675F68"/>
    <w:rsid w:val="006761A4"/>
    <w:rsid w:val="00676787"/>
    <w:rsid w:val="00676ACD"/>
    <w:rsid w:val="00676F5F"/>
    <w:rsid w:val="006806C4"/>
    <w:rsid w:val="00680D36"/>
    <w:rsid w:val="006816EB"/>
    <w:rsid w:val="00681738"/>
    <w:rsid w:val="00681897"/>
    <w:rsid w:val="00681B60"/>
    <w:rsid w:val="00681C31"/>
    <w:rsid w:val="00681DC1"/>
    <w:rsid w:val="0068250E"/>
    <w:rsid w:val="00682A5E"/>
    <w:rsid w:val="00682F06"/>
    <w:rsid w:val="0068315B"/>
    <w:rsid w:val="00684009"/>
    <w:rsid w:val="0068417E"/>
    <w:rsid w:val="0068435E"/>
    <w:rsid w:val="0068439C"/>
    <w:rsid w:val="00684547"/>
    <w:rsid w:val="00684630"/>
    <w:rsid w:val="00684CA4"/>
    <w:rsid w:val="00684E32"/>
    <w:rsid w:val="0068553D"/>
    <w:rsid w:val="00685C34"/>
    <w:rsid w:val="00685D29"/>
    <w:rsid w:val="00686090"/>
    <w:rsid w:val="006864E6"/>
    <w:rsid w:val="00686514"/>
    <w:rsid w:val="006867B2"/>
    <w:rsid w:val="006869E1"/>
    <w:rsid w:val="006876B6"/>
    <w:rsid w:val="0068799B"/>
    <w:rsid w:val="00687BA9"/>
    <w:rsid w:val="00687F31"/>
    <w:rsid w:val="006903EF"/>
    <w:rsid w:val="00690EBD"/>
    <w:rsid w:val="006915F0"/>
    <w:rsid w:val="00691DB5"/>
    <w:rsid w:val="00691DBF"/>
    <w:rsid w:val="006928B3"/>
    <w:rsid w:val="0069340A"/>
    <w:rsid w:val="00693735"/>
    <w:rsid w:val="006938C9"/>
    <w:rsid w:val="00693D8B"/>
    <w:rsid w:val="006940E3"/>
    <w:rsid w:val="006941EC"/>
    <w:rsid w:val="006945B5"/>
    <w:rsid w:val="00694634"/>
    <w:rsid w:val="006948BE"/>
    <w:rsid w:val="00694A98"/>
    <w:rsid w:val="00694D8B"/>
    <w:rsid w:val="00694FAE"/>
    <w:rsid w:val="00695205"/>
    <w:rsid w:val="006962D9"/>
    <w:rsid w:val="0069653A"/>
    <w:rsid w:val="006966B5"/>
    <w:rsid w:val="0069675B"/>
    <w:rsid w:val="006972D2"/>
    <w:rsid w:val="006975CE"/>
    <w:rsid w:val="00697915"/>
    <w:rsid w:val="00697AE3"/>
    <w:rsid w:val="00697F39"/>
    <w:rsid w:val="006A020B"/>
    <w:rsid w:val="006A0DD0"/>
    <w:rsid w:val="006A14EF"/>
    <w:rsid w:val="006A19BD"/>
    <w:rsid w:val="006A2126"/>
    <w:rsid w:val="006A24C9"/>
    <w:rsid w:val="006A30E3"/>
    <w:rsid w:val="006A3B44"/>
    <w:rsid w:val="006A3F1E"/>
    <w:rsid w:val="006A4386"/>
    <w:rsid w:val="006A449C"/>
    <w:rsid w:val="006A51E7"/>
    <w:rsid w:val="006A5616"/>
    <w:rsid w:val="006A5CF3"/>
    <w:rsid w:val="006A6154"/>
    <w:rsid w:val="006A63A2"/>
    <w:rsid w:val="006A668A"/>
    <w:rsid w:val="006A6837"/>
    <w:rsid w:val="006A6908"/>
    <w:rsid w:val="006A7247"/>
    <w:rsid w:val="006A73D0"/>
    <w:rsid w:val="006A74F0"/>
    <w:rsid w:val="006B033A"/>
    <w:rsid w:val="006B0351"/>
    <w:rsid w:val="006B041C"/>
    <w:rsid w:val="006B0D6C"/>
    <w:rsid w:val="006B10CE"/>
    <w:rsid w:val="006B149F"/>
    <w:rsid w:val="006B14EB"/>
    <w:rsid w:val="006B1773"/>
    <w:rsid w:val="006B1846"/>
    <w:rsid w:val="006B2172"/>
    <w:rsid w:val="006B22BB"/>
    <w:rsid w:val="006B28E2"/>
    <w:rsid w:val="006B2D02"/>
    <w:rsid w:val="006B2D5E"/>
    <w:rsid w:val="006B2DE5"/>
    <w:rsid w:val="006B357B"/>
    <w:rsid w:val="006B35E7"/>
    <w:rsid w:val="006B3C1B"/>
    <w:rsid w:val="006B3E84"/>
    <w:rsid w:val="006B3EF3"/>
    <w:rsid w:val="006B409B"/>
    <w:rsid w:val="006B54AB"/>
    <w:rsid w:val="006B591B"/>
    <w:rsid w:val="006B5B2F"/>
    <w:rsid w:val="006B6005"/>
    <w:rsid w:val="006B66CA"/>
    <w:rsid w:val="006B67B7"/>
    <w:rsid w:val="006B681F"/>
    <w:rsid w:val="006B6CCA"/>
    <w:rsid w:val="006B7646"/>
    <w:rsid w:val="006B7786"/>
    <w:rsid w:val="006B77FA"/>
    <w:rsid w:val="006B7E5C"/>
    <w:rsid w:val="006B7EF7"/>
    <w:rsid w:val="006C05B2"/>
    <w:rsid w:val="006C0647"/>
    <w:rsid w:val="006C06E8"/>
    <w:rsid w:val="006C11DB"/>
    <w:rsid w:val="006C1530"/>
    <w:rsid w:val="006C15F9"/>
    <w:rsid w:val="006C1965"/>
    <w:rsid w:val="006C199B"/>
    <w:rsid w:val="006C1AF7"/>
    <w:rsid w:val="006C2BFC"/>
    <w:rsid w:val="006C2EC5"/>
    <w:rsid w:val="006C335D"/>
    <w:rsid w:val="006C385C"/>
    <w:rsid w:val="006C3DF1"/>
    <w:rsid w:val="006C4152"/>
    <w:rsid w:val="006C4334"/>
    <w:rsid w:val="006C4F44"/>
    <w:rsid w:val="006C5091"/>
    <w:rsid w:val="006C5562"/>
    <w:rsid w:val="006C5993"/>
    <w:rsid w:val="006C61CF"/>
    <w:rsid w:val="006C65E7"/>
    <w:rsid w:val="006C772E"/>
    <w:rsid w:val="006C7C7F"/>
    <w:rsid w:val="006D07B7"/>
    <w:rsid w:val="006D099D"/>
    <w:rsid w:val="006D0CD4"/>
    <w:rsid w:val="006D1266"/>
    <w:rsid w:val="006D19DD"/>
    <w:rsid w:val="006D1B7E"/>
    <w:rsid w:val="006D1D21"/>
    <w:rsid w:val="006D2019"/>
    <w:rsid w:val="006D2692"/>
    <w:rsid w:val="006D29E7"/>
    <w:rsid w:val="006D2A77"/>
    <w:rsid w:val="006D2EC3"/>
    <w:rsid w:val="006D2F31"/>
    <w:rsid w:val="006D33BE"/>
    <w:rsid w:val="006D3709"/>
    <w:rsid w:val="006D38AB"/>
    <w:rsid w:val="006D3992"/>
    <w:rsid w:val="006D3E71"/>
    <w:rsid w:val="006D46A6"/>
    <w:rsid w:val="006D4871"/>
    <w:rsid w:val="006D4D4F"/>
    <w:rsid w:val="006D4E09"/>
    <w:rsid w:val="006D54DB"/>
    <w:rsid w:val="006D56EE"/>
    <w:rsid w:val="006D58D4"/>
    <w:rsid w:val="006D59B6"/>
    <w:rsid w:val="006D677D"/>
    <w:rsid w:val="006D6856"/>
    <w:rsid w:val="006D76B7"/>
    <w:rsid w:val="006D7A41"/>
    <w:rsid w:val="006D7F69"/>
    <w:rsid w:val="006E00DD"/>
    <w:rsid w:val="006E1580"/>
    <w:rsid w:val="006E1F6C"/>
    <w:rsid w:val="006E24EC"/>
    <w:rsid w:val="006E26F8"/>
    <w:rsid w:val="006E272D"/>
    <w:rsid w:val="006E2732"/>
    <w:rsid w:val="006E2816"/>
    <w:rsid w:val="006E29F2"/>
    <w:rsid w:val="006E2BE9"/>
    <w:rsid w:val="006E3092"/>
    <w:rsid w:val="006E31CC"/>
    <w:rsid w:val="006E32F3"/>
    <w:rsid w:val="006E358B"/>
    <w:rsid w:val="006E3906"/>
    <w:rsid w:val="006E49AA"/>
    <w:rsid w:val="006E5368"/>
    <w:rsid w:val="006E5A6A"/>
    <w:rsid w:val="006E5C5E"/>
    <w:rsid w:val="006E5CAF"/>
    <w:rsid w:val="006E5F57"/>
    <w:rsid w:val="006E614D"/>
    <w:rsid w:val="006E62D5"/>
    <w:rsid w:val="006E6502"/>
    <w:rsid w:val="006E65CC"/>
    <w:rsid w:val="006E6692"/>
    <w:rsid w:val="006E67E3"/>
    <w:rsid w:val="006E6C0D"/>
    <w:rsid w:val="006E747B"/>
    <w:rsid w:val="006E76FC"/>
    <w:rsid w:val="006F0521"/>
    <w:rsid w:val="006F0761"/>
    <w:rsid w:val="006F0880"/>
    <w:rsid w:val="006F0C55"/>
    <w:rsid w:val="006F0E73"/>
    <w:rsid w:val="006F0EC6"/>
    <w:rsid w:val="006F1127"/>
    <w:rsid w:val="006F1466"/>
    <w:rsid w:val="006F1933"/>
    <w:rsid w:val="006F1D9E"/>
    <w:rsid w:val="006F2040"/>
    <w:rsid w:val="006F2325"/>
    <w:rsid w:val="006F2A88"/>
    <w:rsid w:val="006F2CA5"/>
    <w:rsid w:val="006F2FC5"/>
    <w:rsid w:val="006F371B"/>
    <w:rsid w:val="006F3AD2"/>
    <w:rsid w:val="006F3D92"/>
    <w:rsid w:val="006F4796"/>
    <w:rsid w:val="006F47F5"/>
    <w:rsid w:val="006F47F7"/>
    <w:rsid w:val="006F489B"/>
    <w:rsid w:val="006F4D6E"/>
    <w:rsid w:val="006F4FA0"/>
    <w:rsid w:val="006F5245"/>
    <w:rsid w:val="006F5378"/>
    <w:rsid w:val="006F5A6D"/>
    <w:rsid w:val="006F5AB2"/>
    <w:rsid w:val="006F5F5B"/>
    <w:rsid w:val="006F6F1A"/>
    <w:rsid w:val="006F7779"/>
    <w:rsid w:val="006F7AD7"/>
    <w:rsid w:val="0070038A"/>
    <w:rsid w:val="007007CD"/>
    <w:rsid w:val="00700886"/>
    <w:rsid w:val="00700D3B"/>
    <w:rsid w:val="00700DA4"/>
    <w:rsid w:val="00701171"/>
    <w:rsid w:val="007014D6"/>
    <w:rsid w:val="00701C2D"/>
    <w:rsid w:val="00701D7F"/>
    <w:rsid w:val="0070242C"/>
    <w:rsid w:val="00702728"/>
    <w:rsid w:val="007030B2"/>
    <w:rsid w:val="007030E2"/>
    <w:rsid w:val="007030F8"/>
    <w:rsid w:val="0070350E"/>
    <w:rsid w:val="0070378D"/>
    <w:rsid w:val="0070393D"/>
    <w:rsid w:val="00703F25"/>
    <w:rsid w:val="00703FAC"/>
    <w:rsid w:val="00704778"/>
    <w:rsid w:val="00704E85"/>
    <w:rsid w:val="007053E8"/>
    <w:rsid w:val="007054B5"/>
    <w:rsid w:val="0070571C"/>
    <w:rsid w:val="00705756"/>
    <w:rsid w:val="0070581C"/>
    <w:rsid w:val="0070629E"/>
    <w:rsid w:val="007065F9"/>
    <w:rsid w:val="007066A5"/>
    <w:rsid w:val="00707068"/>
    <w:rsid w:val="007073AB"/>
    <w:rsid w:val="007079BB"/>
    <w:rsid w:val="00707BE9"/>
    <w:rsid w:val="007101E8"/>
    <w:rsid w:val="00710807"/>
    <w:rsid w:val="007108FC"/>
    <w:rsid w:val="00710DE2"/>
    <w:rsid w:val="007117B5"/>
    <w:rsid w:val="00711CD5"/>
    <w:rsid w:val="00711EB9"/>
    <w:rsid w:val="00712374"/>
    <w:rsid w:val="00712459"/>
    <w:rsid w:val="0071245F"/>
    <w:rsid w:val="00712970"/>
    <w:rsid w:val="00712BBD"/>
    <w:rsid w:val="00712EB3"/>
    <w:rsid w:val="007138E0"/>
    <w:rsid w:val="00713AD0"/>
    <w:rsid w:val="00713C08"/>
    <w:rsid w:val="00713D82"/>
    <w:rsid w:val="00713FB8"/>
    <w:rsid w:val="007146F6"/>
    <w:rsid w:val="00714B2E"/>
    <w:rsid w:val="00714D7F"/>
    <w:rsid w:val="007150E1"/>
    <w:rsid w:val="007151FE"/>
    <w:rsid w:val="00715214"/>
    <w:rsid w:val="00715755"/>
    <w:rsid w:val="00715761"/>
    <w:rsid w:val="00715F43"/>
    <w:rsid w:val="007166AE"/>
    <w:rsid w:val="00716F9F"/>
    <w:rsid w:val="00717154"/>
    <w:rsid w:val="0071738E"/>
    <w:rsid w:val="00717453"/>
    <w:rsid w:val="00717655"/>
    <w:rsid w:val="00717D94"/>
    <w:rsid w:val="0072021F"/>
    <w:rsid w:val="00720474"/>
    <w:rsid w:val="00721177"/>
    <w:rsid w:val="007211AC"/>
    <w:rsid w:val="0072146F"/>
    <w:rsid w:val="00721763"/>
    <w:rsid w:val="00721833"/>
    <w:rsid w:val="00722146"/>
    <w:rsid w:val="007223B7"/>
    <w:rsid w:val="0072264D"/>
    <w:rsid w:val="00722976"/>
    <w:rsid w:val="00722992"/>
    <w:rsid w:val="00722A76"/>
    <w:rsid w:val="00722E45"/>
    <w:rsid w:val="00723EB0"/>
    <w:rsid w:val="00723FC4"/>
    <w:rsid w:val="0072420E"/>
    <w:rsid w:val="0072448C"/>
    <w:rsid w:val="00724970"/>
    <w:rsid w:val="00724C37"/>
    <w:rsid w:val="00724CBB"/>
    <w:rsid w:val="007250BC"/>
    <w:rsid w:val="007251D9"/>
    <w:rsid w:val="007252AC"/>
    <w:rsid w:val="0072543A"/>
    <w:rsid w:val="00725966"/>
    <w:rsid w:val="00725D6E"/>
    <w:rsid w:val="0072606D"/>
    <w:rsid w:val="00726242"/>
    <w:rsid w:val="007263F4"/>
    <w:rsid w:val="007265E0"/>
    <w:rsid w:val="007266C1"/>
    <w:rsid w:val="007267A6"/>
    <w:rsid w:val="00726C1A"/>
    <w:rsid w:val="00727AF2"/>
    <w:rsid w:val="00727C8C"/>
    <w:rsid w:val="00730172"/>
    <w:rsid w:val="007312CF"/>
    <w:rsid w:val="00731B66"/>
    <w:rsid w:val="00732781"/>
    <w:rsid w:val="0073283E"/>
    <w:rsid w:val="007334A2"/>
    <w:rsid w:val="007335BB"/>
    <w:rsid w:val="00734112"/>
    <w:rsid w:val="007344DB"/>
    <w:rsid w:val="0073471D"/>
    <w:rsid w:val="00734DD8"/>
    <w:rsid w:val="00735475"/>
    <w:rsid w:val="007354DC"/>
    <w:rsid w:val="0073615D"/>
    <w:rsid w:val="0073661F"/>
    <w:rsid w:val="00736825"/>
    <w:rsid w:val="00736C07"/>
    <w:rsid w:val="00737125"/>
    <w:rsid w:val="007372F2"/>
    <w:rsid w:val="00740A84"/>
    <w:rsid w:val="00740C2C"/>
    <w:rsid w:val="00740D2D"/>
    <w:rsid w:val="00741274"/>
    <w:rsid w:val="007415A5"/>
    <w:rsid w:val="00741BF1"/>
    <w:rsid w:val="007422A4"/>
    <w:rsid w:val="00742A35"/>
    <w:rsid w:val="00743365"/>
    <w:rsid w:val="007436BB"/>
    <w:rsid w:val="00743C2C"/>
    <w:rsid w:val="00743F76"/>
    <w:rsid w:val="0074480E"/>
    <w:rsid w:val="007456DF"/>
    <w:rsid w:val="00745C1A"/>
    <w:rsid w:val="00745D5C"/>
    <w:rsid w:val="00746303"/>
    <w:rsid w:val="00746305"/>
    <w:rsid w:val="007464A4"/>
    <w:rsid w:val="0074661B"/>
    <w:rsid w:val="0074662E"/>
    <w:rsid w:val="00746656"/>
    <w:rsid w:val="0074669C"/>
    <w:rsid w:val="00746F81"/>
    <w:rsid w:val="00747B5B"/>
    <w:rsid w:val="00747B61"/>
    <w:rsid w:val="00751A20"/>
    <w:rsid w:val="00751EF3"/>
    <w:rsid w:val="00752209"/>
    <w:rsid w:val="00752666"/>
    <w:rsid w:val="00752764"/>
    <w:rsid w:val="0075292F"/>
    <w:rsid w:val="00753326"/>
    <w:rsid w:val="00753841"/>
    <w:rsid w:val="00754BE7"/>
    <w:rsid w:val="00754D89"/>
    <w:rsid w:val="00754E82"/>
    <w:rsid w:val="00755319"/>
    <w:rsid w:val="007559BA"/>
    <w:rsid w:val="00755D29"/>
    <w:rsid w:val="007560C8"/>
    <w:rsid w:val="007562C0"/>
    <w:rsid w:val="0075635D"/>
    <w:rsid w:val="007573BF"/>
    <w:rsid w:val="00757AA1"/>
    <w:rsid w:val="007601FC"/>
    <w:rsid w:val="00760CA9"/>
    <w:rsid w:val="00760E0B"/>
    <w:rsid w:val="007612E0"/>
    <w:rsid w:val="007614F9"/>
    <w:rsid w:val="00761848"/>
    <w:rsid w:val="00761875"/>
    <w:rsid w:val="00761F92"/>
    <w:rsid w:val="00762666"/>
    <w:rsid w:val="007627DC"/>
    <w:rsid w:val="007629DD"/>
    <w:rsid w:val="00762F34"/>
    <w:rsid w:val="00762FFE"/>
    <w:rsid w:val="00763201"/>
    <w:rsid w:val="00763279"/>
    <w:rsid w:val="0076376C"/>
    <w:rsid w:val="0076377D"/>
    <w:rsid w:val="00763A78"/>
    <w:rsid w:val="00764254"/>
    <w:rsid w:val="007643AD"/>
    <w:rsid w:val="007645C0"/>
    <w:rsid w:val="007645FE"/>
    <w:rsid w:val="0076460D"/>
    <w:rsid w:val="00764904"/>
    <w:rsid w:val="00765093"/>
    <w:rsid w:val="007656DF"/>
    <w:rsid w:val="00765A21"/>
    <w:rsid w:val="00765F61"/>
    <w:rsid w:val="00767725"/>
    <w:rsid w:val="00767C3B"/>
    <w:rsid w:val="00767F85"/>
    <w:rsid w:val="00770268"/>
    <w:rsid w:val="007707BC"/>
    <w:rsid w:val="007707C6"/>
    <w:rsid w:val="00770A22"/>
    <w:rsid w:val="00770D9B"/>
    <w:rsid w:val="00771084"/>
    <w:rsid w:val="007710B1"/>
    <w:rsid w:val="00771139"/>
    <w:rsid w:val="007711FA"/>
    <w:rsid w:val="007717C6"/>
    <w:rsid w:val="007719B5"/>
    <w:rsid w:val="00771A85"/>
    <w:rsid w:val="00772452"/>
    <w:rsid w:val="007727DA"/>
    <w:rsid w:val="0077283F"/>
    <w:rsid w:val="00773436"/>
    <w:rsid w:val="007737D7"/>
    <w:rsid w:val="00773ED0"/>
    <w:rsid w:val="007748F7"/>
    <w:rsid w:val="00774CC8"/>
    <w:rsid w:val="00774DE1"/>
    <w:rsid w:val="007753DD"/>
    <w:rsid w:val="007756AF"/>
    <w:rsid w:val="00775B2D"/>
    <w:rsid w:val="00775CAA"/>
    <w:rsid w:val="00775CD2"/>
    <w:rsid w:val="007764D4"/>
    <w:rsid w:val="00776658"/>
    <w:rsid w:val="00776BFB"/>
    <w:rsid w:val="00776E00"/>
    <w:rsid w:val="0077703C"/>
    <w:rsid w:val="00777763"/>
    <w:rsid w:val="0077778C"/>
    <w:rsid w:val="007777D0"/>
    <w:rsid w:val="00777B6E"/>
    <w:rsid w:val="00780086"/>
    <w:rsid w:val="00780131"/>
    <w:rsid w:val="0078036E"/>
    <w:rsid w:val="00780DE7"/>
    <w:rsid w:val="0078147B"/>
    <w:rsid w:val="0078148B"/>
    <w:rsid w:val="0078178B"/>
    <w:rsid w:val="007817C9"/>
    <w:rsid w:val="00781821"/>
    <w:rsid w:val="00781898"/>
    <w:rsid w:val="00782BDA"/>
    <w:rsid w:val="00782BDB"/>
    <w:rsid w:val="00783D8D"/>
    <w:rsid w:val="00784E5A"/>
    <w:rsid w:val="00785151"/>
    <w:rsid w:val="007854C7"/>
    <w:rsid w:val="0078559B"/>
    <w:rsid w:val="00785793"/>
    <w:rsid w:val="00785D10"/>
    <w:rsid w:val="00785D75"/>
    <w:rsid w:val="0078645A"/>
    <w:rsid w:val="00786651"/>
    <w:rsid w:val="00787EE9"/>
    <w:rsid w:val="00787F69"/>
    <w:rsid w:val="007910A0"/>
    <w:rsid w:val="007913AB"/>
    <w:rsid w:val="007913C3"/>
    <w:rsid w:val="0079175A"/>
    <w:rsid w:val="00791A33"/>
    <w:rsid w:val="00791A5D"/>
    <w:rsid w:val="00792283"/>
    <w:rsid w:val="007923F1"/>
    <w:rsid w:val="007929E0"/>
    <w:rsid w:val="00792B6A"/>
    <w:rsid w:val="00792C77"/>
    <w:rsid w:val="00792CB0"/>
    <w:rsid w:val="00792E51"/>
    <w:rsid w:val="00792EC7"/>
    <w:rsid w:val="00793D5F"/>
    <w:rsid w:val="00794006"/>
    <w:rsid w:val="00794282"/>
    <w:rsid w:val="00794E2A"/>
    <w:rsid w:val="00794E3A"/>
    <w:rsid w:val="00794F5E"/>
    <w:rsid w:val="00795037"/>
    <w:rsid w:val="00795223"/>
    <w:rsid w:val="007953B6"/>
    <w:rsid w:val="007958E1"/>
    <w:rsid w:val="00796520"/>
    <w:rsid w:val="00796775"/>
    <w:rsid w:val="00796D06"/>
    <w:rsid w:val="00796F99"/>
    <w:rsid w:val="00797D0C"/>
    <w:rsid w:val="007A0E28"/>
    <w:rsid w:val="007A17E7"/>
    <w:rsid w:val="007A1C3D"/>
    <w:rsid w:val="007A1D67"/>
    <w:rsid w:val="007A1EE5"/>
    <w:rsid w:val="007A207D"/>
    <w:rsid w:val="007A2405"/>
    <w:rsid w:val="007A291D"/>
    <w:rsid w:val="007A2C2B"/>
    <w:rsid w:val="007A42F8"/>
    <w:rsid w:val="007A483C"/>
    <w:rsid w:val="007A4C2A"/>
    <w:rsid w:val="007A50C9"/>
    <w:rsid w:val="007A515E"/>
    <w:rsid w:val="007A53A9"/>
    <w:rsid w:val="007A57FD"/>
    <w:rsid w:val="007A5EC8"/>
    <w:rsid w:val="007A6211"/>
    <w:rsid w:val="007A6AC8"/>
    <w:rsid w:val="007A6B77"/>
    <w:rsid w:val="007A7747"/>
    <w:rsid w:val="007A7757"/>
    <w:rsid w:val="007A7C23"/>
    <w:rsid w:val="007A7C5E"/>
    <w:rsid w:val="007B0819"/>
    <w:rsid w:val="007B081C"/>
    <w:rsid w:val="007B13A4"/>
    <w:rsid w:val="007B1555"/>
    <w:rsid w:val="007B1952"/>
    <w:rsid w:val="007B19D5"/>
    <w:rsid w:val="007B1D1F"/>
    <w:rsid w:val="007B22C6"/>
    <w:rsid w:val="007B2848"/>
    <w:rsid w:val="007B2B2E"/>
    <w:rsid w:val="007B2B70"/>
    <w:rsid w:val="007B3312"/>
    <w:rsid w:val="007B363D"/>
    <w:rsid w:val="007B3B08"/>
    <w:rsid w:val="007B3B71"/>
    <w:rsid w:val="007B3EB0"/>
    <w:rsid w:val="007B46A4"/>
    <w:rsid w:val="007B47D3"/>
    <w:rsid w:val="007B4937"/>
    <w:rsid w:val="007B4A6B"/>
    <w:rsid w:val="007B547D"/>
    <w:rsid w:val="007B5583"/>
    <w:rsid w:val="007B5769"/>
    <w:rsid w:val="007B60E4"/>
    <w:rsid w:val="007B63BA"/>
    <w:rsid w:val="007B7533"/>
    <w:rsid w:val="007C0448"/>
    <w:rsid w:val="007C0465"/>
    <w:rsid w:val="007C0B5B"/>
    <w:rsid w:val="007C1608"/>
    <w:rsid w:val="007C1920"/>
    <w:rsid w:val="007C1E6D"/>
    <w:rsid w:val="007C24C6"/>
    <w:rsid w:val="007C2E37"/>
    <w:rsid w:val="007C309B"/>
    <w:rsid w:val="007C31A0"/>
    <w:rsid w:val="007C3483"/>
    <w:rsid w:val="007C3CD3"/>
    <w:rsid w:val="007C3F4C"/>
    <w:rsid w:val="007C3FE0"/>
    <w:rsid w:val="007C4372"/>
    <w:rsid w:val="007C43CC"/>
    <w:rsid w:val="007C448A"/>
    <w:rsid w:val="007C4618"/>
    <w:rsid w:val="007C4632"/>
    <w:rsid w:val="007C4BF1"/>
    <w:rsid w:val="007C4F0D"/>
    <w:rsid w:val="007C5011"/>
    <w:rsid w:val="007C59CB"/>
    <w:rsid w:val="007C59FB"/>
    <w:rsid w:val="007C6CCF"/>
    <w:rsid w:val="007C6D91"/>
    <w:rsid w:val="007C7020"/>
    <w:rsid w:val="007C72A3"/>
    <w:rsid w:val="007C7700"/>
    <w:rsid w:val="007D017B"/>
    <w:rsid w:val="007D0277"/>
    <w:rsid w:val="007D060D"/>
    <w:rsid w:val="007D09A7"/>
    <w:rsid w:val="007D0A74"/>
    <w:rsid w:val="007D10E3"/>
    <w:rsid w:val="007D130C"/>
    <w:rsid w:val="007D1443"/>
    <w:rsid w:val="007D1931"/>
    <w:rsid w:val="007D1A18"/>
    <w:rsid w:val="007D1A8B"/>
    <w:rsid w:val="007D1EC4"/>
    <w:rsid w:val="007D20D6"/>
    <w:rsid w:val="007D215F"/>
    <w:rsid w:val="007D22D0"/>
    <w:rsid w:val="007D2746"/>
    <w:rsid w:val="007D2D17"/>
    <w:rsid w:val="007D2F52"/>
    <w:rsid w:val="007D3241"/>
    <w:rsid w:val="007D3C66"/>
    <w:rsid w:val="007D3E8F"/>
    <w:rsid w:val="007D454E"/>
    <w:rsid w:val="007D4CDD"/>
    <w:rsid w:val="007D4D20"/>
    <w:rsid w:val="007D4DD7"/>
    <w:rsid w:val="007D5541"/>
    <w:rsid w:val="007D5586"/>
    <w:rsid w:val="007D5758"/>
    <w:rsid w:val="007D59C1"/>
    <w:rsid w:val="007D5EB6"/>
    <w:rsid w:val="007D6F1E"/>
    <w:rsid w:val="007D7495"/>
    <w:rsid w:val="007E069B"/>
    <w:rsid w:val="007E06BB"/>
    <w:rsid w:val="007E0BD7"/>
    <w:rsid w:val="007E1892"/>
    <w:rsid w:val="007E1998"/>
    <w:rsid w:val="007E1E20"/>
    <w:rsid w:val="007E1E94"/>
    <w:rsid w:val="007E2090"/>
    <w:rsid w:val="007E2373"/>
    <w:rsid w:val="007E29D9"/>
    <w:rsid w:val="007E2A8D"/>
    <w:rsid w:val="007E2D3A"/>
    <w:rsid w:val="007E38C7"/>
    <w:rsid w:val="007E3DB3"/>
    <w:rsid w:val="007E4E37"/>
    <w:rsid w:val="007E4FCF"/>
    <w:rsid w:val="007E50E6"/>
    <w:rsid w:val="007E5C91"/>
    <w:rsid w:val="007E5D53"/>
    <w:rsid w:val="007E6191"/>
    <w:rsid w:val="007E6285"/>
    <w:rsid w:val="007E65A0"/>
    <w:rsid w:val="007E65B4"/>
    <w:rsid w:val="007E66D1"/>
    <w:rsid w:val="007E6EBA"/>
    <w:rsid w:val="007E7155"/>
    <w:rsid w:val="007E73FC"/>
    <w:rsid w:val="007E7FA8"/>
    <w:rsid w:val="007F0261"/>
    <w:rsid w:val="007F066F"/>
    <w:rsid w:val="007F0846"/>
    <w:rsid w:val="007F0A2B"/>
    <w:rsid w:val="007F11AC"/>
    <w:rsid w:val="007F1478"/>
    <w:rsid w:val="007F19DA"/>
    <w:rsid w:val="007F1A96"/>
    <w:rsid w:val="007F1B08"/>
    <w:rsid w:val="007F1D10"/>
    <w:rsid w:val="007F1D9E"/>
    <w:rsid w:val="007F1FEA"/>
    <w:rsid w:val="007F2206"/>
    <w:rsid w:val="007F3011"/>
    <w:rsid w:val="007F32E5"/>
    <w:rsid w:val="007F3864"/>
    <w:rsid w:val="007F39A1"/>
    <w:rsid w:val="007F4722"/>
    <w:rsid w:val="007F4993"/>
    <w:rsid w:val="007F4EED"/>
    <w:rsid w:val="007F597A"/>
    <w:rsid w:val="007F6078"/>
    <w:rsid w:val="007F6B97"/>
    <w:rsid w:val="007F6BAD"/>
    <w:rsid w:val="007F712A"/>
    <w:rsid w:val="007F7681"/>
    <w:rsid w:val="00800091"/>
    <w:rsid w:val="008003BD"/>
    <w:rsid w:val="008009D6"/>
    <w:rsid w:val="00800AB4"/>
    <w:rsid w:val="00800E13"/>
    <w:rsid w:val="00801161"/>
    <w:rsid w:val="00801306"/>
    <w:rsid w:val="00802185"/>
    <w:rsid w:val="008021FF"/>
    <w:rsid w:val="00802375"/>
    <w:rsid w:val="00802859"/>
    <w:rsid w:val="00802E7C"/>
    <w:rsid w:val="00802EF7"/>
    <w:rsid w:val="00803B56"/>
    <w:rsid w:val="0080409A"/>
    <w:rsid w:val="00804264"/>
    <w:rsid w:val="00804314"/>
    <w:rsid w:val="00804385"/>
    <w:rsid w:val="00804454"/>
    <w:rsid w:val="00804A92"/>
    <w:rsid w:val="00804C9F"/>
    <w:rsid w:val="00804D89"/>
    <w:rsid w:val="00804F25"/>
    <w:rsid w:val="0080506E"/>
    <w:rsid w:val="008050C2"/>
    <w:rsid w:val="008051B1"/>
    <w:rsid w:val="00805958"/>
    <w:rsid w:val="00805AF6"/>
    <w:rsid w:val="00806973"/>
    <w:rsid w:val="00806B00"/>
    <w:rsid w:val="00806B37"/>
    <w:rsid w:val="00806E37"/>
    <w:rsid w:val="00807836"/>
    <w:rsid w:val="00807A93"/>
    <w:rsid w:val="00807CB9"/>
    <w:rsid w:val="0081001D"/>
    <w:rsid w:val="00810D16"/>
    <w:rsid w:val="008125BD"/>
    <w:rsid w:val="00812D6F"/>
    <w:rsid w:val="0081313E"/>
    <w:rsid w:val="008139BC"/>
    <w:rsid w:val="0081420F"/>
    <w:rsid w:val="0081458E"/>
    <w:rsid w:val="008145D6"/>
    <w:rsid w:val="00814F7A"/>
    <w:rsid w:val="008151C0"/>
    <w:rsid w:val="00815A2D"/>
    <w:rsid w:val="00815A60"/>
    <w:rsid w:val="00815AAF"/>
    <w:rsid w:val="00815F81"/>
    <w:rsid w:val="00816606"/>
    <w:rsid w:val="008169F7"/>
    <w:rsid w:val="00816E7A"/>
    <w:rsid w:val="0081763D"/>
    <w:rsid w:val="00817672"/>
    <w:rsid w:val="00817B35"/>
    <w:rsid w:val="00817CEC"/>
    <w:rsid w:val="00817D6D"/>
    <w:rsid w:val="008202C2"/>
    <w:rsid w:val="0082058F"/>
    <w:rsid w:val="00820673"/>
    <w:rsid w:val="00820DAD"/>
    <w:rsid w:val="008216A7"/>
    <w:rsid w:val="00821978"/>
    <w:rsid w:val="00821C6D"/>
    <w:rsid w:val="008227CD"/>
    <w:rsid w:val="008228D3"/>
    <w:rsid w:val="008236F4"/>
    <w:rsid w:val="00824A22"/>
    <w:rsid w:val="00824D12"/>
    <w:rsid w:val="0082509B"/>
    <w:rsid w:val="008253B2"/>
    <w:rsid w:val="0082560D"/>
    <w:rsid w:val="00825BE0"/>
    <w:rsid w:val="00825CDE"/>
    <w:rsid w:val="008261D9"/>
    <w:rsid w:val="008262C9"/>
    <w:rsid w:val="008266D2"/>
    <w:rsid w:val="00827190"/>
    <w:rsid w:val="008271D7"/>
    <w:rsid w:val="0082750C"/>
    <w:rsid w:val="008275DD"/>
    <w:rsid w:val="0082773A"/>
    <w:rsid w:val="00827982"/>
    <w:rsid w:val="00827D56"/>
    <w:rsid w:val="008303DE"/>
    <w:rsid w:val="00830C09"/>
    <w:rsid w:val="00831256"/>
    <w:rsid w:val="008316A9"/>
    <w:rsid w:val="00831C8A"/>
    <w:rsid w:val="00832454"/>
    <w:rsid w:val="00832503"/>
    <w:rsid w:val="008325DA"/>
    <w:rsid w:val="0083281F"/>
    <w:rsid w:val="00832CE6"/>
    <w:rsid w:val="00833791"/>
    <w:rsid w:val="00833BDC"/>
    <w:rsid w:val="008341D7"/>
    <w:rsid w:val="008345A1"/>
    <w:rsid w:val="0083468C"/>
    <w:rsid w:val="00834E58"/>
    <w:rsid w:val="00835310"/>
    <w:rsid w:val="00835596"/>
    <w:rsid w:val="00835922"/>
    <w:rsid w:val="00835A97"/>
    <w:rsid w:val="008361D4"/>
    <w:rsid w:val="00836833"/>
    <w:rsid w:val="00836DC8"/>
    <w:rsid w:val="00837A5D"/>
    <w:rsid w:val="00837B00"/>
    <w:rsid w:val="00840246"/>
    <w:rsid w:val="008403F2"/>
    <w:rsid w:val="00840B6A"/>
    <w:rsid w:val="00840C94"/>
    <w:rsid w:val="00840EC0"/>
    <w:rsid w:val="00840F05"/>
    <w:rsid w:val="008417D8"/>
    <w:rsid w:val="00841C32"/>
    <w:rsid w:val="00841D82"/>
    <w:rsid w:val="00842230"/>
    <w:rsid w:val="008423C0"/>
    <w:rsid w:val="00842662"/>
    <w:rsid w:val="0084297A"/>
    <w:rsid w:val="0084309F"/>
    <w:rsid w:val="00843420"/>
    <w:rsid w:val="00843438"/>
    <w:rsid w:val="0084397D"/>
    <w:rsid w:val="0084413C"/>
    <w:rsid w:val="0084425B"/>
    <w:rsid w:val="00844DA2"/>
    <w:rsid w:val="00845636"/>
    <w:rsid w:val="0084646C"/>
    <w:rsid w:val="0084684B"/>
    <w:rsid w:val="0084698B"/>
    <w:rsid w:val="008469D1"/>
    <w:rsid w:val="00846A8B"/>
    <w:rsid w:val="00846ADE"/>
    <w:rsid w:val="00847847"/>
    <w:rsid w:val="00847A26"/>
    <w:rsid w:val="00847AAF"/>
    <w:rsid w:val="00847CBE"/>
    <w:rsid w:val="008500E5"/>
    <w:rsid w:val="008503DC"/>
    <w:rsid w:val="00850478"/>
    <w:rsid w:val="00850E15"/>
    <w:rsid w:val="008510E1"/>
    <w:rsid w:val="0085135C"/>
    <w:rsid w:val="00851DD4"/>
    <w:rsid w:val="00851F47"/>
    <w:rsid w:val="00852617"/>
    <w:rsid w:val="00852A3D"/>
    <w:rsid w:val="00852A63"/>
    <w:rsid w:val="00852F50"/>
    <w:rsid w:val="0085324D"/>
    <w:rsid w:val="0085378B"/>
    <w:rsid w:val="00853E9B"/>
    <w:rsid w:val="008545D1"/>
    <w:rsid w:val="00854A31"/>
    <w:rsid w:val="00854AEB"/>
    <w:rsid w:val="00854B0C"/>
    <w:rsid w:val="00854B72"/>
    <w:rsid w:val="00854E21"/>
    <w:rsid w:val="00855519"/>
    <w:rsid w:val="00855B57"/>
    <w:rsid w:val="00856313"/>
    <w:rsid w:val="008569B5"/>
    <w:rsid w:val="00856A9A"/>
    <w:rsid w:val="0085731E"/>
    <w:rsid w:val="00857998"/>
    <w:rsid w:val="00857A7A"/>
    <w:rsid w:val="00857EAB"/>
    <w:rsid w:val="00860279"/>
    <w:rsid w:val="0086100A"/>
    <w:rsid w:val="00861055"/>
    <w:rsid w:val="008610C6"/>
    <w:rsid w:val="0086114C"/>
    <w:rsid w:val="008615BB"/>
    <w:rsid w:val="008617AF"/>
    <w:rsid w:val="008617E8"/>
    <w:rsid w:val="0086197D"/>
    <w:rsid w:val="00861A37"/>
    <w:rsid w:val="0086201A"/>
    <w:rsid w:val="00862098"/>
    <w:rsid w:val="008624B8"/>
    <w:rsid w:val="008632F4"/>
    <w:rsid w:val="008637D9"/>
    <w:rsid w:val="00863B3D"/>
    <w:rsid w:val="0086483E"/>
    <w:rsid w:val="00864A8A"/>
    <w:rsid w:val="008652C0"/>
    <w:rsid w:val="00865C41"/>
    <w:rsid w:val="00865E02"/>
    <w:rsid w:val="008678C7"/>
    <w:rsid w:val="00867AB8"/>
    <w:rsid w:val="00867CFB"/>
    <w:rsid w:val="008702DA"/>
    <w:rsid w:val="008704DA"/>
    <w:rsid w:val="008709C4"/>
    <w:rsid w:val="00870C38"/>
    <w:rsid w:val="00870EAF"/>
    <w:rsid w:val="00871499"/>
    <w:rsid w:val="008714C7"/>
    <w:rsid w:val="00871644"/>
    <w:rsid w:val="00871658"/>
    <w:rsid w:val="00871807"/>
    <w:rsid w:val="00871E61"/>
    <w:rsid w:val="00872105"/>
    <w:rsid w:val="00872332"/>
    <w:rsid w:val="00872487"/>
    <w:rsid w:val="00872A94"/>
    <w:rsid w:val="00872CF4"/>
    <w:rsid w:val="00872F9C"/>
    <w:rsid w:val="00873063"/>
    <w:rsid w:val="0087307B"/>
    <w:rsid w:val="008731E4"/>
    <w:rsid w:val="00873A1E"/>
    <w:rsid w:val="00874148"/>
    <w:rsid w:val="00874150"/>
    <w:rsid w:val="00874350"/>
    <w:rsid w:val="0087478E"/>
    <w:rsid w:val="008749E2"/>
    <w:rsid w:val="00874D9F"/>
    <w:rsid w:val="008752A6"/>
    <w:rsid w:val="008754B3"/>
    <w:rsid w:val="00875544"/>
    <w:rsid w:val="008756CB"/>
    <w:rsid w:val="0087585B"/>
    <w:rsid w:val="008759A8"/>
    <w:rsid w:val="00875D85"/>
    <w:rsid w:val="008770A9"/>
    <w:rsid w:val="008775E9"/>
    <w:rsid w:val="0087774F"/>
    <w:rsid w:val="00880739"/>
    <w:rsid w:val="008809C2"/>
    <w:rsid w:val="00880AA7"/>
    <w:rsid w:val="00880BD8"/>
    <w:rsid w:val="00881058"/>
    <w:rsid w:val="0088140E"/>
    <w:rsid w:val="008822C7"/>
    <w:rsid w:val="00882852"/>
    <w:rsid w:val="00882916"/>
    <w:rsid w:val="00882939"/>
    <w:rsid w:val="00882C13"/>
    <w:rsid w:val="00882E57"/>
    <w:rsid w:val="00882EEF"/>
    <w:rsid w:val="00883774"/>
    <w:rsid w:val="00884330"/>
    <w:rsid w:val="00885189"/>
    <w:rsid w:val="0088534C"/>
    <w:rsid w:val="00885433"/>
    <w:rsid w:val="00885488"/>
    <w:rsid w:val="00885D03"/>
    <w:rsid w:val="00885D38"/>
    <w:rsid w:val="0088646C"/>
    <w:rsid w:val="008866B5"/>
    <w:rsid w:val="00887404"/>
    <w:rsid w:val="0088747E"/>
    <w:rsid w:val="008875A7"/>
    <w:rsid w:val="008875ED"/>
    <w:rsid w:val="00887AC0"/>
    <w:rsid w:val="00890013"/>
    <w:rsid w:val="008900FB"/>
    <w:rsid w:val="00890B13"/>
    <w:rsid w:val="00890C47"/>
    <w:rsid w:val="00890DE0"/>
    <w:rsid w:val="00890E91"/>
    <w:rsid w:val="00891063"/>
    <w:rsid w:val="008910D5"/>
    <w:rsid w:val="008911B7"/>
    <w:rsid w:val="008913C4"/>
    <w:rsid w:val="008924E2"/>
    <w:rsid w:val="00892895"/>
    <w:rsid w:val="00892B33"/>
    <w:rsid w:val="00892F2E"/>
    <w:rsid w:val="0089327F"/>
    <w:rsid w:val="00893CA6"/>
    <w:rsid w:val="00893D39"/>
    <w:rsid w:val="00893F60"/>
    <w:rsid w:val="00893FBC"/>
    <w:rsid w:val="00894849"/>
    <w:rsid w:val="00894BAF"/>
    <w:rsid w:val="00894E14"/>
    <w:rsid w:val="008953A4"/>
    <w:rsid w:val="008962C8"/>
    <w:rsid w:val="008965A8"/>
    <w:rsid w:val="0089697D"/>
    <w:rsid w:val="008973E4"/>
    <w:rsid w:val="008976B9"/>
    <w:rsid w:val="00897B41"/>
    <w:rsid w:val="00897F23"/>
    <w:rsid w:val="00897F5C"/>
    <w:rsid w:val="00897FBA"/>
    <w:rsid w:val="008A098C"/>
    <w:rsid w:val="008A0BE0"/>
    <w:rsid w:val="008A1472"/>
    <w:rsid w:val="008A16AD"/>
    <w:rsid w:val="008A1945"/>
    <w:rsid w:val="008A1A71"/>
    <w:rsid w:val="008A1B5A"/>
    <w:rsid w:val="008A1D8A"/>
    <w:rsid w:val="008A2504"/>
    <w:rsid w:val="008A2840"/>
    <w:rsid w:val="008A2ADD"/>
    <w:rsid w:val="008A2B92"/>
    <w:rsid w:val="008A3FEE"/>
    <w:rsid w:val="008A4076"/>
    <w:rsid w:val="008A4DC1"/>
    <w:rsid w:val="008A4E6F"/>
    <w:rsid w:val="008A582C"/>
    <w:rsid w:val="008A5C86"/>
    <w:rsid w:val="008A5CD0"/>
    <w:rsid w:val="008A6246"/>
    <w:rsid w:val="008A6419"/>
    <w:rsid w:val="008A6A59"/>
    <w:rsid w:val="008A6AE1"/>
    <w:rsid w:val="008A6B41"/>
    <w:rsid w:val="008A6BFE"/>
    <w:rsid w:val="008A6D7F"/>
    <w:rsid w:val="008A725C"/>
    <w:rsid w:val="008A76DA"/>
    <w:rsid w:val="008A7B5A"/>
    <w:rsid w:val="008A7C8C"/>
    <w:rsid w:val="008B005C"/>
    <w:rsid w:val="008B0572"/>
    <w:rsid w:val="008B0674"/>
    <w:rsid w:val="008B0B36"/>
    <w:rsid w:val="008B0D86"/>
    <w:rsid w:val="008B14F8"/>
    <w:rsid w:val="008B186F"/>
    <w:rsid w:val="008B22EB"/>
    <w:rsid w:val="008B2470"/>
    <w:rsid w:val="008B297A"/>
    <w:rsid w:val="008B2B15"/>
    <w:rsid w:val="008B2B9E"/>
    <w:rsid w:val="008B3EF5"/>
    <w:rsid w:val="008B5442"/>
    <w:rsid w:val="008B5481"/>
    <w:rsid w:val="008B5661"/>
    <w:rsid w:val="008B5A2B"/>
    <w:rsid w:val="008B5CAB"/>
    <w:rsid w:val="008B676F"/>
    <w:rsid w:val="008B69C8"/>
    <w:rsid w:val="008B7147"/>
    <w:rsid w:val="008B7640"/>
    <w:rsid w:val="008B78E4"/>
    <w:rsid w:val="008B7C19"/>
    <w:rsid w:val="008B7F8E"/>
    <w:rsid w:val="008C0150"/>
    <w:rsid w:val="008C0281"/>
    <w:rsid w:val="008C0758"/>
    <w:rsid w:val="008C0847"/>
    <w:rsid w:val="008C0A8D"/>
    <w:rsid w:val="008C0CAB"/>
    <w:rsid w:val="008C0E9A"/>
    <w:rsid w:val="008C12A5"/>
    <w:rsid w:val="008C24A3"/>
    <w:rsid w:val="008C2BA7"/>
    <w:rsid w:val="008C2D43"/>
    <w:rsid w:val="008C33C9"/>
    <w:rsid w:val="008C3D95"/>
    <w:rsid w:val="008C3EB0"/>
    <w:rsid w:val="008C45F7"/>
    <w:rsid w:val="008C4828"/>
    <w:rsid w:val="008C485D"/>
    <w:rsid w:val="008C52CA"/>
    <w:rsid w:val="008C6000"/>
    <w:rsid w:val="008C619F"/>
    <w:rsid w:val="008C65F4"/>
    <w:rsid w:val="008C66CB"/>
    <w:rsid w:val="008C67A3"/>
    <w:rsid w:val="008C6902"/>
    <w:rsid w:val="008C69BC"/>
    <w:rsid w:val="008C6FF2"/>
    <w:rsid w:val="008C79C8"/>
    <w:rsid w:val="008C7BD1"/>
    <w:rsid w:val="008D02C2"/>
    <w:rsid w:val="008D0560"/>
    <w:rsid w:val="008D0718"/>
    <w:rsid w:val="008D09A8"/>
    <w:rsid w:val="008D09F0"/>
    <w:rsid w:val="008D1006"/>
    <w:rsid w:val="008D169B"/>
    <w:rsid w:val="008D1A6F"/>
    <w:rsid w:val="008D1DA6"/>
    <w:rsid w:val="008D1FA4"/>
    <w:rsid w:val="008D229A"/>
    <w:rsid w:val="008D2AD6"/>
    <w:rsid w:val="008D2B7D"/>
    <w:rsid w:val="008D2BCC"/>
    <w:rsid w:val="008D2CC4"/>
    <w:rsid w:val="008D3167"/>
    <w:rsid w:val="008D3354"/>
    <w:rsid w:val="008D3398"/>
    <w:rsid w:val="008D34AF"/>
    <w:rsid w:val="008D36EB"/>
    <w:rsid w:val="008D391E"/>
    <w:rsid w:val="008D3ABF"/>
    <w:rsid w:val="008D406A"/>
    <w:rsid w:val="008D451F"/>
    <w:rsid w:val="008D463B"/>
    <w:rsid w:val="008D4BAA"/>
    <w:rsid w:val="008D4D88"/>
    <w:rsid w:val="008D4DCA"/>
    <w:rsid w:val="008D4E8A"/>
    <w:rsid w:val="008D514B"/>
    <w:rsid w:val="008D5916"/>
    <w:rsid w:val="008D6BF5"/>
    <w:rsid w:val="008D6DE8"/>
    <w:rsid w:val="008D6DFE"/>
    <w:rsid w:val="008D6ECD"/>
    <w:rsid w:val="008D75CA"/>
    <w:rsid w:val="008D7ACB"/>
    <w:rsid w:val="008E0886"/>
    <w:rsid w:val="008E09DB"/>
    <w:rsid w:val="008E0BDF"/>
    <w:rsid w:val="008E18B0"/>
    <w:rsid w:val="008E19C1"/>
    <w:rsid w:val="008E2385"/>
    <w:rsid w:val="008E2531"/>
    <w:rsid w:val="008E2F31"/>
    <w:rsid w:val="008E38B0"/>
    <w:rsid w:val="008E3CC4"/>
    <w:rsid w:val="008E47C2"/>
    <w:rsid w:val="008E483B"/>
    <w:rsid w:val="008E61D4"/>
    <w:rsid w:val="008E662C"/>
    <w:rsid w:val="008E6738"/>
    <w:rsid w:val="008E6DDF"/>
    <w:rsid w:val="008E732D"/>
    <w:rsid w:val="008E7379"/>
    <w:rsid w:val="008E74CB"/>
    <w:rsid w:val="008E7C15"/>
    <w:rsid w:val="008E7D24"/>
    <w:rsid w:val="008F04CD"/>
    <w:rsid w:val="008F067D"/>
    <w:rsid w:val="008F0961"/>
    <w:rsid w:val="008F12D0"/>
    <w:rsid w:val="008F12FA"/>
    <w:rsid w:val="008F147E"/>
    <w:rsid w:val="008F2835"/>
    <w:rsid w:val="008F2C8F"/>
    <w:rsid w:val="008F2C97"/>
    <w:rsid w:val="008F3104"/>
    <w:rsid w:val="008F3340"/>
    <w:rsid w:val="008F37C7"/>
    <w:rsid w:val="008F3BF5"/>
    <w:rsid w:val="008F3CC2"/>
    <w:rsid w:val="008F3DC0"/>
    <w:rsid w:val="008F4445"/>
    <w:rsid w:val="008F47A1"/>
    <w:rsid w:val="008F4825"/>
    <w:rsid w:val="008F4ADB"/>
    <w:rsid w:val="008F4F1A"/>
    <w:rsid w:val="008F555D"/>
    <w:rsid w:val="008F58CA"/>
    <w:rsid w:val="008F5A09"/>
    <w:rsid w:val="008F5CEE"/>
    <w:rsid w:val="008F5D3F"/>
    <w:rsid w:val="008F60A9"/>
    <w:rsid w:val="008F60F9"/>
    <w:rsid w:val="008F61C5"/>
    <w:rsid w:val="008F623C"/>
    <w:rsid w:val="008F63F2"/>
    <w:rsid w:val="008F643C"/>
    <w:rsid w:val="008F6D5E"/>
    <w:rsid w:val="008F6FAE"/>
    <w:rsid w:val="008F7DA3"/>
    <w:rsid w:val="008F7F37"/>
    <w:rsid w:val="009001CB"/>
    <w:rsid w:val="009004F2"/>
    <w:rsid w:val="00900B3C"/>
    <w:rsid w:val="00901092"/>
    <w:rsid w:val="00901B9B"/>
    <w:rsid w:val="009023FF"/>
    <w:rsid w:val="0090253F"/>
    <w:rsid w:val="0090294A"/>
    <w:rsid w:val="00902ADB"/>
    <w:rsid w:val="009034E3"/>
    <w:rsid w:val="009040CD"/>
    <w:rsid w:val="00904167"/>
    <w:rsid w:val="009050E2"/>
    <w:rsid w:val="00905133"/>
    <w:rsid w:val="009051CB"/>
    <w:rsid w:val="0090587A"/>
    <w:rsid w:val="00906002"/>
    <w:rsid w:val="00906166"/>
    <w:rsid w:val="0090642A"/>
    <w:rsid w:val="00906777"/>
    <w:rsid w:val="00906BFA"/>
    <w:rsid w:val="00906C6F"/>
    <w:rsid w:val="00906D83"/>
    <w:rsid w:val="009076D0"/>
    <w:rsid w:val="00907E6C"/>
    <w:rsid w:val="0091029D"/>
    <w:rsid w:val="009107EE"/>
    <w:rsid w:val="00910CB5"/>
    <w:rsid w:val="00910E36"/>
    <w:rsid w:val="0091138B"/>
    <w:rsid w:val="0091194A"/>
    <w:rsid w:val="00911FC6"/>
    <w:rsid w:val="00913F36"/>
    <w:rsid w:val="0091420D"/>
    <w:rsid w:val="009146D7"/>
    <w:rsid w:val="00914B32"/>
    <w:rsid w:val="00914E6C"/>
    <w:rsid w:val="00915066"/>
    <w:rsid w:val="00915574"/>
    <w:rsid w:val="00915690"/>
    <w:rsid w:val="0091604A"/>
    <w:rsid w:val="00916482"/>
    <w:rsid w:val="00916546"/>
    <w:rsid w:val="00916D9E"/>
    <w:rsid w:val="0091708D"/>
    <w:rsid w:val="009174DB"/>
    <w:rsid w:val="009178B8"/>
    <w:rsid w:val="00917967"/>
    <w:rsid w:val="00917EE8"/>
    <w:rsid w:val="009200A7"/>
    <w:rsid w:val="0092023C"/>
    <w:rsid w:val="00920613"/>
    <w:rsid w:val="00920721"/>
    <w:rsid w:val="00920867"/>
    <w:rsid w:val="00920D4E"/>
    <w:rsid w:val="00920FB2"/>
    <w:rsid w:val="009212E0"/>
    <w:rsid w:val="009213B8"/>
    <w:rsid w:val="009219E9"/>
    <w:rsid w:val="009219FD"/>
    <w:rsid w:val="00921FEE"/>
    <w:rsid w:val="009228D3"/>
    <w:rsid w:val="00922A4B"/>
    <w:rsid w:val="00922C3C"/>
    <w:rsid w:val="00922D76"/>
    <w:rsid w:val="00923AA5"/>
    <w:rsid w:val="00924673"/>
    <w:rsid w:val="00924729"/>
    <w:rsid w:val="0092474E"/>
    <w:rsid w:val="00924A2B"/>
    <w:rsid w:val="00925C78"/>
    <w:rsid w:val="009260CA"/>
    <w:rsid w:val="00926507"/>
    <w:rsid w:val="009266AF"/>
    <w:rsid w:val="009267C4"/>
    <w:rsid w:val="009267FF"/>
    <w:rsid w:val="00926C4F"/>
    <w:rsid w:val="00927482"/>
    <w:rsid w:val="00927F80"/>
    <w:rsid w:val="00930C1D"/>
    <w:rsid w:val="00931736"/>
    <w:rsid w:val="00931815"/>
    <w:rsid w:val="0093192B"/>
    <w:rsid w:val="0093194C"/>
    <w:rsid w:val="009319E4"/>
    <w:rsid w:val="00931A4C"/>
    <w:rsid w:val="00932282"/>
    <w:rsid w:val="00932502"/>
    <w:rsid w:val="009328BF"/>
    <w:rsid w:val="00932F19"/>
    <w:rsid w:val="00933196"/>
    <w:rsid w:val="009331BE"/>
    <w:rsid w:val="00933466"/>
    <w:rsid w:val="00933470"/>
    <w:rsid w:val="0093420D"/>
    <w:rsid w:val="009345C7"/>
    <w:rsid w:val="00934843"/>
    <w:rsid w:val="0093499A"/>
    <w:rsid w:val="00934B20"/>
    <w:rsid w:val="00935470"/>
    <w:rsid w:val="00935C2F"/>
    <w:rsid w:val="00936713"/>
    <w:rsid w:val="0093683B"/>
    <w:rsid w:val="00936BA9"/>
    <w:rsid w:val="00936CE3"/>
    <w:rsid w:val="00936D36"/>
    <w:rsid w:val="0093704C"/>
    <w:rsid w:val="009375B5"/>
    <w:rsid w:val="009375BE"/>
    <w:rsid w:val="009376E1"/>
    <w:rsid w:val="009378E8"/>
    <w:rsid w:val="00937911"/>
    <w:rsid w:val="00940099"/>
    <w:rsid w:val="009404A3"/>
    <w:rsid w:val="00940791"/>
    <w:rsid w:val="0094096D"/>
    <w:rsid w:val="009409CF"/>
    <w:rsid w:val="00940B5A"/>
    <w:rsid w:val="00940D5E"/>
    <w:rsid w:val="00940E13"/>
    <w:rsid w:val="0094104C"/>
    <w:rsid w:val="009412AD"/>
    <w:rsid w:val="009412B7"/>
    <w:rsid w:val="009413A3"/>
    <w:rsid w:val="009414F8"/>
    <w:rsid w:val="00941CE8"/>
    <w:rsid w:val="00942718"/>
    <w:rsid w:val="0094286A"/>
    <w:rsid w:val="009428E0"/>
    <w:rsid w:val="00942C31"/>
    <w:rsid w:val="00943031"/>
    <w:rsid w:val="009431B4"/>
    <w:rsid w:val="00943907"/>
    <w:rsid w:val="0094408F"/>
    <w:rsid w:val="00944221"/>
    <w:rsid w:val="009442D1"/>
    <w:rsid w:val="00944419"/>
    <w:rsid w:val="00944434"/>
    <w:rsid w:val="00944A35"/>
    <w:rsid w:val="00944B8B"/>
    <w:rsid w:val="00944E03"/>
    <w:rsid w:val="00945551"/>
    <w:rsid w:val="00945C5D"/>
    <w:rsid w:val="00945ED1"/>
    <w:rsid w:val="00946218"/>
    <w:rsid w:val="00946AE2"/>
    <w:rsid w:val="00946B80"/>
    <w:rsid w:val="00946DFE"/>
    <w:rsid w:val="00947019"/>
    <w:rsid w:val="009470F7"/>
    <w:rsid w:val="009476AF"/>
    <w:rsid w:val="00947B75"/>
    <w:rsid w:val="009510AA"/>
    <w:rsid w:val="0095119B"/>
    <w:rsid w:val="0095123E"/>
    <w:rsid w:val="00951753"/>
    <w:rsid w:val="0095193F"/>
    <w:rsid w:val="00951B3B"/>
    <w:rsid w:val="00951C46"/>
    <w:rsid w:val="00952060"/>
    <w:rsid w:val="00952544"/>
    <w:rsid w:val="00952685"/>
    <w:rsid w:val="00952B8C"/>
    <w:rsid w:val="00952E9C"/>
    <w:rsid w:val="009533A2"/>
    <w:rsid w:val="009536F4"/>
    <w:rsid w:val="00953835"/>
    <w:rsid w:val="00953A22"/>
    <w:rsid w:val="0095425D"/>
    <w:rsid w:val="0095490A"/>
    <w:rsid w:val="00954A93"/>
    <w:rsid w:val="00954AF9"/>
    <w:rsid w:val="00954B95"/>
    <w:rsid w:val="00954BCD"/>
    <w:rsid w:val="00955003"/>
    <w:rsid w:val="009550CD"/>
    <w:rsid w:val="00955B15"/>
    <w:rsid w:val="00956555"/>
    <w:rsid w:val="00956566"/>
    <w:rsid w:val="00956621"/>
    <w:rsid w:val="00956D48"/>
    <w:rsid w:val="00956FD8"/>
    <w:rsid w:val="009571F0"/>
    <w:rsid w:val="00957798"/>
    <w:rsid w:val="00960150"/>
    <w:rsid w:val="009602B6"/>
    <w:rsid w:val="00960458"/>
    <w:rsid w:val="009605C4"/>
    <w:rsid w:val="00960670"/>
    <w:rsid w:val="00960E81"/>
    <w:rsid w:val="0096184B"/>
    <w:rsid w:val="009618D7"/>
    <w:rsid w:val="00961C6B"/>
    <w:rsid w:val="0096228E"/>
    <w:rsid w:val="00962C7B"/>
    <w:rsid w:val="00962CDA"/>
    <w:rsid w:val="00963267"/>
    <w:rsid w:val="00963949"/>
    <w:rsid w:val="00963C0E"/>
    <w:rsid w:val="009643B0"/>
    <w:rsid w:val="0096480A"/>
    <w:rsid w:val="00964AA0"/>
    <w:rsid w:val="0096563C"/>
    <w:rsid w:val="009657A9"/>
    <w:rsid w:val="00965B05"/>
    <w:rsid w:val="00965B71"/>
    <w:rsid w:val="00966A09"/>
    <w:rsid w:val="00966B99"/>
    <w:rsid w:val="00966C12"/>
    <w:rsid w:val="00967051"/>
    <w:rsid w:val="00967737"/>
    <w:rsid w:val="00967863"/>
    <w:rsid w:val="009678B7"/>
    <w:rsid w:val="009678EB"/>
    <w:rsid w:val="00967B3D"/>
    <w:rsid w:val="00967F53"/>
    <w:rsid w:val="009707AA"/>
    <w:rsid w:val="00970965"/>
    <w:rsid w:val="00971184"/>
    <w:rsid w:val="0097158C"/>
    <w:rsid w:val="00971CF4"/>
    <w:rsid w:val="00971EFF"/>
    <w:rsid w:val="0097234A"/>
    <w:rsid w:val="00972555"/>
    <w:rsid w:val="0097256E"/>
    <w:rsid w:val="009728F7"/>
    <w:rsid w:val="00972E48"/>
    <w:rsid w:val="0097343E"/>
    <w:rsid w:val="00973C5E"/>
    <w:rsid w:val="00973EE0"/>
    <w:rsid w:val="009741EC"/>
    <w:rsid w:val="0097453D"/>
    <w:rsid w:val="009745A9"/>
    <w:rsid w:val="00974842"/>
    <w:rsid w:val="00974896"/>
    <w:rsid w:val="009749CE"/>
    <w:rsid w:val="00974AEC"/>
    <w:rsid w:val="00975200"/>
    <w:rsid w:val="00975554"/>
    <w:rsid w:val="00975C00"/>
    <w:rsid w:val="00975D9E"/>
    <w:rsid w:val="00975DE8"/>
    <w:rsid w:val="00976346"/>
    <w:rsid w:val="009769EB"/>
    <w:rsid w:val="00976A1E"/>
    <w:rsid w:val="00977182"/>
    <w:rsid w:val="009772B5"/>
    <w:rsid w:val="00977ECC"/>
    <w:rsid w:val="00980755"/>
    <w:rsid w:val="009809B2"/>
    <w:rsid w:val="00980A00"/>
    <w:rsid w:val="00980DDF"/>
    <w:rsid w:val="00981D06"/>
    <w:rsid w:val="0098235C"/>
    <w:rsid w:val="009823DE"/>
    <w:rsid w:val="0098242A"/>
    <w:rsid w:val="00982714"/>
    <w:rsid w:val="00982769"/>
    <w:rsid w:val="00982862"/>
    <w:rsid w:val="00982957"/>
    <w:rsid w:val="00982B58"/>
    <w:rsid w:val="0098323B"/>
    <w:rsid w:val="009834A4"/>
    <w:rsid w:val="00984142"/>
    <w:rsid w:val="0098468C"/>
    <w:rsid w:val="009847CF"/>
    <w:rsid w:val="0098494C"/>
    <w:rsid w:val="009850D3"/>
    <w:rsid w:val="009852B3"/>
    <w:rsid w:val="0098551B"/>
    <w:rsid w:val="00985CFB"/>
    <w:rsid w:val="00986336"/>
    <w:rsid w:val="00986B32"/>
    <w:rsid w:val="00986E2E"/>
    <w:rsid w:val="00986EB7"/>
    <w:rsid w:val="009870F3"/>
    <w:rsid w:val="009873B6"/>
    <w:rsid w:val="00987607"/>
    <w:rsid w:val="0098762E"/>
    <w:rsid w:val="00987E2D"/>
    <w:rsid w:val="00987ED9"/>
    <w:rsid w:val="00990101"/>
    <w:rsid w:val="00990644"/>
    <w:rsid w:val="0099082E"/>
    <w:rsid w:val="00990840"/>
    <w:rsid w:val="00990A49"/>
    <w:rsid w:val="00990A92"/>
    <w:rsid w:val="009918C5"/>
    <w:rsid w:val="00991A00"/>
    <w:rsid w:val="009923EA"/>
    <w:rsid w:val="00992C4C"/>
    <w:rsid w:val="009933D4"/>
    <w:rsid w:val="009936BE"/>
    <w:rsid w:val="00993942"/>
    <w:rsid w:val="0099404E"/>
    <w:rsid w:val="00994902"/>
    <w:rsid w:val="00994D17"/>
    <w:rsid w:val="009950C2"/>
    <w:rsid w:val="00995B3E"/>
    <w:rsid w:val="0099607D"/>
    <w:rsid w:val="00996086"/>
    <w:rsid w:val="009963C9"/>
    <w:rsid w:val="009964F7"/>
    <w:rsid w:val="00996C73"/>
    <w:rsid w:val="0099723E"/>
    <w:rsid w:val="0099736D"/>
    <w:rsid w:val="009973AC"/>
    <w:rsid w:val="009973FC"/>
    <w:rsid w:val="00997973"/>
    <w:rsid w:val="009A0473"/>
    <w:rsid w:val="009A0AB2"/>
    <w:rsid w:val="009A0BCE"/>
    <w:rsid w:val="009A13CA"/>
    <w:rsid w:val="009A15B3"/>
    <w:rsid w:val="009A1742"/>
    <w:rsid w:val="009A181F"/>
    <w:rsid w:val="009A1889"/>
    <w:rsid w:val="009A1957"/>
    <w:rsid w:val="009A19DD"/>
    <w:rsid w:val="009A1F36"/>
    <w:rsid w:val="009A27B8"/>
    <w:rsid w:val="009A2AA4"/>
    <w:rsid w:val="009A371C"/>
    <w:rsid w:val="009A39DB"/>
    <w:rsid w:val="009A3AC8"/>
    <w:rsid w:val="009A400D"/>
    <w:rsid w:val="009A4639"/>
    <w:rsid w:val="009A4DEE"/>
    <w:rsid w:val="009A56EE"/>
    <w:rsid w:val="009A5AB5"/>
    <w:rsid w:val="009A5D2B"/>
    <w:rsid w:val="009A6070"/>
    <w:rsid w:val="009A64DF"/>
    <w:rsid w:val="009A64F8"/>
    <w:rsid w:val="009A6A44"/>
    <w:rsid w:val="009A7975"/>
    <w:rsid w:val="009A7F2D"/>
    <w:rsid w:val="009A7FF7"/>
    <w:rsid w:val="009B01CF"/>
    <w:rsid w:val="009B092F"/>
    <w:rsid w:val="009B0D6C"/>
    <w:rsid w:val="009B1762"/>
    <w:rsid w:val="009B190C"/>
    <w:rsid w:val="009B1B9B"/>
    <w:rsid w:val="009B1D67"/>
    <w:rsid w:val="009B2000"/>
    <w:rsid w:val="009B2001"/>
    <w:rsid w:val="009B22A7"/>
    <w:rsid w:val="009B22D7"/>
    <w:rsid w:val="009B22FA"/>
    <w:rsid w:val="009B25C6"/>
    <w:rsid w:val="009B267D"/>
    <w:rsid w:val="009B3CC0"/>
    <w:rsid w:val="009B4476"/>
    <w:rsid w:val="009B4528"/>
    <w:rsid w:val="009B4771"/>
    <w:rsid w:val="009B4DB1"/>
    <w:rsid w:val="009B501A"/>
    <w:rsid w:val="009B521F"/>
    <w:rsid w:val="009B537F"/>
    <w:rsid w:val="009B5610"/>
    <w:rsid w:val="009B5957"/>
    <w:rsid w:val="009B5A1A"/>
    <w:rsid w:val="009B5A6A"/>
    <w:rsid w:val="009B6676"/>
    <w:rsid w:val="009B6F29"/>
    <w:rsid w:val="009B6FFD"/>
    <w:rsid w:val="009B7003"/>
    <w:rsid w:val="009B7178"/>
    <w:rsid w:val="009B7A06"/>
    <w:rsid w:val="009C0373"/>
    <w:rsid w:val="009C090E"/>
    <w:rsid w:val="009C0B94"/>
    <w:rsid w:val="009C0BBA"/>
    <w:rsid w:val="009C0EEF"/>
    <w:rsid w:val="009C16F4"/>
    <w:rsid w:val="009C1B2D"/>
    <w:rsid w:val="009C217F"/>
    <w:rsid w:val="009C2217"/>
    <w:rsid w:val="009C291B"/>
    <w:rsid w:val="009C3F38"/>
    <w:rsid w:val="009C3F52"/>
    <w:rsid w:val="009C459A"/>
    <w:rsid w:val="009C47FA"/>
    <w:rsid w:val="009C5039"/>
    <w:rsid w:val="009C5047"/>
    <w:rsid w:val="009C50C8"/>
    <w:rsid w:val="009C519C"/>
    <w:rsid w:val="009C545E"/>
    <w:rsid w:val="009C5C1B"/>
    <w:rsid w:val="009C5EBB"/>
    <w:rsid w:val="009C60F6"/>
    <w:rsid w:val="009C68A3"/>
    <w:rsid w:val="009C6946"/>
    <w:rsid w:val="009C6999"/>
    <w:rsid w:val="009C7D63"/>
    <w:rsid w:val="009C7F35"/>
    <w:rsid w:val="009C7FE7"/>
    <w:rsid w:val="009D0081"/>
    <w:rsid w:val="009D02D1"/>
    <w:rsid w:val="009D0ACD"/>
    <w:rsid w:val="009D0C72"/>
    <w:rsid w:val="009D0E85"/>
    <w:rsid w:val="009D0F87"/>
    <w:rsid w:val="009D1825"/>
    <w:rsid w:val="009D1D88"/>
    <w:rsid w:val="009D1DBC"/>
    <w:rsid w:val="009D1EFB"/>
    <w:rsid w:val="009D2505"/>
    <w:rsid w:val="009D278B"/>
    <w:rsid w:val="009D27AE"/>
    <w:rsid w:val="009D2B0C"/>
    <w:rsid w:val="009D2E4E"/>
    <w:rsid w:val="009D3E48"/>
    <w:rsid w:val="009D3F2C"/>
    <w:rsid w:val="009D3FBE"/>
    <w:rsid w:val="009D4232"/>
    <w:rsid w:val="009D48E7"/>
    <w:rsid w:val="009D4D9A"/>
    <w:rsid w:val="009D52F4"/>
    <w:rsid w:val="009D5779"/>
    <w:rsid w:val="009D5946"/>
    <w:rsid w:val="009D5B6E"/>
    <w:rsid w:val="009D5C33"/>
    <w:rsid w:val="009D5ECB"/>
    <w:rsid w:val="009D6661"/>
    <w:rsid w:val="009D67BB"/>
    <w:rsid w:val="009D6AD6"/>
    <w:rsid w:val="009D6B99"/>
    <w:rsid w:val="009D6CBF"/>
    <w:rsid w:val="009D6E13"/>
    <w:rsid w:val="009D6E43"/>
    <w:rsid w:val="009D72FA"/>
    <w:rsid w:val="009D7C2E"/>
    <w:rsid w:val="009D7CA2"/>
    <w:rsid w:val="009D7CD7"/>
    <w:rsid w:val="009E0468"/>
    <w:rsid w:val="009E0692"/>
    <w:rsid w:val="009E0DB8"/>
    <w:rsid w:val="009E13F6"/>
    <w:rsid w:val="009E178C"/>
    <w:rsid w:val="009E1806"/>
    <w:rsid w:val="009E18BE"/>
    <w:rsid w:val="009E1957"/>
    <w:rsid w:val="009E1C92"/>
    <w:rsid w:val="009E206C"/>
    <w:rsid w:val="009E2732"/>
    <w:rsid w:val="009E2888"/>
    <w:rsid w:val="009E2B91"/>
    <w:rsid w:val="009E2F0C"/>
    <w:rsid w:val="009E335A"/>
    <w:rsid w:val="009E3410"/>
    <w:rsid w:val="009E4EA7"/>
    <w:rsid w:val="009E4EE4"/>
    <w:rsid w:val="009E54DD"/>
    <w:rsid w:val="009E577B"/>
    <w:rsid w:val="009E58E8"/>
    <w:rsid w:val="009E5CBC"/>
    <w:rsid w:val="009E5CE3"/>
    <w:rsid w:val="009E5EFB"/>
    <w:rsid w:val="009E6786"/>
    <w:rsid w:val="009F0236"/>
    <w:rsid w:val="009F03E7"/>
    <w:rsid w:val="009F0514"/>
    <w:rsid w:val="009F0E6A"/>
    <w:rsid w:val="009F1C35"/>
    <w:rsid w:val="009F1E1B"/>
    <w:rsid w:val="009F26A8"/>
    <w:rsid w:val="009F29FE"/>
    <w:rsid w:val="009F308E"/>
    <w:rsid w:val="009F3145"/>
    <w:rsid w:val="009F36DC"/>
    <w:rsid w:val="009F3FC7"/>
    <w:rsid w:val="009F4025"/>
    <w:rsid w:val="009F4604"/>
    <w:rsid w:val="009F4DA4"/>
    <w:rsid w:val="009F5132"/>
    <w:rsid w:val="009F5659"/>
    <w:rsid w:val="009F5BF9"/>
    <w:rsid w:val="009F5D44"/>
    <w:rsid w:val="009F641E"/>
    <w:rsid w:val="009F66B9"/>
    <w:rsid w:val="009F6D1F"/>
    <w:rsid w:val="009F7585"/>
    <w:rsid w:val="009F770F"/>
    <w:rsid w:val="009F7C36"/>
    <w:rsid w:val="009F7EDC"/>
    <w:rsid w:val="00A003ED"/>
    <w:rsid w:val="00A00666"/>
    <w:rsid w:val="00A009DF"/>
    <w:rsid w:val="00A01470"/>
    <w:rsid w:val="00A019F2"/>
    <w:rsid w:val="00A01B17"/>
    <w:rsid w:val="00A01C13"/>
    <w:rsid w:val="00A01C7C"/>
    <w:rsid w:val="00A01FFC"/>
    <w:rsid w:val="00A02184"/>
    <w:rsid w:val="00A021F9"/>
    <w:rsid w:val="00A02425"/>
    <w:rsid w:val="00A02804"/>
    <w:rsid w:val="00A02AC9"/>
    <w:rsid w:val="00A033A2"/>
    <w:rsid w:val="00A0364E"/>
    <w:rsid w:val="00A03D93"/>
    <w:rsid w:val="00A04619"/>
    <w:rsid w:val="00A04716"/>
    <w:rsid w:val="00A04B04"/>
    <w:rsid w:val="00A04B1D"/>
    <w:rsid w:val="00A05078"/>
    <w:rsid w:val="00A05538"/>
    <w:rsid w:val="00A05743"/>
    <w:rsid w:val="00A0595F"/>
    <w:rsid w:val="00A05994"/>
    <w:rsid w:val="00A05A16"/>
    <w:rsid w:val="00A05C73"/>
    <w:rsid w:val="00A05E1C"/>
    <w:rsid w:val="00A05F34"/>
    <w:rsid w:val="00A0635E"/>
    <w:rsid w:val="00A06B4D"/>
    <w:rsid w:val="00A06BB2"/>
    <w:rsid w:val="00A072EF"/>
    <w:rsid w:val="00A07E6C"/>
    <w:rsid w:val="00A10413"/>
    <w:rsid w:val="00A10EB6"/>
    <w:rsid w:val="00A10F90"/>
    <w:rsid w:val="00A1102B"/>
    <w:rsid w:val="00A11082"/>
    <w:rsid w:val="00A11107"/>
    <w:rsid w:val="00A111DD"/>
    <w:rsid w:val="00A11272"/>
    <w:rsid w:val="00A11F77"/>
    <w:rsid w:val="00A12242"/>
    <w:rsid w:val="00A123D7"/>
    <w:rsid w:val="00A1275A"/>
    <w:rsid w:val="00A12960"/>
    <w:rsid w:val="00A12BF2"/>
    <w:rsid w:val="00A12E26"/>
    <w:rsid w:val="00A12EBA"/>
    <w:rsid w:val="00A13538"/>
    <w:rsid w:val="00A136E4"/>
    <w:rsid w:val="00A13F7A"/>
    <w:rsid w:val="00A14384"/>
    <w:rsid w:val="00A1479B"/>
    <w:rsid w:val="00A14A72"/>
    <w:rsid w:val="00A14DEF"/>
    <w:rsid w:val="00A15175"/>
    <w:rsid w:val="00A152D0"/>
    <w:rsid w:val="00A15D99"/>
    <w:rsid w:val="00A163B5"/>
    <w:rsid w:val="00A166E4"/>
    <w:rsid w:val="00A16B4B"/>
    <w:rsid w:val="00A16BC0"/>
    <w:rsid w:val="00A17125"/>
    <w:rsid w:val="00A17947"/>
    <w:rsid w:val="00A17E14"/>
    <w:rsid w:val="00A206D4"/>
    <w:rsid w:val="00A20F21"/>
    <w:rsid w:val="00A21255"/>
    <w:rsid w:val="00A21826"/>
    <w:rsid w:val="00A21877"/>
    <w:rsid w:val="00A21BFF"/>
    <w:rsid w:val="00A21F81"/>
    <w:rsid w:val="00A222D9"/>
    <w:rsid w:val="00A22594"/>
    <w:rsid w:val="00A22686"/>
    <w:rsid w:val="00A22BCF"/>
    <w:rsid w:val="00A24462"/>
    <w:rsid w:val="00A24A60"/>
    <w:rsid w:val="00A2528E"/>
    <w:rsid w:val="00A2555B"/>
    <w:rsid w:val="00A25B9C"/>
    <w:rsid w:val="00A266A5"/>
    <w:rsid w:val="00A266A9"/>
    <w:rsid w:val="00A267B3"/>
    <w:rsid w:val="00A267E6"/>
    <w:rsid w:val="00A269D5"/>
    <w:rsid w:val="00A26FB9"/>
    <w:rsid w:val="00A271D9"/>
    <w:rsid w:val="00A273D9"/>
    <w:rsid w:val="00A27A99"/>
    <w:rsid w:val="00A305AF"/>
    <w:rsid w:val="00A3102E"/>
    <w:rsid w:val="00A31238"/>
    <w:rsid w:val="00A313E2"/>
    <w:rsid w:val="00A31566"/>
    <w:rsid w:val="00A31634"/>
    <w:rsid w:val="00A31858"/>
    <w:rsid w:val="00A31B89"/>
    <w:rsid w:val="00A31F9A"/>
    <w:rsid w:val="00A322CA"/>
    <w:rsid w:val="00A323D7"/>
    <w:rsid w:val="00A32763"/>
    <w:rsid w:val="00A327F2"/>
    <w:rsid w:val="00A32AF9"/>
    <w:rsid w:val="00A32B4A"/>
    <w:rsid w:val="00A32F00"/>
    <w:rsid w:val="00A3309B"/>
    <w:rsid w:val="00A331B9"/>
    <w:rsid w:val="00A33537"/>
    <w:rsid w:val="00A33805"/>
    <w:rsid w:val="00A3385C"/>
    <w:rsid w:val="00A33876"/>
    <w:rsid w:val="00A33ED0"/>
    <w:rsid w:val="00A342C4"/>
    <w:rsid w:val="00A34338"/>
    <w:rsid w:val="00A34D69"/>
    <w:rsid w:val="00A351B2"/>
    <w:rsid w:val="00A360B0"/>
    <w:rsid w:val="00A3624C"/>
    <w:rsid w:val="00A37BD4"/>
    <w:rsid w:val="00A40377"/>
    <w:rsid w:val="00A40F8B"/>
    <w:rsid w:val="00A410EF"/>
    <w:rsid w:val="00A41309"/>
    <w:rsid w:val="00A41454"/>
    <w:rsid w:val="00A415B5"/>
    <w:rsid w:val="00A417D7"/>
    <w:rsid w:val="00A4183B"/>
    <w:rsid w:val="00A41D44"/>
    <w:rsid w:val="00A41F97"/>
    <w:rsid w:val="00A420A0"/>
    <w:rsid w:val="00A42C4C"/>
    <w:rsid w:val="00A42CFF"/>
    <w:rsid w:val="00A42F82"/>
    <w:rsid w:val="00A432FA"/>
    <w:rsid w:val="00A43829"/>
    <w:rsid w:val="00A43975"/>
    <w:rsid w:val="00A441F3"/>
    <w:rsid w:val="00A4462F"/>
    <w:rsid w:val="00A44991"/>
    <w:rsid w:val="00A44B47"/>
    <w:rsid w:val="00A44D7C"/>
    <w:rsid w:val="00A44DDF"/>
    <w:rsid w:val="00A45886"/>
    <w:rsid w:val="00A458ED"/>
    <w:rsid w:val="00A4598C"/>
    <w:rsid w:val="00A45DDD"/>
    <w:rsid w:val="00A45E33"/>
    <w:rsid w:val="00A45F4A"/>
    <w:rsid w:val="00A4602C"/>
    <w:rsid w:val="00A46090"/>
    <w:rsid w:val="00A4609A"/>
    <w:rsid w:val="00A46123"/>
    <w:rsid w:val="00A471C2"/>
    <w:rsid w:val="00A477E3"/>
    <w:rsid w:val="00A50426"/>
    <w:rsid w:val="00A504D4"/>
    <w:rsid w:val="00A507AC"/>
    <w:rsid w:val="00A50B00"/>
    <w:rsid w:val="00A50B93"/>
    <w:rsid w:val="00A50E9D"/>
    <w:rsid w:val="00A51187"/>
    <w:rsid w:val="00A51272"/>
    <w:rsid w:val="00A51290"/>
    <w:rsid w:val="00A51F51"/>
    <w:rsid w:val="00A51F91"/>
    <w:rsid w:val="00A52135"/>
    <w:rsid w:val="00A52637"/>
    <w:rsid w:val="00A52A8E"/>
    <w:rsid w:val="00A52BCE"/>
    <w:rsid w:val="00A52E31"/>
    <w:rsid w:val="00A54F0E"/>
    <w:rsid w:val="00A554F0"/>
    <w:rsid w:val="00A555B1"/>
    <w:rsid w:val="00A55780"/>
    <w:rsid w:val="00A558F0"/>
    <w:rsid w:val="00A55B3C"/>
    <w:rsid w:val="00A56664"/>
    <w:rsid w:val="00A56ECE"/>
    <w:rsid w:val="00A57D5A"/>
    <w:rsid w:val="00A57DD7"/>
    <w:rsid w:val="00A602F3"/>
    <w:rsid w:val="00A603F4"/>
    <w:rsid w:val="00A6094E"/>
    <w:rsid w:val="00A612E8"/>
    <w:rsid w:val="00A62332"/>
    <w:rsid w:val="00A62415"/>
    <w:rsid w:val="00A625B1"/>
    <w:rsid w:val="00A626C8"/>
    <w:rsid w:val="00A629A8"/>
    <w:rsid w:val="00A62FCE"/>
    <w:rsid w:val="00A6388E"/>
    <w:rsid w:val="00A63B7A"/>
    <w:rsid w:val="00A63BC8"/>
    <w:rsid w:val="00A64191"/>
    <w:rsid w:val="00A645F3"/>
    <w:rsid w:val="00A648EC"/>
    <w:rsid w:val="00A6537A"/>
    <w:rsid w:val="00A653C7"/>
    <w:rsid w:val="00A656EA"/>
    <w:rsid w:val="00A65980"/>
    <w:rsid w:val="00A665CF"/>
    <w:rsid w:val="00A66751"/>
    <w:rsid w:val="00A667C0"/>
    <w:rsid w:val="00A66AC1"/>
    <w:rsid w:val="00A67247"/>
    <w:rsid w:val="00A6748B"/>
    <w:rsid w:val="00A6763F"/>
    <w:rsid w:val="00A67679"/>
    <w:rsid w:val="00A676F7"/>
    <w:rsid w:val="00A676FD"/>
    <w:rsid w:val="00A679D3"/>
    <w:rsid w:val="00A70B51"/>
    <w:rsid w:val="00A70CFD"/>
    <w:rsid w:val="00A70F63"/>
    <w:rsid w:val="00A71833"/>
    <w:rsid w:val="00A71AFE"/>
    <w:rsid w:val="00A71E2E"/>
    <w:rsid w:val="00A72480"/>
    <w:rsid w:val="00A7260C"/>
    <w:rsid w:val="00A72661"/>
    <w:rsid w:val="00A7295D"/>
    <w:rsid w:val="00A72E32"/>
    <w:rsid w:val="00A73704"/>
    <w:rsid w:val="00A73BEB"/>
    <w:rsid w:val="00A73C38"/>
    <w:rsid w:val="00A73DEC"/>
    <w:rsid w:val="00A7430C"/>
    <w:rsid w:val="00A75397"/>
    <w:rsid w:val="00A754B0"/>
    <w:rsid w:val="00A75E30"/>
    <w:rsid w:val="00A762D7"/>
    <w:rsid w:val="00A76654"/>
    <w:rsid w:val="00A7690B"/>
    <w:rsid w:val="00A76E61"/>
    <w:rsid w:val="00A76EC5"/>
    <w:rsid w:val="00A77317"/>
    <w:rsid w:val="00A77787"/>
    <w:rsid w:val="00A778AE"/>
    <w:rsid w:val="00A77949"/>
    <w:rsid w:val="00A77A0F"/>
    <w:rsid w:val="00A77B14"/>
    <w:rsid w:val="00A80589"/>
    <w:rsid w:val="00A816AD"/>
    <w:rsid w:val="00A81D72"/>
    <w:rsid w:val="00A82243"/>
    <w:rsid w:val="00A82747"/>
    <w:rsid w:val="00A82757"/>
    <w:rsid w:val="00A8290F"/>
    <w:rsid w:val="00A82D72"/>
    <w:rsid w:val="00A83305"/>
    <w:rsid w:val="00A833A5"/>
    <w:rsid w:val="00A83991"/>
    <w:rsid w:val="00A83AA5"/>
    <w:rsid w:val="00A83DCE"/>
    <w:rsid w:val="00A83E4A"/>
    <w:rsid w:val="00A84850"/>
    <w:rsid w:val="00A84A31"/>
    <w:rsid w:val="00A84EFD"/>
    <w:rsid w:val="00A85160"/>
    <w:rsid w:val="00A85952"/>
    <w:rsid w:val="00A859EF"/>
    <w:rsid w:val="00A85B6D"/>
    <w:rsid w:val="00A85F54"/>
    <w:rsid w:val="00A85FAF"/>
    <w:rsid w:val="00A86922"/>
    <w:rsid w:val="00A86CF4"/>
    <w:rsid w:val="00A86D0E"/>
    <w:rsid w:val="00A879E7"/>
    <w:rsid w:val="00A901AE"/>
    <w:rsid w:val="00A90425"/>
    <w:rsid w:val="00A90A89"/>
    <w:rsid w:val="00A90E22"/>
    <w:rsid w:val="00A90F21"/>
    <w:rsid w:val="00A91125"/>
    <w:rsid w:val="00A9116D"/>
    <w:rsid w:val="00A91257"/>
    <w:rsid w:val="00A9152F"/>
    <w:rsid w:val="00A915B2"/>
    <w:rsid w:val="00A9186C"/>
    <w:rsid w:val="00A91EBF"/>
    <w:rsid w:val="00A91F6E"/>
    <w:rsid w:val="00A923E0"/>
    <w:rsid w:val="00A92563"/>
    <w:rsid w:val="00A93053"/>
    <w:rsid w:val="00A93298"/>
    <w:rsid w:val="00A936FA"/>
    <w:rsid w:val="00A937F6"/>
    <w:rsid w:val="00A93983"/>
    <w:rsid w:val="00A93F41"/>
    <w:rsid w:val="00A94082"/>
    <w:rsid w:val="00A94C45"/>
    <w:rsid w:val="00A94E70"/>
    <w:rsid w:val="00A95997"/>
    <w:rsid w:val="00A95C72"/>
    <w:rsid w:val="00A96178"/>
    <w:rsid w:val="00A96298"/>
    <w:rsid w:val="00A97236"/>
    <w:rsid w:val="00A97492"/>
    <w:rsid w:val="00A975EB"/>
    <w:rsid w:val="00A97A01"/>
    <w:rsid w:val="00AA018E"/>
    <w:rsid w:val="00AA0506"/>
    <w:rsid w:val="00AA0876"/>
    <w:rsid w:val="00AA0ABA"/>
    <w:rsid w:val="00AA0C04"/>
    <w:rsid w:val="00AA0DC3"/>
    <w:rsid w:val="00AA13C4"/>
    <w:rsid w:val="00AA14C5"/>
    <w:rsid w:val="00AA14D8"/>
    <w:rsid w:val="00AA14E1"/>
    <w:rsid w:val="00AA15F3"/>
    <w:rsid w:val="00AA1B41"/>
    <w:rsid w:val="00AA2033"/>
    <w:rsid w:val="00AA2209"/>
    <w:rsid w:val="00AA2A92"/>
    <w:rsid w:val="00AA2BF6"/>
    <w:rsid w:val="00AA356A"/>
    <w:rsid w:val="00AA3645"/>
    <w:rsid w:val="00AA38E7"/>
    <w:rsid w:val="00AA3AE2"/>
    <w:rsid w:val="00AA3E3A"/>
    <w:rsid w:val="00AA3EBD"/>
    <w:rsid w:val="00AA42B2"/>
    <w:rsid w:val="00AA4954"/>
    <w:rsid w:val="00AA4A31"/>
    <w:rsid w:val="00AA4C7D"/>
    <w:rsid w:val="00AA5000"/>
    <w:rsid w:val="00AA506D"/>
    <w:rsid w:val="00AA5171"/>
    <w:rsid w:val="00AA555A"/>
    <w:rsid w:val="00AA5EE5"/>
    <w:rsid w:val="00AA633F"/>
    <w:rsid w:val="00AA68A2"/>
    <w:rsid w:val="00AA6A5B"/>
    <w:rsid w:val="00AA74B3"/>
    <w:rsid w:val="00AA77B1"/>
    <w:rsid w:val="00AA7FD2"/>
    <w:rsid w:val="00AB0C4F"/>
    <w:rsid w:val="00AB1107"/>
    <w:rsid w:val="00AB1265"/>
    <w:rsid w:val="00AB140F"/>
    <w:rsid w:val="00AB1509"/>
    <w:rsid w:val="00AB185A"/>
    <w:rsid w:val="00AB1D7D"/>
    <w:rsid w:val="00AB1FA5"/>
    <w:rsid w:val="00AB28B0"/>
    <w:rsid w:val="00AB2AF7"/>
    <w:rsid w:val="00AB30A8"/>
    <w:rsid w:val="00AB3792"/>
    <w:rsid w:val="00AB40BA"/>
    <w:rsid w:val="00AB5246"/>
    <w:rsid w:val="00AB5CF7"/>
    <w:rsid w:val="00AB62FF"/>
    <w:rsid w:val="00AB6A72"/>
    <w:rsid w:val="00AB72EC"/>
    <w:rsid w:val="00AB7306"/>
    <w:rsid w:val="00AB759D"/>
    <w:rsid w:val="00AB77A1"/>
    <w:rsid w:val="00AB7870"/>
    <w:rsid w:val="00AB7E80"/>
    <w:rsid w:val="00AB7EE6"/>
    <w:rsid w:val="00AB7EF8"/>
    <w:rsid w:val="00AC0943"/>
    <w:rsid w:val="00AC09F5"/>
    <w:rsid w:val="00AC0AD4"/>
    <w:rsid w:val="00AC0CB3"/>
    <w:rsid w:val="00AC0CD6"/>
    <w:rsid w:val="00AC16A6"/>
    <w:rsid w:val="00AC1812"/>
    <w:rsid w:val="00AC1B42"/>
    <w:rsid w:val="00AC1F4B"/>
    <w:rsid w:val="00AC209D"/>
    <w:rsid w:val="00AC22D6"/>
    <w:rsid w:val="00AC237E"/>
    <w:rsid w:val="00AC32D6"/>
    <w:rsid w:val="00AC3625"/>
    <w:rsid w:val="00AC3B31"/>
    <w:rsid w:val="00AC3B94"/>
    <w:rsid w:val="00AC3FCC"/>
    <w:rsid w:val="00AC4068"/>
    <w:rsid w:val="00AC41D5"/>
    <w:rsid w:val="00AC4488"/>
    <w:rsid w:val="00AC461C"/>
    <w:rsid w:val="00AC466F"/>
    <w:rsid w:val="00AC49CD"/>
    <w:rsid w:val="00AC502C"/>
    <w:rsid w:val="00AC556A"/>
    <w:rsid w:val="00AC59A4"/>
    <w:rsid w:val="00AC5B94"/>
    <w:rsid w:val="00AC60BD"/>
    <w:rsid w:val="00AC68F6"/>
    <w:rsid w:val="00AC6AB9"/>
    <w:rsid w:val="00AC71BA"/>
    <w:rsid w:val="00AC725A"/>
    <w:rsid w:val="00AC72EB"/>
    <w:rsid w:val="00AC74B9"/>
    <w:rsid w:val="00AC78DE"/>
    <w:rsid w:val="00AC7C3E"/>
    <w:rsid w:val="00AC7D84"/>
    <w:rsid w:val="00AD0206"/>
    <w:rsid w:val="00AD0284"/>
    <w:rsid w:val="00AD051A"/>
    <w:rsid w:val="00AD0D01"/>
    <w:rsid w:val="00AD0D1F"/>
    <w:rsid w:val="00AD14FC"/>
    <w:rsid w:val="00AD1907"/>
    <w:rsid w:val="00AD1D06"/>
    <w:rsid w:val="00AD1D1A"/>
    <w:rsid w:val="00AD27A0"/>
    <w:rsid w:val="00AD2D8A"/>
    <w:rsid w:val="00AD2EBB"/>
    <w:rsid w:val="00AD3340"/>
    <w:rsid w:val="00AD3AEF"/>
    <w:rsid w:val="00AD4146"/>
    <w:rsid w:val="00AD4237"/>
    <w:rsid w:val="00AD4720"/>
    <w:rsid w:val="00AD48EA"/>
    <w:rsid w:val="00AD503C"/>
    <w:rsid w:val="00AD53EF"/>
    <w:rsid w:val="00AD5C49"/>
    <w:rsid w:val="00AD6189"/>
    <w:rsid w:val="00AD63F7"/>
    <w:rsid w:val="00AD6B56"/>
    <w:rsid w:val="00AD7897"/>
    <w:rsid w:val="00AE04CE"/>
    <w:rsid w:val="00AE07D1"/>
    <w:rsid w:val="00AE0BC0"/>
    <w:rsid w:val="00AE0EB0"/>
    <w:rsid w:val="00AE157E"/>
    <w:rsid w:val="00AE1C8D"/>
    <w:rsid w:val="00AE1F43"/>
    <w:rsid w:val="00AE223D"/>
    <w:rsid w:val="00AE237D"/>
    <w:rsid w:val="00AE244D"/>
    <w:rsid w:val="00AE2466"/>
    <w:rsid w:val="00AE2944"/>
    <w:rsid w:val="00AE2A75"/>
    <w:rsid w:val="00AE319D"/>
    <w:rsid w:val="00AE3250"/>
    <w:rsid w:val="00AE38ED"/>
    <w:rsid w:val="00AE3BF0"/>
    <w:rsid w:val="00AE4487"/>
    <w:rsid w:val="00AE4C05"/>
    <w:rsid w:val="00AE4D6A"/>
    <w:rsid w:val="00AE54D5"/>
    <w:rsid w:val="00AE572B"/>
    <w:rsid w:val="00AE597F"/>
    <w:rsid w:val="00AE6153"/>
    <w:rsid w:val="00AE64FE"/>
    <w:rsid w:val="00AE66A4"/>
    <w:rsid w:val="00AE6709"/>
    <w:rsid w:val="00AE6BA6"/>
    <w:rsid w:val="00AE788B"/>
    <w:rsid w:val="00AF024E"/>
    <w:rsid w:val="00AF06A1"/>
    <w:rsid w:val="00AF0B19"/>
    <w:rsid w:val="00AF0EB9"/>
    <w:rsid w:val="00AF15D6"/>
    <w:rsid w:val="00AF225F"/>
    <w:rsid w:val="00AF2789"/>
    <w:rsid w:val="00AF294F"/>
    <w:rsid w:val="00AF2A7F"/>
    <w:rsid w:val="00AF2A8A"/>
    <w:rsid w:val="00AF2BF3"/>
    <w:rsid w:val="00AF2C27"/>
    <w:rsid w:val="00AF346B"/>
    <w:rsid w:val="00AF3967"/>
    <w:rsid w:val="00AF3C05"/>
    <w:rsid w:val="00AF3F01"/>
    <w:rsid w:val="00AF44B2"/>
    <w:rsid w:val="00AF4903"/>
    <w:rsid w:val="00AF49BB"/>
    <w:rsid w:val="00AF4D04"/>
    <w:rsid w:val="00AF4ED2"/>
    <w:rsid w:val="00AF57A1"/>
    <w:rsid w:val="00AF59C5"/>
    <w:rsid w:val="00AF5A0C"/>
    <w:rsid w:val="00AF61B5"/>
    <w:rsid w:val="00AF63B0"/>
    <w:rsid w:val="00AF6CCB"/>
    <w:rsid w:val="00AF6DCD"/>
    <w:rsid w:val="00AF709B"/>
    <w:rsid w:val="00AF73DD"/>
    <w:rsid w:val="00AF7733"/>
    <w:rsid w:val="00AF7BE7"/>
    <w:rsid w:val="00B0042C"/>
    <w:rsid w:val="00B0046D"/>
    <w:rsid w:val="00B0076C"/>
    <w:rsid w:val="00B00A79"/>
    <w:rsid w:val="00B00C7D"/>
    <w:rsid w:val="00B00CE9"/>
    <w:rsid w:val="00B017F8"/>
    <w:rsid w:val="00B01A72"/>
    <w:rsid w:val="00B01AEC"/>
    <w:rsid w:val="00B01CE7"/>
    <w:rsid w:val="00B01EE0"/>
    <w:rsid w:val="00B01FD2"/>
    <w:rsid w:val="00B0201D"/>
    <w:rsid w:val="00B0207E"/>
    <w:rsid w:val="00B02224"/>
    <w:rsid w:val="00B0247E"/>
    <w:rsid w:val="00B028D3"/>
    <w:rsid w:val="00B02D05"/>
    <w:rsid w:val="00B02FB6"/>
    <w:rsid w:val="00B034B4"/>
    <w:rsid w:val="00B0381D"/>
    <w:rsid w:val="00B03D71"/>
    <w:rsid w:val="00B041F5"/>
    <w:rsid w:val="00B049BA"/>
    <w:rsid w:val="00B04AC6"/>
    <w:rsid w:val="00B054FA"/>
    <w:rsid w:val="00B069DC"/>
    <w:rsid w:val="00B06E8F"/>
    <w:rsid w:val="00B06ECA"/>
    <w:rsid w:val="00B06F49"/>
    <w:rsid w:val="00B070BA"/>
    <w:rsid w:val="00B07411"/>
    <w:rsid w:val="00B07DA5"/>
    <w:rsid w:val="00B1014F"/>
    <w:rsid w:val="00B101DC"/>
    <w:rsid w:val="00B1072C"/>
    <w:rsid w:val="00B108B8"/>
    <w:rsid w:val="00B1111A"/>
    <w:rsid w:val="00B11CC4"/>
    <w:rsid w:val="00B11CFC"/>
    <w:rsid w:val="00B120D3"/>
    <w:rsid w:val="00B12363"/>
    <w:rsid w:val="00B128C5"/>
    <w:rsid w:val="00B12CEE"/>
    <w:rsid w:val="00B132D5"/>
    <w:rsid w:val="00B1340E"/>
    <w:rsid w:val="00B139B5"/>
    <w:rsid w:val="00B13EBF"/>
    <w:rsid w:val="00B14114"/>
    <w:rsid w:val="00B14945"/>
    <w:rsid w:val="00B15223"/>
    <w:rsid w:val="00B15985"/>
    <w:rsid w:val="00B15AD1"/>
    <w:rsid w:val="00B15CA7"/>
    <w:rsid w:val="00B160E5"/>
    <w:rsid w:val="00B16305"/>
    <w:rsid w:val="00B163FE"/>
    <w:rsid w:val="00B16853"/>
    <w:rsid w:val="00B168D3"/>
    <w:rsid w:val="00B16B2A"/>
    <w:rsid w:val="00B174D5"/>
    <w:rsid w:val="00B17A8E"/>
    <w:rsid w:val="00B17AD5"/>
    <w:rsid w:val="00B17C78"/>
    <w:rsid w:val="00B17E26"/>
    <w:rsid w:val="00B17FC8"/>
    <w:rsid w:val="00B20123"/>
    <w:rsid w:val="00B205CD"/>
    <w:rsid w:val="00B20911"/>
    <w:rsid w:val="00B209AC"/>
    <w:rsid w:val="00B216A5"/>
    <w:rsid w:val="00B21FB8"/>
    <w:rsid w:val="00B223DE"/>
    <w:rsid w:val="00B22432"/>
    <w:rsid w:val="00B22C09"/>
    <w:rsid w:val="00B22C56"/>
    <w:rsid w:val="00B230C0"/>
    <w:rsid w:val="00B2324F"/>
    <w:rsid w:val="00B23A4A"/>
    <w:rsid w:val="00B23B3B"/>
    <w:rsid w:val="00B24162"/>
    <w:rsid w:val="00B242BF"/>
    <w:rsid w:val="00B24CCC"/>
    <w:rsid w:val="00B26166"/>
    <w:rsid w:val="00B2625A"/>
    <w:rsid w:val="00B265B5"/>
    <w:rsid w:val="00B26B34"/>
    <w:rsid w:val="00B26F33"/>
    <w:rsid w:val="00B27112"/>
    <w:rsid w:val="00B27393"/>
    <w:rsid w:val="00B278D1"/>
    <w:rsid w:val="00B27B6E"/>
    <w:rsid w:val="00B27C1C"/>
    <w:rsid w:val="00B27D3D"/>
    <w:rsid w:val="00B27D89"/>
    <w:rsid w:val="00B27D8F"/>
    <w:rsid w:val="00B306B8"/>
    <w:rsid w:val="00B30A51"/>
    <w:rsid w:val="00B311C2"/>
    <w:rsid w:val="00B3161B"/>
    <w:rsid w:val="00B31C2F"/>
    <w:rsid w:val="00B325F8"/>
    <w:rsid w:val="00B32914"/>
    <w:rsid w:val="00B32CBE"/>
    <w:rsid w:val="00B33915"/>
    <w:rsid w:val="00B33BE0"/>
    <w:rsid w:val="00B34B9E"/>
    <w:rsid w:val="00B34CD3"/>
    <w:rsid w:val="00B34D43"/>
    <w:rsid w:val="00B3511B"/>
    <w:rsid w:val="00B355C5"/>
    <w:rsid w:val="00B3588E"/>
    <w:rsid w:val="00B35906"/>
    <w:rsid w:val="00B35C58"/>
    <w:rsid w:val="00B35F5D"/>
    <w:rsid w:val="00B361FD"/>
    <w:rsid w:val="00B363FA"/>
    <w:rsid w:val="00B36694"/>
    <w:rsid w:val="00B368D3"/>
    <w:rsid w:val="00B36B3D"/>
    <w:rsid w:val="00B371A5"/>
    <w:rsid w:val="00B3745C"/>
    <w:rsid w:val="00B37492"/>
    <w:rsid w:val="00B375F6"/>
    <w:rsid w:val="00B37859"/>
    <w:rsid w:val="00B37A5D"/>
    <w:rsid w:val="00B37FB8"/>
    <w:rsid w:val="00B40023"/>
    <w:rsid w:val="00B405D8"/>
    <w:rsid w:val="00B406FD"/>
    <w:rsid w:val="00B40A51"/>
    <w:rsid w:val="00B40B6D"/>
    <w:rsid w:val="00B40D42"/>
    <w:rsid w:val="00B411E1"/>
    <w:rsid w:val="00B41938"/>
    <w:rsid w:val="00B4199F"/>
    <w:rsid w:val="00B41EF8"/>
    <w:rsid w:val="00B42191"/>
    <w:rsid w:val="00B427D7"/>
    <w:rsid w:val="00B42B1C"/>
    <w:rsid w:val="00B42FE2"/>
    <w:rsid w:val="00B430B4"/>
    <w:rsid w:val="00B432E4"/>
    <w:rsid w:val="00B4339A"/>
    <w:rsid w:val="00B43406"/>
    <w:rsid w:val="00B4365C"/>
    <w:rsid w:val="00B43BC4"/>
    <w:rsid w:val="00B441CA"/>
    <w:rsid w:val="00B442B0"/>
    <w:rsid w:val="00B44543"/>
    <w:rsid w:val="00B447AC"/>
    <w:rsid w:val="00B44806"/>
    <w:rsid w:val="00B44AB7"/>
    <w:rsid w:val="00B44F07"/>
    <w:rsid w:val="00B454C9"/>
    <w:rsid w:val="00B45CCA"/>
    <w:rsid w:val="00B45D61"/>
    <w:rsid w:val="00B45F18"/>
    <w:rsid w:val="00B464A2"/>
    <w:rsid w:val="00B46FB4"/>
    <w:rsid w:val="00B46FB7"/>
    <w:rsid w:val="00B50332"/>
    <w:rsid w:val="00B5034E"/>
    <w:rsid w:val="00B5075E"/>
    <w:rsid w:val="00B50802"/>
    <w:rsid w:val="00B50BB5"/>
    <w:rsid w:val="00B50C5A"/>
    <w:rsid w:val="00B512D4"/>
    <w:rsid w:val="00B51383"/>
    <w:rsid w:val="00B51942"/>
    <w:rsid w:val="00B519FF"/>
    <w:rsid w:val="00B51A21"/>
    <w:rsid w:val="00B51A24"/>
    <w:rsid w:val="00B52340"/>
    <w:rsid w:val="00B52C87"/>
    <w:rsid w:val="00B53FD2"/>
    <w:rsid w:val="00B54C3C"/>
    <w:rsid w:val="00B54CC3"/>
    <w:rsid w:val="00B54F17"/>
    <w:rsid w:val="00B55AD7"/>
    <w:rsid w:val="00B55E6E"/>
    <w:rsid w:val="00B561A8"/>
    <w:rsid w:val="00B56201"/>
    <w:rsid w:val="00B564F9"/>
    <w:rsid w:val="00B5657B"/>
    <w:rsid w:val="00B566D4"/>
    <w:rsid w:val="00B5679F"/>
    <w:rsid w:val="00B568A1"/>
    <w:rsid w:val="00B56BB3"/>
    <w:rsid w:val="00B56D03"/>
    <w:rsid w:val="00B56D7B"/>
    <w:rsid w:val="00B57658"/>
    <w:rsid w:val="00B57734"/>
    <w:rsid w:val="00B57B87"/>
    <w:rsid w:val="00B57F42"/>
    <w:rsid w:val="00B603A8"/>
    <w:rsid w:val="00B60E7D"/>
    <w:rsid w:val="00B60E9A"/>
    <w:rsid w:val="00B614CC"/>
    <w:rsid w:val="00B614E7"/>
    <w:rsid w:val="00B619AD"/>
    <w:rsid w:val="00B61A2B"/>
    <w:rsid w:val="00B61FA5"/>
    <w:rsid w:val="00B62483"/>
    <w:rsid w:val="00B62674"/>
    <w:rsid w:val="00B62872"/>
    <w:rsid w:val="00B62A06"/>
    <w:rsid w:val="00B62D6A"/>
    <w:rsid w:val="00B63DA0"/>
    <w:rsid w:val="00B64414"/>
    <w:rsid w:val="00B64730"/>
    <w:rsid w:val="00B64883"/>
    <w:rsid w:val="00B64969"/>
    <w:rsid w:val="00B64D20"/>
    <w:rsid w:val="00B65F93"/>
    <w:rsid w:val="00B663F8"/>
    <w:rsid w:val="00B66939"/>
    <w:rsid w:val="00B66BA6"/>
    <w:rsid w:val="00B66D03"/>
    <w:rsid w:val="00B66F4A"/>
    <w:rsid w:val="00B67B61"/>
    <w:rsid w:val="00B67B79"/>
    <w:rsid w:val="00B67E19"/>
    <w:rsid w:val="00B7004C"/>
    <w:rsid w:val="00B70FCC"/>
    <w:rsid w:val="00B7136D"/>
    <w:rsid w:val="00B716DD"/>
    <w:rsid w:val="00B71915"/>
    <w:rsid w:val="00B7211B"/>
    <w:rsid w:val="00B7219F"/>
    <w:rsid w:val="00B7230B"/>
    <w:rsid w:val="00B724C6"/>
    <w:rsid w:val="00B725E6"/>
    <w:rsid w:val="00B72A85"/>
    <w:rsid w:val="00B72B6B"/>
    <w:rsid w:val="00B72ED8"/>
    <w:rsid w:val="00B72F34"/>
    <w:rsid w:val="00B7343F"/>
    <w:rsid w:val="00B739C6"/>
    <w:rsid w:val="00B73A6B"/>
    <w:rsid w:val="00B74631"/>
    <w:rsid w:val="00B746EE"/>
    <w:rsid w:val="00B74995"/>
    <w:rsid w:val="00B74A63"/>
    <w:rsid w:val="00B74D6B"/>
    <w:rsid w:val="00B75836"/>
    <w:rsid w:val="00B7589B"/>
    <w:rsid w:val="00B76251"/>
    <w:rsid w:val="00B764D5"/>
    <w:rsid w:val="00B76815"/>
    <w:rsid w:val="00B7749D"/>
    <w:rsid w:val="00B77662"/>
    <w:rsid w:val="00B7787E"/>
    <w:rsid w:val="00B77D40"/>
    <w:rsid w:val="00B77EC6"/>
    <w:rsid w:val="00B77F4B"/>
    <w:rsid w:val="00B8020D"/>
    <w:rsid w:val="00B805A6"/>
    <w:rsid w:val="00B81464"/>
    <w:rsid w:val="00B8214C"/>
    <w:rsid w:val="00B8253B"/>
    <w:rsid w:val="00B82E3D"/>
    <w:rsid w:val="00B82E69"/>
    <w:rsid w:val="00B82ECE"/>
    <w:rsid w:val="00B8333E"/>
    <w:rsid w:val="00B835A6"/>
    <w:rsid w:val="00B83A2C"/>
    <w:rsid w:val="00B83CD6"/>
    <w:rsid w:val="00B84134"/>
    <w:rsid w:val="00B841AF"/>
    <w:rsid w:val="00B8424F"/>
    <w:rsid w:val="00B85175"/>
    <w:rsid w:val="00B8536F"/>
    <w:rsid w:val="00B854FD"/>
    <w:rsid w:val="00B8559A"/>
    <w:rsid w:val="00B855E0"/>
    <w:rsid w:val="00B857E1"/>
    <w:rsid w:val="00B857F7"/>
    <w:rsid w:val="00B858C8"/>
    <w:rsid w:val="00B85CA4"/>
    <w:rsid w:val="00B85F94"/>
    <w:rsid w:val="00B8651D"/>
    <w:rsid w:val="00B866CE"/>
    <w:rsid w:val="00B86CEE"/>
    <w:rsid w:val="00B86E39"/>
    <w:rsid w:val="00B87394"/>
    <w:rsid w:val="00B87743"/>
    <w:rsid w:val="00B8794F"/>
    <w:rsid w:val="00B9018E"/>
    <w:rsid w:val="00B9087E"/>
    <w:rsid w:val="00B90FA6"/>
    <w:rsid w:val="00B91003"/>
    <w:rsid w:val="00B91A78"/>
    <w:rsid w:val="00B91F0C"/>
    <w:rsid w:val="00B920C7"/>
    <w:rsid w:val="00B92269"/>
    <w:rsid w:val="00B927CF"/>
    <w:rsid w:val="00B92CED"/>
    <w:rsid w:val="00B92D24"/>
    <w:rsid w:val="00B92F01"/>
    <w:rsid w:val="00B92F4C"/>
    <w:rsid w:val="00B92F6A"/>
    <w:rsid w:val="00B93079"/>
    <w:rsid w:val="00B932DC"/>
    <w:rsid w:val="00B933D2"/>
    <w:rsid w:val="00B93A50"/>
    <w:rsid w:val="00B93FCA"/>
    <w:rsid w:val="00B940B6"/>
    <w:rsid w:val="00B9426F"/>
    <w:rsid w:val="00B942CF"/>
    <w:rsid w:val="00B94352"/>
    <w:rsid w:val="00B94774"/>
    <w:rsid w:val="00B953CF"/>
    <w:rsid w:val="00B95906"/>
    <w:rsid w:val="00B960FA"/>
    <w:rsid w:val="00B96465"/>
    <w:rsid w:val="00B96A7C"/>
    <w:rsid w:val="00B96D7B"/>
    <w:rsid w:val="00B96E42"/>
    <w:rsid w:val="00B96E60"/>
    <w:rsid w:val="00B96E7B"/>
    <w:rsid w:val="00B97BFA"/>
    <w:rsid w:val="00BA069A"/>
    <w:rsid w:val="00BA0CAF"/>
    <w:rsid w:val="00BA0ED8"/>
    <w:rsid w:val="00BA1135"/>
    <w:rsid w:val="00BA11E1"/>
    <w:rsid w:val="00BA2653"/>
    <w:rsid w:val="00BA28E4"/>
    <w:rsid w:val="00BA2B2F"/>
    <w:rsid w:val="00BA2E5E"/>
    <w:rsid w:val="00BA34BA"/>
    <w:rsid w:val="00BA3E51"/>
    <w:rsid w:val="00BA3E88"/>
    <w:rsid w:val="00BA40DD"/>
    <w:rsid w:val="00BA4B50"/>
    <w:rsid w:val="00BA4BF3"/>
    <w:rsid w:val="00BA4E77"/>
    <w:rsid w:val="00BA4EF3"/>
    <w:rsid w:val="00BA4EFF"/>
    <w:rsid w:val="00BA50A1"/>
    <w:rsid w:val="00BA51CA"/>
    <w:rsid w:val="00BA5BF0"/>
    <w:rsid w:val="00BA62FB"/>
    <w:rsid w:val="00BA68D6"/>
    <w:rsid w:val="00BA6AC3"/>
    <w:rsid w:val="00BA76E8"/>
    <w:rsid w:val="00BA7FB3"/>
    <w:rsid w:val="00BB0784"/>
    <w:rsid w:val="00BB0953"/>
    <w:rsid w:val="00BB0B7B"/>
    <w:rsid w:val="00BB185F"/>
    <w:rsid w:val="00BB1AE5"/>
    <w:rsid w:val="00BB1B6D"/>
    <w:rsid w:val="00BB1B77"/>
    <w:rsid w:val="00BB2116"/>
    <w:rsid w:val="00BB2208"/>
    <w:rsid w:val="00BB2237"/>
    <w:rsid w:val="00BB24CF"/>
    <w:rsid w:val="00BB28E1"/>
    <w:rsid w:val="00BB2BE4"/>
    <w:rsid w:val="00BB2F80"/>
    <w:rsid w:val="00BB3A57"/>
    <w:rsid w:val="00BB3DE4"/>
    <w:rsid w:val="00BB3FD2"/>
    <w:rsid w:val="00BB41C3"/>
    <w:rsid w:val="00BB4517"/>
    <w:rsid w:val="00BB48CC"/>
    <w:rsid w:val="00BB4D81"/>
    <w:rsid w:val="00BB4EBC"/>
    <w:rsid w:val="00BB5190"/>
    <w:rsid w:val="00BB581B"/>
    <w:rsid w:val="00BB5858"/>
    <w:rsid w:val="00BB5B26"/>
    <w:rsid w:val="00BB5B82"/>
    <w:rsid w:val="00BB6EDB"/>
    <w:rsid w:val="00BB744D"/>
    <w:rsid w:val="00BB749C"/>
    <w:rsid w:val="00BB75C5"/>
    <w:rsid w:val="00BB7D2B"/>
    <w:rsid w:val="00BB7E4E"/>
    <w:rsid w:val="00BC0DB8"/>
    <w:rsid w:val="00BC0E48"/>
    <w:rsid w:val="00BC0ED8"/>
    <w:rsid w:val="00BC0EFD"/>
    <w:rsid w:val="00BC0FDC"/>
    <w:rsid w:val="00BC1658"/>
    <w:rsid w:val="00BC1791"/>
    <w:rsid w:val="00BC1C94"/>
    <w:rsid w:val="00BC1DA0"/>
    <w:rsid w:val="00BC23B0"/>
    <w:rsid w:val="00BC2671"/>
    <w:rsid w:val="00BC2B50"/>
    <w:rsid w:val="00BC2BCF"/>
    <w:rsid w:val="00BC2CF4"/>
    <w:rsid w:val="00BC2E0C"/>
    <w:rsid w:val="00BC3246"/>
    <w:rsid w:val="00BC37A2"/>
    <w:rsid w:val="00BC3815"/>
    <w:rsid w:val="00BC3CA7"/>
    <w:rsid w:val="00BC3EAF"/>
    <w:rsid w:val="00BC4137"/>
    <w:rsid w:val="00BC449C"/>
    <w:rsid w:val="00BC4589"/>
    <w:rsid w:val="00BC4A3E"/>
    <w:rsid w:val="00BC4B22"/>
    <w:rsid w:val="00BC4BB8"/>
    <w:rsid w:val="00BC4E6F"/>
    <w:rsid w:val="00BC4FBD"/>
    <w:rsid w:val="00BC535E"/>
    <w:rsid w:val="00BC5B3D"/>
    <w:rsid w:val="00BC5BEA"/>
    <w:rsid w:val="00BC5ECA"/>
    <w:rsid w:val="00BC5F73"/>
    <w:rsid w:val="00BC6436"/>
    <w:rsid w:val="00BC691E"/>
    <w:rsid w:val="00BC6B38"/>
    <w:rsid w:val="00BC6BE6"/>
    <w:rsid w:val="00BC6E81"/>
    <w:rsid w:val="00BC72F2"/>
    <w:rsid w:val="00BC75C0"/>
    <w:rsid w:val="00BC78B4"/>
    <w:rsid w:val="00BC7C7D"/>
    <w:rsid w:val="00BD0BF1"/>
    <w:rsid w:val="00BD1B80"/>
    <w:rsid w:val="00BD2052"/>
    <w:rsid w:val="00BD2F53"/>
    <w:rsid w:val="00BD34F8"/>
    <w:rsid w:val="00BD3762"/>
    <w:rsid w:val="00BD3A5F"/>
    <w:rsid w:val="00BD3EBC"/>
    <w:rsid w:val="00BD4049"/>
    <w:rsid w:val="00BD40AE"/>
    <w:rsid w:val="00BD410F"/>
    <w:rsid w:val="00BD431E"/>
    <w:rsid w:val="00BD4720"/>
    <w:rsid w:val="00BD4724"/>
    <w:rsid w:val="00BD5003"/>
    <w:rsid w:val="00BD55EC"/>
    <w:rsid w:val="00BD5A96"/>
    <w:rsid w:val="00BD64A3"/>
    <w:rsid w:val="00BD6CE2"/>
    <w:rsid w:val="00BD6EF7"/>
    <w:rsid w:val="00BD73D6"/>
    <w:rsid w:val="00BD743C"/>
    <w:rsid w:val="00BD768E"/>
    <w:rsid w:val="00BD772D"/>
    <w:rsid w:val="00BD7AEC"/>
    <w:rsid w:val="00BD7BFF"/>
    <w:rsid w:val="00BD7DCC"/>
    <w:rsid w:val="00BE0C95"/>
    <w:rsid w:val="00BE107B"/>
    <w:rsid w:val="00BE1238"/>
    <w:rsid w:val="00BE1E78"/>
    <w:rsid w:val="00BE1FEE"/>
    <w:rsid w:val="00BE2002"/>
    <w:rsid w:val="00BE2076"/>
    <w:rsid w:val="00BE22B3"/>
    <w:rsid w:val="00BE2BB3"/>
    <w:rsid w:val="00BE3139"/>
    <w:rsid w:val="00BE31A4"/>
    <w:rsid w:val="00BE397E"/>
    <w:rsid w:val="00BE3BE4"/>
    <w:rsid w:val="00BE43FE"/>
    <w:rsid w:val="00BE49D2"/>
    <w:rsid w:val="00BE50C4"/>
    <w:rsid w:val="00BE5B7C"/>
    <w:rsid w:val="00BE649E"/>
    <w:rsid w:val="00BE7A50"/>
    <w:rsid w:val="00BE7DEB"/>
    <w:rsid w:val="00BE7F57"/>
    <w:rsid w:val="00BF016B"/>
    <w:rsid w:val="00BF01A2"/>
    <w:rsid w:val="00BF1284"/>
    <w:rsid w:val="00BF1396"/>
    <w:rsid w:val="00BF1454"/>
    <w:rsid w:val="00BF1578"/>
    <w:rsid w:val="00BF165C"/>
    <w:rsid w:val="00BF19BA"/>
    <w:rsid w:val="00BF1DE0"/>
    <w:rsid w:val="00BF23DD"/>
    <w:rsid w:val="00BF253C"/>
    <w:rsid w:val="00BF312D"/>
    <w:rsid w:val="00BF35F2"/>
    <w:rsid w:val="00BF3BDB"/>
    <w:rsid w:val="00BF3C1E"/>
    <w:rsid w:val="00BF3C43"/>
    <w:rsid w:val="00BF3C5B"/>
    <w:rsid w:val="00BF3FC1"/>
    <w:rsid w:val="00BF4278"/>
    <w:rsid w:val="00BF42D5"/>
    <w:rsid w:val="00BF43A8"/>
    <w:rsid w:val="00BF4B90"/>
    <w:rsid w:val="00BF4DE3"/>
    <w:rsid w:val="00BF4E62"/>
    <w:rsid w:val="00BF4E9F"/>
    <w:rsid w:val="00BF4FC1"/>
    <w:rsid w:val="00BF537F"/>
    <w:rsid w:val="00BF5BA1"/>
    <w:rsid w:val="00BF5D19"/>
    <w:rsid w:val="00BF5FA5"/>
    <w:rsid w:val="00BF60FB"/>
    <w:rsid w:val="00BF682E"/>
    <w:rsid w:val="00BF716C"/>
    <w:rsid w:val="00BF7625"/>
    <w:rsid w:val="00BF7D88"/>
    <w:rsid w:val="00C009A9"/>
    <w:rsid w:val="00C00CA4"/>
    <w:rsid w:val="00C00F01"/>
    <w:rsid w:val="00C01259"/>
    <w:rsid w:val="00C0135A"/>
    <w:rsid w:val="00C014C9"/>
    <w:rsid w:val="00C0161E"/>
    <w:rsid w:val="00C0164D"/>
    <w:rsid w:val="00C02130"/>
    <w:rsid w:val="00C02542"/>
    <w:rsid w:val="00C028A8"/>
    <w:rsid w:val="00C02A7E"/>
    <w:rsid w:val="00C02F73"/>
    <w:rsid w:val="00C03517"/>
    <w:rsid w:val="00C0354B"/>
    <w:rsid w:val="00C0391D"/>
    <w:rsid w:val="00C03D61"/>
    <w:rsid w:val="00C03FE1"/>
    <w:rsid w:val="00C041E9"/>
    <w:rsid w:val="00C04D77"/>
    <w:rsid w:val="00C05432"/>
    <w:rsid w:val="00C05E98"/>
    <w:rsid w:val="00C061E9"/>
    <w:rsid w:val="00C06300"/>
    <w:rsid w:val="00C06463"/>
    <w:rsid w:val="00C07742"/>
    <w:rsid w:val="00C077D8"/>
    <w:rsid w:val="00C07CA7"/>
    <w:rsid w:val="00C101B9"/>
    <w:rsid w:val="00C10DFF"/>
    <w:rsid w:val="00C1139C"/>
    <w:rsid w:val="00C120DB"/>
    <w:rsid w:val="00C12FBE"/>
    <w:rsid w:val="00C13397"/>
    <w:rsid w:val="00C13399"/>
    <w:rsid w:val="00C1353F"/>
    <w:rsid w:val="00C13656"/>
    <w:rsid w:val="00C13758"/>
    <w:rsid w:val="00C13EFD"/>
    <w:rsid w:val="00C13F00"/>
    <w:rsid w:val="00C140A1"/>
    <w:rsid w:val="00C1413F"/>
    <w:rsid w:val="00C14933"/>
    <w:rsid w:val="00C14C7D"/>
    <w:rsid w:val="00C158EE"/>
    <w:rsid w:val="00C15A55"/>
    <w:rsid w:val="00C15C8D"/>
    <w:rsid w:val="00C16C1A"/>
    <w:rsid w:val="00C17238"/>
    <w:rsid w:val="00C176B6"/>
    <w:rsid w:val="00C1780B"/>
    <w:rsid w:val="00C17BE1"/>
    <w:rsid w:val="00C20057"/>
    <w:rsid w:val="00C20172"/>
    <w:rsid w:val="00C20654"/>
    <w:rsid w:val="00C20869"/>
    <w:rsid w:val="00C2099B"/>
    <w:rsid w:val="00C209EF"/>
    <w:rsid w:val="00C20C1F"/>
    <w:rsid w:val="00C20C5A"/>
    <w:rsid w:val="00C21555"/>
    <w:rsid w:val="00C2182A"/>
    <w:rsid w:val="00C21C26"/>
    <w:rsid w:val="00C22166"/>
    <w:rsid w:val="00C22275"/>
    <w:rsid w:val="00C223AC"/>
    <w:rsid w:val="00C230C1"/>
    <w:rsid w:val="00C231C7"/>
    <w:rsid w:val="00C2389D"/>
    <w:rsid w:val="00C23B7E"/>
    <w:rsid w:val="00C242DF"/>
    <w:rsid w:val="00C2471E"/>
    <w:rsid w:val="00C24A36"/>
    <w:rsid w:val="00C24DB5"/>
    <w:rsid w:val="00C24FC0"/>
    <w:rsid w:val="00C25069"/>
    <w:rsid w:val="00C251AC"/>
    <w:rsid w:val="00C25453"/>
    <w:rsid w:val="00C255F3"/>
    <w:rsid w:val="00C25790"/>
    <w:rsid w:val="00C25E9A"/>
    <w:rsid w:val="00C25F10"/>
    <w:rsid w:val="00C26886"/>
    <w:rsid w:val="00C26D6D"/>
    <w:rsid w:val="00C2723B"/>
    <w:rsid w:val="00C275F8"/>
    <w:rsid w:val="00C27D43"/>
    <w:rsid w:val="00C27EFF"/>
    <w:rsid w:val="00C30781"/>
    <w:rsid w:val="00C30D61"/>
    <w:rsid w:val="00C31162"/>
    <w:rsid w:val="00C31719"/>
    <w:rsid w:val="00C31C3D"/>
    <w:rsid w:val="00C3294F"/>
    <w:rsid w:val="00C32A4B"/>
    <w:rsid w:val="00C32F27"/>
    <w:rsid w:val="00C32F82"/>
    <w:rsid w:val="00C32FDF"/>
    <w:rsid w:val="00C33869"/>
    <w:rsid w:val="00C33B05"/>
    <w:rsid w:val="00C3428E"/>
    <w:rsid w:val="00C34C2B"/>
    <w:rsid w:val="00C35128"/>
    <w:rsid w:val="00C35326"/>
    <w:rsid w:val="00C35563"/>
    <w:rsid w:val="00C35689"/>
    <w:rsid w:val="00C358DD"/>
    <w:rsid w:val="00C36019"/>
    <w:rsid w:val="00C364BD"/>
    <w:rsid w:val="00C37617"/>
    <w:rsid w:val="00C37913"/>
    <w:rsid w:val="00C37B7D"/>
    <w:rsid w:val="00C4065C"/>
    <w:rsid w:val="00C40982"/>
    <w:rsid w:val="00C40C6F"/>
    <w:rsid w:val="00C40D72"/>
    <w:rsid w:val="00C40E39"/>
    <w:rsid w:val="00C40ECC"/>
    <w:rsid w:val="00C41D11"/>
    <w:rsid w:val="00C41F0C"/>
    <w:rsid w:val="00C422E3"/>
    <w:rsid w:val="00C42ADF"/>
    <w:rsid w:val="00C42C08"/>
    <w:rsid w:val="00C4330D"/>
    <w:rsid w:val="00C4334B"/>
    <w:rsid w:val="00C43520"/>
    <w:rsid w:val="00C43955"/>
    <w:rsid w:val="00C442A3"/>
    <w:rsid w:val="00C442C1"/>
    <w:rsid w:val="00C447DC"/>
    <w:rsid w:val="00C44D7C"/>
    <w:rsid w:val="00C44F27"/>
    <w:rsid w:val="00C45546"/>
    <w:rsid w:val="00C45ECA"/>
    <w:rsid w:val="00C45F1B"/>
    <w:rsid w:val="00C462D3"/>
    <w:rsid w:val="00C46809"/>
    <w:rsid w:val="00C46B16"/>
    <w:rsid w:val="00C46F53"/>
    <w:rsid w:val="00C4720A"/>
    <w:rsid w:val="00C47A55"/>
    <w:rsid w:val="00C47B8A"/>
    <w:rsid w:val="00C47D84"/>
    <w:rsid w:val="00C50050"/>
    <w:rsid w:val="00C500A1"/>
    <w:rsid w:val="00C501F2"/>
    <w:rsid w:val="00C50234"/>
    <w:rsid w:val="00C50354"/>
    <w:rsid w:val="00C5049E"/>
    <w:rsid w:val="00C50748"/>
    <w:rsid w:val="00C50F10"/>
    <w:rsid w:val="00C51169"/>
    <w:rsid w:val="00C516AC"/>
    <w:rsid w:val="00C516FC"/>
    <w:rsid w:val="00C51972"/>
    <w:rsid w:val="00C51AA7"/>
    <w:rsid w:val="00C51B49"/>
    <w:rsid w:val="00C51E1F"/>
    <w:rsid w:val="00C523D6"/>
    <w:rsid w:val="00C53219"/>
    <w:rsid w:val="00C53F1A"/>
    <w:rsid w:val="00C53F51"/>
    <w:rsid w:val="00C544BB"/>
    <w:rsid w:val="00C54503"/>
    <w:rsid w:val="00C54CCC"/>
    <w:rsid w:val="00C55036"/>
    <w:rsid w:val="00C556B2"/>
    <w:rsid w:val="00C55C8E"/>
    <w:rsid w:val="00C55CB1"/>
    <w:rsid w:val="00C56895"/>
    <w:rsid w:val="00C56940"/>
    <w:rsid w:val="00C569CE"/>
    <w:rsid w:val="00C56C4A"/>
    <w:rsid w:val="00C57040"/>
    <w:rsid w:val="00C57130"/>
    <w:rsid w:val="00C574BF"/>
    <w:rsid w:val="00C57736"/>
    <w:rsid w:val="00C57E71"/>
    <w:rsid w:val="00C60B89"/>
    <w:rsid w:val="00C60CBF"/>
    <w:rsid w:val="00C61670"/>
    <w:rsid w:val="00C6167D"/>
    <w:rsid w:val="00C616E2"/>
    <w:rsid w:val="00C61E25"/>
    <w:rsid w:val="00C61EEE"/>
    <w:rsid w:val="00C62222"/>
    <w:rsid w:val="00C62248"/>
    <w:rsid w:val="00C6258F"/>
    <w:rsid w:val="00C62CBB"/>
    <w:rsid w:val="00C632E8"/>
    <w:rsid w:val="00C63897"/>
    <w:rsid w:val="00C63F09"/>
    <w:rsid w:val="00C6421A"/>
    <w:rsid w:val="00C64542"/>
    <w:rsid w:val="00C646EF"/>
    <w:rsid w:val="00C647CC"/>
    <w:rsid w:val="00C64C59"/>
    <w:rsid w:val="00C653B5"/>
    <w:rsid w:val="00C65AF0"/>
    <w:rsid w:val="00C67166"/>
    <w:rsid w:val="00C67520"/>
    <w:rsid w:val="00C675BC"/>
    <w:rsid w:val="00C677A5"/>
    <w:rsid w:val="00C701F0"/>
    <w:rsid w:val="00C7063A"/>
    <w:rsid w:val="00C70CA8"/>
    <w:rsid w:val="00C70CD5"/>
    <w:rsid w:val="00C73924"/>
    <w:rsid w:val="00C74D78"/>
    <w:rsid w:val="00C74FF9"/>
    <w:rsid w:val="00C7521F"/>
    <w:rsid w:val="00C75AF7"/>
    <w:rsid w:val="00C75D9B"/>
    <w:rsid w:val="00C75F3A"/>
    <w:rsid w:val="00C76AD5"/>
    <w:rsid w:val="00C77C20"/>
    <w:rsid w:val="00C77E30"/>
    <w:rsid w:val="00C77E68"/>
    <w:rsid w:val="00C77E6C"/>
    <w:rsid w:val="00C77F9F"/>
    <w:rsid w:val="00C77FD2"/>
    <w:rsid w:val="00C809BE"/>
    <w:rsid w:val="00C80ACE"/>
    <w:rsid w:val="00C81777"/>
    <w:rsid w:val="00C82465"/>
    <w:rsid w:val="00C828B5"/>
    <w:rsid w:val="00C828BA"/>
    <w:rsid w:val="00C82BE2"/>
    <w:rsid w:val="00C82EE5"/>
    <w:rsid w:val="00C82EEA"/>
    <w:rsid w:val="00C83604"/>
    <w:rsid w:val="00C83B9C"/>
    <w:rsid w:val="00C851A9"/>
    <w:rsid w:val="00C853C3"/>
    <w:rsid w:val="00C854B9"/>
    <w:rsid w:val="00C8582F"/>
    <w:rsid w:val="00C85F3F"/>
    <w:rsid w:val="00C86253"/>
    <w:rsid w:val="00C863C4"/>
    <w:rsid w:val="00C8661E"/>
    <w:rsid w:val="00C86C73"/>
    <w:rsid w:val="00C87166"/>
    <w:rsid w:val="00C87602"/>
    <w:rsid w:val="00C87B2A"/>
    <w:rsid w:val="00C87C25"/>
    <w:rsid w:val="00C90021"/>
    <w:rsid w:val="00C90286"/>
    <w:rsid w:val="00C90418"/>
    <w:rsid w:val="00C90782"/>
    <w:rsid w:val="00C90DFC"/>
    <w:rsid w:val="00C9111A"/>
    <w:rsid w:val="00C914F4"/>
    <w:rsid w:val="00C915E0"/>
    <w:rsid w:val="00C91E1F"/>
    <w:rsid w:val="00C91F71"/>
    <w:rsid w:val="00C9214F"/>
    <w:rsid w:val="00C92283"/>
    <w:rsid w:val="00C92377"/>
    <w:rsid w:val="00C923CA"/>
    <w:rsid w:val="00C92940"/>
    <w:rsid w:val="00C92AA9"/>
    <w:rsid w:val="00C938AD"/>
    <w:rsid w:val="00C9425E"/>
    <w:rsid w:val="00C94362"/>
    <w:rsid w:val="00C94470"/>
    <w:rsid w:val="00C949B3"/>
    <w:rsid w:val="00C9520A"/>
    <w:rsid w:val="00C9528C"/>
    <w:rsid w:val="00C95623"/>
    <w:rsid w:val="00C959A7"/>
    <w:rsid w:val="00C95C7B"/>
    <w:rsid w:val="00C9643C"/>
    <w:rsid w:val="00C96607"/>
    <w:rsid w:val="00C96756"/>
    <w:rsid w:val="00C9742A"/>
    <w:rsid w:val="00C97561"/>
    <w:rsid w:val="00C9757A"/>
    <w:rsid w:val="00C97BFD"/>
    <w:rsid w:val="00C97CB1"/>
    <w:rsid w:val="00CA0050"/>
    <w:rsid w:val="00CA041B"/>
    <w:rsid w:val="00CA06EC"/>
    <w:rsid w:val="00CA0DD7"/>
    <w:rsid w:val="00CA0DF3"/>
    <w:rsid w:val="00CA121D"/>
    <w:rsid w:val="00CA1FA7"/>
    <w:rsid w:val="00CA21A6"/>
    <w:rsid w:val="00CA234A"/>
    <w:rsid w:val="00CA24B7"/>
    <w:rsid w:val="00CA2C30"/>
    <w:rsid w:val="00CA35FC"/>
    <w:rsid w:val="00CA490A"/>
    <w:rsid w:val="00CA4A3D"/>
    <w:rsid w:val="00CA4B01"/>
    <w:rsid w:val="00CA4B2D"/>
    <w:rsid w:val="00CA4F2C"/>
    <w:rsid w:val="00CA5503"/>
    <w:rsid w:val="00CA554E"/>
    <w:rsid w:val="00CA56B3"/>
    <w:rsid w:val="00CA5A7F"/>
    <w:rsid w:val="00CA5AB1"/>
    <w:rsid w:val="00CA5AD8"/>
    <w:rsid w:val="00CA5C9D"/>
    <w:rsid w:val="00CA634B"/>
    <w:rsid w:val="00CA6514"/>
    <w:rsid w:val="00CA6773"/>
    <w:rsid w:val="00CA6789"/>
    <w:rsid w:val="00CA6804"/>
    <w:rsid w:val="00CA7247"/>
    <w:rsid w:val="00CA77A4"/>
    <w:rsid w:val="00CA7989"/>
    <w:rsid w:val="00CA79FE"/>
    <w:rsid w:val="00CA7DB0"/>
    <w:rsid w:val="00CB00C3"/>
    <w:rsid w:val="00CB01BA"/>
    <w:rsid w:val="00CB0719"/>
    <w:rsid w:val="00CB08BC"/>
    <w:rsid w:val="00CB0911"/>
    <w:rsid w:val="00CB0DDA"/>
    <w:rsid w:val="00CB0F03"/>
    <w:rsid w:val="00CB0FE5"/>
    <w:rsid w:val="00CB13FE"/>
    <w:rsid w:val="00CB1440"/>
    <w:rsid w:val="00CB14DD"/>
    <w:rsid w:val="00CB1962"/>
    <w:rsid w:val="00CB1BF2"/>
    <w:rsid w:val="00CB1D3C"/>
    <w:rsid w:val="00CB3436"/>
    <w:rsid w:val="00CB34F2"/>
    <w:rsid w:val="00CB3CCB"/>
    <w:rsid w:val="00CB41B0"/>
    <w:rsid w:val="00CB5D65"/>
    <w:rsid w:val="00CB6096"/>
    <w:rsid w:val="00CB6116"/>
    <w:rsid w:val="00CB6ABA"/>
    <w:rsid w:val="00CB7096"/>
    <w:rsid w:val="00CB7129"/>
    <w:rsid w:val="00CB72C2"/>
    <w:rsid w:val="00CB7C1A"/>
    <w:rsid w:val="00CC05E7"/>
    <w:rsid w:val="00CC076A"/>
    <w:rsid w:val="00CC12D9"/>
    <w:rsid w:val="00CC1418"/>
    <w:rsid w:val="00CC1A2F"/>
    <w:rsid w:val="00CC1C12"/>
    <w:rsid w:val="00CC1D3C"/>
    <w:rsid w:val="00CC1DAC"/>
    <w:rsid w:val="00CC239D"/>
    <w:rsid w:val="00CC2CCF"/>
    <w:rsid w:val="00CC3119"/>
    <w:rsid w:val="00CC330B"/>
    <w:rsid w:val="00CC3548"/>
    <w:rsid w:val="00CC376E"/>
    <w:rsid w:val="00CC3C1A"/>
    <w:rsid w:val="00CC3C9A"/>
    <w:rsid w:val="00CC4249"/>
    <w:rsid w:val="00CC465F"/>
    <w:rsid w:val="00CC5335"/>
    <w:rsid w:val="00CC542E"/>
    <w:rsid w:val="00CC6081"/>
    <w:rsid w:val="00CC6139"/>
    <w:rsid w:val="00CC62FA"/>
    <w:rsid w:val="00CC634A"/>
    <w:rsid w:val="00CC6468"/>
    <w:rsid w:val="00CC6E93"/>
    <w:rsid w:val="00CC71B7"/>
    <w:rsid w:val="00CC7C01"/>
    <w:rsid w:val="00CC7D0F"/>
    <w:rsid w:val="00CC7E61"/>
    <w:rsid w:val="00CD0264"/>
    <w:rsid w:val="00CD0A11"/>
    <w:rsid w:val="00CD11B4"/>
    <w:rsid w:val="00CD166A"/>
    <w:rsid w:val="00CD16D0"/>
    <w:rsid w:val="00CD21BA"/>
    <w:rsid w:val="00CD2278"/>
    <w:rsid w:val="00CD22DA"/>
    <w:rsid w:val="00CD23D8"/>
    <w:rsid w:val="00CD24A7"/>
    <w:rsid w:val="00CD2661"/>
    <w:rsid w:val="00CD2B84"/>
    <w:rsid w:val="00CD2BB7"/>
    <w:rsid w:val="00CD32E7"/>
    <w:rsid w:val="00CD34F0"/>
    <w:rsid w:val="00CD38B2"/>
    <w:rsid w:val="00CD3995"/>
    <w:rsid w:val="00CD3AFB"/>
    <w:rsid w:val="00CD3D29"/>
    <w:rsid w:val="00CD53A4"/>
    <w:rsid w:val="00CD5532"/>
    <w:rsid w:val="00CD5B6E"/>
    <w:rsid w:val="00CD646E"/>
    <w:rsid w:val="00CD6920"/>
    <w:rsid w:val="00CD6C53"/>
    <w:rsid w:val="00CD6F7E"/>
    <w:rsid w:val="00CD77AF"/>
    <w:rsid w:val="00CD7AC8"/>
    <w:rsid w:val="00CD7AE1"/>
    <w:rsid w:val="00CD7B9C"/>
    <w:rsid w:val="00CD7CA0"/>
    <w:rsid w:val="00CE169E"/>
    <w:rsid w:val="00CE1A46"/>
    <w:rsid w:val="00CE1AC6"/>
    <w:rsid w:val="00CE21E1"/>
    <w:rsid w:val="00CE2275"/>
    <w:rsid w:val="00CE22D4"/>
    <w:rsid w:val="00CE2743"/>
    <w:rsid w:val="00CE2C27"/>
    <w:rsid w:val="00CE2CAE"/>
    <w:rsid w:val="00CE3A18"/>
    <w:rsid w:val="00CE45F6"/>
    <w:rsid w:val="00CE5E97"/>
    <w:rsid w:val="00CE615E"/>
    <w:rsid w:val="00CE6576"/>
    <w:rsid w:val="00CE6791"/>
    <w:rsid w:val="00CE6D9D"/>
    <w:rsid w:val="00CE6DAE"/>
    <w:rsid w:val="00CE71CE"/>
    <w:rsid w:val="00CE75A5"/>
    <w:rsid w:val="00CE771D"/>
    <w:rsid w:val="00CF049B"/>
    <w:rsid w:val="00CF0ECA"/>
    <w:rsid w:val="00CF1079"/>
    <w:rsid w:val="00CF1B80"/>
    <w:rsid w:val="00CF1BFE"/>
    <w:rsid w:val="00CF2386"/>
    <w:rsid w:val="00CF2ABC"/>
    <w:rsid w:val="00CF2CD7"/>
    <w:rsid w:val="00CF3028"/>
    <w:rsid w:val="00CF396F"/>
    <w:rsid w:val="00CF43BD"/>
    <w:rsid w:val="00CF475F"/>
    <w:rsid w:val="00CF4FA0"/>
    <w:rsid w:val="00CF5028"/>
    <w:rsid w:val="00CF5B6A"/>
    <w:rsid w:val="00CF6006"/>
    <w:rsid w:val="00CF62EB"/>
    <w:rsid w:val="00CF65E1"/>
    <w:rsid w:val="00CF680E"/>
    <w:rsid w:val="00CF68C6"/>
    <w:rsid w:val="00CF6D17"/>
    <w:rsid w:val="00CF7E6A"/>
    <w:rsid w:val="00CF7FC8"/>
    <w:rsid w:val="00D001EF"/>
    <w:rsid w:val="00D012C0"/>
    <w:rsid w:val="00D013EB"/>
    <w:rsid w:val="00D01413"/>
    <w:rsid w:val="00D01521"/>
    <w:rsid w:val="00D01A21"/>
    <w:rsid w:val="00D01D76"/>
    <w:rsid w:val="00D02422"/>
    <w:rsid w:val="00D02A80"/>
    <w:rsid w:val="00D02C7B"/>
    <w:rsid w:val="00D02C8D"/>
    <w:rsid w:val="00D02D2C"/>
    <w:rsid w:val="00D02F4B"/>
    <w:rsid w:val="00D03265"/>
    <w:rsid w:val="00D03BA6"/>
    <w:rsid w:val="00D03DB7"/>
    <w:rsid w:val="00D03EF9"/>
    <w:rsid w:val="00D055C7"/>
    <w:rsid w:val="00D058A4"/>
    <w:rsid w:val="00D05F27"/>
    <w:rsid w:val="00D0603A"/>
    <w:rsid w:val="00D062D1"/>
    <w:rsid w:val="00D06C62"/>
    <w:rsid w:val="00D06CF8"/>
    <w:rsid w:val="00D07A13"/>
    <w:rsid w:val="00D07C39"/>
    <w:rsid w:val="00D10700"/>
    <w:rsid w:val="00D10740"/>
    <w:rsid w:val="00D10D1C"/>
    <w:rsid w:val="00D10E22"/>
    <w:rsid w:val="00D10E83"/>
    <w:rsid w:val="00D10FFA"/>
    <w:rsid w:val="00D119EE"/>
    <w:rsid w:val="00D1328D"/>
    <w:rsid w:val="00D13548"/>
    <w:rsid w:val="00D1375B"/>
    <w:rsid w:val="00D13A2D"/>
    <w:rsid w:val="00D14340"/>
    <w:rsid w:val="00D14A14"/>
    <w:rsid w:val="00D14F1C"/>
    <w:rsid w:val="00D14F2F"/>
    <w:rsid w:val="00D1509F"/>
    <w:rsid w:val="00D156E9"/>
    <w:rsid w:val="00D15C44"/>
    <w:rsid w:val="00D15CC1"/>
    <w:rsid w:val="00D15CD7"/>
    <w:rsid w:val="00D16332"/>
    <w:rsid w:val="00D1653B"/>
    <w:rsid w:val="00D1671E"/>
    <w:rsid w:val="00D16734"/>
    <w:rsid w:val="00D16939"/>
    <w:rsid w:val="00D16E04"/>
    <w:rsid w:val="00D16F20"/>
    <w:rsid w:val="00D16F7E"/>
    <w:rsid w:val="00D17A8B"/>
    <w:rsid w:val="00D17D37"/>
    <w:rsid w:val="00D17FCF"/>
    <w:rsid w:val="00D200B7"/>
    <w:rsid w:val="00D202EB"/>
    <w:rsid w:val="00D20372"/>
    <w:rsid w:val="00D205E8"/>
    <w:rsid w:val="00D206C1"/>
    <w:rsid w:val="00D208D3"/>
    <w:rsid w:val="00D20E3C"/>
    <w:rsid w:val="00D211CC"/>
    <w:rsid w:val="00D211E7"/>
    <w:rsid w:val="00D21240"/>
    <w:rsid w:val="00D215D6"/>
    <w:rsid w:val="00D21C99"/>
    <w:rsid w:val="00D21EC3"/>
    <w:rsid w:val="00D22026"/>
    <w:rsid w:val="00D220BF"/>
    <w:rsid w:val="00D22772"/>
    <w:rsid w:val="00D22922"/>
    <w:rsid w:val="00D22F9F"/>
    <w:rsid w:val="00D23694"/>
    <w:rsid w:val="00D23840"/>
    <w:rsid w:val="00D23897"/>
    <w:rsid w:val="00D23BA9"/>
    <w:rsid w:val="00D24144"/>
    <w:rsid w:val="00D245C1"/>
    <w:rsid w:val="00D2474A"/>
    <w:rsid w:val="00D24859"/>
    <w:rsid w:val="00D24935"/>
    <w:rsid w:val="00D24BEA"/>
    <w:rsid w:val="00D24C27"/>
    <w:rsid w:val="00D25037"/>
    <w:rsid w:val="00D252DD"/>
    <w:rsid w:val="00D2559B"/>
    <w:rsid w:val="00D25812"/>
    <w:rsid w:val="00D262A8"/>
    <w:rsid w:val="00D266BD"/>
    <w:rsid w:val="00D27E33"/>
    <w:rsid w:val="00D305E0"/>
    <w:rsid w:val="00D30B55"/>
    <w:rsid w:val="00D3137F"/>
    <w:rsid w:val="00D320B0"/>
    <w:rsid w:val="00D32485"/>
    <w:rsid w:val="00D3268D"/>
    <w:rsid w:val="00D32771"/>
    <w:rsid w:val="00D32BCA"/>
    <w:rsid w:val="00D32DFD"/>
    <w:rsid w:val="00D3309F"/>
    <w:rsid w:val="00D333AC"/>
    <w:rsid w:val="00D33413"/>
    <w:rsid w:val="00D3341C"/>
    <w:rsid w:val="00D33CC3"/>
    <w:rsid w:val="00D33CF6"/>
    <w:rsid w:val="00D34268"/>
    <w:rsid w:val="00D3448C"/>
    <w:rsid w:val="00D34660"/>
    <w:rsid w:val="00D347BF"/>
    <w:rsid w:val="00D3486B"/>
    <w:rsid w:val="00D34CE6"/>
    <w:rsid w:val="00D34D46"/>
    <w:rsid w:val="00D34E1F"/>
    <w:rsid w:val="00D3689C"/>
    <w:rsid w:val="00D36B52"/>
    <w:rsid w:val="00D36BEB"/>
    <w:rsid w:val="00D36C78"/>
    <w:rsid w:val="00D377C5"/>
    <w:rsid w:val="00D37A72"/>
    <w:rsid w:val="00D37D1A"/>
    <w:rsid w:val="00D400AA"/>
    <w:rsid w:val="00D40657"/>
    <w:rsid w:val="00D40E54"/>
    <w:rsid w:val="00D41043"/>
    <w:rsid w:val="00D4144A"/>
    <w:rsid w:val="00D420AF"/>
    <w:rsid w:val="00D4291A"/>
    <w:rsid w:val="00D42B44"/>
    <w:rsid w:val="00D42C6F"/>
    <w:rsid w:val="00D42E0D"/>
    <w:rsid w:val="00D43876"/>
    <w:rsid w:val="00D44674"/>
    <w:rsid w:val="00D44898"/>
    <w:rsid w:val="00D44AD1"/>
    <w:rsid w:val="00D456F7"/>
    <w:rsid w:val="00D45BE2"/>
    <w:rsid w:val="00D45DF6"/>
    <w:rsid w:val="00D46F7D"/>
    <w:rsid w:val="00D4777E"/>
    <w:rsid w:val="00D478B4"/>
    <w:rsid w:val="00D5064B"/>
    <w:rsid w:val="00D50952"/>
    <w:rsid w:val="00D50A38"/>
    <w:rsid w:val="00D510CB"/>
    <w:rsid w:val="00D510D2"/>
    <w:rsid w:val="00D51198"/>
    <w:rsid w:val="00D513AA"/>
    <w:rsid w:val="00D51911"/>
    <w:rsid w:val="00D52335"/>
    <w:rsid w:val="00D52369"/>
    <w:rsid w:val="00D52434"/>
    <w:rsid w:val="00D524FC"/>
    <w:rsid w:val="00D526A3"/>
    <w:rsid w:val="00D53270"/>
    <w:rsid w:val="00D535E6"/>
    <w:rsid w:val="00D548E7"/>
    <w:rsid w:val="00D55070"/>
    <w:rsid w:val="00D55263"/>
    <w:rsid w:val="00D5540A"/>
    <w:rsid w:val="00D55F2A"/>
    <w:rsid w:val="00D560F2"/>
    <w:rsid w:val="00D561A2"/>
    <w:rsid w:val="00D56865"/>
    <w:rsid w:val="00D56918"/>
    <w:rsid w:val="00D56F51"/>
    <w:rsid w:val="00D572F9"/>
    <w:rsid w:val="00D57340"/>
    <w:rsid w:val="00D576C4"/>
    <w:rsid w:val="00D600CB"/>
    <w:rsid w:val="00D60678"/>
    <w:rsid w:val="00D60C9E"/>
    <w:rsid w:val="00D612DA"/>
    <w:rsid w:val="00D614C9"/>
    <w:rsid w:val="00D61575"/>
    <w:rsid w:val="00D61586"/>
    <w:rsid w:val="00D61959"/>
    <w:rsid w:val="00D61BA7"/>
    <w:rsid w:val="00D61D36"/>
    <w:rsid w:val="00D61EB7"/>
    <w:rsid w:val="00D62201"/>
    <w:rsid w:val="00D6273B"/>
    <w:rsid w:val="00D62937"/>
    <w:rsid w:val="00D62BE7"/>
    <w:rsid w:val="00D62D4C"/>
    <w:rsid w:val="00D63294"/>
    <w:rsid w:val="00D633BC"/>
    <w:rsid w:val="00D6344E"/>
    <w:rsid w:val="00D637EC"/>
    <w:rsid w:val="00D63B46"/>
    <w:rsid w:val="00D63CB4"/>
    <w:rsid w:val="00D63CF2"/>
    <w:rsid w:val="00D64405"/>
    <w:rsid w:val="00D64AE4"/>
    <w:rsid w:val="00D64D42"/>
    <w:rsid w:val="00D64DE9"/>
    <w:rsid w:val="00D656B6"/>
    <w:rsid w:val="00D6592D"/>
    <w:rsid w:val="00D65C0E"/>
    <w:rsid w:val="00D66592"/>
    <w:rsid w:val="00D66905"/>
    <w:rsid w:val="00D669B7"/>
    <w:rsid w:val="00D669F1"/>
    <w:rsid w:val="00D66CDF"/>
    <w:rsid w:val="00D66D5A"/>
    <w:rsid w:val="00D67053"/>
    <w:rsid w:val="00D671DC"/>
    <w:rsid w:val="00D675EA"/>
    <w:rsid w:val="00D676AE"/>
    <w:rsid w:val="00D67E8A"/>
    <w:rsid w:val="00D7076B"/>
    <w:rsid w:val="00D70844"/>
    <w:rsid w:val="00D70981"/>
    <w:rsid w:val="00D70B21"/>
    <w:rsid w:val="00D70C7F"/>
    <w:rsid w:val="00D711CF"/>
    <w:rsid w:val="00D71ABB"/>
    <w:rsid w:val="00D71B48"/>
    <w:rsid w:val="00D7214C"/>
    <w:rsid w:val="00D7281E"/>
    <w:rsid w:val="00D735E2"/>
    <w:rsid w:val="00D7387D"/>
    <w:rsid w:val="00D744D1"/>
    <w:rsid w:val="00D74611"/>
    <w:rsid w:val="00D74875"/>
    <w:rsid w:val="00D74B5A"/>
    <w:rsid w:val="00D753A0"/>
    <w:rsid w:val="00D7556E"/>
    <w:rsid w:val="00D756BF"/>
    <w:rsid w:val="00D760CF"/>
    <w:rsid w:val="00D764E8"/>
    <w:rsid w:val="00D76767"/>
    <w:rsid w:val="00D77102"/>
    <w:rsid w:val="00D778C5"/>
    <w:rsid w:val="00D778D2"/>
    <w:rsid w:val="00D77905"/>
    <w:rsid w:val="00D77FAA"/>
    <w:rsid w:val="00D8022E"/>
    <w:rsid w:val="00D803A6"/>
    <w:rsid w:val="00D803CF"/>
    <w:rsid w:val="00D80F6A"/>
    <w:rsid w:val="00D80F89"/>
    <w:rsid w:val="00D81200"/>
    <w:rsid w:val="00D817BF"/>
    <w:rsid w:val="00D82464"/>
    <w:rsid w:val="00D824EB"/>
    <w:rsid w:val="00D82541"/>
    <w:rsid w:val="00D82991"/>
    <w:rsid w:val="00D82AD2"/>
    <w:rsid w:val="00D82BC2"/>
    <w:rsid w:val="00D82F0D"/>
    <w:rsid w:val="00D8310C"/>
    <w:rsid w:val="00D8326C"/>
    <w:rsid w:val="00D8344B"/>
    <w:rsid w:val="00D8350E"/>
    <w:rsid w:val="00D8383E"/>
    <w:rsid w:val="00D8394D"/>
    <w:rsid w:val="00D84269"/>
    <w:rsid w:val="00D84399"/>
    <w:rsid w:val="00D84478"/>
    <w:rsid w:val="00D84826"/>
    <w:rsid w:val="00D84DEC"/>
    <w:rsid w:val="00D84F4E"/>
    <w:rsid w:val="00D855A7"/>
    <w:rsid w:val="00D858BC"/>
    <w:rsid w:val="00D85B70"/>
    <w:rsid w:val="00D85E36"/>
    <w:rsid w:val="00D8638D"/>
    <w:rsid w:val="00D8663E"/>
    <w:rsid w:val="00D86E26"/>
    <w:rsid w:val="00D87618"/>
    <w:rsid w:val="00D87CDC"/>
    <w:rsid w:val="00D87DE7"/>
    <w:rsid w:val="00D9012D"/>
    <w:rsid w:val="00D902AC"/>
    <w:rsid w:val="00D9041A"/>
    <w:rsid w:val="00D905FF"/>
    <w:rsid w:val="00D90779"/>
    <w:rsid w:val="00D90920"/>
    <w:rsid w:val="00D90C98"/>
    <w:rsid w:val="00D91596"/>
    <w:rsid w:val="00D91DCC"/>
    <w:rsid w:val="00D929A7"/>
    <w:rsid w:val="00D92D4F"/>
    <w:rsid w:val="00D92EBE"/>
    <w:rsid w:val="00D93025"/>
    <w:rsid w:val="00D93127"/>
    <w:rsid w:val="00D931AB"/>
    <w:rsid w:val="00D93260"/>
    <w:rsid w:val="00D93288"/>
    <w:rsid w:val="00D9351F"/>
    <w:rsid w:val="00D9397D"/>
    <w:rsid w:val="00D93B4A"/>
    <w:rsid w:val="00D93F27"/>
    <w:rsid w:val="00D94003"/>
    <w:rsid w:val="00D9437C"/>
    <w:rsid w:val="00D945A1"/>
    <w:rsid w:val="00D95553"/>
    <w:rsid w:val="00D956C6"/>
    <w:rsid w:val="00D956EF"/>
    <w:rsid w:val="00D95AB6"/>
    <w:rsid w:val="00D95B95"/>
    <w:rsid w:val="00D95BF9"/>
    <w:rsid w:val="00D97605"/>
    <w:rsid w:val="00D9776B"/>
    <w:rsid w:val="00D9794E"/>
    <w:rsid w:val="00D97AE1"/>
    <w:rsid w:val="00D97C96"/>
    <w:rsid w:val="00DA0310"/>
    <w:rsid w:val="00DA120C"/>
    <w:rsid w:val="00DA12AF"/>
    <w:rsid w:val="00DA12E3"/>
    <w:rsid w:val="00DA1CD8"/>
    <w:rsid w:val="00DA441D"/>
    <w:rsid w:val="00DA4459"/>
    <w:rsid w:val="00DA454C"/>
    <w:rsid w:val="00DA456F"/>
    <w:rsid w:val="00DA51DB"/>
    <w:rsid w:val="00DA563C"/>
    <w:rsid w:val="00DA5710"/>
    <w:rsid w:val="00DA5878"/>
    <w:rsid w:val="00DA5C07"/>
    <w:rsid w:val="00DA5DFE"/>
    <w:rsid w:val="00DA5F28"/>
    <w:rsid w:val="00DA6048"/>
    <w:rsid w:val="00DA663A"/>
    <w:rsid w:val="00DA71DD"/>
    <w:rsid w:val="00DA7E41"/>
    <w:rsid w:val="00DB0214"/>
    <w:rsid w:val="00DB0267"/>
    <w:rsid w:val="00DB02D1"/>
    <w:rsid w:val="00DB0CCE"/>
    <w:rsid w:val="00DB0DE0"/>
    <w:rsid w:val="00DB0DEC"/>
    <w:rsid w:val="00DB0FE0"/>
    <w:rsid w:val="00DB102D"/>
    <w:rsid w:val="00DB1B51"/>
    <w:rsid w:val="00DB1DFE"/>
    <w:rsid w:val="00DB2138"/>
    <w:rsid w:val="00DB2205"/>
    <w:rsid w:val="00DB24D0"/>
    <w:rsid w:val="00DB2562"/>
    <w:rsid w:val="00DB31E6"/>
    <w:rsid w:val="00DB3433"/>
    <w:rsid w:val="00DB345F"/>
    <w:rsid w:val="00DB37B6"/>
    <w:rsid w:val="00DB3D03"/>
    <w:rsid w:val="00DB4374"/>
    <w:rsid w:val="00DB4D0F"/>
    <w:rsid w:val="00DB5B39"/>
    <w:rsid w:val="00DB5D06"/>
    <w:rsid w:val="00DB5DF0"/>
    <w:rsid w:val="00DB60D1"/>
    <w:rsid w:val="00DB63CE"/>
    <w:rsid w:val="00DB641A"/>
    <w:rsid w:val="00DB6CC1"/>
    <w:rsid w:val="00DB7495"/>
    <w:rsid w:val="00DB7ABD"/>
    <w:rsid w:val="00DB7B0F"/>
    <w:rsid w:val="00DB7CE4"/>
    <w:rsid w:val="00DC1C56"/>
    <w:rsid w:val="00DC346C"/>
    <w:rsid w:val="00DC3490"/>
    <w:rsid w:val="00DC35DD"/>
    <w:rsid w:val="00DC3609"/>
    <w:rsid w:val="00DC3615"/>
    <w:rsid w:val="00DC3D59"/>
    <w:rsid w:val="00DC3DFB"/>
    <w:rsid w:val="00DC43B5"/>
    <w:rsid w:val="00DC4572"/>
    <w:rsid w:val="00DC464F"/>
    <w:rsid w:val="00DC4AD4"/>
    <w:rsid w:val="00DC56BA"/>
    <w:rsid w:val="00DC57EE"/>
    <w:rsid w:val="00DC5C6B"/>
    <w:rsid w:val="00DC5D37"/>
    <w:rsid w:val="00DC5E17"/>
    <w:rsid w:val="00DC6277"/>
    <w:rsid w:val="00DC62F8"/>
    <w:rsid w:val="00DC68A2"/>
    <w:rsid w:val="00DC68F7"/>
    <w:rsid w:val="00DC6A90"/>
    <w:rsid w:val="00DC6AEC"/>
    <w:rsid w:val="00DC6D4B"/>
    <w:rsid w:val="00DC6DC5"/>
    <w:rsid w:val="00DC707C"/>
    <w:rsid w:val="00DC7852"/>
    <w:rsid w:val="00DC7AD5"/>
    <w:rsid w:val="00DC7D49"/>
    <w:rsid w:val="00DC7E0D"/>
    <w:rsid w:val="00DD0245"/>
    <w:rsid w:val="00DD03E2"/>
    <w:rsid w:val="00DD0B06"/>
    <w:rsid w:val="00DD17CB"/>
    <w:rsid w:val="00DD18BB"/>
    <w:rsid w:val="00DD1FB2"/>
    <w:rsid w:val="00DD224E"/>
    <w:rsid w:val="00DD2464"/>
    <w:rsid w:val="00DD26D9"/>
    <w:rsid w:val="00DD286B"/>
    <w:rsid w:val="00DD2939"/>
    <w:rsid w:val="00DD2A83"/>
    <w:rsid w:val="00DD300C"/>
    <w:rsid w:val="00DD30D5"/>
    <w:rsid w:val="00DD3457"/>
    <w:rsid w:val="00DD34A1"/>
    <w:rsid w:val="00DD361B"/>
    <w:rsid w:val="00DD36DC"/>
    <w:rsid w:val="00DD41A3"/>
    <w:rsid w:val="00DD4EA2"/>
    <w:rsid w:val="00DD4F09"/>
    <w:rsid w:val="00DD5158"/>
    <w:rsid w:val="00DD5BEB"/>
    <w:rsid w:val="00DD5C48"/>
    <w:rsid w:val="00DD5FA8"/>
    <w:rsid w:val="00DD61A3"/>
    <w:rsid w:val="00DD61B1"/>
    <w:rsid w:val="00DD65BA"/>
    <w:rsid w:val="00DD65ED"/>
    <w:rsid w:val="00DD6B4C"/>
    <w:rsid w:val="00DD6CC6"/>
    <w:rsid w:val="00DD7073"/>
    <w:rsid w:val="00DD7286"/>
    <w:rsid w:val="00DD7C02"/>
    <w:rsid w:val="00DD7E3E"/>
    <w:rsid w:val="00DE00E9"/>
    <w:rsid w:val="00DE0C0E"/>
    <w:rsid w:val="00DE0FC8"/>
    <w:rsid w:val="00DE22E5"/>
    <w:rsid w:val="00DE2527"/>
    <w:rsid w:val="00DE279F"/>
    <w:rsid w:val="00DE2DFF"/>
    <w:rsid w:val="00DE2E1B"/>
    <w:rsid w:val="00DE2F93"/>
    <w:rsid w:val="00DE3370"/>
    <w:rsid w:val="00DE3B8D"/>
    <w:rsid w:val="00DE3E02"/>
    <w:rsid w:val="00DE430B"/>
    <w:rsid w:val="00DE46CB"/>
    <w:rsid w:val="00DE46E8"/>
    <w:rsid w:val="00DE4783"/>
    <w:rsid w:val="00DE4A37"/>
    <w:rsid w:val="00DE4AEB"/>
    <w:rsid w:val="00DE4B32"/>
    <w:rsid w:val="00DE4E2A"/>
    <w:rsid w:val="00DE4EE2"/>
    <w:rsid w:val="00DE4F09"/>
    <w:rsid w:val="00DE5033"/>
    <w:rsid w:val="00DE589C"/>
    <w:rsid w:val="00DE5B16"/>
    <w:rsid w:val="00DE6B92"/>
    <w:rsid w:val="00DE7321"/>
    <w:rsid w:val="00DE73C0"/>
    <w:rsid w:val="00DE79D2"/>
    <w:rsid w:val="00DF0381"/>
    <w:rsid w:val="00DF04BB"/>
    <w:rsid w:val="00DF0A7E"/>
    <w:rsid w:val="00DF0D53"/>
    <w:rsid w:val="00DF1ACD"/>
    <w:rsid w:val="00DF277A"/>
    <w:rsid w:val="00DF2BF2"/>
    <w:rsid w:val="00DF2DD1"/>
    <w:rsid w:val="00DF3674"/>
    <w:rsid w:val="00DF3A49"/>
    <w:rsid w:val="00DF484C"/>
    <w:rsid w:val="00DF59C4"/>
    <w:rsid w:val="00DF6610"/>
    <w:rsid w:val="00DF690B"/>
    <w:rsid w:val="00DF6949"/>
    <w:rsid w:val="00DF6C54"/>
    <w:rsid w:val="00DF6D24"/>
    <w:rsid w:val="00DF70B5"/>
    <w:rsid w:val="00DF7276"/>
    <w:rsid w:val="00DF7428"/>
    <w:rsid w:val="00DF757B"/>
    <w:rsid w:val="00DF7A05"/>
    <w:rsid w:val="00DF7E7B"/>
    <w:rsid w:val="00DF7F77"/>
    <w:rsid w:val="00E00238"/>
    <w:rsid w:val="00E0052E"/>
    <w:rsid w:val="00E009E7"/>
    <w:rsid w:val="00E00BD0"/>
    <w:rsid w:val="00E014AA"/>
    <w:rsid w:val="00E01EA1"/>
    <w:rsid w:val="00E02201"/>
    <w:rsid w:val="00E02482"/>
    <w:rsid w:val="00E0266C"/>
    <w:rsid w:val="00E02B4D"/>
    <w:rsid w:val="00E02C14"/>
    <w:rsid w:val="00E02D8B"/>
    <w:rsid w:val="00E02EEE"/>
    <w:rsid w:val="00E031AC"/>
    <w:rsid w:val="00E0341D"/>
    <w:rsid w:val="00E034FC"/>
    <w:rsid w:val="00E037C3"/>
    <w:rsid w:val="00E0396B"/>
    <w:rsid w:val="00E03EC4"/>
    <w:rsid w:val="00E0472D"/>
    <w:rsid w:val="00E04916"/>
    <w:rsid w:val="00E04D96"/>
    <w:rsid w:val="00E05034"/>
    <w:rsid w:val="00E0588E"/>
    <w:rsid w:val="00E05F08"/>
    <w:rsid w:val="00E05F4B"/>
    <w:rsid w:val="00E0667C"/>
    <w:rsid w:val="00E06CAF"/>
    <w:rsid w:val="00E07058"/>
    <w:rsid w:val="00E075A0"/>
    <w:rsid w:val="00E1049C"/>
    <w:rsid w:val="00E10896"/>
    <w:rsid w:val="00E109C0"/>
    <w:rsid w:val="00E10A3A"/>
    <w:rsid w:val="00E10F4D"/>
    <w:rsid w:val="00E10F6E"/>
    <w:rsid w:val="00E11860"/>
    <w:rsid w:val="00E11E8A"/>
    <w:rsid w:val="00E12680"/>
    <w:rsid w:val="00E12AF8"/>
    <w:rsid w:val="00E12B4E"/>
    <w:rsid w:val="00E1426E"/>
    <w:rsid w:val="00E14530"/>
    <w:rsid w:val="00E15ACD"/>
    <w:rsid w:val="00E15BA7"/>
    <w:rsid w:val="00E15CCC"/>
    <w:rsid w:val="00E164FC"/>
    <w:rsid w:val="00E16F91"/>
    <w:rsid w:val="00E17127"/>
    <w:rsid w:val="00E172CD"/>
    <w:rsid w:val="00E173D2"/>
    <w:rsid w:val="00E17993"/>
    <w:rsid w:val="00E17BFF"/>
    <w:rsid w:val="00E17DB1"/>
    <w:rsid w:val="00E2053F"/>
    <w:rsid w:val="00E20610"/>
    <w:rsid w:val="00E2094A"/>
    <w:rsid w:val="00E21155"/>
    <w:rsid w:val="00E21612"/>
    <w:rsid w:val="00E22639"/>
    <w:rsid w:val="00E229EB"/>
    <w:rsid w:val="00E22CF5"/>
    <w:rsid w:val="00E22F3C"/>
    <w:rsid w:val="00E230CE"/>
    <w:rsid w:val="00E23312"/>
    <w:rsid w:val="00E23835"/>
    <w:rsid w:val="00E23C91"/>
    <w:rsid w:val="00E23EA6"/>
    <w:rsid w:val="00E245C5"/>
    <w:rsid w:val="00E2494D"/>
    <w:rsid w:val="00E24976"/>
    <w:rsid w:val="00E24C14"/>
    <w:rsid w:val="00E24C57"/>
    <w:rsid w:val="00E24E1C"/>
    <w:rsid w:val="00E252B6"/>
    <w:rsid w:val="00E25854"/>
    <w:rsid w:val="00E25859"/>
    <w:rsid w:val="00E25B76"/>
    <w:rsid w:val="00E25C38"/>
    <w:rsid w:val="00E25EF3"/>
    <w:rsid w:val="00E26EB7"/>
    <w:rsid w:val="00E27493"/>
    <w:rsid w:val="00E274BF"/>
    <w:rsid w:val="00E274F2"/>
    <w:rsid w:val="00E27E02"/>
    <w:rsid w:val="00E3069E"/>
    <w:rsid w:val="00E30836"/>
    <w:rsid w:val="00E30D33"/>
    <w:rsid w:val="00E30FC4"/>
    <w:rsid w:val="00E31435"/>
    <w:rsid w:val="00E32953"/>
    <w:rsid w:val="00E329CC"/>
    <w:rsid w:val="00E32E7E"/>
    <w:rsid w:val="00E32E83"/>
    <w:rsid w:val="00E330EE"/>
    <w:rsid w:val="00E33253"/>
    <w:rsid w:val="00E33319"/>
    <w:rsid w:val="00E33576"/>
    <w:rsid w:val="00E33906"/>
    <w:rsid w:val="00E3398B"/>
    <w:rsid w:val="00E33DB4"/>
    <w:rsid w:val="00E34A90"/>
    <w:rsid w:val="00E34DAD"/>
    <w:rsid w:val="00E35620"/>
    <w:rsid w:val="00E359A9"/>
    <w:rsid w:val="00E35B4A"/>
    <w:rsid w:val="00E35D33"/>
    <w:rsid w:val="00E35E6E"/>
    <w:rsid w:val="00E35F3B"/>
    <w:rsid w:val="00E36284"/>
    <w:rsid w:val="00E36452"/>
    <w:rsid w:val="00E36B3D"/>
    <w:rsid w:val="00E371C6"/>
    <w:rsid w:val="00E371F6"/>
    <w:rsid w:val="00E371FC"/>
    <w:rsid w:val="00E372C1"/>
    <w:rsid w:val="00E3741C"/>
    <w:rsid w:val="00E37B67"/>
    <w:rsid w:val="00E37EDB"/>
    <w:rsid w:val="00E4001E"/>
    <w:rsid w:val="00E4002B"/>
    <w:rsid w:val="00E402E9"/>
    <w:rsid w:val="00E40684"/>
    <w:rsid w:val="00E40834"/>
    <w:rsid w:val="00E408AA"/>
    <w:rsid w:val="00E41152"/>
    <w:rsid w:val="00E4115B"/>
    <w:rsid w:val="00E4192A"/>
    <w:rsid w:val="00E41B51"/>
    <w:rsid w:val="00E4241C"/>
    <w:rsid w:val="00E4242C"/>
    <w:rsid w:val="00E425EA"/>
    <w:rsid w:val="00E42680"/>
    <w:rsid w:val="00E42742"/>
    <w:rsid w:val="00E4285B"/>
    <w:rsid w:val="00E42F9C"/>
    <w:rsid w:val="00E43168"/>
    <w:rsid w:val="00E43467"/>
    <w:rsid w:val="00E436B9"/>
    <w:rsid w:val="00E43DE7"/>
    <w:rsid w:val="00E446B6"/>
    <w:rsid w:val="00E448A9"/>
    <w:rsid w:val="00E44CC1"/>
    <w:rsid w:val="00E45162"/>
    <w:rsid w:val="00E456A7"/>
    <w:rsid w:val="00E45861"/>
    <w:rsid w:val="00E45A6E"/>
    <w:rsid w:val="00E45AB3"/>
    <w:rsid w:val="00E45BBC"/>
    <w:rsid w:val="00E466D7"/>
    <w:rsid w:val="00E46A6F"/>
    <w:rsid w:val="00E46C71"/>
    <w:rsid w:val="00E46CD8"/>
    <w:rsid w:val="00E47041"/>
    <w:rsid w:val="00E472BC"/>
    <w:rsid w:val="00E47497"/>
    <w:rsid w:val="00E47549"/>
    <w:rsid w:val="00E475F9"/>
    <w:rsid w:val="00E4764D"/>
    <w:rsid w:val="00E47DE8"/>
    <w:rsid w:val="00E47F1F"/>
    <w:rsid w:val="00E501F7"/>
    <w:rsid w:val="00E50D32"/>
    <w:rsid w:val="00E50D7B"/>
    <w:rsid w:val="00E51339"/>
    <w:rsid w:val="00E5150A"/>
    <w:rsid w:val="00E5163C"/>
    <w:rsid w:val="00E51A6E"/>
    <w:rsid w:val="00E51BC0"/>
    <w:rsid w:val="00E51BE5"/>
    <w:rsid w:val="00E52216"/>
    <w:rsid w:val="00E52C21"/>
    <w:rsid w:val="00E52D49"/>
    <w:rsid w:val="00E52FF4"/>
    <w:rsid w:val="00E53933"/>
    <w:rsid w:val="00E539BC"/>
    <w:rsid w:val="00E53B69"/>
    <w:rsid w:val="00E53DD1"/>
    <w:rsid w:val="00E53FA8"/>
    <w:rsid w:val="00E5418A"/>
    <w:rsid w:val="00E54298"/>
    <w:rsid w:val="00E54440"/>
    <w:rsid w:val="00E54470"/>
    <w:rsid w:val="00E548D7"/>
    <w:rsid w:val="00E54F12"/>
    <w:rsid w:val="00E5568A"/>
    <w:rsid w:val="00E55794"/>
    <w:rsid w:val="00E55860"/>
    <w:rsid w:val="00E558DB"/>
    <w:rsid w:val="00E55ABD"/>
    <w:rsid w:val="00E55E1C"/>
    <w:rsid w:val="00E55E94"/>
    <w:rsid w:val="00E55F40"/>
    <w:rsid w:val="00E56B1D"/>
    <w:rsid w:val="00E56FB5"/>
    <w:rsid w:val="00E57338"/>
    <w:rsid w:val="00E577F1"/>
    <w:rsid w:val="00E57C38"/>
    <w:rsid w:val="00E57E2F"/>
    <w:rsid w:val="00E60598"/>
    <w:rsid w:val="00E606D9"/>
    <w:rsid w:val="00E60C7C"/>
    <w:rsid w:val="00E60CF3"/>
    <w:rsid w:val="00E60FFE"/>
    <w:rsid w:val="00E610B0"/>
    <w:rsid w:val="00E6129D"/>
    <w:rsid w:val="00E61840"/>
    <w:rsid w:val="00E61862"/>
    <w:rsid w:val="00E61D0A"/>
    <w:rsid w:val="00E62444"/>
    <w:rsid w:val="00E625FF"/>
    <w:rsid w:val="00E629C8"/>
    <w:rsid w:val="00E62CE1"/>
    <w:rsid w:val="00E63245"/>
    <w:rsid w:val="00E63894"/>
    <w:rsid w:val="00E64221"/>
    <w:rsid w:val="00E646DE"/>
    <w:rsid w:val="00E64BC4"/>
    <w:rsid w:val="00E650BC"/>
    <w:rsid w:val="00E6561A"/>
    <w:rsid w:val="00E658F4"/>
    <w:rsid w:val="00E65F2D"/>
    <w:rsid w:val="00E65F8A"/>
    <w:rsid w:val="00E66417"/>
    <w:rsid w:val="00E66834"/>
    <w:rsid w:val="00E6735B"/>
    <w:rsid w:val="00E67F86"/>
    <w:rsid w:val="00E70812"/>
    <w:rsid w:val="00E70E80"/>
    <w:rsid w:val="00E71071"/>
    <w:rsid w:val="00E71179"/>
    <w:rsid w:val="00E71A15"/>
    <w:rsid w:val="00E71B7E"/>
    <w:rsid w:val="00E72FFC"/>
    <w:rsid w:val="00E73422"/>
    <w:rsid w:val="00E738EB"/>
    <w:rsid w:val="00E73AD6"/>
    <w:rsid w:val="00E73B32"/>
    <w:rsid w:val="00E73EFE"/>
    <w:rsid w:val="00E75AEE"/>
    <w:rsid w:val="00E75D9D"/>
    <w:rsid w:val="00E76027"/>
    <w:rsid w:val="00E761B2"/>
    <w:rsid w:val="00E763F4"/>
    <w:rsid w:val="00E76834"/>
    <w:rsid w:val="00E76F02"/>
    <w:rsid w:val="00E77BC3"/>
    <w:rsid w:val="00E80524"/>
    <w:rsid w:val="00E80570"/>
    <w:rsid w:val="00E80B83"/>
    <w:rsid w:val="00E80FB2"/>
    <w:rsid w:val="00E81517"/>
    <w:rsid w:val="00E8188D"/>
    <w:rsid w:val="00E81B90"/>
    <w:rsid w:val="00E824C6"/>
    <w:rsid w:val="00E826BE"/>
    <w:rsid w:val="00E83430"/>
    <w:rsid w:val="00E836FC"/>
    <w:rsid w:val="00E837C7"/>
    <w:rsid w:val="00E83FB1"/>
    <w:rsid w:val="00E84069"/>
    <w:rsid w:val="00E84379"/>
    <w:rsid w:val="00E843A6"/>
    <w:rsid w:val="00E8459F"/>
    <w:rsid w:val="00E8469F"/>
    <w:rsid w:val="00E84924"/>
    <w:rsid w:val="00E85A3E"/>
    <w:rsid w:val="00E85DE3"/>
    <w:rsid w:val="00E86577"/>
    <w:rsid w:val="00E867D6"/>
    <w:rsid w:val="00E86910"/>
    <w:rsid w:val="00E86CCA"/>
    <w:rsid w:val="00E86E23"/>
    <w:rsid w:val="00E8704A"/>
    <w:rsid w:val="00E8711D"/>
    <w:rsid w:val="00E87356"/>
    <w:rsid w:val="00E875BD"/>
    <w:rsid w:val="00E87728"/>
    <w:rsid w:val="00E87998"/>
    <w:rsid w:val="00E87E7B"/>
    <w:rsid w:val="00E87F1B"/>
    <w:rsid w:val="00E905DC"/>
    <w:rsid w:val="00E90645"/>
    <w:rsid w:val="00E90867"/>
    <w:rsid w:val="00E9105C"/>
    <w:rsid w:val="00E91502"/>
    <w:rsid w:val="00E916FD"/>
    <w:rsid w:val="00E91BA5"/>
    <w:rsid w:val="00E92191"/>
    <w:rsid w:val="00E92372"/>
    <w:rsid w:val="00E923AD"/>
    <w:rsid w:val="00E92537"/>
    <w:rsid w:val="00E92C0C"/>
    <w:rsid w:val="00E93380"/>
    <w:rsid w:val="00E933F1"/>
    <w:rsid w:val="00E93BEB"/>
    <w:rsid w:val="00E93E9A"/>
    <w:rsid w:val="00E94423"/>
    <w:rsid w:val="00E946AB"/>
    <w:rsid w:val="00E94772"/>
    <w:rsid w:val="00E9480C"/>
    <w:rsid w:val="00E948EE"/>
    <w:rsid w:val="00E94B30"/>
    <w:rsid w:val="00E954D5"/>
    <w:rsid w:val="00E95A4B"/>
    <w:rsid w:val="00E95F87"/>
    <w:rsid w:val="00E95FCA"/>
    <w:rsid w:val="00E9625A"/>
    <w:rsid w:val="00E96537"/>
    <w:rsid w:val="00E96702"/>
    <w:rsid w:val="00E96EA8"/>
    <w:rsid w:val="00EA0199"/>
    <w:rsid w:val="00EA01EE"/>
    <w:rsid w:val="00EA0CBA"/>
    <w:rsid w:val="00EA1123"/>
    <w:rsid w:val="00EA169E"/>
    <w:rsid w:val="00EA1756"/>
    <w:rsid w:val="00EA21F6"/>
    <w:rsid w:val="00EA2A17"/>
    <w:rsid w:val="00EA3FF1"/>
    <w:rsid w:val="00EA4330"/>
    <w:rsid w:val="00EA455F"/>
    <w:rsid w:val="00EA4954"/>
    <w:rsid w:val="00EA4D30"/>
    <w:rsid w:val="00EA5022"/>
    <w:rsid w:val="00EA57C5"/>
    <w:rsid w:val="00EA5889"/>
    <w:rsid w:val="00EA5B7A"/>
    <w:rsid w:val="00EA6265"/>
    <w:rsid w:val="00EA697A"/>
    <w:rsid w:val="00EA76C0"/>
    <w:rsid w:val="00EA78A2"/>
    <w:rsid w:val="00EA791B"/>
    <w:rsid w:val="00EA7D28"/>
    <w:rsid w:val="00EA7DBF"/>
    <w:rsid w:val="00EB03AD"/>
    <w:rsid w:val="00EB0558"/>
    <w:rsid w:val="00EB0578"/>
    <w:rsid w:val="00EB0DBA"/>
    <w:rsid w:val="00EB0F65"/>
    <w:rsid w:val="00EB13F9"/>
    <w:rsid w:val="00EB196E"/>
    <w:rsid w:val="00EB1982"/>
    <w:rsid w:val="00EB202C"/>
    <w:rsid w:val="00EB266D"/>
    <w:rsid w:val="00EB29A1"/>
    <w:rsid w:val="00EB2AD7"/>
    <w:rsid w:val="00EB2E00"/>
    <w:rsid w:val="00EB2E2F"/>
    <w:rsid w:val="00EB3714"/>
    <w:rsid w:val="00EB3B14"/>
    <w:rsid w:val="00EB3BD8"/>
    <w:rsid w:val="00EB3C28"/>
    <w:rsid w:val="00EB424A"/>
    <w:rsid w:val="00EB48B9"/>
    <w:rsid w:val="00EB4DBF"/>
    <w:rsid w:val="00EB53AE"/>
    <w:rsid w:val="00EB5522"/>
    <w:rsid w:val="00EB6006"/>
    <w:rsid w:val="00EB627D"/>
    <w:rsid w:val="00EB6284"/>
    <w:rsid w:val="00EB6484"/>
    <w:rsid w:val="00EB6F18"/>
    <w:rsid w:val="00EB7569"/>
    <w:rsid w:val="00EB783B"/>
    <w:rsid w:val="00EC0480"/>
    <w:rsid w:val="00EC0AE2"/>
    <w:rsid w:val="00EC0BF7"/>
    <w:rsid w:val="00EC0C85"/>
    <w:rsid w:val="00EC0DBD"/>
    <w:rsid w:val="00EC0E28"/>
    <w:rsid w:val="00EC1BC2"/>
    <w:rsid w:val="00EC1D1C"/>
    <w:rsid w:val="00EC2611"/>
    <w:rsid w:val="00EC2742"/>
    <w:rsid w:val="00EC2A04"/>
    <w:rsid w:val="00EC2A8D"/>
    <w:rsid w:val="00EC2C2E"/>
    <w:rsid w:val="00EC33EA"/>
    <w:rsid w:val="00EC34DB"/>
    <w:rsid w:val="00EC3949"/>
    <w:rsid w:val="00EC3A67"/>
    <w:rsid w:val="00EC3BF7"/>
    <w:rsid w:val="00EC3D65"/>
    <w:rsid w:val="00EC3E6C"/>
    <w:rsid w:val="00EC42F9"/>
    <w:rsid w:val="00EC45B7"/>
    <w:rsid w:val="00EC48B3"/>
    <w:rsid w:val="00EC55AE"/>
    <w:rsid w:val="00EC5768"/>
    <w:rsid w:val="00EC62B5"/>
    <w:rsid w:val="00EC6485"/>
    <w:rsid w:val="00EC7108"/>
    <w:rsid w:val="00EC73B9"/>
    <w:rsid w:val="00EC7666"/>
    <w:rsid w:val="00EC7F45"/>
    <w:rsid w:val="00ED0AFA"/>
    <w:rsid w:val="00ED0BF6"/>
    <w:rsid w:val="00ED0CFE"/>
    <w:rsid w:val="00ED1289"/>
    <w:rsid w:val="00ED13AE"/>
    <w:rsid w:val="00ED186F"/>
    <w:rsid w:val="00ED1A04"/>
    <w:rsid w:val="00ED1A51"/>
    <w:rsid w:val="00ED1D15"/>
    <w:rsid w:val="00ED292E"/>
    <w:rsid w:val="00ED2E4C"/>
    <w:rsid w:val="00ED325D"/>
    <w:rsid w:val="00ED347A"/>
    <w:rsid w:val="00ED3D33"/>
    <w:rsid w:val="00ED3EE8"/>
    <w:rsid w:val="00ED3FB8"/>
    <w:rsid w:val="00ED439F"/>
    <w:rsid w:val="00ED44D7"/>
    <w:rsid w:val="00ED4909"/>
    <w:rsid w:val="00ED5638"/>
    <w:rsid w:val="00ED589B"/>
    <w:rsid w:val="00ED60E4"/>
    <w:rsid w:val="00ED6D69"/>
    <w:rsid w:val="00ED6FD5"/>
    <w:rsid w:val="00ED72F2"/>
    <w:rsid w:val="00ED761F"/>
    <w:rsid w:val="00ED7628"/>
    <w:rsid w:val="00ED77CB"/>
    <w:rsid w:val="00EE00F4"/>
    <w:rsid w:val="00EE0D57"/>
    <w:rsid w:val="00EE1063"/>
    <w:rsid w:val="00EE123C"/>
    <w:rsid w:val="00EE1C7F"/>
    <w:rsid w:val="00EE1D9A"/>
    <w:rsid w:val="00EE1FB6"/>
    <w:rsid w:val="00EE24EA"/>
    <w:rsid w:val="00EE344B"/>
    <w:rsid w:val="00EE34A4"/>
    <w:rsid w:val="00EE36FA"/>
    <w:rsid w:val="00EE398C"/>
    <w:rsid w:val="00EE458F"/>
    <w:rsid w:val="00EE50CD"/>
    <w:rsid w:val="00EE54A7"/>
    <w:rsid w:val="00EE57D0"/>
    <w:rsid w:val="00EE643A"/>
    <w:rsid w:val="00EE64E0"/>
    <w:rsid w:val="00EE66EC"/>
    <w:rsid w:val="00EE6890"/>
    <w:rsid w:val="00EE6C6E"/>
    <w:rsid w:val="00EE6DF3"/>
    <w:rsid w:val="00EE6F83"/>
    <w:rsid w:val="00EE766B"/>
    <w:rsid w:val="00EE7C59"/>
    <w:rsid w:val="00EF0033"/>
    <w:rsid w:val="00EF00B3"/>
    <w:rsid w:val="00EF067E"/>
    <w:rsid w:val="00EF076D"/>
    <w:rsid w:val="00EF0E23"/>
    <w:rsid w:val="00EF14AB"/>
    <w:rsid w:val="00EF1870"/>
    <w:rsid w:val="00EF217C"/>
    <w:rsid w:val="00EF2477"/>
    <w:rsid w:val="00EF25A4"/>
    <w:rsid w:val="00EF2A21"/>
    <w:rsid w:val="00EF2B74"/>
    <w:rsid w:val="00EF3395"/>
    <w:rsid w:val="00EF3590"/>
    <w:rsid w:val="00EF36D5"/>
    <w:rsid w:val="00EF4115"/>
    <w:rsid w:val="00EF48D5"/>
    <w:rsid w:val="00EF6A73"/>
    <w:rsid w:val="00EF6A77"/>
    <w:rsid w:val="00EF7013"/>
    <w:rsid w:val="00EF7287"/>
    <w:rsid w:val="00EF728C"/>
    <w:rsid w:val="00EF7655"/>
    <w:rsid w:val="00EF78E5"/>
    <w:rsid w:val="00F004CA"/>
    <w:rsid w:val="00F005CB"/>
    <w:rsid w:val="00F00AA9"/>
    <w:rsid w:val="00F00AC8"/>
    <w:rsid w:val="00F00B3E"/>
    <w:rsid w:val="00F00B61"/>
    <w:rsid w:val="00F0149A"/>
    <w:rsid w:val="00F01769"/>
    <w:rsid w:val="00F01780"/>
    <w:rsid w:val="00F01B04"/>
    <w:rsid w:val="00F01BB9"/>
    <w:rsid w:val="00F024A8"/>
    <w:rsid w:val="00F02C3C"/>
    <w:rsid w:val="00F0335C"/>
    <w:rsid w:val="00F0388E"/>
    <w:rsid w:val="00F03930"/>
    <w:rsid w:val="00F039D4"/>
    <w:rsid w:val="00F03AF1"/>
    <w:rsid w:val="00F03E37"/>
    <w:rsid w:val="00F040C0"/>
    <w:rsid w:val="00F0433C"/>
    <w:rsid w:val="00F04491"/>
    <w:rsid w:val="00F047D3"/>
    <w:rsid w:val="00F04A66"/>
    <w:rsid w:val="00F04B1C"/>
    <w:rsid w:val="00F04FAF"/>
    <w:rsid w:val="00F053D7"/>
    <w:rsid w:val="00F065E8"/>
    <w:rsid w:val="00F06714"/>
    <w:rsid w:val="00F06BC6"/>
    <w:rsid w:val="00F06D1D"/>
    <w:rsid w:val="00F06DE8"/>
    <w:rsid w:val="00F0768D"/>
    <w:rsid w:val="00F07BB4"/>
    <w:rsid w:val="00F07F66"/>
    <w:rsid w:val="00F10195"/>
    <w:rsid w:val="00F10BF2"/>
    <w:rsid w:val="00F10D5F"/>
    <w:rsid w:val="00F10F6E"/>
    <w:rsid w:val="00F110C5"/>
    <w:rsid w:val="00F113ED"/>
    <w:rsid w:val="00F1141A"/>
    <w:rsid w:val="00F11439"/>
    <w:rsid w:val="00F11D77"/>
    <w:rsid w:val="00F11DA8"/>
    <w:rsid w:val="00F127D1"/>
    <w:rsid w:val="00F12A2C"/>
    <w:rsid w:val="00F12D7B"/>
    <w:rsid w:val="00F12F5E"/>
    <w:rsid w:val="00F12F91"/>
    <w:rsid w:val="00F13F28"/>
    <w:rsid w:val="00F1429C"/>
    <w:rsid w:val="00F14C9E"/>
    <w:rsid w:val="00F14F9F"/>
    <w:rsid w:val="00F155AE"/>
    <w:rsid w:val="00F15655"/>
    <w:rsid w:val="00F15A2F"/>
    <w:rsid w:val="00F15DB3"/>
    <w:rsid w:val="00F17203"/>
    <w:rsid w:val="00F17775"/>
    <w:rsid w:val="00F17957"/>
    <w:rsid w:val="00F20FF0"/>
    <w:rsid w:val="00F21077"/>
    <w:rsid w:val="00F21212"/>
    <w:rsid w:val="00F21432"/>
    <w:rsid w:val="00F21718"/>
    <w:rsid w:val="00F2194D"/>
    <w:rsid w:val="00F21ABC"/>
    <w:rsid w:val="00F21C2E"/>
    <w:rsid w:val="00F21D45"/>
    <w:rsid w:val="00F21F08"/>
    <w:rsid w:val="00F2208C"/>
    <w:rsid w:val="00F2258F"/>
    <w:rsid w:val="00F22593"/>
    <w:rsid w:val="00F23145"/>
    <w:rsid w:val="00F23379"/>
    <w:rsid w:val="00F23474"/>
    <w:rsid w:val="00F2358C"/>
    <w:rsid w:val="00F23682"/>
    <w:rsid w:val="00F23A54"/>
    <w:rsid w:val="00F23ABE"/>
    <w:rsid w:val="00F23ED2"/>
    <w:rsid w:val="00F24090"/>
    <w:rsid w:val="00F2434E"/>
    <w:rsid w:val="00F246AE"/>
    <w:rsid w:val="00F25618"/>
    <w:rsid w:val="00F256C6"/>
    <w:rsid w:val="00F256F8"/>
    <w:rsid w:val="00F25744"/>
    <w:rsid w:val="00F258E6"/>
    <w:rsid w:val="00F25C39"/>
    <w:rsid w:val="00F25EA6"/>
    <w:rsid w:val="00F26502"/>
    <w:rsid w:val="00F26C6F"/>
    <w:rsid w:val="00F27053"/>
    <w:rsid w:val="00F270A0"/>
    <w:rsid w:val="00F271D0"/>
    <w:rsid w:val="00F2725E"/>
    <w:rsid w:val="00F277FC"/>
    <w:rsid w:val="00F27871"/>
    <w:rsid w:val="00F27A8C"/>
    <w:rsid w:val="00F27DFB"/>
    <w:rsid w:val="00F27FBE"/>
    <w:rsid w:val="00F3060B"/>
    <w:rsid w:val="00F308FC"/>
    <w:rsid w:val="00F312CE"/>
    <w:rsid w:val="00F313D1"/>
    <w:rsid w:val="00F31893"/>
    <w:rsid w:val="00F318AA"/>
    <w:rsid w:val="00F32005"/>
    <w:rsid w:val="00F3207C"/>
    <w:rsid w:val="00F322CF"/>
    <w:rsid w:val="00F32A13"/>
    <w:rsid w:val="00F33297"/>
    <w:rsid w:val="00F334D7"/>
    <w:rsid w:val="00F33580"/>
    <w:rsid w:val="00F3390E"/>
    <w:rsid w:val="00F33F16"/>
    <w:rsid w:val="00F33FC2"/>
    <w:rsid w:val="00F34055"/>
    <w:rsid w:val="00F341AB"/>
    <w:rsid w:val="00F342E6"/>
    <w:rsid w:val="00F3433B"/>
    <w:rsid w:val="00F343ED"/>
    <w:rsid w:val="00F34669"/>
    <w:rsid w:val="00F34958"/>
    <w:rsid w:val="00F34DC5"/>
    <w:rsid w:val="00F358C7"/>
    <w:rsid w:val="00F35E22"/>
    <w:rsid w:val="00F36B61"/>
    <w:rsid w:val="00F36C1D"/>
    <w:rsid w:val="00F36D95"/>
    <w:rsid w:val="00F37465"/>
    <w:rsid w:val="00F3764B"/>
    <w:rsid w:val="00F3774C"/>
    <w:rsid w:val="00F3797F"/>
    <w:rsid w:val="00F37BC2"/>
    <w:rsid w:val="00F37BEB"/>
    <w:rsid w:val="00F400C4"/>
    <w:rsid w:val="00F40321"/>
    <w:rsid w:val="00F40329"/>
    <w:rsid w:val="00F405B3"/>
    <w:rsid w:val="00F410E3"/>
    <w:rsid w:val="00F4145A"/>
    <w:rsid w:val="00F422D5"/>
    <w:rsid w:val="00F4234E"/>
    <w:rsid w:val="00F42583"/>
    <w:rsid w:val="00F42B26"/>
    <w:rsid w:val="00F43BF8"/>
    <w:rsid w:val="00F43D5B"/>
    <w:rsid w:val="00F44160"/>
    <w:rsid w:val="00F447D3"/>
    <w:rsid w:val="00F44CBB"/>
    <w:rsid w:val="00F4552C"/>
    <w:rsid w:val="00F45757"/>
    <w:rsid w:val="00F45A5B"/>
    <w:rsid w:val="00F45BA1"/>
    <w:rsid w:val="00F463DB"/>
    <w:rsid w:val="00F46613"/>
    <w:rsid w:val="00F473D6"/>
    <w:rsid w:val="00F474F1"/>
    <w:rsid w:val="00F47C54"/>
    <w:rsid w:val="00F47FE2"/>
    <w:rsid w:val="00F50279"/>
    <w:rsid w:val="00F508B1"/>
    <w:rsid w:val="00F50CB5"/>
    <w:rsid w:val="00F512F5"/>
    <w:rsid w:val="00F51471"/>
    <w:rsid w:val="00F51754"/>
    <w:rsid w:val="00F5176F"/>
    <w:rsid w:val="00F5179C"/>
    <w:rsid w:val="00F51C38"/>
    <w:rsid w:val="00F5218A"/>
    <w:rsid w:val="00F527E1"/>
    <w:rsid w:val="00F53267"/>
    <w:rsid w:val="00F53285"/>
    <w:rsid w:val="00F5340D"/>
    <w:rsid w:val="00F5359F"/>
    <w:rsid w:val="00F53696"/>
    <w:rsid w:val="00F53744"/>
    <w:rsid w:val="00F5387C"/>
    <w:rsid w:val="00F53A03"/>
    <w:rsid w:val="00F53BD9"/>
    <w:rsid w:val="00F53E51"/>
    <w:rsid w:val="00F53F03"/>
    <w:rsid w:val="00F53FD8"/>
    <w:rsid w:val="00F54431"/>
    <w:rsid w:val="00F544ED"/>
    <w:rsid w:val="00F54B75"/>
    <w:rsid w:val="00F54BC1"/>
    <w:rsid w:val="00F54F7E"/>
    <w:rsid w:val="00F55221"/>
    <w:rsid w:val="00F55542"/>
    <w:rsid w:val="00F55A00"/>
    <w:rsid w:val="00F55CC3"/>
    <w:rsid w:val="00F5662F"/>
    <w:rsid w:val="00F56A5F"/>
    <w:rsid w:val="00F56A6D"/>
    <w:rsid w:val="00F56B20"/>
    <w:rsid w:val="00F56F1B"/>
    <w:rsid w:val="00F5746A"/>
    <w:rsid w:val="00F57673"/>
    <w:rsid w:val="00F5792C"/>
    <w:rsid w:val="00F57A59"/>
    <w:rsid w:val="00F603B0"/>
    <w:rsid w:val="00F6043D"/>
    <w:rsid w:val="00F605A1"/>
    <w:rsid w:val="00F60722"/>
    <w:rsid w:val="00F61495"/>
    <w:rsid w:val="00F6174B"/>
    <w:rsid w:val="00F61882"/>
    <w:rsid w:val="00F61EA8"/>
    <w:rsid w:val="00F62AF2"/>
    <w:rsid w:val="00F63453"/>
    <w:rsid w:val="00F63482"/>
    <w:rsid w:val="00F634CC"/>
    <w:rsid w:val="00F63851"/>
    <w:rsid w:val="00F63B09"/>
    <w:rsid w:val="00F641E4"/>
    <w:rsid w:val="00F64781"/>
    <w:rsid w:val="00F647A6"/>
    <w:rsid w:val="00F64C69"/>
    <w:rsid w:val="00F659C4"/>
    <w:rsid w:val="00F65DD4"/>
    <w:rsid w:val="00F66198"/>
    <w:rsid w:val="00F6740F"/>
    <w:rsid w:val="00F702E1"/>
    <w:rsid w:val="00F706B8"/>
    <w:rsid w:val="00F70A42"/>
    <w:rsid w:val="00F70C5F"/>
    <w:rsid w:val="00F70CA6"/>
    <w:rsid w:val="00F70CC9"/>
    <w:rsid w:val="00F70DA1"/>
    <w:rsid w:val="00F71D04"/>
    <w:rsid w:val="00F71D50"/>
    <w:rsid w:val="00F724B3"/>
    <w:rsid w:val="00F724EB"/>
    <w:rsid w:val="00F7268D"/>
    <w:rsid w:val="00F72C55"/>
    <w:rsid w:val="00F731CC"/>
    <w:rsid w:val="00F73A01"/>
    <w:rsid w:val="00F73F5A"/>
    <w:rsid w:val="00F745C3"/>
    <w:rsid w:val="00F747CE"/>
    <w:rsid w:val="00F7560E"/>
    <w:rsid w:val="00F7567D"/>
    <w:rsid w:val="00F75BA8"/>
    <w:rsid w:val="00F7632B"/>
    <w:rsid w:val="00F76358"/>
    <w:rsid w:val="00F766F5"/>
    <w:rsid w:val="00F76862"/>
    <w:rsid w:val="00F77276"/>
    <w:rsid w:val="00F77452"/>
    <w:rsid w:val="00F77AEF"/>
    <w:rsid w:val="00F801AB"/>
    <w:rsid w:val="00F8034B"/>
    <w:rsid w:val="00F80535"/>
    <w:rsid w:val="00F805B5"/>
    <w:rsid w:val="00F805F9"/>
    <w:rsid w:val="00F80717"/>
    <w:rsid w:val="00F816B7"/>
    <w:rsid w:val="00F81773"/>
    <w:rsid w:val="00F81BAA"/>
    <w:rsid w:val="00F82B82"/>
    <w:rsid w:val="00F82DF2"/>
    <w:rsid w:val="00F834EF"/>
    <w:rsid w:val="00F842DA"/>
    <w:rsid w:val="00F843F4"/>
    <w:rsid w:val="00F848BB"/>
    <w:rsid w:val="00F84A5F"/>
    <w:rsid w:val="00F84B96"/>
    <w:rsid w:val="00F84F06"/>
    <w:rsid w:val="00F85483"/>
    <w:rsid w:val="00F8598C"/>
    <w:rsid w:val="00F862C2"/>
    <w:rsid w:val="00F863B8"/>
    <w:rsid w:val="00F86402"/>
    <w:rsid w:val="00F8664F"/>
    <w:rsid w:val="00F866C4"/>
    <w:rsid w:val="00F867AA"/>
    <w:rsid w:val="00F8683B"/>
    <w:rsid w:val="00F86886"/>
    <w:rsid w:val="00F8755B"/>
    <w:rsid w:val="00F875F4"/>
    <w:rsid w:val="00F87625"/>
    <w:rsid w:val="00F876B8"/>
    <w:rsid w:val="00F87806"/>
    <w:rsid w:val="00F87A68"/>
    <w:rsid w:val="00F9036E"/>
    <w:rsid w:val="00F908B1"/>
    <w:rsid w:val="00F91262"/>
    <w:rsid w:val="00F912D4"/>
    <w:rsid w:val="00F915C1"/>
    <w:rsid w:val="00F9163B"/>
    <w:rsid w:val="00F917C6"/>
    <w:rsid w:val="00F919B3"/>
    <w:rsid w:val="00F91C63"/>
    <w:rsid w:val="00F92071"/>
    <w:rsid w:val="00F932F1"/>
    <w:rsid w:val="00F9343F"/>
    <w:rsid w:val="00F93606"/>
    <w:rsid w:val="00F938B2"/>
    <w:rsid w:val="00F939B4"/>
    <w:rsid w:val="00F93AAF"/>
    <w:rsid w:val="00F93C50"/>
    <w:rsid w:val="00F93FC8"/>
    <w:rsid w:val="00F94CD6"/>
    <w:rsid w:val="00F94F6E"/>
    <w:rsid w:val="00F951D4"/>
    <w:rsid w:val="00F9545E"/>
    <w:rsid w:val="00F95480"/>
    <w:rsid w:val="00F95A7C"/>
    <w:rsid w:val="00F95CFE"/>
    <w:rsid w:val="00F964A8"/>
    <w:rsid w:val="00F964C5"/>
    <w:rsid w:val="00F96797"/>
    <w:rsid w:val="00F96974"/>
    <w:rsid w:val="00F96B3F"/>
    <w:rsid w:val="00F96B8E"/>
    <w:rsid w:val="00F96CA8"/>
    <w:rsid w:val="00F96DBF"/>
    <w:rsid w:val="00F96F7E"/>
    <w:rsid w:val="00F97926"/>
    <w:rsid w:val="00F97946"/>
    <w:rsid w:val="00F97964"/>
    <w:rsid w:val="00F97A04"/>
    <w:rsid w:val="00F97C9A"/>
    <w:rsid w:val="00F97D61"/>
    <w:rsid w:val="00FA0112"/>
    <w:rsid w:val="00FA0457"/>
    <w:rsid w:val="00FA04A1"/>
    <w:rsid w:val="00FA0558"/>
    <w:rsid w:val="00FA068A"/>
    <w:rsid w:val="00FA0D04"/>
    <w:rsid w:val="00FA11AC"/>
    <w:rsid w:val="00FA1861"/>
    <w:rsid w:val="00FA272E"/>
    <w:rsid w:val="00FA2E88"/>
    <w:rsid w:val="00FA2F1C"/>
    <w:rsid w:val="00FA35B9"/>
    <w:rsid w:val="00FA3701"/>
    <w:rsid w:val="00FA3A92"/>
    <w:rsid w:val="00FA3B35"/>
    <w:rsid w:val="00FA3BEC"/>
    <w:rsid w:val="00FA3CAC"/>
    <w:rsid w:val="00FA40CA"/>
    <w:rsid w:val="00FA4171"/>
    <w:rsid w:val="00FA4A39"/>
    <w:rsid w:val="00FA5B60"/>
    <w:rsid w:val="00FA65BA"/>
    <w:rsid w:val="00FA6957"/>
    <w:rsid w:val="00FA6AF3"/>
    <w:rsid w:val="00FA6D7D"/>
    <w:rsid w:val="00FA7CFC"/>
    <w:rsid w:val="00FA7E82"/>
    <w:rsid w:val="00FB03B7"/>
    <w:rsid w:val="00FB0704"/>
    <w:rsid w:val="00FB1417"/>
    <w:rsid w:val="00FB15FC"/>
    <w:rsid w:val="00FB1EFB"/>
    <w:rsid w:val="00FB2793"/>
    <w:rsid w:val="00FB2922"/>
    <w:rsid w:val="00FB29AC"/>
    <w:rsid w:val="00FB2F11"/>
    <w:rsid w:val="00FB3732"/>
    <w:rsid w:val="00FB40B0"/>
    <w:rsid w:val="00FB4472"/>
    <w:rsid w:val="00FB45AE"/>
    <w:rsid w:val="00FB4B22"/>
    <w:rsid w:val="00FB4CC5"/>
    <w:rsid w:val="00FB5073"/>
    <w:rsid w:val="00FB5093"/>
    <w:rsid w:val="00FB600C"/>
    <w:rsid w:val="00FB60EC"/>
    <w:rsid w:val="00FB61B4"/>
    <w:rsid w:val="00FB7A6E"/>
    <w:rsid w:val="00FB7B88"/>
    <w:rsid w:val="00FC1BA3"/>
    <w:rsid w:val="00FC1E15"/>
    <w:rsid w:val="00FC1E72"/>
    <w:rsid w:val="00FC2427"/>
    <w:rsid w:val="00FC2C33"/>
    <w:rsid w:val="00FC33AB"/>
    <w:rsid w:val="00FC39C9"/>
    <w:rsid w:val="00FC3B97"/>
    <w:rsid w:val="00FC3D6D"/>
    <w:rsid w:val="00FC4290"/>
    <w:rsid w:val="00FC44C0"/>
    <w:rsid w:val="00FC48CD"/>
    <w:rsid w:val="00FC4B22"/>
    <w:rsid w:val="00FC4BD4"/>
    <w:rsid w:val="00FC5701"/>
    <w:rsid w:val="00FC60D0"/>
    <w:rsid w:val="00FC683F"/>
    <w:rsid w:val="00FC6AC1"/>
    <w:rsid w:val="00FC6DFE"/>
    <w:rsid w:val="00FC7A87"/>
    <w:rsid w:val="00FC7B9B"/>
    <w:rsid w:val="00FC7EAF"/>
    <w:rsid w:val="00FD073D"/>
    <w:rsid w:val="00FD08AF"/>
    <w:rsid w:val="00FD1596"/>
    <w:rsid w:val="00FD23A1"/>
    <w:rsid w:val="00FD2C61"/>
    <w:rsid w:val="00FD2E00"/>
    <w:rsid w:val="00FD3801"/>
    <w:rsid w:val="00FD3A1A"/>
    <w:rsid w:val="00FD42CC"/>
    <w:rsid w:val="00FD4A5A"/>
    <w:rsid w:val="00FD4F21"/>
    <w:rsid w:val="00FD5228"/>
    <w:rsid w:val="00FD55E9"/>
    <w:rsid w:val="00FD5D55"/>
    <w:rsid w:val="00FD5FD4"/>
    <w:rsid w:val="00FD615D"/>
    <w:rsid w:val="00FD6ABC"/>
    <w:rsid w:val="00FD6CCB"/>
    <w:rsid w:val="00FD6D34"/>
    <w:rsid w:val="00FD7832"/>
    <w:rsid w:val="00FD7849"/>
    <w:rsid w:val="00FD7A10"/>
    <w:rsid w:val="00FD7FAA"/>
    <w:rsid w:val="00FE03BE"/>
    <w:rsid w:val="00FE03C5"/>
    <w:rsid w:val="00FE045B"/>
    <w:rsid w:val="00FE06BC"/>
    <w:rsid w:val="00FE0E9C"/>
    <w:rsid w:val="00FE1245"/>
    <w:rsid w:val="00FE1447"/>
    <w:rsid w:val="00FE1714"/>
    <w:rsid w:val="00FE2019"/>
    <w:rsid w:val="00FE22C5"/>
    <w:rsid w:val="00FE252D"/>
    <w:rsid w:val="00FE2F93"/>
    <w:rsid w:val="00FE3781"/>
    <w:rsid w:val="00FE3DD0"/>
    <w:rsid w:val="00FE4011"/>
    <w:rsid w:val="00FE4020"/>
    <w:rsid w:val="00FE40AD"/>
    <w:rsid w:val="00FE4584"/>
    <w:rsid w:val="00FE59B1"/>
    <w:rsid w:val="00FE5DE1"/>
    <w:rsid w:val="00FE6469"/>
    <w:rsid w:val="00FE6A3A"/>
    <w:rsid w:val="00FE6C04"/>
    <w:rsid w:val="00FE6D68"/>
    <w:rsid w:val="00FE7507"/>
    <w:rsid w:val="00FE7859"/>
    <w:rsid w:val="00FE7FDD"/>
    <w:rsid w:val="00FF02D7"/>
    <w:rsid w:val="00FF09DD"/>
    <w:rsid w:val="00FF0AC9"/>
    <w:rsid w:val="00FF0B18"/>
    <w:rsid w:val="00FF1679"/>
    <w:rsid w:val="00FF232A"/>
    <w:rsid w:val="00FF2529"/>
    <w:rsid w:val="00FF38FE"/>
    <w:rsid w:val="00FF3AB1"/>
    <w:rsid w:val="00FF42BF"/>
    <w:rsid w:val="00FF4563"/>
    <w:rsid w:val="00FF4A5E"/>
    <w:rsid w:val="00FF5415"/>
    <w:rsid w:val="00FF5574"/>
    <w:rsid w:val="00FF58A2"/>
    <w:rsid w:val="00FF67EF"/>
    <w:rsid w:val="00FF6F4A"/>
    <w:rsid w:val="00FF767C"/>
    <w:rsid w:val="00FF79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27F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2FE5"/>
    <w:pPr>
      <w:spacing w:after="200" w:line="240" w:lineRule="auto"/>
      <w:jc w:val="both"/>
    </w:pPr>
    <w:rPr>
      <w:rFonts w:ascii="Times" w:eastAsia="Times New Roman" w:hAnsi="Times" w:cs="Times New Roman"/>
      <w:sz w:val="24"/>
      <w:szCs w:val="20"/>
      <w:lang w:val="en-US"/>
    </w:rPr>
  </w:style>
  <w:style w:type="paragraph" w:styleId="Heading1">
    <w:name w:val="heading 1"/>
    <w:basedOn w:val="Normal"/>
    <w:next w:val="Normal"/>
    <w:link w:val="Heading1Char"/>
    <w:uiPriority w:val="9"/>
    <w:qFormat/>
    <w:rsid w:val="00012B4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6815"/>
    <w:pPr>
      <w:tabs>
        <w:tab w:val="center" w:pos="4513"/>
        <w:tab w:val="right" w:pos="9026"/>
      </w:tabs>
      <w:spacing w:after="0"/>
    </w:pPr>
  </w:style>
  <w:style w:type="character" w:customStyle="1" w:styleId="HeaderChar">
    <w:name w:val="Header Char"/>
    <w:basedOn w:val="DefaultParagraphFont"/>
    <w:link w:val="Header"/>
    <w:uiPriority w:val="99"/>
    <w:rsid w:val="00B76815"/>
  </w:style>
  <w:style w:type="paragraph" w:styleId="Footer">
    <w:name w:val="footer"/>
    <w:basedOn w:val="Normal"/>
    <w:link w:val="FooterChar"/>
    <w:rsid w:val="002C2FE5"/>
    <w:pPr>
      <w:tabs>
        <w:tab w:val="center" w:pos="4320"/>
        <w:tab w:val="right" w:pos="8640"/>
      </w:tabs>
    </w:pPr>
  </w:style>
  <w:style w:type="character" w:customStyle="1" w:styleId="FooterChar">
    <w:name w:val="Footer Char"/>
    <w:basedOn w:val="DefaultParagraphFont"/>
    <w:link w:val="Footer"/>
    <w:rsid w:val="00B76815"/>
    <w:rPr>
      <w:rFonts w:ascii="Times" w:eastAsia="Times New Roman" w:hAnsi="Times" w:cs="Times New Roman"/>
      <w:sz w:val="24"/>
      <w:szCs w:val="20"/>
      <w:lang w:val="en-US"/>
    </w:rPr>
  </w:style>
  <w:style w:type="paragraph" w:styleId="ListParagraph">
    <w:name w:val="List Paragraph"/>
    <w:basedOn w:val="Normal"/>
    <w:uiPriority w:val="34"/>
    <w:qFormat/>
    <w:rsid w:val="00287B11"/>
    <w:pPr>
      <w:ind w:left="720"/>
      <w:contextualSpacing/>
    </w:pPr>
  </w:style>
  <w:style w:type="paragraph" w:styleId="NormalWeb">
    <w:name w:val="Normal (Web)"/>
    <w:basedOn w:val="Normal"/>
    <w:uiPriority w:val="99"/>
    <w:unhideWhenUsed/>
    <w:rsid w:val="002021C0"/>
    <w:pPr>
      <w:spacing w:before="100" w:beforeAutospacing="1" w:after="100" w:afterAutospacing="1"/>
    </w:pPr>
    <w:rPr>
      <w:rFonts w:ascii="Times New Roman" w:eastAsiaTheme="minorEastAsia" w:hAnsi="Times New Roman"/>
      <w:szCs w:val="24"/>
      <w:lang w:eastAsia="en-GB"/>
    </w:rPr>
  </w:style>
  <w:style w:type="paragraph" w:styleId="FootnoteText">
    <w:name w:val="footnote text"/>
    <w:basedOn w:val="Normal"/>
    <w:next w:val="TFReferencesSection"/>
    <w:link w:val="FootnoteTextChar"/>
    <w:rsid w:val="002C2FE5"/>
  </w:style>
  <w:style w:type="character" w:customStyle="1" w:styleId="FootnoteTextChar">
    <w:name w:val="Footnote Text Char"/>
    <w:basedOn w:val="DefaultParagraphFont"/>
    <w:link w:val="FootnoteText"/>
    <w:rsid w:val="00215B87"/>
    <w:rPr>
      <w:rFonts w:ascii="Times" w:eastAsia="Times New Roman" w:hAnsi="Times" w:cs="Times New Roman"/>
      <w:sz w:val="24"/>
      <w:szCs w:val="20"/>
      <w:lang w:val="en-US"/>
    </w:rPr>
  </w:style>
  <w:style w:type="character" w:styleId="FootnoteReference">
    <w:name w:val="footnote reference"/>
    <w:basedOn w:val="DefaultParagraphFont"/>
    <w:uiPriority w:val="99"/>
    <w:semiHidden/>
    <w:unhideWhenUsed/>
    <w:rsid w:val="00215B87"/>
    <w:rPr>
      <w:vertAlign w:val="superscript"/>
    </w:rPr>
  </w:style>
  <w:style w:type="paragraph" w:styleId="EndnoteText">
    <w:name w:val="endnote text"/>
    <w:basedOn w:val="Normal"/>
    <w:link w:val="EndnoteTextChar"/>
    <w:uiPriority w:val="99"/>
    <w:semiHidden/>
    <w:unhideWhenUsed/>
    <w:rsid w:val="00215B87"/>
    <w:pPr>
      <w:spacing w:after="0"/>
    </w:pPr>
    <w:rPr>
      <w:sz w:val="20"/>
    </w:rPr>
  </w:style>
  <w:style w:type="character" w:customStyle="1" w:styleId="EndnoteTextChar">
    <w:name w:val="Endnote Text Char"/>
    <w:basedOn w:val="DefaultParagraphFont"/>
    <w:link w:val="EndnoteText"/>
    <w:uiPriority w:val="99"/>
    <w:semiHidden/>
    <w:rsid w:val="00215B87"/>
    <w:rPr>
      <w:sz w:val="20"/>
      <w:szCs w:val="20"/>
    </w:rPr>
  </w:style>
  <w:style w:type="character" w:styleId="EndnoteReference">
    <w:name w:val="endnote reference"/>
    <w:basedOn w:val="DefaultParagraphFont"/>
    <w:uiPriority w:val="99"/>
    <w:semiHidden/>
    <w:unhideWhenUsed/>
    <w:rsid w:val="00215B87"/>
    <w:rPr>
      <w:vertAlign w:val="superscript"/>
    </w:rPr>
  </w:style>
  <w:style w:type="paragraph" w:styleId="BalloonText">
    <w:name w:val="Balloon Text"/>
    <w:basedOn w:val="Normal"/>
    <w:link w:val="BalloonTextChar"/>
    <w:semiHidden/>
    <w:rsid w:val="002C2FE5"/>
    <w:rPr>
      <w:rFonts w:ascii="Tahoma" w:hAnsi="Tahoma" w:cs="Tahoma"/>
      <w:sz w:val="16"/>
      <w:szCs w:val="16"/>
    </w:rPr>
  </w:style>
  <w:style w:type="character" w:customStyle="1" w:styleId="BalloonTextChar">
    <w:name w:val="Balloon Text Char"/>
    <w:basedOn w:val="DefaultParagraphFont"/>
    <w:link w:val="BalloonText"/>
    <w:semiHidden/>
    <w:rsid w:val="00BC449C"/>
    <w:rPr>
      <w:rFonts w:ascii="Tahoma" w:eastAsia="Times New Roman" w:hAnsi="Tahoma" w:cs="Tahoma"/>
      <w:sz w:val="16"/>
      <w:szCs w:val="16"/>
      <w:lang w:val="en-US"/>
    </w:rPr>
  </w:style>
  <w:style w:type="character" w:customStyle="1" w:styleId="Heading1Char">
    <w:name w:val="Heading 1 Char"/>
    <w:basedOn w:val="DefaultParagraphFont"/>
    <w:link w:val="Heading1"/>
    <w:uiPriority w:val="9"/>
    <w:rsid w:val="00012B4C"/>
    <w:rPr>
      <w:rFonts w:asciiTheme="majorHAnsi" w:eastAsiaTheme="majorEastAsia" w:hAnsiTheme="majorHAnsi" w:cstheme="majorBidi"/>
      <w:color w:val="2E74B5" w:themeColor="accent1" w:themeShade="BF"/>
      <w:sz w:val="32"/>
      <w:szCs w:val="32"/>
      <w:lang w:val="en-US"/>
    </w:rPr>
  </w:style>
  <w:style w:type="character" w:styleId="CommentReference">
    <w:name w:val="annotation reference"/>
    <w:basedOn w:val="DefaultParagraphFont"/>
    <w:uiPriority w:val="99"/>
    <w:semiHidden/>
    <w:unhideWhenUsed/>
    <w:rsid w:val="00BF35F2"/>
    <w:rPr>
      <w:sz w:val="16"/>
      <w:szCs w:val="16"/>
    </w:rPr>
  </w:style>
  <w:style w:type="paragraph" w:styleId="CommentText">
    <w:name w:val="annotation text"/>
    <w:basedOn w:val="Normal"/>
    <w:link w:val="CommentTextChar"/>
    <w:uiPriority w:val="99"/>
    <w:unhideWhenUsed/>
    <w:rsid w:val="00BF35F2"/>
    <w:rPr>
      <w:sz w:val="20"/>
    </w:rPr>
  </w:style>
  <w:style w:type="character" w:customStyle="1" w:styleId="CommentTextChar">
    <w:name w:val="Comment Text Char"/>
    <w:basedOn w:val="DefaultParagraphFont"/>
    <w:link w:val="CommentText"/>
    <w:uiPriority w:val="99"/>
    <w:rsid w:val="00BF35F2"/>
    <w:rPr>
      <w:sz w:val="20"/>
      <w:szCs w:val="20"/>
    </w:rPr>
  </w:style>
  <w:style w:type="paragraph" w:styleId="CommentSubject">
    <w:name w:val="annotation subject"/>
    <w:basedOn w:val="CommentText"/>
    <w:next w:val="CommentText"/>
    <w:link w:val="CommentSubjectChar"/>
    <w:uiPriority w:val="99"/>
    <w:semiHidden/>
    <w:unhideWhenUsed/>
    <w:rsid w:val="00BF35F2"/>
    <w:rPr>
      <w:b/>
      <w:bCs/>
    </w:rPr>
  </w:style>
  <w:style w:type="character" w:customStyle="1" w:styleId="CommentSubjectChar">
    <w:name w:val="Comment Subject Char"/>
    <w:basedOn w:val="CommentTextChar"/>
    <w:link w:val="CommentSubject"/>
    <w:uiPriority w:val="99"/>
    <w:semiHidden/>
    <w:rsid w:val="00BF35F2"/>
    <w:rPr>
      <w:b/>
      <w:bCs/>
      <w:sz w:val="20"/>
      <w:szCs w:val="20"/>
    </w:rPr>
  </w:style>
  <w:style w:type="paragraph" w:customStyle="1" w:styleId="TAMainText">
    <w:name w:val="TA_Main_Text"/>
    <w:basedOn w:val="Normal"/>
    <w:rsid w:val="002C2FE5"/>
    <w:pPr>
      <w:spacing w:after="0" w:line="480" w:lineRule="auto"/>
      <w:ind w:firstLine="202"/>
    </w:pPr>
  </w:style>
  <w:style w:type="paragraph" w:customStyle="1" w:styleId="TCTableBody">
    <w:name w:val="TC_Table_Body"/>
    <w:basedOn w:val="Normal"/>
    <w:link w:val="TCTableBodyChar"/>
    <w:rsid w:val="002C2FE5"/>
  </w:style>
  <w:style w:type="character" w:customStyle="1" w:styleId="TCTableBodyChar">
    <w:name w:val="TC_Table_Body Char"/>
    <w:link w:val="TCTableBody"/>
    <w:rsid w:val="00D206C1"/>
    <w:rPr>
      <w:rFonts w:ascii="Times" w:eastAsia="Times New Roman" w:hAnsi="Times" w:cs="Times New Roman"/>
      <w:sz w:val="24"/>
      <w:szCs w:val="20"/>
      <w:lang w:val="en-US"/>
    </w:rPr>
  </w:style>
  <w:style w:type="character" w:styleId="PlaceholderText">
    <w:name w:val="Placeholder Text"/>
    <w:basedOn w:val="DefaultParagraphFont"/>
    <w:uiPriority w:val="99"/>
    <w:semiHidden/>
    <w:rsid w:val="007C1608"/>
    <w:rPr>
      <w:color w:val="808080"/>
    </w:rPr>
  </w:style>
  <w:style w:type="paragraph" w:styleId="Revision">
    <w:name w:val="Revision"/>
    <w:hidden/>
    <w:uiPriority w:val="99"/>
    <w:semiHidden/>
    <w:rsid w:val="00E70E80"/>
    <w:pPr>
      <w:spacing w:after="0" w:line="240" w:lineRule="auto"/>
    </w:pPr>
    <w:rPr>
      <w:lang w:val="en-US"/>
    </w:rPr>
  </w:style>
  <w:style w:type="character" w:styleId="Hyperlink">
    <w:name w:val="Hyperlink"/>
    <w:rsid w:val="002C2FE5"/>
    <w:rPr>
      <w:color w:val="0000FF"/>
      <w:u w:val="single"/>
    </w:rPr>
  </w:style>
  <w:style w:type="paragraph" w:customStyle="1" w:styleId="Default">
    <w:name w:val="Default"/>
    <w:rsid w:val="002C2FE5"/>
    <w:pPr>
      <w:autoSpaceDE w:val="0"/>
      <w:autoSpaceDN w:val="0"/>
      <w:adjustRightInd w:val="0"/>
      <w:spacing w:after="0" w:line="240" w:lineRule="auto"/>
    </w:pPr>
    <w:rPr>
      <w:rFonts w:ascii="Symbol" w:eastAsia="Times New Roman" w:hAnsi="Symbol" w:cs="Symbol"/>
      <w:color w:val="000000"/>
      <w:sz w:val="24"/>
      <w:szCs w:val="24"/>
      <w:lang w:val="en-US"/>
    </w:rPr>
  </w:style>
  <w:style w:type="character" w:customStyle="1" w:styleId="hlfld-contribauthor">
    <w:name w:val="hlfld-contribauthor"/>
    <w:basedOn w:val="DefaultParagraphFont"/>
    <w:rsid w:val="00C77F9F"/>
  </w:style>
  <w:style w:type="character" w:customStyle="1" w:styleId="nlmx">
    <w:name w:val="nlm_x"/>
    <w:basedOn w:val="DefaultParagraphFont"/>
    <w:rsid w:val="00C77F9F"/>
  </w:style>
  <w:style w:type="character" w:customStyle="1" w:styleId="apple-converted-space">
    <w:name w:val="apple-converted-space"/>
    <w:basedOn w:val="DefaultParagraphFont"/>
    <w:rsid w:val="00C77F9F"/>
  </w:style>
  <w:style w:type="character" w:customStyle="1" w:styleId="citationsource-journal">
    <w:name w:val="citation_source-journal"/>
    <w:basedOn w:val="DefaultParagraphFont"/>
    <w:rsid w:val="00C77F9F"/>
  </w:style>
  <w:style w:type="character" w:customStyle="1" w:styleId="nlmyear">
    <w:name w:val="nlm_year"/>
    <w:basedOn w:val="DefaultParagraphFont"/>
    <w:rsid w:val="00C77F9F"/>
  </w:style>
  <w:style w:type="character" w:customStyle="1" w:styleId="nlmvolume">
    <w:name w:val="nlm_volume"/>
    <w:basedOn w:val="DefaultParagraphFont"/>
    <w:rsid w:val="00C77F9F"/>
  </w:style>
  <w:style w:type="character" w:customStyle="1" w:styleId="nlmfpage">
    <w:name w:val="nlm_fpage"/>
    <w:basedOn w:val="DefaultParagraphFont"/>
    <w:rsid w:val="00C77F9F"/>
  </w:style>
  <w:style w:type="character" w:customStyle="1" w:styleId="nlmlpage">
    <w:name w:val="nlm_lpage"/>
    <w:basedOn w:val="DefaultParagraphFont"/>
    <w:rsid w:val="00C77F9F"/>
  </w:style>
  <w:style w:type="character" w:customStyle="1" w:styleId="nlmarticle-title">
    <w:name w:val="nlm_article-title"/>
    <w:basedOn w:val="DefaultParagraphFont"/>
    <w:rsid w:val="005E657C"/>
  </w:style>
  <w:style w:type="character" w:styleId="Strong">
    <w:name w:val="Strong"/>
    <w:basedOn w:val="DefaultParagraphFont"/>
    <w:uiPriority w:val="22"/>
    <w:qFormat/>
    <w:rsid w:val="00990101"/>
    <w:rPr>
      <w:b/>
      <w:bCs/>
    </w:rPr>
  </w:style>
  <w:style w:type="character" w:customStyle="1" w:styleId="nlmissue">
    <w:name w:val="nlm_issue"/>
    <w:basedOn w:val="DefaultParagraphFont"/>
    <w:rsid w:val="00990101"/>
  </w:style>
  <w:style w:type="table" w:styleId="TableGrid">
    <w:name w:val="Table Grid"/>
    <w:basedOn w:val="TableNormal"/>
    <w:uiPriority w:val="39"/>
    <w:rsid w:val="006E26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FReferencesSection">
    <w:name w:val="TF_References_Section"/>
    <w:basedOn w:val="Normal"/>
    <w:rsid w:val="002C2FE5"/>
    <w:pPr>
      <w:spacing w:line="480" w:lineRule="auto"/>
      <w:ind w:firstLine="187"/>
    </w:pPr>
  </w:style>
  <w:style w:type="character" w:styleId="FollowedHyperlink">
    <w:name w:val="FollowedHyperlink"/>
    <w:rsid w:val="002C2FE5"/>
    <w:rPr>
      <w:color w:val="800080"/>
      <w:u w:val="single"/>
    </w:rPr>
  </w:style>
  <w:style w:type="paragraph" w:styleId="BodyText">
    <w:name w:val="Body Text"/>
    <w:basedOn w:val="Normal"/>
    <w:link w:val="BodyTextChar"/>
    <w:rsid w:val="002C2FE5"/>
    <w:pPr>
      <w:jc w:val="center"/>
    </w:pPr>
    <w:rPr>
      <w:b/>
      <w:sz w:val="40"/>
    </w:rPr>
  </w:style>
  <w:style w:type="character" w:customStyle="1" w:styleId="BodyTextChar">
    <w:name w:val="Body Text Char"/>
    <w:basedOn w:val="DefaultParagraphFont"/>
    <w:link w:val="BodyText"/>
    <w:rsid w:val="00196DFD"/>
    <w:rPr>
      <w:rFonts w:ascii="Times" w:eastAsia="Times New Roman" w:hAnsi="Times" w:cs="Times New Roman"/>
      <w:b/>
      <w:sz w:val="40"/>
      <w:szCs w:val="20"/>
      <w:lang w:val="en-US"/>
    </w:rPr>
  </w:style>
  <w:style w:type="paragraph" w:customStyle="1" w:styleId="BATitle">
    <w:name w:val="BA_Title"/>
    <w:basedOn w:val="Normal"/>
    <w:next w:val="BBAuthorName"/>
    <w:rsid w:val="002C2FE5"/>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2C2FE5"/>
    <w:pPr>
      <w:spacing w:after="240" w:line="480" w:lineRule="auto"/>
      <w:jc w:val="center"/>
    </w:pPr>
    <w:rPr>
      <w:i/>
    </w:rPr>
  </w:style>
  <w:style w:type="paragraph" w:customStyle="1" w:styleId="BCAuthorAddress">
    <w:name w:val="BC_Author_Address"/>
    <w:basedOn w:val="Normal"/>
    <w:next w:val="BIEmailAddress"/>
    <w:rsid w:val="002C2FE5"/>
    <w:pPr>
      <w:spacing w:after="240" w:line="480" w:lineRule="auto"/>
      <w:jc w:val="center"/>
    </w:pPr>
  </w:style>
  <w:style w:type="paragraph" w:customStyle="1" w:styleId="BIEmailAddress">
    <w:name w:val="BI_Email_Address"/>
    <w:basedOn w:val="Normal"/>
    <w:next w:val="AIReceivedDate"/>
    <w:rsid w:val="002C2FE5"/>
    <w:pPr>
      <w:spacing w:line="480" w:lineRule="auto"/>
    </w:pPr>
  </w:style>
  <w:style w:type="paragraph" w:customStyle="1" w:styleId="AIReceivedDate">
    <w:name w:val="AI_Received_Date"/>
    <w:basedOn w:val="Normal"/>
    <w:next w:val="BDAbstract"/>
    <w:rsid w:val="002C2FE5"/>
    <w:pPr>
      <w:spacing w:after="240" w:line="480" w:lineRule="auto"/>
    </w:pPr>
    <w:rPr>
      <w:b/>
    </w:rPr>
  </w:style>
  <w:style w:type="paragraph" w:customStyle="1" w:styleId="BDAbstract">
    <w:name w:val="BD_Abstract"/>
    <w:basedOn w:val="Normal"/>
    <w:next w:val="TAMainText"/>
    <w:rsid w:val="002C2FE5"/>
    <w:pPr>
      <w:spacing w:before="360" w:after="360" w:line="480" w:lineRule="auto"/>
    </w:pPr>
  </w:style>
  <w:style w:type="paragraph" w:customStyle="1" w:styleId="TDAcknowledgments">
    <w:name w:val="TD_Acknowledgments"/>
    <w:basedOn w:val="Normal"/>
    <w:next w:val="Normal"/>
    <w:rsid w:val="002C2FE5"/>
    <w:pPr>
      <w:spacing w:before="200" w:line="480" w:lineRule="auto"/>
      <w:ind w:firstLine="202"/>
    </w:pPr>
  </w:style>
  <w:style w:type="paragraph" w:customStyle="1" w:styleId="TESupportingInformation">
    <w:name w:val="TE_Supporting_Information"/>
    <w:basedOn w:val="Normal"/>
    <w:next w:val="Normal"/>
    <w:rsid w:val="002C2FE5"/>
    <w:pPr>
      <w:spacing w:line="480" w:lineRule="auto"/>
      <w:ind w:firstLine="187"/>
    </w:pPr>
  </w:style>
  <w:style w:type="paragraph" w:customStyle="1" w:styleId="VCSchemeTitle">
    <w:name w:val="VC_Scheme_Title"/>
    <w:basedOn w:val="Normal"/>
    <w:next w:val="Normal"/>
    <w:rsid w:val="002C2FE5"/>
    <w:pPr>
      <w:spacing w:line="480" w:lineRule="auto"/>
    </w:pPr>
  </w:style>
  <w:style w:type="paragraph" w:customStyle="1" w:styleId="VDTableTitle">
    <w:name w:val="VD_Table_Title"/>
    <w:basedOn w:val="Normal"/>
    <w:next w:val="Normal"/>
    <w:rsid w:val="002C2FE5"/>
    <w:pPr>
      <w:spacing w:line="480" w:lineRule="auto"/>
    </w:pPr>
  </w:style>
  <w:style w:type="paragraph" w:customStyle="1" w:styleId="VAFigureCaption">
    <w:name w:val="VA_Figure_Caption"/>
    <w:basedOn w:val="Normal"/>
    <w:next w:val="Normal"/>
    <w:rsid w:val="002C2FE5"/>
    <w:pPr>
      <w:spacing w:line="480" w:lineRule="auto"/>
    </w:pPr>
  </w:style>
  <w:style w:type="paragraph" w:customStyle="1" w:styleId="VBChartTitle">
    <w:name w:val="VB_Chart_Title"/>
    <w:basedOn w:val="Normal"/>
    <w:next w:val="Normal"/>
    <w:rsid w:val="002C2FE5"/>
    <w:pPr>
      <w:spacing w:line="480" w:lineRule="auto"/>
    </w:pPr>
  </w:style>
  <w:style w:type="paragraph" w:customStyle="1" w:styleId="FETableFootnote">
    <w:name w:val="FE_Table_Footnote"/>
    <w:basedOn w:val="Normal"/>
    <w:next w:val="Normal"/>
    <w:rsid w:val="002C2FE5"/>
    <w:pPr>
      <w:ind w:firstLine="187"/>
    </w:pPr>
  </w:style>
  <w:style w:type="paragraph" w:customStyle="1" w:styleId="FCChartFootnote">
    <w:name w:val="FC_Chart_Footnote"/>
    <w:basedOn w:val="Normal"/>
    <w:next w:val="Normal"/>
    <w:rsid w:val="002C2FE5"/>
    <w:pPr>
      <w:ind w:firstLine="187"/>
    </w:pPr>
  </w:style>
  <w:style w:type="paragraph" w:customStyle="1" w:styleId="FDSchemeFootnote">
    <w:name w:val="FD_Scheme_Footnote"/>
    <w:basedOn w:val="Normal"/>
    <w:next w:val="Normal"/>
    <w:rsid w:val="002C2FE5"/>
    <w:pPr>
      <w:ind w:firstLine="187"/>
    </w:pPr>
  </w:style>
  <w:style w:type="paragraph" w:customStyle="1" w:styleId="AFTitleRunningHead">
    <w:name w:val="AF_Title_Running_Head"/>
    <w:basedOn w:val="Normal"/>
    <w:next w:val="TAMainText"/>
    <w:rsid w:val="002C2FE5"/>
    <w:pPr>
      <w:spacing w:line="480" w:lineRule="auto"/>
    </w:pPr>
  </w:style>
  <w:style w:type="paragraph" w:customStyle="1" w:styleId="BEAuthorBiography">
    <w:name w:val="BE_Author_Biography"/>
    <w:basedOn w:val="Normal"/>
    <w:rsid w:val="002C2FE5"/>
    <w:pPr>
      <w:spacing w:line="480" w:lineRule="auto"/>
    </w:pPr>
  </w:style>
  <w:style w:type="paragraph" w:customStyle="1" w:styleId="FACorrespondingAuthorFootnote">
    <w:name w:val="FA_Corresponding_Author_Footnote"/>
    <w:basedOn w:val="Normal"/>
    <w:next w:val="TAMainText"/>
    <w:rsid w:val="002C2FE5"/>
    <w:pPr>
      <w:spacing w:line="480" w:lineRule="auto"/>
    </w:pPr>
  </w:style>
  <w:style w:type="paragraph" w:customStyle="1" w:styleId="SNSynopsisTOC">
    <w:name w:val="SN_Synopsis_TOC"/>
    <w:basedOn w:val="Normal"/>
    <w:rsid w:val="002C2FE5"/>
    <w:pPr>
      <w:spacing w:line="480" w:lineRule="auto"/>
    </w:pPr>
  </w:style>
  <w:style w:type="paragraph" w:customStyle="1" w:styleId="BGKeywords">
    <w:name w:val="BG_Keywords"/>
    <w:basedOn w:val="Normal"/>
    <w:rsid w:val="002C2FE5"/>
    <w:pPr>
      <w:spacing w:line="480" w:lineRule="auto"/>
    </w:pPr>
  </w:style>
  <w:style w:type="paragraph" w:customStyle="1" w:styleId="BHBriefs">
    <w:name w:val="BH_Briefs"/>
    <w:basedOn w:val="Normal"/>
    <w:rsid w:val="002C2FE5"/>
    <w:pPr>
      <w:spacing w:line="480" w:lineRule="auto"/>
    </w:pPr>
  </w:style>
  <w:style w:type="character" w:styleId="PageNumber">
    <w:name w:val="page number"/>
    <w:basedOn w:val="DefaultParagraphFont"/>
    <w:rsid w:val="002C2FE5"/>
  </w:style>
  <w:style w:type="paragraph" w:customStyle="1" w:styleId="StyleFACorrespondingAuthorFootnote7pt">
    <w:name w:val="Style FA_Corresponding_Author_Footnote + 7 pt"/>
    <w:basedOn w:val="Normal"/>
    <w:next w:val="BGKeywords"/>
    <w:link w:val="StyleFACorrespondingAuthorFootnote7ptChar"/>
    <w:autoRedefine/>
    <w:rsid w:val="002C2FE5"/>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2C2FE5"/>
    <w:rPr>
      <w:rFonts w:ascii="Arno Pro" w:eastAsia="Times New Roman" w:hAnsi="Arno Pro" w:cs="Times New Roman"/>
      <w:kern w:val="20"/>
      <w:sz w:val="18"/>
      <w:szCs w:val="20"/>
      <w:lang w:val="en-US"/>
    </w:rPr>
  </w:style>
  <w:style w:type="paragraph" w:customStyle="1" w:styleId="FAAuthorInfoSubtitle">
    <w:name w:val="FA_Author_Info_Subtitle"/>
    <w:basedOn w:val="Normal"/>
    <w:link w:val="FAAuthorInfoSubtitleChar"/>
    <w:autoRedefine/>
    <w:rsid w:val="002C2FE5"/>
    <w:pPr>
      <w:spacing w:before="120" w:after="60" w:line="480" w:lineRule="auto"/>
      <w:jc w:val="left"/>
    </w:pPr>
    <w:rPr>
      <w:b/>
    </w:rPr>
  </w:style>
  <w:style w:type="character" w:customStyle="1" w:styleId="FAAuthorInfoSubtitleChar">
    <w:name w:val="FA_Author_Info_Subtitle Char"/>
    <w:link w:val="FAAuthorInfoSubtitle"/>
    <w:rsid w:val="002C2FE5"/>
    <w:rPr>
      <w:rFonts w:ascii="Times" w:eastAsia="Times New Roman" w:hAnsi="Times" w:cs="Times New Roman"/>
      <w:b/>
      <w:sz w:val="24"/>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2FE5"/>
    <w:pPr>
      <w:spacing w:after="200" w:line="240" w:lineRule="auto"/>
      <w:jc w:val="both"/>
    </w:pPr>
    <w:rPr>
      <w:rFonts w:ascii="Times" w:eastAsia="Times New Roman" w:hAnsi="Times" w:cs="Times New Roman"/>
      <w:sz w:val="24"/>
      <w:szCs w:val="20"/>
      <w:lang w:val="en-US"/>
    </w:rPr>
  </w:style>
  <w:style w:type="paragraph" w:styleId="Heading1">
    <w:name w:val="heading 1"/>
    <w:basedOn w:val="Normal"/>
    <w:next w:val="Normal"/>
    <w:link w:val="Heading1Char"/>
    <w:uiPriority w:val="9"/>
    <w:qFormat/>
    <w:rsid w:val="00012B4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6815"/>
    <w:pPr>
      <w:tabs>
        <w:tab w:val="center" w:pos="4513"/>
        <w:tab w:val="right" w:pos="9026"/>
      </w:tabs>
      <w:spacing w:after="0"/>
    </w:pPr>
  </w:style>
  <w:style w:type="character" w:customStyle="1" w:styleId="HeaderChar">
    <w:name w:val="Header Char"/>
    <w:basedOn w:val="DefaultParagraphFont"/>
    <w:link w:val="Header"/>
    <w:uiPriority w:val="99"/>
    <w:rsid w:val="00B76815"/>
  </w:style>
  <w:style w:type="paragraph" w:styleId="Footer">
    <w:name w:val="footer"/>
    <w:basedOn w:val="Normal"/>
    <w:link w:val="FooterChar"/>
    <w:rsid w:val="002C2FE5"/>
    <w:pPr>
      <w:tabs>
        <w:tab w:val="center" w:pos="4320"/>
        <w:tab w:val="right" w:pos="8640"/>
      </w:tabs>
    </w:pPr>
  </w:style>
  <w:style w:type="character" w:customStyle="1" w:styleId="FooterChar">
    <w:name w:val="Footer Char"/>
    <w:basedOn w:val="DefaultParagraphFont"/>
    <w:link w:val="Footer"/>
    <w:rsid w:val="00B76815"/>
    <w:rPr>
      <w:rFonts w:ascii="Times" w:eastAsia="Times New Roman" w:hAnsi="Times" w:cs="Times New Roman"/>
      <w:sz w:val="24"/>
      <w:szCs w:val="20"/>
      <w:lang w:val="en-US"/>
    </w:rPr>
  </w:style>
  <w:style w:type="paragraph" w:styleId="ListParagraph">
    <w:name w:val="List Paragraph"/>
    <w:basedOn w:val="Normal"/>
    <w:uiPriority w:val="34"/>
    <w:qFormat/>
    <w:rsid w:val="00287B11"/>
    <w:pPr>
      <w:ind w:left="720"/>
      <w:contextualSpacing/>
    </w:pPr>
  </w:style>
  <w:style w:type="paragraph" w:styleId="NormalWeb">
    <w:name w:val="Normal (Web)"/>
    <w:basedOn w:val="Normal"/>
    <w:uiPriority w:val="99"/>
    <w:unhideWhenUsed/>
    <w:rsid w:val="002021C0"/>
    <w:pPr>
      <w:spacing w:before="100" w:beforeAutospacing="1" w:after="100" w:afterAutospacing="1"/>
    </w:pPr>
    <w:rPr>
      <w:rFonts w:ascii="Times New Roman" w:eastAsiaTheme="minorEastAsia" w:hAnsi="Times New Roman"/>
      <w:szCs w:val="24"/>
      <w:lang w:eastAsia="en-GB"/>
    </w:rPr>
  </w:style>
  <w:style w:type="paragraph" w:styleId="FootnoteText">
    <w:name w:val="footnote text"/>
    <w:basedOn w:val="Normal"/>
    <w:next w:val="TFReferencesSection"/>
    <w:link w:val="FootnoteTextChar"/>
    <w:rsid w:val="002C2FE5"/>
  </w:style>
  <w:style w:type="character" w:customStyle="1" w:styleId="FootnoteTextChar">
    <w:name w:val="Footnote Text Char"/>
    <w:basedOn w:val="DefaultParagraphFont"/>
    <w:link w:val="FootnoteText"/>
    <w:rsid w:val="00215B87"/>
    <w:rPr>
      <w:rFonts w:ascii="Times" w:eastAsia="Times New Roman" w:hAnsi="Times" w:cs="Times New Roman"/>
      <w:sz w:val="24"/>
      <w:szCs w:val="20"/>
      <w:lang w:val="en-US"/>
    </w:rPr>
  </w:style>
  <w:style w:type="character" w:styleId="FootnoteReference">
    <w:name w:val="footnote reference"/>
    <w:basedOn w:val="DefaultParagraphFont"/>
    <w:uiPriority w:val="99"/>
    <w:semiHidden/>
    <w:unhideWhenUsed/>
    <w:rsid w:val="00215B87"/>
    <w:rPr>
      <w:vertAlign w:val="superscript"/>
    </w:rPr>
  </w:style>
  <w:style w:type="paragraph" w:styleId="EndnoteText">
    <w:name w:val="endnote text"/>
    <w:basedOn w:val="Normal"/>
    <w:link w:val="EndnoteTextChar"/>
    <w:uiPriority w:val="99"/>
    <w:semiHidden/>
    <w:unhideWhenUsed/>
    <w:rsid w:val="00215B87"/>
    <w:pPr>
      <w:spacing w:after="0"/>
    </w:pPr>
    <w:rPr>
      <w:sz w:val="20"/>
    </w:rPr>
  </w:style>
  <w:style w:type="character" w:customStyle="1" w:styleId="EndnoteTextChar">
    <w:name w:val="Endnote Text Char"/>
    <w:basedOn w:val="DefaultParagraphFont"/>
    <w:link w:val="EndnoteText"/>
    <w:uiPriority w:val="99"/>
    <w:semiHidden/>
    <w:rsid w:val="00215B87"/>
    <w:rPr>
      <w:sz w:val="20"/>
      <w:szCs w:val="20"/>
    </w:rPr>
  </w:style>
  <w:style w:type="character" w:styleId="EndnoteReference">
    <w:name w:val="endnote reference"/>
    <w:basedOn w:val="DefaultParagraphFont"/>
    <w:uiPriority w:val="99"/>
    <w:semiHidden/>
    <w:unhideWhenUsed/>
    <w:rsid w:val="00215B87"/>
    <w:rPr>
      <w:vertAlign w:val="superscript"/>
    </w:rPr>
  </w:style>
  <w:style w:type="paragraph" w:styleId="BalloonText">
    <w:name w:val="Balloon Text"/>
    <w:basedOn w:val="Normal"/>
    <w:link w:val="BalloonTextChar"/>
    <w:semiHidden/>
    <w:rsid w:val="002C2FE5"/>
    <w:rPr>
      <w:rFonts w:ascii="Tahoma" w:hAnsi="Tahoma" w:cs="Tahoma"/>
      <w:sz w:val="16"/>
      <w:szCs w:val="16"/>
    </w:rPr>
  </w:style>
  <w:style w:type="character" w:customStyle="1" w:styleId="BalloonTextChar">
    <w:name w:val="Balloon Text Char"/>
    <w:basedOn w:val="DefaultParagraphFont"/>
    <w:link w:val="BalloonText"/>
    <w:semiHidden/>
    <w:rsid w:val="00BC449C"/>
    <w:rPr>
      <w:rFonts w:ascii="Tahoma" w:eastAsia="Times New Roman" w:hAnsi="Tahoma" w:cs="Tahoma"/>
      <w:sz w:val="16"/>
      <w:szCs w:val="16"/>
      <w:lang w:val="en-US"/>
    </w:rPr>
  </w:style>
  <w:style w:type="character" w:customStyle="1" w:styleId="Heading1Char">
    <w:name w:val="Heading 1 Char"/>
    <w:basedOn w:val="DefaultParagraphFont"/>
    <w:link w:val="Heading1"/>
    <w:uiPriority w:val="9"/>
    <w:rsid w:val="00012B4C"/>
    <w:rPr>
      <w:rFonts w:asciiTheme="majorHAnsi" w:eastAsiaTheme="majorEastAsia" w:hAnsiTheme="majorHAnsi" w:cstheme="majorBidi"/>
      <w:color w:val="2E74B5" w:themeColor="accent1" w:themeShade="BF"/>
      <w:sz w:val="32"/>
      <w:szCs w:val="32"/>
      <w:lang w:val="en-US"/>
    </w:rPr>
  </w:style>
  <w:style w:type="character" w:styleId="CommentReference">
    <w:name w:val="annotation reference"/>
    <w:basedOn w:val="DefaultParagraphFont"/>
    <w:uiPriority w:val="99"/>
    <w:semiHidden/>
    <w:unhideWhenUsed/>
    <w:rsid w:val="00BF35F2"/>
    <w:rPr>
      <w:sz w:val="16"/>
      <w:szCs w:val="16"/>
    </w:rPr>
  </w:style>
  <w:style w:type="paragraph" w:styleId="CommentText">
    <w:name w:val="annotation text"/>
    <w:basedOn w:val="Normal"/>
    <w:link w:val="CommentTextChar"/>
    <w:uiPriority w:val="99"/>
    <w:unhideWhenUsed/>
    <w:rsid w:val="00BF35F2"/>
    <w:rPr>
      <w:sz w:val="20"/>
    </w:rPr>
  </w:style>
  <w:style w:type="character" w:customStyle="1" w:styleId="CommentTextChar">
    <w:name w:val="Comment Text Char"/>
    <w:basedOn w:val="DefaultParagraphFont"/>
    <w:link w:val="CommentText"/>
    <w:uiPriority w:val="99"/>
    <w:rsid w:val="00BF35F2"/>
    <w:rPr>
      <w:sz w:val="20"/>
      <w:szCs w:val="20"/>
    </w:rPr>
  </w:style>
  <w:style w:type="paragraph" w:styleId="CommentSubject">
    <w:name w:val="annotation subject"/>
    <w:basedOn w:val="CommentText"/>
    <w:next w:val="CommentText"/>
    <w:link w:val="CommentSubjectChar"/>
    <w:uiPriority w:val="99"/>
    <w:semiHidden/>
    <w:unhideWhenUsed/>
    <w:rsid w:val="00BF35F2"/>
    <w:rPr>
      <w:b/>
      <w:bCs/>
    </w:rPr>
  </w:style>
  <w:style w:type="character" w:customStyle="1" w:styleId="CommentSubjectChar">
    <w:name w:val="Comment Subject Char"/>
    <w:basedOn w:val="CommentTextChar"/>
    <w:link w:val="CommentSubject"/>
    <w:uiPriority w:val="99"/>
    <w:semiHidden/>
    <w:rsid w:val="00BF35F2"/>
    <w:rPr>
      <w:b/>
      <w:bCs/>
      <w:sz w:val="20"/>
      <w:szCs w:val="20"/>
    </w:rPr>
  </w:style>
  <w:style w:type="paragraph" w:customStyle="1" w:styleId="TAMainText">
    <w:name w:val="TA_Main_Text"/>
    <w:basedOn w:val="Normal"/>
    <w:rsid w:val="002C2FE5"/>
    <w:pPr>
      <w:spacing w:after="0" w:line="480" w:lineRule="auto"/>
      <w:ind w:firstLine="202"/>
    </w:pPr>
  </w:style>
  <w:style w:type="paragraph" w:customStyle="1" w:styleId="TCTableBody">
    <w:name w:val="TC_Table_Body"/>
    <w:basedOn w:val="Normal"/>
    <w:link w:val="TCTableBodyChar"/>
    <w:rsid w:val="002C2FE5"/>
  </w:style>
  <w:style w:type="character" w:customStyle="1" w:styleId="TCTableBodyChar">
    <w:name w:val="TC_Table_Body Char"/>
    <w:link w:val="TCTableBody"/>
    <w:rsid w:val="00D206C1"/>
    <w:rPr>
      <w:rFonts w:ascii="Times" w:eastAsia="Times New Roman" w:hAnsi="Times" w:cs="Times New Roman"/>
      <w:sz w:val="24"/>
      <w:szCs w:val="20"/>
      <w:lang w:val="en-US"/>
    </w:rPr>
  </w:style>
  <w:style w:type="character" w:styleId="PlaceholderText">
    <w:name w:val="Placeholder Text"/>
    <w:basedOn w:val="DefaultParagraphFont"/>
    <w:uiPriority w:val="99"/>
    <w:semiHidden/>
    <w:rsid w:val="007C1608"/>
    <w:rPr>
      <w:color w:val="808080"/>
    </w:rPr>
  </w:style>
  <w:style w:type="paragraph" w:styleId="Revision">
    <w:name w:val="Revision"/>
    <w:hidden/>
    <w:uiPriority w:val="99"/>
    <w:semiHidden/>
    <w:rsid w:val="00E70E80"/>
    <w:pPr>
      <w:spacing w:after="0" w:line="240" w:lineRule="auto"/>
    </w:pPr>
    <w:rPr>
      <w:lang w:val="en-US"/>
    </w:rPr>
  </w:style>
  <w:style w:type="character" w:styleId="Hyperlink">
    <w:name w:val="Hyperlink"/>
    <w:rsid w:val="002C2FE5"/>
    <w:rPr>
      <w:color w:val="0000FF"/>
      <w:u w:val="single"/>
    </w:rPr>
  </w:style>
  <w:style w:type="paragraph" w:customStyle="1" w:styleId="Default">
    <w:name w:val="Default"/>
    <w:rsid w:val="002C2FE5"/>
    <w:pPr>
      <w:autoSpaceDE w:val="0"/>
      <w:autoSpaceDN w:val="0"/>
      <w:adjustRightInd w:val="0"/>
      <w:spacing w:after="0" w:line="240" w:lineRule="auto"/>
    </w:pPr>
    <w:rPr>
      <w:rFonts w:ascii="Symbol" w:eastAsia="Times New Roman" w:hAnsi="Symbol" w:cs="Symbol"/>
      <w:color w:val="000000"/>
      <w:sz w:val="24"/>
      <w:szCs w:val="24"/>
      <w:lang w:val="en-US"/>
    </w:rPr>
  </w:style>
  <w:style w:type="character" w:customStyle="1" w:styleId="hlfld-contribauthor">
    <w:name w:val="hlfld-contribauthor"/>
    <w:basedOn w:val="DefaultParagraphFont"/>
    <w:rsid w:val="00C77F9F"/>
  </w:style>
  <w:style w:type="character" w:customStyle="1" w:styleId="nlmx">
    <w:name w:val="nlm_x"/>
    <w:basedOn w:val="DefaultParagraphFont"/>
    <w:rsid w:val="00C77F9F"/>
  </w:style>
  <w:style w:type="character" w:customStyle="1" w:styleId="apple-converted-space">
    <w:name w:val="apple-converted-space"/>
    <w:basedOn w:val="DefaultParagraphFont"/>
    <w:rsid w:val="00C77F9F"/>
  </w:style>
  <w:style w:type="character" w:customStyle="1" w:styleId="citationsource-journal">
    <w:name w:val="citation_source-journal"/>
    <w:basedOn w:val="DefaultParagraphFont"/>
    <w:rsid w:val="00C77F9F"/>
  </w:style>
  <w:style w:type="character" w:customStyle="1" w:styleId="nlmyear">
    <w:name w:val="nlm_year"/>
    <w:basedOn w:val="DefaultParagraphFont"/>
    <w:rsid w:val="00C77F9F"/>
  </w:style>
  <w:style w:type="character" w:customStyle="1" w:styleId="nlmvolume">
    <w:name w:val="nlm_volume"/>
    <w:basedOn w:val="DefaultParagraphFont"/>
    <w:rsid w:val="00C77F9F"/>
  </w:style>
  <w:style w:type="character" w:customStyle="1" w:styleId="nlmfpage">
    <w:name w:val="nlm_fpage"/>
    <w:basedOn w:val="DefaultParagraphFont"/>
    <w:rsid w:val="00C77F9F"/>
  </w:style>
  <w:style w:type="character" w:customStyle="1" w:styleId="nlmlpage">
    <w:name w:val="nlm_lpage"/>
    <w:basedOn w:val="DefaultParagraphFont"/>
    <w:rsid w:val="00C77F9F"/>
  </w:style>
  <w:style w:type="character" w:customStyle="1" w:styleId="nlmarticle-title">
    <w:name w:val="nlm_article-title"/>
    <w:basedOn w:val="DefaultParagraphFont"/>
    <w:rsid w:val="005E657C"/>
  </w:style>
  <w:style w:type="character" w:styleId="Strong">
    <w:name w:val="Strong"/>
    <w:basedOn w:val="DefaultParagraphFont"/>
    <w:uiPriority w:val="22"/>
    <w:qFormat/>
    <w:rsid w:val="00990101"/>
    <w:rPr>
      <w:b/>
      <w:bCs/>
    </w:rPr>
  </w:style>
  <w:style w:type="character" w:customStyle="1" w:styleId="nlmissue">
    <w:name w:val="nlm_issue"/>
    <w:basedOn w:val="DefaultParagraphFont"/>
    <w:rsid w:val="00990101"/>
  </w:style>
  <w:style w:type="table" w:styleId="TableGrid">
    <w:name w:val="Table Grid"/>
    <w:basedOn w:val="TableNormal"/>
    <w:uiPriority w:val="39"/>
    <w:rsid w:val="006E26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FReferencesSection">
    <w:name w:val="TF_References_Section"/>
    <w:basedOn w:val="Normal"/>
    <w:rsid w:val="002C2FE5"/>
    <w:pPr>
      <w:spacing w:line="480" w:lineRule="auto"/>
      <w:ind w:firstLine="187"/>
    </w:pPr>
  </w:style>
  <w:style w:type="character" w:styleId="FollowedHyperlink">
    <w:name w:val="FollowedHyperlink"/>
    <w:rsid w:val="002C2FE5"/>
    <w:rPr>
      <w:color w:val="800080"/>
      <w:u w:val="single"/>
    </w:rPr>
  </w:style>
  <w:style w:type="paragraph" w:styleId="BodyText">
    <w:name w:val="Body Text"/>
    <w:basedOn w:val="Normal"/>
    <w:link w:val="BodyTextChar"/>
    <w:rsid w:val="002C2FE5"/>
    <w:pPr>
      <w:jc w:val="center"/>
    </w:pPr>
    <w:rPr>
      <w:b/>
      <w:sz w:val="40"/>
    </w:rPr>
  </w:style>
  <w:style w:type="character" w:customStyle="1" w:styleId="BodyTextChar">
    <w:name w:val="Body Text Char"/>
    <w:basedOn w:val="DefaultParagraphFont"/>
    <w:link w:val="BodyText"/>
    <w:rsid w:val="00196DFD"/>
    <w:rPr>
      <w:rFonts w:ascii="Times" w:eastAsia="Times New Roman" w:hAnsi="Times" w:cs="Times New Roman"/>
      <w:b/>
      <w:sz w:val="40"/>
      <w:szCs w:val="20"/>
      <w:lang w:val="en-US"/>
    </w:rPr>
  </w:style>
  <w:style w:type="paragraph" w:customStyle="1" w:styleId="BATitle">
    <w:name w:val="BA_Title"/>
    <w:basedOn w:val="Normal"/>
    <w:next w:val="BBAuthorName"/>
    <w:rsid w:val="002C2FE5"/>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2C2FE5"/>
    <w:pPr>
      <w:spacing w:after="240" w:line="480" w:lineRule="auto"/>
      <w:jc w:val="center"/>
    </w:pPr>
    <w:rPr>
      <w:i/>
    </w:rPr>
  </w:style>
  <w:style w:type="paragraph" w:customStyle="1" w:styleId="BCAuthorAddress">
    <w:name w:val="BC_Author_Address"/>
    <w:basedOn w:val="Normal"/>
    <w:next w:val="BIEmailAddress"/>
    <w:rsid w:val="002C2FE5"/>
    <w:pPr>
      <w:spacing w:after="240" w:line="480" w:lineRule="auto"/>
      <w:jc w:val="center"/>
    </w:pPr>
  </w:style>
  <w:style w:type="paragraph" w:customStyle="1" w:styleId="BIEmailAddress">
    <w:name w:val="BI_Email_Address"/>
    <w:basedOn w:val="Normal"/>
    <w:next w:val="AIReceivedDate"/>
    <w:rsid w:val="002C2FE5"/>
    <w:pPr>
      <w:spacing w:line="480" w:lineRule="auto"/>
    </w:pPr>
  </w:style>
  <w:style w:type="paragraph" w:customStyle="1" w:styleId="AIReceivedDate">
    <w:name w:val="AI_Received_Date"/>
    <w:basedOn w:val="Normal"/>
    <w:next w:val="BDAbstract"/>
    <w:rsid w:val="002C2FE5"/>
    <w:pPr>
      <w:spacing w:after="240" w:line="480" w:lineRule="auto"/>
    </w:pPr>
    <w:rPr>
      <w:b/>
    </w:rPr>
  </w:style>
  <w:style w:type="paragraph" w:customStyle="1" w:styleId="BDAbstract">
    <w:name w:val="BD_Abstract"/>
    <w:basedOn w:val="Normal"/>
    <w:next w:val="TAMainText"/>
    <w:rsid w:val="002C2FE5"/>
    <w:pPr>
      <w:spacing w:before="360" w:after="360" w:line="480" w:lineRule="auto"/>
    </w:pPr>
  </w:style>
  <w:style w:type="paragraph" w:customStyle="1" w:styleId="TDAcknowledgments">
    <w:name w:val="TD_Acknowledgments"/>
    <w:basedOn w:val="Normal"/>
    <w:next w:val="Normal"/>
    <w:rsid w:val="002C2FE5"/>
    <w:pPr>
      <w:spacing w:before="200" w:line="480" w:lineRule="auto"/>
      <w:ind w:firstLine="202"/>
    </w:pPr>
  </w:style>
  <w:style w:type="paragraph" w:customStyle="1" w:styleId="TESupportingInformation">
    <w:name w:val="TE_Supporting_Information"/>
    <w:basedOn w:val="Normal"/>
    <w:next w:val="Normal"/>
    <w:rsid w:val="002C2FE5"/>
    <w:pPr>
      <w:spacing w:line="480" w:lineRule="auto"/>
      <w:ind w:firstLine="187"/>
    </w:pPr>
  </w:style>
  <w:style w:type="paragraph" w:customStyle="1" w:styleId="VCSchemeTitle">
    <w:name w:val="VC_Scheme_Title"/>
    <w:basedOn w:val="Normal"/>
    <w:next w:val="Normal"/>
    <w:rsid w:val="002C2FE5"/>
    <w:pPr>
      <w:spacing w:line="480" w:lineRule="auto"/>
    </w:pPr>
  </w:style>
  <w:style w:type="paragraph" w:customStyle="1" w:styleId="VDTableTitle">
    <w:name w:val="VD_Table_Title"/>
    <w:basedOn w:val="Normal"/>
    <w:next w:val="Normal"/>
    <w:rsid w:val="002C2FE5"/>
    <w:pPr>
      <w:spacing w:line="480" w:lineRule="auto"/>
    </w:pPr>
  </w:style>
  <w:style w:type="paragraph" w:customStyle="1" w:styleId="VAFigureCaption">
    <w:name w:val="VA_Figure_Caption"/>
    <w:basedOn w:val="Normal"/>
    <w:next w:val="Normal"/>
    <w:rsid w:val="002C2FE5"/>
    <w:pPr>
      <w:spacing w:line="480" w:lineRule="auto"/>
    </w:pPr>
  </w:style>
  <w:style w:type="paragraph" w:customStyle="1" w:styleId="VBChartTitle">
    <w:name w:val="VB_Chart_Title"/>
    <w:basedOn w:val="Normal"/>
    <w:next w:val="Normal"/>
    <w:rsid w:val="002C2FE5"/>
    <w:pPr>
      <w:spacing w:line="480" w:lineRule="auto"/>
    </w:pPr>
  </w:style>
  <w:style w:type="paragraph" w:customStyle="1" w:styleId="FETableFootnote">
    <w:name w:val="FE_Table_Footnote"/>
    <w:basedOn w:val="Normal"/>
    <w:next w:val="Normal"/>
    <w:rsid w:val="002C2FE5"/>
    <w:pPr>
      <w:ind w:firstLine="187"/>
    </w:pPr>
  </w:style>
  <w:style w:type="paragraph" w:customStyle="1" w:styleId="FCChartFootnote">
    <w:name w:val="FC_Chart_Footnote"/>
    <w:basedOn w:val="Normal"/>
    <w:next w:val="Normal"/>
    <w:rsid w:val="002C2FE5"/>
    <w:pPr>
      <w:ind w:firstLine="187"/>
    </w:pPr>
  </w:style>
  <w:style w:type="paragraph" w:customStyle="1" w:styleId="FDSchemeFootnote">
    <w:name w:val="FD_Scheme_Footnote"/>
    <w:basedOn w:val="Normal"/>
    <w:next w:val="Normal"/>
    <w:rsid w:val="002C2FE5"/>
    <w:pPr>
      <w:ind w:firstLine="187"/>
    </w:pPr>
  </w:style>
  <w:style w:type="paragraph" w:customStyle="1" w:styleId="AFTitleRunningHead">
    <w:name w:val="AF_Title_Running_Head"/>
    <w:basedOn w:val="Normal"/>
    <w:next w:val="TAMainText"/>
    <w:rsid w:val="002C2FE5"/>
    <w:pPr>
      <w:spacing w:line="480" w:lineRule="auto"/>
    </w:pPr>
  </w:style>
  <w:style w:type="paragraph" w:customStyle="1" w:styleId="BEAuthorBiography">
    <w:name w:val="BE_Author_Biography"/>
    <w:basedOn w:val="Normal"/>
    <w:rsid w:val="002C2FE5"/>
    <w:pPr>
      <w:spacing w:line="480" w:lineRule="auto"/>
    </w:pPr>
  </w:style>
  <w:style w:type="paragraph" w:customStyle="1" w:styleId="FACorrespondingAuthorFootnote">
    <w:name w:val="FA_Corresponding_Author_Footnote"/>
    <w:basedOn w:val="Normal"/>
    <w:next w:val="TAMainText"/>
    <w:rsid w:val="002C2FE5"/>
    <w:pPr>
      <w:spacing w:line="480" w:lineRule="auto"/>
    </w:pPr>
  </w:style>
  <w:style w:type="paragraph" w:customStyle="1" w:styleId="SNSynopsisTOC">
    <w:name w:val="SN_Synopsis_TOC"/>
    <w:basedOn w:val="Normal"/>
    <w:rsid w:val="002C2FE5"/>
    <w:pPr>
      <w:spacing w:line="480" w:lineRule="auto"/>
    </w:pPr>
  </w:style>
  <w:style w:type="paragraph" w:customStyle="1" w:styleId="BGKeywords">
    <w:name w:val="BG_Keywords"/>
    <w:basedOn w:val="Normal"/>
    <w:rsid w:val="002C2FE5"/>
    <w:pPr>
      <w:spacing w:line="480" w:lineRule="auto"/>
    </w:pPr>
  </w:style>
  <w:style w:type="paragraph" w:customStyle="1" w:styleId="BHBriefs">
    <w:name w:val="BH_Briefs"/>
    <w:basedOn w:val="Normal"/>
    <w:rsid w:val="002C2FE5"/>
    <w:pPr>
      <w:spacing w:line="480" w:lineRule="auto"/>
    </w:pPr>
  </w:style>
  <w:style w:type="character" w:styleId="PageNumber">
    <w:name w:val="page number"/>
    <w:basedOn w:val="DefaultParagraphFont"/>
    <w:rsid w:val="002C2FE5"/>
  </w:style>
  <w:style w:type="paragraph" w:customStyle="1" w:styleId="StyleFACorrespondingAuthorFootnote7pt">
    <w:name w:val="Style FA_Corresponding_Author_Footnote + 7 pt"/>
    <w:basedOn w:val="Normal"/>
    <w:next w:val="BGKeywords"/>
    <w:link w:val="StyleFACorrespondingAuthorFootnote7ptChar"/>
    <w:autoRedefine/>
    <w:rsid w:val="002C2FE5"/>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2C2FE5"/>
    <w:rPr>
      <w:rFonts w:ascii="Arno Pro" w:eastAsia="Times New Roman" w:hAnsi="Arno Pro" w:cs="Times New Roman"/>
      <w:kern w:val="20"/>
      <w:sz w:val="18"/>
      <w:szCs w:val="20"/>
      <w:lang w:val="en-US"/>
    </w:rPr>
  </w:style>
  <w:style w:type="paragraph" w:customStyle="1" w:styleId="FAAuthorInfoSubtitle">
    <w:name w:val="FA_Author_Info_Subtitle"/>
    <w:basedOn w:val="Normal"/>
    <w:link w:val="FAAuthorInfoSubtitleChar"/>
    <w:autoRedefine/>
    <w:rsid w:val="002C2FE5"/>
    <w:pPr>
      <w:spacing w:before="120" w:after="60" w:line="480" w:lineRule="auto"/>
      <w:jc w:val="left"/>
    </w:pPr>
    <w:rPr>
      <w:b/>
    </w:rPr>
  </w:style>
  <w:style w:type="character" w:customStyle="1" w:styleId="FAAuthorInfoSubtitleChar">
    <w:name w:val="FA_Author_Info_Subtitle Char"/>
    <w:link w:val="FAAuthorInfoSubtitle"/>
    <w:rsid w:val="002C2FE5"/>
    <w:rPr>
      <w:rFonts w:ascii="Times" w:eastAsia="Times New Roman" w:hAnsi="Times" w:cs="Times New Roman"/>
      <w:b/>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48593">
      <w:bodyDiv w:val="1"/>
      <w:marLeft w:val="0"/>
      <w:marRight w:val="0"/>
      <w:marTop w:val="0"/>
      <w:marBottom w:val="0"/>
      <w:divBdr>
        <w:top w:val="none" w:sz="0" w:space="0" w:color="auto"/>
        <w:left w:val="none" w:sz="0" w:space="0" w:color="auto"/>
        <w:bottom w:val="none" w:sz="0" w:space="0" w:color="auto"/>
        <w:right w:val="none" w:sz="0" w:space="0" w:color="auto"/>
      </w:divBdr>
    </w:div>
    <w:div w:id="184758816">
      <w:bodyDiv w:val="1"/>
      <w:marLeft w:val="0"/>
      <w:marRight w:val="0"/>
      <w:marTop w:val="0"/>
      <w:marBottom w:val="0"/>
      <w:divBdr>
        <w:top w:val="none" w:sz="0" w:space="0" w:color="auto"/>
        <w:left w:val="none" w:sz="0" w:space="0" w:color="auto"/>
        <w:bottom w:val="none" w:sz="0" w:space="0" w:color="auto"/>
        <w:right w:val="none" w:sz="0" w:space="0" w:color="auto"/>
      </w:divBdr>
      <w:divsChild>
        <w:div w:id="1473982694">
          <w:marLeft w:val="1260"/>
          <w:marRight w:val="0"/>
          <w:marTop w:val="0"/>
          <w:marBottom w:val="0"/>
          <w:divBdr>
            <w:top w:val="none" w:sz="0" w:space="0" w:color="auto"/>
            <w:left w:val="single" w:sz="36" w:space="4" w:color="6699CC"/>
            <w:bottom w:val="none" w:sz="0" w:space="0" w:color="auto"/>
            <w:right w:val="none" w:sz="0" w:space="0" w:color="auto"/>
          </w:divBdr>
        </w:div>
      </w:divsChild>
    </w:div>
    <w:div w:id="459422140">
      <w:bodyDiv w:val="1"/>
      <w:marLeft w:val="0"/>
      <w:marRight w:val="0"/>
      <w:marTop w:val="0"/>
      <w:marBottom w:val="0"/>
      <w:divBdr>
        <w:top w:val="none" w:sz="0" w:space="0" w:color="auto"/>
        <w:left w:val="none" w:sz="0" w:space="0" w:color="auto"/>
        <w:bottom w:val="none" w:sz="0" w:space="0" w:color="auto"/>
        <w:right w:val="none" w:sz="0" w:space="0" w:color="auto"/>
      </w:divBdr>
      <w:divsChild>
        <w:div w:id="35543301">
          <w:marLeft w:val="0"/>
          <w:marRight w:val="0"/>
          <w:marTop w:val="0"/>
          <w:marBottom w:val="0"/>
          <w:divBdr>
            <w:top w:val="none" w:sz="0" w:space="0" w:color="auto"/>
            <w:left w:val="none" w:sz="0" w:space="0" w:color="auto"/>
            <w:bottom w:val="none" w:sz="0" w:space="0" w:color="auto"/>
            <w:right w:val="none" w:sz="0" w:space="0" w:color="auto"/>
          </w:divBdr>
          <w:divsChild>
            <w:div w:id="1128430895">
              <w:marLeft w:val="0"/>
              <w:marRight w:val="0"/>
              <w:marTop w:val="0"/>
              <w:marBottom w:val="0"/>
              <w:divBdr>
                <w:top w:val="none" w:sz="0" w:space="0" w:color="auto"/>
                <w:left w:val="none" w:sz="0" w:space="0" w:color="auto"/>
                <w:bottom w:val="none" w:sz="0" w:space="0" w:color="auto"/>
                <w:right w:val="none" w:sz="0" w:space="0" w:color="auto"/>
              </w:divBdr>
              <w:divsChild>
                <w:div w:id="1650213357">
                  <w:marLeft w:val="0"/>
                  <w:marRight w:val="0"/>
                  <w:marTop w:val="0"/>
                  <w:marBottom w:val="0"/>
                  <w:divBdr>
                    <w:top w:val="none" w:sz="0" w:space="0" w:color="auto"/>
                    <w:left w:val="none" w:sz="0" w:space="0" w:color="auto"/>
                    <w:bottom w:val="none" w:sz="0" w:space="0" w:color="auto"/>
                    <w:right w:val="none" w:sz="0" w:space="0" w:color="auto"/>
                  </w:divBdr>
                  <w:divsChild>
                    <w:div w:id="1936132976">
                      <w:marLeft w:val="0"/>
                      <w:marRight w:val="0"/>
                      <w:marTop w:val="0"/>
                      <w:marBottom w:val="0"/>
                      <w:divBdr>
                        <w:top w:val="none" w:sz="0" w:space="0" w:color="auto"/>
                        <w:left w:val="none" w:sz="0" w:space="0" w:color="auto"/>
                        <w:bottom w:val="none" w:sz="0" w:space="0" w:color="auto"/>
                        <w:right w:val="none" w:sz="0" w:space="0" w:color="auto"/>
                      </w:divBdr>
                      <w:divsChild>
                        <w:div w:id="32776135">
                          <w:marLeft w:val="0"/>
                          <w:marRight w:val="0"/>
                          <w:marTop w:val="0"/>
                          <w:marBottom w:val="0"/>
                          <w:divBdr>
                            <w:top w:val="none" w:sz="0" w:space="0" w:color="auto"/>
                            <w:left w:val="none" w:sz="0" w:space="0" w:color="auto"/>
                            <w:bottom w:val="none" w:sz="0" w:space="0" w:color="auto"/>
                            <w:right w:val="none" w:sz="0" w:space="0" w:color="auto"/>
                          </w:divBdr>
                          <w:divsChild>
                            <w:div w:id="436026447">
                              <w:marLeft w:val="0"/>
                              <w:marRight w:val="0"/>
                              <w:marTop w:val="0"/>
                              <w:marBottom w:val="0"/>
                              <w:divBdr>
                                <w:top w:val="none" w:sz="0" w:space="0" w:color="auto"/>
                                <w:left w:val="none" w:sz="0" w:space="0" w:color="auto"/>
                                <w:bottom w:val="none" w:sz="0" w:space="0" w:color="auto"/>
                                <w:right w:val="none" w:sz="0" w:space="0" w:color="auto"/>
                              </w:divBdr>
                              <w:divsChild>
                                <w:div w:id="2047024390">
                                  <w:marLeft w:val="0"/>
                                  <w:marRight w:val="0"/>
                                  <w:marTop w:val="0"/>
                                  <w:marBottom w:val="0"/>
                                  <w:divBdr>
                                    <w:top w:val="none" w:sz="0" w:space="0" w:color="auto"/>
                                    <w:left w:val="none" w:sz="0" w:space="0" w:color="auto"/>
                                    <w:bottom w:val="none" w:sz="0" w:space="0" w:color="auto"/>
                                    <w:right w:val="none" w:sz="0" w:space="0" w:color="auto"/>
                                  </w:divBdr>
                                  <w:divsChild>
                                    <w:div w:id="931427169">
                                      <w:marLeft w:val="0"/>
                                      <w:marRight w:val="0"/>
                                      <w:marTop w:val="0"/>
                                      <w:marBottom w:val="0"/>
                                      <w:divBdr>
                                        <w:top w:val="none" w:sz="0" w:space="0" w:color="auto"/>
                                        <w:left w:val="none" w:sz="0" w:space="0" w:color="auto"/>
                                        <w:bottom w:val="none" w:sz="0" w:space="0" w:color="auto"/>
                                        <w:right w:val="none" w:sz="0" w:space="0" w:color="auto"/>
                                      </w:divBdr>
                                      <w:divsChild>
                                        <w:div w:id="716466356">
                                          <w:marLeft w:val="0"/>
                                          <w:marRight w:val="0"/>
                                          <w:marTop w:val="0"/>
                                          <w:marBottom w:val="0"/>
                                          <w:divBdr>
                                            <w:top w:val="none" w:sz="0" w:space="0" w:color="auto"/>
                                            <w:left w:val="none" w:sz="0" w:space="0" w:color="auto"/>
                                            <w:bottom w:val="none" w:sz="0" w:space="0" w:color="auto"/>
                                            <w:right w:val="none" w:sz="0" w:space="0" w:color="auto"/>
                                          </w:divBdr>
                                          <w:divsChild>
                                            <w:div w:id="336081384">
                                              <w:marLeft w:val="0"/>
                                              <w:marRight w:val="0"/>
                                              <w:marTop w:val="0"/>
                                              <w:marBottom w:val="0"/>
                                              <w:divBdr>
                                                <w:top w:val="none" w:sz="0" w:space="0" w:color="auto"/>
                                                <w:left w:val="none" w:sz="0" w:space="0" w:color="auto"/>
                                                <w:bottom w:val="none" w:sz="0" w:space="0" w:color="auto"/>
                                                <w:right w:val="none" w:sz="0" w:space="0" w:color="auto"/>
                                              </w:divBdr>
                                              <w:divsChild>
                                                <w:div w:id="601650487">
                                                  <w:marLeft w:val="0"/>
                                                  <w:marRight w:val="0"/>
                                                  <w:marTop w:val="0"/>
                                                  <w:marBottom w:val="0"/>
                                                  <w:divBdr>
                                                    <w:top w:val="none" w:sz="0" w:space="0" w:color="auto"/>
                                                    <w:left w:val="none" w:sz="0" w:space="0" w:color="auto"/>
                                                    <w:bottom w:val="none" w:sz="0" w:space="0" w:color="auto"/>
                                                    <w:right w:val="none" w:sz="0" w:space="0" w:color="auto"/>
                                                  </w:divBdr>
                                                  <w:divsChild>
                                                    <w:div w:id="1275281644">
                                                      <w:marLeft w:val="0"/>
                                                      <w:marRight w:val="0"/>
                                                      <w:marTop w:val="0"/>
                                                      <w:marBottom w:val="0"/>
                                                      <w:divBdr>
                                                        <w:top w:val="none" w:sz="0" w:space="0" w:color="auto"/>
                                                        <w:left w:val="none" w:sz="0" w:space="0" w:color="auto"/>
                                                        <w:bottom w:val="none" w:sz="0" w:space="0" w:color="auto"/>
                                                        <w:right w:val="none" w:sz="0" w:space="0" w:color="auto"/>
                                                      </w:divBdr>
                                                      <w:divsChild>
                                                        <w:div w:id="1160577515">
                                                          <w:marLeft w:val="0"/>
                                                          <w:marRight w:val="0"/>
                                                          <w:marTop w:val="0"/>
                                                          <w:marBottom w:val="0"/>
                                                          <w:divBdr>
                                                            <w:top w:val="none" w:sz="0" w:space="0" w:color="auto"/>
                                                            <w:left w:val="none" w:sz="0" w:space="0" w:color="auto"/>
                                                            <w:bottom w:val="none" w:sz="0" w:space="0" w:color="auto"/>
                                                            <w:right w:val="none" w:sz="0" w:space="0" w:color="auto"/>
                                                          </w:divBdr>
                                                          <w:divsChild>
                                                            <w:div w:id="650449666">
                                                              <w:marLeft w:val="0"/>
                                                              <w:marRight w:val="0"/>
                                                              <w:marTop w:val="0"/>
                                                              <w:marBottom w:val="0"/>
                                                              <w:divBdr>
                                                                <w:top w:val="none" w:sz="0" w:space="0" w:color="auto"/>
                                                                <w:left w:val="none" w:sz="0" w:space="0" w:color="auto"/>
                                                                <w:bottom w:val="none" w:sz="0" w:space="0" w:color="auto"/>
                                                                <w:right w:val="none" w:sz="0" w:space="0" w:color="auto"/>
                                                              </w:divBdr>
                                                              <w:divsChild>
                                                                <w:div w:id="1574199822">
                                                                  <w:marLeft w:val="0"/>
                                                                  <w:marRight w:val="0"/>
                                                                  <w:marTop w:val="0"/>
                                                                  <w:marBottom w:val="0"/>
                                                                  <w:divBdr>
                                                                    <w:top w:val="none" w:sz="0" w:space="0" w:color="auto"/>
                                                                    <w:left w:val="none" w:sz="0" w:space="0" w:color="auto"/>
                                                                    <w:bottom w:val="none" w:sz="0" w:space="0" w:color="auto"/>
                                                                    <w:right w:val="none" w:sz="0" w:space="0" w:color="auto"/>
                                                                  </w:divBdr>
                                                                  <w:divsChild>
                                                                    <w:div w:id="1045834775">
                                                                      <w:marLeft w:val="0"/>
                                                                      <w:marRight w:val="0"/>
                                                                      <w:marTop w:val="0"/>
                                                                      <w:marBottom w:val="0"/>
                                                                      <w:divBdr>
                                                                        <w:top w:val="none" w:sz="0" w:space="0" w:color="auto"/>
                                                                        <w:left w:val="none" w:sz="0" w:space="0" w:color="auto"/>
                                                                        <w:bottom w:val="none" w:sz="0" w:space="0" w:color="auto"/>
                                                                        <w:right w:val="none" w:sz="0" w:space="0" w:color="auto"/>
                                                                      </w:divBdr>
                                                                      <w:divsChild>
                                                                        <w:div w:id="1794249876">
                                                                          <w:marLeft w:val="0"/>
                                                                          <w:marRight w:val="0"/>
                                                                          <w:marTop w:val="0"/>
                                                                          <w:marBottom w:val="0"/>
                                                                          <w:divBdr>
                                                                            <w:top w:val="none" w:sz="0" w:space="0" w:color="auto"/>
                                                                            <w:left w:val="none" w:sz="0" w:space="0" w:color="auto"/>
                                                                            <w:bottom w:val="none" w:sz="0" w:space="0" w:color="auto"/>
                                                                            <w:right w:val="none" w:sz="0" w:space="0" w:color="auto"/>
                                                                          </w:divBdr>
                                                                          <w:divsChild>
                                                                            <w:div w:id="1164248229">
                                                                              <w:marLeft w:val="0"/>
                                                                              <w:marRight w:val="0"/>
                                                                              <w:marTop w:val="0"/>
                                                                              <w:marBottom w:val="0"/>
                                                                              <w:divBdr>
                                                                                <w:top w:val="none" w:sz="0" w:space="0" w:color="auto"/>
                                                                                <w:left w:val="none" w:sz="0" w:space="0" w:color="auto"/>
                                                                                <w:bottom w:val="none" w:sz="0" w:space="0" w:color="auto"/>
                                                                                <w:right w:val="none" w:sz="0" w:space="0" w:color="auto"/>
                                                                              </w:divBdr>
                                                                              <w:divsChild>
                                                                                <w:div w:id="448281018">
                                                                                  <w:marLeft w:val="0"/>
                                                                                  <w:marRight w:val="0"/>
                                                                                  <w:marTop w:val="0"/>
                                                                                  <w:marBottom w:val="0"/>
                                                                                  <w:divBdr>
                                                                                    <w:top w:val="none" w:sz="0" w:space="0" w:color="auto"/>
                                                                                    <w:left w:val="none" w:sz="0" w:space="0" w:color="auto"/>
                                                                                    <w:bottom w:val="none" w:sz="0" w:space="0" w:color="auto"/>
                                                                                    <w:right w:val="none" w:sz="0" w:space="0" w:color="auto"/>
                                                                                  </w:divBdr>
                                                                                  <w:divsChild>
                                                                                    <w:div w:id="676883108">
                                                                                      <w:marLeft w:val="0"/>
                                                                                      <w:marRight w:val="0"/>
                                                                                      <w:marTop w:val="0"/>
                                                                                      <w:marBottom w:val="0"/>
                                                                                      <w:divBdr>
                                                                                        <w:top w:val="none" w:sz="0" w:space="0" w:color="auto"/>
                                                                                        <w:left w:val="none" w:sz="0" w:space="0" w:color="auto"/>
                                                                                        <w:bottom w:val="none" w:sz="0" w:space="0" w:color="auto"/>
                                                                                        <w:right w:val="none" w:sz="0" w:space="0" w:color="auto"/>
                                                                                      </w:divBdr>
                                                                                      <w:divsChild>
                                                                                        <w:div w:id="146167445">
                                                                                          <w:marLeft w:val="0"/>
                                                                                          <w:marRight w:val="0"/>
                                                                                          <w:marTop w:val="0"/>
                                                                                          <w:marBottom w:val="0"/>
                                                                                          <w:divBdr>
                                                                                            <w:top w:val="none" w:sz="0" w:space="0" w:color="auto"/>
                                                                                            <w:left w:val="none" w:sz="0" w:space="0" w:color="auto"/>
                                                                                            <w:bottom w:val="none" w:sz="0" w:space="0" w:color="auto"/>
                                                                                            <w:right w:val="none" w:sz="0" w:space="0" w:color="auto"/>
                                                                                          </w:divBdr>
                                                                                          <w:divsChild>
                                                                                            <w:div w:id="1402094601">
                                                                                              <w:marLeft w:val="0"/>
                                                                                              <w:marRight w:val="0"/>
                                                                                              <w:marTop w:val="0"/>
                                                                                              <w:marBottom w:val="0"/>
                                                                                              <w:divBdr>
                                                                                                <w:top w:val="none" w:sz="0" w:space="0" w:color="auto"/>
                                                                                                <w:left w:val="none" w:sz="0" w:space="0" w:color="auto"/>
                                                                                                <w:bottom w:val="none" w:sz="0" w:space="0" w:color="auto"/>
                                                                                                <w:right w:val="none" w:sz="0" w:space="0" w:color="auto"/>
                                                                                              </w:divBdr>
                                                                                              <w:divsChild>
                                                                                                <w:div w:id="653795557">
                                                                                                  <w:marLeft w:val="0"/>
                                                                                                  <w:marRight w:val="0"/>
                                                                                                  <w:marTop w:val="0"/>
                                                                                                  <w:marBottom w:val="0"/>
                                                                                                  <w:divBdr>
                                                                                                    <w:top w:val="none" w:sz="0" w:space="0" w:color="auto"/>
                                                                                                    <w:left w:val="none" w:sz="0" w:space="0" w:color="auto"/>
                                                                                                    <w:bottom w:val="none" w:sz="0" w:space="0" w:color="auto"/>
                                                                                                    <w:right w:val="none" w:sz="0" w:space="0" w:color="auto"/>
                                                                                                  </w:divBdr>
                                                                                                  <w:divsChild>
                                                                                                    <w:div w:id="1140197779">
                                                                                                      <w:marLeft w:val="0"/>
                                                                                                      <w:marRight w:val="0"/>
                                                                                                      <w:marTop w:val="0"/>
                                                                                                      <w:marBottom w:val="0"/>
                                                                                                      <w:divBdr>
                                                                                                        <w:top w:val="none" w:sz="0" w:space="0" w:color="auto"/>
                                                                                                        <w:left w:val="none" w:sz="0" w:space="0" w:color="auto"/>
                                                                                                        <w:bottom w:val="none" w:sz="0" w:space="0" w:color="auto"/>
                                                                                                        <w:right w:val="none" w:sz="0" w:space="0" w:color="auto"/>
                                                                                                      </w:divBdr>
                                                                                                      <w:divsChild>
                                                                                                        <w:div w:id="1711684502">
                                                                                                          <w:marLeft w:val="0"/>
                                                                                                          <w:marRight w:val="0"/>
                                                                                                          <w:marTop w:val="0"/>
                                                                                                          <w:marBottom w:val="0"/>
                                                                                                          <w:divBdr>
                                                                                                            <w:top w:val="none" w:sz="0" w:space="0" w:color="auto"/>
                                                                                                            <w:left w:val="none" w:sz="0" w:space="0" w:color="auto"/>
                                                                                                            <w:bottom w:val="none" w:sz="0" w:space="0" w:color="auto"/>
                                                                                                            <w:right w:val="none" w:sz="0" w:space="0" w:color="auto"/>
                                                                                                          </w:divBdr>
                                                                                                          <w:divsChild>
                                                                                                            <w:div w:id="1215697546">
                                                                                                              <w:marLeft w:val="0"/>
                                                                                                              <w:marRight w:val="0"/>
                                                                                                              <w:marTop w:val="0"/>
                                                                                                              <w:marBottom w:val="0"/>
                                                                                                              <w:divBdr>
                                                                                                                <w:top w:val="none" w:sz="0" w:space="0" w:color="auto"/>
                                                                                                                <w:left w:val="none" w:sz="0" w:space="0" w:color="auto"/>
                                                                                                                <w:bottom w:val="none" w:sz="0" w:space="0" w:color="auto"/>
                                                                                                                <w:right w:val="none" w:sz="0" w:space="0" w:color="auto"/>
                                                                                                              </w:divBdr>
                                                                                                              <w:divsChild>
                                                                                                                <w:div w:id="1638802980">
                                                                                                                  <w:marLeft w:val="0"/>
                                                                                                                  <w:marRight w:val="0"/>
                                                                                                                  <w:marTop w:val="0"/>
                                                                                                                  <w:marBottom w:val="0"/>
                                                                                                                  <w:divBdr>
                                                                                                                    <w:top w:val="none" w:sz="0" w:space="0" w:color="auto"/>
                                                                                                                    <w:left w:val="none" w:sz="0" w:space="0" w:color="auto"/>
                                                                                                                    <w:bottom w:val="none" w:sz="0" w:space="0" w:color="auto"/>
                                                                                                                    <w:right w:val="none" w:sz="0" w:space="0" w:color="auto"/>
                                                                                                                  </w:divBdr>
                                                                                                                  <w:divsChild>
                                                                                                                    <w:div w:id="617834152">
                                                                                                                      <w:marLeft w:val="0"/>
                                                                                                                      <w:marRight w:val="0"/>
                                                                                                                      <w:marTop w:val="0"/>
                                                                                                                      <w:marBottom w:val="0"/>
                                                                                                                      <w:divBdr>
                                                                                                                        <w:top w:val="none" w:sz="0" w:space="0" w:color="auto"/>
                                                                                                                        <w:left w:val="none" w:sz="0" w:space="0" w:color="auto"/>
                                                                                                                        <w:bottom w:val="none" w:sz="0" w:space="0" w:color="auto"/>
                                                                                                                        <w:right w:val="none" w:sz="0" w:space="0" w:color="auto"/>
                                                                                                                      </w:divBdr>
                                                                                                                      <w:divsChild>
                                                                                                                        <w:div w:id="1793093668">
                                                                                                                          <w:marLeft w:val="0"/>
                                                                                                                          <w:marRight w:val="0"/>
                                                                                                                          <w:marTop w:val="0"/>
                                                                                                                          <w:marBottom w:val="0"/>
                                                                                                                          <w:divBdr>
                                                                                                                            <w:top w:val="none" w:sz="0" w:space="0" w:color="auto"/>
                                                                                                                            <w:left w:val="none" w:sz="0" w:space="0" w:color="auto"/>
                                                                                                                            <w:bottom w:val="none" w:sz="0" w:space="0" w:color="auto"/>
                                                                                                                            <w:right w:val="none" w:sz="0" w:space="0" w:color="auto"/>
                                                                                                                          </w:divBdr>
                                                                                                                          <w:divsChild>
                                                                                                                            <w:div w:id="100801556">
                                                                                                                              <w:marLeft w:val="0"/>
                                                                                                                              <w:marRight w:val="0"/>
                                                                                                                              <w:marTop w:val="0"/>
                                                                                                                              <w:marBottom w:val="0"/>
                                                                                                                              <w:divBdr>
                                                                                                                                <w:top w:val="none" w:sz="0" w:space="0" w:color="auto"/>
                                                                                                                                <w:left w:val="none" w:sz="0" w:space="0" w:color="auto"/>
                                                                                                                                <w:bottom w:val="none" w:sz="0" w:space="0" w:color="auto"/>
                                                                                                                                <w:right w:val="none" w:sz="0" w:space="0" w:color="auto"/>
                                                                                                                              </w:divBdr>
                                                                                                                              <w:divsChild>
                                                                                                                                <w:div w:id="1146894842">
                                                                                                                                  <w:marLeft w:val="0"/>
                                                                                                                                  <w:marRight w:val="0"/>
                                                                                                                                  <w:marTop w:val="0"/>
                                                                                                                                  <w:marBottom w:val="0"/>
                                                                                                                                  <w:divBdr>
                                                                                                                                    <w:top w:val="none" w:sz="0" w:space="0" w:color="auto"/>
                                                                                                                                    <w:left w:val="none" w:sz="0" w:space="0" w:color="auto"/>
                                                                                                                                    <w:bottom w:val="none" w:sz="0" w:space="0" w:color="auto"/>
                                                                                                                                    <w:right w:val="none" w:sz="0" w:space="0" w:color="auto"/>
                                                                                                                                  </w:divBdr>
                                                                                                                                  <w:divsChild>
                                                                                                                                    <w:div w:id="2012948540">
                                                                                                                                      <w:marLeft w:val="0"/>
                                                                                                                                      <w:marRight w:val="0"/>
                                                                                                                                      <w:marTop w:val="0"/>
                                                                                                                                      <w:marBottom w:val="0"/>
                                                                                                                                      <w:divBdr>
                                                                                                                                        <w:top w:val="none" w:sz="0" w:space="0" w:color="auto"/>
                                                                                                                                        <w:left w:val="none" w:sz="0" w:space="0" w:color="auto"/>
                                                                                                                                        <w:bottom w:val="none" w:sz="0" w:space="0" w:color="auto"/>
                                                                                                                                        <w:right w:val="none" w:sz="0" w:space="0" w:color="auto"/>
                                                                                                                                      </w:divBdr>
                                                                                                                                      <w:divsChild>
                                                                                                                                        <w:div w:id="438914293">
                                                                                                                                          <w:marLeft w:val="0"/>
                                                                                                                                          <w:marRight w:val="0"/>
                                                                                                                                          <w:marTop w:val="0"/>
                                                                                                                                          <w:marBottom w:val="0"/>
                                                                                                                                          <w:divBdr>
                                                                                                                                            <w:top w:val="none" w:sz="0" w:space="0" w:color="auto"/>
                                                                                                                                            <w:left w:val="none" w:sz="0" w:space="0" w:color="auto"/>
                                                                                                                                            <w:bottom w:val="none" w:sz="0" w:space="0" w:color="auto"/>
                                                                                                                                            <w:right w:val="none" w:sz="0" w:space="0" w:color="auto"/>
                                                                                                                                          </w:divBdr>
                                                                                                                                          <w:divsChild>
                                                                                                                                            <w:div w:id="955257560">
                                                                                                                                              <w:marLeft w:val="0"/>
                                                                                                                                              <w:marRight w:val="0"/>
                                                                                                                                              <w:marTop w:val="0"/>
                                                                                                                                              <w:marBottom w:val="0"/>
                                                                                                                                              <w:divBdr>
                                                                                                                                                <w:top w:val="none" w:sz="0" w:space="0" w:color="auto"/>
                                                                                                                                                <w:left w:val="none" w:sz="0" w:space="0" w:color="auto"/>
                                                                                                                                                <w:bottom w:val="none" w:sz="0" w:space="0" w:color="auto"/>
                                                                                                                                                <w:right w:val="none" w:sz="0" w:space="0" w:color="auto"/>
                                                                                                                                              </w:divBdr>
                                                                                                                                              <w:divsChild>
                                                                                                                                                <w:div w:id="477111454">
                                                                                                                                                  <w:marLeft w:val="0"/>
                                                                                                                                                  <w:marRight w:val="0"/>
                                                                                                                                                  <w:marTop w:val="0"/>
                                                                                                                                                  <w:marBottom w:val="0"/>
                                                                                                                                                  <w:divBdr>
                                                                                                                                                    <w:top w:val="none" w:sz="0" w:space="0" w:color="auto"/>
                                                                                                                                                    <w:left w:val="none" w:sz="0" w:space="0" w:color="auto"/>
                                                                                                                                                    <w:bottom w:val="none" w:sz="0" w:space="0" w:color="auto"/>
                                                                                                                                                    <w:right w:val="none" w:sz="0" w:space="0" w:color="auto"/>
                                                                                                                                                  </w:divBdr>
                                                                                                                                                  <w:divsChild>
                                                                                                                                                    <w:div w:id="319847035">
                                                                                                                                                      <w:marLeft w:val="0"/>
                                                                                                                                                      <w:marRight w:val="0"/>
                                                                                                                                                      <w:marTop w:val="0"/>
                                                                                                                                                      <w:marBottom w:val="0"/>
                                                                                                                                                      <w:divBdr>
                                                                                                                                                        <w:top w:val="none" w:sz="0" w:space="0" w:color="auto"/>
                                                                                                                                                        <w:left w:val="none" w:sz="0" w:space="0" w:color="auto"/>
                                                                                                                                                        <w:bottom w:val="none" w:sz="0" w:space="0" w:color="auto"/>
                                                                                                                                                        <w:right w:val="none" w:sz="0" w:space="0" w:color="auto"/>
                                                                                                                                                      </w:divBdr>
                                                                                                                                                      <w:divsChild>
                                                                                                                                                        <w:div w:id="1801848494">
                                                                                                                                                          <w:marLeft w:val="0"/>
                                                                                                                                                          <w:marRight w:val="0"/>
                                                                                                                                                          <w:marTop w:val="0"/>
                                                                                                                                                          <w:marBottom w:val="0"/>
                                                                                                                                                          <w:divBdr>
                                                                                                                                                            <w:top w:val="none" w:sz="0" w:space="0" w:color="auto"/>
                                                                                                                                                            <w:left w:val="none" w:sz="0" w:space="0" w:color="auto"/>
                                                                                                                                                            <w:bottom w:val="none" w:sz="0" w:space="0" w:color="auto"/>
                                                                                                                                                            <w:right w:val="none" w:sz="0" w:space="0" w:color="auto"/>
                                                                                                                                                          </w:divBdr>
                                                                                                                                                          <w:divsChild>
                                                                                                                                                            <w:div w:id="319888941">
                                                                                                                                                              <w:marLeft w:val="0"/>
                                                                                                                                                              <w:marRight w:val="0"/>
                                                                                                                                                              <w:marTop w:val="0"/>
                                                                                                                                                              <w:marBottom w:val="0"/>
                                                                                                                                                              <w:divBdr>
                                                                                                                                                                <w:top w:val="none" w:sz="0" w:space="0" w:color="auto"/>
                                                                                                                                                                <w:left w:val="none" w:sz="0" w:space="0" w:color="auto"/>
                                                                                                                                                                <w:bottom w:val="none" w:sz="0" w:space="0" w:color="auto"/>
                                                                                                                                                                <w:right w:val="none" w:sz="0" w:space="0" w:color="auto"/>
                                                                                                                                                              </w:divBdr>
                                                                                                                                                              <w:divsChild>
                                                                                                                                                                <w:div w:id="887912228">
                                                                                                                                                                  <w:marLeft w:val="0"/>
                                                                                                                                                                  <w:marRight w:val="0"/>
                                                                                                                                                                  <w:marTop w:val="0"/>
                                                                                                                                                                  <w:marBottom w:val="0"/>
                                                                                                                                                                  <w:divBdr>
                                                                                                                                                                    <w:top w:val="none" w:sz="0" w:space="0" w:color="auto"/>
                                                                                                                                                                    <w:left w:val="none" w:sz="0" w:space="0" w:color="auto"/>
                                                                                                                                                                    <w:bottom w:val="none" w:sz="0" w:space="0" w:color="auto"/>
                                                                                                                                                                    <w:right w:val="none" w:sz="0" w:space="0" w:color="auto"/>
                                                                                                                                                                  </w:divBdr>
                                                                                                                                                                  <w:divsChild>
                                                                                                                                                                    <w:div w:id="1284995973">
                                                                                                                                                                      <w:marLeft w:val="0"/>
                                                                                                                                                                      <w:marRight w:val="0"/>
                                                                                                                                                                      <w:marTop w:val="0"/>
                                                                                                                                                                      <w:marBottom w:val="0"/>
                                                                                                                                                                      <w:divBdr>
                                                                                                                                                                        <w:top w:val="none" w:sz="0" w:space="0" w:color="auto"/>
                                                                                                                                                                        <w:left w:val="none" w:sz="0" w:space="0" w:color="auto"/>
                                                                                                                                                                        <w:bottom w:val="none" w:sz="0" w:space="0" w:color="auto"/>
                                                                                                                                                                        <w:right w:val="none" w:sz="0" w:space="0" w:color="auto"/>
                                                                                                                                                                      </w:divBdr>
                                                                                                                                                                      <w:divsChild>
                                                                                                                                                                        <w:div w:id="1144471995">
                                                                                                                                                                          <w:marLeft w:val="0"/>
                                                                                                                                                                          <w:marRight w:val="0"/>
                                                                                                                                                                          <w:marTop w:val="0"/>
                                                                                                                                                                          <w:marBottom w:val="0"/>
                                                                                                                                                                          <w:divBdr>
                                                                                                                                                                            <w:top w:val="none" w:sz="0" w:space="0" w:color="auto"/>
                                                                                                                                                                            <w:left w:val="none" w:sz="0" w:space="0" w:color="auto"/>
                                                                                                                                                                            <w:bottom w:val="none" w:sz="0" w:space="0" w:color="auto"/>
                                                                                                                                                                            <w:right w:val="none" w:sz="0" w:space="0" w:color="auto"/>
                                                                                                                                                                          </w:divBdr>
                                                                                                                                                                          <w:divsChild>
                                                                                                                                                                            <w:div w:id="429812061">
                                                                                                                                                                              <w:marLeft w:val="0"/>
                                                                                                                                                                              <w:marRight w:val="0"/>
                                                                                                                                                                              <w:marTop w:val="0"/>
                                                                                                                                                                              <w:marBottom w:val="0"/>
                                                                                                                                                                              <w:divBdr>
                                                                                                                                                                                <w:top w:val="none" w:sz="0" w:space="0" w:color="auto"/>
                                                                                                                                                                                <w:left w:val="none" w:sz="0" w:space="0" w:color="auto"/>
                                                                                                                                                                                <w:bottom w:val="none" w:sz="0" w:space="0" w:color="auto"/>
                                                                                                                                                                                <w:right w:val="none" w:sz="0" w:space="0" w:color="auto"/>
                                                                                                                                                                              </w:divBdr>
                                                                                                                                                                              <w:divsChild>
                                                                                                                                                                                <w:div w:id="346836925">
                                                                                                                                                                                  <w:marLeft w:val="0"/>
                                                                                                                                                                                  <w:marRight w:val="0"/>
                                                                                                                                                                                  <w:marTop w:val="0"/>
                                                                                                                                                                                  <w:marBottom w:val="0"/>
                                                                                                                                                                                  <w:divBdr>
                                                                                                                                                                                    <w:top w:val="none" w:sz="0" w:space="0" w:color="auto"/>
                                                                                                                                                                                    <w:left w:val="none" w:sz="0" w:space="0" w:color="auto"/>
                                                                                                                                                                                    <w:bottom w:val="none" w:sz="0" w:space="0" w:color="auto"/>
                                                                                                                                                                                    <w:right w:val="none" w:sz="0" w:space="0" w:color="auto"/>
                                                                                                                                                                                  </w:divBdr>
                                                                                                                                                                                  <w:divsChild>
                                                                                                                                                                                    <w:div w:id="1413770611">
                                                                                                                                                                                      <w:marLeft w:val="0"/>
                                                                                                                                                                                      <w:marRight w:val="0"/>
                                                                                                                                                                                      <w:marTop w:val="0"/>
                                                                                                                                                                                      <w:marBottom w:val="0"/>
                                                                                                                                                                                      <w:divBdr>
                                                                                                                                                                                        <w:top w:val="none" w:sz="0" w:space="0" w:color="auto"/>
                                                                                                                                                                                        <w:left w:val="none" w:sz="0" w:space="0" w:color="auto"/>
                                                                                                                                                                                        <w:bottom w:val="none" w:sz="0" w:space="0" w:color="auto"/>
                                                                                                                                                                                        <w:right w:val="none" w:sz="0" w:space="0" w:color="auto"/>
                                                                                                                                                                                      </w:divBdr>
                                                                                                                                                                                      <w:divsChild>
                                                                                                                                                                                        <w:div w:id="996685238">
                                                                                                                                                                                          <w:marLeft w:val="0"/>
                                                                                                                                                                                          <w:marRight w:val="0"/>
                                                                                                                                                                                          <w:marTop w:val="0"/>
                                                                                                                                                                                          <w:marBottom w:val="0"/>
                                                                                                                                                                                          <w:divBdr>
                                                                                                                                                                                            <w:top w:val="none" w:sz="0" w:space="0" w:color="auto"/>
                                                                                                                                                                                            <w:left w:val="none" w:sz="0" w:space="0" w:color="auto"/>
                                                                                                                                                                                            <w:bottom w:val="none" w:sz="0" w:space="0" w:color="auto"/>
                                                                                                                                                                                            <w:right w:val="none" w:sz="0" w:space="0" w:color="auto"/>
                                                                                                                                                                                          </w:divBdr>
                                                                                                                                                                                          <w:divsChild>
                                                                                                                                                                                            <w:div w:id="1502501754">
                                                                                                                                                                                              <w:marLeft w:val="0"/>
                                                                                                                                                                                              <w:marRight w:val="0"/>
                                                                                                                                                                                              <w:marTop w:val="0"/>
                                                                                                                                                                                              <w:marBottom w:val="0"/>
                                                                                                                                                                                              <w:divBdr>
                                                                                                                                                                                                <w:top w:val="none" w:sz="0" w:space="0" w:color="auto"/>
                                                                                                                                                                                                <w:left w:val="none" w:sz="0" w:space="0" w:color="auto"/>
                                                                                                                                                                                                <w:bottom w:val="none" w:sz="0" w:space="0" w:color="auto"/>
                                                                                                                                                                                                <w:right w:val="none" w:sz="0" w:space="0" w:color="auto"/>
                                                                                                                                                                                              </w:divBdr>
                                                                                                                                                                                              <w:divsChild>
                                                                                                                                                                                                <w:div w:id="1572812167">
                                                                                                                                                                                                  <w:marLeft w:val="0"/>
                                                                                                                                                                                                  <w:marRight w:val="0"/>
                                                                                                                                                                                                  <w:marTop w:val="0"/>
                                                                                                                                                                                                  <w:marBottom w:val="0"/>
                                                                                                                                                                                                  <w:divBdr>
                                                                                                                                                                                                    <w:top w:val="none" w:sz="0" w:space="0" w:color="auto"/>
                                                                                                                                                                                                    <w:left w:val="none" w:sz="0" w:space="0" w:color="auto"/>
                                                                                                                                                                                                    <w:bottom w:val="none" w:sz="0" w:space="0" w:color="auto"/>
                                                                                                                                                                                                    <w:right w:val="none" w:sz="0" w:space="0" w:color="auto"/>
                                                                                                                                                                                                  </w:divBdr>
                                                                                                                                                                                                  <w:divsChild>
                                                                                                                                                                                                    <w:div w:id="1550651442">
                                                                                                                                                                                                      <w:marLeft w:val="0"/>
                                                                                                                                                                                                      <w:marRight w:val="0"/>
                                                                                                                                                                                                      <w:marTop w:val="0"/>
                                                                                                                                                                                                      <w:marBottom w:val="0"/>
                                                                                                                                                                                                      <w:divBdr>
                                                                                                                                                                                                        <w:top w:val="none" w:sz="0" w:space="0" w:color="auto"/>
                                                                                                                                                                                                        <w:left w:val="none" w:sz="0" w:space="0" w:color="auto"/>
                                                                                                                                                                                                        <w:bottom w:val="none" w:sz="0" w:space="0" w:color="auto"/>
                                                                                                                                                                                                        <w:right w:val="none" w:sz="0" w:space="0" w:color="auto"/>
                                                                                                                                                                                                      </w:divBdr>
                                                                                                                                                                                                      <w:divsChild>
                                                                                                                                                                                                        <w:div w:id="624577045">
                                                                                                                                                                                                          <w:marLeft w:val="0"/>
                                                                                                                                                                                                          <w:marRight w:val="0"/>
                                                                                                                                                                                                          <w:marTop w:val="0"/>
                                                                                                                                                                                                          <w:marBottom w:val="0"/>
                                                                                                                                                                                                          <w:divBdr>
                                                                                                                                                                                                            <w:top w:val="none" w:sz="0" w:space="0" w:color="auto"/>
                                                                                                                                                                                                            <w:left w:val="none" w:sz="0" w:space="0" w:color="auto"/>
                                                                                                                                                                                                            <w:bottom w:val="none" w:sz="0" w:space="0" w:color="auto"/>
                                                                                                                                                                                                            <w:right w:val="none" w:sz="0" w:space="0" w:color="auto"/>
                                                                                                                                                                                                          </w:divBdr>
                                                                                                                                                                                                          <w:divsChild>
                                                                                                                                                                                                            <w:div w:id="559362812">
                                                                                                                                                                                                              <w:marLeft w:val="0"/>
                                                                                                                                                                                                              <w:marRight w:val="0"/>
                                                                                                                                                                                                              <w:marTop w:val="0"/>
                                                                                                                                                                                                              <w:marBottom w:val="0"/>
                                                                                                                                                                                                              <w:divBdr>
                                                                                                                                                                                                                <w:top w:val="none" w:sz="0" w:space="0" w:color="auto"/>
                                                                                                                                                                                                                <w:left w:val="none" w:sz="0" w:space="0" w:color="auto"/>
                                                                                                                                                                                                                <w:bottom w:val="none" w:sz="0" w:space="0" w:color="auto"/>
                                                                                                                                                                                                                <w:right w:val="none" w:sz="0" w:space="0" w:color="auto"/>
                                                                                                                                                                                                              </w:divBdr>
                                                                                                                                                                                                              <w:divsChild>
                                                                                                                                                                                                                <w:div w:id="669139824">
                                                                                                                                                                                                                  <w:marLeft w:val="0"/>
                                                                                                                                                                                                                  <w:marRight w:val="0"/>
                                                                                                                                                                                                                  <w:marTop w:val="0"/>
                                                                                                                                                                                                                  <w:marBottom w:val="0"/>
                                                                                                                                                                                                                  <w:divBdr>
                                                                                                                                                                                                                    <w:top w:val="none" w:sz="0" w:space="0" w:color="auto"/>
                                                                                                                                                                                                                    <w:left w:val="none" w:sz="0" w:space="0" w:color="auto"/>
                                                                                                                                                                                                                    <w:bottom w:val="none" w:sz="0" w:space="0" w:color="auto"/>
                                                                                                                                                                                                                    <w:right w:val="none" w:sz="0" w:space="0" w:color="auto"/>
                                                                                                                                                                                                                  </w:divBdr>
                                                                                                                                                                                                                  <w:divsChild>
                                                                                                                                                                                                                    <w:div w:id="518354999">
                                                                                                                                                                                                                      <w:marLeft w:val="0"/>
                                                                                                                                                                                                                      <w:marRight w:val="0"/>
                                                                                                                                                                                                                      <w:marTop w:val="0"/>
                                                                                                                                                                                                                      <w:marBottom w:val="0"/>
                                                                                                                                                                                                                      <w:divBdr>
                                                                                                                                                                                                                        <w:top w:val="none" w:sz="0" w:space="0" w:color="auto"/>
                                                                                                                                                                                                                        <w:left w:val="none" w:sz="0" w:space="0" w:color="auto"/>
                                                                                                                                                                                                                        <w:bottom w:val="none" w:sz="0" w:space="0" w:color="auto"/>
                                                                                                                                                                                                                        <w:right w:val="none" w:sz="0" w:space="0" w:color="auto"/>
                                                                                                                                                                                                                      </w:divBdr>
                                                                                                                                                                                                                      <w:divsChild>
                                                                                                                                                                                                                        <w:div w:id="590743830">
                                                                                                                                                                                                                          <w:marLeft w:val="0"/>
                                                                                                                                                                                                                          <w:marRight w:val="0"/>
                                                                                                                                                                                                                          <w:marTop w:val="0"/>
                                                                                                                                                                                                                          <w:marBottom w:val="0"/>
                                                                                                                                                                                                                          <w:divBdr>
                                                                                                                                                                                                                            <w:top w:val="none" w:sz="0" w:space="0" w:color="auto"/>
                                                                                                                                                                                                                            <w:left w:val="none" w:sz="0" w:space="0" w:color="auto"/>
                                                                                                                                                                                                                            <w:bottom w:val="none" w:sz="0" w:space="0" w:color="auto"/>
                                                                                                                                                                                                                            <w:right w:val="none" w:sz="0" w:space="0" w:color="auto"/>
                                                                                                                                                                                                                          </w:divBdr>
                                                                                                                                                                                                                          <w:divsChild>
                                                                                                                                                                                                                            <w:div w:id="1580403398">
                                                                                                                                                                                                                              <w:marLeft w:val="0"/>
                                                                                                                                                                                                                              <w:marRight w:val="0"/>
                                                                                                                                                                                                                              <w:marTop w:val="0"/>
                                                                                                                                                                                                                              <w:marBottom w:val="0"/>
                                                                                                                                                                                                                              <w:divBdr>
                                                                                                                                                                                                                                <w:top w:val="none" w:sz="0" w:space="0" w:color="auto"/>
                                                                                                                                                                                                                                <w:left w:val="none" w:sz="0" w:space="0" w:color="auto"/>
                                                                                                                                                                                                                                <w:bottom w:val="none" w:sz="0" w:space="0" w:color="auto"/>
                                                                                                                                                                                                                                <w:right w:val="none" w:sz="0" w:space="0" w:color="auto"/>
                                                                                                                                                                                                                              </w:divBdr>
                                                                                                                                                                                                                              <w:divsChild>
                                                                                                                                                                                                                                <w:div w:id="1952778580">
                                                                                                                                                                                                                                  <w:marLeft w:val="0"/>
                                                                                                                                                                                                                                  <w:marRight w:val="0"/>
                                                                                                                                                                                                                                  <w:marTop w:val="0"/>
                                                                                                                                                                                                                                  <w:marBottom w:val="0"/>
                                                                                                                                                                                                                                  <w:divBdr>
                                                                                                                                                                                                                                    <w:top w:val="none" w:sz="0" w:space="0" w:color="auto"/>
                                                                                                                                                                                                                                    <w:left w:val="none" w:sz="0" w:space="0" w:color="auto"/>
                                                                                                                                                                                                                                    <w:bottom w:val="none" w:sz="0" w:space="0" w:color="auto"/>
                                                                                                                                                                                                                                    <w:right w:val="none" w:sz="0" w:space="0" w:color="auto"/>
                                                                                                                                                                                                                                  </w:divBdr>
                                                                                                                                                                                                                                  <w:divsChild>
                                                                                                                                                                                                                                    <w:div w:id="276909926">
                                                                                                                                                                                                                                      <w:marLeft w:val="0"/>
                                                                                                                                                                                                                                      <w:marRight w:val="0"/>
                                                                                                                                                                                                                                      <w:marTop w:val="0"/>
                                                                                                                                                                                                                                      <w:marBottom w:val="0"/>
                                                                                                                                                                                                                                      <w:divBdr>
                                                                                                                                                                                                                                        <w:top w:val="none" w:sz="0" w:space="0" w:color="auto"/>
                                                                                                                                                                                                                                        <w:left w:val="none" w:sz="0" w:space="0" w:color="auto"/>
                                                                                                                                                                                                                                        <w:bottom w:val="none" w:sz="0" w:space="0" w:color="auto"/>
                                                                                                                                                                                                                                        <w:right w:val="none" w:sz="0" w:space="0" w:color="auto"/>
                                                                                                                                                                                                                                      </w:divBdr>
                                                                                                                                                                                                                                      <w:divsChild>
                                                                                                                                                                                                                                        <w:div w:id="1177690581">
                                                                                                                                                                                                                                          <w:marLeft w:val="0"/>
                                                                                                                                                                                                                                          <w:marRight w:val="0"/>
                                                                                                                                                                                                                                          <w:marTop w:val="0"/>
                                                                                                                                                                                                                                          <w:marBottom w:val="0"/>
                                                                                                                                                                                                                                          <w:divBdr>
                                                                                                                                                                                                                                            <w:top w:val="none" w:sz="0" w:space="0" w:color="auto"/>
                                                                                                                                                                                                                                            <w:left w:val="none" w:sz="0" w:space="0" w:color="auto"/>
                                                                                                                                                                                                                                            <w:bottom w:val="none" w:sz="0" w:space="0" w:color="auto"/>
                                                                                                                                                                                                                                            <w:right w:val="none" w:sz="0" w:space="0" w:color="auto"/>
                                                                                                                                                                                                                                          </w:divBdr>
                                                                                                                                                                                                                                          <w:divsChild>
                                                                                                                                                                                                                                            <w:div w:id="2040273988">
                                                                                                                                                                                                                                              <w:marLeft w:val="0"/>
                                                                                                                                                                                                                                              <w:marRight w:val="0"/>
                                                                                                                                                                                                                                              <w:marTop w:val="0"/>
                                                                                                                                                                                                                                              <w:marBottom w:val="0"/>
                                                                                                                                                                                                                                              <w:divBdr>
                                                                                                                                                                                                                                                <w:top w:val="none" w:sz="0" w:space="0" w:color="auto"/>
                                                                                                                                                                                                                                                <w:left w:val="none" w:sz="0" w:space="0" w:color="auto"/>
                                                                                                                                                                                                                                                <w:bottom w:val="none" w:sz="0" w:space="0" w:color="auto"/>
                                                                                                                                                                                                                                                <w:right w:val="none" w:sz="0" w:space="0" w:color="auto"/>
                                                                                                                                                                                                                                              </w:divBdr>
                                                                                                                                                                                                                                              <w:divsChild>
                                                                                                                                                                                                                                                <w:div w:id="1796554898">
                                                                                                                                                                                                                                                  <w:marLeft w:val="0"/>
                                                                                                                                                                                                                                                  <w:marRight w:val="0"/>
                                                                                                                                                                                                                                                  <w:marTop w:val="0"/>
                                                                                                                                                                                                                                                  <w:marBottom w:val="0"/>
                                                                                                                                                                                                                                                  <w:divBdr>
                                                                                                                                                                                                                                                    <w:top w:val="none" w:sz="0" w:space="0" w:color="auto"/>
                                                                                                                                                                                                                                                    <w:left w:val="none" w:sz="0" w:space="0" w:color="auto"/>
                                                                                                                                                                                                                                                    <w:bottom w:val="none" w:sz="0" w:space="0" w:color="auto"/>
                                                                                                                                                                                                                                                    <w:right w:val="none" w:sz="0" w:space="0" w:color="auto"/>
                                                                                                                                                                                                                                                  </w:divBdr>
                                                                                                                                                                                                                                                  <w:divsChild>
                                                                                                                                                                                                                                                    <w:div w:id="1048994825">
                                                                                                                                                                                                                                                      <w:marLeft w:val="0"/>
                                                                                                                                                                                                                                                      <w:marRight w:val="0"/>
                                                                                                                                                                                                                                                      <w:marTop w:val="0"/>
                                                                                                                                                                                                                                                      <w:marBottom w:val="0"/>
                                                                                                                                                                                                                                                      <w:divBdr>
                                                                                                                                                                                                                                                        <w:top w:val="none" w:sz="0" w:space="0" w:color="auto"/>
                                                                                                                                                                                                                                                        <w:left w:val="none" w:sz="0" w:space="0" w:color="auto"/>
                                                                                                                                                                                                                                                        <w:bottom w:val="none" w:sz="0" w:space="0" w:color="auto"/>
                                                                                                                                                                                                                                                        <w:right w:val="none" w:sz="0" w:space="0" w:color="auto"/>
                                                                                                                                                                                                                                                      </w:divBdr>
                                                                                                                                                                                                                                                      <w:divsChild>
                                                                                                                                                                                                                                                        <w:div w:id="62221516">
                                                                                                                                                                                                                                                          <w:marLeft w:val="0"/>
                                                                                                                                                                                                                                                          <w:marRight w:val="0"/>
                                                                                                                                                                                                                                                          <w:marTop w:val="0"/>
                                                                                                                                                                                                                                                          <w:marBottom w:val="0"/>
                                                                                                                                                                                                                                                          <w:divBdr>
                                                                                                                                                                                                                                                            <w:top w:val="none" w:sz="0" w:space="0" w:color="auto"/>
                                                                                                                                                                                                                                                            <w:left w:val="none" w:sz="0" w:space="0" w:color="auto"/>
                                                                                                                                                                                                                                                            <w:bottom w:val="none" w:sz="0" w:space="0" w:color="auto"/>
                                                                                                                                                                                                                                                            <w:right w:val="none" w:sz="0" w:space="0" w:color="auto"/>
                                                                                                                                                                                                                                                          </w:divBdr>
                                                                                                                                                                                                                                                          <w:divsChild>
                                                                                                                                                                                                                                                            <w:div w:id="113525320">
                                                                                                                                                                                                                                                              <w:marLeft w:val="0"/>
                                                                                                                                                                                                                                                              <w:marRight w:val="0"/>
                                                                                                                                                                                                                                                              <w:marTop w:val="0"/>
                                                                                                                                                                                                                                                              <w:marBottom w:val="0"/>
                                                                                                                                                                                                                                                              <w:divBdr>
                                                                                                                                                                                                                                                                <w:top w:val="none" w:sz="0" w:space="0" w:color="auto"/>
                                                                                                                                                                                                                                                                <w:left w:val="none" w:sz="0" w:space="0" w:color="auto"/>
                                                                                                                                                                                                                                                                <w:bottom w:val="none" w:sz="0" w:space="0" w:color="auto"/>
                                                                                                                                                                                                                                                                <w:right w:val="none" w:sz="0" w:space="0" w:color="auto"/>
                                                                                                                                                                                                                                                              </w:divBdr>
                                                                                                                                                                                                                                                              <w:divsChild>
                                                                                                                                                                                                                                                                <w:div w:id="332802037">
                                                                                                                                                                                                                                                                  <w:marLeft w:val="0"/>
                                                                                                                                                                                                                                                                  <w:marRight w:val="0"/>
                                                                                                                                                                                                                                                                  <w:marTop w:val="0"/>
                                                                                                                                                                                                                                                                  <w:marBottom w:val="0"/>
                                                                                                                                                                                                                                                                  <w:divBdr>
                                                                                                                                                                                                                                                                    <w:top w:val="none" w:sz="0" w:space="0" w:color="auto"/>
                                                                                                                                                                                                                                                                    <w:left w:val="none" w:sz="0" w:space="0" w:color="auto"/>
                                                                                                                                                                                                                                                                    <w:bottom w:val="none" w:sz="0" w:space="0" w:color="auto"/>
                                                                                                                                                                                                                                                                    <w:right w:val="none" w:sz="0" w:space="0" w:color="auto"/>
                                                                                                                                                                                                                                                                  </w:divBdr>
                                                                                                                                                                                                                                                                  <w:divsChild>
                                                                                                                                                                                                                                                                    <w:div w:id="556553848">
                                                                                                                                                                                                                                                                      <w:marLeft w:val="0"/>
                                                                                                                                                                                                                                                                      <w:marRight w:val="0"/>
                                                                                                                                                                                                                                                                      <w:marTop w:val="0"/>
                                                                                                                                                                                                                                                                      <w:marBottom w:val="0"/>
                                                                                                                                                                                                                                                                      <w:divBdr>
                                                                                                                                                                                                                                                                        <w:top w:val="none" w:sz="0" w:space="0" w:color="auto"/>
                                                                                                                                                                                                                                                                        <w:left w:val="none" w:sz="0" w:space="0" w:color="auto"/>
                                                                                                                                                                                                                                                                        <w:bottom w:val="none" w:sz="0" w:space="0" w:color="auto"/>
                                                                                                                                                                                                                                                                        <w:right w:val="none" w:sz="0" w:space="0" w:color="auto"/>
                                                                                                                                                                                                                                                                      </w:divBdr>
                                                                                                                                                                                                                                                                      <w:divsChild>
                                                                                                                                                                                                                                                                        <w:div w:id="1173253844">
                                                                                                                                                                                                                                                                          <w:marLeft w:val="0"/>
                                                                                                                                                                                                                                                                          <w:marRight w:val="0"/>
                                                                                                                                                                                                                                                                          <w:marTop w:val="0"/>
                                                                                                                                                                                                                                                                          <w:marBottom w:val="0"/>
                                                                                                                                                                                                                                                                          <w:divBdr>
                                                                                                                                                                                                                                                                            <w:top w:val="none" w:sz="0" w:space="0" w:color="auto"/>
                                                                                                                                                                                                                                                                            <w:left w:val="none" w:sz="0" w:space="0" w:color="auto"/>
                                                                                                                                                                                                                                                                            <w:bottom w:val="none" w:sz="0" w:space="0" w:color="auto"/>
                                                                                                                                                                                                                                                                            <w:right w:val="none" w:sz="0" w:space="0" w:color="auto"/>
                                                                                                                                                                                                                                                                          </w:divBdr>
                                                                                                                                                                                                                                                                          <w:divsChild>
                                                                                                                                                                                                                                                                            <w:div w:id="751392117">
                                                                                                                                                                                                                                                                              <w:marLeft w:val="0"/>
                                                                                                                                                                                                                                                                              <w:marRight w:val="0"/>
                                                                                                                                                                                                                                                                              <w:marTop w:val="0"/>
                                                                                                                                                                                                                                                                              <w:marBottom w:val="0"/>
                                                                                                                                                                                                                                                                              <w:divBdr>
                                                                                                                                                                                                                                                                                <w:top w:val="none" w:sz="0" w:space="0" w:color="auto"/>
                                                                                                                                                                                                                                                                                <w:left w:val="none" w:sz="0" w:space="0" w:color="auto"/>
                                                                                                                                                                                                                                                                                <w:bottom w:val="none" w:sz="0" w:space="0" w:color="auto"/>
                                                                                                                                                                                                                                                                                <w:right w:val="none" w:sz="0" w:space="0" w:color="auto"/>
                                                                                                                                                                                                                                                                              </w:divBdr>
                                                                                                                                                                                                                                                                              <w:divsChild>
                                                                                                                                                                                                                                                                                <w:div w:id="1298342991">
                                                                                                                                                                                                                                                                                  <w:marLeft w:val="0"/>
                                                                                                                                                                                                                                                                                  <w:marRight w:val="0"/>
                                                                                                                                                                                                                                                                                  <w:marTop w:val="0"/>
                                                                                                                                                                                                                                                                                  <w:marBottom w:val="0"/>
                                                                                                                                                                                                                                                                                  <w:divBdr>
                                                                                                                                                                                                                                                                                    <w:top w:val="none" w:sz="0" w:space="0" w:color="auto"/>
                                                                                                                                                                                                                                                                                    <w:left w:val="none" w:sz="0" w:space="0" w:color="auto"/>
                                                                                                                                                                                                                                                                                    <w:bottom w:val="none" w:sz="0" w:space="0" w:color="auto"/>
                                                                                                                                                                                                                                                                                    <w:right w:val="none" w:sz="0" w:space="0" w:color="auto"/>
                                                                                                                                                                                                                                                                                  </w:divBdr>
                                                                                                                                                                                                                                                                                  <w:divsChild>
                                                                                                                                                                                                                                                                                    <w:div w:id="2060586822">
                                                                                                                                                                                                                                                                                      <w:marLeft w:val="0"/>
                                                                                                                                                                                                                                                                                      <w:marRight w:val="0"/>
                                                                                                                                                                                                                                                                                      <w:marTop w:val="0"/>
                                                                                                                                                                                                                                                                                      <w:marBottom w:val="0"/>
                                                                                                                                                                                                                                                                                      <w:divBdr>
                                                                                                                                                                                                                                                                                        <w:top w:val="none" w:sz="0" w:space="0" w:color="auto"/>
                                                                                                                                                                                                                                                                                        <w:left w:val="none" w:sz="0" w:space="0" w:color="auto"/>
                                                                                                                                                                                                                                                                                        <w:bottom w:val="none" w:sz="0" w:space="0" w:color="auto"/>
                                                                                                                                                                                                                                                                                        <w:right w:val="none" w:sz="0" w:space="0" w:color="auto"/>
                                                                                                                                                                                                                                                                                      </w:divBdr>
                                                                                                                                                                                                                                                                                      <w:divsChild>
                                                                                                                                                                                                                                                                                        <w:div w:id="1882747190">
                                                                                                                                                                                                                                                                                          <w:marLeft w:val="0"/>
                                                                                                                                                                                                                                                                                          <w:marRight w:val="0"/>
                                                                                                                                                                                                                                                                                          <w:marTop w:val="0"/>
                                                                                                                                                                                                                                                                                          <w:marBottom w:val="0"/>
                                                                                                                                                                                                                                                                                          <w:divBdr>
                                                                                                                                                                                                                                                                                            <w:top w:val="none" w:sz="0" w:space="0" w:color="auto"/>
                                                                                                                                                                                                                                                                                            <w:left w:val="none" w:sz="0" w:space="0" w:color="auto"/>
                                                                                                                                                                                                                                                                                            <w:bottom w:val="none" w:sz="0" w:space="0" w:color="auto"/>
                                                                                                                                                                                                                                                                                            <w:right w:val="none" w:sz="0" w:space="0" w:color="auto"/>
                                                                                                                                                                                                                                                                                          </w:divBdr>
                                                                                                                                                                                                                                                                                          <w:divsChild>
                                                                                                                                                                                                                                                                                            <w:div w:id="2098666983">
                                                                                                                                                                                                                                                                                              <w:marLeft w:val="0"/>
                                                                                                                                                                                                                                                                                              <w:marRight w:val="0"/>
                                                                                                                                                                                                                                                                                              <w:marTop w:val="0"/>
                                                                                                                                                                                                                                                                                              <w:marBottom w:val="0"/>
                                                                                                                                                                                                                                                                                              <w:divBdr>
                                                                                                                                                                                                                                                                                                <w:top w:val="none" w:sz="0" w:space="0" w:color="auto"/>
                                                                                                                                                                                                                                                                                                <w:left w:val="none" w:sz="0" w:space="0" w:color="auto"/>
                                                                                                                                                                                                                                                                                                <w:bottom w:val="none" w:sz="0" w:space="0" w:color="auto"/>
                                                                                                                                                                                                                                                                                                <w:right w:val="none" w:sz="0" w:space="0" w:color="auto"/>
                                                                                                                                                                                                                                                                                              </w:divBdr>
                                                                                                                                                                                                                                                                                              <w:divsChild>
                                                                                                                                                                                                                                                                                                <w:div w:id="100601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8486024">
                                                                                                                                                                                                                                                          <w:marLeft w:val="0"/>
                                                                                                                                                                                                                                                          <w:marRight w:val="0"/>
                                                                                                                                                                                                                                                          <w:marTop w:val="0"/>
                                                                                                                                                                                                                                                          <w:marBottom w:val="0"/>
                                                                                                                                                                                                                                                          <w:divBdr>
                                                                                                                                                                                                                                                            <w:top w:val="none" w:sz="0" w:space="0" w:color="auto"/>
                                                                                                                                                                                                                                                            <w:left w:val="none" w:sz="0" w:space="0" w:color="auto"/>
                                                                                                                                                                                                                                                            <w:bottom w:val="none" w:sz="0" w:space="0" w:color="auto"/>
                                                                                                                                                                                                                                                            <w:right w:val="none" w:sz="0" w:space="0" w:color="auto"/>
                                                                                                                                                                                                                                                          </w:divBdr>
                                                                                                                                                                                                                                                        </w:div>
                                                                                                                                                                                                                                                      </w:divsChild>
                                                                                                                                                                                                                                                    </w:div>
                                                                                                                                                                                                                                                    <w:div w:id="192514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0174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66169539">
      <w:bodyDiv w:val="1"/>
      <w:marLeft w:val="0"/>
      <w:marRight w:val="0"/>
      <w:marTop w:val="0"/>
      <w:marBottom w:val="0"/>
      <w:divBdr>
        <w:top w:val="none" w:sz="0" w:space="0" w:color="auto"/>
        <w:left w:val="none" w:sz="0" w:space="0" w:color="auto"/>
        <w:bottom w:val="none" w:sz="0" w:space="0" w:color="auto"/>
        <w:right w:val="none" w:sz="0" w:space="0" w:color="auto"/>
      </w:divBdr>
    </w:div>
    <w:div w:id="879828421">
      <w:bodyDiv w:val="1"/>
      <w:marLeft w:val="0"/>
      <w:marRight w:val="0"/>
      <w:marTop w:val="0"/>
      <w:marBottom w:val="0"/>
      <w:divBdr>
        <w:top w:val="none" w:sz="0" w:space="0" w:color="auto"/>
        <w:left w:val="none" w:sz="0" w:space="0" w:color="auto"/>
        <w:bottom w:val="none" w:sz="0" w:space="0" w:color="auto"/>
        <w:right w:val="none" w:sz="0" w:space="0" w:color="auto"/>
      </w:divBdr>
    </w:div>
    <w:div w:id="885722939">
      <w:bodyDiv w:val="1"/>
      <w:marLeft w:val="0"/>
      <w:marRight w:val="0"/>
      <w:marTop w:val="0"/>
      <w:marBottom w:val="0"/>
      <w:divBdr>
        <w:top w:val="none" w:sz="0" w:space="0" w:color="auto"/>
        <w:left w:val="none" w:sz="0" w:space="0" w:color="auto"/>
        <w:bottom w:val="none" w:sz="0" w:space="0" w:color="auto"/>
        <w:right w:val="none" w:sz="0" w:space="0" w:color="auto"/>
      </w:divBdr>
    </w:div>
    <w:div w:id="892350937">
      <w:bodyDiv w:val="1"/>
      <w:marLeft w:val="0"/>
      <w:marRight w:val="0"/>
      <w:marTop w:val="0"/>
      <w:marBottom w:val="0"/>
      <w:divBdr>
        <w:top w:val="none" w:sz="0" w:space="0" w:color="auto"/>
        <w:left w:val="none" w:sz="0" w:space="0" w:color="auto"/>
        <w:bottom w:val="none" w:sz="0" w:space="0" w:color="auto"/>
        <w:right w:val="none" w:sz="0" w:space="0" w:color="auto"/>
      </w:divBdr>
    </w:div>
    <w:div w:id="904098240">
      <w:bodyDiv w:val="1"/>
      <w:marLeft w:val="0"/>
      <w:marRight w:val="0"/>
      <w:marTop w:val="0"/>
      <w:marBottom w:val="0"/>
      <w:divBdr>
        <w:top w:val="none" w:sz="0" w:space="0" w:color="auto"/>
        <w:left w:val="none" w:sz="0" w:space="0" w:color="auto"/>
        <w:bottom w:val="none" w:sz="0" w:space="0" w:color="auto"/>
        <w:right w:val="none" w:sz="0" w:space="0" w:color="auto"/>
      </w:divBdr>
    </w:div>
    <w:div w:id="997416502">
      <w:bodyDiv w:val="1"/>
      <w:marLeft w:val="0"/>
      <w:marRight w:val="0"/>
      <w:marTop w:val="0"/>
      <w:marBottom w:val="0"/>
      <w:divBdr>
        <w:top w:val="none" w:sz="0" w:space="0" w:color="auto"/>
        <w:left w:val="none" w:sz="0" w:space="0" w:color="auto"/>
        <w:bottom w:val="none" w:sz="0" w:space="0" w:color="auto"/>
        <w:right w:val="none" w:sz="0" w:space="0" w:color="auto"/>
      </w:divBdr>
    </w:div>
    <w:div w:id="1013580018">
      <w:bodyDiv w:val="1"/>
      <w:marLeft w:val="0"/>
      <w:marRight w:val="0"/>
      <w:marTop w:val="0"/>
      <w:marBottom w:val="0"/>
      <w:divBdr>
        <w:top w:val="none" w:sz="0" w:space="0" w:color="auto"/>
        <w:left w:val="none" w:sz="0" w:space="0" w:color="auto"/>
        <w:bottom w:val="none" w:sz="0" w:space="0" w:color="auto"/>
        <w:right w:val="none" w:sz="0" w:space="0" w:color="auto"/>
      </w:divBdr>
    </w:div>
    <w:div w:id="1157645531">
      <w:bodyDiv w:val="1"/>
      <w:marLeft w:val="0"/>
      <w:marRight w:val="0"/>
      <w:marTop w:val="0"/>
      <w:marBottom w:val="0"/>
      <w:divBdr>
        <w:top w:val="none" w:sz="0" w:space="0" w:color="auto"/>
        <w:left w:val="none" w:sz="0" w:space="0" w:color="auto"/>
        <w:bottom w:val="none" w:sz="0" w:space="0" w:color="auto"/>
        <w:right w:val="none" w:sz="0" w:space="0" w:color="auto"/>
      </w:divBdr>
      <w:divsChild>
        <w:div w:id="2042971457">
          <w:marLeft w:val="0"/>
          <w:marRight w:val="0"/>
          <w:marTop w:val="0"/>
          <w:marBottom w:val="0"/>
          <w:divBdr>
            <w:top w:val="none" w:sz="0" w:space="0" w:color="auto"/>
            <w:left w:val="none" w:sz="0" w:space="0" w:color="auto"/>
            <w:bottom w:val="none" w:sz="0" w:space="0" w:color="auto"/>
            <w:right w:val="none" w:sz="0" w:space="0" w:color="auto"/>
          </w:divBdr>
          <w:divsChild>
            <w:div w:id="657226706">
              <w:marLeft w:val="0"/>
              <w:marRight w:val="0"/>
              <w:marTop w:val="0"/>
              <w:marBottom w:val="0"/>
              <w:divBdr>
                <w:top w:val="none" w:sz="0" w:space="0" w:color="auto"/>
                <w:left w:val="none" w:sz="0" w:space="0" w:color="auto"/>
                <w:bottom w:val="none" w:sz="0" w:space="0" w:color="auto"/>
                <w:right w:val="none" w:sz="0" w:space="0" w:color="auto"/>
              </w:divBdr>
              <w:divsChild>
                <w:div w:id="1100881280">
                  <w:marLeft w:val="0"/>
                  <w:marRight w:val="0"/>
                  <w:marTop w:val="0"/>
                  <w:marBottom w:val="0"/>
                  <w:divBdr>
                    <w:top w:val="none" w:sz="0" w:space="0" w:color="auto"/>
                    <w:left w:val="none" w:sz="0" w:space="0" w:color="auto"/>
                    <w:bottom w:val="none" w:sz="0" w:space="0" w:color="auto"/>
                    <w:right w:val="none" w:sz="0" w:space="0" w:color="auto"/>
                  </w:divBdr>
                  <w:divsChild>
                    <w:div w:id="1713262659">
                      <w:marLeft w:val="0"/>
                      <w:marRight w:val="0"/>
                      <w:marTop w:val="0"/>
                      <w:marBottom w:val="0"/>
                      <w:divBdr>
                        <w:top w:val="none" w:sz="0" w:space="0" w:color="auto"/>
                        <w:left w:val="none" w:sz="0" w:space="0" w:color="auto"/>
                        <w:bottom w:val="none" w:sz="0" w:space="0" w:color="auto"/>
                        <w:right w:val="none" w:sz="0" w:space="0" w:color="auto"/>
                      </w:divBdr>
                      <w:divsChild>
                        <w:div w:id="1472095715">
                          <w:marLeft w:val="0"/>
                          <w:marRight w:val="0"/>
                          <w:marTop w:val="0"/>
                          <w:marBottom w:val="0"/>
                          <w:divBdr>
                            <w:top w:val="none" w:sz="0" w:space="0" w:color="auto"/>
                            <w:left w:val="none" w:sz="0" w:space="0" w:color="auto"/>
                            <w:bottom w:val="none" w:sz="0" w:space="0" w:color="auto"/>
                            <w:right w:val="none" w:sz="0" w:space="0" w:color="auto"/>
                          </w:divBdr>
                          <w:divsChild>
                            <w:div w:id="524177192">
                              <w:marLeft w:val="0"/>
                              <w:marRight w:val="0"/>
                              <w:marTop w:val="0"/>
                              <w:marBottom w:val="0"/>
                              <w:divBdr>
                                <w:top w:val="none" w:sz="0" w:space="0" w:color="auto"/>
                                <w:left w:val="none" w:sz="0" w:space="0" w:color="auto"/>
                                <w:bottom w:val="none" w:sz="0" w:space="0" w:color="auto"/>
                                <w:right w:val="none" w:sz="0" w:space="0" w:color="auto"/>
                              </w:divBdr>
                              <w:divsChild>
                                <w:div w:id="2102993779">
                                  <w:marLeft w:val="0"/>
                                  <w:marRight w:val="0"/>
                                  <w:marTop w:val="0"/>
                                  <w:marBottom w:val="0"/>
                                  <w:divBdr>
                                    <w:top w:val="none" w:sz="0" w:space="0" w:color="auto"/>
                                    <w:left w:val="none" w:sz="0" w:space="0" w:color="auto"/>
                                    <w:bottom w:val="none" w:sz="0" w:space="0" w:color="auto"/>
                                    <w:right w:val="none" w:sz="0" w:space="0" w:color="auto"/>
                                  </w:divBdr>
                                  <w:divsChild>
                                    <w:div w:id="2834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6312213">
      <w:bodyDiv w:val="1"/>
      <w:marLeft w:val="0"/>
      <w:marRight w:val="0"/>
      <w:marTop w:val="0"/>
      <w:marBottom w:val="0"/>
      <w:divBdr>
        <w:top w:val="none" w:sz="0" w:space="0" w:color="auto"/>
        <w:left w:val="none" w:sz="0" w:space="0" w:color="auto"/>
        <w:bottom w:val="none" w:sz="0" w:space="0" w:color="auto"/>
        <w:right w:val="none" w:sz="0" w:space="0" w:color="auto"/>
      </w:divBdr>
    </w:div>
    <w:div w:id="1499810233">
      <w:bodyDiv w:val="1"/>
      <w:marLeft w:val="0"/>
      <w:marRight w:val="0"/>
      <w:marTop w:val="0"/>
      <w:marBottom w:val="0"/>
      <w:divBdr>
        <w:top w:val="none" w:sz="0" w:space="0" w:color="auto"/>
        <w:left w:val="none" w:sz="0" w:space="0" w:color="auto"/>
        <w:bottom w:val="none" w:sz="0" w:space="0" w:color="auto"/>
        <w:right w:val="none" w:sz="0" w:space="0" w:color="auto"/>
      </w:divBdr>
    </w:div>
    <w:div w:id="1536652905">
      <w:bodyDiv w:val="1"/>
      <w:marLeft w:val="0"/>
      <w:marRight w:val="0"/>
      <w:marTop w:val="0"/>
      <w:marBottom w:val="0"/>
      <w:divBdr>
        <w:top w:val="none" w:sz="0" w:space="0" w:color="auto"/>
        <w:left w:val="none" w:sz="0" w:space="0" w:color="auto"/>
        <w:bottom w:val="none" w:sz="0" w:space="0" w:color="auto"/>
        <w:right w:val="none" w:sz="0" w:space="0" w:color="auto"/>
      </w:divBdr>
    </w:div>
    <w:div w:id="1802840842">
      <w:bodyDiv w:val="1"/>
      <w:marLeft w:val="0"/>
      <w:marRight w:val="0"/>
      <w:marTop w:val="0"/>
      <w:marBottom w:val="0"/>
      <w:divBdr>
        <w:top w:val="none" w:sz="0" w:space="0" w:color="auto"/>
        <w:left w:val="none" w:sz="0" w:space="0" w:color="auto"/>
        <w:bottom w:val="none" w:sz="0" w:space="0" w:color="auto"/>
        <w:right w:val="none" w:sz="0" w:space="0" w:color="auto"/>
      </w:divBdr>
    </w:div>
    <w:div w:id="1823616308">
      <w:bodyDiv w:val="1"/>
      <w:marLeft w:val="0"/>
      <w:marRight w:val="0"/>
      <w:marTop w:val="0"/>
      <w:marBottom w:val="0"/>
      <w:divBdr>
        <w:top w:val="none" w:sz="0" w:space="0" w:color="auto"/>
        <w:left w:val="none" w:sz="0" w:space="0" w:color="auto"/>
        <w:bottom w:val="none" w:sz="0" w:space="0" w:color="auto"/>
        <w:right w:val="none" w:sz="0" w:space="0" w:color="auto"/>
      </w:divBdr>
      <w:divsChild>
        <w:div w:id="799417920">
          <w:marLeft w:val="1260"/>
          <w:marRight w:val="0"/>
          <w:marTop w:val="0"/>
          <w:marBottom w:val="0"/>
          <w:divBdr>
            <w:top w:val="none" w:sz="0" w:space="0" w:color="auto"/>
            <w:left w:val="single" w:sz="36" w:space="4" w:color="6699CC"/>
            <w:bottom w:val="none" w:sz="0" w:space="0" w:color="auto"/>
            <w:right w:val="none" w:sz="0" w:space="0" w:color="auto"/>
          </w:divBdr>
        </w:div>
      </w:divsChild>
    </w:div>
    <w:div w:id="1861890353">
      <w:bodyDiv w:val="1"/>
      <w:marLeft w:val="0"/>
      <w:marRight w:val="0"/>
      <w:marTop w:val="0"/>
      <w:marBottom w:val="0"/>
      <w:divBdr>
        <w:top w:val="none" w:sz="0" w:space="0" w:color="auto"/>
        <w:left w:val="none" w:sz="0" w:space="0" w:color="auto"/>
        <w:bottom w:val="none" w:sz="0" w:space="0" w:color="auto"/>
        <w:right w:val="none" w:sz="0" w:space="0" w:color="auto"/>
      </w:divBdr>
    </w:div>
    <w:div w:id="1917010184">
      <w:bodyDiv w:val="1"/>
      <w:marLeft w:val="0"/>
      <w:marRight w:val="0"/>
      <w:marTop w:val="0"/>
      <w:marBottom w:val="0"/>
      <w:divBdr>
        <w:top w:val="none" w:sz="0" w:space="0" w:color="auto"/>
        <w:left w:val="none" w:sz="0" w:space="0" w:color="auto"/>
        <w:bottom w:val="none" w:sz="0" w:space="0" w:color="auto"/>
        <w:right w:val="none" w:sz="0" w:space="0" w:color="auto"/>
      </w:divBdr>
    </w:div>
    <w:div w:id="2006394014">
      <w:bodyDiv w:val="1"/>
      <w:marLeft w:val="0"/>
      <w:marRight w:val="0"/>
      <w:marTop w:val="0"/>
      <w:marBottom w:val="0"/>
      <w:divBdr>
        <w:top w:val="none" w:sz="0" w:space="0" w:color="auto"/>
        <w:left w:val="none" w:sz="0" w:space="0" w:color="auto"/>
        <w:bottom w:val="none" w:sz="0" w:space="0" w:color="auto"/>
        <w:right w:val="none" w:sz="0" w:space="0" w:color="auto"/>
      </w:divBdr>
    </w:div>
    <w:div w:id="2078242725">
      <w:bodyDiv w:val="1"/>
      <w:marLeft w:val="0"/>
      <w:marRight w:val="0"/>
      <w:marTop w:val="0"/>
      <w:marBottom w:val="0"/>
      <w:divBdr>
        <w:top w:val="none" w:sz="0" w:space="0" w:color="auto"/>
        <w:left w:val="none" w:sz="0" w:space="0" w:color="auto"/>
        <w:bottom w:val="none" w:sz="0" w:space="0" w:color="auto"/>
        <w:right w:val="none" w:sz="0" w:space="0" w:color="auto"/>
      </w:divBdr>
    </w:div>
    <w:div w:id="21317803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tif"/><Relationship Id="rId18" Type="http://schemas.openxmlformats.org/officeDocument/2006/relationships/image" Target="media/image8.tif"/><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2.tif"/><Relationship Id="rId17" Type="http://schemas.openxmlformats.org/officeDocument/2006/relationships/image" Target="media/image7.tif"/><Relationship Id="rId2" Type="http://schemas.openxmlformats.org/officeDocument/2006/relationships/customXml" Target="../customXml/item2.xml"/><Relationship Id="rId16" Type="http://schemas.openxmlformats.org/officeDocument/2006/relationships/image" Target="media/image6.ti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j.cabral@imperial.ac.uk" TargetMode="Externa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image" Target="media/image5.tif"/><Relationship Id="rId23" Type="http://schemas.microsoft.com/office/2011/relationships/people" Target="people.xml"/><Relationship Id="rId10" Type="http://schemas.openxmlformats.org/officeDocument/2006/relationships/image" Target="media/image1.tif"/><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tif"/><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na\Documents\Custom%20Office%20Template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AAEAAAD/////AQAAAAAAAAAMAgAAAEVDaGVtNFdvcmQuQ29yZSwgVmVyc2lvbj0xLjUuMC4wLCBDdWx0dXJlPW5ldXRyYWwsIFB1YmxpY0tleVRva2VuPW51bGwHAQAAAAABAAAAAAAAAAQgQ2hlbTRXb3JkLkNvcmUuQ29udHJvbFByb3BlcnRpZXMCAAAACw==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9A8FC5-3E1B-43B4-9BFE-DB0F21C88814}">
  <ds:schemaRefs>
    <ds:schemaRef ds:uri="urn:schemas-microsoft-com.VSTO2008Demos.ControlsStorage"/>
  </ds:schemaRefs>
</ds:datastoreItem>
</file>

<file path=customXml/itemProps2.xml><?xml version="1.0" encoding="utf-8"?>
<ds:datastoreItem xmlns:ds="http://schemas.openxmlformats.org/officeDocument/2006/customXml" ds:itemID="{0FDBB14E-CD58-48BB-B6BA-223B54CB7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1</TotalTime>
  <Pages>30</Pages>
  <Words>28484</Words>
  <Characters>162363</Characters>
  <Application>Microsoft Office Word</Application>
  <DocSecurity>0</DocSecurity>
  <Lines>1353</Lines>
  <Paragraphs>380</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190467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ruhina.miller08@imperial.ac.uk</dc:creator>
  <cp:lastModifiedBy>Joao Cabral</cp:lastModifiedBy>
  <cp:revision>2</cp:revision>
  <cp:lastPrinted>2016-10-25T16:56:00Z</cp:lastPrinted>
  <dcterms:created xsi:type="dcterms:W3CDTF">2017-03-22T15:57:00Z</dcterms:created>
  <dcterms:modified xsi:type="dcterms:W3CDTF">2017-03-22T15:57:00Z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http://www.zotero.org/styles/royal-society-of-chemistry</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(author-date)</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http://www.zotero.org/styles/royal-society-of-chemistry</vt:lpwstr>
  </property>
  <property fmtid="{D5CDD505-2E9C-101B-9397-08002B2CF9AE}" pid="23" name="Mendeley Recent Style Name 9_1">
    <vt:lpwstr>Royal Society of Chemistry</vt:lpwstr>
  </property>
</Properties>
</file>