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4BDB6" w14:textId="601C9170" w:rsidR="00914113" w:rsidRDefault="00914113" w:rsidP="00D061BC">
      <w:pPr>
        <w:spacing w:line="480" w:lineRule="auto"/>
        <w:rPr>
          <w:rFonts w:ascii="Times New Roman" w:hAnsi="Times New Roman" w:cs="Times New Roman"/>
          <w:b/>
          <w:sz w:val="28"/>
        </w:rPr>
      </w:pPr>
      <w:r>
        <w:rPr>
          <w:rFonts w:ascii="Times New Roman" w:hAnsi="Times New Roman" w:cs="Times New Roman"/>
          <w:b/>
          <w:sz w:val="28"/>
        </w:rPr>
        <w:t xml:space="preserve">Logging disturbance shifts net primary productivity and its allocation in </w:t>
      </w:r>
      <w:r w:rsidR="00513C7E">
        <w:rPr>
          <w:rFonts w:ascii="Times New Roman" w:hAnsi="Times New Roman" w:cs="Times New Roman"/>
          <w:b/>
          <w:sz w:val="28"/>
        </w:rPr>
        <w:t xml:space="preserve">Bornean </w:t>
      </w:r>
      <w:r>
        <w:rPr>
          <w:rFonts w:ascii="Times New Roman" w:hAnsi="Times New Roman" w:cs="Times New Roman"/>
          <w:b/>
          <w:sz w:val="28"/>
        </w:rPr>
        <w:t>tropical forest</w:t>
      </w:r>
      <w:r w:rsidR="00513C7E">
        <w:rPr>
          <w:rFonts w:ascii="Times New Roman" w:hAnsi="Times New Roman" w:cs="Times New Roman"/>
          <w:b/>
          <w:sz w:val="28"/>
        </w:rPr>
        <w:t>s</w:t>
      </w:r>
    </w:p>
    <w:p w14:paraId="109EEAAD" w14:textId="77777777" w:rsidR="00914113" w:rsidRPr="00BE3BC6" w:rsidRDefault="00914113" w:rsidP="00D061B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E3BC6">
        <w:rPr>
          <w:rFonts w:ascii="Times New Roman" w:hAnsi="Times New Roman" w:cs="Times New Roman"/>
          <w:sz w:val="24"/>
          <w:szCs w:val="24"/>
        </w:rPr>
        <w:t>NPP and disturbance in tropical forest</w:t>
      </w:r>
    </w:p>
    <w:p w14:paraId="3B9DB67B" w14:textId="42370917" w:rsidR="00914113" w:rsidRDefault="00914113" w:rsidP="00D061BC">
      <w:pPr>
        <w:spacing w:line="480" w:lineRule="auto"/>
        <w:rPr>
          <w:rFonts w:ascii="Times New Roman" w:hAnsi="Times New Roman" w:cs="Times New Roman"/>
          <w:sz w:val="24"/>
          <w:szCs w:val="24"/>
          <w:vertAlign w:val="superscript"/>
        </w:rPr>
      </w:pPr>
      <w:r w:rsidRPr="00BE3BC6">
        <w:rPr>
          <w:rFonts w:ascii="Times New Roman" w:hAnsi="Times New Roman" w:cs="Times New Roman"/>
          <w:sz w:val="24"/>
          <w:szCs w:val="24"/>
        </w:rPr>
        <w:t>Terhi Riutta</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Yadvinder Malhi</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Kho Lip Khoon</w:t>
      </w:r>
      <w:r w:rsidRPr="00BE3BC6">
        <w:rPr>
          <w:rFonts w:ascii="Times New Roman" w:hAnsi="Times New Roman" w:cs="Times New Roman"/>
          <w:sz w:val="24"/>
          <w:szCs w:val="24"/>
          <w:vertAlign w:val="superscript"/>
        </w:rPr>
        <w:t>1,2</w:t>
      </w:r>
      <w:r w:rsidRPr="00BE3BC6">
        <w:rPr>
          <w:rFonts w:ascii="Times New Roman" w:hAnsi="Times New Roman" w:cs="Times New Roman"/>
          <w:sz w:val="24"/>
          <w:szCs w:val="24"/>
        </w:rPr>
        <w:t xml:space="preserve">, Toby </w:t>
      </w:r>
      <w:r>
        <w:rPr>
          <w:rFonts w:ascii="Times New Roman" w:hAnsi="Times New Roman" w:cs="Times New Roman"/>
          <w:sz w:val="24"/>
          <w:szCs w:val="24"/>
        </w:rPr>
        <w:t xml:space="preserve">Richard </w:t>
      </w:r>
      <w:r w:rsidRPr="00BE3BC6">
        <w:rPr>
          <w:rFonts w:ascii="Times New Roman" w:hAnsi="Times New Roman" w:cs="Times New Roman"/>
          <w:sz w:val="24"/>
          <w:szCs w:val="24"/>
        </w:rPr>
        <w:t>Marthews</w:t>
      </w:r>
      <w:r w:rsidRPr="00BE3BC6">
        <w:rPr>
          <w:rFonts w:ascii="Times New Roman" w:hAnsi="Times New Roman" w:cs="Times New Roman"/>
          <w:sz w:val="24"/>
          <w:szCs w:val="24"/>
          <w:vertAlign w:val="superscript"/>
        </w:rPr>
        <w:t>3</w:t>
      </w:r>
      <w:r>
        <w:rPr>
          <w:rFonts w:ascii="Times New Roman" w:hAnsi="Times New Roman" w:cs="Times New Roman"/>
          <w:sz w:val="24"/>
          <w:szCs w:val="24"/>
          <w:vertAlign w:val="superscript"/>
        </w:rPr>
        <w:t>,1</w:t>
      </w:r>
      <w:r w:rsidRPr="00BE3BC6">
        <w:rPr>
          <w:rFonts w:ascii="Times New Roman" w:hAnsi="Times New Roman" w:cs="Times New Roman"/>
          <w:sz w:val="24"/>
          <w:szCs w:val="24"/>
        </w:rPr>
        <w:t>, Walter Huaraca Huasco</w:t>
      </w:r>
      <w:r w:rsidRPr="00BE3BC6">
        <w:rPr>
          <w:rFonts w:ascii="Times New Roman" w:hAnsi="Times New Roman" w:cs="Times New Roman"/>
          <w:sz w:val="24"/>
          <w:szCs w:val="24"/>
          <w:vertAlign w:val="superscript"/>
        </w:rPr>
        <w:t>4</w:t>
      </w:r>
      <w:r w:rsidRPr="00BE3BC6">
        <w:rPr>
          <w:rFonts w:ascii="Times New Roman" w:hAnsi="Times New Roman" w:cs="Times New Roman"/>
          <w:sz w:val="24"/>
          <w:szCs w:val="24"/>
        </w:rPr>
        <w:t>, MinSheng Khoo</w:t>
      </w:r>
      <w:r w:rsidRPr="00BE3BC6">
        <w:rPr>
          <w:rFonts w:ascii="Times New Roman" w:hAnsi="Times New Roman" w:cs="Times New Roman"/>
          <w:sz w:val="24"/>
          <w:szCs w:val="24"/>
          <w:vertAlign w:val="superscript"/>
        </w:rPr>
        <w:t>5</w:t>
      </w:r>
      <w:r w:rsidRPr="00BE3BC6">
        <w:rPr>
          <w:rFonts w:ascii="Times New Roman" w:hAnsi="Times New Roman" w:cs="Times New Roman"/>
          <w:sz w:val="24"/>
          <w:szCs w:val="24"/>
        </w:rPr>
        <w:t>, Sylvester Tan</w:t>
      </w:r>
      <w:r w:rsidRPr="00BE3BC6">
        <w:rPr>
          <w:rFonts w:ascii="Times New Roman" w:hAnsi="Times New Roman" w:cs="Times New Roman"/>
          <w:sz w:val="24"/>
          <w:szCs w:val="24"/>
          <w:vertAlign w:val="superscript"/>
        </w:rPr>
        <w:t>6</w:t>
      </w:r>
      <w:r w:rsidRPr="00BE3BC6">
        <w:rPr>
          <w:rFonts w:ascii="Times New Roman" w:hAnsi="Times New Roman" w:cs="Times New Roman"/>
          <w:sz w:val="24"/>
          <w:szCs w:val="24"/>
        </w:rPr>
        <w:t xml:space="preserve">, Edgar </w:t>
      </w:r>
      <w:r w:rsidR="00070EFB">
        <w:rPr>
          <w:rFonts w:ascii="Times New Roman" w:hAnsi="Times New Roman" w:cs="Times New Roman"/>
          <w:sz w:val="24"/>
          <w:szCs w:val="24"/>
        </w:rPr>
        <w:t xml:space="preserve">C. </w:t>
      </w:r>
      <w:r w:rsidRPr="00BE3BC6">
        <w:rPr>
          <w:rFonts w:ascii="Times New Roman" w:hAnsi="Times New Roman" w:cs="Times New Roman"/>
          <w:sz w:val="24"/>
          <w:szCs w:val="24"/>
        </w:rPr>
        <w:t>Turner</w:t>
      </w:r>
      <w:r>
        <w:rPr>
          <w:rFonts w:ascii="Times New Roman" w:hAnsi="Times New Roman" w:cs="Times New Roman"/>
          <w:sz w:val="24"/>
          <w:szCs w:val="24"/>
          <w:vertAlign w:val="superscript"/>
        </w:rPr>
        <w:t>7</w:t>
      </w:r>
      <w:r w:rsidRPr="00BE3BC6">
        <w:rPr>
          <w:rFonts w:ascii="Times New Roman" w:hAnsi="Times New Roman" w:cs="Times New Roman"/>
          <w:sz w:val="24"/>
          <w:szCs w:val="24"/>
        </w:rPr>
        <w:t>, Glen Reynolds</w:t>
      </w:r>
      <w:r>
        <w:rPr>
          <w:rFonts w:ascii="Times New Roman" w:hAnsi="Times New Roman" w:cs="Times New Roman"/>
          <w:sz w:val="24"/>
          <w:szCs w:val="24"/>
          <w:vertAlign w:val="superscript"/>
        </w:rPr>
        <w:t>8</w:t>
      </w:r>
      <w:r>
        <w:rPr>
          <w:rFonts w:ascii="Times New Roman" w:hAnsi="Times New Roman" w:cs="Times New Roman"/>
          <w:sz w:val="24"/>
          <w:szCs w:val="24"/>
        </w:rPr>
        <w:t>,</w:t>
      </w:r>
      <w:r w:rsidRPr="00BE3BC6">
        <w:rPr>
          <w:rFonts w:ascii="Times New Roman" w:hAnsi="Times New Roman" w:cs="Times New Roman"/>
          <w:sz w:val="24"/>
          <w:szCs w:val="24"/>
        </w:rPr>
        <w:t xml:space="preserve"> </w:t>
      </w:r>
      <w:r>
        <w:rPr>
          <w:rFonts w:ascii="Times New Roman" w:hAnsi="Times New Roman" w:cs="Times New Roman"/>
          <w:sz w:val="24"/>
          <w:szCs w:val="24"/>
        </w:rPr>
        <w:t>Sabine Both</w:t>
      </w:r>
      <w:r w:rsidRPr="00AB096D">
        <w:rPr>
          <w:rFonts w:ascii="Times New Roman" w:hAnsi="Times New Roman" w:cs="Times New Roman"/>
          <w:sz w:val="24"/>
          <w:szCs w:val="24"/>
          <w:vertAlign w:val="superscript"/>
        </w:rPr>
        <w:t>9</w:t>
      </w:r>
      <w:r>
        <w:rPr>
          <w:rFonts w:ascii="Times New Roman" w:hAnsi="Times New Roman" w:cs="Times New Roman"/>
          <w:sz w:val="24"/>
          <w:szCs w:val="24"/>
        </w:rPr>
        <w:t xml:space="preserve">, </w:t>
      </w:r>
      <w:r w:rsidR="00796829">
        <w:rPr>
          <w:rFonts w:ascii="Times New Roman" w:hAnsi="Times New Roman" w:cs="Times New Roman"/>
          <w:sz w:val="24"/>
          <w:szCs w:val="24"/>
        </w:rPr>
        <w:t xml:space="preserve">David F.R.P. </w:t>
      </w:r>
      <w:r>
        <w:rPr>
          <w:rFonts w:ascii="Times New Roman" w:hAnsi="Times New Roman" w:cs="Times New Roman"/>
          <w:sz w:val="24"/>
          <w:szCs w:val="24"/>
        </w:rPr>
        <w:t>Burslem</w:t>
      </w:r>
      <w:r w:rsidRPr="00AB096D">
        <w:rPr>
          <w:rFonts w:ascii="Times New Roman" w:hAnsi="Times New Roman" w:cs="Times New Roman"/>
          <w:sz w:val="24"/>
          <w:szCs w:val="24"/>
          <w:vertAlign w:val="superscript"/>
        </w:rPr>
        <w:t>9</w:t>
      </w:r>
      <w:r>
        <w:rPr>
          <w:rFonts w:ascii="Times New Roman" w:hAnsi="Times New Roman" w:cs="Times New Roman"/>
          <w:sz w:val="24"/>
          <w:szCs w:val="24"/>
        </w:rPr>
        <w:t>, Yit Arn Teh</w:t>
      </w:r>
      <w:r w:rsidRPr="00AB096D">
        <w:rPr>
          <w:rFonts w:ascii="Times New Roman" w:hAnsi="Times New Roman" w:cs="Times New Roman"/>
          <w:sz w:val="24"/>
          <w:szCs w:val="24"/>
          <w:vertAlign w:val="superscript"/>
        </w:rPr>
        <w:t>9</w:t>
      </w:r>
      <w:r>
        <w:rPr>
          <w:rFonts w:ascii="Times New Roman" w:hAnsi="Times New Roman" w:cs="Times New Roman"/>
          <w:sz w:val="24"/>
          <w:szCs w:val="24"/>
        </w:rPr>
        <w:t>, Charles S. Vairappan</w:t>
      </w:r>
      <w:r>
        <w:rPr>
          <w:rFonts w:ascii="Times New Roman" w:hAnsi="Times New Roman" w:cs="Times New Roman"/>
          <w:sz w:val="24"/>
          <w:szCs w:val="24"/>
          <w:vertAlign w:val="superscript"/>
        </w:rPr>
        <w:t>10</w:t>
      </w:r>
      <w:r>
        <w:rPr>
          <w:rFonts w:ascii="Times New Roman" w:hAnsi="Times New Roman" w:cs="Times New Roman"/>
          <w:sz w:val="24"/>
          <w:szCs w:val="24"/>
        </w:rPr>
        <w:t xml:space="preserve">, </w:t>
      </w:r>
      <w:r w:rsidRPr="00BE3BC6">
        <w:rPr>
          <w:rFonts w:ascii="Times New Roman" w:hAnsi="Times New Roman" w:cs="Times New Roman"/>
          <w:sz w:val="24"/>
          <w:szCs w:val="24"/>
        </w:rPr>
        <w:t xml:space="preserve"> </w:t>
      </w:r>
      <w:r>
        <w:rPr>
          <w:rFonts w:ascii="Times New Roman" w:hAnsi="Times New Roman" w:cs="Times New Roman"/>
          <w:sz w:val="24"/>
          <w:szCs w:val="24"/>
        </w:rPr>
        <w:t>Noreen Majalap</w:t>
      </w:r>
      <w:r w:rsidRPr="008E57CB">
        <w:rPr>
          <w:rFonts w:ascii="Times New Roman" w:hAnsi="Times New Roman" w:cs="Times New Roman"/>
          <w:sz w:val="24"/>
          <w:szCs w:val="24"/>
          <w:vertAlign w:val="superscript"/>
        </w:rPr>
        <w:t>1</w:t>
      </w:r>
      <w:r>
        <w:rPr>
          <w:rFonts w:ascii="Times New Roman" w:hAnsi="Times New Roman" w:cs="Times New Roman"/>
          <w:sz w:val="24"/>
          <w:szCs w:val="24"/>
          <w:vertAlign w:val="superscript"/>
        </w:rPr>
        <w:t>1</w:t>
      </w:r>
      <w:r>
        <w:rPr>
          <w:rFonts w:ascii="Times New Roman" w:hAnsi="Times New Roman" w:cs="Times New Roman"/>
          <w:sz w:val="24"/>
          <w:szCs w:val="24"/>
        </w:rPr>
        <w:t xml:space="preserve"> &amp; </w:t>
      </w:r>
      <w:r w:rsidRPr="00BE3BC6">
        <w:rPr>
          <w:rFonts w:ascii="Times New Roman" w:hAnsi="Times New Roman" w:cs="Times New Roman"/>
          <w:sz w:val="24"/>
          <w:szCs w:val="24"/>
        </w:rPr>
        <w:t>Rob</w:t>
      </w:r>
      <w:r>
        <w:rPr>
          <w:rFonts w:ascii="Times New Roman" w:hAnsi="Times New Roman" w:cs="Times New Roman"/>
          <w:sz w:val="24"/>
          <w:szCs w:val="24"/>
        </w:rPr>
        <w:t>ert M.</w:t>
      </w:r>
      <w:r w:rsidRPr="00BE3BC6">
        <w:rPr>
          <w:rFonts w:ascii="Times New Roman" w:hAnsi="Times New Roman" w:cs="Times New Roman"/>
          <w:sz w:val="24"/>
          <w:szCs w:val="24"/>
        </w:rPr>
        <w:t xml:space="preserve"> Ewers</w:t>
      </w:r>
      <w:r w:rsidRPr="00BE3BC6">
        <w:rPr>
          <w:rFonts w:ascii="Times New Roman" w:hAnsi="Times New Roman" w:cs="Times New Roman"/>
          <w:sz w:val="24"/>
          <w:szCs w:val="24"/>
          <w:vertAlign w:val="superscript"/>
        </w:rPr>
        <w:t>5</w:t>
      </w:r>
      <w:r>
        <w:rPr>
          <w:rFonts w:ascii="Times New Roman" w:hAnsi="Times New Roman" w:cs="Times New Roman"/>
          <w:sz w:val="24"/>
          <w:szCs w:val="24"/>
          <w:vertAlign w:val="superscript"/>
        </w:rPr>
        <w:t xml:space="preserve"> </w:t>
      </w:r>
    </w:p>
    <w:p w14:paraId="2C6E5909" w14:textId="77777777" w:rsidR="00914113" w:rsidRPr="00BE3BC6" w:rsidRDefault="00914113" w:rsidP="00D061BC">
      <w:pPr>
        <w:spacing w:line="480" w:lineRule="auto"/>
        <w:rPr>
          <w:rFonts w:ascii="Times New Roman" w:hAnsi="Times New Roman" w:cs="Times New Roman"/>
          <w:sz w:val="24"/>
          <w:szCs w:val="24"/>
        </w:rPr>
      </w:pPr>
      <w:r w:rsidRPr="007E50EC">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BE3BC6">
        <w:rPr>
          <w:rFonts w:ascii="Times New Roman" w:hAnsi="Times New Roman" w:cs="Times New Roman"/>
          <w:sz w:val="24"/>
          <w:szCs w:val="24"/>
        </w:rPr>
        <w:t>University of Oxford, School of Geography and the Environment, Environmental Change Institute,</w:t>
      </w:r>
      <w:r>
        <w:rPr>
          <w:rFonts w:ascii="Times New Roman" w:hAnsi="Times New Roman" w:cs="Times New Roman"/>
          <w:sz w:val="24"/>
          <w:szCs w:val="24"/>
        </w:rPr>
        <w:t xml:space="preserve"> South Parks Road, </w:t>
      </w:r>
      <w:r w:rsidRPr="00BE3BC6">
        <w:rPr>
          <w:rFonts w:ascii="Times New Roman" w:hAnsi="Times New Roman" w:cs="Times New Roman"/>
          <w:sz w:val="24"/>
          <w:szCs w:val="24"/>
        </w:rPr>
        <w:t>Oxford,</w:t>
      </w:r>
      <w:r>
        <w:rPr>
          <w:rFonts w:ascii="Times New Roman" w:hAnsi="Times New Roman" w:cs="Times New Roman"/>
          <w:sz w:val="24"/>
          <w:szCs w:val="24"/>
        </w:rPr>
        <w:t xml:space="preserve"> OX1 3QY,</w:t>
      </w:r>
      <w:r w:rsidRPr="00BE3BC6">
        <w:rPr>
          <w:rFonts w:ascii="Times New Roman" w:hAnsi="Times New Roman" w:cs="Times New Roman"/>
          <w:sz w:val="24"/>
          <w:szCs w:val="24"/>
        </w:rPr>
        <w:t xml:space="preserve"> UK</w:t>
      </w:r>
    </w:p>
    <w:p w14:paraId="205A8BA2" w14:textId="77777777" w:rsidR="00914113" w:rsidRDefault="00914113" w:rsidP="00D061BC">
      <w:pPr>
        <w:spacing w:line="480" w:lineRule="auto"/>
        <w:rPr>
          <w:rFonts w:ascii="Times New Roman" w:hAnsi="Times New Roman" w:cs="Times New Roman"/>
          <w:sz w:val="24"/>
          <w:szCs w:val="24"/>
          <w:highlight w:val="yellow"/>
        </w:rPr>
      </w:pPr>
      <w:r w:rsidRPr="007E50EC">
        <w:rPr>
          <w:rFonts w:ascii="Times New Roman" w:hAnsi="Times New Roman" w:cs="Times New Roman"/>
          <w:sz w:val="24"/>
          <w:szCs w:val="24"/>
          <w:vertAlign w:val="superscript"/>
        </w:rPr>
        <w:t>2</w:t>
      </w:r>
      <w:r w:rsidRPr="007E50EC">
        <w:rPr>
          <w:rFonts w:ascii="Times New Roman" w:hAnsi="Times New Roman" w:cs="Times New Roman"/>
          <w:sz w:val="24"/>
          <w:szCs w:val="24"/>
        </w:rPr>
        <w:t xml:space="preserve"> Tropical Peat Research Institute, Biological Research Division, Malaysian Palm Oil Board, 6, Persiaran Institusi, Bandar Baru Bangi, 43000, Kajang, Selangor, Malaysia</w:t>
      </w:r>
      <w:r w:rsidRPr="007E50EC">
        <w:rPr>
          <w:rFonts w:ascii="Times New Roman" w:hAnsi="Times New Roman" w:cs="Times New Roman"/>
          <w:sz w:val="24"/>
          <w:szCs w:val="24"/>
          <w:highlight w:val="yellow"/>
        </w:rPr>
        <w:t xml:space="preserve"> </w:t>
      </w:r>
    </w:p>
    <w:p w14:paraId="4CAB85C4" w14:textId="77777777" w:rsidR="00914113" w:rsidRPr="00BE3BC6" w:rsidRDefault="00914113" w:rsidP="00D061BC">
      <w:pPr>
        <w:spacing w:line="480" w:lineRule="auto"/>
        <w:rPr>
          <w:rFonts w:ascii="Times New Roman" w:hAnsi="Times New Roman" w:cs="Times New Roman"/>
          <w:sz w:val="24"/>
          <w:szCs w:val="24"/>
        </w:rPr>
      </w:pPr>
      <w:r w:rsidRPr="007E50EC">
        <w:rPr>
          <w:rFonts w:ascii="Times New Roman" w:hAnsi="Times New Roman" w:cs="Times New Roman"/>
          <w:sz w:val="24"/>
          <w:szCs w:val="24"/>
          <w:vertAlign w:val="superscript"/>
        </w:rPr>
        <w:t>3</w:t>
      </w:r>
      <w:r w:rsidRPr="007E50EC">
        <w:rPr>
          <w:rFonts w:ascii="Times New Roman" w:hAnsi="Times New Roman" w:cs="Times New Roman"/>
          <w:sz w:val="24"/>
          <w:szCs w:val="24"/>
        </w:rPr>
        <w:t xml:space="preserve"> </w:t>
      </w:r>
      <w:r>
        <w:rPr>
          <w:rFonts w:ascii="Times New Roman" w:hAnsi="Times New Roman" w:cs="Times New Roman"/>
          <w:sz w:val="24"/>
          <w:szCs w:val="24"/>
        </w:rPr>
        <w:t>Centre for Ecology &amp; Hydrology, Maclean Building, Wallingford OX10 8BB, UK</w:t>
      </w:r>
    </w:p>
    <w:p w14:paraId="6B3787B8" w14:textId="77777777" w:rsidR="00914113" w:rsidRPr="00BE3BC6" w:rsidRDefault="00914113" w:rsidP="00D061BC">
      <w:pPr>
        <w:spacing w:line="480" w:lineRule="auto"/>
        <w:rPr>
          <w:rFonts w:ascii="Times New Roman" w:hAnsi="Times New Roman" w:cs="Times New Roman"/>
          <w:sz w:val="24"/>
          <w:szCs w:val="24"/>
        </w:rPr>
      </w:pPr>
      <w:r w:rsidRPr="007E50EC">
        <w:rPr>
          <w:rFonts w:ascii="Times New Roman" w:hAnsi="Times New Roman" w:cs="Times New Roman"/>
          <w:sz w:val="24"/>
          <w:szCs w:val="24"/>
          <w:vertAlign w:val="superscript"/>
        </w:rPr>
        <w:t>4</w:t>
      </w:r>
      <w:r w:rsidRPr="007E50EC">
        <w:rPr>
          <w:rFonts w:ascii="Times New Roman" w:hAnsi="Times New Roman" w:cs="Times New Roman"/>
          <w:sz w:val="24"/>
          <w:szCs w:val="24"/>
        </w:rPr>
        <w:t xml:space="preserve"> </w:t>
      </w:r>
      <w:r>
        <w:rPr>
          <w:rFonts w:ascii="Times New Roman" w:hAnsi="Times New Roman" w:cs="Times New Roman"/>
          <w:sz w:val="24"/>
          <w:szCs w:val="24"/>
        </w:rPr>
        <w:t>Universidad Nacional de San Antonio Abad del Cusco, Peru</w:t>
      </w:r>
    </w:p>
    <w:p w14:paraId="4C5E7DAD" w14:textId="77777777" w:rsidR="00914113" w:rsidRPr="007E50EC" w:rsidRDefault="00914113" w:rsidP="00D061BC">
      <w:pPr>
        <w:spacing w:line="480" w:lineRule="auto"/>
        <w:rPr>
          <w:rFonts w:ascii="Times New Roman" w:hAnsi="Times New Roman" w:cs="Times New Roman"/>
          <w:sz w:val="24"/>
          <w:szCs w:val="24"/>
        </w:rPr>
      </w:pPr>
      <w:r w:rsidRPr="007E50EC">
        <w:rPr>
          <w:rFonts w:ascii="Times New Roman" w:hAnsi="Times New Roman" w:cs="Times New Roman"/>
          <w:sz w:val="24"/>
          <w:szCs w:val="24"/>
          <w:vertAlign w:val="superscript"/>
        </w:rPr>
        <w:t>5</w:t>
      </w:r>
      <w:r w:rsidRPr="007E50EC">
        <w:rPr>
          <w:rFonts w:ascii="Times New Roman" w:hAnsi="Times New Roman" w:cs="Times New Roman"/>
          <w:sz w:val="24"/>
          <w:szCs w:val="24"/>
        </w:rPr>
        <w:t xml:space="preserve"> Imperial College London, Department</w:t>
      </w:r>
      <w:r>
        <w:rPr>
          <w:rFonts w:ascii="Times New Roman" w:hAnsi="Times New Roman" w:cs="Times New Roman"/>
          <w:sz w:val="24"/>
          <w:szCs w:val="24"/>
        </w:rPr>
        <w:t xml:space="preserve"> of Life Sciences, Silwood Park Campus, Buckhurst Road, Ascot, SL5 7PY, UK</w:t>
      </w:r>
    </w:p>
    <w:p w14:paraId="60083BF9" w14:textId="77777777" w:rsidR="00914113" w:rsidRPr="007E50EC" w:rsidRDefault="00914113" w:rsidP="00D061BC">
      <w:pPr>
        <w:spacing w:line="480" w:lineRule="auto"/>
        <w:rPr>
          <w:rFonts w:ascii="Times New Roman" w:hAnsi="Times New Roman" w:cs="Times New Roman"/>
          <w:sz w:val="24"/>
          <w:szCs w:val="24"/>
        </w:rPr>
      </w:pPr>
      <w:r w:rsidRPr="007E50EC">
        <w:rPr>
          <w:rFonts w:ascii="Times New Roman" w:hAnsi="Times New Roman" w:cs="Times New Roman"/>
          <w:sz w:val="24"/>
          <w:szCs w:val="24"/>
          <w:vertAlign w:val="superscript"/>
        </w:rPr>
        <w:t>6</w:t>
      </w:r>
      <w:r w:rsidRPr="007E50EC">
        <w:rPr>
          <w:rFonts w:ascii="Times New Roman" w:hAnsi="Times New Roman" w:cs="Times New Roman"/>
          <w:sz w:val="24"/>
          <w:szCs w:val="24"/>
        </w:rPr>
        <w:t xml:space="preserve"> Center for Tropical Forest Science, Smithsonian Institution, Washington, D.C. 20013-7012, USA</w:t>
      </w:r>
    </w:p>
    <w:p w14:paraId="36F1AF67" w14:textId="77777777" w:rsidR="00914113" w:rsidRPr="00CF2CB8" w:rsidRDefault="00914113" w:rsidP="00D061BC">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7 </w:t>
      </w:r>
      <w:r w:rsidRPr="00CF2CB8">
        <w:rPr>
          <w:rFonts w:ascii="Times New Roman" w:hAnsi="Times New Roman" w:cs="Times New Roman"/>
          <w:sz w:val="24"/>
          <w:szCs w:val="24"/>
        </w:rPr>
        <w:t>University of Cambridge, Insect Ecology Group, University Museum of Zoology, Downing Street, Cambridge, CB2 3EJ, UK</w:t>
      </w:r>
    </w:p>
    <w:p w14:paraId="70E2C421" w14:textId="77777777" w:rsidR="00914113" w:rsidRDefault="00914113" w:rsidP="00D061BC">
      <w:pPr>
        <w:spacing w:line="480" w:lineRule="auto"/>
        <w:rPr>
          <w:rFonts w:ascii="Times New Roman" w:hAnsi="Times New Roman" w:cs="Times New Roman"/>
          <w:sz w:val="24"/>
          <w:szCs w:val="24"/>
        </w:rPr>
      </w:pPr>
      <w:r w:rsidRPr="0087366D">
        <w:rPr>
          <w:rFonts w:ascii="Times New Roman" w:hAnsi="Times New Roman" w:cs="Times New Roman"/>
          <w:sz w:val="24"/>
          <w:szCs w:val="24"/>
          <w:vertAlign w:val="superscript"/>
        </w:rPr>
        <w:t>8</w:t>
      </w:r>
      <w:r w:rsidRPr="00136870">
        <w:rPr>
          <w:rFonts w:ascii="Times New Roman" w:hAnsi="Times New Roman" w:cs="Times New Roman"/>
          <w:sz w:val="24"/>
          <w:szCs w:val="24"/>
        </w:rPr>
        <w:t xml:space="preserve"> </w:t>
      </w:r>
      <w:r w:rsidRPr="00A21736">
        <w:rPr>
          <w:rFonts w:ascii="Times New Roman" w:hAnsi="Times New Roman" w:cs="Times New Roman"/>
          <w:sz w:val="24"/>
          <w:szCs w:val="24"/>
        </w:rPr>
        <w:t>The Royal Society South East As</w:t>
      </w:r>
      <w:r>
        <w:rPr>
          <w:rFonts w:ascii="Times New Roman" w:hAnsi="Times New Roman" w:cs="Times New Roman"/>
          <w:sz w:val="24"/>
          <w:szCs w:val="24"/>
        </w:rPr>
        <w:t>ia Rainforest Research Partnership</w:t>
      </w:r>
      <w:r w:rsidRPr="00A21736">
        <w:rPr>
          <w:rFonts w:ascii="Times New Roman" w:hAnsi="Times New Roman" w:cs="Times New Roman"/>
          <w:sz w:val="24"/>
          <w:szCs w:val="24"/>
        </w:rPr>
        <w:t>, Danum Valley Field Centre,</w:t>
      </w:r>
      <w:r>
        <w:rPr>
          <w:rFonts w:ascii="Times New Roman" w:hAnsi="Times New Roman" w:cs="Times New Roman"/>
          <w:sz w:val="24"/>
          <w:szCs w:val="24"/>
        </w:rPr>
        <w:t xml:space="preserve"> </w:t>
      </w:r>
      <w:r w:rsidRPr="00A21736">
        <w:rPr>
          <w:rFonts w:ascii="Times New Roman" w:hAnsi="Times New Roman" w:cs="Times New Roman"/>
          <w:sz w:val="24"/>
          <w:szCs w:val="24"/>
        </w:rPr>
        <w:t>PO Box 60282, 91112 Lahad Datu, Sabah, Malaysia</w:t>
      </w:r>
    </w:p>
    <w:p w14:paraId="468B0B4B" w14:textId="77777777" w:rsidR="00914113" w:rsidRDefault="00914113" w:rsidP="00D061BC">
      <w:pPr>
        <w:spacing w:line="480" w:lineRule="auto"/>
        <w:rPr>
          <w:rFonts w:ascii="Times New Roman" w:hAnsi="Times New Roman" w:cs="Times New Roman"/>
          <w:sz w:val="24"/>
          <w:szCs w:val="24"/>
        </w:rPr>
      </w:pPr>
      <w:r w:rsidRPr="008F0943">
        <w:rPr>
          <w:rFonts w:ascii="Times New Roman" w:hAnsi="Times New Roman" w:cs="Times New Roman"/>
          <w:sz w:val="24"/>
          <w:szCs w:val="24"/>
          <w:vertAlign w:val="superscript"/>
        </w:rPr>
        <w:lastRenderedPageBreak/>
        <w:t>9</w:t>
      </w:r>
      <w:r>
        <w:rPr>
          <w:rFonts w:ascii="Times New Roman" w:hAnsi="Times New Roman" w:cs="Times New Roman"/>
          <w:sz w:val="24"/>
          <w:szCs w:val="24"/>
        </w:rPr>
        <w:t xml:space="preserve"> </w:t>
      </w:r>
      <w:r w:rsidRPr="00AB096D">
        <w:rPr>
          <w:rFonts w:ascii="Times New Roman" w:hAnsi="Times New Roman" w:cs="Times New Roman"/>
          <w:sz w:val="24"/>
          <w:szCs w:val="24"/>
        </w:rPr>
        <w:t>University of Aberdeen, School of Biological Sciences, Cruickshank Building, St Machar Drive, Aberdeen</w:t>
      </w:r>
      <w:r>
        <w:rPr>
          <w:rFonts w:ascii="Times New Roman" w:hAnsi="Times New Roman" w:cs="Times New Roman"/>
          <w:sz w:val="24"/>
          <w:szCs w:val="24"/>
        </w:rPr>
        <w:t xml:space="preserve">, </w:t>
      </w:r>
      <w:r w:rsidRPr="00AB096D">
        <w:rPr>
          <w:rFonts w:ascii="Times New Roman" w:hAnsi="Times New Roman" w:cs="Times New Roman"/>
          <w:sz w:val="24"/>
          <w:szCs w:val="24"/>
        </w:rPr>
        <w:t>AB24 3UU, UK</w:t>
      </w:r>
    </w:p>
    <w:p w14:paraId="5F3D05E6" w14:textId="77777777" w:rsidR="00914113" w:rsidRDefault="00914113" w:rsidP="00D061BC">
      <w:pPr>
        <w:spacing w:line="480" w:lineRule="auto"/>
        <w:rPr>
          <w:rFonts w:ascii="Times New Roman" w:hAnsi="Times New Roman" w:cs="Times New Roman"/>
          <w:sz w:val="24"/>
          <w:szCs w:val="24"/>
        </w:rPr>
      </w:pPr>
      <w:r w:rsidRPr="00AB096D">
        <w:rPr>
          <w:rFonts w:ascii="Times New Roman" w:hAnsi="Times New Roman" w:cs="Times New Roman"/>
          <w:sz w:val="24"/>
          <w:szCs w:val="24"/>
          <w:vertAlign w:val="superscript"/>
        </w:rPr>
        <w:t>10</w:t>
      </w:r>
      <w:r>
        <w:rPr>
          <w:rFonts w:ascii="Times New Roman" w:hAnsi="Times New Roman" w:cs="Times New Roman"/>
          <w:sz w:val="24"/>
          <w:szCs w:val="24"/>
        </w:rPr>
        <w:t>Universiti Malaysia Sabah, Institute for Tropical Biology and Conservation, 88450 Kota Kinabalu, Malaysia</w:t>
      </w:r>
    </w:p>
    <w:p w14:paraId="43183799" w14:textId="77777777" w:rsidR="00914113" w:rsidRDefault="00914113" w:rsidP="00D061BC">
      <w:pPr>
        <w:spacing w:line="480" w:lineRule="auto"/>
        <w:rPr>
          <w:rFonts w:ascii="Times New Roman" w:hAnsi="Times New Roman" w:cs="Times New Roman"/>
          <w:sz w:val="24"/>
          <w:szCs w:val="24"/>
        </w:rPr>
      </w:pPr>
      <w:r w:rsidRPr="00BB6BE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1 </w:t>
      </w:r>
      <w:r w:rsidRPr="00BB6BE7">
        <w:rPr>
          <w:rFonts w:ascii="Times New Roman" w:hAnsi="Times New Roman" w:cs="Times New Roman"/>
          <w:sz w:val="24"/>
          <w:szCs w:val="24"/>
        </w:rPr>
        <w:t>Forest Research Centre, Sabah Forestry Department, P. O. Box 1407, 90715 Sandakan, Sabah, Malaysia</w:t>
      </w:r>
    </w:p>
    <w:p w14:paraId="1319C9C4" w14:textId="77777777" w:rsidR="00914113" w:rsidRPr="00BE3BC6" w:rsidRDefault="00914113" w:rsidP="00D061BC">
      <w:pPr>
        <w:spacing w:line="480" w:lineRule="auto"/>
        <w:rPr>
          <w:rFonts w:ascii="Times New Roman" w:hAnsi="Times New Roman" w:cs="Times New Roman"/>
          <w:sz w:val="24"/>
          <w:szCs w:val="24"/>
        </w:rPr>
      </w:pPr>
    </w:p>
    <w:p w14:paraId="5F5E2E3B"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 Corresponding author: </w:t>
      </w:r>
      <w:hyperlink r:id="rId8" w:history="1">
        <w:r w:rsidRPr="00BE3BC6">
          <w:rPr>
            <w:rStyle w:val="Hyperlink"/>
            <w:rFonts w:ascii="Times New Roman" w:hAnsi="Times New Roman" w:cs="Times New Roman"/>
            <w:sz w:val="24"/>
            <w:szCs w:val="24"/>
          </w:rPr>
          <w:t>terhi.riutta@ouce.ox.ac.uk</w:t>
        </w:r>
      </w:hyperlink>
      <w:r w:rsidRPr="00BE3BC6">
        <w:rPr>
          <w:rFonts w:ascii="Times New Roman" w:hAnsi="Times New Roman" w:cs="Times New Roman"/>
          <w:sz w:val="24"/>
          <w:szCs w:val="24"/>
        </w:rPr>
        <w:t xml:space="preserve">; </w:t>
      </w:r>
      <w:r w:rsidRPr="00D64DCA">
        <w:rPr>
          <w:rFonts w:ascii="Times New Roman" w:hAnsi="Times New Roman" w:cs="Times New Roman"/>
          <w:sz w:val="24"/>
          <w:szCs w:val="24"/>
        </w:rPr>
        <w:t>Tel.: +44 (0)1865 285171, Fax:</w:t>
      </w:r>
      <w:r w:rsidRPr="00D64DCA">
        <w:rPr>
          <w:sz w:val="24"/>
          <w:szCs w:val="24"/>
        </w:rPr>
        <w:t xml:space="preserve"> </w:t>
      </w:r>
      <w:r w:rsidRPr="00D64DCA">
        <w:rPr>
          <w:rFonts w:ascii="Times New Roman" w:hAnsi="Times New Roman" w:cs="Times New Roman"/>
          <w:sz w:val="24"/>
          <w:szCs w:val="24"/>
        </w:rPr>
        <w:t>+</w:t>
      </w:r>
      <w:r w:rsidRPr="00BE3BC6">
        <w:rPr>
          <w:rFonts w:ascii="Times New Roman" w:hAnsi="Times New Roman" w:cs="Times New Roman"/>
          <w:sz w:val="24"/>
          <w:szCs w:val="24"/>
        </w:rPr>
        <w:t>44 (0)1865 275885</w:t>
      </w:r>
    </w:p>
    <w:p w14:paraId="3B2078F5" w14:textId="77777777" w:rsidR="00914113" w:rsidRPr="00BE3BC6" w:rsidRDefault="00914113" w:rsidP="00D061BC">
      <w:pPr>
        <w:spacing w:line="480" w:lineRule="auto"/>
        <w:rPr>
          <w:rFonts w:ascii="Times New Roman" w:hAnsi="Times New Roman" w:cs="Times New Roman"/>
          <w:sz w:val="24"/>
          <w:szCs w:val="24"/>
        </w:rPr>
      </w:pPr>
      <w:r w:rsidRPr="00D64DCA">
        <w:rPr>
          <w:rFonts w:ascii="Times New Roman" w:hAnsi="Times New Roman" w:cs="Times New Roman"/>
          <w:b/>
          <w:sz w:val="24"/>
          <w:szCs w:val="24"/>
        </w:rPr>
        <w:t>Keywords:</w:t>
      </w:r>
      <w:r w:rsidRPr="00BE3BC6">
        <w:rPr>
          <w:rFonts w:ascii="Times New Roman" w:hAnsi="Times New Roman" w:cs="Times New Roman"/>
          <w:sz w:val="24"/>
          <w:szCs w:val="24"/>
        </w:rPr>
        <w:t xml:space="preserve"> allocation, carbon, land use, logging, net primary productivity, tree census, SAFE Project, GEM </w:t>
      </w:r>
    </w:p>
    <w:p w14:paraId="67CD1B94" w14:textId="77777777" w:rsidR="00914113" w:rsidRPr="00BE3BC6" w:rsidRDefault="00914113" w:rsidP="00D061BC">
      <w:pPr>
        <w:spacing w:line="480" w:lineRule="auto"/>
        <w:rPr>
          <w:rFonts w:ascii="Times New Roman" w:hAnsi="Times New Roman" w:cs="Times New Roman"/>
          <w:sz w:val="24"/>
          <w:szCs w:val="24"/>
        </w:rPr>
      </w:pPr>
      <w:r w:rsidRPr="00D64DCA">
        <w:rPr>
          <w:rFonts w:ascii="Times New Roman" w:hAnsi="Times New Roman" w:cs="Times New Roman"/>
          <w:b/>
          <w:sz w:val="24"/>
          <w:szCs w:val="24"/>
        </w:rPr>
        <w:t>Type of paper:</w:t>
      </w:r>
      <w:r w:rsidRPr="00BE3BC6">
        <w:rPr>
          <w:rFonts w:ascii="Times New Roman" w:hAnsi="Times New Roman" w:cs="Times New Roman"/>
          <w:sz w:val="24"/>
          <w:szCs w:val="24"/>
        </w:rPr>
        <w:t xml:space="preserve"> Original research (Primary research article)</w:t>
      </w:r>
    </w:p>
    <w:p w14:paraId="42A7EF08" w14:textId="77777777" w:rsidR="00914113" w:rsidRDefault="00914113" w:rsidP="00D061BC">
      <w:pPr>
        <w:spacing w:line="480" w:lineRule="auto"/>
        <w:rPr>
          <w:rFonts w:ascii="Times New Roman" w:hAnsi="Times New Roman" w:cs="Times New Roman"/>
          <w:b/>
          <w:sz w:val="24"/>
          <w:szCs w:val="24"/>
        </w:rPr>
      </w:pPr>
    </w:p>
    <w:p w14:paraId="3F89DFD2" w14:textId="77777777" w:rsidR="00914113"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ABSTRACT</w:t>
      </w:r>
    </w:p>
    <w:p w14:paraId="275C53EE" w14:textId="380DC6D6" w:rsidR="00914113" w:rsidRPr="002E39A4"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sz w:val="24"/>
          <w:szCs w:val="24"/>
        </w:rPr>
        <w:t>Tropical forests play a major role in the carbon cycle of the terrestrial biosphere. Recent field studies have provided detailed description</w:t>
      </w:r>
      <w:r>
        <w:rPr>
          <w:rFonts w:ascii="Times New Roman" w:hAnsi="Times New Roman" w:cs="Times New Roman"/>
          <w:sz w:val="24"/>
          <w:szCs w:val="24"/>
        </w:rPr>
        <w:t>s of</w:t>
      </w:r>
      <w:r w:rsidRPr="00BE3BC6">
        <w:rPr>
          <w:rFonts w:ascii="Times New Roman" w:hAnsi="Times New Roman" w:cs="Times New Roman"/>
          <w:sz w:val="24"/>
          <w:szCs w:val="24"/>
        </w:rPr>
        <w:t xml:space="preserve"> the carbon cycle of mature tropical forests, but logged or secondary forests have received much less attention. Here we report the first measures of total net primary productivity (NPP) and its allocation along a disturbance gradient from old-growth forests to moderately and heavily logged forest</w:t>
      </w:r>
      <w:r>
        <w:rPr>
          <w:rFonts w:ascii="Times New Roman" w:hAnsi="Times New Roman" w:cs="Times New Roman"/>
          <w:sz w:val="24"/>
          <w:szCs w:val="24"/>
        </w:rPr>
        <w:t>s</w:t>
      </w:r>
      <w:r w:rsidRPr="00BE3BC6">
        <w:rPr>
          <w:rFonts w:ascii="Times New Roman" w:hAnsi="Times New Roman" w:cs="Times New Roman"/>
          <w:sz w:val="24"/>
          <w:szCs w:val="24"/>
        </w:rPr>
        <w:t xml:space="preserve"> in Malaysian Borneo. We measured the main NPP components (woody,</w:t>
      </w:r>
      <w:r>
        <w:rPr>
          <w:rFonts w:ascii="Times New Roman" w:hAnsi="Times New Roman" w:cs="Times New Roman"/>
          <w:sz w:val="24"/>
          <w:szCs w:val="24"/>
        </w:rPr>
        <w:t xml:space="preserve"> fine</w:t>
      </w:r>
      <w:r w:rsidRPr="00BE3BC6">
        <w:rPr>
          <w:rFonts w:ascii="Times New Roman" w:hAnsi="Times New Roman" w:cs="Times New Roman"/>
          <w:sz w:val="24"/>
          <w:szCs w:val="24"/>
        </w:rPr>
        <w:t xml:space="preserve"> root and canopy NPP) in old-</w:t>
      </w:r>
      <w:r w:rsidRPr="00B73113">
        <w:rPr>
          <w:rFonts w:ascii="Times New Roman" w:hAnsi="Times New Roman" w:cs="Times New Roman"/>
          <w:sz w:val="24"/>
          <w:szCs w:val="24"/>
        </w:rPr>
        <w:t>growth (n=6) and logged (n=5) 1 ha forest plots. Overall, the total NPP did not differ between old-growth and logged forest (13.5 ± 0.5 and 15.7 ± 1.5 Mg C ha</w:t>
      </w:r>
      <w:r w:rsidRPr="00B73113">
        <w:rPr>
          <w:rFonts w:ascii="Times New Roman" w:hAnsi="Times New Roman" w:cs="Times New Roman"/>
          <w:sz w:val="24"/>
          <w:szCs w:val="24"/>
          <w:vertAlign w:val="superscript"/>
        </w:rPr>
        <w:t>-1</w:t>
      </w:r>
      <w:r w:rsidRPr="00B73113">
        <w:rPr>
          <w:rFonts w:ascii="Times New Roman" w:hAnsi="Times New Roman" w:cs="Times New Roman"/>
          <w:sz w:val="24"/>
          <w:szCs w:val="24"/>
        </w:rPr>
        <w:t xml:space="preserve"> year</w:t>
      </w:r>
      <w:r w:rsidRPr="00B73113">
        <w:rPr>
          <w:rFonts w:ascii="Times New Roman" w:hAnsi="Times New Roman" w:cs="Times New Roman"/>
          <w:sz w:val="24"/>
          <w:szCs w:val="24"/>
          <w:vertAlign w:val="superscript"/>
        </w:rPr>
        <w:t>-1</w:t>
      </w:r>
      <w:r w:rsidRPr="00B73113">
        <w:rPr>
          <w:rFonts w:ascii="Times New Roman" w:hAnsi="Times New Roman" w:cs="Times New Roman"/>
          <w:sz w:val="24"/>
          <w:szCs w:val="24"/>
        </w:rPr>
        <w:t>, respectively)</w:t>
      </w:r>
      <w:r w:rsidR="00070EFB">
        <w:rPr>
          <w:rFonts w:ascii="Times New Roman" w:hAnsi="Times New Roman" w:cs="Times New Roman"/>
          <w:sz w:val="24"/>
          <w:szCs w:val="24"/>
        </w:rPr>
        <w:t xml:space="preserve">. </w:t>
      </w:r>
      <w:r w:rsidR="00070EFB">
        <w:rPr>
          <w:rFonts w:ascii="Times New Roman" w:hAnsi="Times New Roman" w:cs="Times New Roman"/>
          <w:sz w:val="24"/>
          <w:szCs w:val="24"/>
        </w:rPr>
        <w:lastRenderedPageBreak/>
        <w:t>H</w:t>
      </w:r>
      <w:r w:rsidRPr="00B73113">
        <w:rPr>
          <w:rFonts w:ascii="Times New Roman" w:hAnsi="Times New Roman" w:cs="Times New Roman"/>
          <w:sz w:val="24"/>
          <w:szCs w:val="24"/>
        </w:rPr>
        <w:t>owever, logged forests allocated</w:t>
      </w:r>
      <w:r w:rsidR="00070EFB">
        <w:rPr>
          <w:rFonts w:ascii="Times New Roman" w:hAnsi="Times New Roman" w:cs="Times New Roman"/>
          <w:sz w:val="24"/>
          <w:szCs w:val="24"/>
        </w:rPr>
        <w:t xml:space="preserve"> a</w:t>
      </w:r>
      <w:r w:rsidRPr="00B73113">
        <w:rPr>
          <w:rFonts w:ascii="Times New Roman" w:hAnsi="Times New Roman" w:cs="Times New Roman"/>
          <w:sz w:val="24"/>
          <w:szCs w:val="24"/>
        </w:rPr>
        <w:t xml:space="preserve"> significantly higher fraction into woody NPP at the expense of the canopy NPP (30% and 50% into woody and canopy NPP, respectively, in old-growth forest vs. 20% and 60% in logged forest). When controlling for local stand structure, NPP in logged forest stands was 41% higher, and woody NPP was 150% higher than in old-growth stands with similar basal area, but this was offset by structure effects (higher gap frequency and absence of large trees in logged forest). This pattern was not driven by species</w:t>
      </w:r>
      <w:r>
        <w:rPr>
          <w:rFonts w:ascii="Times New Roman" w:hAnsi="Times New Roman" w:cs="Times New Roman"/>
          <w:sz w:val="24"/>
          <w:szCs w:val="24"/>
        </w:rPr>
        <w:t xml:space="preserve"> turnover: the average woody NPP of all species groups within logged forest (pioneers, non-pioneers, species unique to logged plots and </w:t>
      </w:r>
      <w:r w:rsidR="00070EFB">
        <w:rPr>
          <w:rFonts w:ascii="Times New Roman" w:hAnsi="Times New Roman" w:cs="Times New Roman"/>
          <w:sz w:val="24"/>
          <w:szCs w:val="24"/>
        </w:rPr>
        <w:t xml:space="preserve">species </w:t>
      </w:r>
      <w:r>
        <w:rPr>
          <w:rFonts w:ascii="Times New Roman" w:hAnsi="Times New Roman" w:cs="Times New Roman"/>
          <w:sz w:val="24"/>
          <w:szCs w:val="24"/>
        </w:rPr>
        <w:t xml:space="preserve">shared with old-growth plots) was similar. </w:t>
      </w:r>
      <w:r w:rsidRPr="00BE3BC6">
        <w:rPr>
          <w:rFonts w:ascii="Times New Roman" w:hAnsi="Times New Roman" w:cs="Times New Roman"/>
          <w:sz w:val="24"/>
          <w:szCs w:val="24"/>
        </w:rPr>
        <w:t xml:space="preserve">Hence, below a threshold of very heavy disturbance, logged forests can exhibit higher NPP and higher allocation to wood; such shifts in carbon cycling persist for decades after the logging event. </w:t>
      </w:r>
      <w:r w:rsidR="002E0CDB">
        <w:rPr>
          <w:rFonts w:ascii="Times New Roman" w:hAnsi="Times New Roman" w:cs="Times New Roman"/>
          <w:sz w:val="24"/>
          <w:szCs w:val="24"/>
        </w:rPr>
        <w:t>Our results demonstrate that high-intensity logging can cause profound</w:t>
      </w:r>
      <w:r w:rsidRPr="00BE3BC6">
        <w:rPr>
          <w:rFonts w:ascii="Times New Roman" w:hAnsi="Times New Roman" w:cs="Times New Roman"/>
          <w:sz w:val="24"/>
          <w:szCs w:val="24"/>
        </w:rPr>
        <w:t xml:space="preserve"> shifts in carbon production and allocation </w:t>
      </w:r>
      <w:r w:rsidR="002E0CDB">
        <w:rPr>
          <w:rFonts w:ascii="Times New Roman" w:hAnsi="Times New Roman" w:cs="Times New Roman"/>
          <w:sz w:val="24"/>
          <w:szCs w:val="24"/>
        </w:rPr>
        <w:t>in</w:t>
      </w:r>
      <w:r w:rsidRPr="00BE3BC6">
        <w:rPr>
          <w:rFonts w:ascii="Times New Roman" w:hAnsi="Times New Roman" w:cs="Times New Roman"/>
          <w:sz w:val="24"/>
          <w:szCs w:val="24"/>
        </w:rPr>
        <w:t xml:space="preserve"> tropical forest</w:t>
      </w:r>
      <w:r w:rsidR="002E0CDB">
        <w:rPr>
          <w:rFonts w:ascii="Times New Roman" w:hAnsi="Times New Roman" w:cs="Times New Roman"/>
          <w:sz w:val="24"/>
          <w:szCs w:val="24"/>
        </w:rPr>
        <w:t>s</w:t>
      </w:r>
      <w:r w:rsidRPr="00BE3BC6">
        <w:rPr>
          <w:rFonts w:ascii="Times New Roman" w:hAnsi="Times New Roman" w:cs="Times New Roman"/>
          <w:sz w:val="24"/>
          <w:szCs w:val="24"/>
        </w:rPr>
        <w:t>.</w:t>
      </w:r>
    </w:p>
    <w:p w14:paraId="1C0CA6BB" w14:textId="6F723345" w:rsidR="00914113" w:rsidRPr="00BE3BC6" w:rsidRDefault="00FB5F60" w:rsidP="00D061BC">
      <w:pPr>
        <w:spacing w:line="480" w:lineRule="auto"/>
        <w:rPr>
          <w:rFonts w:ascii="Times New Roman" w:hAnsi="Times New Roman" w:cs="Times New Roman"/>
          <w:sz w:val="24"/>
          <w:szCs w:val="24"/>
        </w:rPr>
      </w:pPr>
      <w:r>
        <w:rPr>
          <w:rFonts w:ascii="Times New Roman" w:hAnsi="Times New Roman" w:cs="Times New Roman"/>
          <w:sz w:val="24"/>
          <w:szCs w:val="24"/>
        </w:rPr>
        <w:t>Given that the majority of tropical forest biome has experienc</w:t>
      </w:r>
      <w:r w:rsidR="00805BAE">
        <w:rPr>
          <w:rFonts w:ascii="Times New Roman" w:hAnsi="Times New Roman" w:cs="Times New Roman"/>
          <w:sz w:val="24"/>
          <w:szCs w:val="24"/>
        </w:rPr>
        <w:t xml:space="preserve">ed some degree of logging, our results demonstrate </w:t>
      </w:r>
      <w:r w:rsidR="00CC7A3A">
        <w:rPr>
          <w:rFonts w:ascii="Times New Roman" w:hAnsi="Times New Roman" w:cs="Times New Roman"/>
          <w:sz w:val="24"/>
          <w:szCs w:val="24"/>
        </w:rPr>
        <w:t>that logging can cause substantial shifts in carbon production and allocation in tropical forest</w:t>
      </w:r>
      <w:r w:rsidR="00C13975">
        <w:rPr>
          <w:rFonts w:ascii="Times New Roman" w:hAnsi="Times New Roman" w:cs="Times New Roman"/>
          <w:sz w:val="24"/>
          <w:szCs w:val="24"/>
        </w:rPr>
        <w:t>s</w:t>
      </w:r>
      <w:r w:rsidR="00CC7A3A">
        <w:rPr>
          <w:rFonts w:ascii="Times New Roman" w:hAnsi="Times New Roman" w:cs="Times New Roman"/>
          <w:sz w:val="24"/>
          <w:szCs w:val="24"/>
        </w:rPr>
        <w:t>.</w:t>
      </w:r>
    </w:p>
    <w:p w14:paraId="2C652289" w14:textId="77777777" w:rsidR="00914113" w:rsidRPr="004D3990" w:rsidRDefault="00914113" w:rsidP="00D061BC">
      <w:pPr>
        <w:spacing w:line="480" w:lineRule="auto"/>
        <w:rPr>
          <w:rFonts w:ascii="Times New Roman" w:hAnsi="Times New Roman" w:cs="Times New Roman"/>
          <w:b/>
          <w:sz w:val="24"/>
          <w:szCs w:val="24"/>
        </w:rPr>
      </w:pPr>
      <w:r w:rsidRPr="004D3990">
        <w:rPr>
          <w:rFonts w:ascii="Times New Roman" w:hAnsi="Times New Roman" w:cs="Times New Roman"/>
          <w:b/>
          <w:sz w:val="24"/>
          <w:szCs w:val="24"/>
        </w:rPr>
        <w:t xml:space="preserve">INTRODUCTION </w:t>
      </w:r>
    </w:p>
    <w:p w14:paraId="3EEAAA00"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The tropical forest biome plays</w:t>
      </w:r>
      <w:r>
        <w:rPr>
          <w:rFonts w:ascii="Times New Roman" w:hAnsi="Times New Roman" w:cs="Times New Roman"/>
          <w:sz w:val="24"/>
          <w:szCs w:val="24"/>
        </w:rPr>
        <w:t xml:space="preserve"> a dual role i</w:t>
      </w:r>
      <w:r w:rsidRPr="00BE3BC6">
        <w:rPr>
          <w:rFonts w:ascii="Times New Roman" w:hAnsi="Times New Roman" w:cs="Times New Roman"/>
          <w:sz w:val="24"/>
          <w:szCs w:val="24"/>
        </w:rPr>
        <w:t xml:space="preserve">n the global </w:t>
      </w:r>
      <w:r>
        <w:rPr>
          <w:rFonts w:ascii="Times New Roman" w:hAnsi="Times New Roman" w:cs="Times New Roman"/>
          <w:sz w:val="24"/>
          <w:szCs w:val="24"/>
        </w:rPr>
        <w:t>carbon budget</w:t>
      </w:r>
      <w:r w:rsidRPr="00BE3BC6">
        <w:rPr>
          <w:rFonts w:ascii="Times New Roman" w:hAnsi="Times New Roman" w:cs="Times New Roman"/>
          <w:sz w:val="24"/>
          <w:szCs w:val="24"/>
        </w:rPr>
        <w:t xml:space="preserve">. On </w:t>
      </w:r>
      <w:r>
        <w:rPr>
          <w:rFonts w:ascii="Times New Roman" w:hAnsi="Times New Roman" w:cs="Times New Roman"/>
          <w:sz w:val="24"/>
          <w:szCs w:val="24"/>
        </w:rPr>
        <w:t xml:space="preserve">the </w:t>
      </w:r>
      <w:r w:rsidRPr="00BE3BC6">
        <w:rPr>
          <w:rFonts w:ascii="Times New Roman" w:hAnsi="Times New Roman" w:cs="Times New Roman"/>
          <w:sz w:val="24"/>
          <w:szCs w:val="24"/>
        </w:rPr>
        <w:t xml:space="preserve">one hand, it </w:t>
      </w:r>
      <w:r>
        <w:rPr>
          <w:rFonts w:ascii="Times New Roman" w:hAnsi="Times New Roman" w:cs="Times New Roman"/>
          <w:sz w:val="24"/>
          <w:szCs w:val="24"/>
        </w:rPr>
        <w:t>forms</w:t>
      </w:r>
      <w:r w:rsidRPr="00BE3BC6">
        <w:rPr>
          <w:rFonts w:ascii="Times New Roman" w:hAnsi="Times New Roman" w:cs="Times New Roman"/>
          <w:sz w:val="24"/>
          <w:szCs w:val="24"/>
        </w:rPr>
        <w:t xml:space="preserve"> a large terrestrial carbon sink of approximately 1.0±0.5 Pg C yr</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w:t>
      </w:r>
      <w:r>
        <w:rPr>
          <w:rFonts w:ascii="Times New Roman" w:hAnsi="Times New Roman" w:cs="Times New Roman"/>
          <w:noProof/>
          <w:sz w:val="24"/>
          <w:szCs w:val="24"/>
        </w:rPr>
        <w:t>(Pan</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2011)</w:t>
      </w:r>
      <w:r>
        <w:rPr>
          <w:rFonts w:ascii="Times New Roman" w:hAnsi="Times New Roman" w:cs="Times New Roman"/>
          <w:sz w:val="24"/>
          <w:szCs w:val="24"/>
        </w:rPr>
        <w:t>,</w:t>
      </w:r>
      <w:r w:rsidRPr="00BE3BC6">
        <w:rPr>
          <w:rFonts w:ascii="Times New Roman" w:hAnsi="Times New Roman" w:cs="Times New Roman"/>
          <w:sz w:val="24"/>
          <w:szCs w:val="24"/>
        </w:rPr>
        <w:t xml:space="preserve"> accounting for 40% of the global land C sink </w:t>
      </w:r>
      <w:r>
        <w:rPr>
          <w:rFonts w:ascii="Times New Roman" w:hAnsi="Times New Roman" w:cs="Times New Roman"/>
          <w:noProof/>
          <w:sz w:val="24"/>
          <w:szCs w:val="24"/>
        </w:rPr>
        <w:t>(Malhi, 2010; Ciais</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r w:rsidRPr="00BE3BC6">
        <w:rPr>
          <w:rFonts w:ascii="Times New Roman" w:hAnsi="Times New Roman" w:cs="Times New Roman"/>
          <w:sz w:val="24"/>
          <w:szCs w:val="24"/>
        </w:rPr>
        <w:t>. On the other hand, carbon emissions from tropical forest degradation and deforestation, 1.1±0.8 Pg C yr</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make up &gt;90% of the total emission from land use and land use change, which currently account for 12% of all anthropogenic carbon dioxide emissions </w:t>
      </w:r>
      <w:r>
        <w:rPr>
          <w:rFonts w:ascii="Times New Roman" w:hAnsi="Times New Roman" w:cs="Times New Roman"/>
          <w:noProof/>
          <w:sz w:val="24"/>
          <w:szCs w:val="24"/>
        </w:rPr>
        <w:t>(Ciais</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r w:rsidRPr="00BE3BC6">
        <w:rPr>
          <w:rFonts w:ascii="Times New Roman" w:hAnsi="Times New Roman" w:cs="Times New Roman"/>
          <w:sz w:val="24"/>
          <w:szCs w:val="24"/>
        </w:rPr>
        <w:t xml:space="preserve"> . </w:t>
      </w:r>
    </w:p>
    <w:p w14:paraId="4B889FBC" w14:textId="14A82A6F"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Today, approximately 75% (</w:t>
      </w:r>
      <w:r>
        <w:rPr>
          <w:rFonts w:ascii="Times New Roman" w:hAnsi="Times New Roman" w:cs="Times New Roman"/>
          <w:sz w:val="24"/>
          <w:szCs w:val="24"/>
          <w:lang w:eastAsia="zh-TW"/>
        </w:rPr>
        <w:t>1713</w:t>
      </w:r>
      <w:r w:rsidRPr="00BE3BC6">
        <w:rPr>
          <w:rFonts w:ascii="Times New Roman" w:hAnsi="Times New Roman" w:cs="Times New Roman"/>
          <w:sz w:val="24"/>
          <w:szCs w:val="24"/>
          <w:lang w:eastAsia="zh-TW"/>
        </w:rPr>
        <w:t xml:space="preserve"> M ha) of the original, pre-industrial tropical forest area remains</w:t>
      </w:r>
      <w:r>
        <w:rPr>
          <w:rFonts w:ascii="Times New Roman" w:hAnsi="Times New Roman" w:cs="Times New Roman"/>
          <w:sz w:val="24"/>
          <w:szCs w:val="24"/>
          <w:lang w:eastAsia="zh-TW"/>
        </w:rPr>
        <w:t xml:space="preserve"> </w:t>
      </w:r>
      <w:r w:rsidRPr="000E479D">
        <w:rPr>
          <w:rFonts w:ascii="Times New Roman" w:hAnsi="Times New Roman" w:cs="Times New Roman"/>
          <w:sz w:val="24"/>
          <w:szCs w:val="24"/>
          <w:lang w:eastAsia="zh-TW"/>
        </w:rPr>
        <w:t xml:space="preserve">(FAO, 2015; Keenan </w:t>
      </w:r>
      <w:r w:rsidRPr="000E479D">
        <w:rPr>
          <w:rFonts w:ascii="Times New Roman" w:hAnsi="Times New Roman" w:cs="Times New Roman"/>
          <w:i/>
          <w:sz w:val="24"/>
          <w:szCs w:val="24"/>
          <w:lang w:eastAsia="zh-TW"/>
        </w:rPr>
        <w:t>et al.</w:t>
      </w:r>
      <w:r w:rsidRPr="000E479D">
        <w:rPr>
          <w:rFonts w:ascii="Times New Roman" w:hAnsi="Times New Roman" w:cs="Times New Roman"/>
          <w:sz w:val="24"/>
          <w:szCs w:val="24"/>
          <w:lang w:eastAsia="zh-TW"/>
        </w:rPr>
        <w:t>, 2015)</w:t>
      </w:r>
      <w:r w:rsidRPr="00BE3BC6">
        <w:rPr>
          <w:rFonts w:ascii="Times New Roman" w:hAnsi="Times New Roman" w:cs="Times New Roman"/>
          <w:sz w:val="24"/>
          <w:szCs w:val="24"/>
          <w:lang w:eastAsia="zh-TW"/>
        </w:rPr>
        <w:t>. Of th</w:t>
      </w:r>
      <w:r w:rsidR="004218C9">
        <w:rPr>
          <w:rFonts w:ascii="Times New Roman" w:hAnsi="Times New Roman" w:cs="Times New Roman"/>
          <w:sz w:val="24"/>
          <w:szCs w:val="24"/>
          <w:lang w:eastAsia="zh-TW"/>
        </w:rPr>
        <w:t>is</w:t>
      </w:r>
      <w:r w:rsidRPr="00BE3BC6">
        <w:rPr>
          <w:rFonts w:ascii="Times New Roman" w:hAnsi="Times New Roman" w:cs="Times New Roman"/>
          <w:sz w:val="24"/>
          <w:szCs w:val="24"/>
          <w:lang w:eastAsia="zh-TW"/>
        </w:rPr>
        <w:t xml:space="preserve"> extant tropical forest area, only 30% is </w:t>
      </w:r>
      <w:r w:rsidRPr="00BE3BC6">
        <w:rPr>
          <w:rFonts w:ascii="Times New Roman" w:hAnsi="Times New Roman" w:cs="Times New Roman"/>
          <w:sz w:val="24"/>
          <w:szCs w:val="24"/>
          <w:lang w:eastAsia="zh-TW"/>
        </w:rPr>
        <w:lastRenderedPageBreak/>
        <w:t xml:space="preserve">relatively undisturbed </w:t>
      </w:r>
      <w:r>
        <w:rPr>
          <w:rFonts w:ascii="Times New Roman" w:hAnsi="Times New Roman" w:cs="Times New Roman"/>
          <w:noProof/>
          <w:sz w:val="24"/>
          <w:szCs w:val="24"/>
          <w:lang w:eastAsia="zh-TW"/>
        </w:rPr>
        <w:t>(Potapov</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2008)</w:t>
      </w:r>
      <w:r w:rsidRPr="00BE3BC6">
        <w:rPr>
          <w:rFonts w:ascii="Times New Roman" w:hAnsi="Times New Roman" w:cs="Times New Roman"/>
          <w:sz w:val="24"/>
          <w:szCs w:val="24"/>
          <w:lang w:eastAsia="zh-TW"/>
        </w:rPr>
        <w:t>. The remaining area has been modified by humans, mostly through selective logging. Hence</w:t>
      </w:r>
      <w:r w:rsidR="00011736">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the most pervasive aspect of global change in tropical forests is</w:t>
      </w:r>
      <w:r w:rsidR="00011736">
        <w:rPr>
          <w:rFonts w:ascii="Times New Roman" w:hAnsi="Times New Roman" w:cs="Times New Roman"/>
          <w:sz w:val="24"/>
          <w:szCs w:val="24"/>
          <w:lang w:eastAsia="zh-TW"/>
        </w:rPr>
        <w:t xml:space="preserve"> may be</w:t>
      </w:r>
      <w:r w:rsidRPr="00BE3BC6">
        <w:rPr>
          <w:rFonts w:ascii="Times New Roman" w:hAnsi="Times New Roman" w:cs="Times New Roman"/>
          <w:sz w:val="24"/>
          <w:szCs w:val="24"/>
          <w:lang w:eastAsia="zh-TW"/>
        </w:rPr>
        <w:t xml:space="preserve"> neither deforestation nor climate change, but the increasing transformation </w:t>
      </w:r>
      <w:r>
        <w:rPr>
          <w:rFonts w:ascii="Times New Roman" w:hAnsi="Times New Roman" w:cs="Times New Roman"/>
          <w:sz w:val="24"/>
          <w:szCs w:val="24"/>
          <w:lang w:eastAsia="zh-TW"/>
        </w:rPr>
        <w:t>(</w:t>
      </w:r>
      <w:r>
        <w:rPr>
          <w:rFonts w:ascii="Times New Roman" w:hAnsi="Times New Roman" w:cs="Times New Roman"/>
          <w:noProof/>
          <w:sz w:val="24"/>
          <w:szCs w:val="24"/>
          <w:lang w:eastAsia="zh-TW"/>
        </w:rPr>
        <w:t>approximately 12 M ha year</w:t>
      </w:r>
      <w:r w:rsidRPr="002631E0">
        <w:rPr>
          <w:rFonts w:ascii="Times New Roman" w:hAnsi="Times New Roman" w:cs="Times New Roman"/>
          <w:noProof/>
          <w:sz w:val="24"/>
          <w:szCs w:val="24"/>
          <w:vertAlign w:val="superscript"/>
          <w:lang w:eastAsia="zh-TW"/>
        </w:rPr>
        <w:t>-1</w:t>
      </w:r>
      <w:r>
        <w:rPr>
          <w:rFonts w:ascii="Times New Roman" w:hAnsi="Times New Roman" w:cs="Times New Roman"/>
          <w:noProof/>
          <w:sz w:val="24"/>
          <w:szCs w:val="24"/>
          <w:lang w:eastAsia="zh-TW"/>
        </w:rPr>
        <w:t xml:space="preserve">; FAO, 2015) </w:t>
      </w:r>
      <w:r w:rsidRPr="00BE3BC6">
        <w:rPr>
          <w:rFonts w:ascii="Times New Roman" w:hAnsi="Times New Roman" w:cs="Times New Roman"/>
          <w:sz w:val="24"/>
          <w:szCs w:val="24"/>
          <w:lang w:eastAsia="zh-TW"/>
        </w:rPr>
        <w:t>of high biomass, slow-turnover, old</w:t>
      </w:r>
      <w:r>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growth forests into lower biomass, higher turnover post-disturbance forests </w:t>
      </w:r>
      <w:r>
        <w:rPr>
          <w:rFonts w:ascii="Times New Roman" w:hAnsi="Times New Roman" w:cs="Times New Roman"/>
          <w:noProof/>
          <w:sz w:val="24"/>
          <w:szCs w:val="24"/>
          <w:lang w:eastAsia="zh-TW"/>
        </w:rPr>
        <w:t>(Malhi</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2014)</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Selective l</w:t>
      </w:r>
      <w:r w:rsidRPr="00BE3BC6">
        <w:rPr>
          <w:rFonts w:ascii="Times New Roman" w:hAnsi="Times New Roman" w:cs="Times New Roman"/>
          <w:sz w:val="24"/>
          <w:szCs w:val="24"/>
          <w:lang w:eastAsia="zh-TW"/>
        </w:rPr>
        <w:t>ogging changes the forest carbon cycle by altering forest structure, dynamics, composition</w:t>
      </w:r>
      <w:r w:rsidR="004233D4">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and microclimate</w:t>
      </w:r>
      <w:r w:rsidR="004233D4">
        <w:rPr>
          <w:rFonts w:ascii="Times New Roman" w:hAnsi="Times New Roman" w:cs="Times New Roman"/>
          <w:sz w:val="24"/>
          <w:szCs w:val="24"/>
          <w:lang w:eastAsia="zh-TW"/>
        </w:rPr>
        <w:t>. A</w:t>
      </w:r>
      <w:r w:rsidRPr="00BE3BC6">
        <w:rPr>
          <w:rFonts w:ascii="Times New Roman" w:hAnsi="Times New Roman" w:cs="Times New Roman"/>
          <w:sz w:val="24"/>
          <w:szCs w:val="24"/>
          <w:lang w:eastAsia="zh-TW"/>
        </w:rPr>
        <w:t>s a result,</w:t>
      </w:r>
      <w:r w:rsidR="0001173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 xml:space="preserve">the </w:t>
      </w:r>
      <w:r w:rsidRPr="00BE3BC6">
        <w:rPr>
          <w:rFonts w:ascii="Times New Roman" w:hAnsi="Times New Roman" w:cs="Times New Roman"/>
          <w:sz w:val="24"/>
          <w:szCs w:val="24"/>
          <w:lang w:eastAsia="zh-TW"/>
        </w:rPr>
        <w:t>functioning of the ecosystem</w:t>
      </w:r>
      <w:r w:rsidR="004233D4">
        <w:rPr>
          <w:rFonts w:ascii="Times New Roman" w:hAnsi="Times New Roman" w:cs="Times New Roman"/>
          <w:sz w:val="24"/>
          <w:szCs w:val="24"/>
          <w:lang w:eastAsia="zh-TW"/>
        </w:rPr>
        <w:t xml:space="preserve"> may be substantially altered</w:t>
      </w:r>
      <w:r w:rsidRPr="00BE3BC6">
        <w:rPr>
          <w:rFonts w:ascii="Times New Roman" w:hAnsi="Times New Roman" w:cs="Times New Roman"/>
          <w:sz w:val="24"/>
          <w:szCs w:val="24"/>
          <w:lang w:eastAsia="zh-TW"/>
        </w:rPr>
        <w:t>. Standing carbon stock</w:t>
      </w:r>
      <w:r w:rsidR="004233D4">
        <w:rPr>
          <w:rFonts w:ascii="Times New Roman" w:hAnsi="Times New Roman" w:cs="Times New Roman"/>
          <w:sz w:val="24"/>
          <w:szCs w:val="24"/>
          <w:lang w:eastAsia="zh-TW"/>
        </w:rPr>
        <w:t>s,</w:t>
      </w:r>
      <w:r w:rsidRPr="00BE3BC6">
        <w:rPr>
          <w:rFonts w:ascii="Times New Roman" w:hAnsi="Times New Roman" w:cs="Times New Roman"/>
          <w:sz w:val="24"/>
          <w:szCs w:val="24"/>
          <w:lang w:eastAsia="zh-TW"/>
        </w:rPr>
        <w:t xml:space="preserve"> and the amount of </w:t>
      </w:r>
      <w:r w:rsidRPr="00F048BE">
        <w:rPr>
          <w:rFonts w:ascii="Times New Roman" w:hAnsi="Times New Roman" w:cs="Times New Roman"/>
          <w:sz w:val="24"/>
          <w:szCs w:val="24"/>
          <w:lang w:eastAsia="zh-TW"/>
        </w:rPr>
        <w:t>metab</w:t>
      </w:r>
      <w:r>
        <w:rPr>
          <w:rFonts w:ascii="Times New Roman" w:hAnsi="Times New Roman" w:cs="Times New Roman"/>
          <w:sz w:val="24"/>
          <w:szCs w:val="24"/>
          <w:lang w:eastAsia="zh-TW"/>
        </w:rPr>
        <w:t>olically active tissue decrease, while necromass</w:t>
      </w:r>
      <w:r w:rsidR="004233D4">
        <w:rPr>
          <w:rFonts w:ascii="Times New Roman" w:hAnsi="Times New Roman" w:cs="Times New Roman"/>
          <w:sz w:val="24"/>
          <w:szCs w:val="24"/>
          <w:lang w:eastAsia="zh-TW"/>
        </w:rPr>
        <w:t xml:space="preserve"> may</w:t>
      </w:r>
      <w:r>
        <w:rPr>
          <w:rFonts w:ascii="Times New Roman" w:hAnsi="Times New Roman" w:cs="Times New Roman"/>
          <w:sz w:val="24"/>
          <w:szCs w:val="24"/>
          <w:lang w:eastAsia="zh-TW"/>
        </w:rPr>
        <w:t xml:space="preserve"> increases</w:t>
      </w:r>
      <w:r w:rsidRPr="00F048BE">
        <w:rPr>
          <w:rFonts w:ascii="Times New Roman" w:hAnsi="Times New Roman" w:cs="Times New Roman"/>
          <w:sz w:val="24"/>
          <w:szCs w:val="24"/>
          <w:lang w:eastAsia="zh-TW"/>
        </w:rPr>
        <w:t>. Gaps</w:t>
      </w:r>
      <w:r w:rsidRPr="00BE3BC6">
        <w:rPr>
          <w:rFonts w:ascii="Times New Roman" w:hAnsi="Times New Roman" w:cs="Times New Roman"/>
          <w:sz w:val="24"/>
          <w:szCs w:val="24"/>
          <w:lang w:eastAsia="zh-TW"/>
        </w:rPr>
        <w:t xml:space="preserve"> left by the removed and dying trees make the physical environment more exposed, altering radiation, temperature, humidity</w:t>
      </w:r>
      <w:r w:rsidR="004233D4">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and soil moisture regimes</w:t>
      </w:r>
      <w:r>
        <w:rPr>
          <w:rFonts w:ascii="Times New Roman" w:hAnsi="Times New Roman" w:cs="Times New Roman"/>
          <w:sz w:val="24"/>
          <w:szCs w:val="24"/>
          <w:lang w:eastAsia="zh-TW"/>
        </w:rPr>
        <w:t xml:space="preserve"> </w:t>
      </w:r>
      <w:r>
        <w:rPr>
          <w:rFonts w:ascii="Times New Roman" w:hAnsi="Times New Roman" w:cs="Times New Roman"/>
          <w:noProof/>
          <w:sz w:val="24"/>
          <w:szCs w:val="24"/>
          <w:lang w:eastAsia="zh-TW"/>
        </w:rPr>
        <w:t>(Hardwick</w:t>
      </w:r>
      <w:r w:rsidRPr="001C638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2015)</w:t>
      </w:r>
      <w:r w:rsidRPr="00BE3BC6">
        <w:rPr>
          <w:rFonts w:ascii="Times New Roman" w:hAnsi="Times New Roman" w:cs="Times New Roman"/>
          <w:sz w:val="24"/>
          <w:szCs w:val="24"/>
          <w:lang w:eastAsia="zh-TW"/>
        </w:rPr>
        <w:t>. In addition to the changes in microclimate, logging operations cause soil disturbance, loss of top soil and soil compaction, especially around logging roads, skid trails and logging platforms, which may cover up to 25% of logged</w:t>
      </w:r>
      <w:r w:rsidR="00F142D3">
        <w:rPr>
          <w:rFonts w:ascii="Times New Roman" w:hAnsi="Times New Roman" w:cs="Times New Roman"/>
          <w:sz w:val="24"/>
          <w:szCs w:val="24"/>
          <w:lang w:eastAsia="zh-TW"/>
        </w:rPr>
        <w:t xml:space="preserve"> forest</w:t>
      </w:r>
      <w:r w:rsidRPr="00BE3BC6">
        <w:rPr>
          <w:rFonts w:ascii="Times New Roman" w:hAnsi="Times New Roman" w:cs="Times New Roman"/>
          <w:sz w:val="24"/>
          <w:szCs w:val="24"/>
          <w:lang w:eastAsia="zh-TW"/>
        </w:rPr>
        <w:t xml:space="preserve"> areas </w:t>
      </w:r>
      <w:r>
        <w:rPr>
          <w:rFonts w:ascii="Times New Roman" w:hAnsi="Times New Roman" w:cs="Times New Roman"/>
          <w:noProof/>
          <w:sz w:val="24"/>
          <w:szCs w:val="24"/>
          <w:lang w:eastAsia="zh-TW"/>
        </w:rPr>
        <w:t>(Yamada</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2014)</w:t>
      </w:r>
      <w:r w:rsidRPr="00BE3BC6">
        <w:rPr>
          <w:rFonts w:ascii="Times New Roman" w:hAnsi="Times New Roman" w:cs="Times New Roman"/>
          <w:sz w:val="24"/>
          <w:szCs w:val="24"/>
          <w:lang w:eastAsia="zh-TW"/>
        </w:rPr>
        <w:t xml:space="preserve">. Competition both above- and below-ground is reduced and resource </w:t>
      </w:r>
      <w:r>
        <w:rPr>
          <w:rFonts w:ascii="Times New Roman" w:hAnsi="Times New Roman" w:cs="Times New Roman"/>
          <w:sz w:val="24"/>
          <w:szCs w:val="24"/>
          <w:lang w:eastAsia="zh-TW"/>
        </w:rPr>
        <w:t>availability (e.g. light in gaps, extra nutrients from logging residue and decomposing necromass)</w:t>
      </w:r>
      <w:r w:rsidRPr="00BE3BC6">
        <w:rPr>
          <w:rFonts w:ascii="Times New Roman" w:hAnsi="Times New Roman" w:cs="Times New Roman"/>
          <w:sz w:val="24"/>
          <w:szCs w:val="24"/>
          <w:lang w:eastAsia="zh-TW"/>
        </w:rPr>
        <w:t xml:space="preserve"> increases. The selective removal of large, commercially valuable</w:t>
      </w:r>
      <w:r>
        <w:rPr>
          <w:rFonts w:ascii="Times New Roman" w:hAnsi="Times New Roman" w:cs="Times New Roman"/>
          <w:sz w:val="24"/>
          <w:szCs w:val="24"/>
          <w:lang w:eastAsia="zh-TW"/>
        </w:rPr>
        <w:t xml:space="preserve"> canopy</w:t>
      </w:r>
      <w:r w:rsidRPr="00BE3BC6">
        <w:rPr>
          <w:rFonts w:ascii="Times New Roman" w:hAnsi="Times New Roman" w:cs="Times New Roman"/>
          <w:sz w:val="24"/>
          <w:szCs w:val="24"/>
          <w:lang w:eastAsia="zh-TW"/>
        </w:rPr>
        <w:t xml:space="preserve"> tree</w:t>
      </w:r>
      <w:r>
        <w:rPr>
          <w:rFonts w:ascii="Times New Roman" w:hAnsi="Times New Roman" w:cs="Times New Roman"/>
          <w:sz w:val="24"/>
          <w:szCs w:val="24"/>
          <w:lang w:eastAsia="zh-TW"/>
        </w:rPr>
        <w:t>s</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 xml:space="preserve">that dominate the </w:t>
      </w:r>
      <w:r w:rsidR="004233D4">
        <w:rPr>
          <w:rFonts w:ascii="Times New Roman" w:hAnsi="Times New Roman" w:cs="Times New Roman"/>
          <w:sz w:val="24"/>
          <w:szCs w:val="24"/>
          <w:lang w:eastAsia="zh-TW"/>
        </w:rPr>
        <w:t xml:space="preserve">aboveground </w:t>
      </w:r>
      <w:r>
        <w:rPr>
          <w:rFonts w:ascii="Times New Roman" w:hAnsi="Times New Roman" w:cs="Times New Roman"/>
          <w:sz w:val="24"/>
          <w:szCs w:val="24"/>
          <w:lang w:eastAsia="zh-TW"/>
        </w:rPr>
        <w:t xml:space="preserve">carbon stock </w:t>
      </w:r>
      <w:r>
        <w:rPr>
          <w:rFonts w:ascii="Times New Roman" w:hAnsi="Times New Roman" w:cs="Times New Roman"/>
          <w:noProof/>
          <w:sz w:val="24"/>
          <w:szCs w:val="24"/>
          <w:lang w:eastAsia="zh-TW"/>
        </w:rPr>
        <w:t>(Sist</w:t>
      </w:r>
      <w:r w:rsidRPr="008F0943">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2014)</w:t>
      </w:r>
      <w:r w:rsidRPr="00BE3BC6">
        <w:rPr>
          <w:rFonts w:ascii="Times New Roman" w:hAnsi="Times New Roman" w:cs="Times New Roman"/>
          <w:sz w:val="24"/>
          <w:szCs w:val="24"/>
          <w:lang w:eastAsia="zh-TW"/>
        </w:rPr>
        <w:t xml:space="preserve"> changes the size</w:t>
      </w:r>
      <w:r w:rsidR="004233D4">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age structure</w:t>
      </w:r>
      <w:r w:rsidR="004233D4">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and species composition</w:t>
      </w:r>
      <w:r w:rsidR="004233D4">
        <w:rPr>
          <w:rFonts w:ascii="Times New Roman" w:hAnsi="Times New Roman" w:cs="Times New Roman"/>
          <w:sz w:val="24"/>
          <w:szCs w:val="24"/>
          <w:lang w:eastAsia="zh-TW"/>
        </w:rPr>
        <w:t xml:space="preserve"> of the forest</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 xml:space="preserve">The colonisation of </w:t>
      </w:r>
      <w:r w:rsidRPr="00BE3BC6">
        <w:rPr>
          <w:rFonts w:ascii="Times New Roman" w:hAnsi="Times New Roman" w:cs="Times New Roman"/>
          <w:sz w:val="24"/>
          <w:szCs w:val="24"/>
          <w:lang w:eastAsia="zh-TW"/>
        </w:rPr>
        <w:t xml:space="preserve">gaps by pioneer species further alters </w:t>
      </w:r>
      <w:r w:rsidR="00302F2C">
        <w:rPr>
          <w:rFonts w:ascii="Times New Roman" w:hAnsi="Times New Roman" w:cs="Times New Roman"/>
          <w:sz w:val="24"/>
          <w:szCs w:val="24"/>
          <w:lang w:eastAsia="zh-TW"/>
        </w:rPr>
        <w:t>community</w:t>
      </w:r>
      <w:r w:rsidRPr="00BE3BC6">
        <w:rPr>
          <w:rFonts w:ascii="Times New Roman" w:hAnsi="Times New Roman" w:cs="Times New Roman"/>
          <w:sz w:val="24"/>
          <w:szCs w:val="24"/>
          <w:lang w:eastAsia="zh-TW"/>
        </w:rPr>
        <w:t xml:space="preserve"> composition</w:t>
      </w:r>
      <w:r>
        <w:rPr>
          <w:rFonts w:ascii="Times New Roman" w:hAnsi="Times New Roman" w:cs="Times New Roman"/>
          <w:sz w:val="24"/>
          <w:szCs w:val="24"/>
          <w:lang w:eastAsia="zh-TW"/>
        </w:rPr>
        <w:t xml:space="preserve"> </w:t>
      </w:r>
      <w:r w:rsidRPr="00A83E9D">
        <w:rPr>
          <w:rFonts w:ascii="Times New Roman" w:hAnsi="Times New Roman" w:cs="Times New Roman"/>
          <w:noProof/>
          <w:sz w:val="24"/>
          <w:szCs w:val="24"/>
          <w:lang w:eastAsia="zh-TW"/>
        </w:rPr>
        <w:t>(Sist &amp; Nguyen-The, 2002)</w:t>
      </w:r>
      <w:r w:rsidRPr="00BE3BC6">
        <w:rPr>
          <w:rFonts w:ascii="Times New Roman" w:hAnsi="Times New Roman" w:cs="Times New Roman"/>
          <w:sz w:val="24"/>
          <w:szCs w:val="24"/>
          <w:lang w:eastAsia="zh-TW"/>
        </w:rPr>
        <w:t xml:space="preserve">, especially if </w:t>
      </w:r>
      <w:r w:rsidR="00302F2C">
        <w:rPr>
          <w:rFonts w:ascii="Times New Roman" w:hAnsi="Times New Roman" w:cs="Times New Roman"/>
          <w:sz w:val="24"/>
          <w:szCs w:val="24"/>
          <w:lang w:eastAsia="zh-TW"/>
        </w:rPr>
        <w:t xml:space="preserve">dominant </w:t>
      </w:r>
      <w:r>
        <w:rPr>
          <w:rFonts w:ascii="Times New Roman" w:hAnsi="Times New Roman" w:cs="Times New Roman"/>
          <w:sz w:val="24"/>
          <w:szCs w:val="24"/>
          <w:lang w:eastAsia="zh-TW"/>
        </w:rPr>
        <w:t>canopy species, and therefore</w:t>
      </w:r>
      <w:r w:rsidRPr="00BE3BC6">
        <w:rPr>
          <w:rFonts w:ascii="Times New Roman" w:hAnsi="Times New Roman" w:cs="Times New Roman"/>
          <w:sz w:val="24"/>
          <w:szCs w:val="24"/>
          <w:lang w:eastAsia="zh-TW"/>
        </w:rPr>
        <w:t xml:space="preserve"> their seed source, have been removed</w:t>
      </w:r>
      <w:r>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Typically, the community shifts from slow-growing, conservative, shade-tolerant species towards fast-growing, acquisitive, light-demanding species </w:t>
      </w:r>
      <w:r>
        <w:rPr>
          <w:rFonts w:ascii="Times New Roman" w:hAnsi="Times New Roman" w:cs="Times New Roman"/>
          <w:noProof/>
          <w:sz w:val="24"/>
          <w:szCs w:val="24"/>
          <w:lang w:eastAsia="zh-TW"/>
        </w:rPr>
        <w:t>(Bischoff</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2005; Carreno-Rocabado</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2012; Saner</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2012)</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 xml:space="preserve">In the shorter term, </w:t>
      </w:r>
      <w:r w:rsidRPr="00BE3BC6">
        <w:rPr>
          <w:rFonts w:ascii="Times New Roman" w:hAnsi="Times New Roman" w:cs="Times New Roman"/>
          <w:sz w:val="24"/>
          <w:szCs w:val="24"/>
          <w:lang w:eastAsia="zh-TW"/>
        </w:rPr>
        <w:t xml:space="preserve">logging decreases primary productivity and increases heterotrophic respiration </w:t>
      </w:r>
      <w:r>
        <w:rPr>
          <w:rFonts w:ascii="Times New Roman" w:hAnsi="Times New Roman" w:cs="Times New Roman"/>
          <w:noProof/>
          <w:sz w:val="24"/>
          <w:szCs w:val="24"/>
          <w:lang w:eastAsia="zh-TW"/>
        </w:rPr>
        <w:t>(Huang &amp; Asner, 2010)</w:t>
      </w:r>
      <w:r w:rsidRPr="00BE3BC6">
        <w:rPr>
          <w:rFonts w:ascii="Times New Roman" w:hAnsi="Times New Roman" w:cs="Times New Roman"/>
          <w:sz w:val="24"/>
          <w:szCs w:val="24"/>
          <w:lang w:eastAsia="zh-TW"/>
        </w:rPr>
        <w:t xml:space="preserve">. As the forest starts to recover, however, the </w:t>
      </w:r>
      <w:r>
        <w:rPr>
          <w:rFonts w:ascii="Times New Roman" w:hAnsi="Times New Roman" w:cs="Times New Roman"/>
          <w:sz w:val="24"/>
          <w:szCs w:val="24"/>
          <w:lang w:eastAsia="zh-TW"/>
        </w:rPr>
        <w:lastRenderedPageBreak/>
        <w:t xml:space="preserve">woody biomass accumulation </w:t>
      </w:r>
      <w:r w:rsidRPr="00BE3BC6">
        <w:rPr>
          <w:rFonts w:ascii="Times New Roman" w:hAnsi="Times New Roman" w:cs="Times New Roman"/>
          <w:sz w:val="24"/>
          <w:szCs w:val="24"/>
          <w:lang w:eastAsia="zh-TW"/>
        </w:rPr>
        <w:t xml:space="preserve">rate in logged forest may be several times higher than in old-growth forest </w:t>
      </w:r>
      <w:r>
        <w:rPr>
          <w:rFonts w:ascii="Times New Roman" w:hAnsi="Times New Roman" w:cs="Times New Roman"/>
          <w:noProof/>
          <w:sz w:val="24"/>
          <w:szCs w:val="24"/>
          <w:lang w:eastAsia="zh-TW"/>
        </w:rPr>
        <w:t>(Blanc</w:t>
      </w:r>
      <w:r w:rsidRPr="001B4714">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2009; Berry</w:t>
      </w:r>
      <w:r w:rsidRPr="001B4714">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2010)</w:t>
      </w:r>
      <w:r w:rsidRPr="00BE3BC6">
        <w:rPr>
          <w:rFonts w:ascii="Times New Roman" w:hAnsi="Times New Roman" w:cs="Times New Roman"/>
          <w:sz w:val="24"/>
          <w:szCs w:val="24"/>
          <w:lang w:eastAsia="zh-TW"/>
        </w:rPr>
        <w:t xml:space="preserve">. </w:t>
      </w:r>
    </w:p>
    <w:p w14:paraId="5364D20D" w14:textId="27526D16"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Almost all studies of biomass production and recovery in logged forests focus only on above-groun</w:t>
      </w:r>
      <w:r>
        <w:rPr>
          <w:rFonts w:ascii="Times New Roman" w:hAnsi="Times New Roman" w:cs="Times New Roman"/>
          <w:sz w:val="24"/>
          <w:szCs w:val="24"/>
          <w:lang w:eastAsia="zh-TW"/>
        </w:rPr>
        <w:t>d woody biomass</w:t>
      </w:r>
      <w:r w:rsidRPr="00BE3BC6">
        <w:rPr>
          <w:rFonts w:ascii="Times New Roman" w:hAnsi="Times New Roman" w:cs="Times New Roman"/>
          <w:sz w:val="24"/>
          <w:szCs w:val="24"/>
          <w:lang w:eastAsia="zh-TW"/>
        </w:rPr>
        <w:t xml:space="preserve"> </w:t>
      </w:r>
      <w:r>
        <w:rPr>
          <w:rFonts w:ascii="Times New Roman" w:hAnsi="Times New Roman" w:cs="Times New Roman"/>
          <w:noProof/>
          <w:sz w:val="24"/>
          <w:szCs w:val="24"/>
          <w:lang w:eastAsia="zh-TW"/>
        </w:rPr>
        <w:t>(e.g. Blanc</w:t>
      </w:r>
      <w:r w:rsidRPr="00A83E9D">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2009; Huang &amp; Asner, 2010; Berenguer</w:t>
      </w:r>
      <w:r w:rsidRPr="00A83E9D">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2014)</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 xml:space="preserve">Although </w:t>
      </w:r>
      <w:r w:rsidR="00E84595">
        <w:rPr>
          <w:rFonts w:ascii="Times New Roman" w:hAnsi="Times New Roman" w:cs="Times New Roman"/>
          <w:sz w:val="24"/>
          <w:szCs w:val="24"/>
          <w:lang w:eastAsia="zh-TW"/>
        </w:rPr>
        <w:t xml:space="preserve">wood production </w:t>
      </w:r>
      <w:r>
        <w:rPr>
          <w:rFonts w:ascii="Times New Roman" w:hAnsi="Times New Roman" w:cs="Times New Roman"/>
          <w:sz w:val="24"/>
          <w:szCs w:val="24"/>
          <w:lang w:eastAsia="zh-TW"/>
        </w:rPr>
        <w:t xml:space="preserve">is a significant </w:t>
      </w:r>
      <w:r w:rsidRPr="00BE3BC6">
        <w:rPr>
          <w:rFonts w:ascii="Times New Roman" w:hAnsi="Times New Roman" w:cs="Times New Roman"/>
          <w:sz w:val="24"/>
          <w:szCs w:val="24"/>
          <w:lang w:eastAsia="zh-TW"/>
        </w:rPr>
        <w:t xml:space="preserve">proportion of net primary production </w:t>
      </w:r>
      <w:r>
        <w:rPr>
          <w:rFonts w:ascii="Times New Roman" w:hAnsi="Times New Roman" w:cs="Times New Roman"/>
          <w:sz w:val="24"/>
          <w:szCs w:val="24"/>
          <w:lang w:eastAsia="zh-TW"/>
        </w:rPr>
        <w:t>(NPP</w:t>
      </w:r>
      <w:r w:rsidR="0048021B">
        <w:rPr>
          <w:rFonts w:ascii="Times New Roman" w:hAnsi="Times New Roman" w:cs="Times New Roman"/>
          <w:sz w:val="24"/>
          <w:szCs w:val="24"/>
          <w:lang w:eastAsia="zh-TW"/>
        </w:rPr>
        <w:t xml:space="preserve">; </w:t>
      </w:r>
      <w:r w:rsidRPr="00BE3BC6">
        <w:rPr>
          <w:rFonts w:ascii="Times New Roman" w:hAnsi="Times New Roman" w:cs="Times New Roman"/>
          <w:sz w:val="24"/>
          <w:szCs w:val="24"/>
          <w:lang w:eastAsia="zh-TW"/>
        </w:rPr>
        <w:t>typically 39</w:t>
      </w:r>
      <w:r>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±10% in old-growth </w:t>
      </w:r>
      <w:r>
        <w:rPr>
          <w:rFonts w:ascii="Times New Roman" w:hAnsi="Times New Roman" w:cs="Times New Roman"/>
          <w:sz w:val="24"/>
          <w:szCs w:val="24"/>
          <w:lang w:eastAsia="zh-TW"/>
        </w:rPr>
        <w:t xml:space="preserve">tropical </w:t>
      </w:r>
      <w:r w:rsidRPr="00BE3BC6">
        <w:rPr>
          <w:rFonts w:ascii="Times New Roman" w:hAnsi="Times New Roman" w:cs="Times New Roman"/>
          <w:sz w:val="24"/>
          <w:szCs w:val="24"/>
          <w:lang w:eastAsia="zh-TW"/>
        </w:rPr>
        <w:t>forests</w:t>
      </w:r>
      <w:r w:rsidR="0048021B">
        <w:rPr>
          <w:rFonts w:ascii="Times New Roman" w:hAnsi="Times New Roman" w:cs="Times New Roman"/>
          <w:noProof/>
          <w:sz w:val="24"/>
          <w:szCs w:val="24"/>
          <w:lang w:eastAsia="zh-TW"/>
        </w:rPr>
        <w:t xml:space="preserve">; see </w:t>
      </w:r>
      <w:r>
        <w:rPr>
          <w:rFonts w:ascii="Times New Roman" w:hAnsi="Times New Roman" w:cs="Times New Roman"/>
          <w:noProof/>
          <w:sz w:val="24"/>
          <w:szCs w:val="24"/>
          <w:lang w:eastAsia="zh-TW"/>
        </w:rPr>
        <w:t>Malhi</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2011)</w:t>
      </w:r>
      <w:r>
        <w:rPr>
          <w:rFonts w:ascii="Times New Roman" w:hAnsi="Times New Roman" w:cs="Times New Roman"/>
          <w:sz w:val="24"/>
          <w:szCs w:val="24"/>
          <w:lang w:eastAsia="zh-TW"/>
        </w:rPr>
        <w:t xml:space="preserve">, </w:t>
      </w:r>
      <w:r w:rsidR="00E84595">
        <w:rPr>
          <w:rFonts w:ascii="Times New Roman" w:hAnsi="Times New Roman" w:cs="Times New Roman"/>
          <w:sz w:val="24"/>
          <w:szCs w:val="24"/>
          <w:lang w:eastAsia="zh-TW"/>
        </w:rPr>
        <w:t xml:space="preserve">it is by no means the only fate of fixed carbon, as </w:t>
      </w:r>
      <w:r w:rsidR="00E84595">
        <w:rPr>
          <w:rFonts w:ascii="Times New Roman" w:hAnsi="Times New Roman" w:cs="Times New Roman"/>
          <w:noProof/>
          <w:sz w:val="24"/>
          <w:szCs w:val="24"/>
          <w:lang w:eastAsia="zh-TW"/>
        </w:rPr>
        <w:t>photosynthesis</w:t>
      </w:r>
      <w:r>
        <w:rPr>
          <w:rFonts w:ascii="Times New Roman" w:hAnsi="Times New Roman" w:cs="Times New Roman"/>
          <w:noProof/>
          <w:sz w:val="24"/>
          <w:szCs w:val="24"/>
          <w:lang w:eastAsia="zh-TW"/>
        </w:rPr>
        <w:t xml:space="preserve"> also </w:t>
      </w:r>
      <w:r w:rsidR="00E84595">
        <w:rPr>
          <w:rFonts w:ascii="Times New Roman" w:hAnsi="Times New Roman" w:cs="Times New Roman"/>
          <w:noProof/>
          <w:sz w:val="24"/>
          <w:szCs w:val="24"/>
          <w:lang w:eastAsia="zh-TW"/>
        </w:rPr>
        <w:t xml:space="preserve">leads to the </w:t>
      </w:r>
      <w:r>
        <w:rPr>
          <w:rFonts w:ascii="Times New Roman" w:hAnsi="Times New Roman" w:cs="Times New Roman"/>
          <w:noProof/>
          <w:sz w:val="24"/>
          <w:szCs w:val="24"/>
          <w:lang w:eastAsia="zh-TW"/>
        </w:rPr>
        <w:t>production of leaves, roots</w:t>
      </w:r>
      <w:r w:rsidR="00E84595">
        <w:rPr>
          <w:rFonts w:ascii="Times New Roman" w:hAnsi="Times New Roman" w:cs="Times New Roman"/>
          <w:noProof/>
          <w:sz w:val="24"/>
          <w:szCs w:val="24"/>
          <w:lang w:eastAsia="zh-TW"/>
        </w:rPr>
        <w:t>, flowers, fruits,</w:t>
      </w:r>
      <w:r>
        <w:rPr>
          <w:rFonts w:ascii="Times New Roman" w:hAnsi="Times New Roman" w:cs="Times New Roman"/>
          <w:noProof/>
          <w:sz w:val="24"/>
          <w:szCs w:val="24"/>
          <w:lang w:eastAsia="zh-TW"/>
        </w:rPr>
        <w:t xml:space="preserve"> and other ecosystem components</w:t>
      </w:r>
      <w:r w:rsidRPr="00BE3BC6">
        <w:rPr>
          <w:rFonts w:ascii="Times New Roman" w:hAnsi="Times New Roman" w:cs="Times New Roman"/>
          <w:sz w:val="24"/>
          <w:szCs w:val="24"/>
          <w:lang w:eastAsia="zh-TW"/>
        </w:rPr>
        <w:t xml:space="preserve">. A more complete understanding of biomass production can be attained through </w:t>
      </w:r>
      <w:r w:rsidR="0048021B">
        <w:rPr>
          <w:rFonts w:ascii="Times New Roman" w:hAnsi="Times New Roman" w:cs="Times New Roman"/>
          <w:sz w:val="24"/>
          <w:szCs w:val="24"/>
          <w:lang w:eastAsia="zh-TW"/>
        </w:rPr>
        <w:t xml:space="preserve">an organ-specific </w:t>
      </w:r>
      <w:r w:rsidRPr="00BE3BC6">
        <w:rPr>
          <w:rFonts w:ascii="Times New Roman" w:hAnsi="Times New Roman" w:cs="Times New Roman"/>
          <w:sz w:val="24"/>
          <w:szCs w:val="24"/>
          <w:lang w:eastAsia="zh-TW"/>
        </w:rPr>
        <w:t>assessment o</w:t>
      </w:r>
      <w:r>
        <w:rPr>
          <w:rFonts w:ascii="Times New Roman" w:hAnsi="Times New Roman" w:cs="Times New Roman"/>
          <w:sz w:val="24"/>
          <w:szCs w:val="24"/>
          <w:lang w:eastAsia="zh-TW"/>
        </w:rPr>
        <w:t>f NPP.</w:t>
      </w:r>
    </w:p>
    <w:p w14:paraId="5DDB25FF" w14:textId="654B5440"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 xml:space="preserve">NPP is the amount of carbon assimilated through photosynthesis that is converted into </w:t>
      </w:r>
      <w:r>
        <w:rPr>
          <w:rFonts w:ascii="Times New Roman" w:hAnsi="Times New Roman" w:cs="Times New Roman"/>
          <w:sz w:val="24"/>
          <w:szCs w:val="24"/>
          <w:lang w:eastAsia="zh-TW"/>
        </w:rPr>
        <w:t>new</w:t>
      </w:r>
      <w:r w:rsidRPr="00BE3BC6">
        <w:rPr>
          <w:rFonts w:ascii="Times New Roman" w:hAnsi="Times New Roman" w:cs="Times New Roman"/>
          <w:sz w:val="24"/>
          <w:szCs w:val="24"/>
          <w:lang w:eastAsia="zh-TW"/>
        </w:rPr>
        <w:t xml:space="preserve"> tissue</w:t>
      </w:r>
      <w:r w:rsidR="00E81430">
        <w:rPr>
          <w:rFonts w:ascii="Times New Roman" w:hAnsi="Times New Roman" w:cs="Times New Roman"/>
          <w:sz w:val="24"/>
          <w:szCs w:val="24"/>
          <w:lang w:eastAsia="zh-TW"/>
        </w:rPr>
        <w:t>s</w:t>
      </w:r>
      <w:r w:rsidRPr="00BE3BC6">
        <w:rPr>
          <w:rFonts w:ascii="Times New Roman" w:hAnsi="Times New Roman" w:cs="Times New Roman"/>
          <w:sz w:val="24"/>
          <w:szCs w:val="24"/>
          <w:lang w:eastAsia="zh-TW"/>
        </w:rPr>
        <w:t>, root exudates</w:t>
      </w:r>
      <w:r w:rsidR="00E81430">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and volatile organic compounds. In old-growth tropical forests, plants use approximately </w:t>
      </w:r>
      <w:r>
        <w:rPr>
          <w:rFonts w:ascii="Times New Roman" w:hAnsi="Times New Roman" w:cs="Times New Roman"/>
          <w:sz w:val="24"/>
          <w:szCs w:val="24"/>
          <w:lang w:eastAsia="zh-TW"/>
        </w:rPr>
        <w:t>60-</w:t>
      </w:r>
      <w:r w:rsidRPr="00BE3BC6">
        <w:rPr>
          <w:rFonts w:ascii="Times New Roman" w:hAnsi="Times New Roman" w:cs="Times New Roman"/>
          <w:sz w:val="24"/>
          <w:szCs w:val="24"/>
          <w:lang w:eastAsia="zh-TW"/>
        </w:rPr>
        <w:t>70% of gross primary productivity (GPP) on their own metabolism, releasing the assimilated CO</w:t>
      </w:r>
      <w:r w:rsidRPr="00BE3BC6">
        <w:rPr>
          <w:rFonts w:ascii="Times New Roman" w:hAnsi="Times New Roman" w:cs="Times New Roman"/>
          <w:sz w:val="24"/>
          <w:szCs w:val="24"/>
          <w:vertAlign w:val="subscript"/>
          <w:lang w:eastAsia="zh-TW"/>
        </w:rPr>
        <w:t>2</w:t>
      </w:r>
      <w:r w:rsidRPr="00BE3BC6">
        <w:rPr>
          <w:rFonts w:ascii="Times New Roman" w:hAnsi="Times New Roman" w:cs="Times New Roman"/>
          <w:sz w:val="24"/>
          <w:szCs w:val="24"/>
          <w:lang w:eastAsia="zh-TW"/>
        </w:rPr>
        <w:t xml:space="preserve"> back to the atmosphere through autotrophic respiration </w:t>
      </w:r>
      <w:r>
        <w:rPr>
          <w:rFonts w:ascii="Times New Roman" w:hAnsi="Times New Roman" w:cs="Times New Roman"/>
          <w:noProof/>
          <w:sz w:val="24"/>
          <w:szCs w:val="24"/>
          <w:lang w:eastAsia="zh-TW"/>
        </w:rPr>
        <w:t>(Chambers</w:t>
      </w:r>
      <w:r w:rsidRPr="00456A80">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2004; Malhi</w:t>
      </w:r>
      <w:r w:rsidRPr="00456A80">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2009; Malhi, 2012; Anderson</w:t>
      </w:r>
      <w:r>
        <w:rPr>
          <w:rFonts w:ascii="Cambria Math" w:hAnsi="Cambria Math" w:cs="Cambria Math"/>
          <w:noProof/>
          <w:sz w:val="24"/>
          <w:szCs w:val="24"/>
          <w:lang w:eastAsia="zh-TW"/>
        </w:rPr>
        <w:t>‐</w:t>
      </w:r>
      <w:r>
        <w:rPr>
          <w:rFonts w:ascii="Times New Roman" w:hAnsi="Times New Roman" w:cs="Times New Roman"/>
          <w:noProof/>
          <w:sz w:val="24"/>
          <w:szCs w:val="24"/>
          <w:lang w:eastAsia="zh-TW"/>
        </w:rPr>
        <w:t>Teixeira</w:t>
      </w:r>
      <w:r w:rsidRPr="00456A80">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2016)</w:t>
      </w:r>
      <w:r w:rsidRPr="00BE3BC6">
        <w:rPr>
          <w:rFonts w:ascii="Times New Roman" w:hAnsi="Times New Roman" w:cs="Times New Roman"/>
          <w:sz w:val="24"/>
          <w:szCs w:val="24"/>
          <w:lang w:eastAsia="zh-TW"/>
        </w:rPr>
        <w:t>.</w:t>
      </w:r>
      <w:r>
        <w:rPr>
          <w:rFonts w:ascii="Times New Roman" w:hAnsi="Times New Roman" w:cs="Times New Roman"/>
          <w:sz w:val="24"/>
          <w:szCs w:val="24"/>
          <w:lang w:eastAsia="zh-TW"/>
        </w:rPr>
        <w:t xml:space="preserve"> Thus, </w:t>
      </w:r>
      <w:r w:rsidRPr="00BE3BC6">
        <w:rPr>
          <w:rFonts w:ascii="Times New Roman" w:hAnsi="Times New Roman" w:cs="Times New Roman"/>
          <w:sz w:val="24"/>
          <w:szCs w:val="24"/>
          <w:lang w:eastAsia="zh-TW"/>
        </w:rPr>
        <w:t xml:space="preserve">the carbon use efficiency (proportion of GPP converted to NPP) is </w:t>
      </w:r>
      <w:r>
        <w:rPr>
          <w:rFonts w:ascii="Times New Roman" w:hAnsi="Times New Roman" w:cs="Times New Roman"/>
          <w:sz w:val="24"/>
          <w:szCs w:val="24"/>
          <w:lang w:eastAsia="zh-TW"/>
        </w:rPr>
        <w:t xml:space="preserve">estimated to be about </w:t>
      </w:r>
      <w:r w:rsidRPr="00BE3BC6">
        <w:rPr>
          <w:rFonts w:ascii="Times New Roman" w:hAnsi="Times New Roman" w:cs="Times New Roman"/>
          <w:sz w:val="24"/>
          <w:szCs w:val="24"/>
          <w:lang w:eastAsia="zh-TW"/>
        </w:rPr>
        <w:t>30</w:t>
      </w:r>
      <w:r>
        <w:rPr>
          <w:rFonts w:ascii="Times New Roman" w:hAnsi="Times New Roman" w:cs="Times New Roman"/>
          <w:sz w:val="24"/>
          <w:szCs w:val="24"/>
          <w:lang w:eastAsia="zh-TW"/>
        </w:rPr>
        <w:t>-40</w:t>
      </w:r>
      <w:r w:rsidRPr="00BE3BC6">
        <w:rPr>
          <w:rFonts w:ascii="Times New Roman" w:hAnsi="Times New Roman" w:cs="Times New Roman"/>
          <w:sz w:val="24"/>
          <w:szCs w:val="24"/>
          <w:lang w:eastAsia="zh-TW"/>
        </w:rPr>
        <w:t xml:space="preserve">% in old-growth forests, but may be substantially higher </w:t>
      </w:r>
      <w:r>
        <w:rPr>
          <w:rFonts w:ascii="Times New Roman" w:hAnsi="Times New Roman" w:cs="Times New Roman"/>
          <w:sz w:val="24"/>
          <w:szCs w:val="24"/>
          <w:lang w:eastAsia="zh-TW"/>
        </w:rPr>
        <w:t xml:space="preserve">in </w:t>
      </w:r>
      <w:r w:rsidRPr="00BE3BC6">
        <w:rPr>
          <w:rFonts w:ascii="Times New Roman" w:hAnsi="Times New Roman" w:cs="Times New Roman"/>
          <w:sz w:val="24"/>
          <w:szCs w:val="24"/>
          <w:lang w:eastAsia="zh-TW"/>
        </w:rPr>
        <w:t>post-disturbance forests where rapid growth and resource acquisition is prioritised over maintenance and defence. A pan-tropical analysis of NPP allocation into canopy, woody</w:t>
      </w:r>
      <w:r w:rsidR="00C52EFF">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and fine root NPP</w:t>
      </w:r>
      <w:r>
        <w:rPr>
          <w:rFonts w:ascii="Times New Roman" w:hAnsi="Times New Roman" w:cs="Times New Roman"/>
          <w:sz w:val="24"/>
          <w:szCs w:val="24"/>
          <w:lang w:eastAsia="zh-TW"/>
        </w:rPr>
        <w:t xml:space="preserve"> (which, together, account for ~90% of the total NPP) </w:t>
      </w:r>
      <w:r w:rsidRPr="00BE3BC6">
        <w:rPr>
          <w:rFonts w:ascii="Times New Roman" w:hAnsi="Times New Roman" w:cs="Times New Roman"/>
          <w:sz w:val="24"/>
          <w:szCs w:val="24"/>
          <w:lang w:eastAsia="zh-TW"/>
        </w:rPr>
        <w:t xml:space="preserve"> indicates roughly equal partitioning into these three components in old-growth forests, but site-specific variation is considerable </w:t>
      </w:r>
      <w:r>
        <w:rPr>
          <w:rFonts w:ascii="Times New Roman" w:hAnsi="Times New Roman" w:cs="Times New Roman"/>
          <w:noProof/>
          <w:sz w:val="24"/>
          <w:szCs w:val="24"/>
          <w:lang w:eastAsia="zh-TW"/>
        </w:rPr>
        <w:t>(Malhi</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2011)</w:t>
      </w:r>
      <w:r w:rsidRPr="00BE3BC6">
        <w:rPr>
          <w:rFonts w:ascii="Times New Roman" w:hAnsi="Times New Roman" w:cs="Times New Roman"/>
          <w:sz w:val="24"/>
          <w:szCs w:val="24"/>
          <w:lang w:eastAsia="zh-TW"/>
        </w:rPr>
        <w:t>.</w:t>
      </w:r>
    </w:p>
    <w:p w14:paraId="3B4D8958" w14:textId="202FB698"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 xml:space="preserve">In recent years, there have been an increasing number of studies of above- and below-ground NPP in tropical old-growth forest sites </w:t>
      </w:r>
      <w:r>
        <w:rPr>
          <w:rFonts w:ascii="Times New Roman" w:hAnsi="Times New Roman" w:cs="Times New Roman"/>
          <w:noProof/>
          <w:sz w:val="24"/>
          <w:szCs w:val="24"/>
          <w:lang w:eastAsia="zh-TW"/>
        </w:rPr>
        <w:t>(e.g. Clark</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2001; Aragão</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2009; Malhi</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2011; Malhi</w:t>
      </w:r>
      <w:r w:rsidRPr="009E287A">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2015)</w:t>
      </w:r>
      <w:r w:rsidRPr="00BE3BC6">
        <w:rPr>
          <w:rFonts w:ascii="Times New Roman" w:hAnsi="Times New Roman" w:cs="Times New Roman"/>
          <w:sz w:val="24"/>
          <w:szCs w:val="24"/>
          <w:lang w:eastAsia="zh-TW"/>
        </w:rPr>
        <w:t>. However,</w:t>
      </w:r>
      <w:r w:rsidR="009C7F69">
        <w:rPr>
          <w:rFonts w:ascii="Times New Roman" w:hAnsi="Times New Roman" w:cs="Times New Roman"/>
          <w:sz w:val="24"/>
          <w:szCs w:val="24"/>
          <w:lang w:eastAsia="zh-TW"/>
        </w:rPr>
        <w:t xml:space="preserve"> as far is we are aware,</w:t>
      </w:r>
      <w:r w:rsidRPr="00BE3BC6">
        <w:rPr>
          <w:rFonts w:ascii="Times New Roman" w:hAnsi="Times New Roman" w:cs="Times New Roman"/>
          <w:sz w:val="24"/>
          <w:szCs w:val="24"/>
          <w:lang w:eastAsia="zh-TW"/>
        </w:rPr>
        <w:t xml:space="preserve"> there has been no assessment </w:t>
      </w:r>
      <w:r w:rsidRPr="00BE3BC6">
        <w:rPr>
          <w:rFonts w:ascii="Times New Roman" w:hAnsi="Times New Roman" w:cs="Times New Roman"/>
          <w:sz w:val="24"/>
          <w:szCs w:val="24"/>
          <w:lang w:eastAsia="zh-TW"/>
        </w:rPr>
        <w:lastRenderedPageBreak/>
        <w:t>of above- and below-ground NPP for tropical logged forests</w:t>
      </w:r>
      <w:r>
        <w:rPr>
          <w:rFonts w:ascii="Times New Roman" w:hAnsi="Times New Roman" w:cs="Times New Roman"/>
          <w:sz w:val="24"/>
          <w:szCs w:val="24"/>
          <w:lang w:eastAsia="zh-TW"/>
        </w:rPr>
        <w:t xml:space="preserve">; the most comprehensive synthesis of the existing empirical data on tropical forest carbon stocks and fluxes to date contains no estimates of total NPP for logged forests and only one estimate of total NPP for a naturally regenerating secondary forest </w:t>
      </w:r>
      <w:r>
        <w:rPr>
          <w:rFonts w:ascii="Times New Roman" w:hAnsi="Times New Roman" w:cs="Times New Roman"/>
          <w:noProof/>
          <w:sz w:val="24"/>
          <w:szCs w:val="24"/>
          <w:lang w:eastAsia="zh-TW"/>
        </w:rPr>
        <w:t>(Anderson</w:t>
      </w:r>
      <w:r>
        <w:rPr>
          <w:rFonts w:ascii="Cambria Math" w:hAnsi="Cambria Math" w:cs="Cambria Math"/>
          <w:noProof/>
          <w:sz w:val="24"/>
          <w:szCs w:val="24"/>
          <w:lang w:eastAsia="zh-TW"/>
        </w:rPr>
        <w:t>‐</w:t>
      </w:r>
      <w:r>
        <w:rPr>
          <w:rFonts w:ascii="Times New Roman" w:hAnsi="Times New Roman" w:cs="Times New Roman"/>
          <w:noProof/>
          <w:sz w:val="24"/>
          <w:szCs w:val="24"/>
          <w:lang w:eastAsia="zh-TW"/>
        </w:rPr>
        <w:t>Teixeira</w:t>
      </w:r>
      <w:r w:rsidRPr="00C02D74">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2016)</w:t>
      </w:r>
      <w:r>
        <w:rPr>
          <w:rFonts w:ascii="Times New Roman" w:hAnsi="Times New Roman" w:cs="Times New Roman"/>
          <w:sz w:val="24"/>
          <w:szCs w:val="24"/>
          <w:lang w:eastAsia="zh-TW"/>
        </w:rPr>
        <w:t xml:space="preserve">. </w:t>
      </w:r>
      <w:r w:rsidRPr="00BE3BC6">
        <w:rPr>
          <w:rFonts w:ascii="Times New Roman" w:hAnsi="Times New Roman" w:cs="Times New Roman"/>
          <w:sz w:val="24"/>
          <w:szCs w:val="24"/>
          <w:lang w:eastAsia="zh-TW"/>
        </w:rPr>
        <w:t>Given that the area of logged and human-modified forest exceeds that of old-growth forests</w:t>
      </w:r>
      <w:r>
        <w:rPr>
          <w:rFonts w:ascii="Times New Roman" w:hAnsi="Times New Roman" w:cs="Times New Roman"/>
          <w:sz w:val="24"/>
          <w:szCs w:val="24"/>
          <w:lang w:eastAsia="zh-TW"/>
        </w:rPr>
        <w:t xml:space="preserve"> (FAO, 2015)</w:t>
      </w:r>
      <w:r w:rsidRPr="00BE3BC6">
        <w:rPr>
          <w:rFonts w:ascii="Times New Roman" w:hAnsi="Times New Roman" w:cs="Times New Roman"/>
          <w:sz w:val="24"/>
          <w:szCs w:val="24"/>
          <w:lang w:eastAsia="zh-TW"/>
        </w:rPr>
        <w:t>, quantifying the carbon dynamics of logged forests is essential for understanding the carbon balance of the tropical forest biome</w:t>
      </w:r>
      <w:r>
        <w:rPr>
          <w:rFonts w:ascii="Times New Roman" w:hAnsi="Times New Roman" w:cs="Times New Roman"/>
          <w:sz w:val="24"/>
          <w:szCs w:val="24"/>
          <w:lang w:eastAsia="zh-TW"/>
        </w:rPr>
        <w:t>.</w:t>
      </w:r>
    </w:p>
    <w:p w14:paraId="289AC96A" w14:textId="77777777"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 xml:space="preserve">In this study we present the first quantification of total net primary productivity and its allocation into woody, canopy and fine root NPP along a disturbance gradient from </w:t>
      </w:r>
      <w:r>
        <w:rPr>
          <w:rFonts w:ascii="Times New Roman" w:hAnsi="Times New Roman" w:cs="Times New Roman"/>
          <w:sz w:val="24"/>
          <w:szCs w:val="24"/>
          <w:lang w:eastAsia="zh-TW"/>
        </w:rPr>
        <w:t xml:space="preserve">old-growth to </w:t>
      </w:r>
      <w:r w:rsidRPr="00BE3BC6">
        <w:rPr>
          <w:rFonts w:ascii="Times New Roman" w:hAnsi="Times New Roman" w:cs="Times New Roman"/>
          <w:sz w:val="24"/>
          <w:szCs w:val="24"/>
          <w:lang w:eastAsia="zh-TW"/>
        </w:rPr>
        <w:t>heavily logged forest. Specifically, we addressed the following questions:</w:t>
      </w:r>
    </w:p>
    <w:p w14:paraId="552DB62E" w14:textId="77777777" w:rsidR="00914113" w:rsidRPr="00BE3BC6" w:rsidRDefault="00914113" w:rsidP="00D061BC">
      <w:pPr>
        <w:pStyle w:val="ListParagraph"/>
        <w:numPr>
          <w:ilvl w:val="0"/>
          <w:numId w:val="1"/>
        </w:num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How do total NPP and its allocation to canopy, woody and fine root components vary along a disturbance gradient from old-growth to heavily logged forests?</w:t>
      </w:r>
    </w:p>
    <w:p w14:paraId="55B2F846" w14:textId="77777777" w:rsidR="00914113" w:rsidRDefault="00914113" w:rsidP="00D061BC">
      <w:pPr>
        <w:pStyle w:val="ListParagraph"/>
        <w:numPr>
          <w:ilvl w:val="0"/>
          <w:numId w:val="1"/>
        </w:num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Are the high woody growth rates reported for logged forests the result of an increase in NPP or a shift in allocation in favour of woody production, or some combination of these two factors?</w:t>
      </w:r>
      <w:r w:rsidRPr="007529F1">
        <w:rPr>
          <w:rFonts w:ascii="Times New Roman" w:hAnsi="Times New Roman" w:cs="Times New Roman"/>
          <w:sz w:val="24"/>
          <w:szCs w:val="24"/>
          <w:lang w:eastAsia="zh-TW"/>
        </w:rPr>
        <w:t xml:space="preserve"> </w:t>
      </w:r>
    </w:p>
    <w:p w14:paraId="4DEB6F0B" w14:textId="77777777" w:rsidR="00914113" w:rsidRPr="00BE3BC6" w:rsidRDefault="00914113" w:rsidP="00D061BC">
      <w:pPr>
        <w:pStyle w:val="ListParagraph"/>
        <w:numPr>
          <w:ilvl w:val="0"/>
          <w:numId w:val="1"/>
        </w:numPr>
        <w:spacing w:line="480" w:lineRule="auto"/>
        <w:rPr>
          <w:rFonts w:ascii="Times New Roman" w:hAnsi="Times New Roman" w:cs="Times New Roman"/>
          <w:sz w:val="24"/>
          <w:szCs w:val="24"/>
          <w:lang w:eastAsia="zh-TW"/>
        </w:rPr>
      </w:pPr>
      <w:r w:rsidRPr="008C6CC4">
        <w:rPr>
          <w:rFonts w:ascii="Times New Roman" w:hAnsi="Times New Roman" w:cs="Times New Roman"/>
          <w:sz w:val="24"/>
          <w:szCs w:val="24"/>
          <w:lang w:eastAsia="zh-TW"/>
        </w:rPr>
        <w:t>To what extent are the shifts in NPP along the disturbance gradient determined by species turnover, in particular, the presence of pioneer species?</w:t>
      </w:r>
    </w:p>
    <w:p w14:paraId="5C0FDC20" w14:textId="77777777" w:rsidR="00914113" w:rsidRDefault="00914113" w:rsidP="00D061BC">
      <w:pPr>
        <w:pStyle w:val="ListParagraph"/>
        <w:numPr>
          <w:ilvl w:val="0"/>
          <w:numId w:val="1"/>
        </w:num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What is the relative contribution of shifts in tree carbon budgets (changes in productivity and allocation) vs. changes in stand density and structure (gaps, reduced number of large trees) in determining the net change in NPP and its allocation between logged and old-growth forests?</w:t>
      </w:r>
    </w:p>
    <w:p w14:paraId="677C9D60" w14:textId="77777777" w:rsidR="00914113" w:rsidRDefault="00914113" w:rsidP="00D061BC">
      <w:pPr>
        <w:spacing w:line="480" w:lineRule="auto"/>
        <w:rPr>
          <w:rFonts w:ascii="Times New Roman" w:hAnsi="Times New Roman" w:cs="Times New Roman"/>
          <w:b/>
          <w:sz w:val="24"/>
          <w:szCs w:val="24"/>
        </w:rPr>
      </w:pPr>
    </w:p>
    <w:p w14:paraId="32AE5F57"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MATERIALS AND METHODS</w:t>
      </w:r>
    </w:p>
    <w:p w14:paraId="668C62EC"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lastRenderedPageBreak/>
        <w:t>Study sites</w:t>
      </w:r>
    </w:p>
    <w:p w14:paraId="32BBDB2A" w14:textId="5D67E3E3"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The study sites were located in Malaysian Borneo, in the states of Sarawak and Sabah. </w:t>
      </w:r>
      <w:r w:rsidRPr="00BE3BC6">
        <w:rPr>
          <w:rFonts w:ascii="Times New Roman" w:hAnsi="Times New Roman" w:cs="Times New Roman"/>
          <w:sz w:val="24"/>
          <w:szCs w:val="24"/>
          <w:lang w:eastAsia="zh-TW"/>
        </w:rPr>
        <w:t xml:space="preserve">This area is a global hotspot of logging and forest conversion. By 2009, 28% of the original forest area of Sabah and Sarawak had been converted to plantations, predominantly oil palm, and 72% of the remaining forest area had been selectively logged </w:t>
      </w:r>
      <w:r>
        <w:rPr>
          <w:rFonts w:ascii="Times New Roman" w:hAnsi="Times New Roman" w:cs="Times New Roman"/>
          <w:noProof/>
          <w:sz w:val="24"/>
          <w:szCs w:val="24"/>
          <w:lang w:eastAsia="zh-TW"/>
        </w:rPr>
        <w:t>(Bryan</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2013)</w:t>
      </w:r>
      <w:r w:rsidRPr="00BE3BC6">
        <w:rPr>
          <w:rFonts w:ascii="Times New Roman" w:hAnsi="Times New Roman" w:cs="Times New Roman"/>
          <w:sz w:val="24"/>
          <w:szCs w:val="24"/>
          <w:lang w:eastAsia="zh-TW"/>
        </w:rPr>
        <w:t xml:space="preserve">. </w:t>
      </w:r>
      <w:r w:rsidRPr="00BE3BC6">
        <w:rPr>
          <w:rFonts w:ascii="Times New Roman" w:hAnsi="Times New Roman" w:cs="Times New Roman"/>
          <w:sz w:val="24"/>
          <w:szCs w:val="24"/>
        </w:rPr>
        <w:t xml:space="preserve">Climate in the region is moist tropical, with </w:t>
      </w:r>
      <w:r w:rsidR="00F142D3">
        <w:rPr>
          <w:rFonts w:ascii="Times New Roman" w:hAnsi="Times New Roman" w:cs="Times New Roman"/>
          <w:sz w:val="24"/>
          <w:szCs w:val="24"/>
        </w:rPr>
        <w:t>an</w:t>
      </w:r>
      <w:r w:rsidR="00F142D3" w:rsidRPr="00BE3BC6">
        <w:rPr>
          <w:rFonts w:ascii="Times New Roman" w:hAnsi="Times New Roman" w:cs="Times New Roman"/>
          <w:sz w:val="24"/>
          <w:szCs w:val="24"/>
        </w:rPr>
        <w:t xml:space="preserve"> </w:t>
      </w:r>
      <w:r w:rsidRPr="00BE3BC6">
        <w:rPr>
          <w:rFonts w:ascii="Times New Roman" w:hAnsi="Times New Roman" w:cs="Times New Roman"/>
          <w:sz w:val="24"/>
          <w:szCs w:val="24"/>
        </w:rPr>
        <w:t>annual</w:t>
      </w:r>
      <w:r>
        <w:rPr>
          <w:rFonts w:ascii="Times New Roman" w:hAnsi="Times New Roman" w:cs="Times New Roman"/>
          <w:sz w:val="24"/>
          <w:szCs w:val="24"/>
        </w:rPr>
        <w:t xml:space="preserve"> daily mean</w:t>
      </w:r>
      <w:r w:rsidRPr="00BE3BC6">
        <w:rPr>
          <w:rFonts w:ascii="Times New Roman" w:hAnsi="Times New Roman" w:cs="Times New Roman"/>
          <w:sz w:val="24"/>
          <w:szCs w:val="24"/>
        </w:rPr>
        <w:t xml:space="preserve"> temperature of 26.7°C </w:t>
      </w:r>
      <w:r>
        <w:rPr>
          <w:rFonts w:ascii="Times New Roman" w:hAnsi="Times New Roman" w:cs="Times New Roman"/>
          <w:noProof/>
          <w:sz w:val="24"/>
          <w:szCs w:val="24"/>
        </w:rPr>
        <w:t>(Walsh &amp; Newbery, 1999)</w:t>
      </w:r>
      <w:r w:rsidRPr="00BE3BC6">
        <w:rPr>
          <w:rFonts w:ascii="Times New Roman" w:hAnsi="Times New Roman" w:cs="Times New Roman"/>
          <w:sz w:val="24"/>
          <w:szCs w:val="24"/>
        </w:rPr>
        <w:t xml:space="preserve">. Annual precipitation is approximately 2600-2700 mm </w:t>
      </w:r>
      <w:r>
        <w:rPr>
          <w:rFonts w:ascii="Times New Roman" w:hAnsi="Times New Roman" w:cs="Times New Roman"/>
          <w:noProof/>
          <w:sz w:val="24"/>
          <w:szCs w:val="24"/>
        </w:rPr>
        <w:t>(Walsh &amp; Newbery, 1999; Kumagai &amp; Porporato, 2012)</w:t>
      </w:r>
      <w:r w:rsidRPr="00BE3BC6">
        <w:rPr>
          <w:rFonts w:ascii="Times New Roman" w:hAnsi="Times New Roman" w:cs="Times New Roman"/>
          <w:sz w:val="24"/>
          <w:szCs w:val="24"/>
        </w:rPr>
        <w:t xml:space="preserve">. There are no distinct dry and wet seasons, but approximately 12% of months </w:t>
      </w:r>
      <w:r w:rsidR="00302300">
        <w:rPr>
          <w:rFonts w:ascii="Times New Roman" w:hAnsi="Times New Roman" w:cs="Times New Roman"/>
          <w:sz w:val="24"/>
          <w:szCs w:val="24"/>
        </w:rPr>
        <w:t>receive lower precipitation</w:t>
      </w:r>
      <w:r>
        <w:rPr>
          <w:rFonts w:ascii="Times New Roman" w:hAnsi="Times New Roman" w:cs="Times New Roman"/>
          <w:sz w:val="24"/>
          <w:szCs w:val="24"/>
        </w:rPr>
        <w:t>,</w:t>
      </w:r>
      <w:r w:rsidRPr="00BE3BC6">
        <w:rPr>
          <w:rFonts w:ascii="Times New Roman" w:hAnsi="Times New Roman" w:cs="Times New Roman"/>
          <w:sz w:val="24"/>
          <w:szCs w:val="24"/>
        </w:rPr>
        <w:t xml:space="preserve"> with rainfall of &lt;100 m</w:t>
      </w:r>
      <w:r>
        <w:rPr>
          <w:rFonts w:ascii="Times New Roman" w:hAnsi="Times New Roman" w:cs="Times New Roman"/>
          <w:sz w:val="24"/>
          <w:szCs w:val="24"/>
        </w:rPr>
        <w:t>m</w:t>
      </w:r>
      <w:r w:rsidRPr="00BE3BC6">
        <w:rPr>
          <w:rFonts w:ascii="Times New Roman" w:hAnsi="Times New Roman" w:cs="Times New Roman"/>
          <w:sz w:val="24"/>
          <w:szCs w:val="24"/>
        </w:rPr>
        <w:t xml:space="preserve"> month</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w:t>
      </w:r>
      <w:r>
        <w:rPr>
          <w:rFonts w:ascii="Times New Roman" w:hAnsi="Times New Roman" w:cs="Times New Roman"/>
          <w:noProof/>
          <w:sz w:val="24"/>
          <w:szCs w:val="24"/>
        </w:rPr>
        <w:t>(Walsh &amp; Newbery, 1999)</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BE3BC6">
        <w:rPr>
          <w:rFonts w:ascii="Times New Roman" w:hAnsi="Times New Roman" w:cs="Times New Roman"/>
          <w:sz w:val="24"/>
          <w:szCs w:val="24"/>
        </w:rPr>
        <w:t xml:space="preserve">area experiences severe droughts linked to El Niño events approximately every ten years, with some evidence that the drought frequency is increasing </w:t>
      </w:r>
      <w:r>
        <w:rPr>
          <w:rFonts w:ascii="Times New Roman" w:hAnsi="Times New Roman" w:cs="Times New Roman"/>
          <w:noProof/>
          <w:sz w:val="24"/>
          <w:szCs w:val="24"/>
        </w:rPr>
        <w:t>(Walsh &amp; Newbery, 1999; Malhi &amp; Wright, 2004; Katayama</w:t>
      </w:r>
      <w:r w:rsidRPr="00652B19">
        <w:rPr>
          <w:rFonts w:ascii="Times New Roman" w:hAnsi="Times New Roman" w:cs="Times New Roman"/>
          <w:i/>
          <w:noProof/>
          <w:sz w:val="24"/>
          <w:szCs w:val="24"/>
        </w:rPr>
        <w:t xml:space="preserve"> et al.</w:t>
      </w:r>
      <w:r>
        <w:rPr>
          <w:rFonts w:ascii="Times New Roman" w:hAnsi="Times New Roman" w:cs="Times New Roman"/>
          <w:noProof/>
          <w:sz w:val="24"/>
          <w:szCs w:val="24"/>
        </w:rPr>
        <w:t>, 2009)</w:t>
      </w:r>
      <w:r w:rsidRPr="00BE3BC6">
        <w:rPr>
          <w:rFonts w:ascii="Times New Roman" w:hAnsi="Times New Roman" w:cs="Times New Roman"/>
          <w:sz w:val="24"/>
          <w:szCs w:val="24"/>
        </w:rPr>
        <w:t>.</w:t>
      </w:r>
    </w:p>
    <w:p w14:paraId="6BD3B585" w14:textId="759E7140"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Five plots </w:t>
      </w:r>
      <w:r>
        <w:rPr>
          <w:rFonts w:ascii="Times New Roman" w:hAnsi="Times New Roman" w:cs="Times New Roman"/>
          <w:sz w:val="24"/>
          <w:szCs w:val="24"/>
        </w:rPr>
        <w:t>formed</w:t>
      </w:r>
      <w:r w:rsidRPr="00BE3BC6">
        <w:rPr>
          <w:rFonts w:ascii="Times New Roman" w:hAnsi="Times New Roman" w:cs="Times New Roman"/>
          <w:sz w:val="24"/>
          <w:szCs w:val="24"/>
        </w:rPr>
        <w:t xml:space="preserve"> a disturbance gradient from heavily to moderately logged </w:t>
      </w:r>
      <w:r>
        <w:rPr>
          <w:rFonts w:ascii="Times New Roman" w:hAnsi="Times New Roman" w:cs="Times New Roman"/>
          <w:sz w:val="24"/>
          <w:szCs w:val="24"/>
        </w:rPr>
        <w:t xml:space="preserve">forest </w:t>
      </w:r>
      <w:r w:rsidRPr="00BE3BC6">
        <w:rPr>
          <w:rFonts w:ascii="Times New Roman" w:hAnsi="Times New Roman" w:cs="Times New Roman"/>
          <w:sz w:val="24"/>
          <w:szCs w:val="24"/>
        </w:rPr>
        <w:t>sites</w:t>
      </w:r>
      <w:r>
        <w:rPr>
          <w:rFonts w:ascii="Times New Roman" w:hAnsi="Times New Roman" w:cs="Times New Roman"/>
          <w:sz w:val="24"/>
          <w:szCs w:val="24"/>
        </w:rPr>
        <w:t>,</w:t>
      </w:r>
      <w:r w:rsidRPr="00BE3BC6">
        <w:rPr>
          <w:rFonts w:ascii="Times New Roman" w:hAnsi="Times New Roman" w:cs="Times New Roman"/>
          <w:sz w:val="24"/>
          <w:szCs w:val="24"/>
        </w:rPr>
        <w:t xml:space="preserve"> located </w:t>
      </w:r>
      <w:r>
        <w:rPr>
          <w:rFonts w:ascii="Times New Roman" w:hAnsi="Times New Roman" w:cs="Times New Roman"/>
          <w:sz w:val="24"/>
          <w:szCs w:val="24"/>
        </w:rPr>
        <w:t>in Kalabakan Forest Reserve, Sabah</w:t>
      </w:r>
      <w:r w:rsidRPr="00BE3BC6">
        <w:rPr>
          <w:rFonts w:ascii="Times New Roman" w:hAnsi="Times New Roman" w:cs="Times New Roman"/>
          <w:sz w:val="24"/>
          <w:szCs w:val="24"/>
        </w:rPr>
        <w:t xml:space="preserve"> (Table 1). </w:t>
      </w:r>
      <w:r>
        <w:rPr>
          <w:rFonts w:ascii="Times New Roman" w:hAnsi="Times New Roman" w:cs="Times New Roman"/>
          <w:sz w:val="24"/>
          <w:szCs w:val="24"/>
        </w:rPr>
        <w:t>Six</w:t>
      </w:r>
      <w:r w:rsidRPr="00BE3BC6">
        <w:rPr>
          <w:rFonts w:ascii="Times New Roman" w:hAnsi="Times New Roman" w:cs="Times New Roman"/>
          <w:sz w:val="24"/>
          <w:szCs w:val="24"/>
        </w:rPr>
        <w:t xml:space="preserve"> plots were located in old-growth forest </w:t>
      </w:r>
      <w:r>
        <w:rPr>
          <w:rFonts w:ascii="Times New Roman" w:hAnsi="Times New Roman" w:cs="Times New Roman"/>
          <w:sz w:val="24"/>
          <w:szCs w:val="24"/>
        </w:rPr>
        <w:t xml:space="preserve">(two in Danum Valley Conservation </w:t>
      </w:r>
      <w:r w:rsidR="00F142D3">
        <w:rPr>
          <w:rFonts w:ascii="Times New Roman" w:hAnsi="Times New Roman" w:cs="Times New Roman"/>
          <w:sz w:val="24"/>
          <w:szCs w:val="24"/>
        </w:rPr>
        <w:t>A</w:t>
      </w:r>
      <w:r>
        <w:rPr>
          <w:rFonts w:ascii="Times New Roman" w:hAnsi="Times New Roman" w:cs="Times New Roman"/>
          <w:sz w:val="24"/>
          <w:szCs w:val="24"/>
        </w:rPr>
        <w:t xml:space="preserve">rea, Sabah; two </w:t>
      </w:r>
      <w:r w:rsidR="00407261">
        <w:rPr>
          <w:rFonts w:ascii="Times New Roman" w:hAnsi="Times New Roman" w:cs="Times New Roman"/>
          <w:sz w:val="24"/>
          <w:szCs w:val="24"/>
        </w:rPr>
        <w:t xml:space="preserve">in </w:t>
      </w:r>
      <w:r w:rsidRPr="00BE3BC6">
        <w:rPr>
          <w:rFonts w:ascii="Times New Roman" w:hAnsi="Times New Roman" w:cs="Times New Roman"/>
          <w:sz w:val="24"/>
          <w:szCs w:val="24"/>
        </w:rPr>
        <w:t>Maliau Basin</w:t>
      </w:r>
      <w:r>
        <w:rPr>
          <w:rFonts w:ascii="Times New Roman" w:hAnsi="Times New Roman" w:cs="Times New Roman"/>
          <w:sz w:val="24"/>
          <w:szCs w:val="24"/>
        </w:rPr>
        <w:t xml:space="preserve"> Conservation Area, Sabah;</w:t>
      </w:r>
      <w:r w:rsidRPr="00BE3BC6">
        <w:rPr>
          <w:rFonts w:ascii="Times New Roman" w:hAnsi="Times New Roman" w:cs="Times New Roman"/>
          <w:sz w:val="24"/>
          <w:szCs w:val="24"/>
        </w:rPr>
        <w:t xml:space="preserve"> and two in Lambir Hills National Park, Sarawak)</w:t>
      </w:r>
      <w:r w:rsidR="00F142D3">
        <w:rPr>
          <w:rFonts w:ascii="Times New Roman" w:hAnsi="Times New Roman" w:cs="Times New Roman"/>
          <w:sz w:val="24"/>
          <w:szCs w:val="24"/>
        </w:rPr>
        <w:t>,</w:t>
      </w:r>
      <w:r w:rsidRPr="00BE3BC6">
        <w:rPr>
          <w:rFonts w:ascii="Times New Roman" w:hAnsi="Times New Roman" w:cs="Times New Roman"/>
          <w:sz w:val="24"/>
          <w:szCs w:val="24"/>
        </w:rPr>
        <w:t xml:space="preserve"> </w:t>
      </w:r>
      <w:r>
        <w:rPr>
          <w:rFonts w:ascii="Times New Roman" w:hAnsi="Times New Roman" w:cs="Times New Roman"/>
          <w:sz w:val="24"/>
          <w:szCs w:val="24"/>
        </w:rPr>
        <w:t>where there was</w:t>
      </w:r>
      <w:r w:rsidRPr="00BE3BC6">
        <w:rPr>
          <w:rFonts w:ascii="Times New Roman" w:hAnsi="Times New Roman" w:cs="Times New Roman"/>
          <w:sz w:val="24"/>
          <w:szCs w:val="24"/>
        </w:rPr>
        <w:t xml:space="preserve"> no evidence of logging or human disturbance of vegetation </w:t>
      </w:r>
      <w:r>
        <w:rPr>
          <w:rFonts w:ascii="Times New Roman" w:hAnsi="Times New Roman" w:cs="Times New Roman"/>
          <w:noProof/>
          <w:sz w:val="24"/>
          <w:szCs w:val="24"/>
        </w:rPr>
        <w:t>(apart from indirectly through heavy defaunation in Lambir; Harrison</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xml:space="preserve">, 2013) (for </w:t>
      </w:r>
      <w:r w:rsidR="00F142D3">
        <w:rPr>
          <w:rFonts w:ascii="Times New Roman" w:hAnsi="Times New Roman" w:cs="Times New Roman"/>
          <w:noProof/>
          <w:sz w:val="24"/>
          <w:szCs w:val="24"/>
        </w:rPr>
        <w:t xml:space="preserve">a </w:t>
      </w:r>
      <w:r>
        <w:rPr>
          <w:rFonts w:ascii="Times New Roman" w:hAnsi="Times New Roman" w:cs="Times New Roman"/>
          <w:noProof/>
          <w:sz w:val="24"/>
          <w:szCs w:val="24"/>
        </w:rPr>
        <w:t>map of the sites, see Fig. S1)</w:t>
      </w:r>
      <w:r w:rsidRPr="00BE3BC6">
        <w:rPr>
          <w:rFonts w:ascii="Times New Roman" w:hAnsi="Times New Roman" w:cs="Times New Roman"/>
          <w:sz w:val="24"/>
          <w:szCs w:val="24"/>
        </w:rPr>
        <w:t xml:space="preserve">. All plots </w:t>
      </w:r>
      <w:r>
        <w:rPr>
          <w:rFonts w:ascii="Times New Roman" w:hAnsi="Times New Roman" w:cs="Times New Roman"/>
          <w:sz w:val="24"/>
          <w:szCs w:val="24"/>
        </w:rPr>
        <w:t>had</w:t>
      </w:r>
      <w:r w:rsidRPr="00BE3BC6">
        <w:rPr>
          <w:rFonts w:ascii="Times New Roman" w:hAnsi="Times New Roman" w:cs="Times New Roman"/>
          <w:sz w:val="24"/>
          <w:szCs w:val="24"/>
        </w:rPr>
        <w:t xml:space="preserve"> a planimetric area of 1 ha, divided into 25 subplo</w:t>
      </w:r>
      <w:r>
        <w:rPr>
          <w:rFonts w:ascii="Times New Roman" w:hAnsi="Times New Roman" w:cs="Times New Roman"/>
          <w:sz w:val="24"/>
          <w:szCs w:val="24"/>
        </w:rPr>
        <w:t>ts of 20 m × 20 m. The logged plots in Kalabakan Forest Reserve and the old-growth plots in Maliau</w:t>
      </w:r>
      <w:r w:rsidRPr="00BE3BC6">
        <w:rPr>
          <w:rFonts w:ascii="Times New Roman" w:hAnsi="Times New Roman" w:cs="Times New Roman"/>
          <w:sz w:val="24"/>
          <w:szCs w:val="24"/>
        </w:rPr>
        <w:t xml:space="preserve"> are part of the Stability of Altered Forest Ecosystem (SAFE) Project, a large-scale forest fragmentation</w:t>
      </w:r>
      <w:r>
        <w:rPr>
          <w:rFonts w:ascii="Times New Roman" w:hAnsi="Times New Roman" w:cs="Times New Roman"/>
          <w:sz w:val="24"/>
          <w:szCs w:val="24"/>
        </w:rPr>
        <w:t xml:space="preserve"> experiment</w:t>
      </w:r>
      <w:r w:rsidRPr="00BE3BC6">
        <w:rPr>
          <w:rFonts w:ascii="Times New Roman" w:hAnsi="Times New Roman" w:cs="Times New Roman"/>
          <w:sz w:val="24"/>
          <w:szCs w:val="24"/>
        </w:rPr>
        <w:t xml:space="preserve"> </w:t>
      </w:r>
      <w:r>
        <w:rPr>
          <w:rFonts w:ascii="Times New Roman" w:hAnsi="Times New Roman" w:cs="Times New Roman"/>
          <w:noProof/>
          <w:sz w:val="24"/>
          <w:szCs w:val="24"/>
        </w:rPr>
        <w:t>(Ewers</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2011; www.safeprojet.net)</w:t>
      </w:r>
      <w:r w:rsidRPr="00BE3BC6">
        <w:rPr>
          <w:rFonts w:ascii="Times New Roman" w:hAnsi="Times New Roman" w:cs="Times New Roman"/>
          <w:sz w:val="24"/>
          <w:szCs w:val="24"/>
        </w:rPr>
        <w:t>.</w:t>
      </w:r>
    </w:p>
    <w:p w14:paraId="33E7924C" w14:textId="77777777" w:rsidR="00914113" w:rsidRDefault="00914113">
      <w:pPr>
        <w:rPr>
          <w:rFonts w:ascii="Times New Roman" w:hAnsi="Times New Roman" w:cs="Times New Roman"/>
          <w:b/>
          <w:sz w:val="24"/>
          <w:szCs w:val="24"/>
        </w:rPr>
      </w:pPr>
      <w:r>
        <w:rPr>
          <w:rFonts w:ascii="Times New Roman" w:hAnsi="Times New Roman" w:cs="Times New Roman"/>
          <w:b/>
          <w:sz w:val="24"/>
          <w:szCs w:val="24"/>
        </w:rPr>
        <w:br w:type="page"/>
      </w:r>
    </w:p>
    <w:p w14:paraId="55E44580" w14:textId="2E7DEC7E"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b/>
          <w:sz w:val="24"/>
          <w:szCs w:val="24"/>
        </w:rPr>
        <w:lastRenderedPageBreak/>
        <w:t>Table 1.</w:t>
      </w:r>
      <w:r w:rsidRPr="00BE3BC6">
        <w:rPr>
          <w:rFonts w:ascii="Times New Roman" w:hAnsi="Times New Roman" w:cs="Times New Roman"/>
          <w:sz w:val="24"/>
          <w:szCs w:val="24"/>
        </w:rPr>
        <w:t xml:space="preserve"> Characteristics of the study plots. The logged plots are ranked from most to the least intensively logged. </w:t>
      </w:r>
      <w:r>
        <w:rPr>
          <w:rFonts w:ascii="Times New Roman" w:hAnsi="Times New Roman" w:cs="Times New Roman"/>
          <w:sz w:val="24"/>
          <w:szCs w:val="24"/>
        </w:rPr>
        <w:t xml:space="preserve">Mean </w:t>
      </w:r>
      <w:r w:rsidRPr="00BE3BC6">
        <w:rPr>
          <w:rFonts w:ascii="Times New Roman" w:hAnsi="Times New Roman" w:cs="Times New Roman"/>
          <w:sz w:val="24"/>
          <w:szCs w:val="24"/>
        </w:rPr>
        <w:t>of individual subplots</w:t>
      </w:r>
      <w:r w:rsidRPr="00BE3BC6" w:rsidDel="00C93DCB">
        <w:rPr>
          <w:rFonts w:ascii="Times New Roman" w:hAnsi="Times New Roman" w:cs="Times New Roman"/>
          <w:sz w:val="24"/>
          <w:szCs w:val="24"/>
        </w:rPr>
        <w:t xml:space="preserve"> </w:t>
      </w:r>
      <w:r>
        <w:rPr>
          <w:rFonts w:ascii="Times New Roman" w:hAnsi="Times New Roman" w:cs="Times New Roman"/>
          <w:sz w:val="24"/>
          <w:szCs w:val="24"/>
        </w:rPr>
        <w:t>±</w:t>
      </w:r>
      <w:r w:rsidRPr="00BE3BC6">
        <w:rPr>
          <w:rFonts w:ascii="Times New Roman" w:hAnsi="Times New Roman" w:cs="Times New Roman"/>
          <w:sz w:val="24"/>
          <w:szCs w:val="24"/>
        </w:rPr>
        <w:t>1 SE</w:t>
      </w:r>
      <w:r>
        <w:rPr>
          <w:rFonts w:ascii="Times New Roman" w:hAnsi="Times New Roman" w:cs="Times New Roman"/>
          <w:sz w:val="24"/>
          <w:szCs w:val="24"/>
        </w:rPr>
        <w:t>.</w:t>
      </w:r>
      <w:r w:rsidR="004148F3">
        <w:rPr>
          <w:rFonts w:ascii="Times New Roman" w:hAnsi="Times New Roman" w:cs="Times New Roman"/>
          <w:sz w:val="24"/>
          <w:szCs w:val="24"/>
        </w:rPr>
        <w:t xml:space="preserve"> Plot codes are as designated in the forestplots.net database.</w:t>
      </w:r>
    </w:p>
    <w:tbl>
      <w:tblPr>
        <w:tblStyle w:val="TableGrid"/>
        <w:tblW w:w="9747" w:type="dxa"/>
        <w:tblLayout w:type="fixed"/>
        <w:tblLook w:val="04A0" w:firstRow="1" w:lastRow="0" w:firstColumn="1" w:lastColumn="0" w:noHBand="0" w:noVBand="1"/>
      </w:tblPr>
      <w:tblGrid>
        <w:gridCol w:w="1242"/>
        <w:gridCol w:w="1276"/>
        <w:gridCol w:w="1418"/>
        <w:gridCol w:w="1417"/>
        <w:gridCol w:w="1276"/>
        <w:gridCol w:w="992"/>
        <w:gridCol w:w="1134"/>
        <w:gridCol w:w="992"/>
      </w:tblGrid>
      <w:tr w:rsidR="00914113" w:rsidRPr="00BE3BC6" w14:paraId="3626255C" w14:textId="77777777" w:rsidTr="00D061BC">
        <w:tc>
          <w:tcPr>
            <w:tcW w:w="1242" w:type="dxa"/>
          </w:tcPr>
          <w:p w14:paraId="314B1BD0" w14:textId="07770BA2"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Plot name</w:t>
            </w:r>
            <w:r w:rsidR="00B3437D">
              <w:rPr>
                <w:rFonts w:ascii="Times New Roman" w:hAnsi="Times New Roman" w:cs="Times New Roman"/>
                <w:sz w:val="24"/>
                <w:szCs w:val="24"/>
              </w:rPr>
              <w:t xml:space="preserve"> and plot code</w:t>
            </w:r>
          </w:p>
        </w:tc>
        <w:tc>
          <w:tcPr>
            <w:tcW w:w="1276" w:type="dxa"/>
          </w:tcPr>
          <w:p w14:paraId="2976CC03"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Plot location</w:t>
            </w:r>
          </w:p>
        </w:tc>
        <w:tc>
          <w:tcPr>
            <w:tcW w:w="1418" w:type="dxa"/>
          </w:tcPr>
          <w:p w14:paraId="4D7D5393"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Disturbance</w:t>
            </w:r>
          </w:p>
        </w:tc>
        <w:tc>
          <w:tcPr>
            <w:tcW w:w="1417" w:type="dxa"/>
          </w:tcPr>
          <w:p w14:paraId="5BFC08FD"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Soil type;  topography</w:t>
            </w:r>
          </w:p>
        </w:tc>
        <w:tc>
          <w:tcPr>
            <w:tcW w:w="1276" w:type="dxa"/>
          </w:tcPr>
          <w:p w14:paraId="6EF1C2E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Basal area of trees &gt;10 cm DBH</w:t>
            </w:r>
            <w:r>
              <w:rPr>
                <w:rFonts w:ascii="Times New Roman" w:hAnsi="Times New Roman" w:cs="Times New Roman"/>
                <w:sz w:val="24"/>
                <w:szCs w:val="24"/>
              </w:rPr>
              <w:t xml:space="preserve"> </w:t>
            </w:r>
            <w:r w:rsidRPr="00BE3BC6">
              <w:rPr>
                <w:rFonts w:ascii="Times New Roman" w:hAnsi="Times New Roman" w:cs="Times New Roman"/>
                <w:sz w:val="24"/>
                <w:szCs w:val="24"/>
              </w:rPr>
              <w:t>(m</w:t>
            </w:r>
            <w:r w:rsidRPr="00BE3BC6">
              <w:rPr>
                <w:rFonts w:ascii="Times New Roman" w:hAnsi="Times New Roman" w:cs="Times New Roman"/>
                <w:sz w:val="24"/>
                <w:szCs w:val="24"/>
                <w:vertAlign w:val="superscript"/>
              </w:rPr>
              <w:t>2</w:t>
            </w:r>
            <w:r w:rsidRPr="00BE3BC6">
              <w:rPr>
                <w:rFonts w:ascii="Times New Roman" w:hAnsi="Times New Roman" w:cs="Times New Roman"/>
                <w:sz w:val="24"/>
                <w:szCs w:val="24"/>
              </w:rPr>
              <w:t xml:space="preserve"> ha</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w:t>
            </w:r>
            <w:r w:rsidRPr="0024066A">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tc>
        <w:tc>
          <w:tcPr>
            <w:tcW w:w="992" w:type="dxa"/>
          </w:tcPr>
          <w:p w14:paraId="4BCEEE7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Mean canopy gap fraction (%)</w:t>
            </w:r>
          </w:p>
        </w:tc>
        <w:tc>
          <w:tcPr>
            <w:tcW w:w="1134" w:type="dxa"/>
          </w:tcPr>
          <w:p w14:paraId="5C9EF6EA"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Number of  big trees (DBH &gt;50 cm) ha</w:t>
            </w:r>
            <w:r w:rsidRPr="00893244">
              <w:rPr>
                <w:rFonts w:ascii="Times New Roman" w:hAnsi="Times New Roman" w:cs="Times New Roman"/>
                <w:sz w:val="24"/>
                <w:szCs w:val="24"/>
                <w:vertAlign w:val="superscript"/>
              </w:rPr>
              <w:t>-1</w:t>
            </w:r>
          </w:p>
        </w:tc>
        <w:tc>
          <w:tcPr>
            <w:tcW w:w="992" w:type="dxa"/>
          </w:tcPr>
          <w:p w14:paraId="597344E0"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Pioneer tree species (% of basal area)</w:t>
            </w:r>
          </w:p>
        </w:tc>
      </w:tr>
      <w:tr w:rsidR="00914113" w:rsidRPr="00BE3BC6" w14:paraId="0354B006" w14:textId="77777777" w:rsidTr="00D061BC">
        <w:tc>
          <w:tcPr>
            <w:tcW w:w="1242" w:type="dxa"/>
          </w:tcPr>
          <w:p w14:paraId="7D060949"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B South</w:t>
            </w:r>
          </w:p>
          <w:p w14:paraId="7074080C" w14:textId="6B9F21A4"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(SAF-01)</w:t>
            </w:r>
          </w:p>
        </w:tc>
        <w:tc>
          <w:tcPr>
            <w:tcW w:w="1276" w:type="dxa"/>
          </w:tcPr>
          <w:p w14:paraId="2E659518"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SAFE Project, Sabah (4.732°, 117.619°)</w:t>
            </w:r>
          </w:p>
        </w:tc>
        <w:tc>
          <w:tcPr>
            <w:tcW w:w="1418" w:type="dxa"/>
          </w:tcPr>
          <w:p w14:paraId="0A158061"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 xml:space="preserve">Heavily logged </w:t>
            </w:r>
          </w:p>
        </w:tc>
        <w:tc>
          <w:tcPr>
            <w:tcW w:w="1417" w:type="dxa"/>
          </w:tcPr>
          <w:p w14:paraId="75EAC7BA"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mostly flat with a moderate slope on one edge</w:t>
            </w:r>
          </w:p>
        </w:tc>
        <w:tc>
          <w:tcPr>
            <w:tcW w:w="1276" w:type="dxa"/>
          </w:tcPr>
          <w:p w14:paraId="4AFD1724"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6.81±</w:t>
            </w:r>
            <w:r w:rsidRPr="00BE3BC6">
              <w:rPr>
                <w:rFonts w:ascii="Times New Roman" w:hAnsi="Times New Roman" w:cs="Times New Roman"/>
                <w:sz w:val="24"/>
                <w:szCs w:val="24"/>
              </w:rPr>
              <w:t>1.00</w:t>
            </w:r>
          </w:p>
          <w:p w14:paraId="6A6DA18F" w14:textId="77777777" w:rsidR="00914113" w:rsidRPr="00BE3BC6" w:rsidRDefault="00914113" w:rsidP="00D061BC">
            <w:pPr>
              <w:rPr>
                <w:rFonts w:ascii="Times New Roman" w:hAnsi="Times New Roman" w:cs="Times New Roman"/>
                <w:sz w:val="24"/>
                <w:szCs w:val="24"/>
              </w:rPr>
            </w:pPr>
          </w:p>
        </w:tc>
        <w:tc>
          <w:tcPr>
            <w:tcW w:w="992" w:type="dxa"/>
          </w:tcPr>
          <w:p w14:paraId="0ADBD0DB"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15.0±</w:t>
            </w:r>
            <w:r w:rsidRPr="00BE3BC6">
              <w:rPr>
                <w:rFonts w:ascii="Times New Roman" w:hAnsi="Times New Roman" w:cs="Times New Roman"/>
                <w:sz w:val="24"/>
                <w:szCs w:val="24"/>
              </w:rPr>
              <w:t>2.14</w:t>
            </w:r>
          </w:p>
          <w:p w14:paraId="2DE8163C" w14:textId="77777777" w:rsidR="00914113" w:rsidRPr="00BE3BC6" w:rsidRDefault="00914113" w:rsidP="00D061BC">
            <w:pPr>
              <w:rPr>
                <w:rFonts w:ascii="Times New Roman" w:hAnsi="Times New Roman" w:cs="Times New Roman"/>
                <w:sz w:val="24"/>
                <w:szCs w:val="24"/>
              </w:rPr>
            </w:pPr>
          </w:p>
        </w:tc>
        <w:tc>
          <w:tcPr>
            <w:tcW w:w="1134" w:type="dxa"/>
          </w:tcPr>
          <w:p w14:paraId="3BA9C9DF"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w:t>
            </w:r>
          </w:p>
        </w:tc>
        <w:tc>
          <w:tcPr>
            <w:tcW w:w="992" w:type="dxa"/>
          </w:tcPr>
          <w:p w14:paraId="7BB25430"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28.1±4.3</w:t>
            </w:r>
          </w:p>
        </w:tc>
      </w:tr>
      <w:tr w:rsidR="00914113" w:rsidRPr="00BE3BC6" w14:paraId="411A953C" w14:textId="77777777" w:rsidTr="00D061BC">
        <w:tc>
          <w:tcPr>
            <w:tcW w:w="1242" w:type="dxa"/>
          </w:tcPr>
          <w:p w14:paraId="52DA6E9D"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B North</w:t>
            </w:r>
          </w:p>
          <w:p w14:paraId="62F18FF3" w14:textId="20D25561"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(SAF-02)</w:t>
            </w:r>
          </w:p>
        </w:tc>
        <w:tc>
          <w:tcPr>
            <w:tcW w:w="1276" w:type="dxa"/>
          </w:tcPr>
          <w:p w14:paraId="682C38D7"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SAFE Project</w:t>
            </w:r>
            <w:r>
              <w:rPr>
                <w:rFonts w:ascii="Times New Roman" w:hAnsi="Times New Roman" w:cs="Times New Roman"/>
                <w:sz w:val="24"/>
                <w:szCs w:val="24"/>
              </w:rPr>
              <w:t>,</w:t>
            </w:r>
            <w:r w:rsidRPr="00BE3BC6">
              <w:rPr>
                <w:rFonts w:ascii="Times New Roman" w:hAnsi="Times New Roman" w:cs="Times New Roman"/>
                <w:sz w:val="24"/>
                <w:szCs w:val="24"/>
              </w:rPr>
              <w:t xml:space="preserve"> Sabah (4.739°, 117.617°)</w:t>
            </w:r>
          </w:p>
        </w:tc>
        <w:tc>
          <w:tcPr>
            <w:tcW w:w="1418" w:type="dxa"/>
          </w:tcPr>
          <w:p w14:paraId="038D7F9A"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Heavily logged</w:t>
            </w:r>
          </w:p>
          <w:p w14:paraId="6664F535" w14:textId="77777777" w:rsidR="00914113" w:rsidRPr="00BE3BC6" w:rsidRDefault="00914113" w:rsidP="00D061BC">
            <w:pPr>
              <w:rPr>
                <w:rFonts w:ascii="Times New Roman" w:hAnsi="Times New Roman" w:cs="Times New Roman"/>
                <w:sz w:val="24"/>
                <w:szCs w:val="24"/>
              </w:rPr>
            </w:pPr>
          </w:p>
        </w:tc>
        <w:tc>
          <w:tcPr>
            <w:tcW w:w="1417" w:type="dxa"/>
          </w:tcPr>
          <w:p w14:paraId="4A1FF048"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undulating</w:t>
            </w:r>
          </w:p>
        </w:tc>
        <w:tc>
          <w:tcPr>
            <w:tcW w:w="1276" w:type="dxa"/>
          </w:tcPr>
          <w:p w14:paraId="4651E7E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11.1±</w:t>
            </w:r>
            <w:r w:rsidRPr="00BE3BC6">
              <w:rPr>
                <w:rFonts w:ascii="Times New Roman" w:hAnsi="Times New Roman" w:cs="Times New Roman"/>
                <w:sz w:val="24"/>
                <w:szCs w:val="24"/>
              </w:rPr>
              <w:t>1.81</w:t>
            </w:r>
          </w:p>
          <w:p w14:paraId="4F3B4CE8" w14:textId="77777777" w:rsidR="00914113" w:rsidRPr="00BE3BC6" w:rsidRDefault="00914113" w:rsidP="00D061BC">
            <w:pPr>
              <w:rPr>
                <w:rFonts w:ascii="Times New Roman" w:hAnsi="Times New Roman" w:cs="Times New Roman"/>
                <w:sz w:val="24"/>
                <w:szCs w:val="24"/>
              </w:rPr>
            </w:pPr>
          </w:p>
        </w:tc>
        <w:tc>
          <w:tcPr>
            <w:tcW w:w="992" w:type="dxa"/>
          </w:tcPr>
          <w:p w14:paraId="31024A02"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13.4±</w:t>
            </w:r>
            <w:r w:rsidRPr="00BE3BC6">
              <w:rPr>
                <w:rFonts w:ascii="Times New Roman" w:hAnsi="Times New Roman" w:cs="Times New Roman"/>
                <w:sz w:val="24"/>
                <w:szCs w:val="24"/>
              </w:rPr>
              <w:t>1.51</w:t>
            </w:r>
          </w:p>
          <w:p w14:paraId="3FDDED84" w14:textId="77777777" w:rsidR="00914113" w:rsidRPr="00BE3BC6" w:rsidRDefault="00914113" w:rsidP="00D061BC">
            <w:pPr>
              <w:rPr>
                <w:rFonts w:ascii="Times New Roman" w:hAnsi="Times New Roman" w:cs="Times New Roman"/>
                <w:sz w:val="24"/>
                <w:szCs w:val="24"/>
              </w:rPr>
            </w:pPr>
          </w:p>
        </w:tc>
        <w:tc>
          <w:tcPr>
            <w:tcW w:w="1134" w:type="dxa"/>
          </w:tcPr>
          <w:p w14:paraId="3FEDC309"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0</w:t>
            </w:r>
          </w:p>
        </w:tc>
        <w:tc>
          <w:tcPr>
            <w:tcW w:w="992" w:type="dxa"/>
          </w:tcPr>
          <w:p w14:paraId="1F600132"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57.2±5.8</w:t>
            </w:r>
          </w:p>
        </w:tc>
      </w:tr>
      <w:tr w:rsidR="00914113" w:rsidRPr="00BE3BC6" w14:paraId="2A2F50FA" w14:textId="77777777" w:rsidTr="00D061BC">
        <w:tc>
          <w:tcPr>
            <w:tcW w:w="1242" w:type="dxa"/>
          </w:tcPr>
          <w:p w14:paraId="402223A2"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Tower</w:t>
            </w:r>
          </w:p>
          <w:p w14:paraId="33DBEFDF" w14:textId="78BDDCEF"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(SAF-05)</w:t>
            </w:r>
          </w:p>
        </w:tc>
        <w:tc>
          <w:tcPr>
            <w:tcW w:w="1276" w:type="dxa"/>
          </w:tcPr>
          <w:p w14:paraId="178E0605"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SAFE Project, Sabah (4.716°, 117.609°)</w:t>
            </w:r>
          </w:p>
        </w:tc>
        <w:tc>
          <w:tcPr>
            <w:tcW w:w="1418" w:type="dxa"/>
          </w:tcPr>
          <w:p w14:paraId="3E89B6A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Heavily logged</w:t>
            </w:r>
          </w:p>
        </w:tc>
        <w:tc>
          <w:tcPr>
            <w:tcW w:w="1417" w:type="dxa"/>
          </w:tcPr>
          <w:p w14:paraId="4430C70F"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undulating</w:t>
            </w:r>
          </w:p>
        </w:tc>
        <w:tc>
          <w:tcPr>
            <w:tcW w:w="1276" w:type="dxa"/>
          </w:tcPr>
          <w:p w14:paraId="1E51729A"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13.9±</w:t>
            </w:r>
            <w:r w:rsidRPr="00BE3BC6">
              <w:rPr>
                <w:rFonts w:ascii="Times New Roman" w:hAnsi="Times New Roman" w:cs="Times New Roman"/>
                <w:sz w:val="24"/>
                <w:szCs w:val="24"/>
              </w:rPr>
              <w:t>1.70</w:t>
            </w:r>
          </w:p>
          <w:p w14:paraId="35A643DB" w14:textId="77777777" w:rsidR="00914113" w:rsidRPr="00BE3BC6" w:rsidRDefault="00914113" w:rsidP="00D061BC">
            <w:pPr>
              <w:rPr>
                <w:rFonts w:ascii="Times New Roman" w:hAnsi="Times New Roman" w:cs="Times New Roman"/>
                <w:sz w:val="24"/>
                <w:szCs w:val="24"/>
              </w:rPr>
            </w:pPr>
          </w:p>
        </w:tc>
        <w:tc>
          <w:tcPr>
            <w:tcW w:w="992" w:type="dxa"/>
          </w:tcPr>
          <w:p w14:paraId="4685EE18"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12.2±</w:t>
            </w:r>
            <w:r w:rsidRPr="00BE3BC6">
              <w:rPr>
                <w:rFonts w:ascii="Times New Roman" w:hAnsi="Times New Roman" w:cs="Times New Roman"/>
                <w:sz w:val="24"/>
                <w:szCs w:val="24"/>
              </w:rPr>
              <w:t>2.07</w:t>
            </w:r>
          </w:p>
          <w:p w14:paraId="1B0BD7C7" w14:textId="77777777" w:rsidR="00914113" w:rsidRPr="00BE3BC6" w:rsidRDefault="00914113" w:rsidP="00D061BC">
            <w:pPr>
              <w:rPr>
                <w:rFonts w:ascii="Times New Roman" w:hAnsi="Times New Roman" w:cs="Times New Roman"/>
                <w:sz w:val="24"/>
                <w:szCs w:val="24"/>
              </w:rPr>
            </w:pPr>
          </w:p>
        </w:tc>
        <w:tc>
          <w:tcPr>
            <w:tcW w:w="1134" w:type="dxa"/>
          </w:tcPr>
          <w:p w14:paraId="3061A497"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6</w:t>
            </w:r>
          </w:p>
        </w:tc>
        <w:tc>
          <w:tcPr>
            <w:tcW w:w="992" w:type="dxa"/>
          </w:tcPr>
          <w:p w14:paraId="2CF410A5"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34.5±6.6</w:t>
            </w:r>
          </w:p>
        </w:tc>
      </w:tr>
      <w:tr w:rsidR="00914113" w:rsidRPr="00BE3BC6" w14:paraId="72D88103" w14:textId="77777777" w:rsidTr="00D061BC">
        <w:tc>
          <w:tcPr>
            <w:tcW w:w="1242" w:type="dxa"/>
          </w:tcPr>
          <w:p w14:paraId="26D1A9EC"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LF</w:t>
            </w:r>
          </w:p>
          <w:p w14:paraId="744241C9" w14:textId="54708831"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(SAF-04)</w:t>
            </w:r>
          </w:p>
        </w:tc>
        <w:tc>
          <w:tcPr>
            <w:tcW w:w="1276" w:type="dxa"/>
          </w:tcPr>
          <w:p w14:paraId="2CE2BA5A"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SAFE Project, Sabah</w:t>
            </w:r>
          </w:p>
          <w:p w14:paraId="1113CBC4"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(4.765°, 117.700°)</w:t>
            </w:r>
          </w:p>
        </w:tc>
        <w:tc>
          <w:tcPr>
            <w:tcW w:w="1418" w:type="dxa"/>
          </w:tcPr>
          <w:p w14:paraId="3F7CD31A"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Moderately logged</w:t>
            </w:r>
          </w:p>
        </w:tc>
        <w:tc>
          <w:tcPr>
            <w:tcW w:w="1417" w:type="dxa"/>
          </w:tcPr>
          <w:p w14:paraId="32BB6F6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Partly</w:t>
            </w:r>
            <w:r w:rsidRPr="00BE3BC6">
              <w:rPr>
                <w:rFonts w:ascii="Times New Roman" w:hAnsi="Times New Roman" w:cs="Times New Roman"/>
                <w:sz w:val="24"/>
                <w:szCs w:val="24"/>
              </w:rPr>
              <w:t xml:space="preserve"> sandy loam, partly clay; flat</w:t>
            </w:r>
          </w:p>
        </w:tc>
        <w:tc>
          <w:tcPr>
            <w:tcW w:w="1276" w:type="dxa"/>
          </w:tcPr>
          <w:p w14:paraId="5BAE806A"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19.3±</w:t>
            </w:r>
            <w:r w:rsidRPr="00BE3BC6">
              <w:rPr>
                <w:rFonts w:ascii="Times New Roman" w:hAnsi="Times New Roman" w:cs="Times New Roman"/>
                <w:sz w:val="24"/>
                <w:szCs w:val="24"/>
              </w:rPr>
              <w:t>1.70</w:t>
            </w:r>
          </w:p>
          <w:p w14:paraId="508137DA" w14:textId="77777777" w:rsidR="00914113" w:rsidRPr="00BE3BC6" w:rsidRDefault="00914113" w:rsidP="00D061BC">
            <w:pPr>
              <w:rPr>
                <w:rFonts w:ascii="Times New Roman" w:hAnsi="Times New Roman" w:cs="Times New Roman"/>
                <w:sz w:val="24"/>
                <w:szCs w:val="24"/>
              </w:rPr>
            </w:pPr>
          </w:p>
        </w:tc>
        <w:tc>
          <w:tcPr>
            <w:tcW w:w="992" w:type="dxa"/>
          </w:tcPr>
          <w:p w14:paraId="08487BC4"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12.8±</w:t>
            </w:r>
            <w:r w:rsidRPr="00BE3BC6">
              <w:rPr>
                <w:rFonts w:ascii="Times New Roman" w:hAnsi="Times New Roman" w:cs="Times New Roman"/>
                <w:sz w:val="24"/>
                <w:szCs w:val="24"/>
              </w:rPr>
              <w:t>1.03</w:t>
            </w:r>
          </w:p>
          <w:p w14:paraId="5FC0D250" w14:textId="77777777" w:rsidR="00914113" w:rsidRPr="00BE3BC6" w:rsidRDefault="00914113" w:rsidP="00D061BC">
            <w:pPr>
              <w:rPr>
                <w:rFonts w:ascii="Times New Roman" w:hAnsi="Times New Roman" w:cs="Times New Roman"/>
                <w:sz w:val="24"/>
                <w:szCs w:val="24"/>
              </w:rPr>
            </w:pPr>
          </w:p>
        </w:tc>
        <w:tc>
          <w:tcPr>
            <w:tcW w:w="1134" w:type="dxa"/>
          </w:tcPr>
          <w:p w14:paraId="0351252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11</w:t>
            </w:r>
          </w:p>
        </w:tc>
        <w:tc>
          <w:tcPr>
            <w:tcW w:w="992" w:type="dxa"/>
          </w:tcPr>
          <w:p w14:paraId="5B0BE838"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6.9±2.2</w:t>
            </w:r>
          </w:p>
        </w:tc>
      </w:tr>
      <w:tr w:rsidR="00914113" w:rsidRPr="00BE3BC6" w14:paraId="04A57FD9" w14:textId="77777777" w:rsidTr="00D061BC">
        <w:tc>
          <w:tcPr>
            <w:tcW w:w="1242" w:type="dxa"/>
          </w:tcPr>
          <w:p w14:paraId="7C25A83F"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E</w:t>
            </w:r>
          </w:p>
          <w:p w14:paraId="76DA4AAB" w14:textId="4BB48108"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(SAF-03)</w:t>
            </w:r>
          </w:p>
        </w:tc>
        <w:tc>
          <w:tcPr>
            <w:tcW w:w="1276" w:type="dxa"/>
          </w:tcPr>
          <w:p w14:paraId="2F6F889E"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SAFE Project, Sabah (4.691°, 117.588°)</w:t>
            </w:r>
          </w:p>
        </w:tc>
        <w:tc>
          <w:tcPr>
            <w:tcW w:w="1418" w:type="dxa"/>
          </w:tcPr>
          <w:p w14:paraId="64D8F109"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 xml:space="preserve">Moderately logged </w:t>
            </w:r>
          </w:p>
        </w:tc>
        <w:tc>
          <w:tcPr>
            <w:tcW w:w="1417" w:type="dxa"/>
          </w:tcPr>
          <w:p w14:paraId="71A3C5BA"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steep slope</w:t>
            </w:r>
          </w:p>
        </w:tc>
        <w:tc>
          <w:tcPr>
            <w:tcW w:w="1276" w:type="dxa"/>
          </w:tcPr>
          <w:p w14:paraId="32E55A25"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19.6±</w:t>
            </w:r>
            <w:r w:rsidRPr="00BE3BC6">
              <w:rPr>
                <w:rFonts w:ascii="Times New Roman" w:hAnsi="Times New Roman" w:cs="Times New Roman"/>
                <w:sz w:val="24"/>
                <w:szCs w:val="24"/>
              </w:rPr>
              <w:t>1.88</w:t>
            </w:r>
          </w:p>
          <w:p w14:paraId="23C014BC" w14:textId="77777777" w:rsidR="00914113" w:rsidRPr="00BE3BC6" w:rsidRDefault="00914113" w:rsidP="00D061BC">
            <w:pPr>
              <w:rPr>
                <w:rFonts w:ascii="Times New Roman" w:hAnsi="Times New Roman" w:cs="Times New Roman"/>
                <w:sz w:val="24"/>
                <w:szCs w:val="24"/>
              </w:rPr>
            </w:pPr>
          </w:p>
        </w:tc>
        <w:tc>
          <w:tcPr>
            <w:tcW w:w="992" w:type="dxa"/>
          </w:tcPr>
          <w:p w14:paraId="1AE83B3A"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11.2±</w:t>
            </w:r>
            <w:r w:rsidRPr="00BE3BC6">
              <w:rPr>
                <w:rFonts w:ascii="Times New Roman" w:hAnsi="Times New Roman" w:cs="Times New Roman"/>
                <w:sz w:val="24"/>
                <w:szCs w:val="24"/>
              </w:rPr>
              <w:t>1.29</w:t>
            </w:r>
          </w:p>
          <w:p w14:paraId="5A34EC1F" w14:textId="77777777" w:rsidR="00914113" w:rsidRPr="00BE3BC6" w:rsidRDefault="00914113" w:rsidP="00D061BC">
            <w:pPr>
              <w:rPr>
                <w:rFonts w:ascii="Times New Roman" w:hAnsi="Times New Roman" w:cs="Times New Roman"/>
                <w:sz w:val="24"/>
                <w:szCs w:val="24"/>
              </w:rPr>
            </w:pPr>
          </w:p>
        </w:tc>
        <w:tc>
          <w:tcPr>
            <w:tcW w:w="1134" w:type="dxa"/>
          </w:tcPr>
          <w:p w14:paraId="3B53491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10</w:t>
            </w:r>
          </w:p>
        </w:tc>
        <w:tc>
          <w:tcPr>
            <w:tcW w:w="992" w:type="dxa"/>
          </w:tcPr>
          <w:p w14:paraId="0528ADF0"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21.5±5.0</w:t>
            </w:r>
          </w:p>
        </w:tc>
      </w:tr>
      <w:tr w:rsidR="00914113" w:rsidRPr="00BE3BC6" w14:paraId="365B0FF6" w14:textId="77777777" w:rsidTr="00D061BC">
        <w:tc>
          <w:tcPr>
            <w:tcW w:w="1242" w:type="dxa"/>
          </w:tcPr>
          <w:p w14:paraId="78415336" w14:textId="77777777" w:rsidR="00914113" w:rsidRDefault="00914113" w:rsidP="00D061BC">
            <w:pPr>
              <w:rPr>
                <w:rFonts w:ascii="Times New Roman" w:hAnsi="Times New Roman" w:cs="Times New Roman"/>
                <w:sz w:val="24"/>
                <w:szCs w:val="24"/>
              </w:rPr>
            </w:pPr>
            <w:r>
              <w:rPr>
                <w:rFonts w:ascii="Times New Roman" w:hAnsi="Times New Roman" w:cs="Times New Roman"/>
                <w:sz w:val="24"/>
                <w:szCs w:val="24"/>
              </w:rPr>
              <w:lastRenderedPageBreak/>
              <w:t xml:space="preserve">Danum </w:t>
            </w:r>
            <w:r w:rsidR="00B3437D">
              <w:rPr>
                <w:rFonts w:ascii="Times New Roman" w:hAnsi="Times New Roman" w:cs="Times New Roman"/>
                <w:sz w:val="24"/>
                <w:szCs w:val="24"/>
              </w:rPr>
              <w:t xml:space="preserve">Carbon </w:t>
            </w:r>
            <w:r>
              <w:rPr>
                <w:rFonts w:ascii="Times New Roman" w:hAnsi="Times New Roman" w:cs="Times New Roman"/>
                <w:sz w:val="24"/>
                <w:szCs w:val="24"/>
              </w:rPr>
              <w:t>1</w:t>
            </w:r>
          </w:p>
          <w:p w14:paraId="5C264906" w14:textId="7D22306E"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(DAN-04)</w:t>
            </w:r>
          </w:p>
        </w:tc>
        <w:tc>
          <w:tcPr>
            <w:tcW w:w="1276" w:type="dxa"/>
          </w:tcPr>
          <w:p w14:paraId="43CC56ED" w14:textId="77777777" w:rsidR="00914113" w:rsidRDefault="00914113" w:rsidP="00D061BC">
            <w:pPr>
              <w:rPr>
                <w:rFonts w:ascii="Times New Roman" w:hAnsi="Times New Roman" w:cs="Times New Roman"/>
                <w:sz w:val="24"/>
                <w:szCs w:val="24"/>
              </w:rPr>
            </w:pPr>
            <w:r>
              <w:rPr>
                <w:rFonts w:ascii="Times New Roman" w:hAnsi="Times New Roman" w:cs="Times New Roman"/>
                <w:sz w:val="24"/>
                <w:szCs w:val="24"/>
              </w:rPr>
              <w:t>Danum Valley Conservation Area</w:t>
            </w:r>
          </w:p>
          <w:p w14:paraId="112FA395"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(4.951°, 117.796°)</w:t>
            </w:r>
          </w:p>
        </w:tc>
        <w:tc>
          <w:tcPr>
            <w:tcW w:w="1418" w:type="dxa"/>
          </w:tcPr>
          <w:p w14:paraId="6BA34AAA"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Old-growth</w:t>
            </w:r>
          </w:p>
        </w:tc>
        <w:tc>
          <w:tcPr>
            <w:tcW w:w="1417" w:type="dxa"/>
          </w:tcPr>
          <w:p w14:paraId="72745D28"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steep slope</w:t>
            </w:r>
          </w:p>
        </w:tc>
        <w:tc>
          <w:tcPr>
            <w:tcW w:w="1276" w:type="dxa"/>
          </w:tcPr>
          <w:p w14:paraId="7526BC0B"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32.0±3.30</w:t>
            </w:r>
          </w:p>
        </w:tc>
        <w:tc>
          <w:tcPr>
            <w:tcW w:w="992" w:type="dxa"/>
          </w:tcPr>
          <w:p w14:paraId="6A08DD37"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10.5±1.00</w:t>
            </w:r>
          </w:p>
          <w:p w14:paraId="711B847C" w14:textId="77777777" w:rsidR="00914113" w:rsidRPr="00B73113" w:rsidRDefault="00914113" w:rsidP="00D061BC">
            <w:pPr>
              <w:rPr>
                <w:rFonts w:ascii="Times New Roman" w:hAnsi="Times New Roman" w:cs="Times New Roman"/>
                <w:sz w:val="24"/>
                <w:szCs w:val="24"/>
              </w:rPr>
            </w:pPr>
          </w:p>
        </w:tc>
        <w:tc>
          <w:tcPr>
            <w:tcW w:w="1134" w:type="dxa"/>
          </w:tcPr>
          <w:p w14:paraId="47B66C67"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34</w:t>
            </w:r>
          </w:p>
        </w:tc>
        <w:tc>
          <w:tcPr>
            <w:tcW w:w="992" w:type="dxa"/>
          </w:tcPr>
          <w:p w14:paraId="3C697FDD" w14:textId="77777777" w:rsidR="00914113" w:rsidRDefault="00914113" w:rsidP="00D061BC">
            <w:pPr>
              <w:rPr>
                <w:rFonts w:ascii="Times New Roman" w:hAnsi="Times New Roman" w:cs="Times New Roman"/>
                <w:sz w:val="24"/>
                <w:szCs w:val="24"/>
              </w:rPr>
            </w:pPr>
            <w:r>
              <w:rPr>
                <w:rFonts w:ascii="Times New Roman" w:hAnsi="Times New Roman" w:cs="Times New Roman"/>
                <w:sz w:val="24"/>
                <w:szCs w:val="24"/>
              </w:rPr>
              <w:t>0.7±1.0</w:t>
            </w:r>
          </w:p>
        </w:tc>
      </w:tr>
      <w:tr w:rsidR="00914113" w:rsidRPr="00BE3BC6" w14:paraId="3ADAC339" w14:textId="77777777" w:rsidTr="00D061BC">
        <w:tc>
          <w:tcPr>
            <w:tcW w:w="1242" w:type="dxa"/>
          </w:tcPr>
          <w:p w14:paraId="23A8E8DE" w14:textId="2E3CE8A9" w:rsidR="00914113" w:rsidRDefault="00914113" w:rsidP="00D061BC">
            <w:pPr>
              <w:rPr>
                <w:rFonts w:ascii="Times New Roman" w:hAnsi="Times New Roman" w:cs="Times New Roman"/>
                <w:sz w:val="24"/>
                <w:szCs w:val="24"/>
              </w:rPr>
            </w:pPr>
            <w:r>
              <w:rPr>
                <w:rFonts w:ascii="Times New Roman" w:hAnsi="Times New Roman" w:cs="Times New Roman"/>
                <w:sz w:val="24"/>
                <w:szCs w:val="24"/>
              </w:rPr>
              <w:t xml:space="preserve">Danum </w:t>
            </w:r>
            <w:r w:rsidR="00B3437D">
              <w:rPr>
                <w:rFonts w:ascii="Times New Roman" w:hAnsi="Times New Roman" w:cs="Times New Roman"/>
                <w:sz w:val="24"/>
                <w:szCs w:val="24"/>
              </w:rPr>
              <w:t xml:space="preserve">Carbon </w:t>
            </w:r>
            <w:r>
              <w:rPr>
                <w:rFonts w:ascii="Times New Roman" w:hAnsi="Times New Roman" w:cs="Times New Roman"/>
                <w:sz w:val="24"/>
                <w:szCs w:val="24"/>
              </w:rPr>
              <w:t>2</w:t>
            </w:r>
          </w:p>
          <w:p w14:paraId="5E801F91" w14:textId="21FA5EB2"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(DAN-05)</w:t>
            </w:r>
          </w:p>
        </w:tc>
        <w:tc>
          <w:tcPr>
            <w:tcW w:w="1276" w:type="dxa"/>
          </w:tcPr>
          <w:p w14:paraId="7447D74A" w14:textId="77777777" w:rsidR="00914113" w:rsidRDefault="00914113" w:rsidP="00D061BC">
            <w:pPr>
              <w:rPr>
                <w:rFonts w:ascii="Times New Roman" w:hAnsi="Times New Roman" w:cs="Times New Roman"/>
                <w:sz w:val="24"/>
                <w:szCs w:val="24"/>
              </w:rPr>
            </w:pPr>
            <w:r>
              <w:rPr>
                <w:rFonts w:ascii="Times New Roman" w:hAnsi="Times New Roman" w:cs="Times New Roman"/>
                <w:sz w:val="24"/>
                <w:szCs w:val="24"/>
              </w:rPr>
              <w:t>Danum Valley Conservation Area</w:t>
            </w:r>
          </w:p>
          <w:p w14:paraId="031B1504"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(4.953°, 117.793°)</w:t>
            </w:r>
          </w:p>
        </w:tc>
        <w:tc>
          <w:tcPr>
            <w:tcW w:w="1418" w:type="dxa"/>
          </w:tcPr>
          <w:p w14:paraId="4101F9EB"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Old-growth</w:t>
            </w:r>
          </w:p>
        </w:tc>
        <w:tc>
          <w:tcPr>
            <w:tcW w:w="1417" w:type="dxa"/>
          </w:tcPr>
          <w:p w14:paraId="03DD8072"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Clay; flat</w:t>
            </w:r>
          </w:p>
        </w:tc>
        <w:tc>
          <w:tcPr>
            <w:tcW w:w="1276" w:type="dxa"/>
          </w:tcPr>
          <w:p w14:paraId="63955840"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30.6±3.37</w:t>
            </w:r>
          </w:p>
        </w:tc>
        <w:tc>
          <w:tcPr>
            <w:tcW w:w="992" w:type="dxa"/>
          </w:tcPr>
          <w:p w14:paraId="736769FC"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11.3±1.5</w:t>
            </w:r>
          </w:p>
        </w:tc>
        <w:tc>
          <w:tcPr>
            <w:tcW w:w="1134" w:type="dxa"/>
          </w:tcPr>
          <w:p w14:paraId="6159E779" w14:textId="77777777" w:rsidR="00914113" w:rsidRPr="00B73113" w:rsidRDefault="00914113" w:rsidP="00D061BC">
            <w:pPr>
              <w:rPr>
                <w:rFonts w:ascii="Times New Roman" w:hAnsi="Times New Roman" w:cs="Times New Roman"/>
                <w:sz w:val="24"/>
                <w:szCs w:val="24"/>
              </w:rPr>
            </w:pPr>
            <w:r w:rsidRPr="00B73113">
              <w:rPr>
                <w:rFonts w:ascii="Times New Roman" w:hAnsi="Times New Roman" w:cs="Times New Roman"/>
                <w:sz w:val="24"/>
                <w:szCs w:val="24"/>
              </w:rPr>
              <w:t>26</w:t>
            </w:r>
          </w:p>
        </w:tc>
        <w:tc>
          <w:tcPr>
            <w:tcW w:w="992" w:type="dxa"/>
          </w:tcPr>
          <w:p w14:paraId="511201C5" w14:textId="77777777" w:rsidR="00914113" w:rsidRDefault="00914113" w:rsidP="00D061BC">
            <w:pPr>
              <w:rPr>
                <w:rFonts w:ascii="Times New Roman" w:hAnsi="Times New Roman" w:cs="Times New Roman"/>
                <w:sz w:val="24"/>
                <w:szCs w:val="24"/>
              </w:rPr>
            </w:pPr>
            <w:r>
              <w:rPr>
                <w:rFonts w:ascii="Times New Roman" w:hAnsi="Times New Roman" w:cs="Times New Roman"/>
                <w:sz w:val="24"/>
                <w:szCs w:val="24"/>
              </w:rPr>
              <w:t>0.1±0.0</w:t>
            </w:r>
          </w:p>
        </w:tc>
      </w:tr>
      <w:tr w:rsidR="00914113" w:rsidRPr="00BE3BC6" w14:paraId="6F4407FB" w14:textId="77777777" w:rsidTr="00D061BC">
        <w:tc>
          <w:tcPr>
            <w:tcW w:w="1242" w:type="dxa"/>
          </w:tcPr>
          <w:p w14:paraId="1D0FA889"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Belian</w:t>
            </w:r>
          </w:p>
          <w:p w14:paraId="758047AE" w14:textId="7CC14963"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(MAL-01)</w:t>
            </w:r>
          </w:p>
        </w:tc>
        <w:tc>
          <w:tcPr>
            <w:tcW w:w="1276" w:type="dxa"/>
          </w:tcPr>
          <w:p w14:paraId="554AE694"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Maliau Basin Conservation Area, Sabah</w:t>
            </w:r>
          </w:p>
          <w:p w14:paraId="357CAC1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(4.747°, 116.970°)</w:t>
            </w:r>
          </w:p>
        </w:tc>
        <w:tc>
          <w:tcPr>
            <w:tcW w:w="1418" w:type="dxa"/>
          </w:tcPr>
          <w:p w14:paraId="0AE28630"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Old-growth</w:t>
            </w:r>
          </w:p>
        </w:tc>
        <w:tc>
          <w:tcPr>
            <w:tcW w:w="1417" w:type="dxa"/>
          </w:tcPr>
          <w:p w14:paraId="2F4289C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undulating</w:t>
            </w:r>
          </w:p>
        </w:tc>
        <w:tc>
          <w:tcPr>
            <w:tcW w:w="1276" w:type="dxa"/>
          </w:tcPr>
          <w:p w14:paraId="26AC3C76"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41.6±</w:t>
            </w:r>
            <w:r w:rsidRPr="00BE3BC6">
              <w:rPr>
                <w:rFonts w:ascii="Times New Roman" w:hAnsi="Times New Roman" w:cs="Times New Roman"/>
                <w:sz w:val="24"/>
                <w:szCs w:val="24"/>
              </w:rPr>
              <w:t>3.59</w:t>
            </w:r>
          </w:p>
          <w:p w14:paraId="389831F1" w14:textId="77777777" w:rsidR="00914113" w:rsidRPr="00BE3BC6" w:rsidRDefault="00914113" w:rsidP="00D061BC">
            <w:pPr>
              <w:rPr>
                <w:rFonts w:ascii="Times New Roman" w:hAnsi="Times New Roman" w:cs="Times New Roman"/>
                <w:sz w:val="24"/>
                <w:szCs w:val="24"/>
              </w:rPr>
            </w:pPr>
          </w:p>
        </w:tc>
        <w:tc>
          <w:tcPr>
            <w:tcW w:w="992" w:type="dxa"/>
          </w:tcPr>
          <w:p w14:paraId="41C0B16F"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8.70±</w:t>
            </w:r>
            <w:r w:rsidRPr="00BE3BC6">
              <w:rPr>
                <w:rFonts w:ascii="Times New Roman" w:hAnsi="Times New Roman" w:cs="Times New Roman"/>
                <w:sz w:val="24"/>
                <w:szCs w:val="24"/>
              </w:rPr>
              <w:t>0.62</w:t>
            </w:r>
          </w:p>
          <w:p w14:paraId="1863C2B9" w14:textId="77777777" w:rsidR="00914113" w:rsidRPr="00BE3BC6" w:rsidRDefault="00914113" w:rsidP="00D061BC">
            <w:pPr>
              <w:rPr>
                <w:rFonts w:ascii="Times New Roman" w:hAnsi="Times New Roman" w:cs="Times New Roman"/>
                <w:sz w:val="24"/>
                <w:szCs w:val="24"/>
              </w:rPr>
            </w:pPr>
          </w:p>
        </w:tc>
        <w:tc>
          <w:tcPr>
            <w:tcW w:w="1134" w:type="dxa"/>
          </w:tcPr>
          <w:p w14:paraId="4631ED0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47</w:t>
            </w:r>
          </w:p>
        </w:tc>
        <w:tc>
          <w:tcPr>
            <w:tcW w:w="992" w:type="dxa"/>
          </w:tcPr>
          <w:p w14:paraId="045FEE42"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0.2±0.3</w:t>
            </w:r>
          </w:p>
        </w:tc>
      </w:tr>
      <w:tr w:rsidR="00914113" w:rsidRPr="00BE3BC6" w14:paraId="5BB1ACD5" w14:textId="77777777" w:rsidTr="00D061BC">
        <w:tc>
          <w:tcPr>
            <w:tcW w:w="1242" w:type="dxa"/>
          </w:tcPr>
          <w:p w14:paraId="1E294EF5"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Seraya</w:t>
            </w:r>
          </w:p>
          <w:p w14:paraId="1FF31641" w14:textId="31C6C760"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(MAL-02)</w:t>
            </w:r>
          </w:p>
        </w:tc>
        <w:tc>
          <w:tcPr>
            <w:tcW w:w="1276" w:type="dxa"/>
          </w:tcPr>
          <w:p w14:paraId="4BA98F02"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Maliau Basin Conservation Area, Sabah</w:t>
            </w:r>
          </w:p>
          <w:p w14:paraId="42E01FEF"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(4.754°, 116.950°)</w:t>
            </w:r>
          </w:p>
        </w:tc>
        <w:tc>
          <w:tcPr>
            <w:tcW w:w="1418" w:type="dxa"/>
          </w:tcPr>
          <w:p w14:paraId="2B35F65B"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Old-growth</w:t>
            </w:r>
          </w:p>
        </w:tc>
        <w:tc>
          <w:tcPr>
            <w:tcW w:w="1417" w:type="dxa"/>
          </w:tcPr>
          <w:p w14:paraId="5038D56D"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Clay; moderate slope</w:t>
            </w:r>
          </w:p>
        </w:tc>
        <w:tc>
          <w:tcPr>
            <w:tcW w:w="1276" w:type="dxa"/>
          </w:tcPr>
          <w:p w14:paraId="2F60A4AB"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34.7±</w:t>
            </w:r>
            <w:r w:rsidRPr="00BE3BC6">
              <w:rPr>
                <w:rFonts w:ascii="Times New Roman" w:hAnsi="Times New Roman" w:cs="Times New Roman"/>
                <w:sz w:val="24"/>
                <w:szCs w:val="24"/>
              </w:rPr>
              <w:t>2.74</w:t>
            </w:r>
          </w:p>
          <w:p w14:paraId="299A0771" w14:textId="77777777" w:rsidR="00914113" w:rsidRPr="00BE3BC6" w:rsidRDefault="00914113" w:rsidP="00D061BC">
            <w:pPr>
              <w:rPr>
                <w:rFonts w:ascii="Times New Roman" w:hAnsi="Times New Roman" w:cs="Times New Roman"/>
                <w:sz w:val="24"/>
                <w:szCs w:val="24"/>
              </w:rPr>
            </w:pPr>
          </w:p>
        </w:tc>
        <w:tc>
          <w:tcPr>
            <w:tcW w:w="992" w:type="dxa"/>
          </w:tcPr>
          <w:p w14:paraId="151C534B"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7.04±</w:t>
            </w:r>
            <w:r w:rsidRPr="00BE3BC6">
              <w:rPr>
                <w:rFonts w:ascii="Times New Roman" w:hAnsi="Times New Roman" w:cs="Times New Roman"/>
                <w:sz w:val="24"/>
                <w:szCs w:val="24"/>
              </w:rPr>
              <w:t>0.55</w:t>
            </w:r>
          </w:p>
          <w:p w14:paraId="7AB42488" w14:textId="77777777" w:rsidR="00914113" w:rsidRPr="00BE3BC6" w:rsidRDefault="00914113" w:rsidP="00D061BC">
            <w:pPr>
              <w:rPr>
                <w:rFonts w:ascii="Times New Roman" w:hAnsi="Times New Roman" w:cs="Times New Roman"/>
                <w:sz w:val="24"/>
                <w:szCs w:val="24"/>
              </w:rPr>
            </w:pPr>
          </w:p>
        </w:tc>
        <w:tc>
          <w:tcPr>
            <w:tcW w:w="1134" w:type="dxa"/>
          </w:tcPr>
          <w:p w14:paraId="6BEA6FC3"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56</w:t>
            </w:r>
          </w:p>
        </w:tc>
        <w:tc>
          <w:tcPr>
            <w:tcW w:w="992" w:type="dxa"/>
          </w:tcPr>
          <w:p w14:paraId="1BCE7D82"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1.7±1.2</w:t>
            </w:r>
          </w:p>
        </w:tc>
      </w:tr>
      <w:tr w:rsidR="00914113" w:rsidRPr="00BE3BC6" w14:paraId="3179D51E" w14:textId="77777777" w:rsidTr="00D061BC">
        <w:tc>
          <w:tcPr>
            <w:tcW w:w="1242" w:type="dxa"/>
          </w:tcPr>
          <w:p w14:paraId="31DB7475"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Lambir Clay</w:t>
            </w:r>
          </w:p>
          <w:p w14:paraId="4A404198" w14:textId="7B108644"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t>(LAM-07)</w:t>
            </w:r>
          </w:p>
        </w:tc>
        <w:tc>
          <w:tcPr>
            <w:tcW w:w="1276" w:type="dxa"/>
          </w:tcPr>
          <w:p w14:paraId="1E21325F"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Lambir Hills National Park, Sarawak</w:t>
            </w:r>
          </w:p>
          <w:p w14:paraId="7A962B4B"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(4.183°</w:t>
            </w:r>
          </w:p>
          <w:p w14:paraId="6E07D2B5"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114.022°)</w:t>
            </w:r>
          </w:p>
        </w:tc>
        <w:tc>
          <w:tcPr>
            <w:tcW w:w="1418" w:type="dxa"/>
          </w:tcPr>
          <w:p w14:paraId="3D2B4A56"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Old-growth</w:t>
            </w:r>
          </w:p>
        </w:tc>
        <w:tc>
          <w:tcPr>
            <w:tcW w:w="1417" w:type="dxa"/>
          </w:tcPr>
          <w:p w14:paraId="40CFA454" w14:textId="77777777" w:rsidR="00914113" w:rsidRPr="00BE3BC6" w:rsidRDefault="00914113" w:rsidP="00D061BC">
            <w:pPr>
              <w:rPr>
                <w:rFonts w:ascii="Times New Roman" w:hAnsi="Times New Roman" w:cs="Times New Roman"/>
                <w:color w:val="000000" w:themeColor="text1"/>
                <w:sz w:val="24"/>
                <w:szCs w:val="24"/>
              </w:rPr>
            </w:pPr>
            <w:r w:rsidRPr="00BE3BC6">
              <w:rPr>
                <w:rFonts w:ascii="Times New Roman" w:hAnsi="Times New Roman" w:cs="Times New Roman"/>
                <w:color w:val="000000" w:themeColor="text1"/>
                <w:sz w:val="24"/>
                <w:szCs w:val="24"/>
              </w:rPr>
              <w:t>Clay; valley</w:t>
            </w:r>
          </w:p>
        </w:tc>
        <w:tc>
          <w:tcPr>
            <w:tcW w:w="1276" w:type="dxa"/>
          </w:tcPr>
          <w:p w14:paraId="78DFF13F"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t>31.8±</w:t>
            </w:r>
            <w:r w:rsidRPr="00BE3BC6">
              <w:rPr>
                <w:rFonts w:ascii="Times New Roman" w:hAnsi="Times New Roman" w:cs="Times New Roman"/>
                <w:sz w:val="24"/>
                <w:szCs w:val="24"/>
              </w:rPr>
              <w:t>3.85</w:t>
            </w:r>
          </w:p>
          <w:p w14:paraId="4236E9B5" w14:textId="77777777" w:rsidR="00914113" w:rsidRPr="00BE3BC6" w:rsidRDefault="00914113" w:rsidP="00D061BC">
            <w:pPr>
              <w:rPr>
                <w:rFonts w:ascii="Times New Roman" w:hAnsi="Times New Roman" w:cs="Times New Roman"/>
                <w:sz w:val="24"/>
                <w:szCs w:val="24"/>
              </w:rPr>
            </w:pPr>
          </w:p>
        </w:tc>
        <w:tc>
          <w:tcPr>
            <w:tcW w:w="992" w:type="dxa"/>
          </w:tcPr>
          <w:p w14:paraId="4FB0AD47"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w:t>
            </w:r>
            <w:r w:rsidRPr="00BE3BC6">
              <w:rPr>
                <w:rFonts w:ascii="Times New Roman" w:hAnsi="Times New Roman" w:cs="Times New Roman"/>
                <w:color w:val="000000" w:themeColor="text1"/>
                <w:sz w:val="24"/>
                <w:szCs w:val="24"/>
              </w:rPr>
              <w:t>0.45</w:t>
            </w:r>
          </w:p>
          <w:p w14:paraId="47F4658B" w14:textId="77777777" w:rsidR="00914113" w:rsidRPr="00BE3BC6" w:rsidRDefault="00914113" w:rsidP="00D061BC">
            <w:pPr>
              <w:rPr>
                <w:rFonts w:ascii="Times New Roman" w:hAnsi="Times New Roman" w:cs="Times New Roman"/>
                <w:color w:val="000000" w:themeColor="text1"/>
                <w:sz w:val="24"/>
                <w:szCs w:val="24"/>
              </w:rPr>
            </w:pPr>
          </w:p>
        </w:tc>
        <w:tc>
          <w:tcPr>
            <w:tcW w:w="1134" w:type="dxa"/>
          </w:tcPr>
          <w:p w14:paraId="05E85CCB"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p>
        </w:tc>
        <w:tc>
          <w:tcPr>
            <w:tcW w:w="992" w:type="dxa"/>
          </w:tcPr>
          <w:p w14:paraId="3E3C7C50"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w:t>
            </w:r>
            <w:r>
              <w:rPr>
                <w:rFonts w:ascii="Times New Roman" w:hAnsi="Times New Roman" w:cs="Times New Roman"/>
                <w:sz w:val="24"/>
                <w:szCs w:val="24"/>
              </w:rPr>
              <w:t>±0.3</w:t>
            </w:r>
          </w:p>
        </w:tc>
      </w:tr>
      <w:tr w:rsidR="00914113" w:rsidRPr="00BE3BC6" w14:paraId="79A3429A" w14:textId="77777777" w:rsidTr="00D061BC">
        <w:tc>
          <w:tcPr>
            <w:tcW w:w="1242" w:type="dxa"/>
          </w:tcPr>
          <w:p w14:paraId="43FBD278" w14:textId="77777777" w:rsidR="00914113"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Lambir Sand</w:t>
            </w:r>
          </w:p>
          <w:p w14:paraId="29F1A163" w14:textId="2EC6117F" w:rsidR="00B3437D" w:rsidRPr="00BE3BC6" w:rsidRDefault="00B3437D" w:rsidP="00D061BC">
            <w:pPr>
              <w:rPr>
                <w:rFonts w:ascii="Times New Roman" w:hAnsi="Times New Roman" w:cs="Times New Roman"/>
                <w:sz w:val="24"/>
                <w:szCs w:val="24"/>
              </w:rPr>
            </w:pPr>
            <w:r>
              <w:rPr>
                <w:rFonts w:ascii="Times New Roman" w:hAnsi="Times New Roman" w:cs="Times New Roman"/>
                <w:sz w:val="24"/>
                <w:szCs w:val="24"/>
              </w:rPr>
              <w:lastRenderedPageBreak/>
              <w:t>(LAM-06)</w:t>
            </w:r>
          </w:p>
        </w:tc>
        <w:tc>
          <w:tcPr>
            <w:tcW w:w="1276" w:type="dxa"/>
          </w:tcPr>
          <w:p w14:paraId="35C9235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lastRenderedPageBreak/>
              <w:t xml:space="preserve">Lambir Hills National </w:t>
            </w:r>
            <w:r>
              <w:rPr>
                <w:rFonts w:ascii="Times New Roman" w:hAnsi="Times New Roman" w:cs="Times New Roman"/>
                <w:sz w:val="24"/>
                <w:szCs w:val="24"/>
              </w:rPr>
              <w:lastRenderedPageBreak/>
              <w:t>Park</w:t>
            </w:r>
            <w:r w:rsidRPr="00BE3BC6">
              <w:rPr>
                <w:rFonts w:ascii="Times New Roman" w:hAnsi="Times New Roman" w:cs="Times New Roman"/>
                <w:sz w:val="24"/>
                <w:szCs w:val="24"/>
              </w:rPr>
              <w:t>, Sarawak</w:t>
            </w:r>
          </w:p>
          <w:p w14:paraId="005E7CCF"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(4.188°</w:t>
            </w:r>
          </w:p>
          <w:p w14:paraId="43E6B264"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t>114.01</w:t>
            </w:r>
            <w:r>
              <w:rPr>
                <w:rFonts w:ascii="Times New Roman" w:hAnsi="Times New Roman" w:cs="Times New Roman"/>
                <w:sz w:val="24"/>
                <w:szCs w:val="24"/>
              </w:rPr>
              <w:t>9</w:t>
            </w:r>
            <w:r w:rsidRPr="00BE3BC6">
              <w:rPr>
                <w:rFonts w:ascii="Times New Roman" w:hAnsi="Times New Roman" w:cs="Times New Roman"/>
                <w:sz w:val="24"/>
                <w:szCs w:val="24"/>
              </w:rPr>
              <w:t>°)</w:t>
            </w:r>
          </w:p>
        </w:tc>
        <w:tc>
          <w:tcPr>
            <w:tcW w:w="1418" w:type="dxa"/>
          </w:tcPr>
          <w:p w14:paraId="04569215" w14:textId="77777777" w:rsidR="00914113" w:rsidRPr="00BE3BC6" w:rsidRDefault="00914113" w:rsidP="00D061BC">
            <w:pPr>
              <w:rPr>
                <w:rFonts w:ascii="Times New Roman" w:hAnsi="Times New Roman" w:cs="Times New Roman"/>
                <w:sz w:val="24"/>
                <w:szCs w:val="24"/>
              </w:rPr>
            </w:pPr>
            <w:r w:rsidRPr="00BE3BC6">
              <w:rPr>
                <w:rFonts w:ascii="Times New Roman" w:hAnsi="Times New Roman" w:cs="Times New Roman"/>
                <w:sz w:val="24"/>
                <w:szCs w:val="24"/>
              </w:rPr>
              <w:lastRenderedPageBreak/>
              <w:t>Old-growth</w:t>
            </w:r>
          </w:p>
        </w:tc>
        <w:tc>
          <w:tcPr>
            <w:tcW w:w="1417" w:type="dxa"/>
          </w:tcPr>
          <w:p w14:paraId="082ED2C6" w14:textId="77777777" w:rsidR="00914113" w:rsidRPr="00BE3BC6" w:rsidRDefault="00914113" w:rsidP="00D061BC">
            <w:pPr>
              <w:rPr>
                <w:rFonts w:ascii="Times New Roman" w:hAnsi="Times New Roman" w:cs="Times New Roman"/>
                <w:color w:val="000000" w:themeColor="text1"/>
                <w:sz w:val="24"/>
                <w:szCs w:val="24"/>
              </w:rPr>
            </w:pPr>
            <w:r w:rsidRPr="00BE3BC6">
              <w:rPr>
                <w:rFonts w:ascii="Times New Roman" w:hAnsi="Times New Roman" w:cs="Times New Roman"/>
                <w:color w:val="000000" w:themeColor="text1"/>
                <w:sz w:val="24"/>
                <w:szCs w:val="24"/>
              </w:rPr>
              <w:t xml:space="preserve">Sandy loam; undulating </w:t>
            </w:r>
            <w:r w:rsidRPr="00BE3BC6">
              <w:rPr>
                <w:rFonts w:ascii="Times New Roman" w:hAnsi="Times New Roman" w:cs="Times New Roman"/>
                <w:color w:val="000000" w:themeColor="text1"/>
                <w:sz w:val="24"/>
                <w:szCs w:val="24"/>
              </w:rPr>
              <w:lastRenderedPageBreak/>
              <w:t>with steep slopes</w:t>
            </w:r>
          </w:p>
        </w:tc>
        <w:tc>
          <w:tcPr>
            <w:tcW w:w="1276" w:type="dxa"/>
          </w:tcPr>
          <w:p w14:paraId="0758B0AD" w14:textId="77777777" w:rsidR="00914113" w:rsidRPr="00BE3BC6" w:rsidRDefault="00914113" w:rsidP="00D061BC">
            <w:pPr>
              <w:rPr>
                <w:rFonts w:ascii="Times New Roman" w:hAnsi="Times New Roman" w:cs="Times New Roman"/>
                <w:sz w:val="24"/>
                <w:szCs w:val="24"/>
              </w:rPr>
            </w:pPr>
            <w:r>
              <w:rPr>
                <w:rFonts w:ascii="Times New Roman" w:hAnsi="Times New Roman" w:cs="Times New Roman"/>
                <w:sz w:val="24"/>
                <w:szCs w:val="24"/>
              </w:rPr>
              <w:lastRenderedPageBreak/>
              <w:t>41.1±</w:t>
            </w:r>
            <w:r w:rsidRPr="00BE3BC6">
              <w:rPr>
                <w:rFonts w:ascii="Times New Roman" w:hAnsi="Times New Roman" w:cs="Times New Roman"/>
                <w:sz w:val="24"/>
                <w:szCs w:val="24"/>
              </w:rPr>
              <w:t>2.45</w:t>
            </w:r>
          </w:p>
          <w:p w14:paraId="707E9FE8" w14:textId="77777777" w:rsidR="00914113" w:rsidRPr="00BE3BC6" w:rsidRDefault="00914113" w:rsidP="00D061BC">
            <w:pPr>
              <w:rPr>
                <w:rFonts w:ascii="Times New Roman" w:hAnsi="Times New Roman" w:cs="Times New Roman"/>
                <w:sz w:val="24"/>
                <w:szCs w:val="24"/>
              </w:rPr>
            </w:pPr>
          </w:p>
        </w:tc>
        <w:tc>
          <w:tcPr>
            <w:tcW w:w="992" w:type="dxa"/>
          </w:tcPr>
          <w:p w14:paraId="44C976ED"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9.52±</w:t>
            </w:r>
            <w:r w:rsidRPr="00BE3BC6">
              <w:rPr>
                <w:rFonts w:ascii="Times New Roman" w:hAnsi="Times New Roman" w:cs="Times New Roman"/>
                <w:color w:val="000000" w:themeColor="text1"/>
                <w:sz w:val="24"/>
                <w:szCs w:val="24"/>
              </w:rPr>
              <w:t>0.22</w:t>
            </w:r>
          </w:p>
          <w:p w14:paraId="7FE42E72" w14:textId="77777777" w:rsidR="00914113" w:rsidRPr="00BE3BC6" w:rsidRDefault="00914113" w:rsidP="00D061BC">
            <w:pPr>
              <w:rPr>
                <w:rFonts w:ascii="Times New Roman" w:hAnsi="Times New Roman" w:cs="Times New Roman"/>
                <w:color w:val="000000" w:themeColor="text1"/>
                <w:sz w:val="24"/>
                <w:szCs w:val="24"/>
              </w:rPr>
            </w:pPr>
          </w:p>
        </w:tc>
        <w:tc>
          <w:tcPr>
            <w:tcW w:w="1134" w:type="dxa"/>
          </w:tcPr>
          <w:p w14:paraId="6FD6CF23"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46</w:t>
            </w:r>
          </w:p>
        </w:tc>
        <w:tc>
          <w:tcPr>
            <w:tcW w:w="992" w:type="dxa"/>
          </w:tcPr>
          <w:p w14:paraId="1ED55825" w14:textId="77777777" w:rsidR="00914113" w:rsidRPr="00BE3BC6" w:rsidRDefault="00914113" w:rsidP="00D061B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w:t>
            </w:r>
            <w:r>
              <w:rPr>
                <w:rFonts w:ascii="Times New Roman" w:hAnsi="Times New Roman" w:cs="Times New Roman"/>
                <w:sz w:val="24"/>
                <w:szCs w:val="24"/>
              </w:rPr>
              <w:t>±1.0</w:t>
            </w:r>
          </w:p>
        </w:tc>
      </w:tr>
    </w:tbl>
    <w:p w14:paraId="59D3E24C" w14:textId="77777777" w:rsidR="00C33136" w:rsidRDefault="00C33136" w:rsidP="00D061BC">
      <w:pPr>
        <w:spacing w:line="480" w:lineRule="auto"/>
        <w:rPr>
          <w:rFonts w:ascii="Times New Roman" w:hAnsi="Times New Roman" w:cs="Times New Roman"/>
          <w:sz w:val="24"/>
          <w:szCs w:val="24"/>
          <w:vertAlign w:val="superscript"/>
        </w:rPr>
      </w:pPr>
    </w:p>
    <w:p w14:paraId="19C3B17B" w14:textId="7484B552" w:rsidR="00914113" w:rsidRPr="00BE3BC6" w:rsidRDefault="00914113" w:rsidP="00D061BC">
      <w:pPr>
        <w:spacing w:line="480" w:lineRule="auto"/>
        <w:rPr>
          <w:rFonts w:ascii="Times New Roman" w:hAnsi="Times New Roman" w:cs="Times New Roman"/>
          <w:sz w:val="24"/>
          <w:szCs w:val="24"/>
        </w:rPr>
      </w:pPr>
      <w:r w:rsidRPr="004659FD">
        <w:rPr>
          <w:rFonts w:ascii="Times New Roman" w:hAnsi="Times New Roman" w:cs="Times New Roman"/>
          <w:sz w:val="24"/>
          <w:szCs w:val="24"/>
        </w:rPr>
        <w:t xml:space="preserve">The forests </w:t>
      </w:r>
      <w:r>
        <w:rPr>
          <w:rFonts w:ascii="Times New Roman" w:hAnsi="Times New Roman" w:cs="Times New Roman"/>
          <w:sz w:val="24"/>
          <w:szCs w:val="24"/>
        </w:rPr>
        <w:t xml:space="preserve">in the region </w:t>
      </w:r>
      <w:r w:rsidRPr="004659FD">
        <w:rPr>
          <w:rFonts w:ascii="Times New Roman" w:hAnsi="Times New Roman" w:cs="Times New Roman"/>
          <w:sz w:val="24"/>
          <w:szCs w:val="24"/>
        </w:rPr>
        <w:t>are extremely species rich. Lambir has the highest recorded tree species diversity in the Paleotropics</w:t>
      </w:r>
      <w:r>
        <w:rPr>
          <w:rFonts w:ascii="Times New Roman" w:hAnsi="Times New Roman" w:cs="Times New Roman"/>
          <w:sz w:val="24"/>
          <w:szCs w:val="24"/>
        </w:rPr>
        <w:t xml:space="preserve"> </w:t>
      </w:r>
      <w:r>
        <w:rPr>
          <w:rFonts w:ascii="Times New Roman" w:hAnsi="Times New Roman" w:cs="Times New Roman"/>
          <w:noProof/>
          <w:sz w:val="24"/>
          <w:szCs w:val="24"/>
        </w:rPr>
        <w:t>(Lee</w:t>
      </w:r>
      <w:r w:rsidRPr="00330622">
        <w:rPr>
          <w:rFonts w:ascii="Times New Roman" w:hAnsi="Times New Roman" w:cs="Times New Roman"/>
          <w:i/>
          <w:noProof/>
          <w:sz w:val="24"/>
          <w:szCs w:val="24"/>
        </w:rPr>
        <w:t xml:space="preserve"> et al.</w:t>
      </w:r>
      <w:r>
        <w:rPr>
          <w:rFonts w:ascii="Times New Roman" w:hAnsi="Times New Roman" w:cs="Times New Roman"/>
          <w:noProof/>
          <w:sz w:val="24"/>
          <w:szCs w:val="24"/>
        </w:rPr>
        <w:t>, 2002)</w:t>
      </w:r>
      <w:r w:rsidRPr="004659FD">
        <w:rPr>
          <w:rFonts w:ascii="Times New Roman" w:hAnsi="Times New Roman" w:cs="Times New Roman"/>
          <w:sz w:val="24"/>
          <w:szCs w:val="24"/>
        </w:rPr>
        <w:t xml:space="preserve">. </w:t>
      </w:r>
      <w:r>
        <w:rPr>
          <w:rFonts w:ascii="Times New Roman" w:hAnsi="Times New Roman" w:cs="Times New Roman"/>
          <w:sz w:val="24"/>
          <w:szCs w:val="24"/>
        </w:rPr>
        <w:t>In all plots</w:t>
      </w:r>
      <w:r w:rsidRPr="004659FD">
        <w:rPr>
          <w:rFonts w:ascii="Times New Roman" w:hAnsi="Times New Roman" w:cs="Times New Roman"/>
          <w:sz w:val="24"/>
          <w:szCs w:val="24"/>
        </w:rPr>
        <w:t xml:space="preserve">, Euphorbiaceae and Dipterocarpaceae </w:t>
      </w:r>
      <w:r>
        <w:rPr>
          <w:rFonts w:ascii="Times New Roman" w:hAnsi="Times New Roman" w:cs="Times New Roman"/>
          <w:sz w:val="24"/>
          <w:szCs w:val="24"/>
        </w:rPr>
        <w:t>were</w:t>
      </w:r>
      <w:r w:rsidRPr="004659FD">
        <w:rPr>
          <w:rFonts w:ascii="Times New Roman" w:hAnsi="Times New Roman" w:cs="Times New Roman"/>
          <w:sz w:val="24"/>
          <w:szCs w:val="24"/>
        </w:rPr>
        <w:t xml:space="preserve"> the most species-rich families</w:t>
      </w:r>
      <w:r w:rsidR="00AF46B6">
        <w:rPr>
          <w:rFonts w:ascii="Times New Roman" w:hAnsi="Times New Roman" w:cs="Times New Roman"/>
          <w:sz w:val="24"/>
          <w:szCs w:val="24"/>
        </w:rPr>
        <w:t xml:space="preserve"> among trees ≥ 10 cm dbh</w:t>
      </w:r>
      <w:r w:rsidRPr="004659FD">
        <w:rPr>
          <w:rFonts w:ascii="Times New Roman" w:hAnsi="Times New Roman" w:cs="Times New Roman"/>
          <w:sz w:val="24"/>
          <w:szCs w:val="24"/>
        </w:rPr>
        <w:t xml:space="preserve">, with the Dipterocarpaceae dominating in overall biomass. In the old-growth plots, the most common genera </w:t>
      </w:r>
      <w:r>
        <w:rPr>
          <w:rFonts w:ascii="Times New Roman" w:hAnsi="Times New Roman" w:cs="Times New Roman"/>
          <w:sz w:val="24"/>
          <w:szCs w:val="24"/>
        </w:rPr>
        <w:t>were</w:t>
      </w:r>
      <w:r w:rsidRPr="004659FD">
        <w:rPr>
          <w:rFonts w:ascii="Times New Roman" w:hAnsi="Times New Roman" w:cs="Times New Roman"/>
          <w:sz w:val="24"/>
          <w:szCs w:val="24"/>
        </w:rPr>
        <w:t xml:space="preserve"> the Dipterocarps </w:t>
      </w:r>
      <w:r w:rsidRPr="004659FD">
        <w:rPr>
          <w:rFonts w:ascii="Times New Roman" w:hAnsi="Times New Roman" w:cs="Times New Roman"/>
          <w:i/>
          <w:sz w:val="24"/>
          <w:szCs w:val="24"/>
        </w:rPr>
        <w:t xml:space="preserve">Shorea </w:t>
      </w:r>
      <w:r w:rsidRPr="004659FD">
        <w:rPr>
          <w:rFonts w:ascii="Times New Roman" w:hAnsi="Times New Roman" w:cs="Times New Roman"/>
          <w:sz w:val="24"/>
          <w:szCs w:val="24"/>
        </w:rPr>
        <w:t xml:space="preserve">and </w:t>
      </w:r>
      <w:r w:rsidRPr="004659FD">
        <w:rPr>
          <w:rFonts w:ascii="Times New Roman" w:hAnsi="Times New Roman" w:cs="Times New Roman"/>
          <w:i/>
          <w:sz w:val="24"/>
          <w:szCs w:val="24"/>
        </w:rPr>
        <w:t xml:space="preserve">Parashorea </w:t>
      </w:r>
      <w:r w:rsidRPr="004659FD">
        <w:rPr>
          <w:rFonts w:ascii="Times New Roman" w:hAnsi="Times New Roman" w:cs="Times New Roman"/>
          <w:sz w:val="24"/>
          <w:szCs w:val="24"/>
        </w:rPr>
        <w:t xml:space="preserve">in Maliau and </w:t>
      </w:r>
      <w:r w:rsidRPr="004659FD">
        <w:rPr>
          <w:rFonts w:ascii="Times New Roman" w:hAnsi="Times New Roman" w:cs="Times New Roman"/>
          <w:i/>
          <w:sz w:val="24"/>
          <w:szCs w:val="24"/>
        </w:rPr>
        <w:t xml:space="preserve">Shorea </w:t>
      </w:r>
      <w:r w:rsidRPr="004659FD">
        <w:rPr>
          <w:rFonts w:ascii="Times New Roman" w:hAnsi="Times New Roman" w:cs="Times New Roman"/>
          <w:sz w:val="24"/>
          <w:szCs w:val="24"/>
        </w:rPr>
        <w:t xml:space="preserve">and </w:t>
      </w:r>
      <w:r w:rsidRPr="004659FD">
        <w:rPr>
          <w:rFonts w:ascii="Times New Roman" w:hAnsi="Times New Roman" w:cs="Times New Roman"/>
          <w:i/>
          <w:sz w:val="24"/>
          <w:szCs w:val="24"/>
        </w:rPr>
        <w:t xml:space="preserve">Dryobalanops </w:t>
      </w:r>
      <w:r w:rsidRPr="004659FD">
        <w:rPr>
          <w:rFonts w:ascii="Times New Roman" w:hAnsi="Times New Roman" w:cs="Times New Roman"/>
          <w:sz w:val="24"/>
          <w:szCs w:val="24"/>
          <w:lang w:eastAsia="zh-TW"/>
        </w:rPr>
        <w:t>in Lambir</w:t>
      </w:r>
      <w:r w:rsidRPr="004659FD">
        <w:rPr>
          <w:rFonts w:ascii="Times New Roman" w:hAnsi="Times New Roman" w:cs="Times New Roman"/>
          <w:sz w:val="24"/>
          <w:szCs w:val="24"/>
        </w:rPr>
        <w:t xml:space="preserve">, while </w:t>
      </w:r>
      <w:r>
        <w:rPr>
          <w:rFonts w:ascii="Times New Roman" w:hAnsi="Times New Roman" w:cs="Times New Roman"/>
          <w:sz w:val="24"/>
          <w:szCs w:val="24"/>
        </w:rPr>
        <w:t xml:space="preserve">in </w:t>
      </w:r>
      <w:r w:rsidRPr="004659FD">
        <w:rPr>
          <w:rFonts w:ascii="Times New Roman" w:hAnsi="Times New Roman" w:cs="Times New Roman"/>
          <w:sz w:val="24"/>
          <w:szCs w:val="24"/>
        </w:rPr>
        <w:t xml:space="preserve">the logged plots </w:t>
      </w:r>
      <w:r>
        <w:rPr>
          <w:rFonts w:ascii="Times New Roman" w:hAnsi="Times New Roman" w:cs="Times New Roman"/>
          <w:sz w:val="24"/>
          <w:szCs w:val="24"/>
        </w:rPr>
        <w:t xml:space="preserve">the most common genera were </w:t>
      </w:r>
      <w:r w:rsidRPr="004659FD">
        <w:rPr>
          <w:rFonts w:ascii="Times New Roman" w:hAnsi="Times New Roman" w:cs="Times New Roman"/>
          <w:i/>
          <w:sz w:val="24"/>
          <w:szCs w:val="24"/>
        </w:rPr>
        <w:t xml:space="preserve">Macaranga </w:t>
      </w:r>
      <w:r w:rsidRPr="004659FD">
        <w:rPr>
          <w:rFonts w:ascii="Times New Roman" w:hAnsi="Times New Roman" w:cs="Times New Roman"/>
          <w:sz w:val="24"/>
          <w:szCs w:val="24"/>
        </w:rPr>
        <w:t xml:space="preserve">(Euphorbiaceae), </w:t>
      </w:r>
      <w:r>
        <w:rPr>
          <w:rFonts w:ascii="Times New Roman" w:hAnsi="Times New Roman" w:cs="Times New Roman"/>
          <w:i/>
          <w:sz w:val="24"/>
          <w:szCs w:val="24"/>
        </w:rPr>
        <w:t xml:space="preserve">Shorea </w:t>
      </w:r>
      <w:r>
        <w:rPr>
          <w:rFonts w:ascii="Times New Roman" w:hAnsi="Times New Roman" w:cs="Times New Roman"/>
          <w:sz w:val="24"/>
          <w:szCs w:val="24"/>
        </w:rPr>
        <w:t xml:space="preserve">(Diptocarpaceae) and </w:t>
      </w:r>
      <w:r w:rsidRPr="00466AAE">
        <w:rPr>
          <w:rFonts w:ascii="Times New Roman" w:hAnsi="Times New Roman" w:cs="Times New Roman"/>
          <w:i/>
          <w:sz w:val="24"/>
          <w:szCs w:val="24"/>
        </w:rPr>
        <w:t>Syzygium</w:t>
      </w:r>
      <w:r>
        <w:rPr>
          <w:rFonts w:ascii="Times New Roman" w:hAnsi="Times New Roman" w:cs="Times New Roman"/>
          <w:sz w:val="24"/>
          <w:szCs w:val="24"/>
        </w:rPr>
        <w:t xml:space="preserve"> (Myrtaceae).</w:t>
      </w:r>
      <w:r w:rsidR="004736E6">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B73113">
        <w:rPr>
          <w:rFonts w:ascii="Times New Roman" w:hAnsi="Times New Roman" w:cs="Times New Roman"/>
          <w:sz w:val="24"/>
          <w:szCs w:val="24"/>
        </w:rPr>
        <w:t>average 46% (range: 27% to 58%) of the basal area in the logged plots comprised of species that were also found in old-growth plots (Table S1). The basal area proportion of pioneer species in the logged plots ranged from 7% to 57% (Table 1, Table S1).</w:t>
      </w:r>
    </w:p>
    <w:p w14:paraId="037C8591" w14:textId="7B7B25E2" w:rsidR="00914113" w:rsidRDefault="00914113" w:rsidP="00D061BC">
      <w:pPr>
        <w:spacing w:line="480" w:lineRule="auto"/>
        <w:rPr>
          <w:rFonts w:ascii="Times New Roman" w:hAnsi="Times New Roman" w:cs="Times New Roman"/>
          <w:color w:val="000000" w:themeColor="text1"/>
          <w:sz w:val="24"/>
          <w:szCs w:val="24"/>
        </w:rPr>
      </w:pPr>
      <w:r w:rsidRPr="00BE3BC6">
        <w:rPr>
          <w:rFonts w:ascii="Times New Roman" w:hAnsi="Times New Roman" w:cs="Times New Roman"/>
          <w:color w:val="000000" w:themeColor="text1"/>
          <w:sz w:val="24"/>
          <w:szCs w:val="24"/>
        </w:rPr>
        <w:t>In the SAFE Project area, the forest had been selectively logged two</w:t>
      </w:r>
      <w:r>
        <w:rPr>
          <w:rFonts w:ascii="Times New Roman" w:hAnsi="Times New Roman" w:cs="Times New Roman"/>
          <w:color w:val="000000" w:themeColor="text1"/>
          <w:sz w:val="24"/>
          <w:szCs w:val="24"/>
        </w:rPr>
        <w:t xml:space="preserve"> (</w:t>
      </w:r>
      <w:r w:rsidR="0010735A">
        <w:rPr>
          <w:rFonts w:ascii="Times New Roman" w:hAnsi="Times New Roman" w:cs="Times New Roman"/>
          <w:color w:val="000000" w:themeColor="text1"/>
          <w:sz w:val="24"/>
          <w:szCs w:val="24"/>
        </w:rPr>
        <w:t>SAF-03, SAF-04</w:t>
      </w:r>
      <w:r>
        <w:rPr>
          <w:rFonts w:ascii="Times New Roman" w:hAnsi="Times New Roman" w:cs="Times New Roman"/>
          <w:color w:val="000000" w:themeColor="text1"/>
          <w:sz w:val="24"/>
          <w:szCs w:val="24"/>
        </w:rPr>
        <w:t>)</w:t>
      </w:r>
      <w:r w:rsidRPr="00BE3BC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or</w:t>
      </w:r>
      <w:r w:rsidRPr="00BE3BC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four (</w:t>
      </w:r>
      <w:r w:rsidR="0010735A">
        <w:rPr>
          <w:rFonts w:ascii="Times New Roman" w:hAnsi="Times New Roman" w:cs="Times New Roman"/>
          <w:color w:val="000000" w:themeColor="text1"/>
          <w:sz w:val="24"/>
          <w:szCs w:val="24"/>
        </w:rPr>
        <w:t>SAF-01, SAF-02, SAF-05</w:t>
      </w:r>
      <w:r>
        <w:rPr>
          <w:rFonts w:ascii="Times New Roman" w:hAnsi="Times New Roman" w:cs="Times New Roman"/>
          <w:color w:val="000000" w:themeColor="text1"/>
          <w:sz w:val="24"/>
          <w:szCs w:val="24"/>
        </w:rPr>
        <w:t>) times</w:t>
      </w:r>
      <w:r w:rsidRPr="00BE3BC6">
        <w:rPr>
          <w:rFonts w:ascii="Times New Roman" w:hAnsi="Times New Roman" w:cs="Times New Roman"/>
          <w:color w:val="000000" w:themeColor="text1"/>
          <w:sz w:val="24"/>
          <w:szCs w:val="24"/>
        </w:rPr>
        <w:t xml:space="preserve">. The first round of logging took place in </w:t>
      </w:r>
      <w:r w:rsidR="004F51E2">
        <w:rPr>
          <w:rFonts w:ascii="Times New Roman" w:hAnsi="Times New Roman" w:cs="Times New Roman"/>
          <w:color w:val="000000" w:themeColor="text1"/>
          <w:sz w:val="24"/>
          <w:szCs w:val="24"/>
        </w:rPr>
        <w:t xml:space="preserve">the </w:t>
      </w:r>
      <w:r w:rsidRPr="00BE3BC6">
        <w:rPr>
          <w:rFonts w:ascii="Times New Roman" w:hAnsi="Times New Roman" w:cs="Times New Roman"/>
          <w:color w:val="000000" w:themeColor="text1"/>
          <w:sz w:val="24"/>
          <w:szCs w:val="24"/>
        </w:rPr>
        <w:t xml:space="preserve">mid-1970s, followed by one to three repeated rounds during 1990-2008. </w:t>
      </w:r>
      <w:r>
        <w:rPr>
          <w:rFonts w:ascii="Times New Roman" w:hAnsi="Times New Roman" w:cs="Times New Roman"/>
          <w:color w:val="000000" w:themeColor="text1"/>
          <w:sz w:val="24"/>
          <w:szCs w:val="24"/>
        </w:rPr>
        <w:t>Approximately</w:t>
      </w:r>
      <w:r w:rsidRPr="00BE3BC6">
        <w:rPr>
          <w:rFonts w:ascii="Times New Roman" w:hAnsi="Times New Roman" w:cs="Times New Roman"/>
          <w:color w:val="000000" w:themeColor="text1"/>
          <w:sz w:val="24"/>
          <w:szCs w:val="24"/>
        </w:rPr>
        <w:t xml:space="preserve"> 113 m</w:t>
      </w:r>
      <w:r w:rsidRPr="00BE3BC6">
        <w:rPr>
          <w:rFonts w:ascii="Times New Roman" w:hAnsi="Times New Roman" w:cs="Times New Roman"/>
          <w:color w:val="000000" w:themeColor="text1"/>
          <w:sz w:val="24"/>
          <w:szCs w:val="24"/>
          <w:vertAlign w:val="superscript"/>
        </w:rPr>
        <w:t>3</w:t>
      </w:r>
      <w:r w:rsidRPr="00BE3BC6">
        <w:rPr>
          <w:rFonts w:ascii="Times New Roman" w:hAnsi="Times New Roman" w:cs="Times New Roman"/>
          <w:color w:val="000000" w:themeColor="text1"/>
          <w:sz w:val="24"/>
          <w:szCs w:val="24"/>
        </w:rPr>
        <w:t xml:space="preserve"> ha</w:t>
      </w:r>
      <w:r w:rsidRPr="00BE3BC6">
        <w:rPr>
          <w:rFonts w:ascii="Times New Roman" w:hAnsi="Times New Roman" w:cs="Times New Roman"/>
          <w:color w:val="000000" w:themeColor="text1"/>
          <w:sz w:val="24"/>
          <w:szCs w:val="24"/>
          <w:vertAlign w:val="superscript"/>
        </w:rPr>
        <w:t>-1</w:t>
      </w:r>
      <w:r w:rsidRPr="00BE3BC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of </w:t>
      </w:r>
      <w:r w:rsidRPr="00BE3BC6">
        <w:rPr>
          <w:rFonts w:ascii="Times New Roman" w:hAnsi="Times New Roman" w:cs="Times New Roman"/>
          <w:color w:val="000000" w:themeColor="text1"/>
          <w:sz w:val="24"/>
          <w:szCs w:val="24"/>
        </w:rPr>
        <w:t>timber was removed</w:t>
      </w:r>
      <w:r>
        <w:rPr>
          <w:rFonts w:ascii="Times New Roman" w:hAnsi="Times New Roman" w:cs="Times New Roman"/>
          <w:color w:val="000000" w:themeColor="text1"/>
          <w:sz w:val="24"/>
          <w:szCs w:val="24"/>
        </w:rPr>
        <w:t xml:space="preserve"> during the first rotation and an additional </w:t>
      </w:r>
      <w:r w:rsidRPr="00BE3BC6">
        <w:rPr>
          <w:rFonts w:ascii="Times New Roman" w:hAnsi="Times New Roman" w:cs="Times New Roman"/>
          <w:color w:val="000000" w:themeColor="text1"/>
          <w:sz w:val="24"/>
          <w:szCs w:val="24"/>
        </w:rPr>
        <w:t xml:space="preserve">cumulative volume </w:t>
      </w:r>
      <w:r>
        <w:rPr>
          <w:rFonts w:ascii="Times New Roman" w:hAnsi="Times New Roman" w:cs="Times New Roman"/>
          <w:color w:val="000000" w:themeColor="text1"/>
          <w:sz w:val="24"/>
          <w:szCs w:val="24"/>
        </w:rPr>
        <w:t xml:space="preserve">of </w:t>
      </w:r>
      <w:r w:rsidRPr="00BE3BC6">
        <w:rPr>
          <w:rFonts w:ascii="Times New Roman" w:hAnsi="Times New Roman" w:cs="Times New Roman"/>
          <w:color w:val="000000" w:themeColor="text1"/>
          <w:sz w:val="24"/>
          <w:szCs w:val="24"/>
        </w:rPr>
        <w:t>37 to 66 m</w:t>
      </w:r>
      <w:r w:rsidRPr="00BE3BC6">
        <w:rPr>
          <w:rFonts w:ascii="Times New Roman" w:hAnsi="Times New Roman" w:cs="Times New Roman"/>
          <w:color w:val="000000" w:themeColor="text1"/>
          <w:sz w:val="24"/>
          <w:szCs w:val="24"/>
          <w:vertAlign w:val="superscript"/>
        </w:rPr>
        <w:t>3</w:t>
      </w:r>
      <w:r w:rsidRPr="00BE3BC6">
        <w:rPr>
          <w:rFonts w:ascii="Times New Roman" w:hAnsi="Times New Roman" w:cs="Times New Roman"/>
          <w:color w:val="000000" w:themeColor="text1"/>
          <w:sz w:val="24"/>
          <w:szCs w:val="24"/>
        </w:rPr>
        <w:t xml:space="preserve"> ha</w:t>
      </w:r>
      <w:r w:rsidRPr="00BE3BC6">
        <w:rPr>
          <w:rFonts w:ascii="Times New Roman" w:hAnsi="Times New Roman" w:cs="Times New Roman"/>
          <w:color w:val="000000" w:themeColor="text1"/>
          <w:sz w:val="24"/>
          <w:szCs w:val="24"/>
          <w:vertAlign w:val="superscript"/>
        </w:rPr>
        <w:t xml:space="preserve">-1 </w:t>
      </w:r>
      <w:r>
        <w:rPr>
          <w:rFonts w:ascii="Times New Roman" w:hAnsi="Times New Roman" w:cs="Times New Roman"/>
          <w:color w:val="000000" w:themeColor="text1"/>
          <w:sz w:val="24"/>
          <w:szCs w:val="24"/>
        </w:rPr>
        <w:t>during the subsequent rotations</w:t>
      </w:r>
      <w:r>
        <w:rPr>
          <w:rFonts w:ascii="Times New Roman" w:hAnsi="Times New Roman" w:cs="Times New Roman"/>
          <w:noProof/>
          <w:color w:val="000000" w:themeColor="text1"/>
          <w:sz w:val="24"/>
          <w:szCs w:val="24"/>
        </w:rPr>
        <w:t xml:space="preserve">, which is similar to the mean extracted volume of 152 </w:t>
      </w:r>
      <w:r w:rsidRPr="00BE3BC6">
        <w:rPr>
          <w:rFonts w:ascii="Times New Roman" w:hAnsi="Times New Roman" w:cs="Times New Roman"/>
          <w:color w:val="000000" w:themeColor="text1"/>
          <w:sz w:val="24"/>
          <w:szCs w:val="24"/>
        </w:rPr>
        <w:t>m</w:t>
      </w:r>
      <w:r w:rsidRPr="00BE3BC6">
        <w:rPr>
          <w:rFonts w:ascii="Times New Roman" w:hAnsi="Times New Roman" w:cs="Times New Roman"/>
          <w:color w:val="000000" w:themeColor="text1"/>
          <w:sz w:val="24"/>
          <w:szCs w:val="24"/>
          <w:vertAlign w:val="superscript"/>
        </w:rPr>
        <w:t>3</w:t>
      </w:r>
      <w:r w:rsidRPr="00BE3BC6">
        <w:rPr>
          <w:rFonts w:ascii="Times New Roman" w:hAnsi="Times New Roman" w:cs="Times New Roman"/>
          <w:color w:val="000000" w:themeColor="text1"/>
          <w:sz w:val="24"/>
          <w:szCs w:val="24"/>
        </w:rPr>
        <w:t xml:space="preserve"> ha</w:t>
      </w:r>
      <w:r w:rsidRPr="00BE3BC6">
        <w:rPr>
          <w:rFonts w:ascii="Times New Roman" w:hAnsi="Times New Roman" w:cs="Times New Roman"/>
          <w:color w:val="000000" w:themeColor="text1"/>
          <w:sz w:val="24"/>
          <w:szCs w:val="24"/>
          <w:vertAlign w:val="superscript"/>
        </w:rPr>
        <w:t xml:space="preserve">-1 </w:t>
      </w:r>
      <w:r>
        <w:rPr>
          <w:rFonts w:ascii="Times New Roman" w:hAnsi="Times New Roman" w:cs="Times New Roman"/>
          <w:noProof/>
          <w:color w:val="000000" w:themeColor="text1"/>
          <w:sz w:val="24"/>
          <w:szCs w:val="24"/>
        </w:rPr>
        <w:t>within a larger, 220 000 ha area in Sabah (Fisher</w:t>
      </w:r>
      <w:r w:rsidRPr="009E287A">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2011; Struebig</w:t>
      </w:r>
      <w:r w:rsidRPr="009E287A">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2013)</w:t>
      </w:r>
      <w:r>
        <w:rPr>
          <w:rFonts w:ascii="Times New Roman" w:hAnsi="Times New Roman" w:cs="Times New Roman"/>
          <w:color w:val="000000" w:themeColor="text1"/>
          <w:sz w:val="24"/>
          <w:szCs w:val="24"/>
        </w:rPr>
        <w:t xml:space="preserve">. </w:t>
      </w:r>
      <w:r w:rsidRPr="00BE3BC6">
        <w:rPr>
          <w:rFonts w:ascii="Times New Roman" w:hAnsi="Times New Roman" w:cs="Times New Roman"/>
          <w:color w:val="000000" w:themeColor="text1"/>
          <w:sz w:val="24"/>
          <w:szCs w:val="24"/>
        </w:rPr>
        <w:t xml:space="preserve">Converted to biomass, this </w:t>
      </w:r>
      <w:r>
        <w:rPr>
          <w:rFonts w:ascii="Times New Roman" w:hAnsi="Times New Roman" w:cs="Times New Roman"/>
          <w:color w:val="000000" w:themeColor="text1"/>
          <w:sz w:val="24"/>
          <w:szCs w:val="24"/>
        </w:rPr>
        <w:t xml:space="preserve">sums </w:t>
      </w:r>
      <w:r w:rsidRPr="00BE3BC6">
        <w:rPr>
          <w:rFonts w:ascii="Times New Roman" w:hAnsi="Times New Roman" w:cs="Times New Roman"/>
          <w:color w:val="000000" w:themeColor="text1"/>
          <w:sz w:val="24"/>
          <w:szCs w:val="24"/>
        </w:rPr>
        <w:t>to approximately 46 to 54 Mg C ha</w:t>
      </w:r>
      <w:r w:rsidRPr="00BE3BC6">
        <w:rPr>
          <w:rFonts w:ascii="Times New Roman" w:hAnsi="Times New Roman" w:cs="Times New Roman"/>
          <w:color w:val="000000" w:themeColor="text1"/>
          <w:sz w:val="24"/>
          <w:szCs w:val="24"/>
          <w:vertAlign w:val="superscript"/>
        </w:rPr>
        <w:t xml:space="preserve">-1 </w:t>
      </w:r>
      <w:r w:rsidRPr="00BE3BC6">
        <w:rPr>
          <w:rFonts w:ascii="Times New Roman" w:hAnsi="Times New Roman" w:cs="Times New Roman"/>
          <w:color w:val="000000" w:themeColor="text1"/>
          <w:sz w:val="24"/>
          <w:szCs w:val="24"/>
        </w:rPr>
        <w:t>extracted during the 30-year period. However, total biomass los</w:t>
      </w:r>
      <w:r w:rsidR="00CE7B31">
        <w:rPr>
          <w:rFonts w:ascii="Times New Roman" w:hAnsi="Times New Roman" w:cs="Times New Roman"/>
          <w:color w:val="000000" w:themeColor="text1"/>
          <w:sz w:val="24"/>
          <w:szCs w:val="24"/>
        </w:rPr>
        <w:t>t</w:t>
      </w:r>
      <w:r w:rsidRPr="00BE3BC6">
        <w:rPr>
          <w:rFonts w:ascii="Times New Roman" w:hAnsi="Times New Roman" w:cs="Times New Roman"/>
          <w:color w:val="000000" w:themeColor="text1"/>
          <w:sz w:val="24"/>
          <w:szCs w:val="24"/>
        </w:rPr>
        <w:t xml:space="preserve"> was several times higher, due to collateral damage, increased mortality after the logging </w:t>
      </w:r>
      <w:r>
        <w:rPr>
          <w:rFonts w:ascii="Times New Roman" w:hAnsi="Times New Roman" w:cs="Times New Roman"/>
          <w:noProof/>
          <w:color w:val="000000" w:themeColor="text1"/>
          <w:sz w:val="24"/>
          <w:szCs w:val="24"/>
        </w:rPr>
        <w:t>(Pearson</w:t>
      </w:r>
      <w:r w:rsidRPr="00570E2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2014; Shenkin</w:t>
      </w:r>
      <w:r w:rsidRPr="00570E2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2015)</w:t>
      </w:r>
      <w:r w:rsidRPr="00BE3BC6">
        <w:rPr>
          <w:rFonts w:ascii="Times New Roman" w:hAnsi="Times New Roman" w:cs="Times New Roman"/>
          <w:color w:val="000000" w:themeColor="text1"/>
          <w:sz w:val="24"/>
          <w:szCs w:val="24"/>
        </w:rPr>
        <w:t xml:space="preserve">, and abandonment of some of the felled trees in the forest </w:t>
      </w:r>
      <w:r>
        <w:rPr>
          <w:rFonts w:ascii="Times New Roman" w:hAnsi="Times New Roman" w:cs="Times New Roman"/>
          <w:noProof/>
          <w:color w:val="000000" w:themeColor="text1"/>
          <w:sz w:val="24"/>
          <w:szCs w:val="24"/>
        </w:rPr>
        <w:t xml:space="preserve">(data not available for SAFE, </w:t>
      </w:r>
      <w:r>
        <w:rPr>
          <w:rFonts w:ascii="Times New Roman" w:hAnsi="Times New Roman" w:cs="Times New Roman"/>
          <w:noProof/>
          <w:color w:val="000000" w:themeColor="text1"/>
          <w:sz w:val="24"/>
          <w:szCs w:val="24"/>
        </w:rPr>
        <w:lastRenderedPageBreak/>
        <w:t>but in Indonesian Borneo typically 25% of the stems; Griscom</w:t>
      </w:r>
      <w:r w:rsidRPr="00EE743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2014)</w:t>
      </w:r>
      <w:r w:rsidRPr="00BE3BC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As the area is earmarked for conversion to oil palm plantation in 2015-2017</w:t>
      </w:r>
      <w:r w:rsidRPr="00BE3BC6">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t>(Ewers</w:t>
      </w:r>
      <w:r w:rsidRPr="00EE743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2011)</w:t>
      </w:r>
      <w:r>
        <w:rPr>
          <w:rFonts w:ascii="Times New Roman" w:hAnsi="Times New Roman" w:cs="Times New Roman"/>
          <w:color w:val="000000" w:themeColor="text1"/>
          <w:sz w:val="24"/>
          <w:szCs w:val="24"/>
        </w:rPr>
        <w:t xml:space="preserve">, </w:t>
      </w:r>
      <w:r w:rsidRPr="00BE3BC6">
        <w:rPr>
          <w:rFonts w:ascii="Times New Roman" w:hAnsi="Times New Roman" w:cs="Times New Roman"/>
          <w:color w:val="000000" w:themeColor="text1"/>
          <w:sz w:val="24"/>
          <w:szCs w:val="24"/>
        </w:rPr>
        <w:t xml:space="preserve">the prescribed logging rotation of </w:t>
      </w:r>
      <w:r>
        <w:rPr>
          <w:rFonts w:ascii="Times New Roman" w:hAnsi="Times New Roman" w:cs="Times New Roman"/>
          <w:color w:val="000000" w:themeColor="text1"/>
          <w:sz w:val="24"/>
          <w:szCs w:val="24"/>
        </w:rPr>
        <w:t>sixty</w:t>
      </w:r>
      <w:r w:rsidRPr="00BE3BC6">
        <w:rPr>
          <w:rFonts w:ascii="Times New Roman" w:hAnsi="Times New Roman" w:cs="Times New Roman"/>
          <w:color w:val="000000" w:themeColor="text1"/>
          <w:sz w:val="24"/>
          <w:szCs w:val="24"/>
        </w:rPr>
        <w:t xml:space="preserve"> years was not followed, a</w:t>
      </w:r>
      <w:r>
        <w:rPr>
          <w:rFonts w:ascii="Times New Roman" w:hAnsi="Times New Roman" w:cs="Times New Roman"/>
          <w:color w:val="000000" w:themeColor="text1"/>
          <w:sz w:val="24"/>
          <w:szCs w:val="24"/>
        </w:rPr>
        <w:t xml:space="preserve">nd </w:t>
      </w:r>
      <w:r w:rsidRPr="00BE3BC6">
        <w:rPr>
          <w:rFonts w:ascii="Times New Roman" w:hAnsi="Times New Roman" w:cs="Times New Roman"/>
          <w:color w:val="000000" w:themeColor="text1"/>
          <w:sz w:val="24"/>
          <w:szCs w:val="24"/>
        </w:rPr>
        <w:t xml:space="preserve">repeated rounds of logging </w:t>
      </w:r>
      <w:r>
        <w:rPr>
          <w:rFonts w:ascii="Times New Roman" w:hAnsi="Times New Roman" w:cs="Times New Roman"/>
          <w:color w:val="000000" w:themeColor="text1"/>
          <w:sz w:val="24"/>
          <w:szCs w:val="24"/>
        </w:rPr>
        <w:t xml:space="preserve">have </w:t>
      </w:r>
      <w:r w:rsidRPr="00BE3BC6">
        <w:rPr>
          <w:rFonts w:ascii="Times New Roman" w:hAnsi="Times New Roman" w:cs="Times New Roman"/>
          <w:color w:val="000000" w:themeColor="text1"/>
          <w:sz w:val="24"/>
          <w:szCs w:val="24"/>
        </w:rPr>
        <w:t xml:space="preserve">left parts of the area highly degraded </w:t>
      </w:r>
      <w:r>
        <w:rPr>
          <w:rFonts w:ascii="Times New Roman" w:hAnsi="Times New Roman" w:cs="Times New Roman"/>
          <w:noProof/>
          <w:color w:val="000000" w:themeColor="text1"/>
          <w:sz w:val="24"/>
          <w:szCs w:val="24"/>
        </w:rPr>
        <w:t>(Reynolds</w:t>
      </w:r>
      <w:r w:rsidRPr="00EE743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2011)</w:t>
      </w:r>
      <w:r>
        <w:rPr>
          <w:rFonts w:ascii="Times New Roman" w:hAnsi="Times New Roman" w:cs="Times New Roman"/>
          <w:color w:val="000000" w:themeColor="text1"/>
          <w:sz w:val="24"/>
          <w:szCs w:val="24"/>
        </w:rPr>
        <w:t xml:space="preserve"> (the plots themselves, except </w:t>
      </w:r>
      <w:r w:rsidR="0010735A">
        <w:rPr>
          <w:rFonts w:ascii="Times New Roman" w:hAnsi="Times New Roman" w:cs="Times New Roman"/>
          <w:color w:val="000000" w:themeColor="text1"/>
          <w:sz w:val="24"/>
          <w:szCs w:val="24"/>
        </w:rPr>
        <w:t xml:space="preserve">SAF-05 </w:t>
      </w:r>
      <w:r>
        <w:rPr>
          <w:rFonts w:ascii="Times New Roman" w:hAnsi="Times New Roman" w:cs="Times New Roman"/>
          <w:color w:val="000000" w:themeColor="text1"/>
          <w:sz w:val="24"/>
          <w:szCs w:val="24"/>
        </w:rPr>
        <w:t xml:space="preserve">Plot, will not be converted, but </w:t>
      </w:r>
      <w:r w:rsidR="00FB05C9">
        <w:rPr>
          <w:rFonts w:ascii="Times New Roman" w:hAnsi="Times New Roman" w:cs="Times New Roman"/>
          <w:color w:val="000000" w:themeColor="text1"/>
          <w:sz w:val="24"/>
          <w:szCs w:val="24"/>
        </w:rPr>
        <w:t xml:space="preserve">will </w:t>
      </w:r>
      <w:r>
        <w:rPr>
          <w:rFonts w:ascii="Times New Roman" w:hAnsi="Times New Roman" w:cs="Times New Roman"/>
          <w:color w:val="000000" w:themeColor="text1"/>
          <w:sz w:val="24"/>
          <w:szCs w:val="24"/>
        </w:rPr>
        <w:t>remain inside forest fragments)</w:t>
      </w:r>
      <w:r w:rsidRPr="00BE3BC6">
        <w:rPr>
          <w:rFonts w:ascii="Times New Roman" w:hAnsi="Times New Roman" w:cs="Times New Roman"/>
          <w:color w:val="000000" w:themeColor="text1"/>
          <w:sz w:val="24"/>
          <w:szCs w:val="24"/>
        </w:rPr>
        <w:t>. The logging targeted –</w:t>
      </w:r>
      <w:r>
        <w:rPr>
          <w:rFonts w:ascii="Times New Roman" w:hAnsi="Times New Roman" w:cs="Times New Roman"/>
          <w:color w:val="000000" w:themeColor="text1"/>
          <w:sz w:val="24"/>
          <w:szCs w:val="24"/>
        </w:rPr>
        <w:t xml:space="preserve"> but was not limited to </w:t>
      </w:r>
      <w:r w:rsidRPr="00BE3BC6">
        <w:rPr>
          <w:rFonts w:ascii="Times New Roman" w:hAnsi="Times New Roman" w:cs="Times New Roman"/>
          <w:color w:val="000000" w:themeColor="text1"/>
          <w:sz w:val="24"/>
          <w:szCs w:val="24"/>
        </w:rPr>
        <w:t xml:space="preserve">– medium-density hardwoods (genera </w:t>
      </w:r>
      <w:r w:rsidRPr="006262FD">
        <w:rPr>
          <w:rFonts w:ascii="Times New Roman" w:hAnsi="Times New Roman" w:cs="Times New Roman"/>
          <w:i/>
          <w:color w:val="000000" w:themeColor="text1"/>
          <w:sz w:val="24"/>
          <w:szCs w:val="24"/>
        </w:rPr>
        <w:t>Dry</w:t>
      </w:r>
      <w:r>
        <w:rPr>
          <w:rFonts w:ascii="Times New Roman" w:hAnsi="Times New Roman" w:cs="Times New Roman"/>
          <w:i/>
          <w:color w:val="000000" w:themeColor="text1"/>
          <w:sz w:val="24"/>
          <w:szCs w:val="24"/>
        </w:rPr>
        <w:t>o</w:t>
      </w:r>
      <w:r w:rsidRPr="006262FD">
        <w:rPr>
          <w:rFonts w:ascii="Times New Roman" w:hAnsi="Times New Roman" w:cs="Times New Roman"/>
          <w:i/>
          <w:color w:val="000000" w:themeColor="text1"/>
          <w:sz w:val="24"/>
          <w:szCs w:val="24"/>
        </w:rPr>
        <w:t>balanops</w:t>
      </w:r>
      <w:r w:rsidRPr="00BE3BC6">
        <w:rPr>
          <w:rFonts w:ascii="Times New Roman" w:hAnsi="Times New Roman" w:cs="Times New Roman"/>
          <w:color w:val="000000" w:themeColor="text1"/>
          <w:sz w:val="24"/>
          <w:szCs w:val="24"/>
        </w:rPr>
        <w:t xml:space="preserve"> and </w:t>
      </w:r>
      <w:r w:rsidRPr="006262FD">
        <w:rPr>
          <w:rFonts w:ascii="Times New Roman" w:hAnsi="Times New Roman" w:cs="Times New Roman"/>
          <w:i/>
          <w:color w:val="000000" w:themeColor="text1"/>
          <w:sz w:val="24"/>
          <w:szCs w:val="24"/>
        </w:rPr>
        <w:t>Dipterocarpus</w:t>
      </w:r>
      <w:r w:rsidRPr="00BE3BC6">
        <w:rPr>
          <w:rFonts w:ascii="Times New Roman" w:hAnsi="Times New Roman" w:cs="Times New Roman"/>
          <w:color w:val="000000" w:themeColor="text1"/>
          <w:sz w:val="24"/>
          <w:szCs w:val="24"/>
        </w:rPr>
        <w:t>) and lighter hardwoods (</w:t>
      </w:r>
      <w:r w:rsidRPr="006262FD">
        <w:rPr>
          <w:rFonts w:ascii="Times New Roman" w:hAnsi="Times New Roman" w:cs="Times New Roman"/>
          <w:i/>
          <w:color w:val="000000" w:themeColor="text1"/>
          <w:sz w:val="24"/>
          <w:szCs w:val="24"/>
        </w:rPr>
        <w:t>Shorea</w:t>
      </w:r>
      <w:r w:rsidRPr="00BE3BC6">
        <w:rPr>
          <w:rFonts w:ascii="Times New Roman" w:hAnsi="Times New Roman" w:cs="Times New Roman"/>
          <w:color w:val="000000" w:themeColor="text1"/>
          <w:sz w:val="24"/>
          <w:szCs w:val="24"/>
        </w:rPr>
        <w:t xml:space="preserve"> and </w:t>
      </w:r>
      <w:r w:rsidRPr="006262FD">
        <w:rPr>
          <w:rFonts w:ascii="Times New Roman" w:hAnsi="Times New Roman" w:cs="Times New Roman"/>
          <w:i/>
          <w:color w:val="000000" w:themeColor="text1"/>
          <w:sz w:val="24"/>
          <w:szCs w:val="24"/>
        </w:rPr>
        <w:t>Parashorea</w:t>
      </w:r>
      <w:r w:rsidRPr="00BE3BC6">
        <w:rPr>
          <w:rFonts w:ascii="Times New Roman" w:hAnsi="Times New Roman" w:cs="Times New Roman"/>
          <w:color w:val="000000" w:themeColor="text1"/>
          <w:sz w:val="24"/>
          <w:szCs w:val="24"/>
        </w:rPr>
        <w:t xml:space="preserve">). There was a </w:t>
      </w:r>
      <w:r w:rsidR="00CE7B31">
        <w:rPr>
          <w:rFonts w:ascii="Times New Roman" w:hAnsi="Times New Roman" w:cs="Times New Roman"/>
          <w:color w:val="000000" w:themeColor="text1"/>
          <w:sz w:val="24"/>
          <w:szCs w:val="24"/>
        </w:rPr>
        <w:t>high level</w:t>
      </w:r>
      <w:r w:rsidR="00CE7B31" w:rsidRPr="00BE3BC6">
        <w:rPr>
          <w:rFonts w:ascii="Times New Roman" w:hAnsi="Times New Roman" w:cs="Times New Roman"/>
          <w:color w:val="000000" w:themeColor="text1"/>
          <w:sz w:val="24"/>
          <w:szCs w:val="24"/>
        </w:rPr>
        <w:t xml:space="preserve"> </w:t>
      </w:r>
      <w:r w:rsidRPr="00BE3BC6">
        <w:rPr>
          <w:rFonts w:ascii="Times New Roman" w:hAnsi="Times New Roman" w:cs="Times New Roman"/>
          <w:color w:val="000000" w:themeColor="text1"/>
          <w:sz w:val="24"/>
          <w:szCs w:val="24"/>
        </w:rPr>
        <w:t>of small</w:t>
      </w:r>
      <w:r w:rsidR="00BA5C3D">
        <w:rPr>
          <w:rFonts w:ascii="Times New Roman" w:hAnsi="Times New Roman" w:cs="Times New Roman"/>
          <w:color w:val="000000" w:themeColor="text1"/>
          <w:sz w:val="24"/>
          <w:szCs w:val="24"/>
        </w:rPr>
        <w:t>-</w:t>
      </w:r>
      <w:r w:rsidRPr="00BE3BC6">
        <w:rPr>
          <w:rFonts w:ascii="Times New Roman" w:hAnsi="Times New Roman" w:cs="Times New Roman"/>
          <w:color w:val="000000" w:themeColor="text1"/>
          <w:sz w:val="24"/>
          <w:szCs w:val="24"/>
        </w:rPr>
        <w:t xml:space="preserve">scale </w:t>
      </w:r>
      <w:r w:rsidR="00BA5C3D">
        <w:rPr>
          <w:rFonts w:ascii="Times New Roman" w:hAnsi="Times New Roman" w:cs="Times New Roman"/>
          <w:color w:val="000000" w:themeColor="text1"/>
          <w:sz w:val="24"/>
          <w:szCs w:val="24"/>
        </w:rPr>
        <w:t xml:space="preserve">spatial </w:t>
      </w:r>
      <w:r w:rsidRPr="00BE3BC6">
        <w:rPr>
          <w:rFonts w:ascii="Times New Roman" w:hAnsi="Times New Roman" w:cs="Times New Roman"/>
          <w:color w:val="000000" w:themeColor="text1"/>
          <w:sz w:val="24"/>
          <w:szCs w:val="24"/>
        </w:rPr>
        <w:t>variation in logging intensity</w:t>
      </w:r>
      <w:r>
        <w:rPr>
          <w:rFonts w:ascii="Times New Roman" w:hAnsi="Times New Roman" w:cs="Times New Roman"/>
          <w:color w:val="000000" w:themeColor="text1"/>
          <w:sz w:val="24"/>
          <w:szCs w:val="24"/>
        </w:rPr>
        <w:t>,</w:t>
      </w:r>
      <w:r w:rsidRPr="00BE3BC6">
        <w:rPr>
          <w:rFonts w:ascii="Times New Roman" w:hAnsi="Times New Roman" w:cs="Times New Roman"/>
          <w:color w:val="000000" w:themeColor="text1"/>
          <w:sz w:val="24"/>
          <w:szCs w:val="24"/>
        </w:rPr>
        <w:t xml:space="preserve"> due to </w:t>
      </w:r>
      <w:r w:rsidR="00BA5C3D">
        <w:rPr>
          <w:rFonts w:ascii="Times New Roman" w:hAnsi="Times New Roman" w:cs="Times New Roman"/>
          <w:color w:val="000000" w:themeColor="text1"/>
          <w:sz w:val="24"/>
          <w:szCs w:val="24"/>
        </w:rPr>
        <w:t>differeences</w:t>
      </w:r>
      <w:r w:rsidR="00BA5C3D" w:rsidRPr="00BE3BC6">
        <w:rPr>
          <w:rFonts w:ascii="Times New Roman" w:hAnsi="Times New Roman" w:cs="Times New Roman"/>
          <w:color w:val="000000" w:themeColor="text1"/>
          <w:sz w:val="24"/>
          <w:szCs w:val="24"/>
        </w:rPr>
        <w:t xml:space="preserve"> </w:t>
      </w:r>
      <w:r w:rsidRPr="00BE3BC6">
        <w:rPr>
          <w:rFonts w:ascii="Times New Roman" w:hAnsi="Times New Roman" w:cs="Times New Roman"/>
          <w:color w:val="000000" w:themeColor="text1"/>
          <w:sz w:val="24"/>
          <w:szCs w:val="24"/>
        </w:rPr>
        <w:t>in topography, proximity to roads, and available timber, which created a gradient from heavily</w:t>
      </w:r>
      <w:r>
        <w:rPr>
          <w:rFonts w:ascii="Times New Roman" w:hAnsi="Times New Roman" w:cs="Times New Roman"/>
          <w:color w:val="000000" w:themeColor="text1"/>
          <w:sz w:val="24"/>
          <w:szCs w:val="24"/>
        </w:rPr>
        <w:t xml:space="preserve"> </w:t>
      </w:r>
      <w:r w:rsidRPr="00BE3BC6">
        <w:rPr>
          <w:rFonts w:ascii="Times New Roman" w:hAnsi="Times New Roman" w:cs="Times New Roman"/>
          <w:color w:val="000000" w:themeColor="text1"/>
          <w:sz w:val="24"/>
          <w:szCs w:val="24"/>
        </w:rPr>
        <w:t xml:space="preserve">to moderately logged sites. </w:t>
      </w:r>
      <w:r>
        <w:rPr>
          <w:rFonts w:ascii="Times New Roman" w:hAnsi="Times New Roman" w:cs="Times New Roman"/>
          <w:color w:val="000000" w:themeColor="text1"/>
          <w:sz w:val="24"/>
          <w:szCs w:val="24"/>
        </w:rPr>
        <w:t xml:space="preserve">Pre-logging biomass of the plots was </w:t>
      </w:r>
      <w:r w:rsidR="00AD4BCE">
        <w:rPr>
          <w:rFonts w:ascii="Times New Roman" w:hAnsi="Times New Roman" w:cs="Times New Roman"/>
          <w:color w:val="000000" w:themeColor="text1"/>
          <w:sz w:val="24"/>
          <w:szCs w:val="24"/>
        </w:rPr>
        <w:t>obtained</w:t>
      </w:r>
      <w:r>
        <w:rPr>
          <w:rFonts w:ascii="Times New Roman" w:hAnsi="Times New Roman" w:cs="Times New Roman"/>
          <w:color w:val="000000" w:themeColor="text1"/>
          <w:sz w:val="24"/>
          <w:szCs w:val="24"/>
        </w:rPr>
        <w:t xml:space="preserve"> from digitised forest inventory maps from the 1970s (</w:t>
      </w:r>
      <w:r w:rsidRPr="003341F0">
        <w:rPr>
          <w:rFonts w:ascii="Times New Roman" w:hAnsi="Times New Roman" w:cs="Times New Roman"/>
          <w:color w:val="000000" w:themeColor="text1"/>
          <w:sz w:val="24"/>
          <w:szCs w:val="24"/>
        </w:rPr>
        <w:t>Natural Forest Research Programme of the Forest Research Centre</w:t>
      </w:r>
      <w:r>
        <w:rPr>
          <w:rFonts w:ascii="Times New Roman" w:hAnsi="Times New Roman" w:cs="Times New Roman"/>
          <w:color w:val="000000" w:themeColor="text1"/>
          <w:sz w:val="24"/>
          <w:szCs w:val="24"/>
        </w:rPr>
        <w:t>, Sabah Forestry Department) (Fig. 1). In addition, to describe the change in forest structure and composition,</w:t>
      </w:r>
      <w:r w:rsidRPr="00BE3BC6">
        <w:rPr>
          <w:rFonts w:ascii="Times New Roman" w:hAnsi="Times New Roman" w:cs="Times New Roman"/>
          <w:color w:val="000000" w:themeColor="text1"/>
          <w:sz w:val="24"/>
          <w:szCs w:val="24"/>
        </w:rPr>
        <w:t xml:space="preserve"> we used </w:t>
      </w:r>
      <w:r>
        <w:rPr>
          <w:rFonts w:ascii="Times New Roman" w:hAnsi="Times New Roman" w:cs="Times New Roman"/>
          <w:color w:val="000000" w:themeColor="text1"/>
          <w:sz w:val="24"/>
          <w:szCs w:val="24"/>
        </w:rPr>
        <w:t xml:space="preserve">four </w:t>
      </w:r>
      <w:r w:rsidRPr="00BE3BC6">
        <w:rPr>
          <w:rFonts w:ascii="Times New Roman" w:hAnsi="Times New Roman" w:cs="Times New Roman"/>
          <w:color w:val="000000" w:themeColor="text1"/>
          <w:sz w:val="24"/>
          <w:szCs w:val="24"/>
        </w:rPr>
        <w:t>metrics to characterise the level of</w:t>
      </w:r>
      <w:r>
        <w:rPr>
          <w:rFonts w:ascii="Times New Roman" w:hAnsi="Times New Roman" w:cs="Times New Roman"/>
          <w:color w:val="000000" w:themeColor="text1"/>
          <w:sz w:val="24"/>
          <w:szCs w:val="24"/>
        </w:rPr>
        <w:t xml:space="preserve"> disturbance within each plot: </w:t>
      </w:r>
      <w:r w:rsidRPr="00BE3BC6">
        <w:rPr>
          <w:rFonts w:ascii="Times New Roman" w:hAnsi="Times New Roman" w:cs="Times New Roman"/>
          <w:color w:val="000000" w:themeColor="text1"/>
          <w:sz w:val="24"/>
          <w:szCs w:val="24"/>
        </w:rPr>
        <w:t xml:space="preserve">basal area, canopy gap fraction </w:t>
      </w:r>
      <w:r>
        <w:rPr>
          <w:rFonts w:ascii="Times New Roman" w:hAnsi="Times New Roman" w:cs="Times New Roman"/>
          <w:color w:val="000000" w:themeColor="text1"/>
          <w:sz w:val="24"/>
          <w:szCs w:val="24"/>
        </w:rPr>
        <w:t>(</w:t>
      </w:r>
      <w:r w:rsidRPr="00BE3BC6">
        <w:rPr>
          <w:rFonts w:ascii="Times New Roman" w:hAnsi="Times New Roman" w:cs="Times New Roman"/>
          <w:color w:val="000000" w:themeColor="text1"/>
          <w:sz w:val="24"/>
          <w:szCs w:val="24"/>
        </w:rPr>
        <w:t>estimated from hemispherical photos</w:t>
      </w:r>
      <w:r>
        <w:rPr>
          <w:rFonts w:ascii="Times New Roman" w:hAnsi="Times New Roman" w:cs="Times New Roman"/>
          <w:color w:val="000000" w:themeColor="text1"/>
          <w:sz w:val="24"/>
          <w:szCs w:val="24"/>
        </w:rPr>
        <w:t>),</w:t>
      </w:r>
      <w:r w:rsidRPr="00BE3BC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number of stems &gt;50 cm diameter and pioneer proportion </w:t>
      </w:r>
      <w:r w:rsidRPr="00BE3BC6">
        <w:rPr>
          <w:rFonts w:ascii="Times New Roman" w:hAnsi="Times New Roman" w:cs="Times New Roman"/>
          <w:color w:val="000000" w:themeColor="text1"/>
          <w:sz w:val="24"/>
          <w:szCs w:val="24"/>
        </w:rPr>
        <w:t>(Table 1</w:t>
      </w:r>
      <w:r>
        <w:rPr>
          <w:rFonts w:ascii="Times New Roman" w:hAnsi="Times New Roman" w:cs="Times New Roman"/>
          <w:color w:val="000000" w:themeColor="text1"/>
          <w:sz w:val="24"/>
          <w:szCs w:val="24"/>
        </w:rPr>
        <w:t xml:space="preserve">, Table S1). </w:t>
      </w:r>
    </w:p>
    <w:p w14:paraId="5B1CC2E6" w14:textId="47EC5AAD" w:rsidR="00914113" w:rsidRDefault="00914113" w:rsidP="00D061BC">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The soils in the plots in Sabah are orthic Acrisols or Ultisols and the soil in the plots in Sarawak are humult U</w:t>
      </w:r>
      <w:r w:rsidR="004F51E2">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tisols or udult U</w:t>
      </w:r>
      <w:r w:rsidR="004F51E2">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tisols </w:t>
      </w:r>
      <w:r>
        <w:rPr>
          <w:rFonts w:ascii="Times New Roman" w:hAnsi="Times New Roman" w:cs="Times New Roman"/>
          <w:noProof/>
          <w:color w:val="000000" w:themeColor="text1"/>
          <w:sz w:val="24"/>
          <w:szCs w:val="24"/>
        </w:rPr>
        <w:t xml:space="preserve">(for a comprehensive </w:t>
      </w:r>
      <w:r w:rsidR="00FB05C9">
        <w:rPr>
          <w:rFonts w:ascii="Times New Roman" w:hAnsi="Times New Roman" w:cs="Times New Roman"/>
          <w:noProof/>
          <w:color w:val="000000" w:themeColor="text1"/>
          <w:sz w:val="24"/>
          <w:szCs w:val="24"/>
        </w:rPr>
        <w:t xml:space="preserve">description </w:t>
      </w:r>
      <w:r>
        <w:rPr>
          <w:rFonts w:ascii="Times New Roman" w:hAnsi="Times New Roman" w:cs="Times New Roman"/>
          <w:noProof/>
          <w:color w:val="000000" w:themeColor="text1"/>
          <w:sz w:val="24"/>
          <w:szCs w:val="24"/>
        </w:rPr>
        <w:t>of the soil types, see Marsh &amp; Greer, 1992; Sylvester</w:t>
      </w:r>
      <w:r w:rsidRPr="004D658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2009; Kho</w:t>
      </w:r>
      <w:r w:rsidRPr="004D6582">
        <w:rPr>
          <w:rFonts w:ascii="Times New Roman" w:hAnsi="Times New Roman" w:cs="Times New Roman"/>
          <w:i/>
          <w:noProof/>
          <w:color w:val="000000" w:themeColor="text1"/>
          <w:sz w:val="24"/>
          <w:szCs w:val="24"/>
        </w:rPr>
        <w:t xml:space="preserve"> et al.</w:t>
      </w:r>
      <w:r>
        <w:rPr>
          <w:rFonts w:ascii="Times New Roman" w:hAnsi="Times New Roman" w:cs="Times New Roman"/>
          <w:noProof/>
          <w:color w:val="000000" w:themeColor="text1"/>
          <w:sz w:val="24"/>
          <w:szCs w:val="24"/>
        </w:rPr>
        <w:t xml:space="preserve">, 2013; </w:t>
      </w:r>
      <w:r w:rsidRPr="001C40E9">
        <w:rPr>
          <w:rFonts w:ascii="Times New Roman" w:hAnsi="Times New Roman" w:cs="Times New Roman"/>
          <w:noProof/>
          <w:color w:val="000000" w:themeColor="text1"/>
          <w:sz w:val="24"/>
          <w:szCs w:val="24"/>
        </w:rPr>
        <w:t>N</w:t>
      </w:r>
      <w:r w:rsidR="001C40E9" w:rsidRPr="001C40E9">
        <w:rPr>
          <w:rFonts w:ascii="Times New Roman" w:hAnsi="Times New Roman" w:cs="Times New Roman"/>
          <w:noProof/>
          <w:color w:val="000000" w:themeColor="text1"/>
          <w:sz w:val="24"/>
          <w:szCs w:val="24"/>
        </w:rPr>
        <w:t>aianr</w:t>
      </w:r>
      <w:r w:rsidRPr="001C40E9">
        <w:rPr>
          <w:rFonts w:ascii="Times New Roman" w:hAnsi="Times New Roman" w:cs="Times New Roman"/>
          <w:i/>
          <w:noProof/>
          <w:color w:val="000000" w:themeColor="text1"/>
          <w:sz w:val="24"/>
          <w:szCs w:val="24"/>
        </w:rPr>
        <w:t xml:space="preserve"> et al</w:t>
      </w:r>
      <w:r w:rsidRPr="004D6582">
        <w:rPr>
          <w:rFonts w:ascii="Times New Roman" w:hAnsi="Times New Roman" w:cs="Times New Roman"/>
          <w:i/>
          <w:noProof/>
          <w:color w:val="000000" w:themeColor="text1"/>
          <w:sz w:val="24"/>
          <w:szCs w:val="24"/>
        </w:rPr>
        <w:t>.</w:t>
      </w:r>
      <w:r>
        <w:rPr>
          <w:rFonts w:ascii="Times New Roman" w:hAnsi="Times New Roman" w:cs="Times New Roman"/>
          <w:noProof/>
          <w:color w:val="000000" w:themeColor="text1"/>
          <w:sz w:val="24"/>
          <w:szCs w:val="24"/>
        </w:rPr>
        <w:t>, 2015)</w:t>
      </w:r>
      <w:r>
        <w:rPr>
          <w:rFonts w:ascii="Times New Roman" w:hAnsi="Times New Roman" w:cs="Times New Roman"/>
          <w:color w:val="000000" w:themeColor="text1"/>
          <w:sz w:val="24"/>
          <w:szCs w:val="24"/>
        </w:rPr>
        <w:t xml:space="preserve">. There were no clear differences between sites (SAFE, Danum, Maliau and Lambir) or forest types (logged, old-growth) in soil nutrient </w:t>
      </w:r>
      <w:r w:rsidR="004F51E2">
        <w:rPr>
          <w:rFonts w:ascii="Times New Roman" w:hAnsi="Times New Roman" w:cs="Times New Roman"/>
          <w:color w:val="000000" w:themeColor="text1"/>
          <w:sz w:val="24"/>
          <w:szCs w:val="24"/>
        </w:rPr>
        <w:t>concentrations or</w:t>
      </w:r>
      <w:r>
        <w:rPr>
          <w:rFonts w:ascii="Times New Roman" w:hAnsi="Times New Roman" w:cs="Times New Roman"/>
          <w:color w:val="000000" w:themeColor="text1"/>
          <w:sz w:val="24"/>
          <w:szCs w:val="24"/>
        </w:rPr>
        <w:t xml:space="preserve"> physical properties (Table S2, Fig. S2). Despite the geographic proximity of the logged plots, there was more variation in the soil characteristics among the logged plots than among the old-growth plots.</w:t>
      </w:r>
    </w:p>
    <w:p w14:paraId="796DC65F" w14:textId="77777777" w:rsidR="00914113" w:rsidRPr="00BE3BC6" w:rsidRDefault="00914113" w:rsidP="00D061BC">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3601C08"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NPP estimates</w:t>
      </w:r>
    </w:p>
    <w:p w14:paraId="19201994" w14:textId="364075E1"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lastRenderedPageBreak/>
        <w:t>The plots are part of the pan</w:t>
      </w:r>
      <w:r w:rsidR="00544283">
        <w:rPr>
          <w:rFonts w:ascii="Times New Roman" w:hAnsi="Times New Roman" w:cs="Times New Roman"/>
          <w:sz w:val="24"/>
          <w:szCs w:val="24"/>
        </w:rPr>
        <w:t>-</w:t>
      </w:r>
      <w:r w:rsidRPr="00BE3BC6">
        <w:rPr>
          <w:rFonts w:ascii="Times New Roman" w:hAnsi="Times New Roman" w:cs="Times New Roman"/>
          <w:sz w:val="24"/>
          <w:szCs w:val="24"/>
        </w:rPr>
        <w:t>tropical GEM</w:t>
      </w:r>
      <w:r>
        <w:rPr>
          <w:rFonts w:ascii="Times New Roman" w:hAnsi="Times New Roman" w:cs="Times New Roman"/>
          <w:sz w:val="24"/>
          <w:szCs w:val="24"/>
        </w:rPr>
        <w:t xml:space="preserve"> (Global Ecosystems Monitoring) I</w:t>
      </w:r>
      <w:r w:rsidRPr="00BE3BC6">
        <w:rPr>
          <w:rFonts w:ascii="Times New Roman" w:hAnsi="Times New Roman" w:cs="Times New Roman"/>
          <w:sz w:val="24"/>
          <w:szCs w:val="24"/>
        </w:rPr>
        <w:t xml:space="preserve">ntensive </w:t>
      </w:r>
      <w:r>
        <w:rPr>
          <w:rFonts w:ascii="Times New Roman" w:hAnsi="Times New Roman" w:cs="Times New Roman"/>
          <w:sz w:val="24"/>
          <w:szCs w:val="24"/>
        </w:rPr>
        <w:t>C</w:t>
      </w:r>
      <w:r w:rsidRPr="00BE3BC6">
        <w:rPr>
          <w:rFonts w:ascii="Times New Roman" w:hAnsi="Times New Roman" w:cs="Times New Roman"/>
          <w:sz w:val="24"/>
          <w:szCs w:val="24"/>
        </w:rPr>
        <w:t xml:space="preserve">arbon </w:t>
      </w:r>
      <w:r>
        <w:rPr>
          <w:rFonts w:ascii="Times New Roman" w:hAnsi="Times New Roman" w:cs="Times New Roman"/>
          <w:sz w:val="24"/>
          <w:szCs w:val="24"/>
        </w:rPr>
        <w:t>P</w:t>
      </w:r>
      <w:r w:rsidRPr="00BE3BC6">
        <w:rPr>
          <w:rFonts w:ascii="Times New Roman" w:hAnsi="Times New Roman" w:cs="Times New Roman"/>
          <w:sz w:val="24"/>
          <w:szCs w:val="24"/>
        </w:rPr>
        <w:t>lot network (</w:t>
      </w:r>
      <w:r w:rsidRPr="00195DE2">
        <w:rPr>
          <w:rFonts w:ascii="Times New Roman" w:hAnsi="Times New Roman" w:cs="Times New Roman"/>
          <w:sz w:val="24"/>
          <w:szCs w:val="24"/>
        </w:rPr>
        <w:t>http://gem.tropicalforests.ox.ac.uk/</w:t>
      </w:r>
      <w:r>
        <w:rPr>
          <w:rFonts w:ascii="Times New Roman" w:hAnsi="Times New Roman" w:cs="Times New Roman"/>
          <w:sz w:val="24"/>
          <w:szCs w:val="24"/>
        </w:rPr>
        <w:t xml:space="preserve">; </w:t>
      </w:r>
      <w:r w:rsidRPr="00BE3BC6">
        <w:rPr>
          <w:rFonts w:ascii="Times New Roman" w:hAnsi="Times New Roman" w:cs="Times New Roman"/>
          <w:sz w:val="24"/>
          <w:szCs w:val="24"/>
        </w:rPr>
        <w:t>Marthews</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2012)</w:t>
      </w:r>
      <w:r w:rsidR="00A36DAB">
        <w:rPr>
          <w:rFonts w:ascii="Times New Roman" w:hAnsi="Times New Roman" w:cs="Times New Roman"/>
          <w:noProof/>
          <w:sz w:val="24"/>
          <w:szCs w:val="24"/>
        </w:rPr>
        <w:t xml:space="preserve"> and the NPP data presented here complement recent NPP data reported for </w:t>
      </w:r>
      <w:r w:rsidR="00077AFE">
        <w:rPr>
          <w:rFonts w:ascii="Times New Roman" w:hAnsi="Times New Roman" w:cs="Times New Roman"/>
          <w:noProof/>
          <w:sz w:val="24"/>
          <w:szCs w:val="24"/>
        </w:rPr>
        <w:t xml:space="preserve">old-growth forests in </w:t>
      </w:r>
      <w:r w:rsidR="00A36DAB">
        <w:rPr>
          <w:rFonts w:ascii="Times New Roman" w:hAnsi="Times New Roman" w:cs="Times New Roman"/>
          <w:noProof/>
          <w:sz w:val="24"/>
          <w:szCs w:val="24"/>
        </w:rPr>
        <w:t>Amazonia  (Malhi et al 2015), the Andes (Malhi et al 2017) and Africa (Moore et al, in press)</w:t>
      </w:r>
      <w:r w:rsidRPr="00BE3BC6">
        <w:rPr>
          <w:rFonts w:ascii="Times New Roman" w:hAnsi="Times New Roman" w:cs="Times New Roman"/>
          <w:sz w:val="24"/>
          <w:szCs w:val="24"/>
        </w:rPr>
        <w:t>. We quantified the following NPP components: woody NPP (stem</w:t>
      </w:r>
      <w:r>
        <w:rPr>
          <w:rFonts w:ascii="Times New Roman" w:hAnsi="Times New Roman" w:cs="Times New Roman"/>
          <w:sz w:val="24"/>
          <w:szCs w:val="24"/>
        </w:rPr>
        <w:t>s</w:t>
      </w:r>
      <w:r w:rsidRPr="00BE3BC6">
        <w:rPr>
          <w:rFonts w:ascii="Times New Roman" w:hAnsi="Times New Roman" w:cs="Times New Roman"/>
          <w:sz w:val="24"/>
          <w:szCs w:val="24"/>
        </w:rPr>
        <w:t>, coarse roots and branch</w:t>
      </w:r>
      <w:r>
        <w:rPr>
          <w:rFonts w:ascii="Times New Roman" w:hAnsi="Times New Roman" w:cs="Times New Roman"/>
          <w:sz w:val="24"/>
          <w:szCs w:val="24"/>
        </w:rPr>
        <w:t>es</w:t>
      </w:r>
      <w:r w:rsidRPr="00BE3BC6">
        <w:rPr>
          <w:rFonts w:ascii="Times New Roman" w:hAnsi="Times New Roman" w:cs="Times New Roman"/>
          <w:sz w:val="24"/>
          <w:szCs w:val="24"/>
        </w:rPr>
        <w:t>), canopy NPP (leaves, twigs</w:t>
      </w:r>
      <w:r>
        <w:rPr>
          <w:rFonts w:ascii="Times New Roman" w:hAnsi="Times New Roman" w:cs="Times New Roman"/>
          <w:sz w:val="24"/>
          <w:szCs w:val="24"/>
        </w:rPr>
        <w:t xml:space="preserve"> and</w:t>
      </w:r>
      <w:r w:rsidRPr="00BE3BC6">
        <w:rPr>
          <w:rFonts w:ascii="Times New Roman" w:hAnsi="Times New Roman" w:cs="Times New Roman"/>
          <w:sz w:val="24"/>
          <w:szCs w:val="24"/>
        </w:rPr>
        <w:t xml:space="preserve"> reproductive parts) and fine root NPP. NPP data </w:t>
      </w:r>
      <w:r w:rsidR="00FB05C9">
        <w:rPr>
          <w:rFonts w:ascii="Times New Roman" w:hAnsi="Times New Roman" w:cs="Times New Roman"/>
          <w:sz w:val="24"/>
          <w:szCs w:val="24"/>
        </w:rPr>
        <w:t>for</w:t>
      </w:r>
      <w:r w:rsidR="00FB05C9" w:rsidRPr="00BE3BC6">
        <w:rPr>
          <w:rFonts w:ascii="Times New Roman" w:hAnsi="Times New Roman" w:cs="Times New Roman"/>
          <w:sz w:val="24"/>
          <w:szCs w:val="24"/>
        </w:rPr>
        <w:t xml:space="preserve"> </w:t>
      </w:r>
      <w:r w:rsidRPr="00BE3BC6">
        <w:rPr>
          <w:rFonts w:ascii="Times New Roman" w:hAnsi="Times New Roman" w:cs="Times New Roman"/>
          <w:sz w:val="24"/>
          <w:szCs w:val="24"/>
        </w:rPr>
        <w:t>the SAFE and Maliau (Sabah) plots were collected in 201</w:t>
      </w:r>
      <w:r>
        <w:rPr>
          <w:rFonts w:ascii="Times New Roman" w:hAnsi="Times New Roman" w:cs="Times New Roman"/>
          <w:sz w:val="24"/>
          <w:szCs w:val="24"/>
        </w:rPr>
        <w:t>1</w:t>
      </w:r>
      <w:r w:rsidRPr="00BE3BC6">
        <w:rPr>
          <w:rFonts w:ascii="Times New Roman" w:hAnsi="Times New Roman" w:cs="Times New Roman"/>
          <w:sz w:val="24"/>
          <w:szCs w:val="24"/>
        </w:rPr>
        <w:t>-2014, over a 24 month period in each plot, and tree census</w:t>
      </w:r>
      <w:r w:rsidR="00B972F2">
        <w:rPr>
          <w:rFonts w:ascii="Times New Roman" w:hAnsi="Times New Roman" w:cs="Times New Roman"/>
          <w:sz w:val="24"/>
          <w:szCs w:val="24"/>
        </w:rPr>
        <w:t>es</w:t>
      </w:r>
      <w:r w:rsidRPr="00BE3BC6">
        <w:rPr>
          <w:rFonts w:ascii="Times New Roman" w:hAnsi="Times New Roman" w:cs="Times New Roman"/>
          <w:sz w:val="24"/>
          <w:szCs w:val="24"/>
        </w:rPr>
        <w:t xml:space="preserve"> w</w:t>
      </w:r>
      <w:r w:rsidR="00B972F2">
        <w:rPr>
          <w:rFonts w:ascii="Times New Roman" w:hAnsi="Times New Roman" w:cs="Times New Roman"/>
          <w:sz w:val="24"/>
          <w:szCs w:val="24"/>
        </w:rPr>
        <w:t>ere</w:t>
      </w:r>
      <w:r w:rsidRPr="00BE3BC6">
        <w:rPr>
          <w:rFonts w:ascii="Times New Roman" w:hAnsi="Times New Roman" w:cs="Times New Roman"/>
          <w:sz w:val="24"/>
          <w:szCs w:val="24"/>
        </w:rPr>
        <w:t xml:space="preserve"> carried out at least twice. NPP data </w:t>
      </w:r>
      <w:r w:rsidR="00B972F2">
        <w:rPr>
          <w:rFonts w:ascii="Times New Roman" w:hAnsi="Times New Roman" w:cs="Times New Roman"/>
          <w:sz w:val="24"/>
          <w:szCs w:val="24"/>
        </w:rPr>
        <w:t>for</w:t>
      </w:r>
      <w:r w:rsidR="00B972F2" w:rsidRPr="00BE3BC6">
        <w:rPr>
          <w:rFonts w:ascii="Times New Roman" w:hAnsi="Times New Roman" w:cs="Times New Roman"/>
          <w:sz w:val="24"/>
          <w:szCs w:val="24"/>
        </w:rPr>
        <w:t xml:space="preserve"> </w:t>
      </w:r>
      <w:r w:rsidRPr="00BE3BC6">
        <w:rPr>
          <w:rFonts w:ascii="Times New Roman" w:hAnsi="Times New Roman" w:cs="Times New Roman"/>
          <w:sz w:val="24"/>
          <w:szCs w:val="24"/>
        </w:rPr>
        <w:t>the Lambir (Sarawak) plots were collected for 15 months during 2008-2010, and trees were censused every five years between 1992</w:t>
      </w:r>
      <w:r w:rsidR="00B972F2">
        <w:rPr>
          <w:rFonts w:ascii="Times New Roman" w:hAnsi="Times New Roman" w:cs="Times New Roman"/>
          <w:sz w:val="24"/>
          <w:szCs w:val="24"/>
        </w:rPr>
        <w:t xml:space="preserve"> and </w:t>
      </w:r>
      <w:r w:rsidRPr="00BE3BC6">
        <w:rPr>
          <w:rFonts w:ascii="Times New Roman" w:hAnsi="Times New Roman" w:cs="Times New Roman"/>
          <w:sz w:val="24"/>
          <w:szCs w:val="24"/>
        </w:rPr>
        <w:t>2008</w:t>
      </w:r>
      <w:r>
        <w:rPr>
          <w:rFonts w:ascii="Times New Roman" w:hAnsi="Times New Roman" w:cs="Times New Roman"/>
          <w:sz w:val="24"/>
          <w:szCs w:val="24"/>
        </w:rPr>
        <w:t>; these Lambir NPP data</w:t>
      </w:r>
      <w:r w:rsidRPr="00BE3BC6">
        <w:rPr>
          <w:rFonts w:ascii="Times New Roman" w:hAnsi="Times New Roman" w:cs="Times New Roman"/>
          <w:sz w:val="24"/>
          <w:szCs w:val="24"/>
        </w:rPr>
        <w:t xml:space="preserve"> have already been published elsewhere </w:t>
      </w:r>
      <w:r>
        <w:rPr>
          <w:rFonts w:ascii="Times New Roman" w:hAnsi="Times New Roman" w:cs="Times New Roman"/>
          <w:noProof/>
          <w:sz w:val="24"/>
          <w:szCs w:val="24"/>
        </w:rPr>
        <w:t>(Kho</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hyperlink w:anchor="_ENREF_25" w:tooltip="Kho, 2013 #2756" w:history="1"/>
      <w:r w:rsidRPr="00BE3BC6">
        <w:rPr>
          <w:rFonts w:ascii="Times New Roman" w:hAnsi="Times New Roman" w:cs="Times New Roman"/>
          <w:sz w:val="24"/>
          <w:szCs w:val="24"/>
        </w:rPr>
        <w:t>.</w:t>
      </w:r>
    </w:p>
    <w:p w14:paraId="7F81FEDB"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 </w:t>
      </w:r>
    </w:p>
    <w:p w14:paraId="391B0B53" w14:textId="77777777" w:rsidR="00914113" w:rsidRPr="00BE3BC6" w:rsidRDefault="00914113" w:rsidP="00D061BC">
      <w:pPr>
        <w:spacing w:line="480" w:lineRule="auto"/>
        <w:rPr>
          <w:rFonts w:ascii="Times New Roman" w:hAnsi="Times New Roman" w:cs="Times New Roman"/>
          <w:i/>
          <w:sz w:val="24"/>
          <w:szCs w:val="24"/>
        </w:rPr>
      </w:pPr>
      <w:r w:rsidRPr="00BE3BC6">
        <w:rPr>
          <w:rFonts w:ascii="Times New Roman" w:hAnsi="Times New Roman" w:cs="Times New Roman"/>
          <w:i/>
          <w:sz w:val="24"/>
          <w:szCs w:val="24"/>
        </w:rPr>
        <w:t>Woody NPP</w:t>
      </w:r>
    </w:p>
    <w:p w14:paraId="5D8E3B0E" w14:textId="77777777" w:rsidR="00914113" w:rsidRPr="00BE3BC6" w:rsidRDefault="00914113" w:rsidP="00D061BC">
      <w:pPr>
        <w:spacing w:line="480" w:lineRule="auto"/>
        <w:rPr>
          <w:rFonts w:ascii="Times New Roman" w:hAnsi="Times New Roman" w:cs="Times New Roman"/>
          <w:i/>
          <w:sz w:val="24"/>
          <w:szCs w:val="24"/>
        </w:rPr>
      </w:pPr>
      <w:r w:rsidRPr="00BE3BC6">
        <w:rPr>
          <w:rFonts w:ascii="Times New Roman" w:hAnsi="Times New Roman" w:cs="Times New Roman"/>
          <w:sz w:val="24"/>
          <w:szCs w:val="24"/>
        </w:rPr>
        <w:t>Woody NPP was quantified as the sum of stem NPP, coarse root NPP and branch turnover NPP. All stems of trees and lianas &gt;10 cm diameter at 1.3 m height (DBH) were tagged and the diameter was measured to the nearest millimetre. Measurement height was adjusted</w:t>
      </w:r>
      <w:r>
        <w:rPr>
          <w:rFonts w:ascii="Times New Roman" w:hAnsi="Times New Roman" w:cs="Times New Roman"/>
          <w:sz w:val="24"/>
          <w:szCs w:val="24"/>
        </w:rPr>
        <w:t xml:space="preserve"> </w:t>
      </w:r>
      <w:r w:rsidRPr="00BE3BC6">
        <w:rPr>
          <w:rFonts w:ascii="Times New Roman" w:hAnsi="Times New Roman" w:cs="Times New Roman"/>
          <w:sz w:val="24"/>
          <w:szCs w:val="24"/>
        </w:rPr>
        <w:t xml:space="preserve">if the stem was not smooth at 1.3 m (buttresses, branching etc.). Small stems of trees and lianas of 2-10 cm DBH were tagged and measured in five subplots per plot in Sabah and in all subplots in </w:t>
      </w:r>
      <w:r>
        <w:rPr>
          <w:rFonts w:ascii="Times New Roman" w:hAnsi="Times New Roman" w:cs="Times New Roman"/>
          <w:sz w:val="24"/>
          <w:szCs w:val="24"/>
        </w:rPr>
        <w:t>Lambir</w:t>
      </w:r>
      <w:r w:rsidRPr="00BE3BC6">
        <w:rPr>
          <w:rFonts w:ascii="Times New Roman" w:hAnsi="Times New Roman" w:cs="Times New Roman"/>
          <w:sz w:val="24"/>
          <w:szCs w:val="24"/>
        </w:rPr>
        <w:t>. All plots were re-censused at least once. Stem height was estimated visually for all trees and calibrated against clinometer measurements for a subsample of 200 stems ranging from 6 to 63 m height. Height was not estimated during the recensus, as the change in height was consider</w:t>
      </w:r>
      <w:r>
        <w:rPr>
          <w:rFonts w:ascii="Times New Roman" w:hAnsi="Times New Roman" w:cs="Times New Roman"/>
          <w:sz w:val="24"/>
          <w:szCs w:val="24"/>
        </w:rPr>
        <w:t>ed</w:t>
      </w:r>
      <w:r w:rsidRPr="00BE3BC6">
        <w:rPr>
          <w:rFonts w:ascii="Times New Roman" w:hAnsi="Times New Roman" w:cs="Times New Roman"/>
          <w:sz w:val="24"/>
          <w:szCs w:val="24"/>
        </w:rPr>
        <w:t xml:space="preserve"> too small to be </w:t>
      </w:r>
      <w:r>
        <w:rPr>
          <w:rFonts w:ascii="Times New Roman" w:hAnsi="Times New Roman" w:cs="Times New Roman"/>
          <w:sz w:val="24"/>
          <w:szCs w:val="24"/>
        </w:rPr>
        <w:t xml:space="preserve">detected </w:t>
      </w:r>
      <w:r w:rsidRPr="00BE3BC6">
        <w:rPr>
          <w:rFonts w:ascii="Times New Roman" w:hAnsi="Times New Roman" w:cs="Times New Roman"/>
          <w:sz w:val="24"/>
          <w:szCs w:val="24"/>
        </w:rPr>
        <w:t>reliably. Instead, a diameter to height relationship was estimated (exponential rise to maximum function, R</w:t>
      </w:r>
      <w:r w:rsidRPr="00BE3BC6">
        <w:rPr>
          <w:rFonts w:ascii="Times New Roman" w:hAnsi="Times New Roman" w:cs="Times New Roman"/>
          <w:sz w:val="24"/>
          <w:szCs w:val="24"/>
          <w:vertAlign w:val="superscript"/>
        </w:rPr>
        <w:t>2</w:t>
      </w:r>
      <w:r w:rsidRPr="00BE3BC6">
        <w:rPr>
          <w:rFonts w:ascii="Times New Roman" w:hAnsi="Times New Roman" w:cs="Times New Roman"/>
          <w:sz w:val="24"/>
          <w:szCs w:val="24"/>
        </w:rPr>
        <w:t xml:space="preserve"> = 0.66 - 0.97, depending on the </w:t>
      </w:r>
      <w:r w:rsidRPr="00BE3BC6">
        <w:rPr>
          <w:rFonts w:ascii="Times New Roman" w:hAnsi="Times New Roman" w:cs="Times New Roman"/>
          <w:sz w:val="24"/>
          <w:szCs w:val="24"/>
        </w:rPr>
        <w:lastRenderedPageBreak/>
        <w:t xml:space="preserve">plot) and the height increment, as percentage change in height corresponding to the change in diameter, was derived from the </w:t>
      </w:r>
      <w:r>
        <w:rPr>
          <w:rFonts w:ascii="Times New Roman" w:hAnsi="Times New Roman" w:cs="Times New Roman"/>
          <w:sz w:val="24"/>
          <w:szCs w:val="24"/>
        </w:rPr>
        <w:t>curve for each stem.</w:t>
      </w:r>
    </w:p>
    <w:p w14:paraId="347C6200" w14:textId="2D7BDD40"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Above-ground woody biomass was estimated using allometric equations for moist tropical forest, with diameter, height and wood density as inputs </w:t>
      </w:r>
      <w:r>
        <w:rPr>
          <w:rFonts w:ascii="Times New Roman" w:hAnsi="Times New Roman" w:cs="Times New Roman"/>
          <w:noProof/>
          <w:sz w:val="24"/>
          <w:szCs w:val="24"/>
        </w:rPr>
        <w:t>(Chave</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2005)</w:t>
      </w:r>
      <w:r w:rsidRPr="00BE3BC6">
        <w:rPr>
          <w:rFonts w:ascii="Times New Roman" w:hAnsi="Times New Roman" w:cs="Times New Roman"/>
          <w:sz w:val="24"/>
          <w:szCs w:val="24"/>
        </w:rPr>
        <w:t xml:space="preserve">. Wood density for each species (or in the absence of species ID, average by genus or family) was derived from the global wood density database </w:t>
      </w:r>
      <w:r>
        <w:rPr>
          <w:rFonts w:ascii="Times New Roman" w:hAnsi="Times New Roman" w:cs="Times New Roman"/>
          <w:noProof/>
          <w:sz w:val="24"/>
          <w:szCs w:val="24"/>
        </w:rPr>
        <w:t>(Chave</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2009; Zanne</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2009)</w:t>
      </w:r>
      <w:r w:rsidRPr="00BE3BC6">
        <w:rPr>
          <w:rFonts w:ascii="Times New Roman" w:hAnsi="Times New Roman" w:cs="Times New Roman"/>
          <w:sz w:val="24"/>
          <w:szCs w:val="24"/>
        </w:rPr>
        <w:t xml:space="preserve"> or from local measurements </w:t>
      </w:r>
      <w:r>
        <w:rPr>
          <w:rFonts w:ascii="Times New Roman" w:hAnsi="Times New Roman" w:cs="Times New Roman"/>
          <w:noProof/>
          <w:sz w:val="24"/>
          <w:szCs w:val="24"/>
        </w:rPr>
        <w:t>(Kho</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r w:rsidRPr="00BE3BC6">
        <w:rPr>
          <w:rFonts w:ascii="Times New Roman" w:hAnsi="Times New Roman" w:cs="Times New Roman"/>
          <w:sz w:val="24"/>
          <w:szCs w:val="24"/>
        </w:rPr>
        <w:t xml:space="preserve">. We assumed a carbon content of 47.4% of dry biomass for all woody components </w:t>
      </w:r>
      <w:r>
        <w:rPr>
          <w:rFonts w:ascii="Times New Roman" w:hAnsi="Times New Roman" w:cs="Times New Roman"/>
          <w:noProof/>
          <w:sz w:val="24"/>
          <w:szCs w:val="24"/>
        </w:rPr>
        <w:t>(Martin &amp; Thomas, 2011)</w:t>
      </w:r>
      <w:r w:rsidRPr="00BE3BC6">
        <w:rPr>
          <w:rFonts w:ascii="Times New Roman" w:hAnsi="Times New Roman" w:cs="Times New Roman"/>
          <w:sz w:val="24"/>
          <w:szCs w:val="24"/>
        </w:rPr>
        <w:t xml:space="preserve">, a factor which includes volatile carbon content that is lost from oven-dried samples. Coarse root biomass was estimated using an allometric relationship between DBH and coarse root biomass (Eq. 1, Eq. 2), based on </w:t>
      </w:r>
      <w:r w:rsidR="00FB05C9">
        <w:rPr>
          <w:rFonts w:ascii="Times New Roman" w:hAnsi="Times New Roman" w:cs="Times New Roman"/>
          <w:sz w:val="24"/>
          <w:szCs w:val="24"/>
        </w:rPr>
        <w:t xml:space="preserve">a </w:t>
      </w:r>
      <w:r w:rsidRPr="00BE3BC6">
        <w:rPr>
          <w:rFonts w:ascii="Times New Roman" w:hAnsi="Times New Roman" w:cs="Times New Roman"/>
          <w:sz w:val="24"/>
          <w:szCs w:val="24"/>
        </w:rPr>
        <w:t xml:space="preserve">root excavation study in a lowland dipterocarp forest in </w:t>
      </w:r>
      <w:r>
        <w:rPr>
          <w:rFonts w:ascii="Times New Roman" w:hAnsi="Times New Roman" w:cs="Times New Roman"/>
          <w:sz w:val="24"/>
          <w:szCs w:val="24"/>
        </w:rPr>
        <w:t xml:space="preserve">Pasoh </w:t>
      </w:r>
      <w:r w:rsidRPr="00BE3BC6">
        <w:rPr>
          <w:rFonts w:ascii="Times New Roman" w:hAnsi="Times New Roman" w:cs="Times New Roman"/>
          <w:sz w:val="24"/>
          <w:szCs w:val="24"/>
        </w:rPr>
        <w:t>Forest Reserve</w:t>
      </w:r>
      <w:r>
        <w:rPr>
          <w:rFonts w:ascii="Times New Roman" w:hAnsi="Times New Roman" w:cs="Times New Roman"/>
          <w:sz w:val="24"/>
          <w:szCs w:val="24"/>
        </w:rPr>
        <w:t xml:space="preserve"> in </w:t>
      </w:r>
      <w:r w:rsidRPr="00BE3BC6">
        <w:rPr>
          <w:rFonts w:ascii="Times New Roman" w:hAnsi="Times New Roman" w:cs="Times New Roman"/>
          <w:sz w:val="24"/>
          <w:szCs w:val="24"/>
        </w:rPr>
        <w:t xml:space="preserve">Peninsular Malaysia </w:t>
      </w:r>
      <w:r>
        <w:rPr>
          <w:rFonts w:ascii="Times New Roman" w:hAnsi="Times New Roman" w:cs="Times New Roman"/>
          <w:noProof/>
          <w:sz w:val="24"/>
          <w:szCs w:val="24"/>
        </w:rPr>
        <w:t>(Niiyama</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2010)</w:t>
      </w:r>
      <w:r>
        <w:rPr>
          <w:rFonts w:ascii="Times New Roman" w:hAnsi="Times New Roman" w:cs="Times New Roman"/>
          <w:sz w:val="24"/>
          <w:szCs w:val="24"/>
        </w:rPr>
        <w:t>:</w:t>
      </w:r>
    </w:p>
    <w:p w14:paraId="22C872A4" w14:textId="77777777" w:rsidR="00914113" w:rsidRPr="00BE3BC6" w:rsidRDefault="00914113" w:rsidP="00D061B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Coarse root biomass</w:t>
      </w:r>
      <w:r w:rsidRPr="00BE3BC6">
        <w:rPr>
          <w:rFonts w:ascii="Times New Roman" w:hAnsi="Times New Roman" w:cs="Times New Roman"/>
          <w:sz w:val="24"/>
          <w:szCs w:val="24"/>
        </w:rPr>
        <w:t xml:space="preserve"> (stems ≥ 2.5 cm DBH) = 0.023 × DBH^2.59</w:t>
      </w:r>
      <w:r w:rsidRPr="00BE3BC6">
        <w:rPr>
          <w:rFonts w:ascii="Times New Roman" w:hAnsi="Times New Roman" w:cs="Times New Roman"/>
          <w:sz w:val="24"/>
          <w:szCs w:val="24"/>
        </w:rPr>
        <w:tab/>
      </w:r>
      <w:r w:rsidRPr="00BE3BC6">
        <w:rPr>
          <w:rFonts w:ascii="Times New Roman" w:hAnsi="Times New Roman" w:cs="Times New Roman"/>
          <w:sz w:val="24"/>
          <w:szCs w:val="24"/>
        </w:rPr>
        <w:tab/>
        <w:t>(Eq. 1)</w:t>
      </w:r>
    </w:p>
    <w:p w14:paraId="7EE2D2D8" w14:textId="77777777" w:rsidR="00914113" w:rsidRPr="00BE3BC6" w:rsidRDefault="00914113" w:rsidP="00D061BC">
      <w:pPr>
        <w:spacing w:line="480" w:lineRule="auto"/>
        <w:ind w:left="720"/>
        <w:rPr>
          <w:rFonts w:ascii="Times New Roman" w:hAnsi="Times New Roman" w:cs="Times New Roman"/>
          <w:sz w:val="24"/>
          <w:szCs w:val="24"/>
        </w:rPr>
      </w:pPr>
      <w:r>
        <w:rPr>
          <w:rFonts w:ascii="Times New Roman" w:hAnsi="Times New Roman" w:cs="Times New Roman"/>
          <w:sz w:val="24"/>
          <w:szCs w:val="24"/>
        </w:rPr>
        <w:t>Coarse root biomass</w:t>
      </w:r>
      <w:r w:rsidRPr="00BE3BC6">
        <w:rPr>
          <w:rFonts w:ascii="Times New Roman" w:hAnsi="Times New Roman" w:cs="Times New Roman"/>
          <w:sz w:val="24"/>
          <w:szCs w:val="24"/>
        </w:rPr>
        <w:t xml:space="preserve"> (stems &lt; 2.5 cm DBH) = 0.079 × DBH^1.04</w:t>
      </w:r>
      <w:r w:rsidRPr="00BE3BC6">
        <w:rPr>
          <w:rFonts w:ascii="Times New Roman" w:hAnsi="Times New Roman" w:cs="Times New Roman"/>
          <w:sz w:val="24"/>
          <w:szCs w:val="24"/>
        </w:rPr>
        <w:tab/>
      </w:r>
      <w:r w:rsidRPr="00BE3BC6">
        <w:rPr>
          <w:rFonts w:ascii="Times New Roman" w:hAnsi="Times New Roman" w:cs="Times New Roman"/>
          <w:sz w:val="24"/>
          <w:szCs w:val="24"/>
        </w:rPr>
        <w:tab/>
        <w:t>(Eq. 2)</w:t>
      </w:r>
    </w:p>
    <w:p w14:paraId="5EBF9D6E"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where coarse root </w:t>
      </w:r>
      <w:r>
        <w:rPr>
          <w:rFonts w:ascii="Times New Roman" w:hAnsi="Times New Roman" w:cs="Times New Roman"/>
          <w:sz w:val="24"/>
          <w:szCs w:val="24"/>
        </w:rPr>
        <w:t>biomass</w:t>
      </w:r>
      <w:r w:rsidRPr="00BE3BC6">
        <w:rPr>
          <w:rFonts w:ascii="Times New Roman" w:hAnsi="Times New Roman" w:cs="Times New Roman"/>
          <w:sz w:val="24"/>
          <w:szCs w:val="24"/>
        </w:rPr>
        <w:t xml:space="preserve"> per stem</w:t>
      </w:r>
      <w:r>
        <w:rPr>
          <w:rFonts w:ascii="Times New Roman" w:hAnsi="Times New Roman" w:cs="Times New Roman"/>
          <w:sz w:val="24"/>
          <w:szCs w:val="24"/>
        </w:rPr>
        <w:t xml:space="preserve"> is in kg and DBH </w:t>
      </w:r>
      <w:r w:rsidRPr="00BE3BC6">
        <w:rPr>
          <w:rFonts w:ascii="Times New Roman" w:hAnsi="Times New Roman" w:cs="Times New Roman"/>
          <w:sz w:val="24"/>
          <w:szCs w:val="24"/>
        </w:rPr>
        <w:t>in cm.</w:t>
      </w:r>
    </w:p>
    <w:p w14:paraId="780773A0"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Stem and coarse root NPP were calculated as the increase in biomass in surviving trees between two subsequent censuses plus biomass of new recruits minus biomass loss through mortality. We assumed that stems that had died between censuses and new recruits </w:t>
      </w:r>
      <w:r>
        <w:rPr>
          <w:rFonts w:ascii="Times New Roman" w:hAnsi="Times New Roman" w:cs="Times New Roman"/>
          <w:sz w:val="24"/>
          <w:szCs w:val="24"/>
        </w:rPr>
        <w:t xml:space="preserve">that </w:t>
      </w:r>
      <w:r w:rsidRPr="00BE3BC6">
        <w:rPr>
          <w:rFonts w:ascii="Times New Roman" w:hAnsi="Times New Roman" w:cs="Times New Roman"/>
          <w:sz w:val="24"/>
          <w:szCs w:val="24"/>
        </w:rPr>
        <w:t xml:space="preserve">reached the DBH threshold </w:t>
      </w:r>
      <w:r>
        <w:rPr>
          <w:rFonts w:ascii="Times New Roman" w:hAnsi="Times New Roman" w:cs="Times New Roman"/>
          <w:sz w:val="24"/>
          <w:szCs w:val="24"/>
        </w:rPr>
        <w:t xml:space="preserve">between censuses did so, </w:t>
      </w:r>
      <w:r w:rsidRPr="00BE3BC6">
        <w:rPr>
          <w:rFonts w:ascii="Times New Roman" w:hAnsi="Times New Roman" w:cs="Times New Roman"/>
          <w:sz w:val="24"/>
          <w:szCs w:val="24"/>
        </w:rPr>
        <w:t>on average</w:t>
      </w:r>
      <w:r>
        <w:rPr>
          <w:rFonts w:ascii="Times New Roman" w:hAnsi="Times New Roman" w:cs="Times New Roman"/>
          <w:sz w:val="24"/>
          <w:szCs w:val="24"/>
        </w:rPr>
        <w:t>,</w:t>
      </w:r>
      <w:r w:rsidRPr="00BE3BC6">
        <w:rPr>
          <w:rFonts w:ascii="Times New Roman" w:hAnsi="Times New Roman" w:cs="Times New Roman"/>
          <w:sz w:val="24"/>
          <w:szCs w:val="24"/>
        </w:rPr>
        <w:t xml:space="preserve"> in the middle of the census interval.</w:t>
      </w:r>
    </w:p>
    <w:p w14:paraId="50EBCC31" w14:textId="3BD5F0A0"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Branch turnover NPP was estimated in 25 </w:t>
      </w:r>
      <w:r>
        <w:rPr>
          <w:rFonts w:ascii="Times New Roman" w:hAnsi="Times New Roman" w:cs="Times New Roman"/>
          <w:sz w:val="24"/>
          <w:szCs w:val="24"/>
        </w:rPr>
        <w:t xml:space="preserve">quadrats of </w:t>
      </w:r>
      <w:r w:rsidRPr="00BE3BC6">
        <w:rPr>
          <w:rFonts w:ascii="Times New Roman" w:hAnsi="Times New Roman" w:cs="Times New Roman"/>
          <w:sz w:val="24"/>
          <w:szCs w:val="24"/>
        </w:rPr>
        <w:t>2 m × 2 m in the plots in Sabah, and in four transects</w:t>
      </w:r>
      <w:r>
        <w:rPr>
          <w:rFonts w:ascii="Times New Roman" w:hAnsi="Times New Roman" w:cs="Times New Roman"/>
          <w:sz w:val="24"/>
          <w:szCs w:val="24"/>
        </w:rPr>
        <w:t xml:space="preserve"> of 100 m </w:t>
      </w:r>
      <w:r w:rsidRPr="00BE3BC6">
        <w:rPr>
          <w:rFonts w:ascii="Times New Roman" w:hAnsi="Times New Roman" w:cs="Times New Roman"/>
          <w:sz w:val="24"/>
          <w:szCs w:val="24"/>
        </w:rPr>
        <w:t xml:space="preserve">× 1 m in the plots in Sarawak. All branches &gt;2 cm diameter were collected every three to six months, weighed in the field and classified into five decay classes </w:t>
      </w:r>
      <w:r>
        <w:rPr>
          <w:rFonts w:ascii="Times New Roman" w:hAnsi="Times New Roman" w:cs="Times New Roman"/>
          <w:noProof/>
          <w:sz w:val="24"/>
          <w:szCs w:val="24"/>
        </w:rPr>
        <w:lastRenderedPageBreak/>
        <w:t>(Harmon</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1995)</w:t>
      </w:r>
      <w:r w:rsidRPr="00BE3BC6">
        <w:rPr>
          <w:rFonts w:ascii="Times New Roman" w:hAnsi="Times New Roman" w:cs="Times New Roman"/>
          <w:sz w:val="24"/>
          <w:szCs w:val="24"/>
        </w:rPr>
        <w:t>.  The first survey quantified the stock, rather than production of the new material. Sub-samples from each decay class in each quadrat were brought back to the laboratory to determine the dry mass and mean wood density of each class. The dry mass of the pieces belonging to classes 2-5 were converted to recently fallen (class 1) mass</w:t>
      </w:r>
      <w:r w:rsidR="00FD25D3">
        <w:rPr>
          <w:rFonts w:ascii="Times New Roman" w:hAnsi="Times New Roman" w:cs="Times New Roman"/>
          <w:sz w:val="24"/>
          <w:szCs w:val="24"/>
        </w:rPr>
        <w:t>,</w:t>
      </w:r>
      <w:r w:rsidRPr="00BE3BC6">
        <w:rPr>
          <w:rFonts w:ascii="Times New Roman" w:hAnsi="Times New Roman" w:cs="Times New Roman"/>
          <w:sz w:val="24"/>
          <w:szCs w:val="24"/>
        </w:rPr>
        <w:t xml:space="preserve"> using a conversion factor (Eq 3):</w:t>
      </w:r>
    </w:p>
    <w:p w14:paraId="01055270"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ab/>
        <w:t xml:space="preserve">MassRF_class(i) = Mass_class(i) × Density_class1 /  </w:t>
      </w:r>
      <w:r>
        <w:rPr>
          <w:rFonts w:ascii="Times New Roman" w:hAnsi="Times New Roman" w:cs="Times New Roman"/>
          <w:sz w:val="24"/>
          <w:szCs w:val="24"/>
        </w:rPr>
        <w:t>Density_class(i)</w:t>
      </w:r>
      <w:r>
        <w:rPr>
          <w:rFonts w:ascii="Times New Roman" w:hAnsi="Times New Roman" w:cs="Times New Roman"/>
          <w:sz w:val="24"/>
          <w:szCs w:val="24"/>
        </w:rPr>
        <w:tab/>
      </w:r>
      <w:r w:rsidRPr="00BE3BC6">
        <w:rPr>
          <w:rFonts w:ascii="Times New Roman" w:hAnsi="Times New Roman" w:cs="Times New Roman"/>
          <w:sz w:val="24"/>
          <w:szCs w:val="24"/>
        </w:rPr>
        <w:t>(Eq. 3)</w:t>
      </w:r>
    </w:p>
    <w:p w14:paraId="443855F9"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where the MassRF_class(i) is the mass in decay classes 2-5 converted into recently fallen mass, Mass_class(i) is the measured mass in decay classes 2-5, and Density_class1 and Density_class(i) is the wood density in decay class 1 and wood density in decay classes 2-5, respectively.</w:t>
      </w:r>
      <w:r>
        <w:rPr>
          <w:rFonts w:ascii="Times New Roman" w:hAnsi="Times New Roman" w:cs="Times New Roman"/>
          <w:sz w:val="24"/>
          <w:szCs w:val="24"/>
        </w:rPr>
        <w:t xml:space="preserve"> In subsequent censuses any fallen branches from dead trees were excluded, as we were interested in the branch turnover term.</w:t>
      </w:r>
    </w:p>
    <w:p w14:paraId="40470FA5" w14:textId="77777777" w:rsidR="00914113" w:rsidRPr="00BE3BC6" w:rsidRDefault="00914113" w:rsidP="00D061BC">
      <w:pPr>
        <w:spacing w:line="480" w:lineRule="auto"/>
        <w:rPr>
          <w:rFonts w:ascii="Times New Roman" w:hAnsi="Times New Roman" w:cs="Times New Roman"/>
          <w:sz w:val="24"/>
          <w:szCs w:val="24"/>
        </w:rPr>
      </w:pPr>
    </w:p>
    <w:p w14:paraId="012FF840" w14:textId="77777777" w:rsidR="00914113" w:rsidRPr="00BE3BC6" w:rsidRDefault="00914113" w:rsidP="00D061BC">
      <w:pPr>
        <w:spacing w:line="480" w:lineRule="auto"/>
        <w:rPr>
          <w:rFonts w:ascii="Times New Roman" w:hAnsi="Times New Roman" w:cs="Times New Roman"/>
          <w:i/>
          <w:sz w:val="24"/>
          <w:szCs w:val="24"/>
        </w:rPr>
      </w:pPr>
      <w:r>
        <w:rPr>
          <w:rFonts w:ascii="Times New Roman" w:hAnsi="Times New Roman" w:cs="Times New Roman"/>
          <w:i/>
          <w:sz w:val="24"/>
          <w:szCs w:val="24"/>
        </w:rPr>
        <w:t>Canopy NPP</w:t>
      </w:r>
    </w:p>
    <w:p w14:paraId="2853516B" w14:textId="7E8BA06E"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Fine litter fall (leaves; twigs, woody tissue and branches≤2 cm diameter; reproductive parts; undefined fine debris) was used as a proxy for canopy production. Litter was collected every 14 to 21 days from  50 cm × 50 cm litter traps, </w:t>
      </w:r>
      <w:r w:rsidR="00FD25D3">
        <w:rPr>
          <w:rFonts w:ascii="Times New Roman" w:hAnsi="Times New Roman" w:cs="Times New Roman"/>
          <w:sz w:val="24"/>
          <w:szCs w:val="24"/>
        </w:rPr>
        <w:t xml:space="preserve">set </w:t>
      </w:r>
      <w:r w:rsidRPr="00BE3BC6">
        <w:rPr>
          <w:rFonts w:ascii="Times New Roman" w:hAnsi="Times New Roman" w:cs="Times New Roman"/>
          <w:sz w:val="24"/>
          <w:szCs w:val="24"/>
        </w:rPr>
        <w:t xml:space="preserve">1 m above the ground (n=25 per plot),  dried at 70°C until constant weight, and sorted into components.  Litter carbon content was assumed to be 50%. </w:t>
      </w:r>
    </w:p>
    <w:p w14:paraId="1F67491F" w14:textId="77777777" w:rsidR="00914113" w:rsidRPr="00BE3BC6" w:rsidRDefault="00914113" w:rsidP="00D061BC">
      <w:pPr>
        <w:spacing w:line="480" w:lineRule="auto"/>
        <w:rPr>
          <w:rFonts w:ascii="Times New Roman" w:hAnsi="Times New Roman" w:cs="Times New Roman"/>
          <w:sz w:val="24"/>
          <w:szCs w:val="24"/>
        </w:rPr>
      </w:pPr>
    </w:p>
    <w:p w14:paraId="586CE1AC"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i/>
          <w:sz w:val="24"/>
          <w:szCs w:val="24"/>
        </w:rPr>
        <w:t>Fine root NPP</w:t>
      </w:r>
    </w:p>
    <w:p w14:paraId="641A568A" w14:textId="61F6FC9F"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Fine root NPP was measured using cylindrical root in-growth cores of 1</w:t>
      </w:r>
      <w:r>
        <w:rPr>
          <w:rFonts w:ascii="Times New Roman" w:hAnsi="Times New Roman" w:cs="Times New Roman"/>
          <w:sz w:val="24"/>
          <w:szCs w:val="24"/>
        </w:rPr>
        <w:t>2</w:t>
      </w:r>
      <w:r w:rsidRPr="00BE3BC6">
        <w:rPr>
          <w:rFonts w:ascii="Times New Roman" w:hAnsi="Times New Roman" w:cs="Times New Roman"/>
          <w:sz w:val="24"/>
          <w:szCs w:val="24"/>
        </w:rPr>
        <w:t xml:space="preserve"> cm diameter and 30 cm depth, made of wire mesh (n=16 per plot in Sabah, n=9 per plot in Sarawak). At the </w:t>
      </w:r>
      <w:r w:rsidRPr="00BE3BC6">
        <w:rPr>
          <w:rFonts w:ascii="Times New Roman" w:hAnsi="Times New Roman" w:cs="Times New Roman"/>
          <w:sz w:val="24"/>
          <w:szCs w:val="24"/>
        </w:rPr>
        <w:lastRenderedPageBreak/>
        <w:t xml:space="preserve">installation, all roots were extracted and the core was filled with the root free soil. The root mass at the first installation quantified the root stock rather than production. The cores were then harvested every three months, roots extracted, cleaned, dried (70°C until constant weight) and weighed. Roots in each core were </w:t>
      </w:r>
      <w:r>
        <w:rPr>
          <w:rFonts w:ascii="Times New Roman" w:hAnsi="Times New Roman" w:cs="Times New Roman"/>
          <w:sz w:val="24"/>
          <w:szCs w:val="24"/>
        </w:rPr>
        <w:t>searched in the forest</w:t>
      </w:r>
      <w:r w:rsidRPr="00BE3BC6">
        <w:rPr>
          <w:rFonts w:ascii="Times New Roman" w:hAnsi="Times New Roman" w:cs="Times New Roman"/>
          <w:sz w:val="24"/>
          <w:szCs w:val="24"/>
        </w:rPr>
        <w:t xml:space="preserve"> for a fixed time (4×5 min or 4×10 min) and the total root mass in the sample was estimated from a cumulative root mass over time curve </w:t>
      </w:r>
      <w:r>
        <w:rPr>
          <w:rFonts w:ascii="Times New Roman" w:hAnsi="Times New Roman" w:cs="Times New Roman"/>
          <w:noProof/>
          <w:sz w:val="24"/>
          <w:szCs w:val="24"/>
        </w:rPr>
        <w:t>(Metcalfe</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2007; Kho</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r w:rsidRPr="00BE3BC6">
        <w:rPr>
          <w:rFonts w:ascii="Times New Roman" w:hAnsi="Times New Roman" w:cs="Times New Roman"/>
          <w:sz w:val="24"/>
          <w:szCs w:val="24"/>
        </w:rPr>
        <w:t xml:space="preserve">, solved to 120 minutes. This method allows the root search time to be kept within a reasonable limit in the field while taking into account that a small fraction of roots is likely to remain unextracted. Root dry mass was converted into carbon by assuming a carbon content of 50%. Based on fine root mass in the top 30 cm soil layer, we estimated the fine root mass to 1 m depth by applying a correction factor of 1.125, derived from a root depth profile </w:t>
      </w:r>
      <w:r>
        <w:rPr>
          <w:rFonts w:ascii="Times New Roman" w:hAnsi="Times New Roman" w:cs="Times New Roman"/>
          <w:sz w:val="24"/>
          <w:szCs w:val="24"/>
        </w:rPr>
        <w:t xml:space="preserve">determined </w:t>
      </w:r>
      <w:r w:rsidRPr="00BE3BC6">
        <w:rPr>
          <w:rFonts w:ascii="Times New Roman" w:hAnsi="Times New Roman" w:cs="Times New Roman"/>
          <w:sz w:val="24"/>
          <w:szCs w:val="24"/>
        </w:rPr>
        <w:t xml:space="preserve">in Pasoh Forest Reserve in </w:t>
      </w:r>
      <w:r w:rsidR="009313E0">
        <w:rPr>
          <w:rFonts w:ascii="Times New Roman" w:hAnsi="Times New Roman" w:cs="Times New Roman"/>
          <w:sz w:val="24"/>
          <w:szCs w:val="24"/>
        </w:rPr>
        <w:t>P</w:t>
      </w:r>
      <w:r w:rsidRPr="00BE3BC6">
        <w:rPr>
          <w:rFonts w:ascii="Times New Roman" w:hAnsi="Times New Roman" w:cs="Times New Roman"/>
          <w:sz w:val="24"/>
          <w:szCs w:val="24"/>
        </w:rPr>
        <w:t xml:space="preserve">eninsular Malaysia </w:t>
      </w:r>
      <w:r>
        <w:rPr>
          <w:rFonts w:ascii="Times New Roman" w:hAnsi="Times New Roman" w:cs="Times New Roman"/>
          <w:noProof/>
          <w:sz w:val="24"/>
          <w:szCs w:val="24"/>
        </w:rPr>
        <w:t>(Yoda, 1978; Kho</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2013)</w:t>
      </w:r>
      <w:r w:rsidRPr="00BE3BC6">
        <w:rPr>
          <w:rFonts w:ascii="Times New Roman" w:hAnsi="Times New Roman" w:cs="Times New Roman"/>
          <w:sz w:val="24"/>
          <w:szCs w:val="24"/>
        </w:rPr>
        <w:t>.</w:t>
      </w:r>
    </w:p>
    <w:p w14:paraId="6176E690" w14:textId="77777777" w:rsidR="00914113" w:rsidRDefault="00914113" w:rsidP="00D061BC">
      <w:pPr>
        <w:spacing w:line="480" w:lineRule="auto"/>
        <w:rPr>
          <w:rFonts w:ascii="Times New Roman" w:hAnsi="Times New Roman" w:cs="Times New Roman"/>
          <w:i/>
          <w:sz w:val="24"/>
          <w:szCs w:val="24"/>
        </w:rPr>
      </w:pPr>
    </w:p>
    <w:p w14:paraId="29781AE0" w14:textId="77777777" w:rsidR="00914113" w:rsidRPr="00BE3BC6" w:rsidRDefault="00914113" w:rsidP="00D061BC">
      <w:pPr>
        <w:spacing w:line="480" w:lineRule="auto"/>
        <w:rPr>
          <w:rFonts w:ascii="Times New Roman" w:hAnsi="Times New Roman" w:cs="Times New Roman"/>
          <w:i/>
          <w:sz w:val="24"/>
          <w:szCs w:val="24"/>
        </w:rPr>
      </w:pPr>
      <w:r w:rsidRPr="00BE3BC6">
        <w:rPr>
          <w:rFonts w:ascii="Times New Roman" w:hAnsi="Times New Roman" w:cs="Times New Roman"/>
          <w:i/>
          <w:sz w:val="24"/>
          <w:szCs w:val="24"/>
        </w:rPr>
        <w:t>Missing components of NPP</w:t>
      </w:r>
      <w:r w:rsidRPr="00BE3BC6">
        <w:rPr>
          <w:rFonts w:ascii="Times New Roman" w:hAnsi="Times New Roman" w:cs="Times New Roman"/>
          <w:i/>
          <w:sz w:val="24"/>
          <w:szCs w:val="24"/>
        </w:rPr>
        <w:tab/>
      </w:r>
    </w:p>
    <w:p w14:paraId="7FABC0D0" w14:textId="5B464F54"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Somewhat inevitably, any estimate of NPP may be biased towards underestimation because it neglects several small NPP terms, such as NPP lost as volatile organic emissions, non-measured litter trapped in the canopy, NPP lost to herbivory, or dropped from understorey plants below the litter traps. At a site in central Amazonia, volatile emissions were found to be a minor component of the carbon budget (0.13±0.06 Mg C ha</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year</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Malhi </w:t>
      </w:r>
      <w:r w:rsidRPr="00BE3BC6">
        <w:rPr>
          <w:rFonts w:ascii="Times New Roman" w:hAnsi="Times New Roman" w:cs="Times New Roman"/>
          <w:i/>
          <w:sz w:val="24"/>
          <w:szCs w:val="24"/>
        </w:rPr>
        <w:t>et al.</w:t>
      </w:r>
      <w:r>
        <w:rPr>
          <w:rFonts w:ascii="Times New Roman" w:hAnsi="Times New Roman" w:cs="Times New Roman"/>
          <w:sz w:val="24"/>
          <w:szCs w:val="24"/>
        </w:rPr>
        <w:t xml:space="preserve">, 2009). </w:t>
      </w:r>
      <w:r>
        <w:rPr>
          <w:rFonts w:ascii="Times New Roman" w:hAnsi="Times New Roman" w:cs="Times New Roman"/>
          <w:noProof/>
          <w:sz w:val="24"/>
          <w:szCs w:val="24"/>
        </w:rPr>
        <w:t>Kurokawa and  Nakashizuka (2008)</w:t>
      </w:r>
      <w:r>
        <w:rPr>
          <w:rFonts w:ascii="Times New Roman" w:hAnsi="Times New Roman" w:cs="Times New Roman"/>
          <w:sz w:val="24"/>
          <w:szCs w:val="24"/>
        </w:rPr>
        <w:t xml:space="preserve"> estimated a rate of leaf herbivory of 4.9% for Lambir, equivalent to 0.2-0.3 Mg C ha</w:t>
      </w:r>
      <w:r w:rsidRPr="00031FA6">
        <w:rPr>
          <w:rFonts w:ascii="Times New Roman" w:hAnsi="Times New Roman" w:cs="Times New Roman"/>
          <w:sz w:val="24"/>
          <w:szCs w:val="24"/>
          <w:vertAlign w:val="superscript"/>
        </w:rPr>
        <w:t>-1</w:t>
      </w:r>
      <w:r>
        <w:rPr>
          <w:rFonts w:ascii="Times New Roman" w:hAnsi="Times New Roman" w:cs="Times New Roman"/>
          <w:sz w:val="24"/>
          <w:szCs w:val="24"/>
        </w:rPr>
        <w:t xml:space="preserve"> year</w:t>
      </w:r>
      <w:r w:rsidRPr="00031FA6">
        <w:rPr>
          <w:rFonts w:ascii="Times New Roman" w:hAnsi="Times New Roman" w:cs="Times New Roman"/>
          <w:sz w:val="24"/>
          <w:szCs w:val="24"/>
          <w:vertAlign w:val="superscript"/>
        </w:rPr>
        <w:t>-1</w:t>
      </w:r>
      <w:r>
        <w:rPr>
          <w:rFonts w:ascii="Times New Roman" w:hAnsi="Times New Roman" w:cs="Times New Roman"/>
          <w:sz w:val="24"/>
          <w:szCs w:val="24"/>
        </w:rPr>
        <w:t xml:space="preserve"> (Kho et al., unpublished analysis).</w:t>
      </w:r>
      <w:r w:rsidRPr="00BE3BC6">
        <w:rPr>
          <w:rFonts w:ascii="Times New Roman" w:hAnsi="Times New Roman" w:cs="Times New Roman"/>
          <w:sz w:val="24"/>
          <w:szCs w:val="24"/>
        </w:rPr>
        <w:t xml:space="preserve"> For below-ground NPP, the allocation to root exudates and to mycorrhizae is neglected, but can account for 5-10% of NPP in tropical forests (Doughty et al, in review). </w:t>
      </w:r>
      <w:r>
        <w:rPr>
          <w:rFonts w:ascii="Times New Roman" w:hAnsi="Times New Roman" w:cs="Times New Roman"/>
          <w:sz w:val="24"/>
          <w:szCs w:val="24"/>
        </w:rPr>
        <w:t xml:space="preserve">Kho et al. (unpublished analysis) estimate an allocation to mycorrhizae of 1.3-1.4 </w:t>
      </w:r>
      <w:r w:rsidRPr="00BE3BC6">
        <w:rPr>
          <w:rFonts w:ascii="Times New Roman" w:hAnsi="Times New Roman" w:cs="Times New Roman"/>
          <w:sz w:val="24"/>
          <w:szCs w:val="24"/>
        </w:rPr>
        <w:t>Mg C ha</w:t>
      </w:r>
      <w:r w:rsidRPr="00BE3BC6">
        <w:rPr>
          <w:rFonts w:ascii="Times New Roman" w:hAnsi="Times New Roman" w:cs="Times New Roman"/>
          <w:sz w:val="24"/>
          <w:szCs w:val="24"/>
          <w:vertAlign w:val="superscript"/>
        </w:rPr>
        <w:t>-1</w:t>
      </w:r>
      <w:r w:rsidRPr="00BE3BC6">
        <w:rPr>
          <w:rFonts w:ascii="Times New Roman" w:hAnsi="Times New Roman" w:cs="Times New Roman"/>
          <w:sz w:val="24"/>
          <w:szCs w:val="24"/>
        </w:rPr>
        <w:t xml:space="preserve"> year</w:t>
      </w:r>
      <w:r w:rsidRPr="00BE3BC6">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BE3BC6">
        <w:rPr>
          <w:rFonts w:ascii="Times New Roman" w:hAnsi="Times New Roman" w:cs="Times New Roman"/>
          <w:sz w:val="24"/>
          <w:szCs w:val="24"/>
        </w:rPr>
        <w:t xml:space="preserve">These terms are </w:t>
      </w:r>
      <w:r w:rsidRPr="00BE3BC6">
        <w:rPr>
          <w:rFonts w:ascii="Times New Roman" w:hAnsi="Times New Roman" w:cs="Times New Roman"/>
          <w:sz w:val="24"/>
          <w:szCs w:val="24"/>
        </w:rPr>
        <w:lastRenderedPageBreak/>
        <w:t xml:space="preserve">challenging to measure, and here we focus on canopy, woody and fine root productivity, which are likely to account for over </w:t>
      </w:r>
      <w:r>
        <w:rPr>
          <w:rFonts w:ascii="Times New Roman" w:hAnsi="Times New Roman" w:cs="Times New Roman"/>
          <w:sz w:val="24"/>
          <w:szCs w:val="24"/>
        </w:rPr>
        <w:t>85</w:t>
      </w:r>
      <w:r w:rsidRPr="00BE3BC6">
        <w:rPr>
          <w:rFonts w:ascii="Times New Roman" w:hAnsi="Times New Roman" w:cs="Times New Roman"/>
          <w:sz w:val="24"/>
          <w:szCs w:val="24"/>
        </w:rPr>
        <w:t xml:space="preserve">% of </w:t>
      </w:r>
      <w:r>
        <w:rPr>
          <w:rFonts w:ascii="Times New Roman" w:hAnsi="Times New Roman" w:cs="Times New Roman"/>
          <w:sz w:val="24"/>
          <w:szCs w:val="24"/>
        </w:rPr>
        <w:t>NPP, while recognising that these</w:t>
      </w:r>
      <w:r w:rsidRPr="00BE3BC6">
        <w:rPr>
          <w:rFonts w:ascii="Times New Roman" w:hAnsi="Times New Roman" w:cs="Times New Roman"/>
          <w:sz w:val="24"/>
          <w:szCs w:val="24"/>
        </w:rPr>
        <w:t xml:space="preserve"> missing components do exist. </w:t>
      </w:r>
      <w:r>
        <w:rPr>
          <w:rFonts w:ascii="Times New Roman" w:hAnsi="Times New Roman" w:cs="Times New Roman"/>
          <w:sz w:val="24"/>
          <w:szCs w:val="24"/>
        </w:rPr>
        <w:t xml:space="preserve">The three missing terms above </w:t>
      </w:r>
      <w:r w:rsidR="009313E0">
        <w:rPr>
          <w:rFonts w:ascii="Times New Roman" w:hAnsi="Times New Roman" w:cs="Times New Roman"/>
          <w:sz w:val="24"/>
          <w:szCs w:val="24"/>
        </w:rPr>
        <w:t xml:space="preserve">are likely to </w:t>
      </w:r>
      <w:r>
        <w:rPr>
          <w:rFonts w:ascii="Times New Roman" w:hAnsi="Times New Roman" w:cs="Times New Roman"/>
          <w:sz w:val="24"/>
          <w:szCs w:val="24"/>
        </w:rPr>
        <w:t xml:space="preserve">account for 10-13% of total NPP in Lambir (Kho et al., unpublished analysis), with transport to mycorrhizae being the most important. </w:t>
      </w:r>
    </w:p>
    <w:p w14:paraId="7B10E9AA" w14:textId="77777777" w:rsidR="00914113" w:rsidRDefault="00914113" w:rsidP="00D061BC">
      <w:pPr>
        <w:spacing w:line="480" w:lineRule="auto"/>
        <w:rPr>
          <w:rFonts w:ascii="Times New Roman" w:hAnsi="Times New Roman" w:cs="Times New Roman"/>
          <w:b/>
          <w:sz w:val="24"/>
          <w:szCs w:val="24"/>
        </w:rPr>
      </w:pPr>
    </w:p>
    <w:p w14:paraId="52E11392" w14:textId="77777777" w:rsidR="00914113" w:rsidRPr="00BE3BC6" w:rsidRDefault="00914113" w:rsidP="00D061BC">
      <w:pPr>
        <w:rPr>
          <w:rFonts w:ascii="Times New Roman" w:hAnsi="Times New Roman" w:cs="Times New Roman"/>
          <w:b/>
          <w:sz w:val="24"/>
          <w:szCs w:val="24"/>
        </w:rPr>
      </w:pPr>
      <w:r>
        <w:rPr>
          <w:rFonts w:ascii="Times New Roman" w:hAnsi="Times New Roman" w:cs="Times New Roman"/>
          <w:b/>
          <w:sz w:val="24"/>
          <w:szCs w:val="24"/>
        </w:rPr>
        <w:br w:type="page"/>
      </w:r>
      <w:r w:rsidRPr="00BE3BC6">
        <w:rPr>
          <w:rFonts w:ascii="Times New Roman" w:hAnsi="Times New Roman" w:cs="Times New Roman"/>
          <w:b/>
          <w:sz w:val="24"/>
          <w:szCs w:val="24"/>
        </w:rPr>
        <w:lastRenderedPageBreak/>
        <w:t>Data analysis</w:t>
      </w:r>
    </w:p>
    <w:p w14:paraId="1FB8A8C6" w14:textId="438662DD"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The focus of this paper was to quantify the spatial variation</w:t>
      </w:r>
      <w:r w:rsidR="009313E0">
        <w:rPr>
          <w:rFonts w:ascii="Times New Roman" w:hAnsi="Times New Roman" w:cs="Times New Roman"/>
          <w:sz w:val="24"/>
          <w:szCs w:val="24"/>
        </w:rPr>
        <w:t xml:space="preserve"> in NPP</w:t>
      </w:r>
      <w:r w:rsidRPr="00BE3BC6">
        <w:rPr>
          <w:rFonts w:ascii="Times New Roman" w:hAnsi="Times New Roman" w:cs="Times New Roman"/>
          <w:sz w:val="24"/>
          <w:szCs w:val="24"/>
        </w:rPr>
        <w:t xml:space="preserve"> (within and among plots, and between old-growth and logged forest) rather than to examine temporal trends. Therefore, all temporal replicates of each spatial replicate were pooled to derive a mean value for that sampling unit over the study period. These values were then used in the analyses.</w:t>
      </w:r>
    </w:p>
    <w:p w14:paraId="0A2F7A84" w14:textId="335E351D" w:rsidR="00914113" w:rsidRPr="009D1711"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The impact of </w:t>
      </w:r>
      <w:r>
        <w:rPr>
          <w:rFonts w:ascii="Times New Roman" w:hAnsi="Times New Roman" w:cs="Times New Roman"/>
          <w:sz w:val="24"/>
          <w:szCs w:val="24"/>
        </w:rPr>
        <w:t xml:space="preserve">logging </w:t>
      </w:r>
      <w:r w:rsidRPr="00BE3BC6">
        <w:rPr>
          <w:rFonts w:ascii="Times New Roman" w:hAnsi="Times New Roman" w:cs="Times New Roman"/>
          <w:sz w:val="24"/>
          <w:szCs w:val="24"/>
        </w:rPr>
        <w:t>disturbance on NPP was examined in two ways: by comparing the two forest types (old-growth and logged) by plot and by looking at the data along a finer scale disturbance gradient, wherein parts of each plot may belong to a different forest quality class. At the plot scale, the differences in total NPP and its components between forest types were tested using g</w:t>
      </w:r>
      <w:r>
        <w:rPr>
          <w:rFonts w:ascii="Times New Roman" w:hAnsi="Times New Roman" w:cs="Times New Roman"/>
          <w:sz w:val="24"/>
          <w:szCs w:val="24"/>
        </w:rPr>
        <w:t xml:space="preserve">eneralised least squares </w:t>
      </w:r>
      <w:r w:rsidRPr="00BE3BC6">
        <w:rPr>
          <w:rFonts w:ascii="Times New Roman" w:hAnsi="Times New Roman" w:cs="Times New Roman"/>
          <w:sz w:val="24"/>
          <w:szCs w:val="24"/>
        </w:rPr>
        <w:t>models, with forest type as a fixed factor</w:t>
      </w:r>
      <w:r w:rsidR="005F0332">
        <w:rPr>
          <w:rFonts w:ascii="Times New Roman" w:hAnsi="Times New Roman" w:cs="Times New Roman"/>
          <w:sz w:val="24"/>
          <w:szCs w:val="24"/>
        </w:rPr>
        <w:t xml:space="preserve"> and plot as </w:t>
      </w:r>
      <w:r w:rsidR="009313E0">
        <w:rPr>
          <w:rFonts w:ascii="Times New Roman" w:hAnsi="Times New Roman" w:cs="Times New Roman"/>
          <w:sz w:val="24"/>
          <w:szCs w:val="24"/>
        </w:rPr>
        <w:t>a</w:t>
      </w:r>
      <w:r w:rsidR="005F0332">
        <w:rPr>
          <w:rFonts w:ascii="Times New Roman" w:hAnsi="Times New Roman" w:cs="Times New Roman"/>
          <w:sz w:val="24"/>
          <w:szCs w:val="24"/>
        </w:rPr>
        <w:t xml:space="preserve"> random factor</w:t>
      </w:r>
      <w:r>
        <w:rPr>
          <w:rFonts w:ascii="Times New Roman" w:hAnsi="Times New Roman" w:cs="Times New Roman"/>
          <w:sz w:val="24"/>
          <w:szCs w:val="24"/>
        </w:rPr>
        <w:t xml:space="preserve">. </w:t>
      </w:r>
      <w:r w:rsidRPr="00BE3BC6">
        <w:rPr>
          <w:rFonts w:ascii="Times New Roman" w:hAnsi="Times New Roman" w:cs="Times New Roman"/>
          <w:sz w:val="24"/>
          <w:szCs w:val="24"/>
        </w:rPr>
        <w:t>The models were run using R</w:t>
      </w:r>
      <w:r>
        <w:rPr>
          <w:rFonts w:ascii="Times New Roman" w:hAnsi="Times New Roman" w:cs="Times New Roman"/>
          <w:sz w:val="24"/>
          <w:szCs w:val="24"/>
        </w:rPr>
        <w:t xml:space="preserve"> </w:t>
      </w:r>
      <w:r>
        <w:rPr>
          <w:rFonts w:ascii="Times New Roman" w:hAnsi="Times New Roman" w:cs="Times New Roman"/>
          <w:noProof/>
          <w:sz w:val="24"/>
          <w:szCs w:val="24"/>
        </w:rPr>
        <w:t>(R Core Team, 2014)</w:t>
      </w:r>
      <w:r>
        <w:rPr>
          <w:rFonts w:ascii="Times New Roman" w:hAnsi="Times New Roman" w:cs="Times New Roman"/>
          <w:sz w:val="24"/>
          <w:szCs w:val="24"/>
        </w:rPr>
        <w:t xml:space="preserve">, with the package ‘nlme’ </w:t>
      </w:r>
      <w:r>
        <w:rPr>
          <w:rFonts w:ascii="Times New Roman" w:hAnsi="Times New Roman" w:cs="Times New Roman"/>
          <w:noProof/>
          <w:sz w:val="24"/>
          <w:szCs w:val="24"/>
        </w:rPr>
        <w:t>(Pinheiro</w:t>
      </w:r>
      <w:r w:rsidRPr="002F6B87">
        <w:rPr>
          <w:rFonts w:ascii="Times New Roman" w:hAnsi="Times New Roman" w:cs="Times New Roman"/>
          <w:i/>
          <w:noProof/>
          <w:sz w:val="24"/>
          <w:szCs w:val="24"/>
        </w:rPr>
        <w:t xml:space="preserve"> et al.</w:t>
      </w:r>
      <w:r>
        <w:rPr>
          <w:rFonts w:ascii="Times New Roman" w:hAnsi="Times New Roman" w:cs="Times New Roman"/>
          <w:noProof/>
          <w:sz w:val="24"/>
          <w:szCs w:val="24"/>
        </w:rPr>
        <w:t>, 2014)</w:t>
      </w:r>
      <w:r w:rsidRPr="00BE3BC6">
        <w:rPr>
          <w:rFonts w:ascii="Times New Roman" w:hAnsi="Times New Roman" w:cs="Times New Roman"/>
          <w:sz w:val="24"/>
          <w:szCs w:val="24"/>
        </w:rPr>
        <w:t>. To test whether the relative allocation into the main NPP components (woody, canopy and fine root NPP) and canopy NPP allocation into differen</w:t>
      </w:r>
      <w:r>
        <w:rPr>
          <w:rFonts w:ascii="Times New Roman" w:hAnsi="Times New Roman" w:cs="Times New Roman"/>
          <w:sz w:val="24"/>
          <w:szCs w:val="24"/>
        </w:rPr>
        <w:t xml:space="preserve">t litter fractions (leaf, twigs, </w:t>
      </w:r>
      <w:r w:rsidRPr="00BE3BC6">
        <w:rPr>
          <w:rFonts w:ascii="Times New Roman" w:hAnsi="Times New Roman" w:cs="Times New Roman"/>
          <w:sz w:val="24"/>
          <w:szCs w:val="24"/>
        </w:rPr>
        <w:t>reproductive</w:t>
      </w:r>
      <w:r>
        <w:rPr>
          <w:rFonts w:ascii="Times New Roman" w:hAnsi="Times New Roman" w:cs="Times New Roman"/>
          <w:sz w:val="24"/>
          <w:szCs w:val="24"/>
        </w:rPr>
        <w:t xml:space="preserve"> and undefined </w:t>
      </w:r>
      <w:r w:rsidRPr="00BE3BC6">
        <w:rPr>
          <w:rFonts w:ascii="Times New Roman" w:hAnsi="Times New Roman" w:cs="Times New Roman"/>
          <w:sz w:val="24"/>
          <w:szCs w:val="24"/>
        </w:rPr>
        <w:t>debris) differed between the forest types</w:t>
      </w:r>
      <w:r>
        <w:rPr>
          <w:rFonts w:ascii="Times New Roman" w:hAnsi="Times New Roman" w:cs="Times New Roman"/>
          <w:sz w:val="24"/>
          <w:szCs w:val="24"/>
        </w:rPr>
        <w:t>,</w:t>
      </w:r>
      <w:r w:rsidRPr="00BE3BC6">
        <w:rPr>
          <w:rFonts w:ascii="Times New Roman" w:hAnsi="Times New Roman" w:cs="Times New Roman"/>
          <w:sz w:val="24"/>
          <w:szCs w:val="24"/>
        </w:rPr>
        <w:t xml:space="preserve"> we used a linear model for compositional data </w:t>
      </w:r>
      <w:r>
        <w:rPr>
          <w:rFonts w:ascii="Times New Roman" w:hAnsi="Times New Roman" w:cs="Times New Roman"/>
          <w:noProof/>
          <w:sz w:val="24"/>
          <w:szCs w:val="24"/>
        </w:rPr>
        <w:t>(Pawlowsky-Glahn &amp; Buccianti, 2011)</w:t>
      </w:r>
      <w:r w:rsidRPr="00BE3BC6">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BE3BC6">
        <w:rPr>
          <w:rFonts w:ascii="Times New Roman" w:hAnsi="Times New Roman" w:cs="Times New Roman"/>
          <w:sz w:val="24"/>
          <w:szCs w:val="24"/>
        </w:rPr>
        <w:t xml:space="preserve">R </w:t>
      </w:r>
      <w:r w:rsidRPr="009D1711">
        <w:rPr>
          <w:rFonts w:ascii="Times New Roman" w:hAnsi="Times New Roman" w:cs="Times New Roman"/>
          <w:sz w:val="24"/>
          <w:szCs w:val="24"/>
        </w:rPr>
        <w:t xml:space="preserve">package ‘compositions’ </w:t>
      </w:r>
      <w:r>
        <w:rPr>
          <w:rFonts w:ascii="Times New Roman" w:hAnsi="Times New Roman" w:cs="Times New Roman"/>
          <w:noProof/>
          <w:sz w:val="24"/>
          <w:szCs w:val="24"/>
        </w:rPr>
        <w:t>(van den Boogaart, 2008; van den Boogaart</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2014)</w:t>
      </w:r>
      <w:r w:rsidRPr="009D1711">
        <w:rPr>
          <w:rFonts w:ascii="Times New Roman" w:hAnsi="Times New Roman" w:cs="Times New Roman"/>
          <w:sz w:val="24"/>
          <w:szCs w:val="24"/>
        </w:rPr>
        <w:t>.</w:t>
      </w:r>
    </w:p>
    <w:p w14:paraId="5A7BD179" w14:textId="34302B72" w:rsidR="00914113" w:rsidRPr="001E1796" w:rsidRDefault="00914113" w:rsidP="00D061BC">
      <w:pPr>
        <w:spacing w:before="240" w:line="480" w:lineRule="auto"/>
        <w:rPr>
          <w:rFonts w:ascii="Times New Roman" w:hAnsi="Times New Roman" w:cs="Times New Roman"/>
          <w:sz w:val="24"/>
          <w:szCs w:val="24"/>
        </w:rPr>
      </w:pPr>
      <w:r w:rsidRPr="000D4176">
        <w:rPr>
          <w:rFonts w:ascii="Times New Roman" w:hAnsi="Times New Roman" w:cs="Times New Roman"/>
          <w:sz w:val="24"/>
          <w:szCs w:val="24"/>
        </w:rPr>
        <w:t xml:space="preserve">Along the disturbance gradient, differences in NPP and its allocation are influenced by factors of two different types: (i) a change in total NPP (which we will term </w:t>
      </w:r>
      <w:r w:rsidRPr="000D4176">
        <w:rPr>
          <w:rFonts w:ascii="Times New Roman" w:hAnsi="Times New Roman" w:cs="Times New Roman"/>
          <w:i/>
          <w:sz w:val="24"/>
          <w:szCs w:val="24"/>
        </w:rPr>
        <w:t>‘the productivity effect’</w:t>
      </w:r>
      <w:r w:rsidRPr="000D4176">
        <w:rPr>
          <w:rFonts w:ascii="Times New Roman" w:hAnsi="Times New Roman" w:cs="Times New Roman"/>
          <w:sz w:val="24"/>
          <w:szCs w:val="24"/>
        </w:rPr>
        <w:t>)</w:t>
      </w:r>
      <w:r w:rsidRPr="000D4176">
        <w:rPr>
          <w:rFonts w:ascii="Times New Roman" w:hAnsi="Times New Roman" w:cs="Times New Roman"/>
          <w:i/>
          <w:sz w:val="24"/>
          <w:szCs w:val="24"/>
        </w:rPr>
        <w:t xml:space="preserve"> </w:t>
      </w:r>
      <w:r w:rsidRPr="000D4176">
        <w:rPr>
          <w:rFonts w:ascii="Times New Roman" w:hAnsi="Times New Roman" w:cs="Times New Roman"/>
          <w:sz w:val="24"/>
          <w:szCs w:val="24"/>
        </w:rPr>
        <w:t xml:space="preserve">and/or shift in allocation patterns </w:t>
      </w:r>
      <w:r w:rsidRPr="000D4176">
        <w:rPr>
          <w:rFonts w:ascii="Times New Roman" w:hAnsi="Times New Roman" w:cs="Times New Roman"/>
          <w:i/>
          <w:sz w:val="24"/>
          <w:szCs w:val="24"/>
        </w:rPr>
        <w:t>(‘the allocation effect’)</w:t>
      </w:r>
      <w:r w:rsidRPr="000D4176">
        <w:rPr>
          <w:rFonts w:ascii="Times New Roman" w:hAnsi="Times New Roman" w:cs="Times New Roman"/>
          <w:sz w:val="24"/>
          <w:szCs w:val="24"/>
        </w:rPr>
        <w:t xml:space="preserve"> in the plants; and (ii) changes in stand structure and density (‘</w:t>
      </w:r>
      <w:r w:rsidRPr="004659FD">
        <w:rPr>
          <w:rFonts w:ascii="Times New Roman" w:hAnsi="Times New Roman" w:cs="Times New Roman"/>
          <w:i/>
          <w:sz w:val="24"/>
          <w:szCs w:val="24"/>
        </w:rPr>
        <w:t>the</w:t>
      </w:r>
      <w:r w:rsidRPr="000D4176">
        <w:rPr>
          <w:rFonts w:ascii="Times New Roman" w:hAnsi="Times New Roman" w:cs="Times New Roman"/>
          <w:sz w:val="24"/>
          <w:szCs w:val="24"/>
        </w:rPr>
        <w:t xml:space="preserve"> </w:t>
      </w:r>
      <w:r w:rsidRPr="000D4176">
        <w:rPr>
          <w:rFonts w:ascii="Times New Roman" w:hAnsi="Times New Roman" w:cs="Times New Roman"/>
          <w:i/>
          <w:sz w:val="24"/>
          <w:szCs w:val="24"/>
        </w:rPr>
        <w:t>structure effect’</w:t>
      </w:r>
      <w:r w:rsidRPr="000D4176">
        <w:rPr>
          <w:rFonts w:ascii="Times New Roman" w:hAnsi="Times New Roman" w:cs="Times New Roman"/>
          <w:sz w:val="24"/>
          <w:szCs w:val="24"/>
        </w:rPr>
        <w:t xml:space="preserve">). The structure effect may result from the reduction in the number of </w:t>
      </w:r>
      <w:r>
        <w:rPr>
          <w:rFonts w:ascii="Times New Roman" w:hAnsi="Times New Roman" w:cs="Times New Roman"/>
          <w:sz w:val="24"/>
          <w:szCs w:val="24"/>
        </w:rPr>
        <w:t xml:space="preserve">stems, particularly large </w:t>
      </w:r>
      <w:r w:rsidRPr="000D4176">
        <w:rPr>
          <w:rFonts w:ascii="Times New Roman" w:hAnsi="Times New Roman" w:cs="Times New Roman"/>
          <w:sz w:val="24"/>
          <w:szCs w:val="24"/>
        </w:rPr>
        <w:t xml:space="preserve">stems, which may reduce overall NPP and also affect allocation patterns if allocation shows allometric relationships with tree size, and/or from an almost complete loss of stems and NPP in very open and degraded patches, such as old logging platforms. To assess the magnitude and relative importance of these effects, we conducted an analysis at sub-plot level, controlling for variation in stand </w:t>
      </w:r>
      <w:r w:rsidRPr="000D4176">
        <w:rPr>
          <w:rFonts w:ascii="Times New Roman" w:hAnsi="Times New Roman" w:cs="Times New Roman"/>
          <w:sz w:val="24"/>
          <w:szCs w:val="24"/>
        </w:rPr>
        <w:lastRenderedPageBreak/>
        <w:t>basal area.</w:t>
      </w:r>
      <w:r>
        <w:rPr>
          <w:rFonts w:ascii="Times New Roman" w:hAnsi="Times New Roman" w:cs="Times New Roman"/>
          <w:sz w:val="24"/>
          <w:szCs w:val="24"/>
        </w:rPr>
        <w:t xml:space="preserve"> At the subplot scale, basal area correlated with the mean and maximum diameter of stems &gt;10 cm DBH (Fig. S</w:t>
      </w:r>
      <w:r w:rsidR="00BA4E1F">
        <w:rPr>
          <w:rFonts w:ascii="Times New Roman" w:hAnsi="Times New Roman" w:cs="Times New Roman"/>
          <w:sz w:val="24"/>
          <w:szCs w:val="24"/>
        </w:rPr>
        <w:t>3</w:t>
      </w:r>
      <w:r>
        <w:rPr>
          <w:rFonts w:ascii="Times New Roman" w:hAnsi="Times New Roman" w:cs="Times New Roman"/>
          <w:sz w:val="24"/>
          <w:szCs w:val="24"/>
        </w:rPr>
        <w:t xml:space="preserve">). At a similar basal area, both the mean and maximum diameter were slightly lower in logged forest than in old-growth forest (a difference of 1.2 cm, p=0.007 and 4.5 cm, p=0.047 for mean and maximum diameter, respectively). However, there was a large overlap in </w:t>
      </w:r>
      <w:r w:rsidR="00B26003">
        <w:rPr>
          <w:rFonts w:ascii="Times New Roman" w:hAnsi="Times New Roman" w:cs="Times New Roman"/>
          <w:sz w:val="24"/>
          <w:szCs w:val="24"/>
        </w:rPr>
        <w:t>diameter</w:t>
      </w:r>
      <w:r>
        <w:rPr>
          <w:rFonts w:ascii="Times New Roman" w:hAnsi="Times New Roman" w:cs="Times New Roman"/>
          <w:sz w:val="24"/>
          <w:szCs w:val="24"/>
        </w:rPr>
        <w:t xml:space="preserve"> distribution across the basal area range, compared to which the observed differences were small, indicating that at a similar basal area, the stand structure in the two forest types is comparable. </w:t>
      </w:r>
    </w:p>
    <w:p w14:paraId="5B1FFFA6" w14:textId="07B786BF" w:rsidR="00914113" w:rsidRDefault="00914113" w:rsidP="00D061BC">
      <w:pPr>
        <w:spacing w:line="480" w:lineRule="auto"/>
        <w:rPr>
          <w:rFonts w:ascii="Times New Roman" w:hAnsi="Times New Roman" w:cs="Times New Roman"/>
          <w:sz w:val="24"/>
          <w:szCs w:val="24"/>
        </w:rPr>
      </w:pPr>
      <w:r w:rsidRPr="00D42A8E">
        <w:rPr>
          <w:rFonts w:ascii="Times New Roman" w:hAnsi="Times New Roman" w:cs="Times New Roman"/>
          <w:sz w:val="24"/>
          <w:szCs w:val="24"/>
        </w:rPr>
        <w:t>Variation in NPP along the disturbance gradient was partitioned into productivity effect, allocation effect and structure effect as follows</w:t>
      </w:r>
      <w:r w:rsidR="006A6B12">
        <w:rPr>
          <w:rFonts w:ascii="Times New Roman" w:hAnsi="Times New Roman" w:cs="Times New Roman"/>
          <w:sz w:val="24"/>
          <w:szCs w:val="24"/>
        </w:rPr>
        <w:t>.</w:t>
      </w:r>
      <w:r w:rsidR="006A6B12" w:rsidRPr="00D42A8E">
        <w:rPr>
          <w:rFonts w:ascii="Times New Roman" w:hAnsi="Times New Roman" w:cs="Times New Roman"/>
          <w:sz w:val="24"/>
          <w:szCs w:val="24"/>
        </w:rPr>
        <w:t xml:space="preserve"> </w:t>
      </w:r>
      <w:r w:rsidRPr="00D42A8E">
        <w:rPr>
          <w:rFonts w:ascii="Times New Roman" w:hAnsi="Times New Roman" w:cs="Times New Roman"/>
          <w:sz w:val="24"/>
          <w:szCs w:val="24"/>
        </w:rPr>
        <w:t>The total basal area range</w:t>
      </w:r>
      <w:r w:rsidR="00270D92">
        <w:rPr>
          <w:rFonts w:ascii="Times New Roman" w:hAnsi="Times New Roman" w:cs="Times New Roman"/>
          <w:sz w:val="24"/>
          <w:szCs w:val="24"/>
        </w:rPr>
        <w:t xml:space="preserve"> </w:t>
      </w:r>
      <w:r w:rsidR="006A6B12">
        <w:rPr>
          <w:rFonts w:ascii="Times New Roman" w:hAnsi="Times New Roman" w:cs="Times New Roman"/>
          <w:sz w:val="24"/>
          <w:szCs w:val="24"/>
        </w:rPr>
        <w:t xml:space="preserve">at subplot scale within </w:t>
      </w:r>
      <w:r w:rsidRPr="00D42A8E">
        <w:rPr>
          <w:rFonts w:ascii="Times New Roman" w:hAnsi="Times New Roman" w:cs="Times New Roman"/>
          <w:sz w:val="24"/>
          <w:szCs w:val="24"/>
        </w:rPr>
        <w:t>the dataset (each 20 m × 20 m subplot forming one data point) was 0-102 m</w:t>
      </w:r>
      <w:r w:rsidRPr="00D42A8E">
        <w:rPr>
          <w:rFonts w:ascii="Times New Roman" w:hAnsi="Times New Roman" w:cs="Times New Roman"/>
          <w:sz w:val="24"/>
          <w:szCs w:val="24"/>
          <w:vertAlign w:val="superscript"/>
        </w:rPr>
        <w:t>2</w:t>
      </w:r>
      <w:r w:rsidRPr="00D42A8E">
        <w:rPr>
          <w:rFonts w:ascii="Times New Roman" w:hAnsi="Times New Roman" w:cs="Times New Roman"/>
          <w:sz w:val="24"/>
          <w:szCs w:val="24"/>
        </w:rPr>
        <w:t xml:space="preserve"> ha</w:t>
      </w:r>
      <w:r w:rsidRPr="00D42A8E">
        <w:rPr>
          <w:rFonts w:ascii="Times New Roman" w:hAnsi="Times New Roman" w:cs="Times New Roman"/>
          <w:sz w:val="24"/>
          <w:szCs w:val="24"/>
          <w:vertAlign w:val="superscript"/>
        </w:rPr>
        <w:t>-1</w:t>
      </w:r>
      <w:r w:rsidRPr="00D42A8E">
        <w:rPr>
          <w:rFonts w:ascii="Times New Roman" w:hAnsi="Times New Roman" w:cs="Times New Roman"/>
          <w:sz w:val="24"/>
          <w:szCs w:val="24"/>
        </w:rPr>
        <w:t>, and the overlapping basal area range for logged and old-growth forest was of 7-51 m</w:t>
      </w:r>
      <w:r w:rsidRPr="00D42A8E">
        <w:rPr>
          <w:rFonts w:ascii="Times New Roman" w:hAnsi="Times New Roman" w:cs="Times New Roman"/>
          <w:sz w:val="24"/>
          <w:szCs w:val="24"/>
          <w:vertAlign w:val="superscript"/>
        </w:rPr>
        <w:t>2</w:t>
      </w:r>
      <w:r w:rsidRPr="00D42A8E">
        <w:rPr>
          <w:rFonts w:ascii="Times New Roman" w:hAnsi="Times New Roman" w:cs="Times New Roman"/>
          <w:sz w:val="24"/>
          <w:szCs w:val="24"/>
        </w:rPr>
        <w:t xml:space="preserve"> ha</w:t>
      </w:r>
      <w:r w:rsidRPr="00D42A8E">
        <w:rPr>
          <w:rFonts w:ascii="Times New Roman" w:hAnsi="Times New Roman" w:cs="Times New Roman"/>
          <w:sz w:val="24"/>
          <w:szCs w:val="24"/>
          <w:vertAlign w:val="superscript"/>
        </w:rPr>
        <w:t>-1</w:t>
      </w:r>
      <w:r w:rsidRPr="00D42A8E">
        <w:rPr>
          <w:rFonts w:ascii="Times New Roman" w:hAnsi="Times New Roman" w:cs="Times New Roman"/>
          <w:sz w:val="24"/>
          <w:szCs w:val="24"/>
        </w:rPr>
        <w:t xml:space="preserve">. For the overlapping range, we assumed that the structure effect caused no variation in NPP between the forest types. Therefore, the difference in total NPP between the forest types within that range was used as an estimate for </w:t>
      </w:r>
      <w:r w:rsidR="00356617">
        <w:rPr>
          <w:rFonts w:ascii="Times New Roman" w:hAnsi="Times New Roman" w:cs="Times New Roman"/>
          <w:sz w:val="24"/>
          <w:szCs w:val="24"/>
        </w:rPr>
        <w:t xml:space="preserve">the </w:t>
      </w:r>
      <w:r w:rsidRPr="00D42A8E">
        <w:rPr>
          <w:rFonts w:ascii="Times New Roman" w:hAnsi="Times New Roman" w:cs="Times New Roman"/>
          <w:sz w:val="24"/>
          <w:szCs w:val="24"/>
        </w:rPr>
        <w:t>productivity effect. The difference in total NPP at the non-overlapping basal area range (&lt;7 m</w:t>
      </w:r>
      <w:r w:rsidRPr="00D42A8E">
        <w:rPr>
          <w:rFonts w:ascii="Times New Roman" w:hAnsi="Times New Roman" w:cs="Times New Roman"/>
          <w:sz w:val="24"/>
          <w:szCs w:val="24"/>
          <w:vertAlign w:val="superscript"/>
        </w:rPr>
        <w:t>2</w:t>
      </w:r>
      <w:r w:rsidRPr="00D42A8E">
        <w:rPr>
          <w:rFonts w:ascii="Times New Roman" w:hAnsi="Times New Roman" w:cs="Times New Roman"/>
          <w:sz w:val="24"/>
          <w:szCs w:val="24"/>
        </w:rPr>
        <w:t xml:space="preserve"> ha</w:t>
      </w:r>
      <w:r w:rsidRPr="00D42A8E">
        <w:rPr>
          <w:rFonts w:ascii="Times New Roman" w:hAnsi="Times New Roman" w:cs="Times New Roman"/>
          <w:sz w:val="24"/>
          <w:szCs w:val="24"/>
          <w:vertAlign w:val="superscript"/>
        </w:rPr>
        <w:t>-1</w:t>
      </w:r>
      <w:r w:rsidRPr="00D42A8E">
        <w:rPr>
          <w:rFonts w:ascii="Times New Roman" w:hAnsi="Times New Roman" w:cs="Times New Roman"/>
          <w:sz w:val="24"/>
          <w:szCs w:val="24"/>
        </w:rPr>
        <w:t xml:space="preserve"> or &gt;51 m</w:t>
      </w:r>
      <w:r w:rsidRPr="00D42A8E">
        <w:rPr>
          <w:rFonts w:ascii="Times New Roman" w:hAnsi="Times New Roman" w:cs="Times New Roman"/>
          <w:sz w:val="24"/>
          <w:szCs w:val="24"/>
          <w:vertAlign w:val="superscript"/>
        </w:rPr>
        <w:t>2</w:t>
      </w:r>
      <w:r w:rsidRPr="00D42A8E">
        <w:rPr>
          <w:rFonts w:ascii="Times New Roman" w:hAnsi="Times New Roman" w:cs="Times New Roman"/>
          <w:sz w:val="24"/>
          <w:szCs w:val="24"/>
        </w:rPr>
        <w:t xml:space="preserve"> ha</w:t>
      </w:r>
      <w:r w:rsidRPr="00D42A8E">
        <w:rPr>
          <w:rFonts w:ascii="Times New Roman" w:hAnsi="Times New Roman" w:cs="Times New Roman"/>
          <w:sz w:val="24"/>
          <w:szCs w:val="24"/>
          <w:vertAlign w:val="superscript"/>
        </w:rPr>
        <w:t>-1</w:t>
      </w:r>
      <w:r w:rsidRPr="00D42A8E">
        <w:rPr>
          <w:rFonts w:ascii="Times New Roman" w:hAnsi="Times New Roman" w:cs="Times New Roman"/>
          <w:sz w:val="24"/>
          <w:szCs w:val="24"/>
        </w:rPr>
        <w:t>) was used as an estimate</w:t>
      </w:r>
      <w:r w:rsidRPr="00BE3BC6">
        <w:rPr>
          <w:rFonts w:ascii="Times New Roman" w:hAnsi="Times New Roman" w:cs="Times New Roman"/>
          <w:sz w:val="24"/>
          <w:szCs w:val="24"/>
        </w:rPr>
        <w:t xml:space="preserve"> for </w:t>
      </w:r>
      <w:r>
        <w:rPr>
          <w:rFonts w:ascii="Times New Roman" w:hAnsi="Times New Roman" w:cs="Times New Roman"/>
          <w:sz w:val="24"/>
          <w:szCs w:val="24"/>
        </w:rPr>
        <w:t xml:space="preserve">the structure </w:t>
      </w:r>
      <w:r w:rsidRPr="00BE3BC6">
        <w:rPr>
          <w:rFonts w:ascii="Times New Roman" w:hAnsi="Times New Roman" w:cs="Times New Roman"/>
          <w:sz w:val="24"/>
          <w:szCs w:val="24"/>
        </w:rPr>
        <w:t>effect. At the NPP component (canopy, woody and fine root) scale, a</w:t>
      </w:r>
      <w:r>
        <w:rPr>
          <w:rFonts w:ascii="Times New Roman" w:hAnsi="Times New Roman" w:cs="Times New Roman"/>
          <w:sz w:val="24"/>
          <w:szCs w:val="24"/>
        </w:rPr>
        <w:t>llocation effect</w:t>
      </w:r>
      <w:r w:rsidRPr="00BE3BC6">
        <w:rPr>
          <w:rFonts w:ascii="Times New Roman" w:hAnsi="Times New Roman" w:cs="Times New Roman"/>
          <w:sz w:val="24"/>
          <w:szCs w:val="24"/>
        </w:rPr>
        <w:t xml:space="preserve"> had </w:t>
      </w:r>
      <w:r>
        <w:rPr>
          <w:rFonts w:ascii="Times New Roman" w:hAnsi="Times New Roman" w:cs="Times New Roman"/>
          <w:sz w:val="24"/>
          <w:szCs w:val="24"/>
        </w:rPr>
        <w:t>to be taken into account</w:t>
      </w:r>
      <w:r w:rsidRPr="00BE3BC6">
        <w:rPr>
          <w:rFonts w:ascii="Times New Roman" w:hAnsi="Times New Roman" w:cs="Times New Roman"/>
          <w:sz w:val="24"/>
          <w:szCs w:val="24"/>
        </w:rPr>
        <w:t>, in addi</w:t>
      </w:r>
      <w:r>
        <w:rPr>
          <w:rFonts w:ascii="Times New Roman" w:hAnsi="Times New Roman" w:cs="Times New Roman"/>
          <w:sz w:val="24"/>
          <w:szCs w:val="24"/>
        </w:rPr>
        <w:t>tion to the productivity and structure</w:t>
      </w:r>
      <w:r w:rsidRPr="00BE3BC6">
        <w:rPr>
          <w:rFonts w:ascii="Times New Roman" w:hAnsi="Times New Roman" w:cs="Times New Roman"/>
          <w:sz w:val="24"/>
          <w:szCs w:val="24"/>
        </w:rPr>
        <w:t xml:space="preserve"> effect</w:t>
      </w:r>
      <w:r>
        <w:rPr>
          <w:rFonts w:ascii="Times New Roman" w:hAnsi="Times New Roman" w:cs="Times New Roman"/>
          <w:sz w:val="24"/>
          <w:szCs w:val="24"/>
        </w:rPr>
        <w:t>s</w:t>
      </w:r>
      <w:r w:rsidRPr="00BE3BC6">
        <w:rPr>
          <w:rFonts w:ascii="Times New Roman" w:hAnsi="Times New Roman" w:cs="Times New Roman"/>
          <w:sz w:val="24"/>
          <w:szCs w:val="24"/>
        </w:rPr>
        <w:t>. The</w:t>
      </w:r>
      <w:r>
        <w:rPr>
          <w:rFonts w:ascii="Times New Roman" w:hAnsi="Times New Roman" w:cs="Times New Roman"/>
          <w:sz w:val="24"/>
          <w:szCs w:val="24"/>
        </w:rPr>
        <w:t xml:space="preserve"> allocation effect was</w:t>
      </w:r>
      <w:r w:rsidRPr="00BE3BC6">
        <w:rPr>
          <w:rFonts w:ascii="Times New Roman" w:hAnsi="Times New Roman" w:cs="Times New Roman"/>
          <w:sz w:val="24"/>
          <w:szCs w:val="24"/>
        </w:rPr>
        <w:t xml:space="preserve"> quantified by comparing the differences in NPP with observed allocation and assuming no difference in allocation (logged forest canopy, woody and fine root NPP recalculated</w:t>
      </w:r>
      <w:r>
        <w:rPr>
          <w:rFonts w:ascii="Times New Roman" w:hAnsi="Times New Roman" w:cs="Times New Roman"/>
          <w:sz w:val="24"/>
          <w:szCs w:val="24"/>
        </w:rPr>
        <w:t>,</w:t>
      </w:r>
      <w:r w:rsidRPr="00BE3BC6">
        <w:rPr>
          <w:rFonts w:ascii="Times New Roman" w:hAnsi="Times New Roman" w:cs="Times New Roman"/>
          <w:sz w:val="24"/>
          <w:szCs w:val="24"/>
        </w:rPr>
        <w:t xml:space="preserve"> assuming the observed logged forest total NPP, but old-growth forest allocation pattern). </w:t>
      </w:r>
      <w:r>
        <w:rPr>
          <w:rFonts w:ascii="Times New Roman" w:hAnsi="Times New Roman" w:cs="Times New Roman"/>
          <w:sz w:val="24"/>
          <w:szCs w:val="24"/>
        </w:rPr>
        <w:t>In these analyses, old-growth forest was used as reference, against which the effects of logging were quantified</w:t>
      </w:r>
      <w:r w:rsidRPr="00D368B1">
        <w:rPr>
          <w:rFonts w:ascii="Times New Roman" w:hAnsi="Times New Roman" w:cs="Times New Roman"/>
          <w:sz w:val="24"/>
          <w:szCs w:val="24"/>
        </w:rPr>
        <w:t>.</w:t>
      </w:r>
      <w:r>
        <w:rPr>
          <w:rFonts w:ascii="Times New Roman" w:hAnsi="Times New Roman" w:cs="Times New Roman"/>
          <w:sz w:val="24"/>
          <w:szCs w:val="24"/>
        </w:rPr>
        <w:t xml:space="preserve"> The area proportions of the overlapping and non-overlapping basal area zones were taken into account when calculating the overall importance of the productivity, allocation and structure effects.</w:t>
      </w:r>
    </w:p>
    <w:p w14:paraId="759F6455" w14:textId="77777777"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lastRenderedPageBreak/>
        <w:t xml:space="preserve">NPP along </w:t>
      </w:r>
      <w:r>
        <w:rPr>
          <w:rFonts w:ascii="Times New Roman" w:hAnsi="Times New Roman" w:cs="Times New Roman"/>
          <w:sz w:val="24"/>
          <w:szCs w:val="24"/>
        </w:rPr>
        <w:t xml:space="preserve">the basal area gradient </w:t>
      </w:r>
      <w:r w:rsidRPr="00BE3BC6">
        <w:rPr>
          <w:rFonts w:ascii="Times New Roman" w:hAnsi="Times New Roman" w:cs="Times New Roman"/>
          <w:sz w:val="24"/>
          <w:szCs w:val="24"/>
        </w:rPr>
        <w:t>was modelled using a general additive mixed effects model (GAMM), with basal area of trees &gt;10 cm DBH as an additive smoother and plot as a random effect. The data followed</w:t>
      </w:r>
      <w:r>
        <w:rPr>
          <w:rFonts w:ascii="Times New Roman" w:hAnsi="Times New Roman" w:cs="Times New Roman"/>
          <w:sz w:val="24"/>
          <w:szCs w:val="24"/>
        </w:rPr>
        <w:t xml:space="preserve"> a</w:t>
      </w:r>
      <w:r w:rsidRPr="00BE3BC6">
        <w:rPr>
          <w:rFonts w:ascii="Times New Roman" w:hAnsi="Times New Roman" w:cs="Times New Roman"/>
          <w:sz w:val="24"/>
          <w:szCs w:val="24"/>
        </w:rPr>
        <w:t xml:space="preserve"> gamma distribution (NPP values are non-negative, variance increases with increasing mean). </w:t>
      </w:r>
      <w:r>
        <w:rPr>
          <w:rFonts w:ascii="Times New Roman" w:hAnsi="Times New Roman" w:cs="Times New Roman"/>
          <w:sz w:val="24"/>
          <w:szCs w:val="24"/>
        </w:rPr>
        <w:t xml:space="preserve">The models were run using R </w:t>
      </w:r>
      <w:r w:rsidRPr="00BE3BC6">
        <w:rPr>
          <w:rFonts w:ascii="Times New Roman" w:hAnsi="Times New Roman" w:cs="Times New Roman"/>
          <w:sz w:val="24"/>
          <w:szCs w:val="24"/>
        </w:rPr>
        <w:t xml:space="preserve">packages ‘nlme’ </w:t>
      </w:r>
      <w:r>
        <w:rPr>
          <w:rFonts w:ascii="Times New Roman" w:hAnsi="Times New Roman" w:cs="Times New Roman"/>
          <w:noProof/>
          <w:sz w:val="24"/>
          <w:szCs w:val="24"/>
        </w:rPr>
        <w:t>(Pinheiro</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2014)</w:t>
      </w:r>
      <w:r w:rsidRPr="00BE3BC6">
        <w:rPr>
          <w:rFonts w:ascii="Times New Roman" w:hAnsi="Times New Roman" w:cs="Times New Roman"/>
          <w:sz w:val="24"/>
          <w:szCs w:val="24"/>
        </w:rPr>
        <w:t xml:space="preserve"> and ‘mgcv’ </w:t>
      </w:r>
      <w:r>
        <w:rPr>
          <w:rFonts w:ascii="Times New Roman" w:hAnsi="Times New Roman" w:cs="Times New Roman"/>
          <w:noProof/>
          <w:sz w:val="24"/>
          <w:szCs w:val="24"/>
        </w:rPr>
        <w:t>(Wood, 2011)</w:t>
      </w:r>
      <w:r w:rsidRPr="00BE3BC6">
        <w:rPr>
          <w:rFonts w:ascii="Times New Roman" w:hAnsi="Times New Roman" w:cs="Times New Roman"/>
          <w:sz w:val="24"/>
          <w:szCs w:val="24"/>
        </w:rPr>
        <w:t xml:space="preserve">, following the protocols outlined by </w:t>
      </w:r>
      <w:r>
        <w:rPr>
          <w:rFonts w:ascii="Times New Roman" w:hAnsi="Times New Roman" w:cs="Times New Roman"/>
          <w:noProof/>
          <w:sz w:val="24"/>
          <w:szCs w:val="24"/>
        </w:rPr>
        <w:t>Zuur</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xml:space="preserve"> (2009)</w:t>
      </w:r>
      <w:r w:rsidRPr="00BE3BC6">
        <w:rPr>
          <w:rFonts w:ascii="Times New Roman" w:hAnsi="Times New Roman" w:cs="Times New Roman"/>
          <w:sz w:val="24"/>
          <w:szCs w:val="24"/>
        </w:rPr>
        <w:t xml:space="preserve">. We compared models with </w:t>
      </w:r>
      <w:r>
        <w:rPr>
          <w:rFonts w:ascii="Times New Roman" w:hAnsi="Times New Roman" w:cs="Times New Roman"/>
          <w:sz w:val="24"/>
          <w:szCs w:val="24"/>
        </w:rPr>
        <w:t xml:space="preserve">a single overall </w:t>
      </w:r>
      <w:r w:rsidRPr="00BE3BC6">
        <w:rPr>
          <w:rFonts w:ascii="Times New Roman" w:hAnsi="Times New Roman" w:cs="Times New Roman"/>
          <w:sz w:val="24"/>
          <w:szCs w:val="24"/>
        </w:rPr>
        <w:t xml:space="preserve">smoother or a separate smoother by forest type, and the best model in each case was chosen using </w:t>
      </w:r>
      <w:r>
        <w:rPr>
          <w:rFonts w:ascii="Times New Roman" w:hAnsi="Times New Roman" w:cs="Times New Roman"/>
          <w:sz w:val="24"/>
          <w:szCs w:val="24"/>
        </w:rPr>
        <w:t xml:space="preserve">an </w:t>
      </w:r>
      <w:r w:rsidRPr="00BE3BC6">
        <w:rPr>
          <w:rFonts w:ascii="Times New Roman" w:hAnsi="Times New Roman" w:cs="Times New Roman"/>
          <w:sz w:val="24"/>
          <w:szCs w:val="24"/>
        </w:rPr>
        <w:t>information theoretic approach (Burnham and Anderson 2002) by comparing the possible models using Akaike’s Information Criterion (Akaike 1974), corrected for small sample sizes (AIC</w:t>
      </w:r>
      <w:r w:rsidRPr="00BE3BC6">
        <w:rPr>
          <w:rFonts w:ascii="Times New Roman" w:hAnsi="Times New Roman" w:cs="Times New Roman"/>
          <w:sz w:val="24"/>
          <w:szCs w:val="24"/>
          <w:vertAlign w:val="subscript"/>
        </w:rPr>
        <w:t>C</w:t>
      </w:r>
      <w:r w:rsidRPr="00BE3BC6">
        <w:rPr>
          <w:rFonts w:ascii="Times New Roman" w:hAnsi="Times New Roman" w:cs="Times New Roman"/>
          <w:sz w:val="24"/>
          <w:szCs w:val="24"/>
        </w:rPr>
        <w:t xml:space="preserve">) </w:t>
      </w:r>
      <w:r>
        <w:rPr>
          <w:rFonts w:ascii="Times New Roman" w:hAnsi="Times New Roman" w:cs="Times New Roman"/>
          <w:noProof/>
          <w:sz w:val="24"/>
          <w:szCs w:val="24"/>
        </w:rPr>
        <w:t>(R package 'AICcmodavg'; Mazerolle, 2015)</w:t>
      </w:r>
      <w:r w:rsidRPr="00BE3BC6">
        <w:rPr>
          <w:rFonts w:ascii="Times New Roman" w:hAnsi="Times New Roman" w:cs="Times New Roman"/>
          <w:sz w:val="24"/>
          <w:szCs w:val="24"/>
        </w:rPr>
        <w:t>.</w:t>
      </w:r>
    </w:p>
    <w:p w14:paraId="7ED919B2" w14:textId="26B8F83F" w:rsidR="00914113" w:rsidRPr="00BE3BC6" w:rsidRDefault="00914113" w:rsidP="00D061BC">
      <w:pPr>
        <w:spacing w:line="480" w:lineRule="auto"/>
        <w:rPr>
          <w:rFonts w:ascii="Times New Roman" w:hAnsi="Times New Roman" w:cs="Times New Roman"/>
          <w:sz w:val="24"/>
          <w:szCs w:val="24"/>
        </w:rPr>
      </w:pPr>
      <w:r>
        <w:rPr>
          <w:rFonts w:ascii="Times New Roman" w:hAnsi="Times New Roman" w:cs="Times New Roman"/>
          <w:sz w:val="24"/>
          <w:szCs w:val="24"/>
        </w:rPr>
        <w:t xml:space="preserve">To assess </w:t>
      </w:r>
      <w:r w:rsidR="00356617">
        <w:rPr>
          <w:rFonts w:ascii="Times New Roman" w:hAnsi="Times New Roman" w:cs="Times New Roman"/>
          <w:sz w:val="24"/>
          <w:szCs w:val="24"/>
        </w:rPr>
        <w:t xml:space="preserve">the </w:t>
      </w:r>
      <w:r>
        <w:rPr>
          <w:rFonts w:ascii="Times New Roman" w:hAnsi="Times New Roman" w:cs="Times New Roman"/>
          <w:sz w:val="24"/>
          <w:szCs w:val="24"/>
        </w:rPr>
        <w:t xml:space="preserve">extent </w:t>
      </w:r>
      <w:r w:rsidR="00356617">
        <w:rPr>
          <w:rFonts w:ascii="Times New Roman" w:hAnsi="Times New Roman" w:cs="Times New Roman"/>
          <w:sz w:val="24"/>
          <w:szCs w:val="24"/>
        </w:rPr>
        <w:t xml:space="preserve">to which </w:t>
      </w:r>
      <w:r>
        <w:rPr>
          <w:rFonts w:ascii="Times New Roman" w:hAnsi="Times New Roman" w:cs="Times New Roman"/>
          <w:sz w:val="24"/>
          <w:szCs w:val="24"/>
        </w:rPr>
        <w:t xml:space="preserve">the difference in logged forest and old-growth forest NPP were  caused by tree species turnover, the species were classified into shared (present in both logged and old-growth plots) and unique (present in only one forest type) species and into pioneers and non-pioneers </w:t>
      </w:r>
      <w:r w:rsidRPr="001A532E">
        <w:rPr>
          <w:rFonts w:ascii="Times New Roman" w:hAnsi="Times New Roman" w:cs="Times New Roman"/>
          <w:sz w:val="24"/>
          <w:szCs w:val="24"/>
        </w:rPr>
        <w:t>(Table S1)</w:t>
      </w:r>
      <w:r>
        <w:rPr>
          <w:rFonts w:ascii="Times New Roman" w:hAnsi="Times New Roman" w:cs="Times New Roman"/>
          <w:sz w:val="24"/>
          <w:szCs w:val="24"/>
        </w:rPr>
        <w:t>. We then compared the woody NPP by these species groups (mixed effects model with the group as a fixed factor, diameter as a covariate and plot as a random effect), and the relationship between the pioneer basal area and pioneer woody NPP at each plot and subplot. The number of pioneer stems in the old-growth plots (n=11 for all six plots combined, &lt;1% of the stems) was too small to be included in the analysis. Note that the canopy NPP and fine root NPP cannot be partitioned into species groups due to method constraints – several species contribute to the values derived from each spatial replicate (litter traps and root in-growth cores).</w:t>
      </w:r>
    </w:p>
    <w:p w14:paraId="69BBB593" w14:textId="77777777"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 </w:t>
      </w:r>
    </w:p>
    <w:p w14:paraId="6131C89A"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RESULTS</w:t>
      </w:r>
    </w:p>
    <w:p w14:paraId="4DE9B3FB"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Carbon stocks and forest structure</w:t>
      </w:r>
    </w:p>
    <w:p w14:paraId="19AA7D93" w14:textId="74962EB0" w:rsidR="00914113" w:rsidRPr="00BE3BC6"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lastRenderedPageBreak/>
        <w:t>Logged forest plots had</w:t>
      </w:r>
      <w:r>
        <w:rPr>
          <w:rFonts w:ascii="Times New Roman" w:hAnsi="Times New Roman" w:cs="Times New Roman"/>
          <w:sz w:val="24"/>
          <w:szCs w:val="24"/>
        </w:rPr>
        <w:t xml:space="preserve"> much</w:t>
      </w:r>
      <w:r w:rsidRPr="00BE3BC6">
        <w:rPr>
          <w:rFonts w:ascii="Times New Roman" w:hAnsi="Times New Roman" w:cs="Times New Roman"/>
          <w:sz w:val="24"/>
          <w:szCs w:val="24"/>
        </w:rPr>
        <w:t xml:space="preserve"> lower woody biomass (above-ground woody + coarse root biomass) than old-growth forest plots, 87±15 </w:t>
      </w:r>
      <w:r w:rsidRPr="001C40E9">
        <w:rPr>
          <w:rFonts w:ascii="Times New Roman" w:hAnsi="Times New Roman" w:cs="Times New Roman"/>
          <w:sz w:val="24"/>
          <w:szCs w:val="24"/>
        </w:rPr>
        <w:t>vs. 268±34 Mg C ha</w:t>
      </w:r>
      <w:r w:rsidRPr="001C40E9">
        <w:rPr>
          <w:rFonts w:ascii="Times New Roman" w:hAnsi="Times New Roman" w:cs="Times New Roman"/>
          <w:sz w:val="24"/>
          <w:szCs w:val="24"/>
          <w:vertAlign w:val="superscript"/>
        </w:rPr>
        <w:t>-1</w:t>
      </w:r>
      <w:r w:rsidRPr="001C40E9">
        <w:rPr>
          <w:rFonts w:ascii="Times New Roman" w:hAnsi="Times New Roman" w:cs="Times New Roman"/>
          <w:sz w:val="24"/>
          <w:szCs w:val="24"/>
        </w:rPr>
        <w:t>, respectively (Fig. 1).  In the moderately logged plots the smaller biomass was mainly due to the absence of large (&gt;50 cm DBH) stems. However, in the most heavily logged plots the biomass was markedly lower across all diameter classes (Fig. 2; Fig. S</w:t>
      </w:r>
      <w:r w:rsidR="009F1B2B">
        <w:rPr>
          <w:rFonts w:ascii="Times New Roman" w:hAnsi="Times New Roman" w:cs="Times New Roman"/>
          <w:sz w:val="24"/>
          <w:szCs w:val="24"/>
        </w:rPr>
        <w:t>4</w:t>
      </w:r>
      <w:r w:rsidRPr="001C40E9">
        <w:rPr>
          <w:rFonts w:ascii="Times New Roman" w:hAnsi="Times New Roman" w:cs="Times New Roman"/>
          <w:sz w:val="24"/>
          <w:szCs w:val="24"/>
        </w:rPr>
        <w:t xml:space="preserve">). </w:t>
      </w:r>
      <w:r w:rsidR="004032F9">
        <w:rPr>
          <w:rFonts w:ascii="Times New Roman" w:hAnsi="Times New Roman" w:cs="Times New Roman"/>
          <w:sz w:val="24"/>
          <w:szCs w:val="24"/>
        </w:rPr>
        <w:t>In contrast, t</w:t>
      </w:r>
      <w:r w:rsidRPr="001C40E9">
        <w:rPr>
          <w:rFonts w:ascii="Times New Roman" w:hAnsi="Times New Roman" w:cs="Times New Roman"/>
          <w:sz w:val="24"/>
          <w:szCs w:val="24"/>
        </w:rPr>
        <w:t>he mean pre-logging (1970s) biomass of the logged forest was similar to the current biomass in the old-growth forest (F</w:t>
      </w:r>
      <w:r w:rsidRPr="001C40E9">
        <w:rPr>
          <w:rFonts w:ascii="Times New Roman" w:hAnsi="Times New Roman" w:cs="Times New Roman"/>
          <w:sz w:val="24"/>
          <w:szCs w:val="24"/>
          <w:vertAlign w:val="subscript"/>
        </w:rPr>
        <w:t>1,9</w:t>
      </w:r>
      <w:r w:rsidRPr="001C40E9">
        <w:rPr>
          <w:rFonts w:ascii="Times New Roman" w:hAnsi="Times New Roman" w:cs="Times New Roman"/>
          <w:sz w:val="24"/>
          <w:szCs w:val="24"/>
        </w:rPr>
        <w:t>=274.3, p=0.745)</w:t>
      </w:r>
      <w:r w:rsidR="004032F9">
        <w:rPr>
          <w:rFonts w:ascii="Times New Roman" w:hAnsi="Times New Roman" w:cs="Times New Roman"/>
          <w:sz w:val="24"/>
          <w:szCs w:val="24"/>
        </w:rPr>
        <w:t>.</w:t>
      </w:r>
      <w:r w:rsidRPr="001C40E9">
        <w:rPr>
          <w:rFonts w:ascii="Times New Roman" w:hAnsi="Times New Roman" w:cs="Times New Roman"/>
          <w:sz w:val="24"/>
          <w:szCs w:val="24"/>
        </w:rPr>
        <w:t xml:space="preserve"> The partitioning of woody biomass between above and belowground components was similar in both forest types, with 20%±1.4% and 19% ±0.9%</w:t>
      </w:r>
      <w:r w:rsidRPr="00BE3BC6">
        <w:rPr>
          <w:rFonts w:ascii="Times New Roman" w:hAnsi="Times New Roman" w:cs="Times New Roman"/>
          <w:sz w:val="24"/>
          <w:szCs w:val="24"/>
        </w:rPr>
        <w:t xml:space="preserve"> </w:t>
      </w:r>
      <w:r>
        <w:rPr>
          <w:rFonts w:ascii="Times New Roman" w:hAnsi="Times New Roman" w:cs="Times New Roman"/>
          <w:sz w:val="24"/>
          <w:szCs w:val="24"/>
        </w:rPr>
        <w:t>partitioned</w:t>
      </w:r>
      <w:r w:rsidRPr="00BE3BC6">
        <w:rPr>
          <w:rFonts w:ascii="Times New Roman" w:hAnsi="Times New Roman" w:cs="Times New Roman"/>
          <w:sz w:val="24"/>
          <w:szCs w:val="24"/>
        </w:rPr>
        <w:t xml:space="preserve"> belowground in logged and old-growth forest, respectively. </w:t>
      </w:r>
    </w:p>
    <w:p w14:paraId="3CA03EA1" w14:textId="49023AD0" w:rsidR="00914113" w:rsidRPr="00BE3BC6" w:rsidRDefault="008007ED" w:rsidP="00D061BC">
      <w:pPr>
        <w:spacing w:line="480" w:lineRule="auto"/>
        <w:rPr>
          <w:rFonts w:ascii="Times New Roman" w:hAnsi="Times New Roman" w:cs="Times New Roman"/>
          <w:b/>
          <w:sz w:val="24"/>
          <w:szCs w:val="24"/>
        </w:rPr>
      </w:pPr>
      <w:r w:rsidRPr="008007ED">
        <w:rPr>
          <w:noProof/>
          <w:lang w:eastAsia="en-GB"/>
        </w:rPr>
        <w:drawing>
          <wp:inline distT="0" distB="0" distL="0" distR="0" wp14:anchorId="5FC24C68" wp14:editId="3297BF49">
            <wp:extent cx="5731510" cy="4850468"/>
            <wp:effectExtent l="0" t="0" r="254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850468"/>
                    </a:xfrm>
                    <a:prstGeom prst="rect">
                      <a:avLst/>
                    </a:prstGeom>
                    <a:noFill/>
                    <a:ln>
                      <a:noFill/>
                    </a:ln>
                  </pic:spPr>
                </pic:pic>
              </a:graphicData>
            </a:graphic>
          </wp:inline>
        </w:drawing>
      </w:r>
    </w:p>
    <w:p w14:paraId="6A8F723D" w14:textId="2DA06DDC" w:rsidR="00914113" w:rsidRPr="00BE3BC6" w:rsidRDefault="00914113" w:rsidP="00D061BC">
      <w:pPr>
        <w:spacing w:line="480" w:lineRule="auto"/>
        <w:rPr>
          <w:rFonts w:ascii="Times New Roman" w:hAnsi="Times New Roman" w:cs="Times New Roman"/>
          <w:sz w:val="24"/>
          <w:szCs w:val="24"/>
        </w:rPr>
      </w:pPr>
      <w:r w:rsidRPr="00ED3E78">
        <w:rPr>
          <w:rFonts w:ascii="Times New Roman" w:hAnsi="Times New Roman" w:cs="Times New Roman"/>
          <w:b/>
          <w:sz w:val="24"/>
          <w:szCs w:val="24"/>
        </w:rPr>
        <w:lastRenderedPageBreak/>
        <w:t xml:space="preserve">Figure 1. </w:t>
      </w:r>
      <w:r w:rsidRPr="00ED3E78">
        <w:rPr>
          <w:rFonts w:ascii="Times New Roman" w:hAnsi="Times New Roman" w:cs="Times New Roman"/>
          <w:sz w:val="24"/>
          <w:szCs w:val="24"/>
        </w:rPr>
        <w:t>Above</w:t>
      </w:r>
      <w:r w:rsidRPr="00BE3BC6">
        <w:rPr>
          <w:rFonts w:ascii="Times New Roman" w:hAnsi="Times New Roman" w:cs="Times New Roman"/>
          <w:sz w:val="24"/>
          <w:szCs w:val="24"/>
        </w:rPr>
        <w:t xml:space="preserve">-ground woody biomass (positive values) and coarse root biomass (negative values) of living </w:t>
      </w:r>
      <w:r>
        <w:rPr>
          <w:rFonts w:ascii="Times New Roman" w:hAnsi="Times New Roman" w:cs="Times New Roman"/>
          <w:sz w:val="24"/>
          <w:szCs w:val="24"/>
        </w:rPr>
        <w:t>stems</w:t>
      </w:r>
      <w:r w:rsidRPr="00BE3BC6">
        <w:rPr>
          <w:rFonts w:ascii="Times New Roman" w:hAnsi="Times New Roman" w:cs="Times New Roman"/>
          <w:sz w:val="24"/>
          <w:szCs w:val="24"/>
        </w:rPr>
        <w:t xml:space="preserve"> in logged and old-growth plots.</w:t>
      </w:r>
      <w:r>
        <w:rPr>
          <w:rFonts w:ascii="Times New Roman" w:hAnsi="Times New Roman" w:cs="Times New Roman"/>
          <w:sz w:val="24"/>
          <w:szCs w:val="24"/>
        </w:rPr>
        <w:t xml:space="preserve"> Error bars are ±</w:t>
      </w:r>
      <w:r w:rsidRPr="00BE3BC6">
        <w:rPr>
          <w:rFonts w:ascii="Times New Roman" w:hAnsi="Times New Roman" w:cs="Times New Roman"/>
          <w:sz w:val="24"/>
          <w:szCs w:val="24"/>
        </w:rPr>
        <w:t>1 SE.</w:t>
      </w:r>
      <w:r>
        <w:rPr>
          <w:rFonts w:ascii="Times New Roman" w:hAnsi="Times New Roman" w:cs="Times New Roman"/>
          <w:sz w:val="24"/>
          <w:szCs w:val="24"/>
        </w:rPr>
        <w:t xml:space="preserve"> The white bars for the logged plots denote the pre-logging biomass in </w:t>
      </w:r>
      <w:r w:rsidR="00FE62AF">
        <w:rPr>
          <w:rFonts w:ascii="Times New Roman" w:hAnsi="Times New Roman" w:cs="Times New Roman"/>
          <w:sz w:val="24"/>
          <w:szCs w:val="24"/>
        </w:rPr>
        <w:t xml:space="preserve">the </w:t>
      </w:r>
      <w:r>
        <w:rPr>
          <w:rFonts w:ascii="Times New Roman" w:hAnsi="Times New Roman" w:cs="Times New Roman"/>
          <w:sz w:val="24"/>
          <w:szCs w:val="24"/>
        </w:rPr>
        <w:t>1970s, obtained from historical records, ±20% uncertainty (below-ground stock estimated assuming the same allocation as post-logging)</w:t>
      </w:r>
      <w:r w:rsidRPr="00BE3BC6">
        <w:rPr>
          <w:rFonts w:ascii="Times New Roman" w:hAnsi="Times New Roman" w:cs="Times New Roman"/>
          <w:sz w:val="24"/>
          <w:szCs w:val="24"/>
        </w:rPr>
        <w:t>.</w:t>
      </w:r>
    </w:p>
    <w:p w14:paraId="1C1E8081" w14:textId="77777777" w:rsidR="00914113" w:rsidRDefault="00914113" w:rsidP="00D061BC">
      <w:pPr>
        <w:spacing w:line="480" w:lineRule="auto"/>
        <w:rPr>
          <w:rFonts w:ascii="Times New Roman" w:hAnsi="Times New Roman" w:cs="Times New Roman"/>
          <w:b/>
          <w:sz w:val="24"/>
          <w:szCs w:val="24"/>
        </w:rPr>
      </w:pPr>
      <w:r w:rsidRPr="008B7EDD">
        <w:rPr>
          <w:noProof/>
          <w:lang w:eastAsia="en-GB"/>
        </w:rPr>
        <w:lastRenderedPageBreak/>
        <w:drawing>
          <wp:inline distT="0" distB="0" distL="0" distR="0" wp14:anchorId="617E6873" wp14:editId="4979FB36">
            <wp:extent cx="4567152" cy="7286017"/>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67311" cy="7286270"/>
                    </a:xfrm>
                    <a:prstGeom prst="rect">
                      <a:avLst/>
                    </a:prstGeom>
                    <a:noFill/>
                    <a:ln>
                      <a:noFill/>
                    </a:ln>
                  </pic:spPr>
                </pic:pic>
              </a:graphicData>
            </a:graphic>
          </wp:inline>
        </w:drawing>
      </w:r>
    </w:p>
    <w:p w14:paraId="59348F62" w14:textId="431E4825" w:rsidR="00914113" w:rsidRDefault="00914113" w:rsidP="00D061BC">
      <w:pPr>
        <w:spacing w:line="480" w:lineRule="auto"/>
        <w:rPr>
          <w:rFonts w:ascii="Times New Roman" w:hAnsi="Times New Roman" w:cs="Times New Roman"/>
          <w:b/>
          <w:sz w:val="24"/>
          <w:szCs w:val="24"/>
        </w:rPr>
      </w:pPr>
      <w:r w:rsidRPr="00ED3E78">
        <w:rPr>
          <w:rFonts w:ascii="Times New Roman" w:hAnsi="Times New Roman" w:cs="Times New Roman"/>
          <w:b/>
          <w:sz w:val="24"/>
          <w:szCs w:val="24"/>
        </w:rPr>
        <w:t xml:space="preserve">Figure 2. a) </w:t>
      </w:r>
      <w:r w:rsidRPr="00ED3E78">
        <w:rPr>
          <w:rFonts w:ascii="Times New Roman" w:hAnsi="Times New Roman" w:cs="Times New Roman"/>
          <w:sz w:val="24"/>
          <w:szCs w:val="24"/>
        </w:rPr>
        <w:t>Diameter</w:t>
      </w:r>
      <w:r w:rsidRPr="00BE3BC6">
        <w:rPr>
          <w:rFonts w:ascii="Times New Roman" w:hAnsi="Times New Roman" w:cs="Times New Roman"/>
          <w:sz w:val="24"/>
          <w:szCs w:val="24"/>
        </w:rPr>
        <w:t xml:space="preserve"> distribution, </w:t>
      </w:r>
      <w:r w:rsidRPr="00BE3BC6">
        <w:rPr>
          <w:rFonts w:ascii="Times New Roman" w:hAnsi="Times New Roman" w:cs="Times New Roman"/>
          <w:b/>
          <w:sz w:val="24"/>
          <w:szCs w:val="24"/>
        </w:rPr>
        <w:t xml:space="preserve">b) </w:t>
      </w:r>
      <w:r w:rsidRPr="00BE3BC6">
        <w:rPr>
          <w:rFonts w:ascii="Times New Roman" w:hAnsi="Times New Roman" w:cs="Times New Roman"/>
          <w:sz w:val="24"/>
          <w:szCs w:val="24"/>
        </w:rPr>
        <w:t xml:space="preserve">above-ground woody biomass, and </w:t>
      </w:r>
      <w:r w:rsidRPr="00BE3BC6">
        <w:rPr>
          <w:rFonts w:ascii="Times New Roman" w:hAnsi="Times New Roman" w:cs="Times New Roman"/>
          <w:b/>
          <w:sz w:val="24"/>
          <w:szCs w:val="24"/>
        </w:rPr>
        <w:t xml:space="preserve">c) </w:t>
      </w:r>
      <w:r w:rsidRPr="00BE3BC6">
        <w:rPr>
          <w:rFonts w:ascii="Times New Roman" w:hAnsi="Times New Roman" w:cs="Times New Roman"/>
          <w:sz w:val="24"/>
          <w:szCs w:val="24"/>
        </w:rPr>
        <w:t>above-ground woody net primary productivity (</w:t>
      </w:r>
      <w:r w:rsidRPr="00DA7626">
        <w:rPr>
          <w:rFonts w:ascii="Times New Roman" w:hAnsi="Times New Roman" w:cs="Times New Roman"/>
          <w:sz w:val="24"/>
          <w:szCs w:val="24"/>
        </w:rPr>
        <w:t>AGW</w:t>
      </w:r>
      <w:r>
        <w:rPr>
          <w:rFonts w:ascii="Times New Roman" w:hAnsi="Times New Roman" w:cs="Times New Roman"/>
          <w:sz w:val="24"/>
          <w:szCs w:val="24"/>
        </w:rPr>
        <w:t xml:space="preserve"> NPP) by stem diameter class in</w:t>
      </w:r>
      <w:r w:rsidRPr="00BE3BC6">
        <w:rPr>
          <w:rFonts w:ascii="Times New Roman" w:hAnsi="Times New Roman" w:cs="Times New Roman"/>
          <w:sz w:val="24"/>
          <w:szCs w:val="24"/>
        </w:rPr>
        <w:t xml:space="preserve"> heavily logged </w:t>
      </w:r>
      <w:r w:rsidRPr="00BA4E1F">
        <w:rPr>
          <w:rFonts w:ascii="Times New Roman" w:hAnsi="Times New Roman" w:cs="Times New Roman"/>
          <w:sz w:val="24"/>
          <w:szCs w:val="24"/>
        </w:rPr>
        <w:t>(</w:t>
      </w:r>
      <w:r w:rsidR="00BA4E1F" w:rsidRPr="00BA4E1F">
        <w:rPr>
          <w:rFonts w:ascii="Times New Roman" w:hAnsi="Times New Roman" w:cs="Times New Roman"/>
          <w:sz w:val="24"/>
          <w:szCs w:val="24"/>
        </w:rPr>
        <w:t>SAF-01, SAF-02, SAF-05</w:t>
      </w:r>
      <w:r w:rsidRPr="00BA4E1F">
        <w:rPr>
          <w:rFonts w:ascii="Times New Roman" w:hAnsi="Times New Roman" w:cs="Times New Roman"/>
          <w:sz w:val="24"/>
          <w:szCs w:val="24"/>
        </w:rPr>
        <w:t>B South, B North, Tower), moderately logged (</w:t>
      </w:r>
      <w:r w:rsidR="00BA4E1F" w:rsidRPr="00BA4E1F">
        <w:rPr>
          <w:rFonts w:ascii="Times New Roman" w:hAnsi="Times New Roman" w:cs="Times New Roman"/>
          <w:sz w:val="24"/>
          <w:szCs w:val="24"/>
        </w:rPr>
        <w:t>SAF-03, SAF-04</w:t>
      </w:r>
      <w:r w:rsidRPr="00BA4E1F">
        <w:rPr>
          <w:rFonts w:ascii="Times New Roman" w:hAnsi="Times New Roman" w:cs="Times New Roman"/>
          <w:sz w:val="24"/>
          <w:szCs w:val="24"/>
        </w:rPr>
        <w:t>) and old-growth (</w:t>
      </w:r>
      <w:r w:rsidR="00BA4E1F" w:rsidRPr="00BA4E1F">
        <w:rPr>
          <w:rFonts w:ascii="Times New Roman" w:hAnsi="Times New Roman" w:cs="Times New Roman"/>
          <w:sz w:val="24"/>
          <w:szCs w:val="24"/>
        </w:rPr>
        <w:t>DAN-01</w:t>
      </w:r>
      <w:r w:rsidR="00BA4E1F">
        <w:rPr>
          <w:rFonts w:ascii="Times New Roman" w:hAnsi="Times New Roman" w:cs="Times New Roman"/>
          <w:sz w:val="24"/>
          <w:szCs w:val="24"/>
        </w:rPr>
        <w:t>, DAN-02, MLA-01, MLA-02, LAM-06</w:t>
      </w:r>
      <w:r w:rsidR="00BA4E1F" w:rsidRPr="00BA4E1F">
        <w:rPr>
          <w:rFonts w:ascii="Times New Roman" w:hAnsi="Times New Roman" w:cs="Times New Roman"/>
          <w:sz w:val="24"/>
          <w:szCs w:val="24"/>
        </w:rPr>
        <w:t>, LAM-0</w:t>
      </w:r>
      <w:r w:rsidR="00BA4E1F">
        <w:rPr>
          <w:rFonts w:ascii="Times New Roman" w:hAnsi="Times New Roman" w:cs="Times New Roman"/>
          <w:sz w:val="24"/>
          <w:szCs w:val="24"/>
        </w:rPr>
        <w:t xml:space="preserve">7 </w:t>
      </w:r>
      <w:r w:rsidRPr="00BA4E1F">
        <w:rPr>
          <w:rFonts w:ascii="Times New Roman" w:hAnsi="Times New Roman" w:cs="Times New Roman"/>
          <w:sz w:val="24"/>
          <w:szCs w:val="24"/>
        </w:rPr>
        <w:t xml:space="preserve">) plots. </w:t>
      </w:r>
      <w:r w:rsidR="0015013E">
        <w:rPr>
          <w:rFonts w:ascii="Times New Roman" w:hAnsi="Times New Roman" w:cs="Times New Roman"/>
          <w:sz w:val="24"/>
          <w:szCs w:val="24"/>
        </w:rPr>
        <w:t xml:space="preserve">Mean values </w:t>
      </w:r>
      <w:r w:rsidR="0015013E">
        <w:rPr>
          <w:rFonts w:ascii="Times New Roman" w:hAnsi="Times New Roman" w:cs="Times New Roman"/>
          <w:sz w:val="24"/>
          <w:szCs w:val="24"/>
        </w:rPr>
        <w:lastRenderedPageBreak/>
        <w:t>are s</w:t>
      </w:r>
      <w:r w:rsidR="00337111">
        <w:rPr>
          <w:rFonts w:ascii="Times New Roman" w:hAnsi="Times New Roman" w:cs="Times New Roman"/>
          <w:sz w:val="24"/>
          <w:szCs w:val="24"/>
        </w:rPr>
        <w:t>hown</w:t>
      </w:r>
      <w:r w:rsidRPr="00BA4E1F">
        <w:rPr>
          <w:rFonts w:ascii="Times New Roman" w:hAnsi="Times New Roman" w:cs="Times New Roman"/>
          <w:sz w:val="24"/>
          <w:szCs w:val="24"/>
        </w:rPr>
        <w:t>; f</w:t>
      </w:r>
      <w:r w:rsidRPr="00BE3BC6">
        <w:rPr>
          <w:rFonts w:ascii="Times New Roman" w:hAnsi="Times New Roman" w:cs="Times New Roman"/>
          <w:sz w:val="24"/>
          <w:szCs w:val="24"/>
        </w:rPr>
        <w:t xml:space="preserve">or individual plots, see </w:t>
      </w:r>
      <w:r>
        <w:rPr>
          <w:rFonts w:ascii="Times New Roman" w:hAnsi="Times New Roman" w:cs="Times New Roman"/>
          <w:sz w:val="24"/>
          <w:szCs w:val="24"/>
        </w:rPr>
        <w:t>Fig. S</w:t>
      </w:r>
      <w:r w:rsidR="009F1B2B">
        <w:rPr>
          <w:rFonts w:ascii="Times New Roman" w:hAnsi="Times New Roman" w:cs="Times New Roman"/>
          <w:sz w:val="24"/>
          <w:szCs w:val="24"/>
        </w:rPr>
        <w:t>4</w:t>
      </w:r>
      <w:r w:rsidRPr="00BE3BC6">
        <w:rPr>
          <w:rFonts w:ascii="Times New Roman" w:hAnsi="Times New Roman" w:cs="Times New Roman"/>
          <w:sz w:val="24"/>
          <w:szCs w:val="24"/>
        </w:rPr>
        <w:t xml:space="preserve">. Inset in </w:t>
      </w:r>
      <w:r w:rsidRPr="00BE3BC6">
        <w:rPr>
          <w:rFonts w:ascii="Times New Roman" w:hAnsi="Times New Roman" w:cs="Times New Roman"/>
          <w:b/>
          <w:sz w:val="24"/>
          <w:szCs w:val="24"/>
        </w:rPr>
        <w:t>(c)</w:t>
      </w:r>
      <w:r w:rsidRPr="00BE3BC6">
        <w:rPr>
          <w:rFonts w:ascii="Times New Roman" w:hAnsi="Times New Roman" w:cs="Times New Roman"/>
          <w:sz w:val="24"/>
          <w:szCs w:val="24"/>
        </w:rPr>
        <w:t xml:space="preserve">: mean annual diameter growth by 5 cm diameter classes in the three forest types. </w:t>
      </w:r>
      <w:r>
        <w:rPr>
          <w:rFonts w:ascii="Times New Roman" w:hAnsi="Times New Roman" w:cs="Times New Roman"/>
          <w:sz w:val="24"/>
          <w:szCs w:val="24"/>
        </w:rPr>
        <w:t>C</w:t>
      </w:r>
      <w:r w:rsidRPr="00BE3BC6">
        <w:rPr>
          <w:rFonts w:ascii="Times New Roman" w:hAnsi="Times New Roman" w:cs="Times New Roman"/>
          <w:sz w:val="24"/>
          <w:szCs w:val="24"/>
        </w:rPr>
        <w:t>lasses with n≥5</w:t>
      </w:r>
      <w:r>
        <w:rPr>
          <w:rFonts w:ascii="Times New Roman" w:hAnsi="Times New Roman" w:cs="Times New Roman"/>
          <w:sz w:val="24"/>
          <w:szCs w:val="24"/>
        </w:rPr>
        <w:t xml:space="preserve"> stems</w:t>
      </w:r>
      <w:r w:rsidRPr="00BE3BC6">
        <w:rPr>
          <w:rFonts w:ascii="Times New Roman" w:hAnsi="Times New Roman" w:cs="Times New Roman"/>
          <w:sz w:val="24"/>
          <w:szCs w:val="24"/>
        </w:rPr>
        <w:t xml:space="preserve"> are shown.</w:t>
      </w:r>
    </w:p>
    <w:p w14:paraId="506D771F" w14:textId="77777777" w:rsidR="00914113" w:rsidRDefault="00914113" w:rsidP="00D061BC">
      <w:pPr>
        <w:spacing w:line="480" w:lineRule="auto"/>
        <w:rPr>
          <w:rFonts w:ascii="Times New Roman" w:hAnsi="Times New Roman" w:cs="Times New Roman"/>
          <w:b/>
          <w:sz w:val="24"/>
          <w:szCs w:val="24"/>
        </w:rPr>
      </w:pPr>
    </w:p>
    <w:p w14:paraId="127FB5E8" w14:textId="77777777" w:rsidR="00914113" w:rsidRPr="00BE3BC6" w:rsidRDefault="00914113" w:rsidP="00D061BC">
      <w:pPr>
        <w:spacing w:line="480" w:lineRule="auto"/>
        <w:rPr>
          <w:rFonts w:ascii="Times New Roman" w:hAnsi="Times New Roman" w:cs="Times New Roman"/>
          <w:b/>
          <w:sz w:val="24"/>
          <w:szCs w:val="24"/>
        </w:rPr>
      </w:pPr>
      <w:r w:rsidRPr="005738DF">
        <w:rPr>
          <w:rFonts w:ascii="Times New Roman" w:hAnsi="Times New Roman" w:cs="Times New Roman"/>
          <w:b/>
          <w:sz w:val="24"/>
          <w:szCs w:val="24"/>
        </w:rPr>
        <w:t>Component and total net primary productivity</w:t>
      </w:r>
    </w:p>
    <w:p w14:paraId="4872505C" w14:textId="46BBF222" w:rsidR="00914113" w:rsidRPr="00ED3E78" w:rsidRDefault="00914113" w:rsidP="00D061BC">
      <w:pPr>
        <w:spacing w:line="480" w:lineRule="auto"/>
        <w:rPr>
          <w:rFonts w:ascii="Times New Roman" w:hAnsi="Times New Roman" w:cs="Times New Roman"/>
          <w:sz w:val="24"/>
          <w:szCs w:val="24"/>
        </w:rPr>
      </w:pPr>
      <w:r w:rsidRPr="00ED3E78">
        <w:rPr>
          <w:rFonts w:ascii="Times New Roman" w:hAnsi="Times New Roman" w:cs="Times New Roman"/>
          <w:sz w:val="24"/>
          <w:szCs w:val="24"/>
        </w:rPr>
        <w:t>The logged forest plots had higher woody NPP than old-growth forest plots (F</w:t>
      </w:r>
      <w:r w:rsidRPr="00ED3E78">
        <w:rPr>
          <w:rFonts w:ascii="Times New Roman" w:hAnsi="Times New Roman" w:cs="Times New Roman"/>
          <w:sz w:val="24"/>
          <w:szCs w:val="24"/>
          <w:vertAlign w:val="subscript"/>
        </w:rPr>
        <w:t>1,9</w:t>
      </w:r>
      <w:r w:rsidRPr="00ED3E78">
        <w:rPr>
          <w:rFonts w:ascii="Times New Roman" w:hAnsi="Times New Roman" w:cs="Times New Roman"/>
          <w:sz w:val="24"/>
          <w:szCs w:val="24"/>
        </w:rPr>
        <w:t xml:space="preserve"> =11.35, p=0.008), owing to the higher woody NPP in the small and intermediate diameter classes (Fig. 2; Fig. 3b; Fig. S</w:t>
      </w:r>
      <w:r w:rsidR="009F1B2B">
        <w:rPr>
          <w:rFonts w:ascii="Times New Roman" w:hAnsi="Times New Roman" w:cs="Times New Roman"/>
          <w:sz w:val="24"/>
          <w:szCs w:val="24"/>
        </w:rPr>
        <w:t>4</w:t>
      </w:r>
      <w:r w:rsidRPr="00ED3E78">
        <w:rPr>
          <w:rFonts w:ascii="Times New Roman" w:hAnsi="Times New Roman" w:cs="Times New Roman"/>
          <w:sz w:val="24"/>
          <w:szCs w:val="24"/>
        </w:rPr>
        <w:t>). Individual trees across all diameter classes showed higher growth in the logged plots compared with the old-growth plots (Fig. 2c). However, in the logged plots the number of large trees, and thus their contribution to the plot level woody NPP, was small, (Fig. 2a, Fig. 2c). All species groups in the logged plots had a higher woody NPP per stem than the shared and unique non-pioneers in the old-growth plots (pair-wise comparison, all p-values &lt;0.01), including those species that were found in both forest types (Fig. 4a). Within each forest type, all species groups had a similar woody NPP per stem (all p-values &gt;0.05). At the plot and subplot scale, pioneer species contributed to the woody NPP proportionally to their basal area (Fig 4b).</w:t>
      </w:r>
    </w:p>
    <w:p w14:paraId="6481B369" w14:textId="7BC285B6" w:rsidR="00914113" w:rsidRPr="00BE3BC6" w:rsidRDefault="00914113" w:rsidP="00D061BC">
      <w:pPr>
        <w:spacing w:line="480" w:lineRule="auto"/>
        <w:rPr>
          <w:rFonts w:ascii="Times New Roman" w:hAnsi="Times New Roman" w:cs="Times New Roman"/>
          <w:sz w:val="24"/>
          <w:szCs w:val="24"/>
        </w:rPr>
      </w:pPr>
      <w:r w:rsidRPr="00ED3E78">
        <w:rPr>
          <w:rFonts w:ascii="Times New Roman" w:hAnsi="Times New Roman" w:cs="Times New Roman"/>
          <w:sz w:val="24"/>
          <w:szCs w:val="24"/>
        </w:rPr>
        <w:t>Canopy NPP was lower in logged forest (F</w:t>
      </w:r>
      <w:r w:rsidRPr="00ED3E78">
        <w:rPr>
          <w:rFonts w:ascii="Times New Roman" w:hAnsi="Times New Roman" w:cs="Times New Roman"/>
          <w:sz w:val="24"/>
          <w:szCs w:val="24"/>
          <w:vertAlign w:val="subscript"/>
        </w:rPr>
        <w:t>1,9</w:t>
      </w:r>
      <w:r w:rsidRPr="00ED3E78">
        <w:rPr>
          <w:rFonts w:ascii="Times New Roman" w:hAnsi="Times New Roman" w:cs="Times New Roman"/>
          <w:sz w:val="24"/>
          <w:szCs w:val="24"/>
        </w:rPr>
        <w:t xml:space="preserve"> =24.91, p&lt;0.001), while fine root NPP was similar in both forest types (F</w:t>
      </w:r>
      <w:r w:rsidRPr="00ED3E78">
        <w:rPr>
          <w:rFonts w:ascii="Times New Roman" w:hAnsi="Times New Roman" w:cs="Times New Roman"/>
          <w:sz w:val="24"/>
          <w:szCs w:val="24"/>
          <w:vertAlign w:val="subscript"/>
        </w:rPr>
        <w:t>1,9</w:t>
      </w:r>
      <w:r w:rsidRPr="00ED3E78">
        <w:rPr>
          <w:rFonts w:ascii="Times New Roman" w:hAnsi="Times New Roman" w:cs="Times New Roman"/>
          <w:sz w:val="24"/>
          <w:szCs w:val="24"/>
        </w:rPr>
        <w:t xml:space="preserve"> =0.832, p=0.385) (Fig. 3a,c). In logged forest, on average 87%±2.1% of the canopy NPP was allocated to leaves, 8.5%±1.4% to twigs and 1.7%±0.7% to reproductive parts, while 2.5%±0.2% of the sample mass was unidentified debris (most likely to be leaf material). The corresponding values in the old-growth forest were 78%±4.2% (leaves), 12%±1.9% (twigs), 1.7%±1.7% (reproductive) and 6.4%±1.3% (debris). The allocation of the canopy components into different fractions did not differ between the forest types (F</w:t>
      </w:r>
      <w:r w:rsidRPr="00ED3E78">
        <w:rPr>
          <w:rFonts w:ascii="Times New Roman" w:hAnsi="Times New Roman" w:cs="Times New Roman"/>
          <w:sz w:val="24"/>
          <w:szCs w:val="24"/>
          <w:vertAlign w:val="subscript"/>
        </w:rPr>
        <w:t>2,9</w:t>
      </w:r>
      <w:r w:rsidRPr="00ED3E78">
        <w:rPr>
          <w:rFonts w:ascii="Times New Roman" w:hAnsi="Times New Roman" w:cs="Times New Roman"/>
          <w:sz w:val="24"/>
          <w:szCs w:val="24"/>
        </w:rPr>
        <w:t>=1.980, p=0.206 and  F</w:t>
      </w:r>
      <w:r w:rsidRPr="00ED3E78">
        <w:rPr>
          <w:rFonts w:ascii="Times New Roman" w:hAnsi="Times New Roman" w:cs="Times New Roman"/>
          <w:sz w:val="24"/>
          <w:szCs w:val="24"/>
          <w:vertAlign w:val="subscript"/>
        </w:rPr>
        <w:t>2,9</w:t>
      </w:r>
      <w:r w:rsidRPr="00ED3E78">
        <w:rPr>
          <w:rFonts w:ascii="Times New Roman" w:hAnsi="Times New Roman" w:cs="Times New Roman"/>
          <w:sz w:val="24"/>
          <w:szCs w:val="24"/>
        </w:rPr>
        <w:t>=3.337, p=0.088, with debris included and excluded, respectively).</w:t>
      </w:r>
      <w:r w:rsidRPr="00BE3BC6">
        <w:rPr>
          <w:rFonts w:ascii="Times New Roman" w:hAnsi="Times New Roman" w:cs="Times New Roman"/>
          <w:sz w:val="24"/>
          <w:szCs w:val="24"/>
        </w:rPr>
        <w:t xml:space="preserve"> </w:t>
      </w:r>
    </w:p>
    <w:p w14:paraId="5ECCA2C0" w14:textId="4ED5F00C" w:rsidR="00914113" w:rsidRDefault="00914113" w:rsidP="00D061BC">
      <w:pPr>
        <w:spacing w:line="480" w:lineRule="auto"/>
        <w:rPr>
          <w:rFonts w:ascii="Times New Roman" w:hAnsi="Times New Roman" w:cs="Times New Roman"/>
          <w:sz w:val="24"/>
          <w:szCs w:val="24"/>
        </w:rPr>
      </w:pPr>
      <w:r w:rsidRPr="00ED3E78">
        <w:rPr>
          <w:rFonts w:ascii="Times New Roman" w:hAnsi="Times New Roman" w:cs="Times New Roman"/>
          <w:sz w:val="24"/>
          <w:szCs w:val="24"/>
        </w:rPr>
        <w:lastRenderedPageBreak/>
        <w:t>Total NPP was similar in both forest types (F</w:t>
      </w:r>
      <w:r w:rsidRPr="00ED3E78">
        <w:rPr>
          <w:rFonts w:ascii="Times New Roman" w:hAnsi="Times New Roman" w:cs="Times New Roman"/>
          <w:sz w:val="24"/>
          <w:szCs w:val="24"/>
          <w:vertAlign w:val="subscript"/>
        </w:rPr>
        <w:t>1,9</w:t>
      </w:r>
      <w:r w:rsidRPr="00ED3E78">
        <w:rPr>
          <w:rFonts w:ascii="Times New Roman" w:hAnsi="Times New Roman" w:cs="Times New Roman"/>
          <w:sz w:val="24"/>
          <w:szCs w:val="24"/>
        </w:rPr>
        <w:t>=1.791, p=0.214), on average 15.7±1.50 Mg C ha</w:t>
      </w:r>
      <w:r w:rsidRPr="00ED3E78">
        <w:rPr>
          <w:rFonts w:ascii="Times New Roman" w:hAnsi="Times New Roman" w:cs="Times New Roman"/>
          <w:sz w:val="24"/>
          <w:szCs w:val="24"/>
          <w:vertAlign w:val="superscript"/>
        </w:rPr>
        <w:t>-1</w:t>
      </w:r>
      <w:r w:rsidRPr="00ED3E78">
        <w:rPr>
          <w:rFonts w:ascii="Times New Roman" w:hAnsi="Times New Roman" w:cs="Times New Roman"/>
          <w:sz w:val="24"/>
          <w:szCs w:val="24"/>
        </w:rPr>
        <w:t xml:space="preserve"> year</w:t>
      </w:r>
      <w:r w:rsidRPr="00ED3E78">
        <w:rPr>
          <w:rFonts w:ascii="Times New Roman" w:hAnsi="Times New Roman" w:cs="Times New Roman"/>
          <w:sz w:val="24"/>
          <w:szCs w:val="24"/>
          <w:vertAlign w:val="superscript"/>
        </w:rPr>
        <w:t>-1</w:t>
      </w:r>
      <w:r w:rsidRPr="00ED3E78">
        <w:rPr>
          <w:rFonts w:ascii="Times New Roman" w:hAnsi="Times New Roman" w:cs="Times New Roman"/>
          <w:sz w:val="24"/>
          <w:szCs w:val="24"/>
        </w:rPr>
        <w:t xml:space="preserve"> in logged forest and 13.5±0.51 Mg C ha</w:t>
      </w:r>
      <w:r w:rsidRPr="00ED3E78">
        <w:rPr>
          <w:rFonts w:ascii="Times New Roman" w:hAnsi="Times New Roman" w:cs="Times New Roman"/>
          <w:sz w:val="24"/>
          <w:szCs w:val="24"/>
          <w:vertAlign w:val="superscript"/>
        </w:rPr>
        <w:t>-1</w:t>
      </w:r>
      <w:r w:rsidRPr="00ED3E78">
        <w:rPr>
          <w:rFonts w:ascii="Times New Roman" w:hAnsi="Times New Roman" w:cs="Times New Roman"/>
          <w:sz w:val="24"/>
          <w:szCs w:val="24"/>
        </w:rPr>
        <w:t xml:space="preserve"> year</w:t>
      </w:r>
      <w:r w:rsidRPr="00ED3E78">
        <w:rPr>
          <w:rFonts w:ascii="Times New Roman" w:hAnsi="Times New Roman" w:cs="Times New Roman"/>
          <w:sz w:val="24"/>
          <w:szCs w:val="24"/>
          <w:vertAlign w:val="superscript"/>
        </w:rPr>
        <w:t>-1</w:t>
      </w:r>
      <w:r w:rsidRPr="00ED3E78">
        <w:rPr>
          <w:rFonts w:ascii="Times New Roman" w:hAnsi="Times New Roman" w:cs="Times New Roman"/>
          <w:sz w:val="24"/>
          <w:szCs w:val="24"/>
        </w:rPr>
        <w:t xml:space="preserve"> in old-growth forest (Fig. 3d).</w:t>
      </w:r>
      <w:r>
        <w:rPr>
          <w:rFonts w:ascii="Times New Roman" w:hAnsi="Times New Roman" w:cs="Times New Roman"/>
          <w:sz w:val="24"/>
          <w:szCs w:val="24"/>
        </w:rPr>
        <w:t xml:space="preserve"> </w:t>
      </w:r>
    </w:p>
    <w:p w14:paraId="6B8C9742" w14:textId="5EC0F73E" w:rsidR="00914113" w:rsidRPr="006D0E63" w:rsidRDefault="004F613F" w:rsidP="00D061BC">
      <w:pPr>
        <w:spacing w:line="480" w:lineRule="auto"/>
        <w:rPr>
          <w:rFonts w:ascii="Times New Roman" w:hAnsi="Times New Roman" w:cs="Times New Roman"/>
          <w:sz w:val="24"/>
          <w:szCs w:val="24"/>
        </w:rPr>
      </w:pPr>
      <w:r w:rsidRPr="004F613F">
        <w:rPr>
          <w:noProof/>
          <w:lang w:eastAsia="en-GB"/>
        </w:rPr>
        <w:lastRenderedPageBreak/>
        <w:drawing>
          <wp:inline distT="0" distB="0" distL="0" distR="0" wp14:anchorId="3ACE1AFA" wp14:editId="52525A9F">
            <wp:extent cx="3659272" cy="9115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9272" cy="9115425"/>
                    </a:xfrm>
                    <a:prstGeom prst="rect">
                      <a:avLst/>
                    </a:prstGeom>
                    <a:noFill/>
                    <a:ln>
                      <a:noFill/>
                    </a:ln>
                  </pic:spPr>
                </pic:pic>
              </a:graphicData>
            </a:graphic>
          </wp:inline>
        </w:drawing>
      </w:r>
    </w:p>
    <w:p w14:paraId="0B93B451" w14:textId="7F5E76ED" w:rsidR="00914113" w:rsidRDefault="00914113" w:rsidP="00D061BC">
      <w:pPr>
        <w:spacing w:line="480" w:lineRule="auto"/>
        <w:rPr>
          <w:rFonts w:ascii="Times New Roman" w:hAnsi="Times New Roman" w:cs="Times New Roman"/>
          <w:b/>
          <w:sz w:val="24"/>
          <w:szCs w:val="24"/>
        </w:rPr>
      </w:pPr>
      <w:r w:rsidRPr="00ED3E78">
        <w:rPr>
          <w:rFonts w:ascii="Times New Roman" w:hAnsi="Times New Roman" w:cs="Times New Roman"/>
          <w:b/>
          <w:sz w:val="24"/>
          <w:szCs w:val="24"/>
        </w:rPr>
        <w:lastRenderedPageBreak/>
        <w:t>Figure 3.</w:t>
      </w:r>
      <w:r w:rsidRPr="00BE3BC6">
        <w:rPr>
          <w:rFonts w:ascii="Times New Roman" w:hAnsi="Times New Roman" w:cs="Times New Roman"/>
          <w:sz w:val="24"/>
          <w:szCs w:val="24"/>
        </w:rPr>
        <w:t xml:space="preserve"> </w:t>
      </w:r>
      <w:r w:rsidR="004032F9" w:rsidRPr="00BE3BC6">
        <w:rPr>
          <w:rFonts w:ascii="Times New Roman" w:hAnsi="Times New Roman" w:cs="Times New Roman"/>
          <w:sz w:val="24"/>
          <w:szCs w:val="24"/>
        </w:rPr>
        <w:t>NPP by plot and forest type</w:t>
      </w:r>
      <w:r w:rsidR="004032F9">
        <w:rPr>
          <w:rFonts w:ascii="Times New Roman" w:hAnsi="Times New Roman" w:cs="Times New Roman"/>
          <w:sz w:val="24"/>
          <w:szCs w:val="24"/>
        </w:rPr>
        <w:t xml:space="preserve"> (logged plots in light grey, old-growth plots in dark grey), with the mean of both forest types shown in the two rightmost bars</w:t>
      </w:r>
      <w:r w:rsidR="004032F9" w:rsidRPr="00BE3BC6">
        <w:rPr>
          <w:rFonts w:ascii="Times New Roman" w:hAnsi="Times New Roman" w:cs="Times New Roman"/>
          <w:sz w:val="24"/>
          <w:szCs w:val="24"/>
        </w:rPr>
        <w:t>.</w:t>
      </w:r>
      <w:r w:rsidR="004032F9">
        <w:rPr>
          <w:rFonts w:ascii="Times New Roman" w:hAnsi="Times New Roman" w:cs="Times New Roman"/>
          <w:sz w:val="24"/>
          <w:szCs w:val="24"/>
        </w:rPr>
        <w:t xml:space="preserve"> </w:t>
      </w:r>
      <w:r w:rsidRPr="00BE3BC6">
        <w:rPr>
          <w:rFonts w:ascii="Times New Roman" w:hAnsi="Times New Roman" w:cs="Times New Roman"/>
          <w:sz w:val="24"/>
          <w:szCs w:val="24"/>
        </w:rPr>
        <w:t>Canopy (</w:t>
      </w:r>
      <w:r w:rsidRPr="00BE3BC6">
        <w:rPr>
          <w:rFonts w:ascii="Times New Roman" w:hAnsi="Times New Roman" w:cs="Times New Roman"/>
          <w:b/>
          <w:sz w:val="24"/>
          <w:szCs w:val="24"/>
        </w:rPr>
        <w:t>a,</w:t>
      </w:r>
      <w:r w:rsidRPr="00BE3BC6">
        <w:rPr>
          <w:rFonts w:ascii="Times New Roman" w:hAnsi="Times New Roman" w:cs="Times New Roman"/>
          <w:sz w:val="24"/>
          <w:szCs w:val="24"/>
        </w:rPr>
        <w:t>), woody (</w:t>
      </w:r>
      <w:r w:rsidRPr="00BE3BC6">
        <w:rPr>
          <w:rFonts w:ascii="Times New Roman" w:hAnsi="Times New Roman" w:cs="Times New Roman"/>
          <w:b/>
          <w:sz w:val="24"/>
          <w:szCs w:val="24"/>
        </w:rPr>
        <w:t>b</w:t>
      </w:r>
      <w:r w:rsidRPr="00BE3BC6">
        <w:rPr>
          <w:rFonts w:ascii="Times New Roman" w:hAnsi="Times New Roman" w:cs="Times New Roman"/>
          <w:sz w:val="24"/>
          <w:szCs w:val="24"/>
        </w:rPr>
        <w:t>), fine root (</w:t>
      </w:r>
      <w:r w:rsidRPr="00BE3BC6">
        <w:rPr>
          <w:rFonts w:ascii="Times New Roman" w:hAnsi="Times New Roman" w:cs="Times New Roman"/>
          <w:b/>
          <w:sz w:val="24"/>
          <w:szCs w:val="24"/>
        </w:rPr>
        <w:t>c</w:t>
      </w:r>
      <w:r w:rsidRPr="00BE3BC6">
        <w:rPr>
          <w:rFonts w:ascii="Times New Roman" w:hAnsi="Times New Roman" w:cs="Times New Roman"/>
          <w:sz w:val="24"/>
          <w:szCs w:val="24"/>
        </w:rPr>
        <w:t>) and total (</w:t>
      </w:r>
      <w:r w:rsidRPr="00BE3BC6">
        <w:rPr>
          <w:rFonts w:ascii="Times New Roman" w:hAnsi="Times New Roman" w:cs="Times New Roman"/>
          <w:b/>
          <w:sz w:val="24"/>
          <w:szCs w:val="24"/>
        </w:rPr>
        <w:t>d</w:t>
      </w:r>
      <w:r w:rsidRPr="00BE3BC6">
        <w:rPr>
          <w:rFonts w:ascii="Times New Roman" w:hAnsi="Times New Roman" w:cs="Times New Roman"/>
          <w:sz w:val="24"/>
          <w:szCs w:val="24"/>
        </w:rPr>
        <w:t xml:space="preserve">) net primary productivity (NPP). </w:t>
      </w:r>
      <w:r>
        <w:rPr>
          <w:rFonts w:ascii="Times New Roman" w:hAnsi="Times New Roman" w:cs="Times New Roman"/>
          <w:sz w:val="24"/>
          <w:szCs w:val="24"/>
        </w:rPr>
        <w:t xml:space="preserve"> Error bars are ±</w:t>
      </w:r>
      <w:r w:rsidRPr="00BE3BC6">
        <w:rPr>
          <w:rFonts w:ascii="Times New Roman" w:hAnsi="Times New Roman" w:cs="Times New Roman"/>
          <w:sz w:val="24"/>
          <w:szCs w:val="24"/>
        </w:rPr>
        <w:t>1 SE</w:t>
      </w:r>
      <w:r>
        <w:rPr>
          <w:rFonts w:ascii="Times New Roman" w:hAnsi="Times New Roman" w:cs="Times New Roman"/>
          <w:sz w:val="24"/>
          <w:szCs w:val="24"/>
        </w:rPr>
        <w:t>.</w:t>
      </w:r>
    </w:p>
    <w:p w14:paraId="3C794C49" w14:textId="77777777" w:rsidR="00914113" w:rsidRDefault="00914113" w:rsidP="00D061BC">
      <w:pPr>
        <w:spacing w:line="480" w:lineRule="auto"/>
        <w:rPr>
          <w:rFonts w:ascii="Times New Roman" w:hAnsi="Times New Roman" w:cs="Times New Roman"/>
          <w:sz w:val="24"/>
          <w:szCs w:val="24"/>
        </w:rPr>
      </w:pPr>
      <w:r w:rsidRPr="003341F0">
        <w:rPr>
          <w:noProof/>
          <w:lang w:eastAsia="en-GB"/>
        </w:rPr>
        <w:drawing>
          <wp:inline distT="0" distB="0" distL="0" distR="0" wp14:anchorId="22ABBFC8" wp14:editId="31E91D72">
            <wp:extent cx="3495675" cy="3352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95675" cy="3352800"/>
                    </a:xfrm>
                    <a:prstGeom prst="rect">
                      <a:avLst/>
                    </a:prstGeom>
                    <a:noFill/>
                    <a:ln>
                      <a:noFill/>
                    </a:ln>
                  </pic:spPr>
                </pic:pic>
              </a:graphicData>
            </a:graphic>
          </wp:inline>
        </w:drawing>
      </w:r>
    </w:p>
    <w:p w14:paraId="14706397" w14:textId="5CAE2DFA" w:rsidR="00914113" w:rsidRDefault="00914113" w:rsidP="00D061BC">
      <w:pPr>
        <w:spacing w:line="480" w:lineRule="auto"/>
        <w:rPr>
          <w:rFonts w:ascii="Times New Roman" w:hAnsi="Times New Roman" w:cs="Times New Roman"/>
          <w:sz w:val="24"/>
          <w:szCs w:val="24"/>
        </w:rPr>
      </w:pPr>
      <w:r w:rsidRPr="00E92F34">
        <w:rPr>
          <w:rFonts w:ascii="Times New Roman" w:hAnsi="Times New Roman" w:cs="Times New Roman"/>
          <w:b/>
          <w:sz w:val="24"/>
          <w:szCs w:val="24"/>
        </w:rPr>
        <w:t xml:space="preserve">Figure 4. </w:t>
      </w:r>
      <w:r w:rsidRPr="00E92F34">
        <w:rPr>
          <w:rFonts w:ascii="Times New Roman" w:hAnsi="Times New Roman" w:cs="Times New Roman"/>
          <w:sz w:val="24"/>
          <w:szCs w:val="24"/>
        </w:rPr>
        <w:t xml:space="preserve">Average woody NPP (±1 SE) per stem by </w:t>
      </w:r>
      <w:r>
        <w:rPr>
          <w:rFonts w:ascii="Times New Roman" w:hAnsi="Times New Roman" w:cs="Times New Roman"/>
          <w:sz w:val="24"/>
          <w:szCs w:val="24"/>
        </w:rPr>
        <w:t xml:space="preserve">species groups across 10 </w:t>
      </w:r>
      <w:r w:rsidRPr="00E92F34">
        <w:rPr>
          <w:rFonts w:ascii="Times New Roman" w:hAnsi="Times New Roman" w:cs="Times New Roman"/>
          <w:sz w:val="24"/>
          <w:szCs w:val="24"/>
        </w:rPr>
        <w:t>cm diameter classes. Classes with n</w:t>
      </w:r>
      <w:r>
        <w:rPr>
          <w:rFonts w:ascii="Times New Roman" w:hAnsi="Times New Roman" w:cs="Times New Roman"/>
          <w:sz w:val="24"/>
          <w:szCs w:val="24"/>
        </w:rPr>
        <w:t>≥</w:t>
      </w:r>
      <w:r w:rsidRPr="00E92F34">
        <w:rPr>
          <w:rFonts w:ascii="Times New Roman" w:hAnsi="Times New Roman" w:cs="Times New Roman"/>
          <w:sz w:val="24"/>
          <w:szCs w:val="24"/>
        </w:rPr>
        <w:t xml:space="preserve">5 are shown. Species were classified into </w:t>
      </w:r>
      <w:r>
        <w:rPr>
          <w:rFonts w:ascii="Times New Roman" w:hAnsi="Times New Roman" w:cs="Times New Roman"/>
          <w:sz w:val="24"/>
          <w:szCs w:val="24"/>
        </w:rPr>
        <w:t>shared</w:t>
      </w:r>
      <w:r w:rsidRPr="00E92F34">
        <w:rPr>
          <w:rFonts w:ascii="Times New Roman" w:hAnsi="Times New Roman" w:cs="Times New Roman"/>
          <w:sz w:val="24"/>
          <w:szCs w:val="24"/>
        </w:rPr>
        <w:t xml:space="preserve"> </w:t>
      </w:r>
      <w:r>
        <w:rPr>
          <w:rFonts w:ascii="Times New Roman" w:hAnsi="Times New Roman" w:cs="Times New Roman"/>
          <w:sz w:val="24"/>
          <w:szCs w:val="24"/>
        </w:rPr>
        <w:t>(</w:t>
      </w:r>
      <w:r w:rsidRPr="00E92F34">
        <w:rPr>
          <w:rFonts w:ascii="Times New Roman" w:hAnsi="Times New Roman" w:cs="Times New Roman"/>
          <w:sz w:val="24"/>
          <w:szCs w:val="24"/>
        </w:rPr>
        <w:t>found both in logged and old-growth plots</w:t>
      </w:r>
      <w:r>
        <w:rPr>
          <w:rFonts w:ascii="Times New Roman" w:hAnsi="Times New Roman" w:cs="Times New Roman"/>
          <w:sz w:val="24"/>
          <w:szCs w:val="24"/>
        </w:rPr>
        <w:t>)</w:t>
      </w:r>
      <w:r w:rsidRPr="00E92F34">
        <w:rPr>
          <w:rFonts w:ascii="Times New Roman" w:hAnsi="Times New Roman" w:cs="Times New Roman"/>
          <w:sz w:val="24"/>
          <w:szCs w:val="24"/>
        </w:rPr>
        <w:t xml:space="preserve"> and unique </w:t>
      </w:r>
      <w:r>
        <w:rPr>
          <w:rFonts w:ascii="Times New Roman" w:hAnsi="Times New Roman" w:cs="Times New Roman"/>
          <w:sz w:val="24"/>
          <w:szCs w:val="24"/>
        </w:rPr>
        <w:t>(</w:t>
      </w:r>
      <w:r w:rsidRPr="00E92F34">
        <w:rPr>
          <w:rFonts w:ascii="Times New Roman" w:hAnsi="Times New Roman" w:cs="Times New Roman"/>
          <w:sz w:val="24"/>
          <w:szCs w:val="24"/>
        </w:rPr>
        <w:t>found only in one forest type</w:t>
      </w:r>
      <w:r>
        <w:rPr>
          <w:rFonts w:ascii="Times New Roman" w:hAnsi="Times New Roman" w:cs="Times New Roman"/>
          <w:sz w:val="24"/>
          <w:szCs w:val="24"/>
        </w:rPr>
        <w:t>)</w:t>
      </w:r>
      <w:r w:rsidRPr="00E92F34">
        <w:rPr>
          <w:rFonts w:ascii="Times New Roman" w:hAnsi="Times New Roman" w:cs="Times New Roman"/>
          <w:sz w:val="24"/>
          <w:szCs w:val="24"/>
        </w:rPr>
        <w:t xml:space="preserve"> species </w:t>
      </w:r>
      <w:r>
        <w:rPr>
          <w:rFonts w:ascii="Times New Roman" w:hAnsi="Times New Roman" w:cs="Times New Roman"/>
          <w:sz w:val="24"/>
          <w:szCs w:val="24"/>
        </w:rPr>
        <w:t xml:space="preserve">and into </w:t>
      </w:r>
      <w:r w:rsidRPr="00E92F34">
        <w:rPr>
          <w:rFonts w:ascii="Times New Roman" w:hAnsi="Times New Roman" w:cs="Times New Roman"/>
          <w:sz w:val="24"/>
          <w:szCs w:val="24"/>
        </w:rPr>
        <w:t>pioneers and non-pioneers (</w:t>
      </w:r>
      <w:r>
        <w:rPr>
          <w:rFonts w:ascii="Times New Roman" w:hAnsi="Times New Roman" w:cs="Times New Roman"/>
          <w:sz w:val="24"/>
          <w:szCs w:val="24"/>
        </w:rPr>
        <w:t>Table S1)</w:t>
      </w:r>
      <w:r w:rsidRPr="00E92F34">
        <w:rPr>
          <w:rFonts w:ascii="Times New Roman" w:hAnsi="Times New Roman" w:cs="Times New Roman"/>
          <w:sz w:val="24"/>
          <w:szCs w:val="24"/>
        </w:rPr>
        <w:t xml:space="preserve">. </w:t>
      </w:r>
      <w:r>
        <w:rPr>
          <w:rFonts w:ascii="Times New Roman" w:hAnsi="Times New Roman" w:cs="Times New Roman"/>
          <w:sz w:val="24"/>
          <w:szCs w:val="24"/>
        </w:rPr>
        <w:t>Species g</w:t>
      </w:r>
      <w:r w:rsidRPr="00E92F34">
        <w:rPr>
          <w:rFonts w:ascii="Times New Roman" w:hAnsi="Times New Roman" w:cs="Times New Roman"/>
          <w:sz w:val="24"/>
          <w:szCs w:val="24"/>
        </w:rPr>
        <w:t xml:space="preserve">roups: LSN – logged, shared, non-pioneer; LUN – logged, unique, non-pioneer; LUP – logged, unique, pioneer; OSN – old-growth, shared, non-pioneer; OUN – old-growth, unique, non-pioneer. </w:t>
      </w:r>
    </w:p>
    <w:p w14:paraId="36A94DE1" w14:textId="77777777" w:rsidR="00914113" w:rsidRDefault="00914113" w:rsidP="00D061BC">
      <w:pPr>
        <w:spacing w:line="480" w:lineRule="auto"/>
        <w:rPr>
          <w:rFonts w:ascii="Times New Roman" w:hAnsi="Times New Roman" w:cs="Times New Roman"/>
          <w:sz w:val="24"/>
          <w:szCs w:val="24"/>
        </w:rPr>
      </w:pPr>
    </w:p>
    <w:p w14:paraId="181D8928" w14:textId="2D2D0A74" w:rsidR="00914113" w:rsidRPr="00AA705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b/>
          <w:sz w:val="24"/>
          <w:szCs w:val="24"/>
        </w:rPr>
        <w:t xml:space="preserve">NPP </w:t>
      </w:r>
      <w:r>
        <w:rPr>
          <w:rFonts w:ascii="Times New Roman" w:hAnsi="Times New Roman" w:cs="Times New Roman"/>
          <w:b/>
          <w:sz w:val="24"/>
          <w:szCs w:val="24"/>
        </w:rPr>
        <w:t>a</w:t>
      </w:r>
      <w:r w:rsidRPr="00BE3BC6">
        <w:rPr>
          <w:rFonts w:ascii="Times New Roman" w:hAnsi="Times New Roman" w:cs="Times New Roman"/>
          <w:b/>
          <w:sz w:val="24"/>
          <w:szCs w:val="24"/>
        </w:rPr>
        <w:t>llocation</w:t>
      </w:r>
      <w:r>
        <w:rPr>
          <w:rFonts w:ascii="Times New Roman" w:hAnsi="Times New Roman" w:cs="Times New Roman"/>
          <w:b/>
          <w:sz w:val="24"/>
          <w:szCs w:val="24"/>
        </w:rPr>
        <w:t xml:space="preserve"> to canopy, woody</w:t>
      </w:r>
      <w:r w:rsidR="00614CB9">
        <w:rPr>
          <w:rFonts w:ascii="Times New Roman" w:hAnsi="Times New Roman" w:cs="Times New Roman"/>
          <w:b/>
          <w:sz w:val="24"/>
          <w:szCs w:val="24"/>
        </w:rPr>
        <w:t>,</w:t>
      </w:r>
      <w:r>
        <w:rPr>
          <w:rFonts w:ascii="Times New Roman" w:hAnsi="Times New Roman" w:cs="Times New Roman"/>
          <w:b/>
          <w:sz w:val="24"/>
          <w:szCs w:val="24"/>
        </w:rPr>
        <w:t xml:space="preserve"> and fine root NPP</w:t>
      </w:r>
    </w:p>
    <w:p w14:paraId="402383E5" w14:textId="7D4ABC6A" w:rsidR="00914113" w:rsidRPr="00BE3BC6"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sz w:val="24"/>
          <w:szCs w:val="24"/>
        </w:rPr>
        <w:t>At the plot scale, NPP allocation differed significantly between logged and old-growth plots (Fig. 3d, Fig. 5) (F</w:t>
      </w:r>
      <w:r w:rsidRPr="007D6079">
        <w:rPr>
          <w:rFonts w:ascii="Times New Roman" w:hAnsi="Times New Roman" w:cs="Times New Roman"/>
          <w:sz w:val="24"/>
          <w:szCs w:val="24"/>
          <w:vertAlign w:val="subscript"/>
        </w:rPr>
        <w:t>2,8</w:t>
      </w:r>
      <w:r w:rsidRPr="007D6079">
        <w:rPr>
          <w:rFonts w:ascii="Times New Roman" w:hAnsi="Times New Roman" w:cs="Times New Roman"/>
          <w:sz w:val="24"/>
          <w:szCs w:val="24"/>
        </w:rPr>
        <w:t xml:space="preserve">=18.227, p=0.001).  There was a clear shift in allocation from canopy to </w:t>
      </w:r>
      <w:r w:rsidRPr="007D6079">
        <w:rPr>
          <w:rFonts w:ascii="Times New Roman" w:hAnsi="Times New Roman" w:cs="Times New Roman"/>
          <w:sz w:val="24"/>
          <w:szCs w:val="24"/>
        </w:rPr>
        <w:lastRenderedPageBreak/>
        <w:t>woody NPP in the logged forest (66%±2.2% allocated to woody NPP, 23%±1.6% to canopy NPP), compared with old-growth forest (42%±4.2% to woody NPP, 48%±3.6% to canopy NPP). Allocation to fine roots was similar in both forest types (11%±1.6% in logged, 10%±1.5% in old-growth forests)</w:t>
      </w:r>
      <w:r w:rsidRPr="00BE3BC6">
        <w:rPr>
          <w:rFonts w:ascii="Times New Roman" w:hAnsi="Times New Roman" w:cs="Times New Roman"/>
          <w:sz w:val="24"/>
          <w:szCs w:val="24"/>
        </w:rPr>
        <w:t xml:space="preserve">. </w:t>
      </w:r>
    </w:p>
    <w:p w14:paraId="0671F581" w14:textId="77777777" w:rsidR="004F613F" w:rsidRDefault="004F613F" w:rsidP="00D061BC">
      <w:pPr>
        <w:spacing w:line="480" w:lineRule="auto"/>
      </w:pPr>
    </w:p>
    <w:p w14:paraId="07D62439" w14:textId="77777777" w:rsidR="009706D0" w:rsidRDefault="004F613F" w:rsidP="00D061BC">
      <w:pPr>
        <w:spacing w:line="480" w:lineRule="auto"/>
        <w:rPr>
          <w:rFonts w:ascii="Times New Roman" w:hAnsi="Times New Roman" w:cs="Times New Roman"/>
          <w:b/>
          <w:sz w:val="24"/>
          <w:szCs w:val="24"/>
        </w:rPr>
      </w:pPr>
      <w:r w:rsidRPr="004F613F">
        <w:rPr>
          <w:noProof/>
          <w:lang w:eastAsia="en-GB"/>
        </w:rPr>
        <w:drawing>
          <wp:inline distT="0" distB="0" distL="0" distR="0" wp14:anchorId="648C4766" wp14:editId="2FFD512F">
            <wp:extent cx="4752975" cy="4278510"/>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2975" cy="4278510"/>
                    </a:xfrm>
                    <a:prstGeom prst="rect">
                      <a:avLst/>
                    </a:prstGeom>
                    <a:noFill/>
                    <a:ln>
                      <a:noFill/>
                    </a:ln>
                  </pic:spPr>
                </pic:pic>
              </a:graphicData>
            </a:graphic>
          </wp:inline>
        </w:drawing>
      </w:r>
    </w:p>
    <w:p w14:paraId="4C569CA3" w14:textId="3D385EEC" w:rsidR="00914113" w:rsidRPr="007D6079"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b/>
          <w:sz w:val="24"/>
          <w:szCs w:val="24"/>
        </w:rPr>
        <w:t xml:space="preserve">Figure 5. </w:t>
      </w:r>
      <w:r w:rsidRPr="007D6079">
        <w:rPr>
          <w:rFonts w:ascii="Times New Roman" w:hAnsi="Times New Roman" w:cs="Times New Roman"/>
          <w:sz w:val="24"/>
          <w:szCs w:val="24"/>
        </w:rPr>
        <w:t>Relative allocation (% of total) of net primary productivity (NPP) into canopy, woody and fine root NPP. Large triangle: NPP allocation in individual plots, and mean by forest type. Small triangle: NPP allocation in different forest quality classes, class 1 denoting the most heavily disturbed and class 5 the least disturbed (old-growth) forest (see Table S2).</w:t>
      </w:r>
    </w:p>
    <w:p w14:paraId="31C40184" w14:textId="77777777" w:rsidR="00914113" w:rsidRPr="007D6079" w:rsidRDefault="00914113" w:rsidP="00D061BC">
      <w:pPr>
        <w:spacing w:line="480" w:lineRule="auto"/>
        <w:rPr>
          <w:rFonts w:ascii="Times New Roman" w:hAnsi="Times New Roman" w:cs="Times New Roman"/>
          <w:sz w:val="24"/>
          <w:szCs w:val="24"/>
        </w:rPr>
      </w:pPr>
    </w:p>
    <w:p w14:paraId="477AF8CC" w14:textId="77777777" w:rsidR="00914113" w:rsidRPr="007D6079" w:rsidRDefault="00914113" w:rsidP="00D061BC">
      <w:pPr>
        <w:spacing w:line="480" w:lineRule="auto"/>
        <w:rPr>
          <w:rFonts w:ascii="Times New Roman" w:hAnsi="Times New Roman" w:cs="Times New Roman"/>
          <w:b/>
          <w:sz w:val="24"/>
          <w:szCs w:val="24"/>
        </w:rPr>
      </w:pPr>
      <w:r w:rsidRPr="007D6079">
        <w:rPr>
          <w:rFonts w:ascii="Times New Roman" w:hAnsi="Times New Roman" w:cs="Times New Roman"/>
          <w:b/>
          <w:sz w:val="24"/>
          <w:szCs w:val="24"/>
        </w:rPr>
        <w:t>Productivity, allocation and structure effects</w:t>
      </w:r>
    </w:p>
    <w:p w14:paraId="53A78DC3" w14:textId="77777777" w:rsidR="00914113"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sz w:val="24"/>
          <w:szCs w:val="24"/>
          <w:lang w:eastAsia="zh-TW"/>
        </w:rPr>
        <w:lastRenderedPageBreak/>
        <w:t>The patterns in NPP at the basal area range where logged and old-growth forest data overlap (thus, assuming that no difference in NPP between the two forest types was caused by structure effect) were used for distinguishing the productivity and allocation effects</w:t>
      </w:r>
      <w:r w:rsidRPr="007D6079">
        <w:rPr>
          <w:rFonts w:ascii="Times New Roman" w:hAnsi="Times New Roman" w:cs="Times New Roman"/>
          <w:sz w:val="24"/>
          <w:szCs w:val="24"/>
        </w:rPr>
        <w:t>. When controlled for basal area within this range (7-51 m</w:t>
      </w:r>
      <w:r w:rsidRPr="007D6079">
        <w:rPr>
          <w:rFonts w:ascii="Times New Roman" w:hAnsi="Times New Roman" w:cs="Times New Roman"/>
          <w:sz w:val="24"/>
          <w:szCs w:val="24"/>
          <w:vertAlign w:val="superscript"/>
        </w:rPr>
        <w:t>2</w:t>
      </w:r>
      <w:r w:rsidRPr="007D6079">
        <w:rPr>
          <w:rFonts w:ascii="Times New Roman" w:hAnsi="Times New Roman" w:cs="Times New Roman"/>
          <w:sz w:val="24"/>
          <w:szCs w:val="24"/>
        </w:rPr>
        <w:t xml:space="preserve">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total NPP was approximately 41%</w:t>
      </w:r>
      <w:r>
        <w:rPr>
          <w:rFonts w:ascii="Times New Roman" w:hAnsi="Times New Roman" w:cs="Times New Roman"/>
          <w:sz w:val="24"/>
          <w:szCs w:val="24"/>
        </w:rPr>
        <w:t xml:space="preserve"> </w:t>
      </w:r>
      <w:r w:rsidRPr="006D0E63">
        <w:rPr>
          <w:rFonts w:ascii="Times New Roman" w:hAnsi="Times New Roman" w:cs="Times New Roman"/>
          <w:sz w:val="24"/>
          <w:szCs w:val="24"/>
        </w:rPr>
        <w:t>higher in logged forest than in old-growth</w:t>
      </w:r>
      <w:r>
        <w:rPr>
          <w:rFonts w:ascii="Times New Roman" w:hAnsi="Times New Roman" w:cs="Times New Roman"/>
          <w:sz w:val="24"/>
          <w:szCs w:val="24"/>
        </w:rPr>
        <w:t xml:space="preserve"> forest when averaged across subplots</w:t>
      </w:r>
      <w:r w:rsidRPr="006D0E63">
        <w:rPr>
          <w:rFonts w:ascii="Times New Roman" w:hAnsi="Times New Roman" w:cs="Times New Roman"/>
          <w:sz w:val="24"/>
          <w:szCs w:val="24"/>
        </w:rPr>
        <w:t xml:space="preserve"> </w:t>
      </w:r>
      <w:r>
        <w:rPr>
          <w:rFonts w:ascii="Times New Roman" w:hAnsi="Times New Roman" w:cs="Times New Roman"/>
          <w:sz w:val="24"/>
          <w:szCs w:val="24"/>
        </w:rPr>
        <w:t>(Fig. 6)</w:t>
      </w:r>
      <w:r w:rsidRPr="006D0E63">
        <w:rPr>
          <w:rFonts w:ascii="Times New Roman" w:hAnsi="Times New Roman" w:cs="Times New Roman"/>
          <w:sz w:val="24"/>
          <w:szCs w:val="24"/>
        </w:rPr>
        <w:t>.</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7D6079">
        <w:rPr>
          <w:rFonts w:ascii="Times New Roman" w:hAnsi="Times New Roman" w:cs="Times New Roman"/>
          <w:sz w:val="24"/>
          <w:szCs w:val="24"/>
        </w:rPr>
        <w:t>addition, the allocation to different NPP components differed between the forest types. At similar basal areas, logged forest had 150% higher woody NPP and 46% higher fine root NPP than old-growth forest. Canopy NPP, on the other hand, was 38% lower in logged forest.</w:t>
      </w:r>
      <w:r w:rsidRPr="00BE3BC6">
        <w:rPr>
          <w:rFonts w:ascii="Times New Roman" w:hAnsi="Times New Roman" w:cs="Times New Roman"/>
          <w:sz w:val="24"/>
          <w:szCs w:val="24"/>
        </w:rPr>
        <w:t xml:space="preserve"> </w:t>
      </w:r>
    </w:p>
    <w:p w14:paraId="5DF66202" w14:textId="54AA501B"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The shape</w:t>
      </w:r>
      <w:r>
        <w:rPr>
          <w:rFonts w:ascii="Times New Roman" w:hAnsi="Times New Roman" w:cs="Times New Roman"/>
          <w:sz w:val="24"/>
          <w:szCs w:val="24"/>
        </w:rPr>
        <w:t>s</w:t>
      </w:r>
      <w:r w:rsidRPr="00BE3BC6">
        <w:rPr>
          <w:rFonts w:ascii="Times New Roman" w:hAnsi="Times New Roman" w:cs="Times New Roman"/>
          <w:sz w:val="24"/>
          <w:szCs w:val="24"/>
        </w:rPr>
        <w:t xml:space="preserve"> of the</w:t>
      </w:r>
      <w:r>
        <w:rPr>
          <w:rFonts w:ascii="Times New Roman" w:hAnsi="Times New Roman" w:cs="Times New Roman"/>
          <w:sz w:val="24"/>
          <w:szCs w:val="24"/>
        </w:rPr>
        <w:t xml:space="preserve"> basal area response curves </w:t>
      </w:r>
      <w:r w:rsidRPr="00BE3BC6">
        <w:rPr>
          <w:rFonts w:ascii="Times New Roman" w:hAnsi="Times New Roman" w:cs="Times New Roman"/>
          <w:sz w:val="24"/>
          <w:szCs w:val="24"/>
        </w:rPr>
        <w:t>illustrate structure</w:t>
      </w:r>
      <w:r>
        <w:rPr>
          <w:rFonts w:ascii="Times New Roman" w:hAnsi="Times New Roman" w:cs="Times New Roman"/>
          <w:sz w:val="24"/>
          <w:szCs w:val="24"/>
        </w:rPr>
        <w:t xml:space="preserve"> </w:t>
      </w:r>
      <w:r w:rsidRPr="00BE3BC6">
        <w:rPr>
          <w:rFonts w:ascii="Times New Roman" w:hAnsi="Times New Roman" w:cs="Times New Roman"/>
          <w:sz w:val="24"/>
          <w:szCs w:val="24"/>
        </w:rPr>
        <w:t>effects</w:t>
      </w:r>
      <w:r>
        <w:rPr>
          <w:rFonts w:ascii="Times New Roman" w:hAnsi="Times New Roman" w:cs="Times New Roman"/>
          <w:sz w:val="24"/>
          <w:szCs w:val="24"/>
        </w:rPr>
        <w:t xml:space="preserve"> (Fig. 6). </w:t>
      </w:r>
      <w:r w:rsidRPr="00BE3BC6">
        <w:rPr>
          <w:rFonts w:ascii="Times New Roman" w:hAnsi="Times New Roman" w:cs="Times New Roman"/>
          <w:sz w:val="24"/>
          <w:szCs w:val="24"/>
        </w:rPr>
        <w:t>These were particularly clear in logged forest, especially regarding canopy and woody NPP</w:t>
      </w:r>
      <w:r>
        <w:rPr>
          <w:rFonts w:ascii="Times New Roman" w:hAnsi="Times New Roman" w:cs="Times New Roman"/>
          <w:sz w:val="24"/>
          <w:szCs w:val="24"/>
        </w:rPr>
        <w:t>:</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canopy and woody </w:t>
      </w:r>
      <w:r w:rsidRPr="00BE3BC6">
        <w:rPr>
          <w:rFonts w:ascii="Times New Roman" w:hAnsi="Times New Roman" w:cs="Times New Roman"/>
          <w:sz w:val="24"/>
          <w:szCs w:val="24"/>
        </w:rPr>
        <w:t>NPP</w:t>
      </w:r>
      <w:r>
        <w:rPr>
          <w:rFonts w:ascii="Times New Roman" w:hAnsi="Times New Roman" w:cs="Times New Roman"/>
          <w:sz w:val="24"/>
          <w:szCs w:val="24"/>
        </w:rPr>
        <w:t xml:space="preserve"> were</w:t>
      </w:r>
      <w:r w:rsidRPr="00BE3BC6">
        <w:rPr>
          <w:rFonts w:ascii="Times New Roman" w:hAnsi="Times New Roman" w:cs="Times New Roman"/>
          <w:sz w:val="24"/>
          <w:szCs w:val="24"/>
        </w:rPr>
        <w:t xml:space="preserve"> low when basal area was small</w:t>
      </w:r>
      <w:r>
        <w:rPr>
          <w:rFonts w:ascii="Times New Roman" w:hAnsi="Times New Roman" w:cs="Times New Roman"/>
          <w:sz w:val="24"/>
          <w:szCs w:val="24"/>
        </w:rPr>
        <w:t>,</w:t>
      </w:r>
      <w:r w:rsidRPr="00BE3BC6">
        <w:rPr>
          <w:rFonts w:ascii="Times New Roman" w:hAnsi="Times New Roman" w:cs="Times New Roman"/>
          <w:sz w:val="24"/>
          <w:szCs w:val="24"/>
        </w:rPr>
        <w:t xml:space="preserve"> and increased sharply </w:t>
      </w:r>
      <w:r>
        <w:rPr>
          <w:rFonts w:ascii="Times New Roman" w:hAnsi="Times New Roman" w:cs="Times New Roman"/>
          <w:sz w:val="24"/>
          <w:szCs w:val="24"/>
        </w:rPr>
        <w:t xml:space="preserve">and linearly </w:t>
      </w:r>
      <w:r w:rsidRPr="00BE3BC6">
        <w:rPr>
          <w:rFonts w:ascii="Times New Roman" w:hAnsi="Times New Roman" w:cs="Times New Roman"/>
          <w:sz w:val="24"/>
          <w:szCs w:val="24"/>
        </w:rPr>
        <w:t>with increasing basal area</w:t>
      </w:r>
      <w:r>
        <w:rPr>
          <w:rFonts w:ascii="Times New Roman" w:hAnsi="Times New Roman" w:cs="Times New Roman"/>
          <w:sz w:val="24"/>
          <w:szCs w:val="24"/>
        </w:rPr>
        <w:t xml:space="preserve"> (though there is probably important herbaceous layer NPP in these gaps, which we do not account for)</w:t>
      </w:r>
      <w:r w:rsidRPr="00BE3BC6">
        <w:rPr>
          <w:rFonts w:ascii="Times New Roman" w:hAnsi="Times New Roman" w:cs="Times New Roman"/>
          <w:sz w:val="24"/>
          <w:szCs w:val="24"/>
        </w:rPr>
        <w:t>. The threshold appeared at the basal area of approximately 10 m</w:t>
      </w:r>
      <w:r w:rsidRPr="00BE3BC6">
        <w:rPr>
          <w:rFonts w:ascii="Times New Roman" w:hAnsi="Times New Roman" w:cs="Times New Roman"/>
          <w:sz w:val="24"/>
          <w:szCs w:val="24"/>
          <w:vertAlign w:val="superscript"/>
        </w:rPr>
        <w:t>2</w:t>
      </w:r>
      <w:r w:rsidRPr="00BE3BC6">
        <w:rPr>
          <w:rFonts w:ascii="Times New Roman" w:hAnsi="Times New Roman" w:cs="Times New Roman"/>
          <w:sz w:val="24"/>
          <w:szCs w:val="24"/>
        </w:rPr>
        <w:t xml:space="preserve"> ha</w:t>
      </w:r>
      <w:r w:rsidRPr="00BE3BC6">
        <w:rPr>
          <w:rFonts w:ascii="Times New Roman" w:hAnsi="Times New Roman" w:cs="Times New Roman"/>
          <w:sz w:val="24"/>
          <w:szCs w:val="24"/>
          <w:vertAlign w:val="superscript"/>
        </w:rPr>
        <w:t xml:space="preserve">-1 </w:t>
      </w:r>
      <w:r w:rsidRPr="00BE3BC6">
        <w:rPr>
          <w:rFonts w:ascii="Times New Roman" w:hAnsi="Times New Roman" w:cs="Times New Roman"/>
          <w:sz w:val="24"/>
          <w:szCs w:val="24"/>
        </w:rPr>
        <w:t>for canopy and woody NPP</w:t>
      </w:r>
      <w:r>
        <w:rPr>
          <w:rFonts w:ascii="Times New Roman" w:hAnsi="Times New Roman" w:cs="Times New Roman"/>
          <w:sz w:val="24"/>
          <w:szCs w:val="24"/>
        </w:rPr>
        <w:t xml:space="preserve"> (a threshold that </w:t>
      </w:r>
      <w:r w:rsidR="000B67DF">
        <w:rPr>
          <w:rFonts w:ascii="Times New Roman" w:hAnsi="Times New Roman" w:cs="Times New Roman"/>
          <w:sz w:val="24"/>
          <w:szCs w:val="24"/>
        </w:rPr>
        <w:t xml:space="preserve">may </w:t>
      </w:r>
      <w:r>
        <w:rPr>
          <w:rFonts w:ascii="Times New Roman" w:hAnsi="Times New Roman" w:cs="Times New Roman"/>
          <w:sz w:val="24"/>
          <w:szCs w:val="24"/>
        </w:rPr>
        <w:t>suggest canopy closure)</w:t>
      </w:r>
      <w:r w:rsidRPr="00BE3BC6">
        <w:rPr>
          <w:rFonts w:ascii="Times New Roman" w:hAnsi="Times New Roman" w:cs="Times New Roman"/>
          <w:sz w:val="24"/>
          <w:szCs w:val="24"/>
        </w:rPr>
        <w:t>, after which the slope become</w:t>
      </w:r>
      <w:r w:rsidR="000B67DF">
        <w:rPr>
          <w:rFonts w:ascii="Times New Roman" w:hAnsi="Times New Roman" w:cs="Times New Roman"/>
          <w:sz w:val="24"/>
          <w:szCs w:val="24"/>
        </w:rPr>
        <w:t>s</w:t>
      </w:r>
      <w:r w:rsidRPr="00BE3BC6">
        <w:rPr>
          <w:rFonts w:ascii="Times New Roman" w:hAnsi="Times New Roman" w:cs="Times New Roman"/>
          <w:sz w:val="24"/>
          <w:szCs w:val="24"/>
        </w:rPr>
        <w:t xml:space="preserve"> less steep</w:t>
      </w:r>
      <w:r>
        <w:rPr>
          <w:rFonts w:ascii="Times New Roman" w:hAnsi="Times New Roman" w:cs="Times New Roman"/>
          <w:sz w:val="24"/>
          <w:szCs w:val="24"/>
        </w:rPr>
        <w:t xml:space="preserve">. </w:t>
      </w:r>
      <w:r w:rsidRPr="00BE3BC6">
        <w:rPr>
          <w:rFonts w:ascii="Times New Roman" w:hAnsi="Times New Roman" w:cs="Times New Roman"/>
          <w:sz w:val="24"/>
          <w:szCs w:val="24"/>
        </w:rPr>
        <w:t xml:space="preserve">As a result, total NPP in logged forest also followed this pattern. However, </w:t>
      </w:r>
      <w:r>
        <w:rPr>
          <w:rFonts w:ascii="Times New Roman" w:hAnsi="Times New Roman" w:cs="Times New Roman"/>
          <w:sz w:val="24"/>
          <w:szCs w:val="24"/>
        </w:rPr>
        <w:t xml:space="preserve">fine </w:t>
      </w:r>
      <w:r w:rsidRPr="00BE3BC6">
        <w:rPr>
          <w:rFonts w:ascii="Times New Roman" w:hAnsi="Times New Roman" w:cs="Times New Roman"/>
          <w:sz w:val="24"/>
          <w:szCs w:val="24"/>
        </w:rPr>
        <w:t xml:space="preserve">root NPP showed a more </w:t>
      </w:r>
      <w:r>
        <w:rPr>
          <w:rFonts w:ascii="Times New Roman" w:hAnsi="Times New Roman" w:cs="Times New Roman"/>
          <w:sz w:val="24"/>
          <w:szCs w:val="24"/>
        </w:rPr>
        <w:t xml:space="preserve">consistently </w:t>
      </w:r>
      <w:r w:rsidRPr="00BE3BC6">
        <w:rPr>
          <w:rFonts w:ascii="Times New Roman" w:hAnsi="Times New Roman" w:cs="Times New Roman"/>
          <w:sz w:val="24"/>
          <w:szCs w:val="24"/>
        </w:rPr>
        <w:t xml:space="preserve">linear </w:t>
      </w:r>
      <w:r>
        <w:rPr>
          <w:rFonts w:ascii="Times New Roman" w:hAnsi="Times New Roman" w:cs="Times New Roman"/>
          <w:sz w:val="24"/>
          <w:szCs w:val="24"/>
        </w:rPr>
        <w:t>relationship with basal area</w:t>
      </w:r>
      <w:r w:rsidRPr="00BE3BC6">
        <w:rPr>
          <w:rFonts w:ascii="Times New Roman" w:hAnsi="Times New Roman" w:cs="Times New Roman"/>
          <w:sz w:val="24"/>
          <w:szCs w:val="24"/>
        </w:rPr>
        <w:t xml:space="preserve"> and no clear basal </w:t>
      </w:r>
      <w:r w:rsidRPr="007D6079">
        <w:rPr>
          <w:rFonts w:ascii="Times New Roman" w:hAnsi="Times New Roman" w:cs="Times New Roman"/>
          <w:sz w:val="24"/>
          <w:szCs w:val="24"/>
        </w:rPr>
        <w:t>area threshold. The old-growth forest plots did not have subplots with low basal areas, and in these plots all responses were relatively linear, or in the case of the canopy NPP, showed little relationship with basal area. Hence, canopy NPP was relatively insensitive to forest structure above a threshold basal area of canopy closure in both logged and old-growth forests, while woody, fine root and total NPP showed a greater sensitivity to basal area in logged forests than in old-growth forests. Slopes of linear regressions when basal area &gt;10 m</w:t>
      </w:r>
      <w:r w:rsidRPr="007D6079">
        <w:rPr>
          <w:rFonts w:ascii="Times New Roman" w:hAnsi="Times New Roman" w:cs="Times New Roman"/>
          <w:sz w:val="24"/>
          <w:szCs w:val="24"/>
          <w:vertAlign w:val="superscript"/>
        </w:rPr>
        <w:t>2</w:t>
      </w:r>
      <w:r w:rsidRPr="007D6079">
        <w:rPr>
          <w:rFonts w:ascii="Times New Roman" w:hAnsi="Times New Roman" w:cs="Times New Roman"/>
          <w:sz w:val="24"/>
          <w:szCs w:val="24"/>
        </w:rPr>
        <w:t xml:space="preserve">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xml:space="preserve"> did not differ between logged and old-growth forest for canopy NPP (p=0.840), was borderline significant for woody NPP (p=0.053), and did differ for fine root </w:t>
      </w:r>
      <w:r w:rsidRPr="007D6079">
        <w:rPr>
          <w:rFonts w:ascii="Times New Roman" w:hAnsi="Times New Roman" w:cs="Times New Roman"/>
          <w:sz w:val="24"/>
          <w:szCs w:val="24"/>
        </w:rPr>
        <w:lastRenderedPageBreak/>
        <w:t>NPP (p=0.028) and total NPP (p=0.022) (the results were similar when basal area threshold was increased to &gt;20 m</w:t>
      </w:r>
      <w:r w:rsidRPr="007D6079">
        <w:rPr>
          <w:rFonts w:ascii="Times New Roman" w:hAnsi="Times New Roman" w:cs="Times New Roman"/>
          <w:sz w:val="24"/>
          <w:szCs w:val="24"/>
          <w:vertAlign w:val="superscript"/>
        </w:rPr>
        <w:t>2</w:t>
      </w:r>
      <w:r w:rsidRPr="007D6079">
        <w:rPr>
          <w:rFonts w:ascii="Times New Roman" w:hAnsi="Times New Roman" w:cs="Times New Roman"/>
          <w:sz w:val="24"/>
          <w:szCs w:val="24"/>
        </w:rPr>
        <w:t xml:space="preserve">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w:t>
      </w:r>
    </w:p>
    <w:p w14:paraId="501ABD58" w14:textId="77777777" w:rsidR="00914113" w:rsidRDefault="00914113" w:rsidP="00D061BC">
      <w:pPr>
        <w:spacing w:line="48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6A82EDFE" wp14:editId="3BF106EF">
            <wp:extent cx="5731510" cy="57226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_BA+GamSmoothers_GammaDist_LinearScale_withDanum_GCB.tiff"/>
                    <pic:cNvPicPr/>
                  </pic:nvPicPr>
                  <pic:blipFill>
                    <a:blip r:embed="rId14">
                      <a:extLst>
                        <a:ext uri="{28A0092B-C50C-407E-A947-70E740481C1C}">
                          <a14:useLocalDpi xmlns:a14="http://schemas.microsoft.com/office/drawing/2010/main" val="0"/>
                        </a:ext>
                      </a:extLst>
                    </a:blip>
                    <a:stretch>
                      <a:fillRect/>
                    </a:stretch>
                  </pic:blipFill>
                  <pic:spPr>
                    <a:xfrm>
                      <a:off x="0" y="0"/>
                      <a:ext cx="5731510" cy="5722620"/>
                    </a:xfrm>
                    <a:prstGeom prst="rect">
                      <a:avLst/>
                    </a:prstGeom>
                  </pic:spPr>
                </pic:pic>
              </a:graphicData>
            </a:graphic>
          </wp:inline>
        </w:drawing>
      </w:r>
    </w:p>
    <w:p w14:paraId="2CDEB1E9" w14:textId="5BCD136B" w:rsidR="00914113"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b/>
          <w:sz w:val="24"/>
          <w:szCs w:val="24"/>
        </w:rPr>
        <w:t xml:space="preserve">Figure 6. a) </w:t>
      </w:r>
      <w:r w:rsidRPr="007D6079">
        <w:rPr>
          <w:rFonts w:ascii="Times New Roman" w:hAnsi="Times New Roman" w:cs="Times New Roman"/>
          <w:sz w:val="24"/>
          <w:szCs w:val="24"/>
        </w:rPr>
        <w:t>Canopy</w:t>
      </w:r>
      <w:r w:rsidRPr="00BE3BC6">
        <w:rPr>
          <w:rFonts w:ascii="Times New Roman" w:hAnsi="Times New Roman" w:cs="Times New Roman"/>
          <w:sz w:val="24"/>
          <w:szCs w:val="24"/>
        </w:rPr>
        <w:t xml:space="preserve">, </w:t>
      </w:r>
      <w:r w:rsidRPr="00BE3BC6">
        <w:rPr>
          <w:rFonts w:ascii="Times New Roman" w:hAnsi="Times New Roman" w:cs="Times New Roman"/>
          <w:b/>
          <w:sz w:val="24"/>
          <w:szCs w:val="24"/>
        </w:rPr>
        <w:t>b)</w:t>
      </w:r>
      <w:r w:rsidRPr="00BE3BC6">
        <w:rPr>
          <w:rFonts w:ascii="Times New Roman" w:hAnsi="Times New Roman" w:cs="Times New Roman"/>
          <w:sz w:val="24"/>
          <w:szCs w:val="24"/>
        </w:rPr>
        <w:t xml:space="preserve"> woody, </w:t>
      </w:r>
      <w:r w:rsidRPr="00BE3BC6">
        <w:rPr>
          <w:rFonts w:ascii="Times New Roman" w:hAnsi="Times New Roman" w:cs="Times New Roman"/>
          <w:b/>
          <w:sz w:val="24"/>
          <w:szCs w:val="24"/>
        </w:rPr>
        <w:t xml:space="preserve">c) </w:t>
      </w:r>
      <w:r w:rsidRPr="00BE3BC6">
        <w:rPr>
          <w:rFonts w:ascii="Times New Roman" w:hAnsi="Times New Roman" w:cs="Times New Roman"/>
          <w:sz w:val="24"/>
          <w:szCs w:val="24"/>
        </w:rPr>
        <w:t xml:space="preserve">fine root and </w:t>
      </w:r>
      <w:r w:rsidRPr="00BE3BC6">
        <w:rPr>
          <w:rFonts w:ascii="Times New Roman" w:hAnsi="Times New Roman" w:cs="Times New Roman"/>
          <w:b/>
          <w:sz w:val="24"/>
          <w:szCs w:val="24"/>
        </w:rPr>
        <w:t xml:space="preserve">d) </w:t>
      </w:r>
      <w:r w:rsidRPr="00BE3BC6">
        <w:rPr>
          <w:rFonts w:ascii="Times New Roman" w:hAnsi="Times New Roman" w:cs="Times New Roman"/>
          <w:sz w:val="24"/>
          <w:szCs w:val="24"/>
        </w:rPr>
        <w:t>total net primary productivity (NPP) as a function of basal area of stems &gt;10 cm diameter in logged and old-growth forest. The lines are cubic regression spline smoothers from general additive models and the grey bands are ± 95% confidence intervals. The inward and outward rug</w:t>
      </w:r>
      <w:r>
        <w:rPr>
          <w:rFonts w:ascii="Times New Roman" w:hAnsi="Times New Roman" w:cs="Times New Roman"/>
          <w:sz w:val="24"/>
          <w:szCs w:val="24"/>
        </w:rPr>
        <w:t>s on the x axes denote</w:t>
      </w:r>
      <w:r w:rsidRPr="00BE3BC6">
        <w:rPr>
          <w:rFonts w:ascii="Times New Roman" w:hAnsi="Times New Roman" w:cs="Times New Roman"/>
          <w:sz w:val="24"/>
          <w:szCs w:val="24"/>
        </w:rPr>
        <w:t xml:space="preserve"> the distribution of the basal area data in logged and old-growth forest, respectively</w:t>
      </w:r>
      <w:r>
        <w:rPr>
          <w:rFonts w:ascii="Times New Roman" w:hAnsi="Times New Roman" w:cs="Times New Roman"/>
          <w:sz w:val="24"/>
          <w:szCs w:val="24"/>
        </w:rPr>
        <w:t xml:space="preserve">. To see </w:t>
      </w:r>
      <w:r w:rsidR="00EE49A0">
        <w:rPr>
          <w:rFonts w:ascii="Times New Roman" w:hAnsi="Times New Roman" w:cs="Times New Roman"/>
          <w:sz w:val="24"/>
          <w:szCs w:val="24"/>
        </w:rPr>
        <w:t xml:space="preserve">plots with </w:t>
      </w:r>
      <w:r>
        <w:rPr>
          <w:rFonts w:ascii="Times New Roman" w:hAnsi="Times New Roman" w:cs="Times New Roman"/>
          <w:sz w:val="24"/>
          <w:szCs w:val="24"/>
        </w:rPr>
        <w:t>data points</w:t>
      </w:r>
      <w:r w:rsidR="00EE49A0">
        <w:rPr>
          <w:rFonts w:ascii="Times New Roman" w:hAnsi="Times New Roman" w:cs="Times New Roman"/>
          <w:sz w:val="24"/>
          <w:szCs w:val="24"/>
        </w:rPr>
        <w:t xml:space="preserve"> overlaid</w:t>
      </w:r>
      <w:r>
        <w:rPr>
          <w:rFonts w:ascii="Times New Roman" w:hAnsi="Times New Roman" w:cs="Times New Roman"/>
          <w:sz w:val="24"/>
          <w:szCs w:val="24"/>
        </w:rPr>
        <w:t>, see Fig. S</w:t>
      </w:r>
      <w:r w:rsidR="009F1B2B">
        <w:rPr>
          <w:rFonts w:ascii="Times New Roman" w:hAnsi="Times New Roman" w:cs="Times New Roman"/>
          <w:sz w:val="24"/>
          <w:szCs w:val="24"/>
        </w:rPr>
        <w:t>5</w:t>
      </w:r>
      <w:r>
        <w:rPr>
          <w:rFonts w:ascii="Times New Roman" w:hAnsi="Times New Roman" w:cs="Times New Roman"/>
          <w:sz w:val="24"/>
          <w:szCs w:val="24"/>
        </w:rPr>
        <w:t>.</w:t>
      </w:r>
    </w:p>
    <w:p w14:paraId="765C026C" w14:textId="77777777" w:rsidR="00914113" w:rsidRDefault="00914113" w:rsidP="00D061BC">
      <w:pPr>
        <w:spacing w:line="480" w:lineRule="auto"/>
        <w:rPr>
          <w:rFonts w:ascii="Times New Roman" w:hAnsi="Times New Roman" w:cs="Times New Roman"/>
          <w:sz w:val="24"/>
          <w:szCs w:val="24"/>
        </w:rPr>
      </w:pPr>
    </w:p>
    <w:p w14:paraId="42D5CDB7" w14:textId="77777777" w:rsidR="00914113" w:rsidRDefault="00914113" w:rsidP="00D061BC">
      <w:pPr>
        <w:spacing w:line="480" w:lineRule="auto"/>
        <w:rPr>
          <w:rFonts w:ascii="Times New Roman" w:hAnsi="Times New Roman" w:cs="Times New Roman"/>
          <w:sz w:val="24"/>
          <w:szCs w:val="24"/>
        </w:rPr>
      </w:pPr>
    </w:p>
    <w:p w14:paraId="1F41AF4A" w14:textId="42FEEB42" w:rsidR="00914113"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sz w:val="24"/>
          <w:szCs w:val="24"/>
        </w:rPr>
        <w:t xml:space="preserve">The relative importance of the productivity, allocation and structure effects on the variation in NPP between logged and old-growth forest is summarised in Figure 7. Compared with old-growth forest, the productivity effect increased the logged forest NPP by 31%. However, this effect was partly offset by the structure effect (logged forest plots having many subplots with very low basal area and no subplots with very high basal area; see data distribution rugs in Fig. 6), which lowered the logged forest NPP by 15%. The net effect was that NPP was only slightly (not significantly) higher in the logged forest at the 1 ha plot scale (Fig. 3d), although the difference between the two forest types within the overlapping basal area range was </w:t>
      </w:r>
      <w:r w:rsidR="00EE49A0">
        <w:rPr>
          <w:rFonts w:ascii="Times New Roman" w:hAnsi="Times New Roman" w:cs="Times New Roman"/>
          <w:sz w:val="24"/>
          <w:szCs w:val="24"/>
        </w:rPr>
        <w:t>more marked</w:t>
      </w:r>
      <w:r w:rsidRPr="007D6079">
        <w:rPr>
          <w:rFonts w:ascii="Times New Roman" w:hAnsi="Times New Roman" w:cs="Times New Roman"/>
          <w:sz w:val="24"/>
          <w:szCs w:val="24"/>
        </w:rPr>
        <w:t>. Woody NPP showed the largest difference between the forest types</w:t>
      </w:r>
      <w:r w:rsidR="00EE49A0">
        <w:rPr>
          <w:rFonts w:ascii="Times New Roman" w:hAnsi="Times New Roman" w:cs="Times New Roman"/>
          <w:sz w:val="24"/>
          <w:szCs w:val="24"/>
        </w:rPr>
        <w:t>, being</w:t>
      </w:r>
      <w:r w:rsidRPr="007D6079">
        <w:rPr>
          <w:rFonts w:ascii="Times New Roman" w:hAnsi="Times New Roman" w:cs="Times New Roman"/>
          <w:sz w:val="24"/>
          <w:szCs w:val="24"/>
        </w:rPr>
        <w:t xml:space="preserve"> 83% higher in logged forest than in old-growth forest (Fig. 7) as a result of positive productivity and allocation effects. Canopy NPP, on the other hand, was smaller in logged forest, due to less allocation to canopy (allocation effect -61%). Fine root NPP was similar in both forest types (slightly higher in logged forest but not significant at the plot scale), with no evidence of increased allocation to fine roots in logged forest</w:t>
      </w:r>
      <w:r w:rsidRPr="000D4176">
        <w:rPr>
          <w:rFonts w:ascii="Times New Roman" w:hAnsi="Times New Roman" w:cs="Times New Roman"/>
          <w:sz w:val="24"/>
          <w:szCs w:val="24"/>
        </w:rPr>
        <w:t>.</w:t>
      </w:r>
    </w:p>
    <w:p w14:paraId="35EE5A23" w14:textId="77777777" w:rsidR="00914113" w:rsidRDefault="00914113" w:rsidP="00D061BC">
      <w:pPr>
        <w:spacing w:line="480" w:lineRule="auto"/>
        <w:rPr>
          <w:rFonts w:ascii="Times New Roman" w:hAnsi="Times New Roman" w:cs="Times New Roman"/>
          <w:sz w:val="24"/>
          <w:szCs w:val="24"/>
        </w:rPr>
      </w:pPr>
      <w:r w:rsidRPr="00D1448A">
        <w:rPr>
          <w:noProof/>
          <w:lang w:eastAsia="en-GB"/>
        </w:rPr>
        <w:lastRenderedPageBreak/>
        <w:drawing>
          <wp:inline distT="0" distB="0" distL="0" distR="0" wp14:anchorId="28A3DA9D" wp14:editId="31068012">
            <wp:extent cx="4348264" cy="3596092"/>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48528" cy="3596310"/>
                    </a:xfrm>
                    <a:prstGeom prst="rect">
                      <a:avLst/>
                    </a:prstGeom>
                    <a:noFill/>
                    <a:ln>
                      <a:noFill/>
                    </a:ln>
                  </pic:spPr>
                </pic:pic>
              </a:graphicData>
            </a:graphic>
          </wp:inline>
        </w:drawing>
      </w:r>
    </w:p>
    <w:p w14:paraId="1404C9A8" w14:textId="77777777" w:rsidR="00914113" w:rsidRDefault="00914113" w:rsidP="00D061BC">
      <w:pPr>
        <w:spacing w:line="480" w:lineRule="auto"/>
        <w:rPr>
          <w:rFonts w:ascii="Times New Roman" w:hAnsi="Times New Roman" w:cs="Times New Roman"/>
          <w:sz w:val="24"/>
          <w:szCs w:val="24"/>
        </w:rPr>
      </w:pPr>
      <w:r w:rsidRPr="00FE280C">
        <w:rPr>
          <w:rFonts w:ascii="Times New Roman" w:hAnsi="Times New Roman" w:cs="Times New Roman"/>
          <w:b/>
          <w:sz w:val="24"/>
          <w:szCs w:val="24"/>
        </w:rPr>
        <w:t xml:space="preserve">Figure </w:t>
      </w:r>
      <w:r>
        <w:rPr>
          <w:rFonts w:ascii="Times New Roman" w:hAnsi="Times New Roman" w:cs="Times New Roman"/>
          <w:b/>
          <w:sz w:val="24"/>
          <w:szCs w:val="24"/>
        </w:rPr>
        <w:t>7</w:t>
      </w:r>
      <w:r w:rsidRPr="00FE280C">
        <w:rPr>
          <w:rFonts w:ascii="Times New Roman" w:hAnsi="Times New Roman" w:cs="Times New Roman"/>
          <w:b/>
          <w:sz w:val="24"/>
          <w:szCs w:val="24"/>
        </w:rPr>
        <w:t>.</w:t>
      </w:r>
      <w:r>
        <w:rPr>
          <w:rFonts w:ascii="Times New Roman" w:hAnsi="Times New Roman" w:cs="Times New Roman"/>
          <w:sz w:val="24"/>
          <w:szCs w:val="24"/>
        </w:rPr>
        <w:t xml:space="preserve"> The percentage change in net primary productivity (NPP) in logged forest, compared with old-growth forest. The net effect is partitioned to productivity effect, allocation effect and structure effect, the sum of which equals the net effect. </w:t>
      </w:r>
      <w:r w:rsidRPr="00BE3BC6">
        <w:rPr>
          <w:rFonts w:ascii="Times New Roman" w:hAnsi="Times New Roman" w:cs="Times New Roman"/>
          <w:sz w:val="24"/>
          <w:szCs w:val="24"/>
        </w:rPr>
        <w:t>Error bars are</w:t>
      </w:r>
      <w:r>
        <w:rPr>
          <w:rFonts w:ascii="Times New Roman" w:hAnsi="Times New Roman" w:cs="Times New Roman"/>
          <w:sz w:val="24"/>
          <w:szCs w:val="24"/>
        </w:rPr>
        <w:t xml:space="preserve"> ±</w:t>
      </w:r>
      <w:r w:rsidRPr="00BE3BC6">
        <w:rPr>
          <w:rFonts w:ascii="Times New Roman" w:hAnsi="Times New Roman" w:cs="Times New Roman"/>
          <w:sz w:val="24"/>
          <w:szCs w:val="24"/>
        </w:rPr>
        <w:t>1 SE</w:t>
      </w:r>
      <w:r>
        <w:rPr>
          <w:rFonts w:ascii="Times New Roman" w:hAnsi="Times New Roman" w:cs="Times New Roman"/>
          <w:sz w:val="24"/>
          <w:szCs w:val="24"/>
        </w:rPr>
        <w:t>.</w:t>
      </w:r>
    </w:p>
    <w:p w14:paraId="16B8FCD0" w14:textId="77777777" w:rsidR="00914113" w:rsidRDefault="00914113" w:rsidP="00D061BC">
      <w:pPr>
        <w:spacing w:line="480" w:lineRule="auto"/>
        <w:rPr>
          <w:rFonts w:ascii="Times New Roman" w:hAnsi="Times New Roman" w:cs="Times New Roman"/>
          <w:sz w:val="24"/>
          <w:szCs w:val="24"/>
        </w:rPr>
      </w:pPr>
    </w:p>
    <w:p w14:paraId="51C775AD"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DISCUSSION</w:t>
      </w:r>
    </w:p>
    <w:p w14:paraId="6BFA5DF0"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NPP and its allocation along the disturbance gradient from old-growth to heavily logged forest</w:t>
      </w:r>
    </w:p>
    <w:p w14:paraId="7EF2B632" w14:textId="77777777" w:rsidR="00914113" w:rsidRPr="00BE3BC6" w:rsidRDefault="00914113" w:rsidP="00D061BC">
      <w:pPr>
        <w:spacing w:line="480" w:lineRule="auto"/>
        <w:rPr>
          <w:rFonts w:ascii="Times New Roman" w:hAnsi="Times New Roman" w:cs="Times New Roman"/>
          <w:sz w:val="24"/>
          <w:szCs w:val="24"/>
        </w:rPr>
      </w:pPr>
      <w:r>
        <w:rPr>
          <w:rFonts w:ascii="Times New Roman" w:hAnsi="Times New Roman" w:cs="Times New Roman"/>
          <w:sz w:val="24"/>
          <w:szCs w:val="24"/>
        </w:rPr>
        <w:t xml:space="preserve">To our </w:t>
      </w:r>
      <w:r w:rsidRPr="00BE3BC6">
        <w:rPr>
          <w:rFonts w:ascii="Times New Roman" w:hAnsi="Times New Roman" w:cs="Times New Roman"/>
          <w:sz w:val="24"/>
          <w:szCs w:val="24"/>
        </w:rPr>
        <w:t xml:space="preserve">knowledge, these are the first comprehensive NPP estimates for human-modified tropical forests, describing all the main NPP components. In these forests, total NPP was similar </w:t>
      </w:r>
      <w:r w:rsidRPr="007D6079">
        <w:rPr>
          <w:rFonts w:ascii="Times New Roman" w:hAnsi="Times New Roman" w:cs="Times New Roman"/>
          <w:sz w:val="24"/>
          <w:szCs w:val="24"/>
        </w:rPr>
        <w:t xml:space="preserve">in both forest types, although logged forests showed more variation, both within and among plots. In a previous publication, NPP estimates in the two plots in Lambir were put into pan-tropical context </w:t>
      </w:r>
      <w:r w:rsidRPr="007D6079">
        <w:rPr>
          <w:rFonts w:ascii="Times New Roman" w:hAnsi="Times New Roman" w:cs="Times New Roman"/>
          <w:noProof/>
          <w:sz w:val="24"/>
          <w:szCs w:val="24"/>
        </w:rPr>
        <w:t>(see Table 3 in Kho</w:t>
      </w:r>
      <w:r w:rsidRPr="007D6079">
        <w:rPr>
          <w:rFonts w:ascii="Times New Roman" w:hAnsi="Times New Roman" w:cs="Times New Roman"/>
          <w:i/>
          <w:noProof/>
          <w:sz w:val="24"/>
          <w:szCs w:val="24"/>
        </w:rPr>
        <w:t xml:space="preserve"> et al.</w:t>
      </w:r>
      <w:r w:rsidRPr="007D6079">
        <w:rPr>
          <w:rFonts w:ascii="Times New Roman" w:hAnsi="Times New Roman" w:cs="Times New Roman"/>
          <w:noProof/>
          <w:sz w:val="24"/>
          <w:szCs w:val="24"/>
        </w:rPr>
        <w:t>, 2013)</w:t>
      </w:r>
      <w:r w:rsidRPr="007D6079">
        <w:rPr>
          <w:rFonts w:ascii="Times New Roman" w:hAnsi="Times New Roman" w:cs="Times New Roman"/>
          <w:sz w:val="24"/>
          <w:szCs w:val="24"/>
        </w:rPr>
        <w:t>, showing that NPP in Bornean old-</w:t>
      </w:r>
      <w:r w:rsidRPr="007D6079">
        <w:rPr>
          <w:rFonts w:ascii="Times New Roman" w:hAnsi="Times New Roman" w:cs="Times New Roman"/>
          <w:sz w:val="24"/>
          <w:szCs w:val="24"/>
        </w:rPr>
        <w:lastRenderedPageBreak/>
        <w:t>growth forests is higher (this study: 13.5 Mg C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xml:space="preserve"> year</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with SE of 0.519 Mg C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xml:space="preserve"> year</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than the tropical average (11.2 ± 0.73 Mg C ha</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xml:space="preserve"> year</w:t>
      </w:r>
      <w:r w:rsidRPr="007D6079">
        <w:rPr>
          <w:rFonts w:ascii="Times New Roman" w:hAnsi="Times New Roman" w:cs="Times New Roman"/>
          <w:sz w:val="24"/>
          <w:szCs w:val="24"/>
          <w:vertAlign w:val="superscript"/>
        </w:rPr>
        <w:t>-1</w:t>
      </w:r>
      <w:r w:rsidRPr="007D6079">
        <w:rPr>
          <w:rFonts w:ascii="Times New Roman" w:hAnsi="Times New Roman" w:cs="Times New Roman"/>
          <w:sz w:val="24"/>
          <w:szCs w:val="24"/>
        </w:rPr>
        <w:t>), but not exceptionally so.</w:t>
      </w:r>
      <w:r w:rsidRPr="00BE3BC6">
        <w:rPr>
          <w:rFonts w:ascii="Times New Roman" w:hAnsi="Times New Roman" w:cs="Times New Roman"/>
          <w:sz w:val="24"/>
          <w:szCs w:val="24"/>
        </w:rPr>
        <w:t xml:space="preserve"> </w:t>
      </w:r>
    </w:p>
    <w:p w14:paraId="40449FAA" w14:textId="40E1DB9E"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Despite similar productivity</w:t>
      </w:r>
      <w:r>
        <w:rPr>
          <w:rFonts w:ascii="Times New Roman" w:hAnsi="Times New Roman" w:cs="Times New Roman"/>
          <w:sz w:val="24"/>
          <w:szCs w:val="24"/>
        </w:rPr>
        <w:t xml:space="preserve"> in logged and old-growth forests, the legacy of </w:t>
      </w:r>
      <w:r w:rsidRPr="00BE3BC6">
        <w:rPr>
          <w:rFonts w:ascii="Times New Roman" w:hAnsi="Times New Roman" w:cs="Times New Roman"/>
          <w:sz w:val="24"/>
          <w:szCs w:val="24"/>
        </w:rPr>
        <w:t xml:space="preserve">logging was evident in the significantly reduced woody carbon stocks in logged forests. The absence of the largest trees contributed most to the lower carbon stocks in logged plots, but it is noteworthy </w:t>
      </w:r>
      <w:r>
        <w:rPr>
          <w:rFonts w:ascii="Times New Roman" w:hAnsi="Times New Roman" w:cs="Times New Roman"/>
          <w:sz w:val="24"/>
          <w:szCs w:val="24"/>
        </w:rPr>
        <w:t xml:space="preserve">that the </w:t>
      </w:r>
      <w:r w:rsidRPr="00BE3BC6">
        <w:rPr>
          <w:rFonts w:ascii="Times New Roman" w:hAnsi="Times New Roman" w:cs="Times New Roman"/>
          <w:sz w:val="24"/>
          <w:szCs w:val="24"/>
        </w:rPr>
        <w:t xml:space="preserve">carbon stock and the number of stems was lower </w:t>
      </w:r>
      <w:r>
        <w:rPr>
          <w:rFonts w:ascii="Times New Roman" w:hAnsi="Times New Roman" w:cs="Times New Roman"/>
          <w:sz w:val="24"/>
          <w:szCs w:val="24"/>
        </w:rPr>
        <w:t xml:space="preserve">even </w:t>
      </w:r>
      <w:r w:rsidRPr="00BE3BC6">
        <w:rPr>
          <w:rFonts w:ascii="Times New Roman" w:hAnsi="Times New Roman" w:cs="Times New Roman"/>
          <w:sz w:val="24"/>
          <w:szCs w:val="24"/>
        </w:rPr>
        <w:t>in the smallest diameter classes</w:t>
      </w:r>
      <w:r w:rsidRPr="005064BE">
        <w:rPr>
          <w:rFonts w:ascii="Times New Roman" w:hAnsi="Times New Roman" w:cs="Times New Roman"/>
          <w:sz w:val="24"/>
          <w:szCs w:val="24"/>
        </w:rPr>
        <w:t xml:space="preserve"> </w:t>
      </w:r>
      <w:r w:rsidRPr="00BE3BC6">
        <w:rPr>
          <w:rFonts w:ascii="Times New Roman" w:hAnsi="Times New Roman" w:cs="Times New Roman"/>
          <w:sz w:val="24"/>
          <w:szCs w:val="24"/>
        </w:rPr>
        <w:t xml:space="preserve">in the heavily logged plots </w:t>
      </w:r>
      <w:r>
        <w:rPr>
          <w:rFonts w:ascii="Times New Roman" w:hAnsi="Times New Roman" w:cs="Times New Roman"/>
          <w:sz w:val="24"/>
          <w:szCs w:val="24"/>
        </w:rPr>
        <w:t xml:space="preserve">compared with old-growth plots, which is similar to the pattern observed in Indonesian Borneo </w:t>
      </w:r>
      <w:r>
        <w:rPr>
          <w:rFonts w:ascii="Times New Roman" w:hAnsi="Times New Roman" w:cs="Times New Roman"/>
          <w:noProof/>
          <w:sz w:val="24"/>
          <w:szCs w:val="24"/>
        </w:rPr>
        <w:t>(Cannon</w:t>
      </w:r>
      <w:r w:rsidRPr="004D6582">
        <w:rPr>
          <w:rFonts w:ascii="Times New Roman" w:hAnsi="Times New Roman" w:cs="Times New Roman"/>
          <w:i/>
          <w:noProof/>
          <w:sz w:val="24"/>
          <w:szCs w:val="24"/>
        </w:rPr>
        <w:t xml:space="preserve"> et al.</w:t>
      </w:r>
      <w:r>
        <w:rPr>
          <w:rFonts w:ascii="Times New Roman" w:hAnsi="Times New Roman" w:cs="Times New Roman"/>
          <w:noProof/>
          <w:sz w:val="24"/>
          <w:szCs w:val="24"/>
        </w:rPr>
        <w:t>, 1994)</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BE3BC6">
        <w:rPr>
          <w:rFonts w:ascii="Times New Roman" w:hAnsi="Times New Roman" w:cs="Times New Roman"/>
          <w:sz w:val="24"/>
          <w:szCs w:val="24"/>
        </w:rPr>
        <w:t>logged plo</w:t>
      </w:r>
      <w:r>
        <w:rPr>
          <w:rFonts w:ascii="Times New Roman" w:hAnsi="Times New Roman" w:cs="Times New Roman"/>
          <w:sz w:val="24"/>
          <w:szCs w:val="24"/>
        </w:rPr>
        <w:t>ts</w:t>
      </w:r>
      <w:r w:rsidRPr="00BE3BC6">
        <w:rPr>
          <w:rFonts w:ascii="Times New Roman" w:hAnsi="Times New Roman" w:cs="Times New Roman"/>
          <w:sz w:val="24"/>
          <w:szCs w:val="24"/>
        </w:rPr>
        <w:t xml:space="preserve"> had </w:t>
      </w:r>
      <w:r>
        <w:rPr>
          <w:rFonts w:ascii="Times New Roman" w:hAnsi="Times New Roman" w:cs="Times New Roman"/>
          <w:sz w:val="24"/>
          <w:szCs w:val="24"/>
        </w:rPr>
        <w:t>experienced on average a 50</w:t>
      </w:r>
      <w:r w:rsidRPr="00BE3BC6">
        <w:rPr>
          <w:rFonts w:ascii="Times New Roman" w:hAnsi="Times New Roman" w:cs="Times New Roman"/>
          <w:sz w:val="24"/>
          <w:szCs w:val="24"/>
        </w:rPr>
        <w:t xml:space="preserve">% reduction in </w:t>
      </w:r>
      <w:r>
        <w:rPr>
          <w:rFonts w:ascii="Times New Roman" w:hAnsi="Times New Roman" w:cs="Times New Roman"/>
          <w:sz w:val="24"/>
          <w:szCs w:val="24"/>
        </w:rPr>
        <w:t>their</w:t>
      </w:r>
      <w:r w:rsidRPr="00BE3BC6">
        <w:rPr>
          <w:rFonts w:ascii="Times New Roman" w:hAnsi="Times New Roman" w:cs="Times New Roman"/>
          <w:sz w:val="24"/>
          <w:szCs w:val="24"/>
        </w:rPr>
        <w:t xml:space="preserve"> woody carbon stock</w:t>
      </w:r>
      <w:r>
        <w:rPr>
          <w:rFonts w:ascii="Times New Roman" w:hAnsi="Times New Roman" w:cs="Times New Roman"/>
          <w:sz w:val="24"/>
          <w:szCs w:val="24"/>
        </w:rPr>
        <w:t>s</w:t>
      </w:r>
      <w:r w:rsidR="0032191E">
        <w:rPr>
          <w:rFonts w:ascii="Times New Roman" w:hAnsi="Times New Roman" w:cs="Times New Roman"/>
          <w:sz w:val="24"/>
          <w:szCs w:val="24"/>
        </w:rPr>
        <w:t xml:space="preserve">, </w:t>
      </w:r>
      <w:r>
        <w:rPr>
          <w:rFonts w:ascii="Times New Roman" w:hAnsi="Times New Roman" w:cs="Times New Roman"/>
          <w:sz w:val="24"/>
          <w:szCs w:val="24"/>
        </w:rPr>
        <w:t xml:space="preserve"> comparable to </w:t>
      </w:r>
      <w:r w:rsidR="004B5BA7">
        <w:rPr>
          <w:rFonts w:ascii="Times New Roman" w:hAnsi="Times New Roman" w:cs="Times New Roman"/>
          <w:sz w:val="24"/>
          <w:szCs w:val="24"/>
        </w:rPr>
        <w:t>results</w:t>
      </w:r>
      <w:r w:rsidRPr="00BE3BC6">
        <w:rPr>
          <w:rFonts w:ascii="Times New Roman" w:hAnsi="Times New Roman" w:cs="Times New Roman"/>
          <w:sz w:val="24"/>
          <w:szCs w:val="24"/>
        </w:rPr>
        <w:t xml:space="preserve"> for logged forests elsewhere in Sabah </w:t>
      </w:r>
      <w:r>
        <w:rPr>
          <w:rFonts w:ascii="Times New Roman" w:hAnsi="Times New Roman" w:cs="Times New Roman"/>
          <w:noProof/>
          <w:sz w:val="24"/>
          <w:szCs w:val="24"/>
        </w:rPr>
        <w:t>(53%, Berry</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2010)</w:t>
      </w:r>
      <w:r w:rsidRPr="00BE3BC6">
        <w:rPr>
          <w:rFonts w:ascii="Times New Roman" w:hAnsi="Times New Roman" w:cs="Times New Roman"/>
          <w:sz w:val="24"/>
          <w:szCs w:val="24"/>
        </w:rPr>
        <w:t xml:space="preserve">, Brazil </w:t>
      </w:r>
      <w:r>
        <w:rPr>
          <w:rFonts w:ascii="Times New Roman" w:hAnsi="Times New Roman" w:cs="Times New Roman"/>
          <w:noProof/>
          <w:sz w:val="24"/>
          <w:szCs w:val="24"/>
        </w:rPr>
        <w:t>(35-57%, Berenguer</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2014)</w:t>
      </w:r>
      <w:r w:rsidRPr="00BE3BC6">
        <w:rPr>
          <w:rFonts w:ascii="Times New Roman" w:hAnsi="Times New Roman" w:cs="Times New Roman"/>
          <w:sz w:val="24"/>
          <w:szCs w:val="24"/>
        </w:rPr>
        <w:t xml:space="preserve"> </w:t>
      </w:r>
      <w:r w:rsidR="007D4E31">
        <w:rPr>
          <w:rFonts w:ascii="Times New Roman" w:hAnsi="Times New Roman" w:cs="Times New Roman"/>
          <w:sz w:val="24"/>
          <w:szCs w:val="24"/>
        </w:rPr>
        <w:t xml:space="preserve">and </w:t>
      </w:r>
      <w:r w:rsidRPr="00BE3BC6">
        <w:rPr>
          <w:rFonts w:ascii="Times New Roman" w:hAnsi="Times New Roman" w:cs="Times New Roman"/>
          <w:sz w:val="24"/>
          <w:szCs w:val="24"/>
        </w:rPr>
        <w:t xml:space="preserve">Africa </w:t>
      </w:r>
      <w:r>
        <w:rPr>
          <w:rFonts w:ascii="Times New Roman" w:hAnsi="Times New Roman" w:cs="Times New Roman"/>
          <w:noProof/>
          <w:sz w:val="24"/>
          <w:szCs w:val="24"/>
        </w:rPr>
        <w:t>(20-72%, Valentini</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2014; Cazolla Gatti</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2015)</w:t>
      </w:r>
      <w:r w:rsidR="0032191E">
        <w:rPr>
          <w:rFonts w:ascii="Times New Roman" w:hAnsi="Times New Roman" w:cs="Times New Roman"/>
          <w:noProof/>
          <w:sz w:val="24"/>
          <w:szCs w:val="24"/>
        </w:rPr>
        <w:t xml:space="preserve">. As the </w:t>
      </w:r>
      <w:r w:rsidR="0032191E">
        <w:rPr>
          <w:rFonts w:ascii="Times New Roman" w:hAnsi="Times New Roman" w:cs="Times New Roman"/>
          <w:noProof/>
          <w:sz w:val="24"/>
          <w:szCs w:val="24"/>
        </w:rPr>
        <w:t xml:space="preserve">Yayasan Sabah Forest Management Area covers nearly a third of the forest area in Sabah (Fisher </w:t>
      </w:r>
      <w:r w:rsidR="0032191E">
        <w:rPr>
          <w:rFonts w:ascii="Times New Roman" w:hAnsi="Times New Roman" w:cs="Times New Roman"/>
          <w:i/>
          <w:noProof/>
          <w:sz w:val="24"/>
          <w:szCs w:val="24"/>
        </w:rPr>
        <w:t xml:space="preserve">et al., </w:t>
      </w:r>
      <w:r w:rsidR="0032191E">
        <w:rPr>
          <w:rFonts w:ascii="Times New Roman" w:hAnsi="Times New Roman" w:cs="Times New Roman"/>
          <w:noProof/>
          <w:sz w:val="24"/>
          <w:szCs w:val="24"/>
        </w:rPr>
        <w:t xml:space="preserve">2011; Reynolds </w:t>
      </w:r>
      <w:r w:rsidR="0032191E">
        <w:rPr>
          <w:rFonts w:ascii="Times New Roman" w:hAnsi="Times New Roman" w:cs="Times New Roman"/>
          <w:i/>
          <w:noProof/>
          <w:sz w:val="24"/>
          <w:szCs w:val="24"/>
        </w:rPr>
        <w:t xml:space="preserve">et al. </w:t>
      </w:r>
      <w:r w:rsidR="0032191E">
        <w:rPr>
          <w:rFonts w:ascii="Times New Roman" w:hAnsi="Times New Roman" w:cs="Times New Roman"/>
          <w:noProof/>
          <w:sz w:val="24"/>
          <w:szCs w:val="24"/>
        </w:rPr>
        <w:t>2011),</w:t>
      </w:r>
      <w:r w:rsidR="0032191E">
        <w:rPr>
          <w:rFonts w:ascii="Times New Roman" w:hAnsi="Times New Roman" w:cs="Times New Roman"/>
          <w:noProof/>
          <w:sz w:val="24"/>
          <w:szCs w:val="24"/>
        </w:rPr>
        <w:t xml:space="preserve"> these figures are also likely to be representitive of the wider area and are also in line with other parts of Borneo, where </w:t>
      </w:r>
      <w:r>
        <w:rPr>
          <w:rFonts w:ascii="Times New Roman" w:hAnsi="Times New Roman" w:cs="Times New Roman"/>
          <w:noProof/>
          <w:sz w:val="24"/>
          <w:szCs w:val="24"/>
        </w:rPr>
        <w:t xml:space="preserve">remaining basal area </w:t>
      </w:r>
      <w:r w:rsidR="0032191E">
        <w:rPr>
          <w:rFonts w:ascii="Times New Roman" w:hAnsi="Times New Roman" w:cs="Times New Roman"/>
          <w:noProof/>
          <w:sz w:val="24"/>
          <w:szCs w:val="24"/>
        </w:rPr>
        <w:t>has been recorded as</w:t>
      </w:r>
      <w:r>
        <w:rPr>
          <w:rFonts w:ascii="Times New Roman" w:hAnsi="Times New Roman" w:cs="Times New Roman"/>
          <w:noProof/>
          <w:sz w:val="24"/>
          <w:szCs w:val="24"/>
        </w:rPr>
        <w:t xml:space="preserve"> 14 m</w:t>
      </w:r>
      <w:r w:rsidRPr="00777702">
        <w:rPr>
          <w:rFonts w:ascii="Times New Roman" w:hAnsi="Times New Roman" w:cs="Times New Roman"/>
          <w:noProof/>
          <w:sz w:val="24"/>
          <w:szCs w:val="24"/>
          <w:vertAlign w:val="superscript"/>
        </w:rPr>
        <w:t>2</w:t>
      </w:r>
      <w:r>
        <w:rPr>
          <w:rFonts w:ascii="Times New Roman" w:hAnsi="Times New Roman" w:cs="Times New Roman"/>
          <w:noProof/>
          <w:sz w:val="24"/>
          <w:szCs w:val="24"/>
        </w:rPr>
        <w:t xml:space="preserve"> ha</w:t>
      </w:r>
      <w:r w:rsidRPr="00777702">
        <w:rPr>
          <w:rFonts w:ascii="Times New Roman" w:hAnsi="Times New Roman" w:cs="Times New Roman"/>
          <w:noProof/>
          <w:sz w:val="24"/>
          <w:szCs w:val="24"/>
          <w:vertAlign w:val="superscript"/>
        </w:rPr>
        <w:t>-1</w:t>
      </w:r>
      <w:r>
        <w:rPr>
          <w:rFonts w:ascii="Times New Roman" w:hAnsi="Times New Roman" w:cs="Times New Roman"/>
          <w:noProof/>
          <w:sz w:val="24"/>
          <w:szCs w:val="24"/>
        </w:rPr>
        <w:t xml:space="preserve"> (SD =7) and 18 m</w:t>
      </w:r>
      <w:r w:rsidRPr="00777702">
        <w:rPr>
          <w:rFonts w:ascii="Times New Roman" w:hAnsi="Times New Roman" w:cs="Times New Roman"/>
          <w:noProof/>
          <w:sz w:val="24"/>
          <w:szCs w:val="24"/>
          <w:vertAlign w:val="superscript"/>
        </w:rPr>
        <w:t>2</w:t>
      </w:r>
      <w:r>
        <w:rPr>
          <w:rFonts w:ascii="Times New Roman" w:hAnsi="Times New Roman" w:cs="Times New Roman"/>
          <w:noProof/>
          <w:sz w:val="24"/>
          <w:szCs w:val="24"/>
        </w:rPr>
        <w:t xml:space="preserve"> ha</w:t>
      </w:r>
      <w:r w:rsidRPr="00777702">
        <w:rPr>
          <w:rFonts w:ascii="Times New Roman" w:hAnsi="Times New Roman" w:cs="Times New Roman"/>
          <w:noProof/>
          <w:sz w:val="24"/>
          <w:szCs w:val="24"/>
          <w:vertAlign w:val="superscript"/>
        </w:rPr>
        <w:t>-1</w:t>
      </w:r>
      <w:r>
        <w:rPr>
          <w:rFonts w:ascii="Times New Roman" w:hAnsi="Times New Roman" w:cs="Times New Roman"/>
          <w:noProof/>
          <w:sz w:val="24"/>
          <w:szCs w:val="24"/>
        </w:rPr>
        <w:t xml:space="preserve"> (SD=10) in sparse and dense canopy f</w:t>
      </w:r>
      <w:r w:rsidR="002703F6">
        <w:rPr>
          <w:rFonts w:ascii="Times New Roman" w:hAnsi="Times New Roman" w:cs="Times New Roman"/>
          <w:noProof/>
          <w:sz w:val="24"/>
          <w:szCs w:val="24"/>
        </w:rPr>
        <w:t>r</w:t>
      </w:r>
      <w:r>
        <w:rPr>
          <w:rFonts w:ascii="Times New Roman" w:hAnsi="Times New Roman" w:cs="Times New Roman"/>
          <w:noProof/>
          <w:sz w:val="24"/>
          <w:szCs w:val="24"/>
        </w:rPr>
        <w:t>agments, respectively (Cannon</w:t>
      </w:r>
      <w:r w:rsidRPr="004D6582">
        <w:rPr>
          <w:rFonts w:ascii="Times New Roman" w:hAnsi="Times New Roman" w:cs="Times New Roman"/>
          <w:i/>
          <w:noProof/>
          <w:sz w:val="24"/>
          <w:szCs w:val="24"/>
        </w:rPr>
        <w:t xml:space="preserve"> et al.</w:t>
      </w:r>
      <w:r>
        <w:rPr>
          <w:rFonts w:ascii="Times New Roman" w:hAnsi="Times New Roman" w:cs="Times New Roman"/>
          <w:noProof/>
          <w:sz w:val="24"/>
          <w:szCs w:val="24"/>
        </w:rPr>
        <w:t>, 1994)</w:t>
      </w:r>
      <w:r w:rsidRPr="00BE3BC6">
        <w:rPr>
          <w:rFonts w:ascii="Times New Roman" w:hAnsi="Times New Roman" w:cs="Times New Roman"/>
          <w:sz w:val="24"/>
          <w:szCs w:val="24"/>
        </w:rPr>
        <w:t>.</w:t>
      </w:r>
    </w:p>
    <w:p w14:paraId="23AE0E35" w14:textId="77777777" w:rsidR="00914113" w:rsidRPr="00BE3BC6" w:rsidRDefault="00914113" w:rsidP="00D061BC">
      <w:pPr>
        <w:spacing w:line="480" w:lineRule="auto"/>
        <w:rPr>
          <w:rFonts w:ascii="Times New Roman" w:hAnsi="Times New Roman" w:cs="Times New Roman"/>
          <w:sz w:val="24"/>
          <w:szCs w:val="24"/>
          <w:lang w:eastAsia="zh-TW"/>
        </w:rPr>
      </w:pPr>
      <w:r w:rsidRPr="007D6079">
        <w:rPr>
          <w:rFonts w:ascii="Times New Roman" w:hAnsi="Times New Roman" w:cs="Times New Roman"/>
          <w:sz w:val="24"/>
          <w:szCs w:val="24"/>
        </w:rPr>
        <w:t xml:space="preserve">Although the total NPP did not differ between forest types, there was a very clear difference in NPP allocation: logged forest allocated </w:t>
      </w:r>
      <w:r w:rsidRPr="00E6416E">
        <w:rPr>
          <w:rFonts w:ascii="Times New Roman" w:hAnsi="Times New Roman" w:cs="Times New Roman"/>
          <w:sz w:val="24"/>
          <w:szCs w:val="24"/>
        </w:rPr>
        <w:t>considerably more to woody NPP than to canopy NPP (</w:t>
      </w:r>
      <w:r w:rsidRPr="007D6079">
        <w:rPr>
          <w:rFonts w:ascii="Times New Roman" w:hAnsi="Times New Roman" w:cs="Times New Roman"/>
          <w:sz w:val="24"/>
          <w:szCs w:val="24"/>
        </w:rPr>
        <w:t>66%±2.2% to woody, 23%±1.6% to canopy), compared with old-growth forests (42%±4.2% to woody, 48%±3.6% to canopy).  A similar shift between canopy and woody allocation was reported when comparing young naturally regenerating</w:t>
      </w:r>
      <w:r>
        <w:rPr>
          <w:rFonts w:ascii="Times New Roman" w:hAnsi="Times New Roman" w:cs="Times New Roman"/>
          <w:sz w:val="24"/>
          <w:szCs w:val="24"/>
        </w:rPr>
        <w:t xml:space="preserve"> regrowth forests with old intact forests </w:t>
      </w:r>
      <w:r>
        <w:rPr>
          <w:rFonts w:ascii="Times New Roman" w:hAnsi="Times New Roman" w:cs="Times New Roman"/>
          <w:noProof/>
          <w:sz w:val="24"/>
          <w:szCs w:val="24"/>
        </w:rPr>
        <w:t>(Anderson</w:t>
      </w:r>
      <w:r>
        <w:rPr>
          <w:rFonts w:ascii="Cambria Math" w:hAnsi="Cambria Math" w:cs="Cambria Math"/>
          <w:noProof/>
          <w:sz w:val="24"/>
          <w:szCs w:val="24"/>
        </w:rPr>
        <w:t>‐</w:t>
      </w:r>
      <w:r>
        <w:rPr>
          <w:rFonts w:ascii="Times New Roman" w:hAnsi="Times New Roman" w:cs="Times New Roman"/>
          <w:noProof/>
          <w:sz w:val="24"/>
          <w:szCs w:val="24"/>
        </w:rPr>
        <w:t>Teixeira</w:t>
      </w:r>
      <w:r w:rsidRPr="00F87714">
        <w:rPr>
          <w:rFonts w:ascii="Times New Roman" w:hAnsi="Times New Roman" w:cs="Times New Roman"/>
          <w:i/>
          <w:noProof/>
          <w:sz w:val="24"/>
          <w:szCs w:val="24"/>
        </w:rPr>
        <w:t xml:space="preserve"> et al.</w:t>
      </w:r>
      <w:r>
        <w:rPr>
          <w:rFonts w:ascii="Times New Roman" w:hAnsi="Times New Roman" w:cs="Times New Roman"/>
          <w:noProof/>
          <w:sz w:val="24"/>
          <w:szCs w:val="24"/>
        </w:rPr>
        <w:t>, 2016)</w:t>
      </w:r>
      <w:r>
        <w:rPr>
          <w:rFonts w:ascii="Times New Roman" w:hAnsi="Times New Roman" w:cs="Times New Roman"/>
          <w:sz w:val="24"/>
          <w:szCs w:val="24"/>
        </w:rPr>
        <w:t>.</w:t>
      </w:r>
      <w:r>
        <w:rPr>
          <w:rFonts w:ascii="Times New Roman" w:hAnsi="Times New Roman" w:cs="Times New Roman"/>
          <w:sz w:val="24"/>
          <w:szCs w:val="24"/>
          <w:lang w:eastAsia="zh-TW"/>
        </w:rPr>
        <w:t xml:space="preserve"> </w:t>
      </w:r>
      <w:r w:rsidRPr="00BE3BC6">
        <w:rPr>
          <w:rFonts w:ascii="Times New Roman" w:hAnsi="Times New Roman" w:cs="Times New Roman"/>
          <w:sz w:val="24"/>
          <w:szCs w:val="24"/>
        </w:rPr>
        <w:t xml:space="preserve">Since the results demonstrate a clear allocation shift between logged and old-growth forest, this highlights the importance of measuring all main NPP components, rather than using only one of them as a proxy for total NPP. In old-growth tropical forests, canopy NPP was found to be the best predictor of the </w:t>
      </w:r>
      <w:r w:rsidRPr="00BE3BC6">
        <w:rPr>
          <w:rFonts w:ascii="Times New Roman" w:hAnsi="Times New Roman" w:cs="Times New Roman"/>
          <w:sz w:val="24"/>
          <w:szCs w:val="24"/>
        </w:rPr>
        <w:lastRenderedPageBreak/>
        <w:t xml:space="preserve">total NPP both at </w:t>
      </w:r>
      <w:r>
        <w:rPr>
          <w:rFonts w:ascii="Times New Roman" w:hAnsi="Times New Roman" w:cs="Times New Roman"/>
          <w:sz w:val="24"/>
          <w:szCs w:val="24"/>
        </w:rPr>
        <w:t>Amazonian</w:t>
      </w:r>
      <w:r w:rsidRPr="00BE3BC6">
        <w:rPr>
          <w:rFonts w:ascii="Times New Roman" w:hAnsi="Times New Roman" w:cs="Times New Roman"/>
          <w:sz w:val="24"/>
          <w:szCs w:val="24"/>
        </w:rPr>
        <w:t xml:space="preserve"> </w:t>
      </w:r>
      <w:r>
        <w:rPr>
          <w:rFonts w:ascii="Times New Roman" w:hAnsi="Times New Roman" w:cs="Times New Roman"/>
          <w:noProof/>
          <w:sz w:val="24"/>
          <w:szCs w:val="24"/>
        </w:rPr>
        <w:t>(Aragão</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2009; Girardin</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2010)</w:t>
      </w:r>
      <w:r w:rsidRPr="00BE3BC6">
        <w:rPr>
          <w:rFonts w:ascii="Times New Roman" w:hAnsi="Times New Roman" w:cs="Times New Roman"/>
          <w:sz w:val="24"/>
          <w:szCs w:val="24"/>
        </w:rPr>
        <w:t xml:space="preserve"> and pan-tropical scales </w:t>
      </w:r>
      <w:r>
        <w:rPr>
          <w:rFonts w:ascii="Times New Roman" w:hAnsi="Times New Roman" w:cs="Times New Roman"/>
          <w:noProof/>
          <w:sz w:val="24"/>
          <w:szCs w:val="24"/>
        </w:rPr>
        <w:t>(Malhi</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2011)</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BE3BC6">
        <w:rPr>
          <w:rFonts w:ascii="Times New Roman" w:hAnsi="Times New Roman" w:cs="Times New Roman"/>
          <w:sz w:val="24"/>
          <w:szCs w:val="24"/>
        </w:rPr>
        <w:t xml:space="preserve">allocation </w:t>
      </w:r>
      <w:r>
        <w:rPr>
          <w:rFonts w:ascii="Times New Roman" w:hAnsi="Times New Roman" w:cs="Times New Roman"/>
          <w:sz w:val="24"/>
          <w:szCs w:val="24"/>
        </w:rPr>
        <w:t xml:space="preserve">to canopy </w:t>
      </w:r>
      <w:r w:rsidRPr="00BE3BC6">
        <w:rPr>
          <w:rFonts w:ascii="Times New Roman" w:hAnsi="Times New Roman" w:cs="Times New Roman"/>
          <w:sz w:val="24"/>
          <w:szCs w:val="24"/>
        </w:rPr>
        <w:t xml:space="preserve">showing less variation than the allocation to other </w:t>
      </w:r>
      <w:r>
        <w:rPr>
          <w:rFonts w:ascii="Times New Roman" w:hAnsi="Times New Roman" w:cs="Times New Roman"/>
          <w:sz w:val="24"/>
          <w:szCs w:val="24"/>
        </w:rPr>
        <w:t xml:space="preserve">NPP </w:t>
      </w:r>
      <w:r w:rsidRPr="00BE3BC6">
        <w:rPr>
          <w:rFonts w:ascii="Times New Roman" w:hAnsi="Times New Roman" w:cs="Times New Roman"/>
          <w:sz w:val="24"/>
          <w:szCs w:val="24"/>
        </w:rPr>
        <w:t>components. Although this was the case for the old-growth plots in this study as well, th</w:t>
      </w:r>
      <w:r>
        <w:rPr>
          <w:rFonts w:ascii="Times New Roman" w:hAnsi="Times New Roman" w:cs="Times New Roman"/>
          <w:sz w:val="24"/>
          <w:szCs w:val="24"/>
        </w:rPr>
        <w:t xml:space="preserve">e results from the logged plots of this study and from regrowth forests globally </w:t>
      </w:r>
      <w:r>
        <w:rPr>
          <w:rFonts w:ascii="Times New Roman" w:hAnsi="Times New Roman" w:cs="Times New Roman"/>
          <w:noProof/>
          <w:sz w:val="24"/>
          <w:szCs w:val="24"/>
        </w:rPr>
        <w:t>(Anderson</w:t>
      </w:r>
      <w:r>
        <w:rPr>
          <w:rFonts w:ascii="Cambria Math" w:hAnsi="Cambria Math" w:cs="Cambria Math"/>
          <w:noProof/>
          <w:sz w:val="24"/>
          <w:szCs w:val="24"/>
        </w:rPr>
        <w:t>‐</w:t>
      </w:r>
      <w:r>
        <w:rPr>
          <w:rFonts w:ascii="Times New Roman" w:hAnsi="Times New Roman" w:cs="Times New Roman"/>
          <w:noProof/>
          <w:sz w:val="24"/>
          <w:szCs w:val="24"/>
        </w:rPr>
        <w:t>Teixeira</w:t>
      </w:r>
      <w:r w:rsidRPr="00E41591">
        <w:rPr>
          <w:rFonts w:ascii="Times New Roman" w:hAnsi="Times New Roman" w:cs="Times New Roman"/>
          <w:i/>
          <w:noProof/>
          <w:sz w:val="24"/>
          <w:szCs w:val="24"/>
        </w:rPr>
        <w:t xml:space="preserve"> et al.</w:t>
      </w:r>
      <w:r>
        <w:rPr>
          <w:rFonts w:ascii="Times New Roman" w:hAnsi="Times New Roman" w:cs="Times New Roman"/>
          <w:noProof/>
          <w:sz w:val="24"/>
          <w:szCs w:val="24"/>
        </w:rPr>
        <w:t>, 2016)</w:t>
      </w:r>
      <w:r>
        <w:rPr>
          <w:rFonts w:ascii="Times New Roman" w:hAnsi="Times New Roman" w:cs="Times New Roman"/>
          <w:sz w:val="24"/>
          <w:szCs w:val="24"/>
        </w:rPr>
        <w:t xml:space="preserve"> </w:t>
      </w:r>
      <w:r w:rsidRPr="00BE3BC6">
        <w:rPr>
          <w:rFonts w:ascii="Times New Roman" w:hAnsi="Times New Roman" w:cs="Times New Roman"/>
          <w:sz w:val="24"/>
          <w:szCs w:val="24"/>
        </w:rPr>
        <w:t>show that disturbance can markedly change these patterns.</w:t>
      </w:r>
    </w:p>
    <w:p w14:paraId="6763CBBC" w14:textId="228BCE19" w:rsidR="00914113" w:rsidRPr="00BE3BC6"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sz w:val="24"/>
          <w:szCs w:val="24"/>
        </w:rPr>
        <w:t xml:space="preserve">Allocation to fine roots was low in all sites, on average 10%±1.0%. This is consistent with reports from other sites in Asia </w:t>
      </w:r>
      <w:r w:rsidRPr="00E6416E">
        <w:rPr>
          <w:rFonts w:ascii="Times New Roman" w:hAnsi="Times New Roman" w:cs="Times New Roman"/>
          <w:noProof/>
          <w:sz w:val="24"/>
          <w:szCs w:val="24"/>
        </w:rPr>
        <w:t>(Hertel</w:t>
      </w:r>
      <w:r w:rsidRPr="00E6416E">
        <w:rPr>
          <w:rFonts w:ascii="Times New Roman" w:hAnsi="Times New Roman" w:cs="Times New Roman"/>
          <w:i/>
          <w:noProof/>
          <w:sz w:val="24"/>
          <w:szCs w:val="24"/>
        </w:rPr>
        <w:t xml:space="preserve"> et al.</w:t>
      </w:r>
      <w:r w:rsidRPr="00E6416E">
        <w:rPr>
          <w:rFonts w:ascii="Times New Roman" w:hAnsi="Times New Roman" w:cs="Times New Roman"/>
          <w:noProof/>
          <w:sz w:val="24"/>
          <w:szCs w:val="24"/>
        </w:rPr>
        <w:t>, 2009; Swamy</w:t>
      </w:r>
      <w:r w:rsidRPr="00E6416E">
        <w:rPr>
          <w:rFonts w:ascii="Times New Roman" w:hAnsi="Times New Roman" w:cs="Times New Roman"/>
          <w:i/>
          <w:noProof/>
          <w:sz w:val="24"/>
          <w:szCs w:val="24"/>
        </w:rPr>
        <w:t xml:space="preserve"> et al.</w:t>
      </w:r>
      <w:r w:rsidRPr="00E6416E">
        <w:rPr>
          <w:rFonts w:ascii="Times New Roman" w:hAnsi="Times New Roman" w:cs="Times New Roman"/>
          <w:noProof/>
          <w:sz w:val="24"/>
          <w:szCs w:val="24"/>
        </w:rPr>
        <w:t>, 2010; Kira</w:t>
      </w:r>
      <w:r w:rsidRPr="00E6416E">
        <w:rPr>
          <w:rFonts w:ascii="Times New Roman" w:hAnsi="Times New Roman" w:cs="Times New Roman"/>
          <w:i/>
          <w:noProof/>
          <w:sz w:val="24"/>
          <w:szCs w:val="24"/>
        </w:rPr>
        <w:t xml:space="preserve"> et al.</w:t>
      </w:r>
      <w:r w:rsidRPr="00E6416E">
        <w:rPr>
          <w:rFonts w:ascii="Times New Roman" w:hAnsi="Times New Roman" w:cs="Times New Roman"/>
          <w:noProof/>
          <w:sz w:val="24"/>
          <w:szCs w:val="24"/>
        </w:rPr>
        <w:t>, 2013</w:t>
      </w:r>
      <w:r>
        <w:rPr>
          <w:rFonts w:ascii="Times New Roman" w:hAnsi="Times New Roman" w:cs="Times New Roman"/>
          <w:noProof/>
          <w:sz w:val="24"/>
          <w:szCs w:val="24"/>
        </w:rPr>
        <w:t>)</w:t>
      </w:r>
      <w:r w:rsidRPr="00BE3BC6">
        <w:rPr>
          <w:rFonts w:ascii="Times New Roman" w:hAnsi="Times New Roman" w:cs="Times New Roman"/>
          <w:sz w:val="24"/>
          <w:szCs w:val="24"/>
        </w:rPr>
        <w:t>, while allocation to fine roots is markedly higher in the Neo-</w:t>
      </w:r>
      <w:r>
        <w:rPr>
          <w:rFonts w:ascii="Times New Roman" w:hAnsi="Times New Roman" w:cs="Times New Roman"/>
          <w:sz w:val="24"/>
          <w:szCs w:val="24"/>
        </w:rPr>
        <w:t xml:space="preserve">tropical sites </w:t>
      </w:r>
      <w:r>
        <w:rPr>
          <w:rFonts w:ascii="Times New Roman" w:hAnsi="Times New Roman" w:cs="Times New Roman"/>
          <w:noProof/>
          <w:sz w:val="24"/>
          <w:szCs w:val="24"/>
        </w:rPr>
        <w:t>(global compilation by Malhi</w:t>
      </w:r>
      <w:r w:rsidRPr="00EE7432">
        <w:rPr>
          <w:rFonts w:ascii="Times New Roman" w:hAnsi="Times New Roman" w:cs="Times New Roman"/>
          <w:i/>
          <w:noProof/>
          <w:sz w:val="24"/>
          <w:szCs w:val="24"/>
        </w:rPr>
        <w:t xml:space="preserve"> et al.</w:t>
      </w:r>
      <w:r>
        <w:rPr>
          <w:rFonts w:ascii="Times New Roman" w:hAnsi="Times New Roman" w:cs="Times New Roman"/>
          <w:noProof/>
          <w:sz w:val="24"/>
          <w:szCs w:val="24"/>
        </w:rPr>
        <w:t>, 2011 and references therein)</w:t>
      </w:r>
      <w:r w:rsidRPr="00BE3BC6">
        <w:rPr>
          <w:rFonts w:ascii="Times New Roman" w:hAnsi="Times New Roman" w:cs="Times New Roman"/>
          <w:sz w:val="24"/>
          <w:szCs w:val="24"/>
        </w:rPr>
        <w:t xml:space="preserve">. Allocation to fine roots was isometric, showing little variation across plots or along the disturbance gradient, with the exception of forest quality class 1, where the allocation to </w:t>
      </w:r>
      <w:r>
        <w:rPr>
          <w:rFonts w:ascii="Times New Roman" w:hAnsi="Times New Roman" w:cs="Times New Roman"/>
          <w:sz w:val="24"/>
          <w:szCs w:val="24"/>
        </w:rPr>
        <w:t xml:space="preserve">fine </w:t>
      </w:r>
      <w:r w:rsidRPr="00BE3BC6">
        <w:rPr>
          <w:rFonts w:ascii="Times New Roman" w:hAnsi="Times New Roman" w:cs="Times New Roman"/>
          <w:sz w:val="24"/>
          <w:szCs w:val="24"/>
        </w:rPr>
        <w:t>roots was considerably</w:t>
      </w:r>
      <w:r>
        <w:rPr>
          <w:rFonts w:ascii="Times New Roman" w:hAnsi="Times New Roman" w:cs="Times New Roman"/>
          <w:sz w:val="24"/>
          <w:szCs w:val="24"/>
        </w:rPr>
        <w:t xml:space="preserve"> higher at </w:t>
      </w:r>
      <w:r w:rsidRPr="00BE3BC6">
        <w:rPr>
          <w:rFonts w:ascii="Times New Roman" w:hAnsi="Times New Roman" w:cs="Times New Roman"/>
          <w:sz w:val="24"/>
          <w:szCs w:val="24"/>
        </w:rPr>
        <w:t>approximately 33%. In those most disturbed zones with few or no trees, it is possible that the roots of the herbaceous vegetation contributed significantly to the fine root NPP. As the herbaceous layer was not included in the other NPP components, this may bias the NPP allocation estimates at small spatial scales</w:t>
      </w:r>
      <w:r>
        <w:rPr>
          <w:rFonts w:ascii="Times New Roman" w:hAnsi="Times New Roman" w:cs="Times New Roman"/>
          <w:sz w:val="24"/>
          <w:szCs w:val="24"/>
        </w:rPr>
        <w:t xml:space="preserve">. However, although </w:t>
      </w:r>
      <w:r w:rsidRPr="00BE3BC6">
        <w:rPr>
          <w:rFonts w:ascii="Times New Roman" w:hAnsi="Times New Roman" w:cs="Times New Roman"/>
          <w:sz w:val="24"/>
          <w:szCs w:val="24"/>
        </w:rPr>
        <w:t xml:space="preserve">the relative contribution of the herbaceous layer can be considerable in </w:t>
      </w:r>
      <w:r w:rsidR="00D061BC">
        <w:rPr>
          <w:rFonts w:ascii="Times New Roman" w:hAnsi="Times New Roman" w:cs="Times New Roman"/>
          <w:sz w:val="24"/>
          <w:szCs w:val="24"/>
        </w:rPr>
        <w:t>logging</w:t>
      </w:r>
      <w:r w:rsidR="00D061BC" w:rsidRPr="00BE3BC6">
        <w:rPr>
          <w:rFonts w:ascii="Times New Roman" w:hAnsi="Times New Roman" w:cs="Times New Roman"/>
          <w:sz w:val="24"/>
          <w:szCs w:val="24"/>
        </w:rPr>
        <w:t xml:space="preserve"> </w:t>
      </w:r>
      <w:r w:rsidRPr="00BE3BC6">
        <w:rPr>
          <w:rFonts w:ascii="Times New Roman" w:hAnsi="Times New Roman" w:cs="Times New Roman"/>
          <w:sz w:val="24"/>
          <w:szCs w:val="24"/>
        </w:rPr>
        <w:t>gaps, its</w:t>
      </w:r>
      <w:r>
        <w:rPr>
          <w:rFonts w:ascii="Times New Roman" w:hAnsi="Times New Roman" w:cs="Times New Roman"/>
          <w:sz w:val="24"/>
          <w:szCs w:val="24"/>
        </w:rPr>
        <w:t xml:space="preserve"> contribution to</w:t>
      </w:r>
      <w:r w:rsidRPr="00BE3BC6">
        <w:rPr>
          <w:rFonts w:ascii="Times New Roman" w:hAnsi="Times New Roman" w:cs="Times New Roman"/>
          <w:sz w:val="24"/>
          <w:szCs w:val="24"/>
        </w:rPr>
        <w:t xml:space="preserve"> absolute NPP at the plot scale is </w:t>
      </w:r>
      <w:r>
        <w:rPr>
          <w:rFonts w:ascii="Times New Roman" w:hAnsi="Times New Roman" w:cs="Times New Roman"/>
          <w:sz w:val="24"/>
          <w:szCs w:val="24"/>
        </w:rPr>
        <w:t xml:space="preserve">still likely to be </w:t>
      </w:r>
      <w:r w:rsidRPr="00BE3BC6">
        <w:rPr>
          <w:rFonts w:ascii="Times New Roman" w:hAnsi="Times New Roman" w:cs="Times New Roman"/>
          <w:sz w:val="24"/>
          <w:szCs w:val="24"/>
        </w:rPr>
        <w:t>small.</w:t>
      </w:r>
      <w:r>
        <w:rPr>
          <w:rFonts w:ascii="Times New Roman" w:hAnsi="Times New Roman" w:cs="Times New Roman"/>
          <w:sz w:val="24"/>
          <w:szCs w:val="24"/>
        </w:rPr>
        <w:t xml:space="preserve"> Overall, we find no evidence of changes in relative investment in fine roots after logging, as might be expected if a flush of nutrients caused a decreased need for root foraging, or conversely if a surge in growth caused increased demand for nutrients. Results from old-growth forests in Amazonia also found little evidence for shifts in nutrient allocation towards roots in nutrient poor soils </w:t>
      </w:r>
      <w:r>
        <w:rPr>
          <w:rFonts w:ascii="Times New Roman" w:hAnsi="Times New Roman" w:cs="Times New Roman"/>
          <w:noProof/>
          <w:sz w:val="24"/>
          <w:szCs w:val="24"/>
        </w:rPr>
        <w:t>(Aragão</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2009; Malhi</w:t>
      </w:r>
      <w:r w:rsidRPr="009E287A">
        <w:rPr>
          <w:rFonts w:ascii="Times New Roman" w:hAnsi="Times New Roman" w:cs="Times New Roman"/>
          <w:i/>
          <w:noProof/>
          <w:sz w:val="24"/>
          <w:szCs w:val="24"/>
        </w:rPr>
        <w:t xml:space="preserve"> et al.</w:t>
      </w:r>
      <w:r>
        <w:rPr>
          <w:rFonts w:ascii="Times New Roman" w:hAnsi="Times New Roman" w:cs="Times New Roman"/>
          <w:noProof/>
          <w:sz w:val="24"/>
          <w:szCs w:val="24"/>
        </w:rPr>
        <w:t>, 2015)</w:t>
      </w:r>
      <w:r>
        <w:rPr>
          <w:rFonts w:ascii="Times New Roman" w:hAnsi="Times New Roman" w:cs="Times New Roman"/>
          <w:sz w:val="24"/>
          <w:szCs w:val="24"/>
        </w:rPr>
        <w:t xml:space="preserve">, suggesting little support for nutrient acquisition optimization models for predicting </w:t>
      </w:r>
      <w:r w:rsidR="009316CF">
        <w:rPr>
          <w:rFonts w:ascii="Times New Roman" w:hAnsi="Times New Roman" w:cs="Times New Roman"/>
          <w:sz w:val="24"/>
          <w:szCs w:val="24"/>
        </w:rPr>
        <w:t xml:space="preserve">fine </w:t>
      </w:r>
      <w:r>
        <w:rPr>
          <w:rFonts w:ascii="Times New Roman" w:hAnsi="Times New Roman" w:cs="Times New Roman"/>
          <w:sz w:val="24"/>
          <w:szCs w:val="24"/>
        </w:rPr>
        <w:t>root NPP.</w:t>
      </w:r>
    </w:p>
    <w:p w14:paraId="7A8BEC3F" w14:textId="77777777" w:rsidR="00914113" w:rsidRPr="00BE3BC6" w:rsidRDefault="00914113" w:rsidP="00D061BC">
      <w:pPr>
        <w:rPr>
          <w:rFonts w:ascii="Times New Roman" w:hAnsi="Times New Roman" w:cs="Times New Roman"/>
          <w:b/>
          <w:sz w:val="24"/>
          <w:szCs w:val="24"/>
        </w:rPr>
      </w:pPr>
      <w:r>
        <w:rPr>
          <w:rFonts w:ascii="Times New Roman" w:hAnsi="Times New Roman" w:cs="Times New Roman"/>
          <w:b/>
          <w:sz w:val="24"/>
          <w:szCs w:val="24"/>
        </w:rPr>
        <w:br w:type="page"/>
      </w:r>
      <w:r w:rsidRPr="00BE3BC6">
        <w:rPr>
          <w:rFonts w:ascii="Times New Roman" w:hAnsi="Times New Roman" w:cs="Times New Roman"/>
          <w:b/>
          <w:sz w:val="24"/>
          <w:szCs w:val="24"/>
        </w:rPr>
        <w:lastRenderedPageBreak/>
        <w:t>Higher woody growth rate in logged forest: Increase in NPP or shift in allocation?</w:t>
      </w:r>
    </w:p>
    <w:p w14:paraId="64F31DE0" w14:textId="77777777" w:rsidR="00914113"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 xml:space="preserve">Logged </w:t>
      </w:r>
      <w:r>
        <w:rPr>
          <w:rFonts w:ascii="Times New Roman" w:hAnsi="Times New Roman" w:cs="Times New Roman"/>
          <w:sz w:val="24"/>
          <w:szCs w:val="24"/>
          <w:lang w:eastAsia="zh-TW"/>
        </w:rPr>
        <w:t xml:space="preserve">tropical </w:t>
      </w:r>
      <w:r w:rsidRPr="00BE3BC6">
        <w:rPr>
          <w:rFonts w:ascii="Times New Roman" w:hAnsi="Times New Roman" w:cs="Times New Roman"/>
          <w:sz w:val="24"/>
          <w:szCs w:val="24"/>
          <w:lang w:eastAsia="zh-TW"/>
        </w:rPr>
        <w:t xml:space="preserve">forests typically have higher woody growth rates than old-growth forests: 50% higher stem growth rate and recruitment </w:t>
      </w:r>
      <w:r>
        <w:rPr>
          <w:rFonts w:ascii="Times New Roman" w:hAnsi="Times New Roman" w:cs="Times New Roman"/>
          <w:noProof/>
          <w:sz w:val="24"/>
          <w:szCs w:val="24"/>
          <w:lang w:eastAsia="zh-TW"/>
        </w:rPr>
        <w:t>(Bischoff</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2005)</w:t>
      </w:r>
      <w:r w:rsidRPr="00BE3BC6">
        <w:rPr>
          <w:rFonts w:ascii="Times New Roman" w:hAnsi="Times New Roman" w:cs="Times New Roman"/>
          <w:sz w:val="24"/>
          <w:szCs w:val="24"/>
          <w:lang w:eastAsia="zh-TW"/>
        </w:rPr>
        <w:t xml:space="preserve"> and up to five times higher above ground biomass production </w:t>
      </w:r>
      <w:r>
        <w:rPr>
          <w:rFonts w:ascii="Times New Roman" w:hAnsi="Times New Roman" w:cs="Times New Roman"/>
          <w:noProof/>
          <w:sz w:val="24"/>
          <w:szCs w:val="24"/>
          <w:lang w:eastAsia="zh-TW"/>
        </w:rPr>
        <w:t>(Berry</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2010)</w:t>
      </w:r>
      <w:r w:rsidRPr="00BE3BC6">
        <w:rPr>
          <w:rFonts w:ascii="Times New Roman" w:hAnsi="Times New Roman" w:cs="Times New Roman"/>
          <w:sz w:val="24"/>
          <w:szCs w:val="24"/>
          <w:lang w:eastAsia="zh-TW"/>
        </w:rPr>
        <w:t xml:space="preserve"> has been reported.</w:t>
      </w:r>
      <w:r>
        <w:rPr>
          <w:rFonts w:ascii="Times New Roman" w:hAnsi="Times New Roman" w:cs="Times New Roman"/>
          <w:sz w:val="24"/>
          <w:szCs w:val="24"/>
          <w:lang w:eastAsia="zh-TW"/>
        </w:rPr>
        <w:t xml:space="preserve"> This could be </w:t>
      </w:r>
      <w:r w:rsidRPr="00BE3BC6">
        <w:rPr>
          <w:rFonts w:ascii="Times New Roman" w:hAnsi="Times New Roman" w:cs="Times New Roman"/>
          <w:sz w:val="24"/>
          <w:szCs w:val="24"/>
          <w:lang w:eastAsia="zh-TW"/>
        </w:rPr>
        <w:t xml:space="preserve">due to </w:t>
      </w:r>
      <w:r>
        <w:rPr>
          <w:rFonts w:ascii="Times New Roman" w:hAnsi="Times New Roman" w:cs="Times New Roman"/>
          <w:sz w:val="24"/>
          <w:szCs w:val="24"/>
          <w:lang w:eastAsia="zh-TW"/>
        </w:rPr>
        <w:t xml:space="preserve">either </w:t>
      </w:r>
      <w:r w:rsidRPr="00BE3BC6">
        <w:rPr>
          <w:rFonts w:ascii="Times New Roman" w:hAnsi="Times New Roman" w:cs="Times New Roman"/>
          <w:sz w:val="24"/>
          <w:szCs w:val="24"/>
          <w:lang w:eastAsia="zh-TW"/>
        </w:rPr>
        <w:t xml:space="preserve">increased NPP </w:t>
      </w:r>
      <w:r>
        <w:rPr>
          <w:rFonts w:ascii="Times New Roman" w:hAnsi="Times New Roman" w:cs="Times New Roman"/>
          <w:sz w:val="24"/>
          <w:szCs w:val="24"/>
          <w:lang w:eastAsia="zh-TW"/>
        </w:rPr>
        <w:t xml:space="preserve">or </w:t>
      </w:r>
      <w:r w:rsidRPr="00BE3BC6">
        <w:rPr>
          <w:rFonts w:ascii="Times New Roman" w:hAnsi="Times New Roman" w:cs="Times New Roman"/>
          <w:sz w:val="24"/>
          <w:szCs w:val="24"/>
          <w:lang w:eastAsia="zh-TW"/>
        </w:rPr>
        <w:t>a shift in allocation in favour of woody production. Our analysis shows that in these forests in Malaysia, the higher</w:t>
      </w:r>
      <w:r>
        <w:rPr>
          <w:rFonts w:ascii="Times New Roman" w:hAnsi="Times New Roman" w:cs="Times New Roman"/>
          <w:sz w:val="24"/>
          <w:szCs w:val="24"/>
          <w:lang w:eastAsia="zh-TW"/>
        </w:rPr>
        <w:t xml:space="preserve"> woody productivity is equally a</w:t>
      </w:r>
      <w:r w:rsidRPr="00BE3BC6">
        <w:rPr>
          <w:rFonts w:ascii="Times New Roman" w:hAnsi="Times New Roman" w:cs="Times New Roman"/>
          <w:sz w:val="24"/>
          <w:szCs w:val="24"/>
          <w:lang w:eastAsia="zh-TW"/>
        </w:rPr>
        <w:t xml:space="preserve"> result of both processes.</w:t>
      </w:r>
      <w:r w:rsidRPr="00616692">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Hence, trees grow faster in logged forests both because they have higher NPP, and because the invest more of their NPP in stem growth (at the expense of leaf growth) to compete for light.</w:t>
      </w:r>
    </w:p>
    <w:p w14:paraId="5DCE1747" w14:textId="6DBF3B21" w:rsidR="00914113" w:rsidRPr="00BE3BC6" w:rsidRDefault="00914113" w:rsidP="00D061BC">
      <w:pPr>
        <w:spacing w:line="480" w:lineRule="auto"/>
        <w:rPr>
          <w:rFonts w:ascii="Times New Roman" w:hAnsi="Times New Roman" w:cs="Times New Roman"/>
          <w:sz w:val="24"/>
          <w:szCs w:val="24"/>
          <w:lang w:eastAsia="zh-TW"/>
        </w:rPr>
      </w:pPr>
      <w:r w:rsidRPr="00BE3BC6">
        <w:rPr>
          <w:rFonts w:ascii="Times New Roman" w:hAnsi="Times New Roman" w:cs="Times New Roman"/>
          <w:sz w:val="24"/>
          <w:szCs w:val="24"/>
          <w:lang w:eastAsia="zh-TW"/>
        </w:rPr>
        <w:t>The increased N</w:t>
      </w:r>
      <w:r>
        <w:rPr>
          <w:rFonts w:ascii="Times New Roman" w:hAnsi="Times New Roman" w:cs="Times New Roman"/>
          <w:sz w:val="24"/>
          <w:szCs w:val="24"/>
          <w:lang w:eastAsia="zh-TW"/>
        </w:rPr>
        <w:t>PP could be caused by an</w:t>
      </w:r>
      <w:r w:rsidRPr="00BE3BC6">
        <w:rPr>
          <w:rFonts w:ascii="Times New Roman" w:hAnsi="Times New Roman" w:cs="Times New Roman"/>
          <w:sz w:val="24"/>
          <w:szCs w:val="24"/>
          <w:lang w:eastAsia="zh-TW"/>
        </w:rPr>
        <w:t xml:space="preserve"> increase in total canopy photosynthesis/gross primary productivity (G</w:t>
      </w:r>
      <w:r>
        <w:rPr>
          <w:rFonts w:ascii="Times New Roman" w:hAnsi="Times New Roman" w:cs="Times New Roman"/>
          <w:sz w:val="24"/>
          <w:szCs w:val="24"/>
          <w:lang w:eastAsia="zh-TW"/>
        </w:rPr>
        <w:t>PP), and/or by an increase in the carbon use e</w:t>
      </w:r>
      <w:r w:rsidRPr="00BE3BC6">
        <w:rPr>
          <w:rFonts w:ascii="Times New Roman" w:hAnsi="Times New Roman" w:cs="Times New Roman"/>
          <w:sz w:val="24"/>
          <w:szCs w:val="24"/>
          <w:lang w:eastAsia="zh-TW"/>
        </w:rPr>
        <w:t>fficiency (CUE; the ratio NPP/GPP) in more disturbed sites. Studies in Amazonia show that more dynamic and disturbed forests appear to have a higher CUE, reflecting increase</w:t>
      </w:r>
      <w:r>
        <w:rPr>
          <w:rFonts w:ascii="Times New Roman" w:hAnsi="Times New Roman" w:cs="Times New Roman"/>
          <w:sz w:val="24"/>
          <w:szCs w:val="24"/>
          <w:lang w:eastAsia="zh-TW"/>
        </w:rPr>
        <w:t>d</w:t>
      </w:r>
      <w:r w:rsidRPr="00BE3BC6">
        <w:rPr>
          <w:rFonts w:ascii="Times New Roman" w:hAnsi="Times New Roman" w:cs="Times New Roman"/>
          <w:sz w:val="24"/>
          <w:szCs w:val="24"/>
          <w:lang w:eastAsia="zh-TW"/>
        </w:rPr>
        <w:t xml:space="preserve"> plant prioritisation in favour of NPP</w:t>
      </w:r>
      <w:r w:rsidR="0032191E">
        <w:rPr>
          <w:rFonts w:ascii="Times New Roman" w:hAnsi="Times New Roman" w:cs="Times New Roman"/>
          <w:sz w:val="24"/>
          <w:szCs w:val="24"/>
          <w:lang w:eastAsia="zh-TW"/>
        </w:rPr>
        <w:t>,</w:t>
      </w:r>
      <w:r w:rsidRPr="00BE3BC6">
        <w:rPr>
          <w:rFonts w:ascii="Times New Roman" w:hAnsi="Times New Roman" w:cs="Times New Roman"/>
          <w:sz w:val="24"/>
          <w:szCs w:val="24"/>
          <w:lang w:eastAsia="zh-TW"/>
        </w:rPr>
        <w:t xml:space="preserve"> rather than maintenance respiration </w:t>
      </w:r>
      <w:r>
        <w:rPr>
          <w:rFonts w:ascii="Times New Roman" w:hAnsi="Times New Roman" w:cs="Times New Roman"/>
          <w:noProof/>
          <w:sz w:val="24"/>
          <w:szCs w:val="24"/>
          <w:lang w:eastAsia="zh-TW"/>
        </w:rPr>
        <w:t>(Malhi</w:t>
      </w:r>
      <w:r w:rsidRPr="00EE7432">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2015)</w:t>
      </w:r>
      <w:r w:rsidRPr="00BE3BC6">
        <w:rPr>
          <w:rFonts w:ascii="Times New Roman" w:hAnsi="Times New Roman" w:cs="Times New Roman"/>
          <w:sz w:val="24"/>
          <w:szCs w:val="24"/>
          <w:lang w:eastAsia="zh-TW"/>
        </w:rPr>
        <w:t>. In logged forests, the prioritisation in favour of rapid growth to reach canopy gaps is likely to lead to less proportional investment in maintenance and defence. It is also possible that the soil nutrient stocks are higher as a result of the logging residue, which may boost leaf nutrient content and maximum photosynthesis rates.</w:t>
      </w:r>
      <w:r w:rsidR="008450D3">
        <w:rPr>
          <w:rFonts w:ascii="Times New Roman" w:hAnsi="Times New Roman" w:cs="Times New Roman"/>
          <w:sz w:val="24"/>
          <w:szCs w:val="24"/>
          <w:lang w:eastAsia="zh-TW"/>
        </w:rPr>
        <w:t xml:space="preserve"> However, as we find no consistent differences in soil nutrient status in the logged forests th</w:t>
      </w:r>
      <w:r w:rsidR="006B7F07">
        <w:rPr>
          <w:rFonts w:ascii="Times New Roman" w:hAnsi="Times New Roman" w:cs="Times New Roman"/>
          <w:sz w:val="24"/>
          <w:szCs w:val="24"/>
          <w:lang w:eastAsia="zh-TW"/>
        </w:rPr>
        <w:t>i</w:t>
      </w:r>
      <w:r w:rsidR="008450D3">
        <w:rPr>
          <w:rFonts w:ascii="Times New Roman" w:hAnsi="Times New Roman" w:cs="Times New Roman"/>
          <w:sz w:val="24"/>
          <w:szCs w:val="24"/>
          <w:lang w:eastAsia="zh-TW"/>
        </w:rPr>
        <w:t xml:space="preserve">s latter effect </w:t>
      </w:r>
      <w:r w:rsidR="006B7F07">
        <w:rPr>
          <w:rFonts w:ascii="Times New Roman" w:hAnsi="Times New Roman" w:cs="Times New Roman"/>
          <w:sz w:val="24"/>
          <w:szCs w:val="24"/>
          <w:lang w:eastAsia="zh-TW"/>
        </w:rPr>
        <w:t>is</w:t>
      </w:r>
      <w:r w:rsidR="008450D3">
        <w:rPr>
          <w:rFonts w:ascii="Times New Roman" w:hAnsi="Times New Roman" w:cs="Times New Roman"/>
          <w:sz w:val="24"/>
          <w:szCs w:val="24"/>
          <w:lang w:eastAsia="zh-TW"/>
        </w:rPr>
        <w:t xml:space="preserve"> unlikely.</w:t>
      </w:r>
    </w:p>
    <w:p w14:paraId="465FF721" w14:textId="796D2437"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lang w:eastAsia="zh-TW"/>
        </w:rPr>
        <w:t xml:space="preserve">The observed shift in allocation in favour of woody production is also consistent with this functional shift. </w:t>
      </w:r>
      <w:r w:rsidR="008450D3">
        <w:rPr>
          <w:rFonts w:ascii="Times New Roman" w:hAnsi="Times New Roman" w:cs="Times New Roman"/>
          <w:sz w:val="24"/>
          <w:szCs w:val="24"/>
          <w:lang w:eastAsia="zh-TW"/>
        </w:rPr>
        <w:t>P</w:t>
      </w:r>
      <w:r w:rsidRPr="00BE3BC6">
        <w:rPr>
          <w:rFonts w:ascii="Times New Roman" w:hAnsi="Times New Roman" w:cs="Times New Roman"/>
          <w:sz w:val="24"/>
          <w:szCs w:val="24"/>
          <w:lang w:eastAsia="zh-TW"/>
        </w:rPr>
        <w:t>ost logging, the priority of successful trees is to grow crowns to capture now abundant within-forest light</w:t>
      </w:r>
      <w:r>
        <w:rPr>
          <w:rFonts w:ascii="Times New Roman" w:hAnsi="Times New Roman" w:cs="Times New Roman"/>
          <w:sz w:val="24"/>
          <w:szCs w:val="24"/>
          <w:lang w:eastAsia="zh-TW"/>
        </w:rPr>
        <w:t xml:space="preserve">, </w:t>
      </w:r>
      <w:r w:rsidRPr="00BE3BC6">
        <w:rPr>
          <w:rFonts w:ascii="Times New Roman" w:hAnsi="Times New Roman" w:cs="Times New Roman"/>
          <w:sz w:val="24"/>
          <w:szCs w:val="24"/>
          <w:lang w:eastAsia="zh-TW"/>
        </w:rPr>
        <w:t xml:space="preserve">to shade competitors </w:t>
      </w:r>
      <w:r>
        <w:rPr>
          <w:rFonts w:ascii="Times New Roman" w:hAnsi="Times New Roman" w:cs="Times New Roman"/>
          <w:sz w:val="24"/>
          <w:szCs w:val="24"/>
          <w:lang w:eastAsia="zh-TW"/>
        </w:rPr>
        <w:t>and to avoid being shaded them</w:t>
      </w:r>
      <w:r w:rsidR="006B7F07">
        <w:rPr>
          <w:rFonts w:ascii="Times New Roman" w:hAnsi="Times New Roman" w:cs="Times New Roman"/>
          <w:sz w:val="24"/>
          <w:szCs w:val="24"/>
          <w:lang w:eastAsia="zh-TW"/>
        </w:rPr>
        <w:t>selves</w:t>
      </w:r>
      <w:r>
        <w:rPr>
          <w:rFonts w:ascii="Times New Roman" w:hAnsi="Times New Roman" w:cs="Times New Roman"/>
          <w:sz w:val="24"/>
          <w:szCs w:val="24"/>
          <w:lang w:eastAsia="zh-TW"/>
        </w:rPr>
        <w:t xml:space="preserve"> </w:t>
      </w:r>
      <w:r>
        <w:rPr>
          <w:rFonts w:ascii="Times New Roman" w:hAnsi="Times New Roman" w:cs="Times New Roman"/>
          <w:noProof/>
          <w:sz w:val="24"/>
          <w:szCs w:val="24"/>
          <w:lang w:eastAsia="zh-TW"/>
        </w:rPr>
        <w:t>(Chen</w:t>
      </w:r>
      <w:r w:rsidRPr="002E2911">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2013)</w:t>
      </w:r>
      <w:r w:rsidRPr="00BE3BC6">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All</w:t>
      </w:r>
      <w:r w:rsidRPr="00BE3BC6">
        <w:rPr>
          <w:rFonts w:ascii="Times New Roman" w:hAnsi="Times New Roman" w:cs="Times New Roman"/>
          <w:sz w:val="24"/>
          <w:szCs w:val="24"/>
          <w:lang w:eastAsia="zh-TW"/>
        </w:rPr>
        <w:t xml:space="preserve"> these factors favour increased investment in stem growth. A</w:t>
      </w:r>
      <w:r w:rsidRPr="00BE3BC6">
        <w:rPr>
          <w:rFonts w:ascii="Times New Roman" w:hAnsi="Times New Roman" w:cs="Times New Roman"/>
          <w:sz w:val="24"/>
          <w:szCs w:val="24"/>
        </w:rPr>
        <w:t xml:space="preserve">llocation to leaves decreases when light availability increases – such as in logged forests that have gaps and recovering areas where the canopy is not yet fully closed </w:t>
      </w:r>
      <w:r>
        <w:rPr>
          <w:rFonts w:ascii="Times New Roman" w:hAnsi="Times New Roman" w:cs="Times New Roman"/>
          <w:noProof/>
          <w:sz w:val="24"/>
          <w:szCs w:val="24"/>
        </w:rPr>
        <w:t>(Poorter</w:t>
      </w:r>
      <w:r w:rsidRPr="002E2911">
        <w:rPr>
          <w:rFonts w:ascii="Times New Roman" w:hAnsi="Times New Roman" w:cs="Times New Roman"/>
          <w:i/>
          <w:noProof/>
          <w:sz w:val="24"/>
          <w:szCs w:val="24"/>
        </w:rPr>
        <w:t xml:space="preserve"> et al.</w:t>
      </w:r>
      <w:r>
        <w:rPr>
          <w:rFonts w:ascii="Times New Roman" w:hAnsi="Times New Roman" w:cs="Times New Roman"/>
          <w:noProof/>
          <w:sz w:val="24"/>
          <w:szCs w:val="24"/>
        </w:rPr>
        <w:t>, 2012)</w:t>
      </w:r>
      <w:r>
        <w:rPr>
          <w:rFonts w:ascii="Times New Roman" w:hAnsi="Times New Roman" w:cs="Times New Roman"/>
          <w:sz w:val="24"/>
          <w:szCs w:val="24"/>
        </w:rPr>
        <w:t xml:space="preserve">. </w:t>
      </w:r>
    </w:p>
    <w:p w14:paraId="6A987BE3" w14:textId="77777777" w:rsidR="00914113" w:rsidRDefault="00914113" w:rsidP="00D061BC">
      <w:pPr>
        <w:spacing w:line="480" w:lineRule="auto"/>
        <w:rPr>
          <w:rFonts w:ascii="Times New Roman" w:hAnsi="Times New Roman" w:cs="Times New Roman"/>
          <w:sz w:val="24"/>
          <w:szCs w:val="24"/>
        </w:rPr>
      </w:pPr>
    </w:p>
    <w:p w14:paraId="76D59791" w14:textId="6B135B3F" w:rsidR="00914113" w:rsidRPr="00AC4D01" w:rsidRDefault="00914113" w:rsidP="00D061BC">
      <w:pPr>
        <w:spacing w:line="480" w:lineRule="auto"/>
        <w:rPr>
          <w:rFonts w:ascii="Times New Roman" w:hAnsi="Times New Roman" w:cs="Times New Roman"/>
          <w:sz w:val="24"/>
          <w:szCs w:val="24"/>
        </w:rPr>
      </w:pPr>
      <w:r w:rsidRPr="003C17EE">
        <w:rPr>
          <w:rFonts w:ascii="Times New Roman" w:hAnsi="Times New Roman" w:cs="Times New Roman"/>
          <w:b/>
          <w:sz w:val="24"/>
          <w:szCs w:val="24"/>
        </w:rPr>
        <w:t>The role</w:t>
      </w:r>
      <w:r w:rsidR="008F1A18">
        <w:rPr>
          <w:rFonts w:ascii="Times New Roman" w:hAnsi="Times New Roman" w:cs="Times New Roman"/>
          <w:b/>
          <w:sz w:val="24"/>
          <w:szCs w:val="24"/>
        </w:rPr>
        <w:t>s</w:t>
      </w:r>
      <w:r w:rsidRPr="003C17EE">
        <w:rPr>
          <w:rFonts w:ascii="Times New Roman" w:hAnsi="Times New Roman" w:cs="Times New Roman"/>
          <w:b/>
          <w:sz w:val="24"/>
          <w:szCs w:val="24"/>
        </w:rPr>
        <w:t xml:space="preserve"> </w:t>
      </w:r>
      <w:r w:rsidR="008F1A18">
        <w:rPr>
          <w:rFonts w:ascii="Times New Roman" w:hAnsi="Times New Roman" w:cs="Times New Roman"/>
          <w:b/>
          <w:sz w:val="24"/>
          <w:szCs w:val="24"/>
        </w:rPr>
        <w:t xml:space="preserve">of </w:t>
      </w:r>
      <w:r w:rsidRPr="003C17EE">
        <w:rPr>
          <w:rFonts w:ascii="Times New Roman" w:hAnsi="Times New Roman" w:cs="Times New Roman"/>
          <w:b/>
          <w:sz w:val="24"/>
          <w:szCs w:val="24"/>
        </w:rPr>
        <w:t xml:space="preserve">species turnover and pioneer species in </w:t>
      </w:r>
      <w:r>
        <w:rPr>
          <w:rFonts w:ascii="Times New Roman" w:hAnsi="Times New Roman" w:cs="Times New Roman"/>
          <w:b/>
          <w:sz w:val="24"/>
          <w:szCs w:val="24"/>
        </w:rPr>
        <w:t xml:space="preserve">logged forest </w:t>
      </w:r>
      <w:r w:rsidRPr="003C17EE">
        <w:rPr>
          <w:rFonts w:ascii="Times New Roman" w:hAnsi="Times New Roman" w:cs="Times New Roman"/>
          <w:b/>
          <w:sz w:val="24"/>
          <w:szCs w:val="24"/>
        </w:rPr>
        <w:t>NPP</w:t>
      </w:r>
    </w:p>
    <w:p w14:paraId="7B248949" w14:textId="352D7E66" w:rsidR="00914113" w:rsidRPr="007D6079" w:rsidRDefault="00914113" w:rsidP="00D061BC">
      <w:pPr>
        <w:spacing w:line="480" w:lineRule="auto"/>
        <w:rPr>
          <w:rFonts w:ascii="Times New Roman" w:hAnsi="Times New Roman" w:cs="Times New Roman"/>
          <w:sz w:val="24"/>
          <w:szCs w:val="24"/>
          <w:lang w:eastAsia="zh-TW"/>
        </w:rPr>
      </w:pPr>
      <w:r w:rsidRPr="007D6079">
        <w:rPr>
          <w:rFonts w:ascii="Times New Roman" w:hAnsi="Times New Roman" w:cs="Times New Roman"/>
          <w:sz w:val="24"/>
          <w:szCs w:val="24"/>
          <w:lang w:eastAsia="zh-TW"/>
        </w:rPr>
        <w:t xml:space="preserve">In this study, the proportion of pioneers in the logged plots was high (on average, 30% of basal area, 33% of stems). However, the comparison by species groups showed that all species, not only pioneers, grew significantly </w:t>
      </w:r>
      <w:r w:rsidR="008F1A18">
        <w:rPr>
          <w:rFonts w:ascii="Times New Roman" w:hAnsi="Times New Roman" w:cs="Times New Roman"/>
          <w:sz w:val="24"/>
          <w:szCs w:val="24"/>
          <w:lang w:eastAsia="zh-TW"/>
        </w:rPr>
        <w:t>faster</w:t>
      </w:r>
      <w:r w:rsidR="008F1A18" w:rsidRPr="007D6079">
        <w:rPr>
          <w:rFonts w:ascii="Times New Roman" w:hAnsi="Times New Roman" w:cs="Times New Roman"/>
          <w:sz w:val="24"/>
          <w:szCs w:val="24"/>
          <w:lang w:eastAsia="zh-TW"/>
        </w:rPr>
        <w:t xml:space="preserve"> </w:t>
      </w:r>
      <w:r w:rsidRPr="007D6079">
        <w:rPr>
          <w:rFonts w:ascii="Times New Roman" w:hAnsi="Times New Roman" w:cs="Times New Roman"/>
          <w:sz w:val="24"/>
          <w:szCs w:val="24"/>
          <w:lang w:eastAsia="zh-TW"/>
        </w:rPr>
        <w:t>in logged forest than in old-growth forest, indicating that the reduced competition and higher availability of light and nutrients were more important factors than species identity in explaining the difference in NPP between the forest types. Similarly, in a previous study in Malaysia, growth rate</w:t>
      </w:r>
      <w:r w:rsidR="008F1A18">
        <w:rPr>
          <w:rFonts w:ascii="Times New Roman" w:hAnsi="Times New Roman" w:cs="Times New Roman"/>
          <w:sz w:val="24"/>
          <w:szCs w:val="24"/>
          <w:lang w:eastAsia="zh-TW"/>
        </w:rPr>
        <w:t xml:space="preserve"> differences among tree species</w:t>
      </w:r>
      <w:r w:rsidRPr="007D6079">
        <w:rPr>
          <w:rFonts w:ascii="Times New Roman" w:hAnsi="Times New Roman" w:cs="Times New Roman"/>
          <w:sz w:val="24"/>
          <w:szCs w:val="24"/>
          <w:lang w:eastAsia="zh-TW"/>
        </w:rPr>
        <w:t xml:space="preserve"> </w:t>
      </w:r>
      <w:r w:rsidR="008F1A18" w:rsidRPr="007D6079">
        <w:rPr>
          <w:rFonts w:ascii="Times New Roman" w:hAnsi="Times New Roman" w:cs="Times New Roman"/>
          <w:sz w:val="24"/>
          <w:szCs w:val="24"/>
          <w:lang w:eastAsia="zh-TW"/>
        </w:rPr>
        <w:t>w</w:t>
      </w:r>
      <w:r w:rsidR="008F1A18">
        <w:rPr>
          <w:rFonts w:ascii="Times New Roman" w:hAnsi="Times New Roman" w:cs="Times New Roman"/>
          <w:sz w:val="24"/>
          <w:szCs w:val="24"/>
          <w:lang w:eastAsia="zh-TW"/>
        </w:rPr>
        <w:t>ere</w:t>
      </w:r>
      <w:r w:rsidR="008F1A18" w:rsidRPr="007D6079">
        <w:rPr>
          <w:rFonts w:ascii="Times New Roman" w:hAnsi="Times New Roman" w:cs="Times New Roman"/>
          <w:sz w:val="24"/>
          <w:szCs w:val="24"/>
          <w:lang w:eastAsia="zh-TW"/>
        </w:rPr>
        <w:t xml:space="preserve"> </w:t>
      </w:r>
      <w:r w:rsidRPr="007D6079">
        <w:rPr>
          <w:rFonts w:ascii="Times New Roman" w:hAnsi="Times New Roman" w:cs="Times New Roman"/>
          <w:sz w:val="24"/>
          <w:szCs w:val="24"/>
          <w:lang w:eastAsia="zh-TW"/>
        </w:rPr>
        <w:t xml:space="preserve">shown to be much more strongly influenced by light interception index, crown illumination index and crown area than by wood density (King </w:t>
      </w:r>
      <w:r w:rsidRPr="007D6079">
        <w:rPr>
          <w:rFonts w:ascii="Times New Roman" w:hAnsi="Times New Roman" w:cs="Times New Roman"/>
          <w:i/>
          <w:sz w:val="24"/>
          <w:szCs w:val="24"/>
          <w:lang w:eastAsia="zh-TW"/>
        </w:rPr>
        <w:t xml:space="preserve">et al. </w:t>
      </w:r>
      <w:r w:rsidRPr="007D6079">
        <w:rPr>
          <w:rFonts w:ascii="Times New Roman" w:hAnsi="Times New Roman" w:cs="Times New Roman"/>
          <w:sz w:val="24"/>
          <w:szCs w:val="24"/>
          <w:lang w:eastAsia="zh-TW"/>
        </w:rPr>
        <w:t>2015).</w:t>
      </w:r>
    </w:p>
    <w:p w14:paraId="43B3C036" w14:textId="77777777" w:rsidR="00914113" w:rsidRPr="007D6079" w:rsidRDefault="00914113" w:rsidP="00D061BC">
      <w:pPr>
        <w:spacing w:line="480" w:lineRule="auto"/>
        <w:rPr>
          <w:rFonts w:ascii="Times New Roman" w:hAnsi="Times New Roman" w:cs="Times New Roman"/>
          <w:b/>
          <w:sz w:val="24"/>
          <w:szCs w:val="24"/>
          <w:lang w:eastAsia="zh-TW"/>
        </w:rPr>
      </w:pPr>
    </w:p>
    <w:p w14:paraId="61E1B9D9" w14:textId="2D56E8E5" w:rsidR="00914113" w:rsidRPr="007D6079" w:rsidRDefault="00914113" w:rsidP="00D061BC">
      <w:pPr>
        <w:spacing w:line="480" w:lineRule="auto"/>
        <w:rPr>
          <w:rFonts w:ascii="Times New Roman" w:hAnsi="Times New Roman" w:cs="Times New Roman"/>
          <w:b/>
          <w:sz w:val="24"/>
          <w:szCs w:val="24"/>
        </w:rPr>
      </w:pPr>
      <w:r w:rsidRPr="007D6079">
        <w:rPr>
          <w:rFonts w:ascii="Times New Roman" w:hAnsi="Times New Roman" w:cs="Times New Roman"/>
          <w:b/>
          <w:sz w:val="24"/>
          <w:szCs w:val="24"/>
          <w:lang w:eastAsia="zh-TW"/>
        </w:rPr>
        <w:t>Relative contribution</w:t>
      </w:r>
      <w:r w:rsidR="008F1A18">
        <w:rPr>
          <w:rFonts w:ascii="Times New Roman" w:hAnsi="Times New Roman" w:cs="Times New Roman"/>
          <w:b/>
          <w:sz w:val="24"/>
          <w:szCs w:val="24"/>
          <w:lang w:eastAsia="zh-TW"/>
        </w:rPr>
        <w:t>s</w:t>
      </w:r>
      <w:r w:rsidRPr="007D6079">
        <w:rPr>
          <w:rFonts w:ascii="Times New Roman" w:hAnsi="Times New Roman" w:cs="Times New Roman"/>
          <w:b/>
          <w:sz w:val="24"/>
          <w:szCs w:val="24"/>
          <w:lang w:eastAsia="zh-TW"/>
        </w:rPr>
        <w:t xml:space="preserve"> of productivity, allocation, and structure effects in determining the net change in NPP between logged and old-growth forests </w:t>
      </w:r>
    </w:p>
    <w:p w14:paraId="2BA398B1" w14:textId="7A316ADC" w:rsidR="00914113" w:rsidRPr="000D4176" w:rsidRDefault="00914113" w:rsidP="00D061BC">
      <w:pPr>
        <w:spacing w:line="480" w:lineRule="auto"/>
        <w:rPr>
          <w:rFonts w:ascii="Times New Roman" w:hAnsi="Times New Roman" w:cs="Times New Roman"/>
          <w:sz w:val="24"/>
          <w:szCs w:val="24"/>
        </w:rPr>
      </w:pPr>
      <w:r w:rsidRPr="007D6079">
        <w:rPr>
          <w:rFonts w:ascii="Times New Roman" w:hAnsi="Times New Roman" w:cs="Times New Roman"/>
          <w:sz w:val="24"/>
          <w:szCs w:val="24"/>
        </w:rPr>
        <w:t>The subplot-scale analysis showed that after reaching canopy closure, logged forests were considerably more productive than old-growth forests of similar basal area. Overall, the productivity effect increased the logged forest NPP by 31%, compared</w:t>
      </w:r>
      <w:r w:rsidRPr="000D4176">
        <w:rPr>
          <w:rFonts w:ascii="Times New Roman" w:hAnsi="Times New Roman" w:cs="Times New Roman"/>
          <w:sz w:val="24"/>
          <w:szCs w:val="24"/>
        </w:rPr>
        <w:t xml:space="preserve"> with the old-growth forest NPP. This is consistent with the well-documented age-related decline in forest productivity in temperate and boreal forests, where NPP shows a rapid increase in young stands, peaks in intermediate age classes and </w:t>
      </w:r>
      <w:bookmarkStart w:id="0" w:name="_GoBack"/>
      <w:bookmarkEnd w:id="0"/>
      <w:r w:rsidRPr="000D4176">
        <w:rPr>
          <w:rFonts w:ascii="Times New Roman" w:hAnsi="Times New Roman" w:cs="Times New Roman"/>
          <w:sz w:val="24"/>
          <w:szCs w:val="24"/>
        </w:rPr>
        <w:t xml:space="preserve">a slowly declines towards old stands </w:t>
      </w:r>
      <w:r w:rsidRPr="000D4176">
        <w:rPr>
          <w:rFonts w:ascii="Times New Roman" w:hAnsi="Times New Roman" w:cs="Times New Roman"/>
          <w:noProof/>
          <w:sz w:val="24"/>
          <w:szCs w:val="24"/>
        </w:rPr>
        <w:t>(e.g. Gower</w:t>
      </w:r>
      <w:r w:rsidRPr="000D4176">
        <w:rPr>
          <w:rFonts w:ascii="Times New Roman" w:hAnsi="Times New Roman" w:cs="Times New Roman"/>
          <w:i/>
          <w:noProof/>
          <w:sz w:val="24"/>
          <w:szCs w:val="24"/>
        </w:rPr>
        <w:t xml:space="preserve"> et al.</w:t>
      </w:r>
      <w:r w:rsidRPr="000D4176">
        <w:rPr>
          <w:rFonts w:ascii="Times New Roman" w:hAnsi="Times New Roman" w:cs="Times New Roman"/>
          <w:noProof/>
          <w:sz w:val="24"/>
          <w:szCs w:val="24"/>
        </w:rPr>
        <w:t>, 1996; Ryan</w:t>
      </w:r>
      <w:r w:rsidRPr="000D4176">
        <w:rPr>
          <w:rFonts w:ascii="Times New Roman" w:hAnsi="Times New Roman" w:cs="Times New Roman"/>
          <w:i/>
          <w:noProof/>
          <w:sz w:val="24"/>
          <w:szCs w:val="24"/>
        </w:rPr>
        <w:t xml:space="preserve"> et al.</w:t>
      </w:r>
      <w:r w:rsidRPr="000D4176">
        <w:rPr>
          <w:rFonts w:ascii="Times New Roman" w:hAnsi="Times New Roman" w:cs="Times New Roman"/>
          <w:noProof/>
          <w:sz w:val="24"/>
          <w:szCs w:val="24"/>
        </w:rPr>
        <w:t>, 1997; Pregitzer &amp; Euskirchen, 2004)</w:t>
      </w:r>
      <w:r w:rsidRPr="000D4176">
        <w:rPr>
          <w:rFonts w:ascii="Times New Roman" w:hAnsi="Times New Roman" w:cs="Times New Roman"/>
          <w:sz w:val="24"/>
          <w:szCs w:val="24"/>
        </w:rPr>
        <w:t>. The selectively logged forests of this study are not, however</w:t>
      </w:r>
      <w:r>
        <w:rPr>
          <w:rFonts w:ascii="Times New Roman" w:hAnsi="Times New Roman" w:cs="Times New Roman"/>
          <w:sz w:val="24"/>
          <w:szCs w:val="24"/>
        </w:rPr>
        <w:t>, directly comparable to chr</w:t>
      </w:r>
      <w:r w:rsidRPr="000D4176">
        <w:rPr>
          <w:rFonts w:ascii="Times New Roman" w:hAnsi="Times New Roman" w:cs="Times New Roman"/>
          <w:sz w:val="24"/>
          <w:szCs w:val="24"/>
        </w:rPr>
        <w:t>onosequence studies, due to their high within-plot variability, patchy structure</w:t>
      </w:r>
      <w:r>
        <w:rPr>
          <w:rFonts w:ascii="Times New Roman" w:hAnsi="Times New Roman" w:cs="Times New Roman"/>
          <w:sz w:val="24"/>
          <w:szCs w:val="24"/>
        </w:rPr>
        <w:t xml:space="preserve"> and</w:t>
      </w:r>
      <w:r w:rsidRPr="000D4176">
        <w:rPr>
          <w:rFonts w:ascii="Times New Roman" w:hAnsi="Times New Roman" w:cs="Times New Roman"/>
          <w:sz w:val="24"/>
          <w:szCs w:val="24"/>
        </w:rPr>
        <w:t xml:space="preserve"> the mixture of old trees and new recruits. I</w:t>
      </w:r>
      <w:r>
        <w:rPr>
          <w:rFonts w:ascii="Times New Roman" w:hAnsi="Times New Roman" w:cs="Times New Roman"/>
          <w:sz w:val="24"/>
          <w:szCs w:val="24"/>
        </w:rPr>
        <w:t xml:space="preserve">n this study, the </w:t>
      </w:r>
      <w:r w:rsidRPr="000D4176">
        <w:rPr>
          <w:rFonts w:ascii="Times New Roman" w:hAnsi="Times New Roman" w:cs="Times New Roman"/>
          <w:sz w:val="24"/>
          <w:szCs w:val="24"/>
        </w:rPr>
        <w:t xml:space="preserve">growth of individual trees was highest in the most heavily logged </w:t>
      </w:r>
      <w:r w:rsidRPr="000D4176">
        <w:rPr>
          <w:rFonts w:ascii="Times New Roman" w:hAnsi="Times New Roman" w:cs="Times New Roman"/>
          <w:sz w:val="24"/>
          <w:szCs w:val="24"/>
        </w:rPr>
        <w:lastRenderedPageBreak/>
        <w:t xml:space="preserve">plots across all diameter classes, including the largest (and, potentially, </w:t>
      </w:r>
      <w:r>
        <w:rPr>
          <w:rFonts w:ascii="Times New Roman" w:hAnsi="Times New Roman" w:cs="Times New Roman"/>
          <w:sz w:val="24"/>
          <w:szCs w:val="24"/>
        </w:rPr>
        <w:t xml:space="preserve">oldest) </w:t>
      </w:r>
      <w:r w:rsidRPr="000D4176">
        <w:rPr>
          <w:rFonts w:ascii="Times New Roman" w:hAnsi="Times New Roman" w:cs="Times New Roman"/>
          <w:sz w:val="24"/>
          <w:szCs w:val="24"/>
        </w:rPr>
        <w:t xml:space="preserve">trees. This indicates that, in addition to age, the altered resource availability and growth strategies (investing in growth rather than </w:t>
      </w:r>
      <w:r>
        <w:rPr>
          <w:rFonts w:ascii="Times New Roman" w:hAnsi="Times New Roman" w:cs="Times New Roman"/>
          <w:sz w:val="24"/>
          <w:szCs w:val="24"/>
        </w:rPr>
        <w:t xml:space="preserve">in </w:t>
      </w:r>
      <w:r w:rsidRPr="000D4176">
        <w:rPr>
          <w:rFonts w:ascii="Times New Roman" w:hAnsi="Times New Roman" w:cs="Times New Roman"/>
          <w:sz w:val="24"/>
          <w:szCs w:val="24"/>
        </w:rPr>
        <w:t>maintenance</w:t>
      </w:r>
      <w:r>
        <w:rPr>
          <w:rFonts w:ascii="Times New Roman" w:hAnsi="Times New Roman" w:cs="Times New Roman"/>
          <w:sz w:val="24"/>
          <w:szCs w:val="24"/>
        </w:rPr>
        <w:t xml:space="preserve"> and defence</w:t>
      </w:r>
      <w:r w:rsidRPr="000D4176">
        <w:rPr>
          <w:rFonts w:ascii="Times New Roman" w:hAnsi="Times New Roman" w:cs="Times New Roman"/>
          <w:sz w:val="24"/>
          <w:szCs w:val="24"/>
        </w:rPr>
        <w:t>) also contributed to the higher productivity.</w:t>
      </w:r>
    </w:p>
    <w:p w14:paraId="3E25967E" w14:textId="4F91B026" w:rsidR="00914113" w:rsidRPr="000D4176" w:rsidRDefault="00914113" w:rsidP="00D061BC">
      <w:pPr>
        <w:spacing w:line="480" w:lineRule="auto"/>
        <w:rPr>
          <w:rFonts w:ascii="Times New Roman" w:hAnsi="Times New Roman" w:cs="Times New Roman"/>
          <w:sz w:val="24"/>
          <w:szCs w:val="24"/>
        </w:rPr>
      </w:pPr>
      <w:r w:rsidRPr="000D4176">
        <w:rPr>
          <w:rFonts w:ascii="Times New Roman" w:hAnsi="Times New Roman" w:cs="Times New Roman"/>
          <w:sz w:val="24"/>
          <w:szCs w:val="24"/>
        </w:rPr>
        <w:t>However, the higher productivity rates in logged forests in this study applied only if the structure effect w</w:t>
      </w:r>
      <w:r>
        <w:rPr>
          <w:rFonts w:ascii="Times New Roman" w:hAnsi="Times New Roman" w:cs="Times New Roman"/>
          <w:sz w:val="24"/>
          <w:szCs w:val="24"/>
        </w:rPr>
        <w:t>ere not taken into account. The structure</w:t>
      </w:r>
      <w:r w:rsidRPr="000D4176">
        <w:rPr>
          <w:rFonts w:ascii="Times New Roman" w:hAnsi="Times New Roman" w:cs="Times New Roman"/>
          <w:sz w:val="24"/>
          <w:szCs w:val="24"/>
        </w:rPr>
        <w:t xml:space="preserve"> effect was strongest in the areas of most sparse tree cover (</w:t>
      </w:r>
      <w:r w:rsidRPr="000D4176">
        <w:rPr>
          <w:rFonts w:ascii="Times New Roman" w:hAnsi="Times New Roman" w:cs="Times New Roman"/>
          <w:sz w:val="24"/>
          <w:szCs w:val="24"/>
          <w:lang w:eastAsia="zh-TW"/>
        </w:rPr>
        <w:t>basal area &lt;10 m</w:t>
      </w:r>
      <w:r w:rsidRPr="000D4176">
        <w:rPr>
          <w:rFonts w:ascii="Times New Roman" w:hAnsi="Times New Roman" w:cs="Times New Roman"/>
          <w:sz w:val="24"/>
          <w:szCs w:val="24"/>
          <w:vertAlign w:val="superscript"/>
          <w:lang w:eastAsia="zh-TW"/>
        </w:rPr>
        <w:t>2</w:t>
      </w:r>
      <w:r w:rsidRPr="000D4176">
        <w:rPr>
          <w:rFonts w:ascii="Times New Roman" w:hAnsi="Times New Roman" w:cs="Times New Roman"/>
          <w:sz w:val="24"/>
          <w:szCs w:val="24"/>
          <w:lang w:eastAsia="zh-TW"/>
        </w:rPr>
        <w:t xml:space="preserve"> ha</w:t>
      </w:r>
      <w:r w:rsidRPr="000D4176">
        <w:rPr>
          <w:rFonts w:ascii="Times New Roman" w:hAnsi="Times New Roman" w:cs="Times New Roman"/>
          <w:sz w:val="24"/>
          <w:szCs w:val="24"/>
          <w:vertAlign w:val="superscript"/>
          <w:lang w:eastAsia="zh-TW"/>
        </w:rPr>
        <w:t>-1</w:t>
      </w:r>
      <w:r w:rsidRPr="000D4176">
        <w:rPr>
          <w:rFonts w:ascii="Times New Roman" w:hAnsi="Times New Roman" w:cs="Times New Roman"/>
          <w:sz w:val="24"/>
          <w:szCs w:val="24"/>
          <w:lang w:eastAsia="zh-TW"/>
        </w:rPr>
        <w:t>)</w:t>
      </w:r>
      <w:r w:rsidRPr="000D4176">
        <w:rPr>
          <w:rFonts w:ascii="Times New Roman" w:hAnsi="Times New Roman" w:cs="Times New Roman"/>
          <w:sz w:val="24"/>
          <w:szCs w:val="24"/>
        </w:rPr>
        <w:t xml:space="preserve">. </w:t>
      </w:r>
      <w:r w:rsidRPr="000D4176">
        <w:rPr>
          <w:rFonts w:ascii="Times New Roman" w:hAnsi="Times New Roman" w:cs="Times New Roman"/>
          <w:sz w:val="24"/>
          <w:szCs w:val="24"/>
          <w:lang w:eastAsia="zh-TW"/>
        </w:rPr>
        <w:t>These areas may either be logging gaps, such as roads and landing sites, which regenerate slowly</w:t>
      </w:r>
      <w:r>
        <w:rPr>
          <w:rFonts w:ascii="Times New Roman" w:hAnsi="Times New Roman" w:cs="Times New Roman"/>
          <w:sz w:val="24"/>
          <w:szCs w:val="24"/>
          <w:lang w:eastAsia="zh-TW"/>
        </w:rPr>
        <w:t xml:space="preserve"> </w:t>
      </w:r>
      <w:r>
        <w:rPr>
          <w:rFonts w:ascii="Times New Roman" w:hAnsi="Times New Roman" w:cs="Times New Roman"/>
          <w:noProof/>
          <w:sz w:val="24"/>
          <w:szCs w:val="24"/>
          <w:lang w:eastAsia="zh-TW"/>
        </w:rPr>
        <w:t>(Pinard</w:t>
      </w:r>
      <w:r w:rsidRPr="000050C8">
        <w:rPr>
          <w:rFonts w:ascii="Times New Roman" w:hAnsi="Times New Roman" w:cs="Times New Roman"/>
          <w:i/>
          <w:noProof/>
          <w:sz w:val="24"/>
          <w:szCs w:val="24"/>
          <w:lang w:eastAsia="zh-TW"/>
        </w:rPr>
        <w:t xml:space="preserve"> et al.</w:t>
      </w:r>
      <w:r>
        <w:rPr>
          <w:rFonts w:ascii="Times New Roman" w:hAnsi="Times New Roman" w:cs="Times New Roman"/>
          <w:noProof/>
          <w:sz w:val="24"/>
          <w:szCs w:val="24"/>
          <w:lang w:eastAsia="zh-TW"/>
        </w:rPr>
        <w:t>, 2000)</w:t>
      </w:r>
      <w:r w:rsidRPr="000D4176">
        <w:rPr>
          <w:rFonts w:ascii="Times New Roman" w:hAnsi="Times New Roman" w:cs="Times New Roman"/>
          <w:sz w:val="24"/>
          <w:szCs w:val="24"/>
          <w:lang w:eastAsia="zh-TW"/>
        </w:rPr>
        <w:t xml:space="preserve">, or tree fall gaps resulting from persistently higher mortality rates due to past logging. In these gaps, the NPP of individual trees, and thus the NPP per unit basal area, may be high </w:t>
      </w:r>
      <w:r w:rsidRPr="000D4176">
        <w:rPr>
          <w:rFonts w:ascii="Times New Roman" w:hAnsi="Times New Roman" w:cs="Times New Roman"/>
          <w:sz w:val="24"/>
          <w:szCs w:val="24"/>
        </w:rPr>
        <w:t xml:space="preserve">due to </w:t>
      </w:r>
      <w:r>
        <w:rPr>
          <w:rFonts w:ascii="Times New Roman" w:hAnsi="Times New Roman" w:cs="Times New Roman"/>
          <w:sz w:val="24"/>
          <w:szCs w:val="24"/>
        </w:rPr>
        <w:t>abundant light</w:t>
      </w:r>
      <w:r w:rsidRPr="000D4176">
        <w:rPr>
          <w:rFonts w:ascii="Times New Roman" w:hAnsi="Times New Roman" w:cs="Times New Roman"/>
          <w:sz w:val="24"/>
          <w:szCs w:val="24"/>
        </w:rPr>
        <w:t xml:space="preserve">, low belowground competition, and, typically, dominance of fast-growing pioneer species </w:t>
      </w:r>
      <w:r w:rsidRPr="000D4176">
        <w:rPr>
          <w:rFonts w:ascii="Times New Roman" w:hAnsi="Times New Roman" w:cs="Times New Roman"/>
          <w:noProof/>
          <w:sz w:val="24"/>
          <w:szCs w:val="24"/>
        </w:rPr>
        <w:t>(Huang &amp; Asner, 2010)</w:t>
      </w:r>
      <w:r w:rsidRPr="000D4176">
        <w:rPr>
          <w:rFonts w:ascii="Times New Roman" w:hAnsi="Times New Roman" w:cs="Times New Roman"/>
          <w:sz w:val="24"/>
          <w:szCs w:val="24"/>
        </w:rPr>
        <w:t>. However, s</w:t>
      </w:r>
      <w:r w:rsidRPr="000D4176">
        <w:rPr>
          <w:rFonts w:ascii="Times New Roman" w:hAnsi="Times New Roman" w:cs="Times New Roman"/>
          <w:sz w:val="24"/>
          <w:szCs w:val="24"/>
          <w:lang w:eastAsia="zh-TW"/>
        </w:rPr>
        <w:t>uch areas have low NPP per unit ground area because of the small number of trees — u</w:t>
      </w:r>
      <w:r w:rsidRPr="000D4176">
        <w:rPr>
          <w:rFonts w:ascii="Times New Roman" w:hAnsi="Times New Roman" w:cs="Times New Roman"/>
          <w:sz w:val="24"/>
          <w:szCs w:val="24"/>
        </w:rPr>
        <w:t xml:space="preserve">sing a banking analogy, a small amount of capital earns only a small interest, even if the interest rate is high. </w:t>
      </w:r>
      <w:r w:rsidRPr="000D4176">
        <w:rPr>
          <w:rFonts w:ascii="Times New Roman" w:hAnsi="Times New Roman" w:cs="Times New Roman"/>
          <w:sz w:val="24"/>
          <w:szCs w:val="24"/>
          <w:lang w:eastAsia="zh-TW"/>
        </w:rPr>
        <w:t xml:space="preserve">The low NPP in </w:t>
      </w:r>
      <w:r>
        <w:rPr>
          <w:rFonts w:ascii="Times New Roman" w:hAnsi="Times New Roman" w:cs="Times New Roman"/>
          <w:sz w:val="24"/>
          <w:szCs w:val="24"/>
          <w:lang w:eastAsia="zh-TW"/>
        </w:rPr>
        <w:t>the sparse</w:t>
      </w:r>
      <w:r w:rsidRPr="000D4176">
        <w:rPr>
          <w:rFonts w:ascii="Times New Roman" w:hAnsi="Times New Roman" w:cs="Times New Roman"/>
          <w:sz w:val="24"/>
          <w:szCs w:val="24"/>
          <w:lang w:eastAsia="zh-TW"/>
        </w:rPr>
        <w:t xml:space="preserve"> tree cover areas largely counterbalanced the positive productivity effect, resulting in a similar average NPP in logged and old-growth forests </w:t>
      </w:r>
      <w:r w:rsidR="006B7F07">
        <w:rPr>
          <w:rFonts w:ascii="Times New Roman" w:hAnsi="Times New Roman" w:cs="Times New Roman"/>
          <w:sz w:val="24"/>
          <w:szCs w:val="24"/>
          <w:lang w:eastAsia="zh-TW"/>
        </w:rPr>
        <w:t>at the</w:t>
      </w:r>
      <w:r w:rsidRPr="000D4176">
        <w:rPr>
          <w:rFonts w:ascii="Times New Roman" w:hAnsi="Times New Roman" w:cs="Times New Roman"/>
          <w:sz w:val="24"/>
          <w:szCs w:val="24"/>
          <w:lang w:eastAsia="zh-TW"/>
        </w:rPr>
        <w:t xml:space="preserve"> 1-ha plot scale. The steep decline in NPP when basal area </w:t>
      </w:r>
      <w:r w:rsidR="008F1A18">
        <w:rPr>
          <w:rFonts w:ascii="Times New Roman" w:hAnsi="Times New Roman" w:cs="Times New Roman"/>
          <w:sz w:val="24"/>
          <w:szCs w:val="24"/>
          <w:lang w:eastAsia="zh-TW"/>
        </w:rPr>
        <w:t xml:space="preserve">was </w:t>
      </w:r>
      <w:r w:rsidRPr="000D4176">
        <w:rPr>
          <w:rFonts w:ascii="Times New Roman" w:hAnsi="Times New Roman" w:cs="Times New Roman"/>
          <w:sz w:val="24"/>
          <w:szCs w:val="24"/>
          <w:lang w:eastAsia="zh-TW"/>
        </w:rPr>
        <w:t>&lt;10 m</w:t>
      </w:r>
      <w:r w:rsidRPr="000D4176">
        <w:rPr>
          <w:rFonts w:ascii="Times New Roman" w:hAnsi="Times New Roman" w:cs="Times New Roman"/>
          <w:sz w:val="24"/>
          <w:szCs w:val="24"/>
          <w:vertAlign w:val="superscript"/>
          <w:lang w:eastAsia="zh-TW"/>
        </w:rPr>
        <w:t>2</w:t>
      </w:r>
      <w:r w:rsidRPr="000D4176">
        <w:rPr>
          <w:rFonts w:ascii="Times New Roman" w:hAnsi="Times New Roman" w:cs="Times New Roman"/>
          <w:sz w:val="24"/>
          <w:szCs w:val="24"/>
          <w:lang w:eastAsia="zh-TW"/>
        </w:rPr>
        <w:t xml:space="preserve"> ha</w:t>
      </w:r>
      <w:r w:rsidRPr="000D4176">
        <w:rPr>
          <w:rFonts w:ascii="Times New Roman" w:hAnsi="Times New Roman" w:cs="Times New Roman"/>
          <w:sz w:val="24"/>
          <w:szCs w:val="24"/>
          <w:vertAlign w:val="superscript"/>
          <w:lang w:eastAsia="zh-TW"/>
        </w:rPr>
        <w:t>-1</w:t>
      </w:r>
      <w:r w:rsidRPr="000D4176">
        <w:rPr>
          <w:rFonts w:ascii="Times New Roman" w:hAnsi="Times New Roman" w:cs="Times New Roman"/>
          <w:sz w:val="24"/>
          <w:szCs w:val="24"/>
          <w:lang w:eastAsia="zh-TW"/>
        </w:rPr>
        <w:t xml:space="preserve"> makes the area proportion of gaps one of the main factors affecting logged forest NPP. Based on high-resolution (30</w:t>
      </w:r>
      <w:r>
        <w:rPr>
          <w:rFonts w:ascii="Times New Roman" w:hAnsi="Times New Roman" w:cs="Times New Roman"/>
          <w:sz w:val="24"/>
          <w:szCs w:val="24"/>
          <w:lang w:eastAsia="zh-TW"/>
        </w:rPr>
        <w:t xml:space="preserve"> </w:t>
      </w:r>
      <w:r w:rsidRPr="000D4176">
        <w:rPr>
          <w:rFonts w:ascii="Times New Roman" w:hAnsi="Times New Roman" w:cs="Times New Roman"/>
          <w:sz w:val="24"/>
          <w:szCs w:val="24"/>
          <w:lang w:eastAsia="zh-TW"/>
        </w:rPr>
        <w:t xml:space="preserve">m) remote sensing data, </w:t>
      </w:r>
      <w:r w:rsidRPr="000D4176">
        <w:rPr>
          <w:rFonts w:ascii="Times New Roman" w:hAnsi="Times New Roman" w:cs="Times New Roman"/>
          <w:noProof/>
          <w:sz w:val="24"/>
          <w:szCs w:val="24"/>
          <w:lang w:eastAsia="zh-TW"/>
        </w:rPr>
        <w:t>Bryan</w:t>
      </w:r>
      <w:r w:rsidRPr="000D4176">
        <w:rPr>
          <w:rFonts w:ascii="Times New Roman" w:hAnsi="Times New Roman" w:cs="Times New Roman"/>
          <w:i/>
          <w:noProof/>
          <w:sz w:val="24"/>
          <w:szCs w:val="24"/>
          <w:lang w:eastAsia="zh-TW"/>
        </w:rPr>
        <w:t xml:space="preserve"> et al.</w:t>
      </w:r>
      <w:r w:rsidRPr="000D4176">
        <w:rPr>
          <w:rFonts w:ascii="Times New Roman" w:hAnsi="Times New Roman" w:cs="Times New Roman"/>
          <w:noProof/>
          <w:sz w:val="24"/>
          <w:szCs w:val="24"/>
          <w:lang w:eastAsia="zh-TW"/>
        </w:rPr>
        <w:t xml:space="preserve"> (2013)</w:t>
      </w:r>
      <w:r w:rsidRPr="000D4176">
        <w:rPr>
          <w:rFonts w:ascii="Times New Roman" w:hAnsi="Times New Roman" w:cs="Times New Roman"/>
          <w:sz w:val="24"/>
          <w:szCs w:val="24"/>
          <w:lang w:eastAsia="zh-TW"/>
        </w:rPr>
        <w:t xml:space="preserve"> classified 32% of the degraded forest area in Sabah as severely degraded. In our study, the proportion of very sparse tree cover areas (basal area &lt;10 m</w:t>
      </w:r>
      <w:r w:rsidRPr="000D4176">
        <w:rPr>
          <w:rFonts w:ascii="Times New Roman" w:hAnsi="Times New Roman" w:cs="Times New Roman"/>
          <w:sz w:val="24"/>
          <w:szCs w:val="24"/>
          <w:vertAlign w:val="superscript"/>
          <w:lang w:eastAsia="zh-TW"/>
        </w:rPr>
        <w:t>2</w:t>
      </w:r>
      <w:r w:rsidRPr="000D4176">
        <w:rPr>
          <w:rFonts w:ascii="Times New Roman" w:hAnsi="Times New Roman" w:cs="Times New Roman"/>
          <w:sz w:val="24"/>
          <w:szCs w:val="24"/>
          <w:lang w:eastAsia="zh-TW"/>
        </w:rPr>
        <w:t xml:space="preserve"> ha</w:t>
      </w:r>
      <w:r w:rsidRPr="000D4176">
        <w:rPr>
          <w:rFonts w:ascii="Times New Roman" w:hAnsi="Times New Roman" w:cs="Times New Roman"/>
          <w:sz w:val="24"/>
          <w:szCs w:val="24"/>
          <w:vertAlign w:val="superscript"/>
          <w:lang w:eastAsia="zh-TW"/>
        </w:rPr>
        <w:t>-1</w:t>
      </w:r>
      <w:r w:rsidRPr="000D4176">
        <w:rPr>
          <w:rFonts w:ascii="Times New Roman" w:hAnsi="Times New Roman" w:cs="Times New Roman"/>
          <w:sz w:val="24"/>
          <w:szCs w:val="24"/>
          <w:lang w:eastAsia="zh-TW"/>
        </w:rPr>
        <w:t xml:space="preserve">) in the logged plots was similar (37%), indicating that the results are likely to be representative across the wider landscape. </w:t>
      </w:r>
    </w:p>
    <w:p w14:paraId="430B3198" w14:textId="77777777" w:rsidR="00914113" w:rsidRPr="000D4176" w:rsidRDefault="00914113" w:rsidP="00D061BC">
      <w:pPr>
        <w:spacing w:line="480" w:lineRule="auto"/>
        <w:rPr>
          <w:rFonts w:ascii="Times New Roman" w:hAnsi="Times New Roman" w:cs="Times New Roman"/>
          <w:sz w:val="24"/>
          <w:szCs w:val="24"/>
          <w:lang w:eastAsia="zh-TW"/>
        </w:rPr>
      </w:pPr>
      <w:r w:rsidRPr="000D4176">
        <w:rPr>
          <w:rFonts w:ascii="Times New Roman" w:hAnsi="Times New Roman" w:cs="Times New Roman"/>
          <w:sz w:val="24"/>
          <w:szCs w:val="24"/>
        </w:rPr>
        <w:t xml:space="preserve">Similar to total NPP, the </w:t>
      </w:r>
      <w:r>
        <w:rPr>
          <w:rFonts w:ascii="Times New Roman" w:hAnsi="Times New Roman" w:cs="Times New Roman"/>
          <w:sz w:val="24"/>
          <w:szCs w:val="24"/>
        </w:rPr>
        <w:t xml:space="preserve">component </w:t>
      </w:r>
      <w:r w:rsidRPr="000D4176">
        <w:rPr>
          <w:rFonts w:ascii="Times New Roman" w:hAnsi="Times New Roman" w:cs="Times New Roman"/>
          <w:sz w:val="24"/>
          <w:szCs w:val="24"/>
        </w:rPr>
        <w:t>(canopy, woody and fine root</w:t>
      </w:r>
      <w:r>
        <w:rPr>
          <w:rFonts w:ascii="Times New Roman" w:hAnsi="Times New Roman" w:cs="Times New Roman"/>
          <w:sz w:val="24"/>
          <w:szCs w:val="24"/>
        </w:rPr>
        <w:t>)</w:t>
      </w:r>
      <w:r w:rsidRPr="000D4176">
        <w:rPr>
          <w:rFonts w:ascii="Times New Roman" w:hAnsi="Times New Roman" w:cs="Times New Roman"/>
          <w:sz w:val="24"/>
          <w:szCs w:val="24"/>
        </w:rPr>
        <w:t xml:space="preserve"> NPP in logged forest showed a positive productivity effect and negative structure effect. </w:t>
      </w:r>
      <w:r>
        <w:rPr>
          <w:rFonts w:ascii="Times New Roman" w:hAnsi="Times New Roman" w:cs="Times New Roman"/>
          <w:sz w:val="24"/>
          <w:szCs w:val="24"/>
        </w:rPr>
        <w:t xml:space="preserve">A similar productivity effect has been reported in other studies, where the magnitude of total NPP or GPP was the </w:t>
      </w:r>
      <w:r>
        <w:rPr>
          <w:rFonts w:ascii="Times New Roman" w:hAnsi="Times New Roman" w:cs="Times New Roman"/>
          <w:sz w:val="24"/>
          <w:szCs w:val="24"/>
        </w:rPr>
        <w:lastRenderedPageBreak/>
        <w:t xml:space="preserve">best predictor of the component NPP </w:t>
      </w:r>
      <w:r>
        <w:rPr>
          <w:rFonts w:ascii="Times New Roman" w:hAnsi="Times New Roman" w:cs="Times New Roman"/>
          <w:noProof/>
          <w:sz w:val="24"/>
          <w:szCs w:val="24"/>
        </w:rPr>
        <w:t>(Litton</w:t>
      </w:r>
      <w:r w:rsidRPr="00DF3473">
        <w:rPr>
          <w:rFonts w:ascii="Times New Roman" w:hAnsi="Times New Roman" w:cs="Times New Roman"/>
          <w:i/>
          <w:noProof/>
          <w:sz w:val="24"/>
          <w:szCs w:val="24"/>
        </w:rPr>
        <w:t xml:space="preserve"> et al.</w:t>
      </w:r>
      <w:r>
        <w:rPr>
          <w:rFonts w:ascii="Times New Roman" w:hAnsi="Times New Roman" w:cs="Times New Roman"/>
          <w:noProof/>
          <w:sz w:val="24"/>
          <w:szCs w:val="24"/>
        </w:rPr>
        <w:t>, 2007; Wolf</w:t>
      </w:r>
      <w:r w:rsidRPr="00DF3473">
        <w:rPr>
          <w:rFonts w:ascii="Times New Roman" w:hAnsi="Times New Roman" w:cs="Times New Roman"/>
          <w:i/>
          <w:noProof/>
          <w:sz w:val="24"/>
          <w:szCs w:val="24"/>
        </w:rPr>
        <w:t xml:space="preserve"> et al.</w:t>
      </w:r>
      <w:r>
        <w:rPr>
          <w:rFonts w:ascii="Times New Roman" w:hAnsi="Times New Roman" w:cs="Times New Roman"/>
          <w:noProof/>
          <w:sz w:val="24"/>
          <w:szCs w:val="24"/>
        </w:rPr>
        <w:t>, 2011)</w:t>
      </w:r>
      <w:r>
        <w:rPr>
          <w:rFonts w:ascii="Times New Roman" w:hAnsi="Times New Roman" w:cs="Times New Roman"/>
          <w:sz w:val="24"/>
          <w:szCs w:val="24"/>
        </w:rPr>
        <w:t xml:space="preserve">. </w:t>
      </w:r>
      <w:r w:rsidRPr="000D4176">
        <w:rPr>
          <w:rFonts w:ascii="Times New Roman" w:hAnsi="Times New Roman" w:cs="Times New Roman"/>
          <w:sz w:val="24"/>
          <w:szCs w:val="24"/>
        </w:rPr>
        <w:t>However, for the component NPP, potential allocation shifts must be taken into account to fully understand the differences between logged and old-growth forest. For logged forest canopy NPP, the negative allocation effect was stronger than the positive productivity effect, while logged forest woody NPP was increased as much by the positive allocation effect as by the positive productivity effect. This demonstrates that allocation effects may be equally or more important than changes in overall productivity and stand structure in determining the magnitude of woody growth, or root or canopy production.</w:t>
      </w:r>
    </w:p>
    <w:p w14:paraId="1F7A7B8C" w14:textId="08C626E7" w:rsidR="00914113" w:rsidRDefault="00914113" w:rsidP="00D061BC">
      <w:pPr>
        <w:spacing w:line="480" w:lineRule="auto"/>
        <w:rPr>
          <w:rFonts w:ascii="Times New Roman" w:hAnsi="Times New Roman" w:cs="Times New Roman"/>
          <w:sz w:val="24"/>
          <w:szCs w:val="24"/>
        </w:rPr>
      </w:pPr>
      <w:r w:rsidRPr="000D4176">
        <w:rPr>
          <w:rFonts w:ascii="Times New Roman" w:hAnsi="Times New Roman" w:cs="Times New Roman"/>
          <w:sz w:val="24"/>
          <w:szCs w:val="24"/>
        </w:rPr>
        <w:t>The data presented here give new insights into how disturbance affects productivity and allocation. As logged forests become an increasingly prevalent part of the tropical forest biome, these shifts in productivity and allocation represent a profound human impact on the carbon cycling of the tropical biosphere, almost certainly more than impacts to date caused by atmospheric and climate change.</w:t>
      </w:r>
    </w:p>
    <w:p w14:paraId="38E26FD8" w14:textId="77777777" w:rsidR="00914113" w:rsidRPr="00BE3BC6" w:rsidRDefault="00914113" w:rsidP="00D061BC">
      <w:pPr>
        <w:spacing w:line="480" w:lineRule="auto"/>
        <w:rPr>
          <w:rFonts w:ascii="Times New Roman" w:hAnsi="Times New Roman" w:cs="Times New Roman"/>
          <w:sz w:val="24"/>
          <w:szCs w:val="24"/>
        </w:rPr>
      </w:pPr>
    </w:p>
    <w:p w14:paraId="61E97DF8" w14:textId="77777777" w:rsidR="00914113" w:rsidRPr="00BE3BC6" w:rsidRDefault="00914113" w:rsidP="00D061BC">
      <w:pPr>
        <w:spacing w:line="480" w:lineRule="auto"/>
        <w:rPr>
          <w:rFonts w:ascii="Times New Roman" w:hAnsi="Times New Roman" w:cs="Times New Roman"/>
          <w:b/>
          <w:sz w:val="24"/>
          <w:szCs w:val="24"/>
        </w:rPr>
      </w:pPr>
      <w:r w:rsidRPr="00BE3BC6">
        <w:rPr>
          <w:rFonts w:ascii="Times New Roman" w:hAnsi="Times New Roman" w:cs="Times New Roman"/>
          <w:b/>
          <w:sz w:val="24"/>
          <w:szCs w:val="24"/>
        </w:rPr>
        <w:t>A</w:t>
      </w:r>
      <w:r>
        <w:rPr>
          <w:rFonts w:ascii="Times New Roman" w:hAnsi="Times New Roman" w:cs="Times New Roman"/>
          <w:b/>
          <w:sz w:val="24"/>
          <w:szCs w:val="24"/>
        </w:rPr>
        <w:t>CKNOWLEDGEMENTS</w:t>
      </w:r>
    </w:p>
    <w:p w14:paraId="55927E64" w14:textId="4137B75A" w:rsidR="00914113" w:rsidRDefault="00914113" w:rsidP="00D061BC">
      <w:pPr>
        <w:spacing w:line="480" w:lineRule="auto"/>
        <w:rPr>
          <w:rFonts w:ascii="Times New Roman" w:hAnsi="Times New Roman" w:cs="Times New Roman"/>
          <w:sz w:val="24"/>
          <w:szCs w:val="24"/>
        </w:rPr>
      </w:pPr>
      <w:r w:rsidRPr="00BE3BC6">
        <w:rPr>
          <w:rFonts w:ascii="Times New Roman" w:hAnsi="Times New Roman" w:cs="Times New Roman"/>
          <w:sz w:val="24"/>
          <w:szCs w:val="24"/>
        </w:rPr>
        <w:t xml:space="preserve">This study was part of the Stability </w:t>
      </w:r>
      <w:r w:rsidR="006B7F07">
        <w:rPr>
          <w:rFonts w:ascii="Times New Roman" w:hAnsi="Times New Roman" w:cs="Times New Roman"/>
          <w:sz w:val="24"/>
          <w:szCs w:val="24"/>
        </w:rPr>
        <w:t>of</w:t>
      </w:r>
      <w:r w:rsidR="006B7F07" w:rsidRPr="00BE3BC6">
        <w:rPr>
          <w:rFonts w:ascii="Times New Roman" w:hAnsi="Times New Roman" w:cs="Times New Roman"/>
          <w:sz w:val="24"/>
          <w:szCs w:val="24"/>
        </w:rPr>
        <w:t xml:space="preserve"> </w:t>
      </w:r>
      <w:r w:rsidRPr="00BE3BC6">
        <w:rPr>
          <w:rFonts w:ascii="Times New Roman" w:hAnsi="Times New Roman" w:cs="Times New Roman"/>
          <w:sz w:val="24"/>
          <w:szCs w:val="24"/>
        </w:rPr>
        <w:t>Altered Forest Ecosystem (SAFE) Project, funded by the Sime Darby Foundation</w:t>
      </w:r>
      <w:r>
        <w:rPr>
          <w:rFonts w:ascii="Times New Roman" w:hAnsi="Times New Roman" w:cs="Times New Roman"/>
          <w:sz w:val="24"/>
          <w:szCs w:val="24"/>
        </w:rPr>
        <w:t>,</w:t>
      </w:r>
      <w:r w:rsidRPr="00BE3BC6">
        <w:rPr>
          <w:rFonts w:ascii="Times New Roman" w:hAnsi="Times New Roman" w:cs="Times New Roman"/>
          <w:sz w:val="24"/>
          <w:szCs w:val="24"/>
        </w:rPr>
        <w:t xml:space="preserve"> and the </w:t>
      </w:r>
      <w:r w:rsidRPr="00C94D79">
        <w:rPr>
          <w:rFonts w:ascii="Times New Roman" w:hAnsi="Times New Roman" w:cs="Times New Roman"/>
          <w:sz w:val="24"/>
          <w:szCs w:val="24"/>
          <w:lang w:val="en-US"/>
        </w:rPr>
        <w:t xml:space="preserve">Biodiversity And Land-use Impacts on tropical ecosystem function (BALI) </w:t>
      </w:r>
      <w:r w:rsidRPr="00C94D79">
        <w:rPr>
          <w:rFonts w:ascii="Times New Roman" w:hAnsi="Times New Roman" w:cs="Times New Roman"/>
          <w:bCs/>
          <w:sz w:val="24"/>
          <w:szCs w:val="24"/>
        </w:rPr>
        <w:t>Project</w:t>
      </w:r>
      <w:r w:rsidRPr="00C94D79">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C94D79">
        <w:rPr>
          <w:rFonts w:ascii="Times New Roman" w:hAnsi="Times New Roman" w:cs="Times New Roman"/>
          <w:sz w:val="24"/>
          <w:szCs w:val="24"/>
        </w:rPr>
        <w:t>NE/K016377/1</w:t>
      </w:r>
      <w:r>
        <w:rPr>
          <w:rFonts w:ascii="Times New Roman" w:hAnsi="Times New Roman" w:cs="Times New Roman"/>
          <w:sz w:val="24"/>
          <w:szCs w:val="24"/>
        </w:rPr>
        <w:t>) within the</w:t>
      </w:r>
      <w:r w:rsidRPr="00D900EF">
        <w:rPr>
          <w:rFonts w:ascii="Times New Roman" w:hAnsi="Times New Roman" w:cs="Times New Roman"/>
          <w:sz w:val="24"/>
          <w:szCs w:val="24"/>
        </w:rPr>
        <w:t xml:space="preserve"> </w:t>
      </w:r>
      <w:r w:rsidRPr="00BE3BC6">
        <w:rPr>
          <w:rFonts w:ascii="Times New Roman" w:hAnsi="Times New Roman" w:cs="Times New Roman"/>
          <w:sz w:val="24"/>
          <w:szCs w:val="24"/>
        </w:rPr>
        <w:t xml:space="preserve">NERC </w:t>
      </w:r>
      <w:r w:rsidRPr="00C94D79">
        <w:rPr>
          <w:rFonts w:ascii="Times New Roman" w:hAnsi="Times New Roman" w:cs="Times New Roman"/>
          <w:sz w:val="24"/>
          <w:szCs w:val="24"/>
          <w:lang w:val="en-US"/>
        </w:rPr>
        <w:t>Human-</w:t>
      </w:r>
      <w:r>
        <w:rPr>
          <w:rFonts w:ascii="Times New Roman" w:hAnsi="Times New Roman" w:cs="Times New Roman"/>
          <w:sz w:val="24"/>
          <w:szCs w:val="24"/>
          <w:lang w:val="en-US"/>
        </w:rPr>
        <w:t>M</w:t>
      </w:r>
      <w:r w:rsidRPr="00C94D79">
        <w:rPr>
          <w:rFonts w:ascii="Times New Roman" w:hAnsi="Times New Roman" w:cs="Times New Roman"/>
          <w:sz w:val="24"/>
          <w:szCs w:val="24"/>
          <w:lang w:val="en-US"/>
        </w:rPr>
        <w:t>odified Tropical Forests Programme</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This paper is also a product of the Global Ecosystems Monitoring network (gem.tropicalforests.ox.ac.uk). </w:t>
      </w:r>
      <w:r w:rsidRPr="00BE3BC6">
        <w:rPr>
          <w:rFonts w:ascii="Times New Roman" w:hAnsi="Times New Roman" w:cs="Times New Roman"/>
          <w:sz w:val="24"/>
          <w:szCs w:val="24"/>
        </w:rPr>
        <w:t xml:space="preserve">We are grateful to Rostin Jantan and the other members of the SAFE Carbon </w:t>
      </w:r>
      <w:r>
        <w:rPr>
          <w:rFonts w:ascii="Times New Roman" w:hAnsi="Times New Roman" w:cs="Times New Roman"/>
          <w:sz w:val="24"/>
          <w:szCs w:val="24"/>
        </w:rPr>
        <w:t xml:space="preserve">Team </w:t>
      </w:r>
      <w:r w:rsidRPr="00BE3BC6">
        <w:rPr>
          <w:rFonts w:ascii="Times New Roman" w:hAnsi="Times New Roman" w:cs="Times New Roman"/>
          <w:sz w:val="24"/>
          <w:szCs w:val="24"/>
        </w:rPr>
        <w:t>and other SAFE research</w:t>
      </w:r>
      <w:r w:rsidR="008C5496">
        <w:rPr>
          <w:rFonts w:ascii="Times New Roman" w:hAnsi="Times New Roman" w:cs="Times New Roman"/>
          <w:sz w:val="24"/>
          <w:szCs w:val="24"/>
        </w:rPr>
        <w:t xml:space="preserve"> assistants</w:t>
      </w:r>
      <w:r>
        <w:rPr>
          <w:rFonts w:ascii="Times New Roman" w:hAnsi="Times New Roman" w:cs="Times New Roman"/>
          <w:sz w:val="24"/>
          <w:szCs w:val="24"/>
        </w:rPr>
        <w:t xml:space="preserve">, Alexander Karolus and the 50 ha plot team in Danum and </w:t>
      </w:r>
      <w:r w:rsidRPr="00B1125A">
        <w:rPr>
          <w:rFonts w:ascii="Times New Roman" w:hAnsi="Times New Roman" w:cs="Times New Roman"/>
          <w:sz w:val="24"/>
          <w:szCs w:val="24"/>
        </w:rPr>
        <w:t xml:space="preserve">Xyxtus Tan, Nasir Muhi, and Abilano Deres </w:t>
      </w:r>
      <w:r>
        <w:rPr>
          <w:rFonts w:ascii="Times New Roman" w:hAnsi="Times New Roman" w:cs="Times New Roman"/>
          <w:sz w:val="24"/>
          <w:szCs w:val="24"/>
        </w:rPr>
        <w:t>in Lambir for fieldwork assistance</w:t>
      </w:r>
      <w:r w:rsidRPr="00BE3BC6">
        <w:rPr>
          <w:rFonts w:ascii="Times New Roman" w:hAnsi="Times New Roman" w:cs="Times New Roman"/>
          <w:sz w:val="24"/>
          <w:szCs w:val="24"/>
        </w:rPr>
        <w:t>.</w:t>
      </w:r>
      <w:r>
        <w:rPr>
          <w:rFonts w:ascii="Times New Roman" w:hAnsi="Times New Roman" w:cs="Times New Roman"/>
          <w:sz w:val="24"/>
          <w:szCs w:val="24"/>
        </w:rPr>
        <w:t xml:space="preserve"> We thank Bernadus Bala Ola </w:t>
      </w:r>
      <w:r w:rsidR="00900148">
        <w:rPr>
          <w:rFonts w:ascii="Times New Roman" w:hAnsi="Times New Roman" w:cs="Times New Roman"/>
          <w:sz w:val="24"/>
          <w:szCs w:val="24"/>
        </w:rPr>
        <w:t xml:space="preserve">and Dr Bill McDonald </w:t>
      </w:r>
      <w:r>
        <w:rPr>
          <w:rFonts w:ascii="Times New Roman" w:hAnsi="Times New Roman" w:cs="Times New Roman"/>
          <w:sz w:val="24"/>
          <w:szCs w:val="24"/>
        </w:rPr>
        <w:t xml:space="preserve">for the tree species identification. Dr. Reuben Nilus and Dr. Robert Ong at the Forest Research </w:t>
      </w:r>
      <w:r>
        <w:rPr>
          <w:rFonts w:ascii="Times New Roman" w:hAnsi="Times New Roman" w:cs="Times New Roman"/>
          <w:sz w:val="24"/>
          <w:szCs w:val="24"/>
        </w:rPr>
        <w:lastRenderedPageBreak/>
        <w:t xml:space="preserve">Centre, Sabah Forestry Department, kindly helped us access the historical forest inventory records. </w:t>
      </w:r>
      <w:r w:rsidRPr="00BE3BC6">
        <w:rPr>
          <w:rFonts w:ascii="Times New Roman" w:hAnsi="Times New Roman" w:cs="Times New Roman"/>
          <w:sz w:val="24"/>
          <w:szCs w:val="24"/>
        </w:rPr>
        <w:t>SAFE management team, Maliau Basin</w:t>
      </w:r>
      <w:r>
        <w:rPr>
          <w:rFonts w:ascii="Times New Roman" w:hAnsi="Times New Roman" w:cs="Times New Roman"/>
          <w:sz w:val="24"/>
          <w:szCs w:val="24"/>
        </w:rPr>
        <w:t xml:space="preserve"> Management Committee, Royal S</w:t>
      </w:r>
      <w:r w:rsidRPr="00BE3BC6">
        <w:rPr>
          <w:rFonts w:ascii="Times New Roman" w:hAnsi="Times New Roman" w:cs="Times New Roman"/>
          <w:sz w:val="24"/>
          <w:szCs w:val="24"/>
        </w:rPr>
        <w:t xml:space="preserve">ociety South East </w:t>
      </w:r>
      <w:r>
        <w:rPr>
          <w:rFonts w:ascii="Times New Roman" w:hAnsi="Times New Roman" w:cs="Times New Roman"/>
          <w:sz w:val="24"/>
          <w:szCs w:val="24"/>
        </w:rPr>
        <w:t>Asia Rainforest Research Partnership (SEARRP)</w:t>
      </w:r>
      <w:r w:rsidRPr="00BE3BC6">
        <w:rPr>
          <w:rFonts w:ascii="Times New Roman" w:hAnsi="Times New Roman" w:cs="Times New Roman"/>
          <w:sz w:val="24"/>
          <w:szCs w:val="24"/>
        </w:rPr>
        <w:t>, Sabah Foundation, Benta Wawasan, the State Secretary, Sabah Chief Minister’s Departments, Sabah Forestry Department</w:t>
      </w:r>
      <w:r>
        <w:rPr>
          <w:rFonts w:ascii="Times New Roman" w:hAnsi="Times New Roman" w:cs="Times New Roman"/>
          <w:sz w:val="24"/>
          <w:szCs w:val="24"/>
        </w:rPr>
        <w:t xml:space="preserve"> and Forest Research Centre</w:t>
      </w:r>
      <w:r w:rsidRPr="00BE3BC6">
        <w:rPr>
          <w:rFonts w:ascii="Times New Roman" w:hAnsi="Times New Roman" w:cs="Times New Roman"/>
          <w:sz w:val="24"/>
          <w:szCs w:val="24"/>
        </w:rPr>
        <w:t>, Sabah Biodiversity Council</w:t>
      </w:r>
      <w:r>
        <w:rPr>
          <w:rFonts w:ascii="Times New Roman" w:hAnsi="Times New Roman" w:cs="Times New Roman"/>
          <w:sz w:val="24"/>
          <w:szCs w:val="24"/>
        </w:rPr>
        <w:t>,</w:t>
      </w:r>
      <w:r w:rsidRPr="00BE3BC6">
        <w:rPr>
          <w:rFonts w:ascii="Times New Roman" w:hAnsi="Times New Roman" w:cs="Times New Roman"/>
          <w:sz w:val="24"/>
          <w:szCs w:val="24"/>
        </w:rPr>
        <w:t xml:space="preserve"> and the Economic Planning Unit are acknowledged for their support and access to the sites</w:t>
      </w:r>
      <w:r>
        <w:rPr>
          <w:rFonts w:ascii="Times New Roman" w:hAnsi="Times New Roman" w:cs="Times New Roman"/>
          <w:sz w:val="24"/>
          <w:szCs w:val="24"/>
        </w:rPr>
        <w:t xml:space="preserve"> in Sabah</w:t>
      </w:r>
      <w:r w:rsidRPr="00BE3BC6">
        <w:rPr>
          <w:rFonts w:ascii="Times New Roman" w:hAnsi="Times New Roman" w:cs="Times New Roman"/>
          <w:sz w:val="24"/>
          <w:szCs w:val="24"/>
        </w:rPr>
        <w:t xml:space="preserve">. </w:t>
      </w:r>
      <w:r>
        <w:rPr>
          <w:rFonts w:ascii="Times New Roman" w:hAnsi="Times New Roman" w:cs="Times New Roman"/>
          <w:sz w:val="24"/>
          <w:szCs w:val="24"/>
        </w:rPr>
        <w:t xml:space="preserve">The sites in Lambir were </w:t>
      </w:r>
      <w:r w:rsidRPr="00B1125A">
        <w:rPr>
          <w:rFonts w:ascii="Times New Roman" w:hAnsi="Times New Roman" w:cs="Times New Roman"/>
          <w:sz w:val="24"/>
          <w:szCs w:val="24"/>
        </w:rPr>
        <w:t>supported by the Malaysian Palm Oil Board (MPOB) and Centre for Tropical Forest Science (CTFS) in collaboration with HSBC Climate Partnership</w:t>
      </w:r>
      <w:r>
        <w:rPr>
          <w:rFonts w:ascii="Times New Roman" w:hAnsi="Times New Roman" w:cs="Times New Roman"/>
          <w:sz w:val="24"/>
          <w:szCs w:val="24"/>
        </w:rPr>
        <w:t xml:space="preserve">. </w:t>
      </w:r>
      <w:r w:rsidRPr="007F521D">
        <w:rPr>
          <w:rFonts w:ascii="Times New Roman" w:hAnsi="Times New Roman" w:cs="Times New Roman"/>
          <w:sz w:val="24"/>
          <w:szCs w:val="24"/>
        </w:rPr>
        <w:t>The 52-ha Long-Term Ecological Research Project</w:t>
      </w:r>
      <w:r>
        <w:rPr>
          <w:rFonts w:ascii="Times New Roman" w:hAnsi="Times New Roman" w:cs="Times New Roman"/>
          <w:sz w:val="24"/>
          <w:szCs w:val="24"/>
        </w:rPr>
        <w:t xml:space="preserve"> in Lambir</w:t>
      </w:r>
      <w:r w:rsidRPr="007F521D">
        <w:rPr>
          <w:rFonts w:ascii="Times New Roman" w:hAnsi="Times New Roman" w:cs="Times New Roman"/>
          <w:sz w:val="24"/>
          <w:szCs w:val="24"/>
        </w:rPr>
        <w:t xml:space="preserve"> is a collaborative project of the Forest Department of Sarawak, Malaysia, the Center for Tropical Forest Science of the Smithsonian Tropical Research Institute, USA (under NSF awards DEB-9107247 and DEB-9629601), and Osaka City, Ehime &amp; Kyoto Universities, Japan (under Monbusho grants 06041094, 08NP0901 and 09NP0901). </w:t>
      </w:r>
      <w:r w:rsidR="00900148" w:rsidRPr="006E6BE6">
        <w:rPr>
          <w:rFonts w:ascii="Times New Roman" w:eastAsiaTheme="minorHAnsi" w:hAnsi="Times New Roman" w:cs="Times New Roman"/>
          <w:sz w:val="24"/>
          <w:szCs w:val="24"/>
        </w:rPr>
        <w:t xml:space="preserve">The Danum </w:t>
      </w:r>
      <w:r w:rsidR="00900148">
        <w:rPr>
          <w:rFonts w:ascii="Times New Roman" w:eastAsiaTheme="minorHAnsi" w:hAnsi="Times New Roman" w:cs="Times New Roman"/>
          <w:sz w:val="24"/>
          <w:szCs w:val="24"/>
        </w:rPr>
        <w:t xml:space="preserve">50 ha </w:t>
      </w:r>
      <w:r w:rsidR="00900148" w:rsidRPr="006E6BE6">
        <w:rPr>
          <w:rFonts w:ascii="Times New Roman" w:eastAsiaTheme="minorHAnsi" w:hAnsi="Times New Roman" w:cs="Times New Roman"/>
          <w:sz w:val="24"/>
          <w:szCs w:val="24"/>
        </w:rPr>
        <w:t>plot is a core project of the Southeast Asia Rain</w:t>
      </w:r>
      <w:r w:rsidR="008C5496">
        <w:rPr>
          <w:rFonts w:ascii="Times New Roman" w:eastAsiaTheme="minorHAnsi" w:hAnsi="Times New Roman" w:cs="Times New Roman"/>
          <w:sz w:val="24"/>
          <w:szCs w:val="24"/>
        </w:rPr>
        <w:t>f</w:t>
      </w:r>
      <w:r w:rsidR="00900148" w:rsidRPr="006E6BE6">
        <w:rPr>
          <w:rFonts w:ascii="Times New Roman" w:eastAsiaTheme="minorHAnsi" w:hAnsi="Times New Roman" w:cs="Times New Roman"/>
          <w:sz w:val="24"/>
          <w:szCs w:val="24"/>
        </w:rPr>
        <w:t xml:space="preserve">orest Research </w:t>
      </w:r>
      <w:r w:rsidR="00900148">
        <w:rPr>
          <w:rFonts w:ascii="Times New Roman" w:eastAsiaTheme="minorHAnsi" w:hAnsi="Times New Roman" w:cs="Times New Roman"/>
          <w:sz w:val="24"/>
          <w:szCs w:val="24"/>
        </w:rPr>
        <w:t>Partnership</w:t>
      </w:r>
      <w:r w:rsidR="00900148" w:rsidRPr="006E6BE6">
        <w:rPr>
          <w:rFonts w:ascii="Times New Roman" w:eastAsiaTheme="minorHAnsi" w:hAnsi="Times New Roman" w:cs="Times New Roman"/>
          <w:sz w:val="24"/>
          <w:szCs w:val="24"/>
        </w:rPr>
        <w:t xml:space="preserve"> (SEARRP). We thank HSBC Malaysia and the University of Zurich for funding</w:t>
      </w:r>
      <w:r w:rsidR="00900148">
        <w:rPr>
          <w:rFonts w:ascii="Times New Roman" w:eastAsiaTheme="minorHAnsi" w:hAnsi="Times New Roman" w:cs="Times New Roman"/>
          <w:sz w:val="24"/>
          <w:szCs w:val="24"/>
        </w:rPr>
        <w:t xml:space="preserve"> and the CTFS for support. </w:t>
      </w:r>
      <w:r w:rsidRPr="00BE3BC6">
        <w:rPr>
          <w:rFonts w:ascii="Times New Roman" w:hAnsi="Times New Roman" w:cs="Times New Roman"/>
          <w:sz w:val="24"/>
          <w:szCs w:val="24"/>
        </w:rPr>
        <w:t>YM is supported by the Jackson Foundat</w:t>
      </w:r>
      <w:r>
        <w:rPr>
          <w:rFonts w:ascii="Times New Roman" w:hAnsi="Times New Roman" w:cs="Times New Roman"/>
          <w:sz w:val="24"/>
          <w:szCs w:val="24"/>
        </w:rPr>
        <w:t xml:space="preserve">ion and </w:t>
      </w:r>
      <w:r w:rsidRPr="007303C5">
        <w:rPr>
          <w:rFonts w:ascii="Times New Roman" w:hAnsi="Times New Roman" w:cs="Times New Roman"/>
          <w:sz w:val="24"/>
          <w:szCs w:val="24"/>
        </w:rPr>
        <w:t>European Research Council Advanced Investigator Grant, GEM-TRAIT (</w:t>
      </w:r>
      <w:r w:rsidRPr="000D4176">
        <w:rPr>
          <w:rFonts w:ascii="Times New Roman" w:hAnsi="Times New Roman" w:cs="Times New Roman"/>
          <w:sz w:val="24"/>
          <w:szCs w:val="24"/>
          <w:lang w:val="en-US"/>
        </w:rPr>
        <w:t>321131)</w:t>
      </w:r>
      <w:r w:rsidRPr="007303C5">
        <w:rPr>
          <w:rFonts w:ascii="Times New Roman" w:hAnsi="Times New Roman" w:cs="Times New Roman"/>
          <w:sz w:val="24"/>
          <w:szCs w:val="24"/>
        </w:rPr>
        <w:t>.</w:t>
      </w:r>
      <w:r>
        <w:rPr>
          <w:rFonts w:ascii="Times New Roman" w:hAnsi="Times New Roman" w:cs="Times New Roman"/>
          <w:sz w:val="24"/>
          <w:szCs w:val="24"/>
        </w:rPr>
        <w:t xml:space="preserve"> This article is a contribution to Imperial College’s Grand Challenges in Ecosystems and the Environment Initiative.</w:t>
      </w:r>
    </w:p>
    <w:p w14:paraId="7007A05C" w14:textId="77777777" w:rsidR="00914113" w:rsidRDefault="00914113" w:rsidP="00D061BC">
      <w:pPr>
        <w:spacing w:line="480" w:lineRule="auto"/>
        <w:rPr>
          <w:rFonts w:ascii="Times New Roman" w:hAnsi="Times New Roman" w:cs="Times New Roman"/>
          <w:sz w:val="24"/>
          <w:szCs w:val="24"/>
        </w:rPr>
      </w:pPr>
    </w:p>
    <w:p w14:paraId="6F9FE80C" w14:textId="77777777" w:rsidR="00914113" w:rsidRPr="00E82B79" w:rsidRDefault="00914113" w:rsidP="00D061BC">
      <w:pPr>
        <w:spacing w:line="480" w:lineRule="auto"/>
        <w:rPr>
          <w:rFonts w:ascii="Times New Roman" w:hAnsi="Times New Roman" w:cs="Times New Roman"/>
          <w:b/>
          <w:sz w:val="24"/>
          <w:szCs w:val="24"/>
        </w:rPr>
      </w:pPr>
      <w:r w:rsidRPr="00E82B79">
        <w:rPr>
          <w:rFonts w:ascii="Times New Roman" w:hAnsi="Times New Roman" w:cs="Times New Roman"/>
          <w:b/>
          <w:sz w:val="24"/>
          <w:szCs w:val="24"/>
        </w:rPr>
        <w:t>REFERENCES</w:t>
      </w:r>
    </w:p>
    <w:p w14:paraId="649613A9"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 w:name="_ENREF_1"/>
      <w:r w:rsidRPr="008E15B1">
        <w:rPr>
          <w:rFonts w:ascii="Times New Roman" w:hAnsi="Times New Roman" w:cs="Times New Roman"/>
          <w:noProof/>
          <w:sz w:val="24"/>
          <w:szCs w:val="24"/>
        </w:rPr>
        <w:t>Anderson</w:t>
      </w:r>
      <w:r w:rsidRPr="008E15B1">
        <w:rPr>
          <w:rFonts w:ascii="Cambria Math" w:hAnsi="Cambria Math" w:cs="Cambria Math"/>
          <w:noProof/>
          <w:sz w:val="24"/>
          <w:szCs w:val="24"/>
        </w:rPr>
        <w:t>‐</w:t>
      </w:r>
      <w:r w:rsidRPr="008E15B1">
        <w:rPr>
          <w:rFonts w:ascii="Times New Roman" w:hAnsi="Times New Roman" w:cs="Times New Roman"/>
          <w:noProof/>
          <w:sz w:val="24"/>
          <w:szCs w:val="24"/>
        </w:rPr>
        <w:t>Teixeira KJ, Wang MM, McGarvey JC, LeBauer DS (2016) Carbon dynamics of mature and regrowth tropical forests derived from a pantropical database (TropForC</w:t>
      </w:r>
      <w:r w:rsidRPr="008E15B1">
        <w:rPr>
          <w:rFonts w:ascii="Cambria Math" w:hAnsi="Cambria Math" w:cs="Cambria Math"/>
          <w:noProof/>
          <w:sz w:val="24"/>
          <w:szCs w:val="24"/>
        </w:rPr>
        <w:t>‐</w:t>
      </w:r>
      <w:r w:rsidRPr="008E15B1">
        <w:rPr>
          <w:rFonts w:ascii="Times New Roman" w:hAnsi="Times New Roman" w:cs="Times New Roman"/>
          <w:noProof/>
          <w:sz w:val="24"/>
          <w:szCs w:val="24"/>
        </w:rPr>
        <w:t>db). Global Change Biology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22</w:t>
      </w:r>
      <w:r w:rsidRPr="008E15B1">
        <w:rPr>
          <w:rFonts w:ascii="Times New Roman" w:hAnsi="Times New Roman" w:cs="Times New Roman"/>
          <w:noProof/>
          <w:sz w:val="24"/>
          <w:szCs w:val="24"/>
        </w:rPr>
        <w:t>, 1690-1709.  doi:10.1111/gcb.13226</w:t>
      </w:r>
      <w:bookmarkEnd w:id="1"/>
    </w:p>
    <w:p w14:paraId="6C7D2B9C"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 w:name="_ENREF_2"/>
      <w:r w:rsidRPr="008E15B1">
        <w:rPr>
          <w:rFonts w:ascii="Times New Roman" w:hAnsi="Times New Roman" w:cs="Times New Roman"/>
          <w:noProof/>
          <w:sz w:val="24"/>
          <w:szCs w:val="24"/>
        </w:rPr>
        <w:lastRenderedPageBreak/>
        <w:t>Aragão L, Malhi Y, Metcalfe D</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(2009) Above-and below-ground net primary productivity across ten Amazonian forests on contrasting soils. Biogeosciences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6</w:t>
      </w:r>
      <w:r w:rsidRPr="008E15B1">
        <w:rPr>
          <w:rFonts w:ascii="Times New Roman" w:hAnsi="Times New Roman" w:cs="Times New Roman"/>
          <w:noProof/>
          <w:sz w:val="24"/>
          <w:szCs w:val="24"/>
        </w:rPr>
        <w:t xml:space="preserve">, 2759-2778. </w:t>
      </w:r>
      <w:bookmarkEnd w:id="2"/>
    </w:p>
    <w:p w14:paraId="18FEEB1F"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3" w:name="_ENREF_3"/>
      <w:r w:rsidRPr="008E15B1">
        <w:rPr>
          <w:rFonts w:ascii="Times New Roman" w:hAnsi="Times New Roman" w:cs="Times New Roman"/>
          <w:noProof/>
          <w:sz w:val="24"/>
          <w:szCs w:val="24"/>
        </w:rPr>
        <w:t>Berenguer E, Ferreira J, Gardner TA</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(2014) A large-scale field assessment of carbon stocks in human-modified tropical forests. Global Change Biology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20</w:t>
      </w:r>
      <w:r w:rsidRPr="008E15B1">
        <w:rPr>
          <w:rFonts w:ascii="Times New Roman" w:hAnsi="Times New Roman" w:cs="Times New Roman"/>
          <w:noProof/>
          <w:sz w:val="24"/>
          <w:szCs w:val="24"/>
        </w:rPr>
        <w:t>, 3713-3726. doi: 10.1111/gcb.12627</w:t>
      </w:r>
      <w:bookmarkEnd w:id="3"/>
    </w:p>
    <w:p w14:paraId="068ECA06"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4" w:name="_ENREF_4"/>
      <w:r w:rsidRPr="008E15B1">
        <w:rPr>
          <w:rFonts w:ascii="Times New Roman" w:hAnsi="Times New Roman" w:cs="Times New Roman"/>
          <w:noProof/>
          <w:sz w:val="24"/>
          <w:szCs w:val="24"/>
        </w:rPr>
        <w:t>Berry NJ, Phillips OL, Lewis SL</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(2010) The high value of logged tropical forests: Lessons from northern Borneo. Biodiversity and Conservation</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19</w:t>
      </w:r>
      <w:r w:rsidRPr="008E15B1">
        <w:rPr>
          <w:rFonts w:ascii="Times New Roman" w:hAnsi="Times New Roman" w:cs="Times New Roman"/>
          <w:noProof/>
          <w:sz w:val="24"/>
          <w:szCs w:val="24"/>
        </w:rPr>
        <w:t>, 985-997. doi: 10.1007/s10531-010-9779-z</w:t>
      </w:r>
      <w:bookmarkEnd w:id="4"/>
    </w:p>
    <w:p w14:paraId="2EE8FFC7"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5" w:name="_ENREF_5"/>
      <w:r w:rsidRPr="008E15B1">
        <w:rPr>
          <w:rFonts w:ascii="Times New Roman" w:hAnsi="Times New Roman" w:cs="Times New Roman"/>
          <w:noProof/>
          <w:sz w:val="24"/>
          <w:szCs w:val="24"/>
        </w:rPr>
        <w:t>Bischoff W, Newbery DM, Lingenfelder M, Schnaeckel R, Petol GH, Madani L, Ridsdale CE (2005) Secondary succession and dipterocarp recruitment in Bornean rain forest after logging. Forest Ecology and Management</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218</w:t>
      </w:r>
      <w:r w:rsidRPr="008E15B1">
        <w:rPr>
          <w:rFonts w:ascii="Times New Roman" w:hAnsi="Times New Roman" w:cs="Times New Roman"/>
          <w:noProof/>
          <w:sz w:val="24"/>
          <w:szCs w:val="24"/>
        </w:rPr>
        <w:t>, 174-192. doi:10.1016/j.foreco.2005.07.009</w:t>
      </w:r>
      <w:bookmarkEnd w:id="5"/>
    </w:p>
    <w:p w14:paraId="3BA94697"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6" w:name="_ENREF_6"/>
      <w:r w:rsidRPr="008E15B1">
        <w:rPr>
          <w:rFonts w:ascii="Times New Roman" w:hAnsi="Times New Roman" w:cs="Times New Roman"/>
          <w:noProof/>
          <w:sz w:val="24"/>
          <w:szCs w:val="24"/>
        </w:rPr>
        <w:t>Blanc L, Echard M, Herault B, Bonal D, Marcon E, Chave J, Baraloto C (2009) Dynamics of aboveground carbon stocks in a selectively logged tropical forest. Ecological Applications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19</w:t>
      </w:r>
      <w:r w:rsidRPr="008E15B1">
        <w:rPr>
          <w:rFonts w:ascii="Times New Roman" w:hAnsi="Times New Roman" w:cs="Times New Roman"/>
          <w:noProof/>
          <w:sz w:val="24"/>
          <w:szCs w:val="24"/>
        </w:rPr>
        <w:t>, 1397-1404. doi:10.1890/08-1572.1</w:t>
      </w:r>
      <w:bookmarkEnd w:id="6"/>
    </w:p>
    <w:p w14:paraId="6805EBC4" w14:textId="77777777" w:rsidR="00914113" w:rsidRDefault="00914113" w:rsidP="00CB15A7">
      <w:pPr>
        <w:spacing w:after="0" w:line="480" w:lineRule="auto"/>
        <w:ind w:left="720" w:hanging="720"/>
        <w:rPr>
          <w:rFonts w:ascii="Times New Roman" w:hAnsi="Times New Roman" w:cs="Times New Roman"/>
          <w:noProof/>
          <w:sz w:val="24"/>
          <w:szCs w:val="24"/>
        </w:rPr>
      </w:pPr>
      <w:bookmarkStart w:id="7" w:name="_ENREF_7"/>
      <w:r w:rsidRPr="008E15B1">
        <w:rPr>
          <w:rFonts w:ascii="Times New Roman" w:hAnsi="Times New Roman" w:cs="Times New Roman"/>
          <w:noProof/>
          <w:sz w:val="24"/>
          <w:szCs w:val="24"/>
        </w:rPr>
        <w:t>Bryan JE, Shearman PL, Asner GP, Knapp DE, Aoro G, Lokes B (2013) Extreme differences in forest degradation in Borneo: Comparing practices in Sarawak, Sabah, and Brunei. PLoS ONE</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8</w:t>
      </w:r>
      <w:r w:rsidRPr="008E15B1">
        <w:rPr>
          <w:rFonts w:ascii="Times New Roman" w:hAnsi="Times New Roman" w:cs="Times New Roman"/>
          <w:noProof/>
          <w:sz w:val="24"/>
          <w:szCs w:val="24"/>
        </w:rPr>
        <w:t>. doi: 10.1371/journal.pone.0069679</w:t>
      </w:r>
      <w:bookmarkEnd w:id="7"/>
    </w:p>
    <w:p w14:paraId="4B3B6238" w14:textId="7791B122" w:rsidR="00CB15A7" w:rsidRPr="008E15B1" w:rsidRDefault="00CB15A7" w:rsidP="00CB15A7">
      <w:pPr>
        <w:pStyle w:val="EndNoteBibliography"/>
        <w:spacing w:after="0" w:line="480" w:lineRule="auto"/>
        <w:ind w:left="720" w:hanging="720"/>
        <w:rPr>
          <w:rFonts w:ascii="Times New Roman" w:hAnsi="Times New Roman" w:cs="Times New Roman"/>
          <w:sz w:val="24"/>
          <w:szCs w:val="24"/>
        </w:rPr>
      </w:pPr>
      <w:r w:rsidRPr="00CB15A7">
        <w:rPr>
          <w:rFonts w:ascii="Times New Roman" w:hAnsi="Times New Roman" w:cs="Times New Roman"/>
          <w:sz w:val="24"/>
          <w:szCs w:val="24"/>
        </w:rPr>
        <w:t>Cannon CH, Peart DR, Leighton M, Kartawinata K (1994) The structure of lowland rainforest after selective logging in West Kalimantan, Indonesia. Forest Ecology and Management</w:t>
      </w:r>
      <w:r w:rsidRPr="00CB15A7">
        <w:rPr>
          <w:rFonts w:ascii="Times New Roman" w:hAnsi="Times New Roman" w:cs="Times New Roman"/>
          <w:i/>
          <w:sz w:val="24"/>
          <w:szCs w:val="24"/>
        </w:rPr>
        <w:t>,</w:t>
      </w:r>
      <w:r w:rsidRPr="00CB15A7">
        <w:rPr>
          <w:rFonts w:ascii="Times New Roman" w:hAnsi="Times New Roman" w:cs="Times New Roman"/>
          <w:sz w:val="24"/>
          <w:szCs w:val="24"/>
        </w:rPr>
        <w:t xml:space="preserve"> </w:t>
      </w:r>
      <w:r w:rsidRPr="00CB15A7">
        <w:rPr>
          <w:rFonts w:ascii="Times New Roman" w:hAnsi="Times New Roman" w:cs="Times New Roman"/>
          <w:b/>
          <w:sz w:val="24"/>
          <w:szCs w:val="24"/>
        </w:rPr>
        <w:t>67</w:t>
      </w:r>
      <w:r w:rsidRPr="00CB15A7">
        <w:rPr>
          <w:rFonts w:ascii="Times New Roman" w:hAnsi="Times New Roman" w:cs="Times New Roman"/>
          <w:sz w:val="24"/>
          <w:szCs w:val="24"/>
        </w:rPr>
        <w:t>, 49-68. http://dx.doi.org/10.1016/0378-1127(94)90007-8</w:t>
      </w:r>
    </w:p>
    <w:p w14:paraId="4632A109"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8" w:name="_ENREF_8"/>
      <w:r w:rsidRPr="008E15B1">
        <w:rPr>
          <w:rFonts w:ascii="Times New Roman" w:hAnsi="Times New Roman" w:cs="Times New Roman"/>
          <w:noProof/>
          <w:sz w:val="24"/>
          <w:szCs w:val="24"/>
        </w:rPr>
        <w:t>Carreno-Rocabado G, Pena-Claros M, Bongers F, Alarcon A, Licona JC, Poorter L (2012) Effects of disturbance intensity on species and functional diversity in a tropical forest. Journal of Ecology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100</w:t>
      </w:r>
      <w:r w:rsidRPr="008E15B1">
        <w:rPr>
          <w:rFonts w:ascii="Times New Roman" w:hAnsi="Times New Roman" w:cs="Times New Roman"/>
          <w:noProof/>
          <w:sz w:val="24"/>
          <w:szCs w:val="24"/>
        </w:rPr>
        <w:t>, 1453-1463. doi: 10.1111/j.1365-2745.2012.02015.x</w:t>
      </w:r>
      <w:bookmarkEnd w:id="8"/>
    </w:p>
    <w:p w14:paraId="1F58A027"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9" w:name="_ENREF_9"/>
      <w:r w:rsidRPr="008E15B1">
        <w:rPr>
          <w:rFonts w:ascii="Times New Roman" w:hAnsi="Times New Roman" w:cs="Times New Roman"/>
          <w:noProof/>
          <w:sz w:val="24"/>
          <w:szCs w:val="24"/>
        </w:rPr>
        <w:lastRenderedPageBreak/>
        <w:t>Cazolla Gatti R, Castaldi S, Lindsell JA</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(2015) The impact of selective logging and clearcutting on forest structure, tree diversity and above-ground biomass of African tropical forests. Ecological Research</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30</w:t>
      </w:r>
      <w:r w:rsidRPr="008E15B1">
        <w:rPr>
          <w:rFonts w:ascii="Times New Roman" w:hAnsi="Times New Roman" w:cs="Times New Roman"/>
          <w:noProof/>
          <w:sz w:val="24"/>
          <w:szCs w:val="24"/>
        </w:rPr>
        <w:t>, 119-132.  doi: L10.1007/s11284-014-1217-3</w:t>
      </w:r>
      <w:bookmarkEnd w:id="9"/>
    </w:p>
    <w:p w14:paraId="2604AF64"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0" w:name="_ENREF_10"/>
      <w:r w:rsidRPr="008E15B1">
        <w:rPr>
          <w:rFonts w:ascii="Times New Roman" w:hAnsi="Times New Roman" w:cs="Times New Roman"/>
          <w:noProof/>
          <w:sz w:val="24"/>
          <w:szCs w:val="24"/>
        </w:rPr>
        <w:t>Chambers JQ, Tribuzy ES, Toledo LC</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(2004) Respiration from a tropical forest ecosystem: partitioning of sources and low carbon use efficiency. Ecological Applications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14</w:t>
      </w:r>
      <w:r w:rsidRPr="008E15B1">
        <w:rPr>
          <w:rFonts w:ascii="Times New Roman" w:hAnsi="Times New Roman" w:cs="Times New Roman"/>
          <w:noProof/>
          <w:sz w:val="24"/>
          <w:szCs w:val="24"/>
        </w:rPr>
        <w:t>, 72-88. doi: 10.1890/01-6012</w:t>
      </w:r>
      <w:bookmarkEnd w:id="10"/>
    </w:p>
    <w:p w14:paraId="1CC96426"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1" w:name="_ENREF_11"/>
      <w:r w:rsidRPr="008E15B1">
        <w:rPr>
          <w:rFonts w:ascii="Times New Roman" w:hAnsi="Times New Roman" w:cs="Times New Roman"/>
          <w:noProof/>
          <w:sz w:val="24"/>
          <w:szCs w:val="24"/>
        </w:rPr>
        <w:t>Chave J, Andalo C, Brown S</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(2005) Tree allometry and improved estimation of carbon stocks and balance in tropical forests. Oecologia</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145</w:t>
      </w:r>
      <w:r w:rsidRPr="008E15B1">
        <w:rPr>
          <w:rFonts w:ascii="Times New Roman" w:hAnsi="Times New Roman" w:cs="Times New Roman"/>
          <w:noProof/>
          <w:sz w:val="24"/>
          <w:szCs w:val="24"/>
        </w:rPr>
        <w:t>, 87-99. doi: 10.1007/s00442-005-0100-x</w:t>
      </w:r>
      <w:bookmarkEnd w:id="11"/>
    </w:p>
    <w:p w14:paraId="7513D0F4"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2" w:name="_ENREF_12"/>
      <w:r w:rsidRPr="008E15B1">
        <w:rPr>
          <w:rFonts w:ascii="Times New Roman" w:hAnsi="Times New Roman" w:cs="Times New Roman"/>
          <w:noProof/>
          <w:sz w:val="24"/>
          <w:szCs w:val="24"/>
        </w:rPr>
        <w:t>Chave J, Coomes D, Jansen S, Lewis SL, Swenson NG, Zanne AE (2009) Towards a worldwide wood economics spectrum. Ecology Letters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12</w:t>
      </w:r>
      <w:r w:rsidRPr="008E15B1">
        <w:rPr>
          <w:rFonts w:ascii="Times New Roman" w:hAnsi="Times New Roman" w:cs="Times New Roman"/>
          <w:noProof/>
          <w:sz w:val="24"/>
          <w:szCs w:val="24"/>
        </w:rPr>
        <w:t>, 351-366. doi: 10.1111/j.1461-0248.2009.01285.x</w:t>
      </w:r>
      <w:bookmarkEnd w:id="12"/>
    </w:p>
    <w:p w14:paraId="144427F7"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3" w:name="_ENREF_13"/>
      <w:r w:rsidRPr="008E15B1">
        <w:rPr>
          <w:rFonts w:ascii="Times New Roman" w:hAnsi="Times New Roman" w:cs="Times New Roman"/>
          <w:noProof/>
          <w:sz w:val="24"/>
          <w:szCs w:val="24"/>
        </w:rPr>
        <w:t>Chen G, Yang Y, Robinson D (2013) Allocation of gross primary production in forest ecosystems: allometric constraints and environmental responses. New Phytologist</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200</w:t>
      </w:r>
      <w:r w:rsidRPr="008E15B1">
        <w:rPr>
          <w:rFonts w:ascii="Times New Roman" w:hAnsi="Times New Roman" w:cs="Times New Roman"/>
          <w:noProof/>
          <w:sz w:val="24"/>
          <w:szCs w:val="24"/>
        </w:rPr>
        <w:t xml:space="preserve">, 1176-1186. </w:t>
      </w:r>
      <w:bookmarkEnd w:id="13"/>
    </w:p>
    <w:p w14:paraId="15BDE402"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4" w:name="_ENREF_14"/>
      <w:r w:rsidRPr="008E15B1">
        <w:rPr>
          <w:rFonts w:ascii="Times New Roman" w:hAnsi="Times New Roman" w:cs="Times New Roman"/>
          <w:noProof/>
          <w:sz w:val="24"/>
          <w:szCs w:val="24"/>
        </w:rPr>
        <w:t>Ciais P, Sabine C, Bala G</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(2013) Carbon and Other Biochemical Cycles. In: </w:t>
      </w:r>
      <w:r w:rsidRPr="008E15B1">
        <w:rPr>
          <w:rFonts w:ascii="Times New Roman" w:hAnsi="Times New Roman" w:cs="Times New Roman"/>
          <w:i/>
          <w:noProof/>
          <w:sz w:val="24"/>
          <w:szCs w:val="24"/>
        </w:rPr>
        <w:t xml:space="preserve">Climate Change 2013: The Physical Science Basis. Contribution of Working Group I to the Fifth Assessment Report of the Intergovernmental Panel on Climate Change. </w:t>
      </w:r>
      <w:r w:rsidRPr="008E15B1">
        <w:rPr>
          <w:rFonts w:ascii="Times New Roman" w:hAnsi="Times New Roman" w:cs="Times New Roman"/>
          <w:noProof/>
          <w:sz w:val="24"/>
          <w:szCs w:val="24"/>
        </w:rPr>
        <w:t>(eds Stocker TF, Qin D, Plattner G-K, Tignor M, Allen SK, Boschung J, Nauels A, Xia Y, Bex V, Midgley PM) . Cambridge, United Kingdom and New York, NY, USA, Cambridge University Press.</w:t>
      </w:r>
      <w:bookmarkEnd w:id="14"/>
    </w:p>
    <w:p w14:paraId="30E0D9D3"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5" w:name="_ENREF_15"/>
      <w:r w:rsidRPr="008E15B1">
        <w:rPr>
          <w:rFonts w:ascii="Times New Roman" w:hAnsi="Times New Roman" w:cs="Times New Roman"/>
          <w:noProof/>
          <w:sz w:val="24"/>
          <w:szCs w:val="24"/>
        </w:rPr>
        <w:t>Clark DA, Brown S, Kicklighter DW, Chambers JQ, Thomlinson JR, Ni J (2001) Measuring net primary production in forests: Concepts and field methods. Ecological Applications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11</w:t>
      </w:r>
      <w:r w:rsidRPr="008E15B1">
        <w:rPr>
          <w:rFonts w:ascii="Times New Roman" w:hAnsi="Times New Roman" w:cs="Times New Roman"/>
          <w:noProof/>
          <w:sz w:val="24"/>
          <w:szCs w:val="24"/>
        </w:rPr>
        <w:t xml:space="preserve">, 356-370. </w:t>
      </w:r>
      <w:bookmarkEnd w:id="15"/>
    </w:p>
    <w:p w14:paraId="3D1136DD"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6" w:name="_ENREF_16"/>
      <w:r w:rsidRPr="008E15B1">
        <w:rPr>
          <w:rFonts w:ascii="Times New Roman" w:hAnsi="Times New Roman" w:cs="Times New Roman"/>
          <w:noProof/>
          <w:sz w:val="24"/>
          <w:szCs w:val="24"/>
        </w:rPr>
        <w:lastRenderedPageBreak/>
        <w:t>Ewers RM, Didham RK, Fahrig L</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(2011) A large-scale forest fragmentation experiment: the Stability of Altered Forest Ecosystems Project. Philosophical Transactions of the Royal Society B-Biological Sciences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366</w:t>
      </w:r>
      <w:r w:rsidRPr="008E15B1">
        <w:rPr>
          <w:rFonts w:ascii="Times New Roman" w:hAnsi="Times New Roman" w:cs="Times New Roman"/>
          <w:noProof/>
          <w:sz w:val="24"/>
          <w:szCs w:val="24"/>
        </w:rPr>
        <w:t>, 3292-3302. doi: 10.1098/rstb.2011.0049</w:t>
      </w:r>
      <w:bookmarkEnd w:id="16"/>
    </w:p>
    <w:p w14:paraId="58729380" w14:textId="77777777" w:rsidR="00914113" w:rsidRDefault="00914113" w:rsidP="00CB15A7">
      <w:pPr>
        <w:spacing w:after="0" w:line="480" w:lineRule="auto"/>
        <w:ind w:left="720" w:hanging="720"/>
        <w:rPr>
          <w:rFonts w:ascii="Times New Roman" w:hAnsi="Times New Roman" w:cs="Times New Roman"/>
          <w:noProof/>
          <w:sz w:val="24"/>
          <w:szCs w:val="24"/>
        </w:rPr>
      </w:pPr>
      <w:bookmarkStart w:id="17" w:name="_ENREF_17"/>
      <w:r w:rsidRPr="008E15B1">
        <w:rPr>
          <w:rFonts w:ascii="Times New Roman" w:hAnsi="Times New Roman" w:cs="Times New Roman"/>
          <w:noProof/>
          <w:sz w:val="24"/>
          <w:szCs w:val="24"/>
        </w:rPr>
        <w:t>Fisher B, Edwards DP, Giam X, Wilcove DS (2011) The high costs of conserving Southeast Asia's lowland rainforests. Frontiers in Ecology and the Environment</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9</w:t>
      </w:r>
      <w:r w:rsidRPr="008E15B1">
        <w:rPr>
          <w:rFonts w:ascii="Times New Roman" w:hAnsi="Times New Roman" w:cs="Times New Roman"/>
          <w:noProof/>
          <w:sz w:val="24"/>
          <w:szCs w:val="24"/>
        </w:rPr>
        <w:t>, 329-334. doi: 10.1890/100079</w:t>
      </w:r>
      <w:bookmarkEnd w:id="17"/>
    </w:p>
    <w:p w14:paraId="3E917FD3" w14:textId="77777777" w:rsidR="00914113" w:rsidRPr="008E15B1" w:rsidRDefault="00914113" w:rsidP="00CB15A7">
      <w:pPr>
        <w:spacing w:after="0" w:line="480" w:lineRule="auto"/>
        <w:ind w:left="720" w:hanging="720"/>
        <w:rPr>
          <w:rFonts w:ascii="Times New Roman" w:hAnsi="Times New Roman" w:cs="Times New Roman"/>
          <w:noProof/>
          <w:sz w:val="24"/>
          <w:szCs w:val="24"/>
        </w:rPr>
      </w:pPr>
      <w:r w:rsidRPr="00EC75E3">
        <w:rPr>
          <w:rFonts w:ascii="Times New Roman" w:hAnsi="Times New Roman" w:cs="Times New Roman"/>
          <w:noProof/>
          <w:sz w:val="24"/>
          <w:szCs w:val="24"/>
        </w:rPr>
        <w:t>FAO (2015) Global Forest Resources Assessment 2015. How are the worl</w:t>
      </w:r>
      <w:r>
        <w:rPr>
          <w:rFonts w:ascii="Times New Roman" w:hAnsi="Times New Roman" w:cs="Times New Roman"/>
          <w:noProof/>
          <w:sz w:val="24"/>
          <w:szCs w:val="24"/>
        </w:rPr>
        <w:t xml:space="preserve">d’s forests changing?. </w:t>
      </w:r>
      <w:r w:rsidRPr="00EC75E3">
        <w:rPr>
          <w:rFonts w:ascii="Times New Roman" w:hAnsi="Times New Roman" w:cs="Times New Roman"/>
          <w:noProof/>
          <w:sz w:val="24"/>
          <w:szCs w:val="24"/>
        </w:rPr>
        <w:t>UN Fo</w:t>
      </w:r>
      <w:r>
        <w:rPr>
          <w:rFonts w:ascii="Times New Roman" w:hAnsi="Times New Roman" w:cs="Times New Roman"/>
          <w:noProof/>
          <w:sz w:val="24"/>
          <w:szCs w:val="24"/>
        </w:rPr>
        <w:t>od and Agriculture Organization, Rome.</w:t>
      </w:r>
    </w:p>
    <w:p w14:paraId="6EE191D3"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8" w:name="_ENREF_19"/>
      <w:r w:rsidRPr="008E15B1">
        <w:rPr>
          <w:rFonts w:ascii="Times New Roman" w:hAnsi="Times New Roman" w:cs="Times New Roman"/>
          <w:noProof/>
          <w:sz w:val="24"/>
          <w:szCs w:val="24"/>
        </w:rPr>
        <w:t>Girardin CAJ, Malhi Y, Aragão LEOC</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(2010) Net primary productivity allocation and cycling of carbon along a tropical forest elevational transect in the Peruvian Andes. Global Change Biology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16</w:t>
      </w:r>
      <w:r w:rsidRPr="008E15B1">
        <w:rPr>
          <w:rFonts w:ascii="Times New Roman" w:hAnsi="Times New Roman" w:cs="Times New Roman"/>
          <w:noProof/>
          <w:sz w:val="24"/>
          <w:szCs w:val="24"/>
        </w:rPr>
        <w:t>, 3176-3192. doi: 10.1111/j.1365-2486.2010.02235.x</w:t>
      </w:r>
      <w:bookmarkEnd w:id="18"/>
    </w:p>
    <w:p w14:paraId="5EA43320"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19" w:name="_ENREF_20"/>
      <w:r w:rsidRPr="008E15B1">
        <w:rPr>
          <w:rFonts w:ascii="Times New Roman" w:hAnsi="Times New Roman" w:cs="Times New Roman"/>
          <w:noProof/>
          <w:sz w:val="24"/>
          <w:szCs w:val="24"/>
        </w:rPr>
        <w:t>Gower ST, McMurtrie RE, Murty D (1996) Aboveground net primary production decline with stand age: potential causes. Trends in Ecology &amp; Evolution</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11</w:t>
      </w:r>
      <w:r w:rsidRPr="008E15B1">
        <w:rPr>
          <w:rFonts w:ascii="Times New Roman" w:hAnsi="Times New Roman" w:cs="Times New Roman"/>
          <w:noProof/>
          <w:sz w:val="24"/>
          <w:szCs w:val="24"/>
        </w:rPr>
        <w:t xml:space="preserve">, 378-382. </w:t>
      </w:r>
      <w:bookmarkEnd w:id="19"/>
    </w:p>
    <w:p w14:paraId="5C4A4CFB"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0" w:name="_ENREF_21"/>
      <w:r w:rsidRPr="008E15B1">
        <w:rPr>
          <w:rFonts w:ascii="Times New Roman" w:hAnsi="Times New Roman" w:cs="Times New Roman"/>
          <w:noProof/>
          <w:sz w:val="24"/>
          <w:szCs w:val="24"/>
        </w:rPr>
        <w:t>Griscom B, Ellis P, Putz FE (2014) Carbon emissions performance of commercial logging in East Kalimantan, Indonesia. Global Change Biology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20</w:t>
      </w:r>
      <w:r w:rsidRPr="008E15B1">
        <w:rPr>
          <w:rFonts w:ascii="Times New Roman" w:hAnsi="Times New Roman" w:cs="Times New Roman"/>
          <w:noProof/>
          <w:sz w:val="24"/>
          <w:szCs w:val="24"/>
        </w:rPr>
        <w:t xml:space="preserve">, 923-937. </w:t>
      </w:r>
      <w:bookmarkEnd w:id="20"/>
    </w:p>
    <w:p w14:paraId="29782AC7"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1" w:name="_ENREF_22"/>
      <w:r w:rsidRPr="008E15B1">
        <w:rPr>
          <w:rFonts w:ascii="Times New Roman" w:hAnsi="Times New Roman" w:cs="Times New Roman"/>
          <w:noProof/>
          <w:sz w:val="24"/>
          <w:szCs w:val="24"/>
        </w:rPr>
        <w:t>Hardwick SR, Toumi R, Pfeifer M, Turner EC, Nilus R, Ewers RM (2015) The relationship between leaf area index and microclimate in tropical forest and oil palm plantation: forest disturbance drives changes in microclimate. Agricultural and Forest Meteorology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201</w:t>
      </w:r>
      <w:r w:rsidRPr="008E15B1">
        <w:rPr>
          <w:rFonts w:ascii="Times New Roman" w:hAnsi="Times New Roman" w:cs="Times New Roman"/>
          <w:noProof/>
          <w:sz w:val="24"/>
          <w:szCs w:val="24"/>
        </w:rPr>
        <w:t xml:space="preserve">, 187-195. </w:t>
      </w:r>
      <w:bookmarkEnd w:id="21"/>
    </w:p>
    <w:p w14:paraId="020DD5DC"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2" w:name="_ENREF_23"/>
      <w:r w:rsidRPr="008E15B1">
        <w:rPr>
          <w:rFonts w:ascii="Times New Roman" w:hAnsi="Times New Roman" w:cs="Times New Roman"/>
          <w:noProof/>
          <w:sz w:val="24"/>
          <w:szCs w:val="24"/>
        </w:rPr>
        <w:t>Harmon ME, Whigham DF, Sexton J, Olmsted I (1995) Decomposition and mass of woody detritus in the dry tropical forests of the northeastern Yucatan Peninsula, Mexico. Biotropica</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27</w:t>
      </w:r>
      <w:r w:rsidRPr="008E15B1">
        <w:rPr>
          <w:rFonts w:ascii="Times New Roman" w:hAnsi="Times New Roman" w:cs="Times New Roman"/>
          <w:noProof/>
          <w:sz w:val="24"/>
          <w:szCs w:val="24"/>
        </w:rPr>
        <w:t xml:space="preserve">, 305-316. </w:t>
      </w:r>
      <w:bookmarkEnd w:id="22"/>
    </w:p>
    <w:p w14:paraId="67D209EC"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3" w:name="_ENREF_24"/>
      <w:r w:rsidRPr="008E15B1">
        <w:rPr>
          <w:rFonts w:ascii="Times New Roman" w:hAnsi="Times New Roman" w:cs="Times New Roman"/>
          <w:noProof/>
          <w:sz w:val="24"/>
          <w:szCs w:val="24"/>
        </w:rPr>
        <w:t>Harrison RD, Tan S, Plotkin JB</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(2013) Consequences of defaunation for a tropical tree community. Ecology Letters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16</w:t>
      </w:r>
      <w:r w:rsidRPr="008E15B1">
        <w:rPr>
          <w:rFonts w:ascii="Times New Roman" w:hAnsi="Times New Roman" w:cs="Times New Roman"/>
          <w:noProof/>
          <w:sz w:val="24"/>
          <w:szCs w:val="24"/>
        </w:rPr>
        <w:t xml:space="preserve">, 687-694. </w:t>
      </w:r>
      <w:bookmarkEnd w:id="23"/>
    </w:p>
    <w:p w14:paraId="7FD39AFE"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4" w:name="_ENREF_25"/>
      <w:r w:rsidRPr="008E15B1">
        <w:rPr>
          <w:rFonts w:ascii="Times New Roman" w:hAnsi="Times New Roman" w:cs="Times New Roman"/>
          <w:noProof/>
          <w:sz w:val="24"/>
          <w:szCs w:val="24"/>
        </w:rPr>
        <w:lastRenderedPageBreak/>
        <w:t>Hertel D, Moser G, Culmsee H, Erasmi S, Horna V, Schuldt B, Leuschner C (2009) Below-and above-ground biomass and net primary production in a paleotropical natural forest (Sulawesi, Indonesia) as compared to neotropical forests. Forest Ecology and Management</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258</w:t>
      </w:r>
      <w:r w:rsidRPr="008E15B1">
        <w:rPr>
          <w:rFonts w:ascii="Times New Roman" w:hAnsi="Times New Roman" w:cs="Times New Roman"/>
          <w:noProof/>
          <w:sz w:val="24"/>
          <w:szCs w:val="24"/>
        </w:rPr>
        <w:t xml:space="preserve">, 1904-1912. </w:t>
      </w:r>
      <w:bookmarkEnd w:id="24"/>
    </w:p>
    <w:p w14:paraId="73EE0791" w14:textId="77777777" w:rsidR="00914113" w:rsidRPr="008E15B1" w:rsidRDefault="00914113" w:rsidP="00CB15A7">
      <w:pPr>
        <w:spacing w:after="0" w:line="480" w:lineRule="auto"/>
        <w:ind w:left="720" w:hanging="720"/>
        <w:rPr>
          <w:rFonts w:ascii="Times New Roman" w:hAnsi="Times New Roman" w:cs="Times New Roman"/>
          <w:noProof/>
          <w:sz w:val="24"/>
          <w:szCs w:val="24"/>
        </w:rPr>
      </w:pPr>
      <w:bookmarkStart w:id="25" w:name="_ENREF_26"/>
      <w:r w:rsidRPr="008E15B1">
        <w:rPr>
          <w:rFonts w:ascii="Times New Roman" w:hAnsi="Times New Roman" w:cs="Times New Roman"/>
          <w:noProof/>
          <w:sz w:val="24"/>
          <w:szCs w:val="24"/>
        </w:rPr>
        <w:t>Huang MY, Asner GP (2010) Long-term carbon loss and recovery following selective logging in Amazon forests. Global Biogeochemical Cycles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24</w:t>
      </w:r>
      <w:r w:rsidRPr="008E15B1">
        <w:rPr>
          <w:rFonts w:ascii="Times New Roman" w:hAnsi="Times New Roman" w:cs="Times New Roman"/>
          <w:noProof/>
          <w:sz w:val="24"/>
          <w:szCs w:val="24"/>
        </w:rPr>
        <w:t>, GB3028. doi: 10.1029/2009gb003727</w:t>
      </w:r>
      <w:bookmarkEnd w:id="25"/>
    </w:p>
    <w:p w14:paraId="0DA54B47" w14:textId="77777777" w:rsidR="00914113" w:rsidRDefault="00914113" w:rsidP="00CB15A7">
      <w:pPr>
        <w:spacing w:after="0" w:line="480" w:lineRule="auto"/>
        <w:ind w:left="720" w:hanging="720"/>
        <w:rPr>
          <w:rFonts w:ascii="Times New Roman" w:hAnsi="Times New Roman" w:cs="Times New Roman"/>
          <w:noProof/>
          <w:sz w:val="24"/>
          <w:szCs w:val="24"/>
        </w:rPr>
      </w:pPr>
      <w:bookmarkStart w:id="26" w:name="_ENREF_27"/>
      <w:r w:rsidRPr="008E15B1">
        <w:rPr>
          <w:rFonts w:ascii="Times New Roman" w:hAnsi="Times New Roman" w:cs="Times New Roman"/>
          <w:noProof/>
          <w:sz w:val="24"/>
          <w:szCs w:val="24"/>
        </w:rPr>
        <w:t>Katayama A, Kume T, Komatsu H</w:t>
      </w:r>
      <w:r w:rsidRPr="008E15B1">
        <w:rPr>
          <w:rFonts w:ascii="Times New Roman" w:hAnsi="Times New Roman" w:cs="Times New Roman"/>
          <w:i/>
          <w:noProof/>
          <w:sz w:val="24"/>
          <w:szCs w:val="24"/>
        </w:rPr>
        <w:t xml:space="preserve"> et al.</w:t>
      </w:r>
      <w:r w:rsidRPr="008E15B1">
        <w:rPr>
          <w:rFonts w:ascii="Times New Roman" w:hAnsi="Times New Roman" w:cs="Times New Roman"/>
          <w:noProof/>
          <w:sz w:val="24"/>
          <w:szCs w:val="24"/>
        </w:rPr>
        <w:t xml:space="preserve"> (2009) Effect of forest structure on the spatial variation in soil respiration in a Bornean tropical rainforest. Agricultural and Forest Meteorology</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149</w:t>
      </w:r>
      <w:r w:rsidRPr="008E15B1">
        <w:rPr>
          <w:rFonts w:ascii="Times New Roman" w:hAnsi="Times New Roman" w:cs="Times New Roman"/>
          <w:noProof/>
          <w:sz w:val="24"/>
          <w:szCs w:val="24"/>
        </w:rPr>
        <w:t xml:space="preserve">, 1666-1673. </w:t>
      </w:r>
      <w:bookmarkEnd w:id="26"/>
    </w:p>
    <w:p w14:paraId="1945912D" w14:textId="77777777" w:rsidR="00914113" w:rsidRPr="008E15B1" w:rsidRDefault="00914113" w:rsidP="00CB15A7">
      <w:pPr>
        <w:spacing w:after="0" w:line="480" w:lineRule="auto"/>
        <w:ind w:left="720" w:hanging="720"/>
        <w:rPr>
          <w:rFonts w:ascii="Times New Roman" w:hAnsi="Times New Roman" w:cs="Times New Roman"/>
          <w:noProof/>
          <w:sz w:val="24"/>
          <w:szCs w:val="24"/>
        </w:rPr>
      </w:pPr>
      <w:r w:rsidRPr="00DA6742">
        <w:rPr>
          <w:rFonts w:ascii="Times New Roman" w:hAnsi="Times New Roman" w:cs="Times New Roman"/>
          <w:noProof/>
          <w:sz w:val="24"/>
          <w:szCs w:val="24"/>
        </w:rPr>
        <w:t xml:space="preserve">Keenan RJ, Reams GA, Achard F, de Freitas JV, Grainger A, Lindquist E (2015) Dynamics of global forest area: results from the FAO Global Forest Resources Assessment 2015. Forest Ecology and Management, </w:t>
      </w:r>
      <w:r w:rsidRPr="00DA6742">
        <w:rPr>
          <w:rFonts w:ascii="Times New Roman" w:hAnsi="Times New Roman" w:cs="Times New Roman"/>
          <w:b/>
          <w:noProof/>
          <w:sz w:val="24"/>
          <w:szCs w:val="24"/>
        </w:rPr>
        <w:t>352</w:t>
      </w:r>
      <w:r w:rsidRPr="00DA6742">
        <w:rPr>
          <w:rFonts w:ascii="Times New Roman" w:hAnsi="Times New Roman" w:cs="Times New Roman"/>
          <w:noProof/>
          <w:sz w:val="24"/>
          <w:szCs w:val="24"/>
        </w:rPr>
        <w:t>, 9-20.</w:t>
      </w:r>
    </w:p>
    <w:p w14:paraId="1CDF2F89" w14:textId="77777777" w:rsidR="00914113" w:rsidRDefault="00914113" w:rsidP="00CB15A7">
      <w:pPr>
        <w:spacing w:after="0" w:line="480" w:lineRule="auto"/>
        <w:ind w:left="720" w:hanging="720"/>
        <w:rPr>
          <w:rFonts w:ascii="Times New Roman" w:hAnsi="Times New Roman" w:cs="Times New Roman"/>
          <w:noProof/>
          <w:sz w:val="24"/>
          <w:szCs w:val="24"/>
        </w:rPr>
      </w:pPr>
      <w:bookmarkStart w:id="27" w:name="_ENREF_28"/>
      <w:r w:rsidRPr="008E15B1">
        <w:rPr>
          <w:rFonts w:ascii="Times New Roman" w:hAnsi="Times New Roman" w:cs="Times New Roman"/>
          <w:noProof/>
          <w:sz w:val="24"/>
          <w:szCs w:val="24"/>
        </w:rPr>
        <w:t>Kho LK, Malhi Y, Tan SKS (2013) Annual budget and seasonal variation of aboveground and belowground net primary productivity in a lowland dipterocarp forest in Borneo. Journal of Geophysical Research-Biogeosciences</w:t>
      </w:r>
      <w:r w:rsidRPr="008E15B1">
        <w:rPr>
          <w:rFonts w:ascii="Times New Roman" w:hAnsi="Times New Roman" w:cs="Times New Roman"/>
          <w:i/>
          <w:noProof/>
          <w:sz w:val="24"/>
          <w:szCs w:val="24"/>
        </w:rPr>
        <w:t>,</w:t>
      </w:r>
      <w:r w:rsidRPr="008E15B1">
        <w:rPr>
          <w:rFonts w:ascii="Times New Roman" w:hAnsi="Times New Roman" w:cs="Times New Roman"/>
          <w:noProof/>
          <w:sz w:val="24"/>
          <w:szCs w:val="24"/>
        </w:rPr>
        <w:t xml:space="preserve"> </w:t>
      </w:r>
      <w:r w:rsidRPr="008E15B1">
        <w:rPr>
          <w:rFonts w:ascii="Times New Roman" w:hAnsi="Times New Roman" w:cs="Times New Roman"/>
          <w:b/>
          <w:noProof/>
          <w:sz w:val="24"/>
          <w:szCs w:val="24"/>
        </w:rPr>
        <w:t>118</w:t>
      </w:r>
      <w:r w:rsidRPr="008E15B1">
        <w:rPr>
          <w:rFonts w:ascii="Times New Roman" w:hAnsi="Times New Roman" w:cs="Times New Roman"/>
          <w:noProof/>
          <w:sz w:val="24"/>
          <w:szCs w:val="24"/>
        </w:rPr>
        <w:t>, 1282-1296. doi: 10.1002/jgrg.20109</w:t>
      </w:r>
      <w:bookmarkEnd w:id="27"/>
    </w:p>
    <w:p w14:paraId="392F597C" w14:textId="77777777" w:rsidR="00914113" w:rsidRPr="008E15B1" w:rsidRDefault="00914113" w:rsidP="00CB15A7">
      <w:pPr>
        <w:spacing w:after="0" w:line="480" w:lineRule="auto"/>
        <w:ind w:left="720" w:hanging="720"/>
        <w:rPr>
          <w:rFonts w:ascii="Times New Roman" w:hAnsi="Times New Roman" w:cs="Times New Roman"/>
          <w:noProof/>
          <w:sz w:val="24"/>
          <w:szCs w:val="24"/>
        </w:rPr>
      </w:pPr>
      <w:r w:rsidRPr="00DA6742">
        <w:rPr>
          <w:rFonts w:ascii="Times New Roman" w:hAnsi="Times New Roman" w:cs="Times New Roman"/>
          <w:noProof/>
          <w:sz w:val="24"/>
          <w:szCs w:val="24"/>
        </w:rPr>
        <w:t xml:space="preserve">King DA, Davies SJ, Supardi MNN, Tan S (2005) Tree growth is related to light interception and wood density in two mixed dipterocarp forests of Malaysia. Functional Ecology, </w:t>
      </w:r>
      <w:r w:rsidRPr="00DA6742">
        <w:rPr>
          <w:rFonts w:ascii="Times New Roman" w:hAnsi="Times New Roman" w:cs="Times New Roman"/>
          <w:b/>
          <w:noProof/>
          <w:sz w:val="24"/>
          <w:szCs w:val="24"/>
        </w:rPr>
        <w:t>19</w:t>
      </w:r>
      <w:r w:rsidRPr="00DA6742">
        <w:rPr>
          <w:rFonts w:ascii="Times New Roman" w:hAnsi="Times New Roman" w:cs="Times New Roman"/>
          <w:noProof/>
          <w:sz w:val="24"/>
          <w:szCs w:val="24"/>
        </w:rPr>
        <w:t xml:space="preserve">, 445-453. </w:t>
      </w:r>
      <w:r>
        <w:rPr>
          <w:rFonts w:ascii="Times New Roman" w:hAnsi="Times New Roman" w:cs="Times New Roman"/>
          <w:noProof/>
          <w:sz w:val="24"/>
          <w:szCs w:val="24"/>
        </w:rPr>
        <w:t xml:space="preserve">doi: </w:t>
      </w:r>
      <w:r w:rsidRPr="00DA6742">
        <w:rPr>
          <w:rFonts w:ascii="Times New Roman" w:hAnsi="Times New Roman" w:cs="Times New Roman"/>
          <w:noProof/>
          <w:sz w:val="24"/>
          <w:szCs w:val="24"/>
        </w:rPr>
        <w:t>10.1111/j.1365-2435.2005.00982.x</w:t>
      </w:r>
    </w:p>
    <w:p w14:paraId="6888C52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28" w:name="_ENREF_29"/>
      <w:r w:rsidRPr="008E15B1">
        <w:rPr>
          <w:rFonts w:ascii="Times New Roman" w:hAnsi="Times New Roman" w:cs="Times New Roman"/>
          <w:noProof/>
          <w:sz w:val="24"/>
          <w:szCs w:val="24"/>
        </w:rPr>
        <w:t xml:space="preserve">Kira T, Manokaran N, Appanah S (2013) NPP Tropical Forest: Pasoh, Malaysia, 1971-1973. Data set. Available on-line [http://www.daac.ornl.gov] from Oak Ridge National Laboratory Distributed Active Archive Center, Oak Ridge, Tennessee, U.S.A. doi:10.3334/ORNLDAAC/219. </w:t>
      </w:r>
      <w:bookmarkEnd w:id="28"/>
    </w:p>
    <w:p w14:paraId="62008AF0"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29" w:name="_ENREF_30"/>
      <w:r w:rsidRPr="00CB692D">
        <w:rPr>
          <w:rFonts w:ascii="Times New Roman" w:hAnsi="Times New Roman" w:cs="Times New Roman"/>
          <w:noProof/>
          <w:sz w:val="24"/>
          <w:szCs w:val="24"/>
        </w:rPr>
        <w:lastRenderedPageBreak/>
        <w:t>Kumagai T, Porporato A (2012) Drought-induced mortality of a Bornean tropical rain forest amplified by climate change. Journal of Geophysical Research: Biogeosciences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117</w:t>
      </w:r>
      <w:r w:rsidRPr="00CB692D">
        <w:rPr>
          <w:rFonts w:ascii="Times New Roman" w:hAnsi="Times New Roman" w:cs="Times New Roman"/>
          <w:noProof/>
          <w:sz w:val="24"/>
          <w:szCs w:val="24"/>
        </w:rPr>
        <w:t>, G02032. doi: 10.1029/2011jg001835</w:t>
      </w:r>
      <w:bookmarkEnd w:id="29"/>
    </w:p>
    <w:p w14:paraId="49DEF93F"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0" w:name="_ENREF_31"/>
      <w:r w:rsidRPr="00CB692D">
        <w:rPr>
          <w:rFonts w:ascii="Times New Roman" w:hAnsi="Times New Roman" w:cs="Times New Roman"/>
          <w:noProof/>
          <w:sz w:val="24"/>
          <w:szCs w:val="24"/>
        </w:rPr>
        <w:t>Kurokawa H, Nakashizuka T (2008) Leaf herbivory and decomposability in a Malaysian tropical rain forest. Ecology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89</w:t>
      </w:r>
      <w:r w:rsidRPr="00CB692D">
        <w:rPr>
          <w:rFonts w:ascii="Times New Roman" w:hAnsi="Times New Roman" w:cs="Times New Roman"/>
          <w:noProof/>
          <w:sz w:val="24"/>
          <w:szCs w:val="24"/>
        </w:rPr>
        <w:t xml:space="preserve">, 2645-2656. </w:t>
      </w:r>
      <w:bookmarkEnd w:id="30"/>
    </w:p>
    <w:p w14:paraId="0A0CBA7C"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1" w:name="_ENREF_32"/>
      <w:r w:rsidRPr="00CB692D">
        <w:rPr>
          <w:rFonts w:ascii="Times New Roman" w:hAnsi="Times New Roman" w:cs="Times New Roman"/>
          <w:noProof/>
          <w:sz w:val="24"/>
          <w:szCs w:val="24"/>
        </w:rPr>
        <w:t>Lee HS, Davies SJ, LaFrankie JV</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(2002) Floristic and structural diversity of mixed dipterocarp forest in Lambir Hills National Park, Sarawak, Malaysia. Journal of Tropical Forest Science</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14</w:t>
      </w:r>
      <w:r w:rsidRPr="00CB692D">
        <w:rPr>
          <w:rFonts w:ascii="Times New Roman" w:hAnsi="Times New Roman" w:cs="Times New Roman"/>
          <w:noProof/>
          <w:sz w:val="24"/>
          <w:szCs w:val="24"/>
        </w:rPr>
        <w:t xml:space="preserve">, 379-400. </w:t>
      </w:r>
      <w:bookmarkEnd w:id="31"/>
    </w:p>
    <w:p w14:paraId="255ADD4C"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2" w:name="_ENREF_33"/>
      <w:r w:rsidRPr="00CB692D">
        <w:rPr>
          <w:rFonts w:ascii="Times New Roman" w:hAnsi="Times New Roman" w:cs="Times New Roman"/>
          <w:noProof/>
          <w:sz w:val="24"/>
          <w:szCs w:val="24"/>
        </w:rPr>
        <w:t>Litton CM, Raich JW, Ryan MG (2007) Carbon allocation in forest ecosystems. Global Change Biology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13</w:t>
      </w:r>
      <w:r w:rsidRPr="00CB692D">
        <w:rPr>
          <w:rFonts w:ascii="Times New Roman" w:hAnsi="Times New Roman" w:cs="Times New Roman"/>
          <w:noProof/>
          <w:sz w:val="24"/>
          <w:szCs w:val="24"/>
        </w:rPr>
        <w:t>, 2089-2109. doi: 10.1111/j.1365-2486.2007.01420.x</w:t>
      </w:r>
      <w:bookmarkEnd w:id="32"/>
    </w:p>
    <w:p w14:paraId="29E87391"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3" w:name="_ENREF_34"/>
      <w:r w:rsidRPr="00CB692D">
        <w:rPr>
          <w:rFonts w:ascii="Times New Roman" w:hAnsi="Times New Roman" w:cs="Times New Roman"/>
          <w:noProof/>
          <w:sz w:val="24"/>
          <w:szCs w:val="24"/>
        </w:rPr>
        <w:t>Malhi Y (2010) The carbon balance of tropical forest regions, 1990–2005. Current Opinion in Environmental Sustainability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2</w:t>
      </w:r>
      <w:r w:rsidRPr="00CB692D">
        <w:rPr>
          <w:rFonts w:ascii="Times New Roman" w:hAnsi="Times New Roman" w:cs="Times New Roman"/>
          <w:noProof/>
          <w:sz w:val="24"/>
          <w:szCs w:val="24"/>
        </w:rPr>
        <w:t xml:space="preserve">, 237-244. </w:t>
      </w:r>
      <w:bookmarkEnd w:id="33"/>
    </w:p>
    <w:p w14:paraId="55A65C0A"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4" w:name="_ENREF_35"/>
      <w:r w:rsidRPr="00CB692D">
        <w:rPr>
          <w:rFonts w:ascii="Times New Roman" w:hAnsi="Times New Roman" w:cs="Times New Roman"/>
          <w:noProof/>
          <w:sz w:val="24"/>
          <w:szCs w:val="24"/>
        </w:rPr>
        <w:t>Malhi Y (2012) The productivity, metabolism and carbon cycle of tropical forest vegetation. Journal of Ecology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100</w:t>
      </w:r>
      <w:r w:rsidRPr="00CB692D">
        <w:rPr>
          <w:rFonts w:ascii="Times New Roman" w:hAnsi="Times New Roman" w:cs="Times New Roman"/>
          <w:noProof/>
          <w:sz w:val="24"/>
          <w:szCs w:val="24"/>
        </w:rPr>
        <w:t>, 65-75. doi: 10.1111/j.1365-2745.2011.01916.x</w:t>
      </w:r>
      <w:bookmarkEnd w:id="34"/>
    </w:p>
    <w:p w14:paraId="6A25C7B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5" w:name="_ENREF_36"/>
      <w:r w:rsidRPr="00CB692D">
        <w:rPr>
          <w:rFonts w:ascii="Times New Roman" w:hAnsi="Times New Roman" w:cs="Times New Roman"/>
          <w:noProof/>
          <w:sz w:val="24"/>
          <w:szCs w:val="24"/>
        </w:rPr>
        <w:t>Malhi Y, Aragão LEO, Metcalfe DB</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(2009) Comprehensive assessment of carbon productivity, allocation and storage in three Amazonian forests. Global Change Biology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15</w:t>
      </w:r>
      <w:r w:rsidRPr="00CB692D">
        <w:rPr>
          <w:rFonts w:ascii="Times New Roman" w:hAnsi="Times New Roman" w:cs="Times New Roman"/>
          <w:noProof/>
          <w:sz w:val="24"/>
          <w:szCs w:val="24"/>
        </w:rPr>
        <w:t xml:space="preserve">, 1255-1274. </w:t>
      </w:r>
      <w:bookmarkEnd w:id="35"/>
    </w:p>
    <w:p w14:paraId="466BC0C0"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6" w:name="_ENREF_37"/>
      <w:r w:rsidRPr="00CB692D">
        <w:rPr>
          <w:rFonts w:ascii="Times New Roman" w:hAnsi="Times New Roman" w:cs="Times New Roman"/>
          <w:noProof/>
          <w:sz w:val="24"/>
          <w:szCs w:val="24"/>
        </w:rPr>
        <w:t>Malhi Y, Doughty C, Galbraith D (2011) The allocation of ecosystem net primary productivity in tropical forests. Philosophical Transactions of the Royal Society B-Biological 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366</w:t>
      </w:r>
      <w:r w:rsidRPr="00CB692D">
        <w:rPr>
          <w:rFonts w:ascii="Times New Roman" w:hAnsi="Times New Roman" w:cs="Times New Roman"/>
          <w:noProof/>
          <w:sz w:val="24"/>
          <w:szCs w:val="24"/>
        </w:rPr>
        <w:t>, 3225-3245. doi: 10.1098/rstb.2011.0062</w:t>
      </w:r>
      <w:bookmarkEnd w:id="36"/>
    </w:p>
    <w:p w14:paraId="2ECE5699"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7" w:name="_ENREF_38"/>
      <w:r w:rsidRPr="00CB692D">
        <w:rPr>
          <w:rFonts w:ascii="Times New Roman" w:hAnsi="Times New Roman" w:cs="Times New Roman"/>
          <w:noProof/>
          <w:sz w:val="24"/>
          <w:szCs w:val="24"/>
        </w:rPr>
        <w:t>Malhi Y, Doughty CE, Goldsmith GR</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(2015) The linkages between photosynthesis, productivity, growth and biomass in lowland Amazonian forests. Global Change Biology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21</w:t>
      </w:r>
      <w:r w:rsidRPr="00CB692D">
        <w:rPr>
          <w:rFonts w:ascii="Times New Roman" w:hAnsi="Times New Roman" w:cs="Times New Roman"/>
          <w:noProof/>
          <w:sz w:val="24"/>
          <w:szCs w:val="24"/>
        </w:rPr>
        <w:t>, 2283-2295. doi: 10.1111/gcb.12859</w:t>
      </w:r>
      <w:bookmarkEnd w:id="37"/>
    </w:p>
    <w:p w14:paraId="3CDD050C"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38" w:name="_ENREF_39"/>
      <w:r w:rsidRPr="00CB692D">
        <w:rPr>
          <w:rFonts w:ascii="Times New Roman" w:hAnsi="Times New Roman" w:cs="Times New Roman"/>
          <w:noProof/>
          <w:sz w:val="24"/>
          <w:szCs w:val="24"/>
        </w:rPr>
        <w:lastRenderedPageBreak/>
        <w:t>Malhi Y, Gardner TA, Goldsmith GR, Silman MR, Zelazowski P (2014) Tropical Forests in the Anthropocene. Annual Review of Environment and Resources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39</w:t>
      </w:r>
      <w:r w:rsidRPr="00CB692D">
        <w:rPr>
          <w:rFonts w:ascii="Times New Roman" w:hAnsi="Times New Roman" w:cs="Times New Roman"/>
          <w:noProof/>
          <w:sz w:val="24"/>
          <w:szCs w:val="24"/>
        </w:rPr>
        <w:t>, 125-159. doi:10.1146/annurev-environ-030713-155141</w:t>
      </w:r>
      <w:bookmarkEnd w:id="38"/>
    </w:p>
    <w:p w14:paraId="0617728F" w14:textId="77777777" w:rsidR="00914113" w:rsidRDefault="00914113" w:rsidP="00CB15A7">
      <w:pPr>
        <w:spacing w:after="0" w:line="480" w:lineRule="auto"/>
        <w:ind w:left="720" w:hanging="720"/>
        <w:rPr>
          <w:rFonts w:ascii="Times New Roman" w:hAnsi="Times New Roman" w:cs="Times New Roman"/>
          <w:noProof/>
          <w:sz w:val="24"/>
          <w:szCs w:val="24"/>
        </w:rPr>
      </w:pPr>
      <w:bookmarkStart w:id="39" w:name="_ENREF_40"/>
      <w:r w:rsidRPr="00CB692D">
        <w:rPr>
          <w:rFonts w:ascii="Times New Roman" w:hAnsi="Times New Roman" w:cs="Times New Roman"/>
          <w:noProof/>
          <w:sz w:val="24"/>
          <w:szCs w:val="24"/>
        </w:rPr>
        <w:t>Malhi Y, Wright J (2004) Spatial patterns and recent trends in the climate of tropical rainforest regions. Philosophical Transactions of the Royal Society of London B: Biological 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359</w:t>
      </w:r>
      <w:r w:rsidRPr="00CB692D">
        <w:rPr>
          <w:rFonts w:ascii="Times New Roman" w:hAnsi="Times New Roman" w:cs="Times New Roman"/>
          <w:noProof/>
          <w:sz w:val="24"/>
          <w:szCs w:val="24"/>
        </w:rPr>
        <w:t xml:space="preserve">, 311-329. </w:t>
      </w:r>
      <w:bookmarkEnd w:id="39"/>
    </w:p>
    <w:p w14:paraId="40CFF41E" w14:textId="5D76EFCB" w:rsidR="00CB15A7" w:rsidRPr="00CB692D" w:rsidRDefault="00CB15A7" w:rsidP="00CB15A7">
      <w:pPr>
        <w:pStyle w:val="EndNoteBibliography"/>
        <w:spacing w:after="0" w:line="480" w:lineRule="auto"/>
        <w:ind w:left="720" w:hanging="720"/>
        <w:rPr>
          <w:rFonts w:ascii="Times New Roman" w:hAnsi="Times New Roman" w:cs="Times New Roman"/>
          <w:sz w:val="24"/>
          <w:szCs w:val="24"/>
        </w:rPr>
      </w:pPr>
      <w:r w:rsidRPr="00CB15A7">
        <w:rPr>
          <w:rFonts w:ascii="Times New Roman" w:hAnsi="Times New Roman" w:cs="Times New Roman"/>
          <w:sz w:val="24"/>
          <w:szCs w:val="24"/>
        </w:rPr>
        <w:t>Marsh CW, Greer AG (1992) Forest Land-Use in Sabah, Malaysia: An Introduction to Danum Valley. Philosophical Transactions: Biological Sciences</w:t>
      </w:r>
      <w:r w:rsidRPr="00CB15A7">
        <w:rPr>
          <w:rFonts w:ascii="Times New Roman" w:hAnsi="Times New Roman" w:cs="Times New Roman"/>
          <w:i/>
          <w:sz w:val="24"/>
          <w:szCs w:val="24"/>
        </w:rPr>
        <w:t>,</w:t>
      </w:r>
      <w:r w:rsidRPr="00CB15A7">
        <w:rPr>
          <w:rFonts w:ascii="Times New Roman" w:hAnsi="Times New Roman" w:cs="Times New Roman"/>
          <w:sz w:val="24"/>
          <w:szCs w:val="24"/>
        </w:rPr>
        <w:t xml:space="preserve"> </w:t>
      </w:r>
      <w:r w:rsidRPr="00CB15A7">
        <w:rPr>
          <w:rFonts w:ascii="Times New Roman" w:hAnsi="Times New Roman" w:cs="Times New Roman"/>
          <w:b/>
          <w:sz w:val="24"/>
          <w:szCs w:val="24"/>
        </w:rPr>
        <w:t>335</w:t>
      </w:r>
      <w:r w:rsidRPr="00CB15A7">
        <w:rPr>
          <w:rFonts w:ascii="Times New Roman" w:hAnsi="Times New Roman" w:cs="Times New Roman"/>
          <w:sz w:val="24"/>
          <w:szCs w:val="24"/>
        </w:rPr>
        <w:t>, 331-339. 10.2307/55620</w:t>
      </w:r>
      <w:r>
        <w:rPr>
          <w:rFonts w:ascii="Times New Roman" w:hAnsi="Times New Roman" w:cs="Times New Roman"/>
          <w:sz w:val="24"/>
          <w:szCs w:val="24"/>
        </w:rPr>
        <w:t>.</w:t>
      </w:r>
    </w:p>
    <w:p w14:paraId="4C92793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0" w:name="_ENREF_41"/>
      <w:r w:rsidRPr="00CB692D">
        <w:rPr>
          <w:rFonts w:ascii="Times New Roman" w:hAnsi="Times New Roman" w:cs="Times New Roman"/>
          <w:noProof/>
          <w:sz w:val="24"/>
          <w:szCs w:val="24"/>
        </w:rPr>
        <w:t>Marthews T, Metcalfe D, Malhi Y</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(2012) Measuring tropical forest carbon allocation and cycling: a RAINFOR-GEM field manual for intensive census plots (v2. 2). Manual. Global Ecosystems Monitoring Network. Available from http:gem.tropicalforests.ox.ac.uk. </w:t>
      </w:r>
      <w:bookmarkEnd w:id="40"/>
    </w:p>
    <w:p w14:paraId="2A4125B3"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1" w:name="_ENREF_42"/>
      <w:r w:rsidRPr="00CB692D">
        <w:rPr>
          <w:rFonts w:ascii="Times New Roman" w:hAnsi="Times New Roman" w:cs="Times New Roman"/>
          <w:noProof/>
          <w:sz w:val="24"/>
          <w:szCs w:val="24"/>
        </w:rPr>
        <w:t>Martin AR, Thomas SC (2011) A reassessment of carbon content in tropical trees. PLoS ONE</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6</w:t>
      </w:r>
      <w:r w:rsidRPr="00CB692D">
        <w:rPr>
          <w:rFonts w:ascii="Times New Roman" w:hAnsi="Times New Roman" w:cs="Times New Roman"/>
          <w:noProof/>
          <w:sz w:val="24"/>
          <w:szCs w:val="24"/>
        </w:rPr>
        <w:t xml:space="preserve">, e23533. </w:t>
      </w:r>
      <w:bookmarkEnd w:id="41"/>
    </w:p>
    <w:p w14:paraId="204FFB07"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2" w:name="_ENREF_43"/>
      <w:r w:rsidRPr="00CB692D">
        <w:rPr>
          <w:rFonts w:ascii="Times New Roman" w:hAnsi="Times New Roman" w:cs="Times New Roman"/>
          <w:noProof/>
          <w:sz w:val="24"/>
          <w:szCs w:val="24"/>
        </w:rPr>
        <w:t>Mazerolle MJ (2015) AICcmodavg: Model selection and multimodel inference based on (Q)AIC(c). R package version 2.0-3.</w:t>
      </w:r>
      <w:bookmarkEnd w:id="42"/>
    </w:p>
    <w:p w14:paraId="2DB90083" w14:textId="36DA283F" w:rsidR="00CB15A7" w:rsidRPr="00CB15A7" w:rsidRDefault="00914113" w:rsidP="00CB15A7">
      <w:pPr>
        <w:spacing w:after="0" w:line="480" w:lineRule="auto"/>
        <w:ind w:left="720" w:hanging="720"/>
        <w:rPr>
          <w:rFonts w:ascii="Times New Roman" w:hAnsi="Times New Roman" w:cs="Times New Roman"/>
          <w:sz w:val="24"/>
          <w:szCs w:val="24"/>
        </w:rPr>
      </w:pPr>
      <w:bookmarkStart w:id="43" w:name="_ENREF_44"/>
      <w:r w:rsidRPr="00CB692D">
        <w:rPr>
          <w:rFonts w:ascii="Times New Roman" w:hAnsi="Times New Roman" w:cs="Times New Roman"/>
          <w:noProof/>
          <w:sz w:val="24"/>
          <w:szCs w:val="24"/>
        </w:rPr>
        <w:t>Metcalfe DB, Williams M, Aragão LEOC</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(2007) A method for extracting plant roots from soil which facilitates rapid sample processing without compromising measurement accuracy. New Phytologist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174</w:t>
      </w:r>
      <w:r w:rsidRPr="00CB692D">
        <w:rPr>
          <w:rFonts w:ascii="Times New Roman" w:hAnsi="Times New Roman" w:cs="Times New Roman"/>
          <w:noProof/>
          <w:sz w:val="24"/>
          <w:szCs w:val="24"/>
        </w:rPr>
        <w:t>, 697-703. doi: 10.1111/j.1469-8137.2007.02032.x</w:t>
      </w:r>
      <w:bookmarkEnd w:id="43"/>
    </w:p>
    <w:p w14:paraId="7E08ABF0" w14:textId="389F0BCC" w:rsidR="00CB15A7" w:rsidRPr="00CB692D" w:rsidRDefault="00CB15A7" w:rsidP="00CB15A7">
      <w:pPr>
        <w:pStyle w:val="EndNoteBibliography"/>
        <w:spacing w:after="0" w:line="480" w:lineRule="auto"/>
        <w:ind w:left="720" w:hanging="720"/>
        <w:rPr>
          <w:rFonts w:ascii="Times New Roman" w:hAnsi="Times New Roman" w:cs="Times New Roman"/>
          <w:sz w:val="24"/>
          <w:szCs w:val="24"/>
        </w:rPr>
      </w:pPr>
      <w:r w:rsidRPr="00CB15A7">
        <w:rPr>
          <w:rFonts w:ascii="Times New Roman" w:hAnsi="Times New Roman" w:cs="Times New Roman"/>
          <w:sz w:val="24"/>
          <w:szCs w:val="24"/>
        </w:rPr>
        <w:t>N</w:t>
      </w:r>
      <w:r>
        <w:rPr>
          <w:rFonts w:ascii="Times New Roman" w:hAnsi="Times New Roman" w:cs="Times New Roman"/>
          <w:sz w:val="24"/>
          <w:szCs w:val="24"/>
        </w:rPr>
        <w:t>ainar</w:t>
      </w:r>
      <w:r w:rsidRPr="00CB15A7">
        <w:rPr>
          <w:rFonts w:ascii="Times New Roman" w:hAnsi="Times New Roman" w:cs="Times New Roman"/>
          <w:sz w:val="24"/>
          <w:szCs w:val="24"/>
        </w:rPr>
        <w:t xml:space="preserve"> A, B</w:t>
      </w:r>
      <w:r>
        <w:rPr>
          <w:rFonts w:ascii="Times New Roman" w:hAnsi="Times New Roman" w:cs="Times New Roman"/>
          <w:sz w:val="24"/>
          <w:szCs w:val="24"/>
        </w:rPr>
        <w:t>idin</w:t>
      </w:r>
      <w:r w:rsidRPr="00CB15A7">
        <w:rPr>
          <w:rFonts w:ascii="Times New Roman" w:hAnsi="Times New Roman" w:cs="Times New Roman"/>
          <w:sz w:val="24"/>
          <w:szCs w:val="24"/>
        </w:rPr>
        <w:t xml:space="preserve"> K, W</w:t>
      </w:r>
      <w:r>
        <w:rPr>
          <w:rFonts w:ascii="Times New Roman" w:hAnsi="Times New Roman" w:cs="Times New Roman"/>
          <w:sz w:val="24"/>
          <w:szCs w:val="24"/>
        </w:rPr>
        <w:t xml:space="preserve">alsh </w:t>
      </w:r>
      <w:r w:rsidRPr="00CB15A7">
        <w:rPr>
          <w:rFonts w:ascii="Times New Roman" w:hAnsi="Times New Roman" w:cs="Times New Roman"/>
          <w:sz w:val="24"/>
          <w:szCs w:val="24"/>
        </w:rPr>
        <w:t>RP, E</w:t>
      </w:r>
      <w:r>
        <w:rPr>
          <w:rFonts w:ascii="Times New Roman" w:hAnsi="Times New Roman" w:cs="Times New Roman"/>
          <w:sz w:val="24"/>
          <w:szCs w:val="24"/>
        </w:rPr>
        <w:t>wers</w:t>
      </w:r>
      <w:r w:rsidRPr="00CB15A7">
        <w:rPr>
          <w:rFonts w:ascii="Times New Roman" w:hAnsi="Times New Roman" w:cs="Times New Roman"/>
          <w:sz w:val="24"/>
          <w:szCs w:val="24"/>
        </w:rPr>
        <w:t xml:space="preserve"> RM, R</w:t>
      </w:r>
      <w:r>
        <w:rPr>
          <w:rFonts w:ascii="Times New Roman" w:hAnsi="Times New Roman" w:cs="Times New Roman"/>
          <w:sz w:val="24"/>
          <w:szCs w:val="24"/>
        </w:rPr>
        <w:t>eynolds G (2015) Variations in suspended sediment yield and d</w:t>
      </w:r>
      <w:r w:rsidRPr="00CB15A7">
        <w:rPr>
          <w:rFonts w:ascii="Times New Roman" w:hAnsi="Times New Roman" w:cs="Times New Roman"/>
          <w:sz w:val="24"/>
          <w:szCs w:val="24"/>
        </w:rPr>
        <w:t xml:space="preserve">ynamics in </w:t>
      </w:r>
      <w:r>
        <w:rPr>
          <w:rFonts w:ascii="Times New Roman" w:hAnsi="Times New Roman" w:cs="Times New Roman"/>
          <w:sz w:val="24"/>
          <w:szCs w:val="24"/>
        </w:rPr>
        <w:t>catchments of differing l</w:t>
      </w:r>
      <w:r w:rsidRPr="00CB15A7">
        <w:rPr>
          <w:rFonts w:ascii="Times New Roman" w:hAnsi="Times New Roman" w:cs="Times New Roman"/>
          <w:sz w:val="24"/>
          <w:szCs w:val="24"/>
        </w:rPr>
        <w:t>and-use in Sabah. Transactions on Science and Technology</w:t>
      </w:r>
      <w:r w:rsidRPr="00CB15A7">
        <w:rPr>
          <w:rFonts w:ascii="Times New Roman" w:hAnsi="Times New Roman" w:cs="Times New Roman"/>
          <w:i/>
          <w:sz w:val="24"/>
          <w:szCs w:val="24"/>
        </w:rPr>
        <w:t>,</w:t>
      </w:r>
      <w:r w:rsidRPr="00CB15A7">
        <w:rPr>
          <w:rFonts w:ascii="Times New Roman" w:hAnsi="Times New Roman" w:cs="Times New Roman"/>
          <w:sz w:val="24"/>
          <w:szCs w:val="24"/>
        </w:rPr>
        <w:t xml:space="preserve"> </w:t>
      </w:r>
      <w:r w:rsidRPr="00CB15A7">
        <w:rPr>
          <w:rFonts w:ascii="Times New Roman" w:hAnsi="Times New Roman" w:cs="Times New Roman"/>
          <w:b/>
          <w:sz w:val="24"/>
          <w:szCs w:val="24"/>
        </w:rPr>
        <w:t>2</w:t>
      </w:r>
      <w:r w:rsidRPr="00CB15A7">
        <w:rPr>
          <w:rFonts w:ascii="Times New Roman" w:hAnsi="Times New Roman" w:cs="Times New Roman"/>
          <w:sz w:val="24"/>
          <w:szCs w:val="24"/>
        </w:rPr>
        <w:t xml:space="preserve">, 1-19. </w:t>
      </w:r>
    </w:p>
    <w:p w14:paraId="2B848F06" w14:textId="36C37F52" w:rsidR="00914113" w:rsidRPr="00CB692D" w:rsidRDefault="00914113" w:rsidP="00CB15A7">
      <w:pPr>
        <w:spacing w:after="0" w:line="480" w:lineRule="auto"/>
        <w:ind w:left="720" w:hanging="720"/>
        <w:rPr>
          <w:rFonts w:ascii="Times New Roman" w:hAnsi="Times New Roman" w:cs="Times New Roman"/>
          <w:noProof/>
          <w:sz w:val="24"/>
          <w:szCs w:val="24"/>
        </w:rPr>
      </w:pPr>
      <w:bookmarkStart w:id="44" w:name="_ENREF_45"/>
      <w:r w:rsidRPr="00CB692D">
        <w:rPr>
          <w:rFonts w:ascii="Times New Roman" w:hAnsi="Times New Roman" w:cs="Times New Roman"/>
          <w:noProof/>
          <w:sz w:val="24"/>
          <w:szCs w:val="24"/>
        </w:rPr>
        <w:lastRenderedPageBreak/>
        <w:t>Niiyama K, Kajimoto T, Matsuura Y</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(2010) Estimation of root biomass based on excavation of individual root systems in a primary dipterocarp forest in Pasoh Forest Reserve, Peninsular Malaysia. Journal of Tropical Ecology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26</w:t>
      </w:r>
      <w:r w:rsidRPr="00CB692D">
        <w:rPr>
          <w:rFonts w:ascii="Times New Roman" w:hAnsi="Times New Roman" w:cs="Times New Roman"/>
          <w:noProof/>
          <w:sz w:val="24"/>
          <w:szCs w:val="24"/>
        </w:rPr>
        <w:t>, 271-284. doi:10.1017/S0266467410000040</w:t>
      </w:r>
      <w:bookmarkEnd w:id="44"/>
    </w:p>
    <w:p w14:paraId="176F92A7"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5" w:name="_ENREF_46"/>
      <w:r w:rsidRPr="00CB692D">
        <w:rPr>
          <w:rFonts w:ascii="Times New Roman" w:hAnsi="Times New Roman" w:cs="Times New Roman"/>
          <w:noProof/>
          <w:sz w:val="24"/>
          <w:szCs w:val="24"/>
        </w:rPr>
        <w:t>Pan Y, Birdsey RA, Fang J</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(2011) A large and persistent carbon sink in the world’s forests. Science</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333</w:t>
      </w:r>
      <w:r w:rsidRPr="00CB692D">
        <w:rPr>
          <w:rFonts w:ascii="Times New Roman" w:hAnsi="Times New Roman" w:cs="Times New Roman"/>
          <w:noProof/>
          <w:sz w:val="24"/>
          <w:szCs w:val="24"/>
        </w:rPr>
        <w:t>, 988-993. doi: 10.1126/science.1201609</w:t>
      </w:r>
      <w:bookmarkEnd w:id="45"/>
    </w:p>
    <w:p w14:paraId="2E59D05C"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6" w:name="_ENREF_47"/>
      <w:r w:rsidRPr="00CB692D">
        <w:rPr>
          <w:rFonts w:ascii="Times New Roman" w:hAnsi="Times New Roman" w:cs="Times New Roman"/>
          <w:noProof/>
          <w:sz w:val="24"/>
          <w:szCs w:val="24"/>
        </w:rPr>
        <w:t xml:space="preserve">Pawlowsky-Glahn V, Buccianti A (2011) </w:t>
      </w:r>
      <w:r w:rsidRPr="00CB692D">
        <w:rPr>
          <w:rFonts w:ascii="Times New Roman" w:hAnsi="Times New Roman" w:cs="Times New Roman"/>
          <w:i/>
          <w:noProof/>
          <w:sz w:val="24"/>
          <w:szCs w:val="24"/>
        </w:rPr>
        <w:t>Compositional Data Analysis - Theory and Applications</w:t>
      </w:r>
      <w:r w:rsidRPr="00CB692D">
        <w:rPr>
          <w:rFonts w:ascii="Times New Roman" w:hAnsi="Times New Roman" w:cs="Times New Roman"/>
          <w:noProof/>
          <w:sz w:val="24"/>
          <w:szCs w:val="24"/>
        </w:rPr>
        <w:t>.</w:t>
      </w:r>
      <w:bookmarkEnd w:id="46"/>
      <w:r w:rsidRPr="00CB692D">
        <w:rPr>
          <w:rFonts w:ascii="Times New Roman" w:hAnsi="Times New Roman" w:cs="Times New Roman"/>
          <w:noProof/>
          <w:sz w:val="24"/>
          <w:szCs w:val="24"/>
        </w:rPr>
        <w:t xml:space="preserve"> John Wiley &amp; Sons.</w:t>
      </w:r>
    </w:p>
    <w:p w14:paraId="469B1C0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7" w:name="_ENREF_48"/>
      <w:r w:rsidRPr="00CB692D">
        <w:rPr>
          <w:rFonts w:ascii="Times New Roman" w:hAnsi="Times New Roman" w:cs="Times New Roman"/>
          <w:noProof/>
          <w:sz w:val="24"/>
          <w:szCs w:val="24"/>
        </w:rPr>
        <w:t>Pearson TR, Brown S, Casarim FM (2014) Carbon emissions from tropical forest degradation caused by logging. Environmental Research Letters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9</w:t>
      </w:r>
      <w:r w:rsidRPr="00CB692D">
        <w:rPr>
          <w:rFonts w:ascii="Times New Roman" w:hAnsi="Times New Roman" w:cs="Times New Roman"/>
          <w:noProof/>
          <w:sz w:val="24"/>
          <w:szCs w:val="24"/>
        </w:rPr>
        <w:t xml:space="preserve">, 034017. </w:t>
      </w:r>
      <w:bookmarkEnd w:id="47"/>
    </w:p>
    <w:p w14:paraId="478F4B1A"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8" w:name="_ENREF_49"/>
      <w:r w:rsidRPr="00CB692D">
        <w:rPr>
          <w:rFonts w:ascii="Times New Roman" w:hAnsi="Times New Roman" w:cs="Times New Roman"/>
          <w:noProof/>
          <w:sz w:val="24"/>
          <w:szCs w:val="24"/>
        </w:rPr>
        <w:t>Pfeifer M, Lefebvre V, Turner E</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(2015) Deadwood biomass: an underestimated carbon stock in degraded tropical forests? Environmental Research Letters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10</w:t>
      </w:r>
      <w:r w:rsidRPr="00CB692D">
        <w:rPr>
          <w:rFonts w:ascii="Times New Roman" w:hAnsi="Times New Roman" w:cs="Times New Roman"/>
          <w:noProof/>
          <w:sz w:val="24"/>
          <w:szCs w:val="24"/>
        </w:rPr>
        <w:t xml:space="preserve">, 044019. </w:t>
      </w:r>
      <w:bookmarkEnd w:id="48"/>
    </w:p>
    <w:p w14:paraId="5F41095F"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49" w:name="_ENREF_50"/>
      <w:r w:rsidRPr="00CB692D">
        <w:rPr>
          <w:rFonts w:ascii="Times New Roman" w:hAnsi="Times New Roman" w:cs="Times New Roman"/>
          <w:noProof/>
          <w:sz w:val="24"/>
          <w:szCs w:val="24"/>
        </w:rPr>
        <w:t>Pinard M, Barker M, Tay J (2000) Soil disturbance and post-logging forest recovery on bulldozer paths in Sabah, Malaysia. Forest Ecology and Management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130</w:t>
      </w:r>
      <w:r w:rsidRPr="00CB692D">
        <w:rPr>
          <w:rFonts w:ascii="Times New Roman" w:hAnsi="Times New Roman" w:cs="Times New Roman"/>
          <w:noProof/>
          <w:sz w:val="24"/>
          <w:szCs w:val="24"/>
        </w:rPr>
        <w:t xml:space="preserve">, 213-225. </w:t>
      </w:r>
      <w:bookmarkEnd w:id="49"/>
    </w:p>
    <w:p w14:paraId="5D11750D"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0" w:name="_ENREF_51"/>
      <w:r w:rsidRPr="00CB692D">
        <w:rPr>
          <w:rFonts w:ascii="Times New Roman" w:hAnsi="Times New Roman" w:cs="Times New Roman"/>
          <w:noProof/>
          <w:sz w:val="24"/>
          <w:szCs w:val="24"/>
        </w:rPr>
        <w:t>Pinheiro J, Bates D, DebRoy S, D S, R Core team (2014) nlme: Linear and Nonlinear Mixed Effects Models. R package version 3.1-118.</w:t>
      </w:r>
      <w:bookmarkEnd w:id="50"/>
    </w:p>
    <w:p w14:paraId="01C45103"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1" w:name="_ENREF_52"/>
      <w:r w:rsidRPr="00CB692D">
        <w:rPr>
          <w:rFonts w:ascii="Times New Roman" w:hAnsi="Times New Roman" w:cs="Times New Roman"/>
          <w:noProof/>
          <w:sz w:val="24"/>
          <w:szCs w:val="24"/>
        </w:rPr>
        <w:t>Poorter H, Niklas KJ, Reich PB, Oleksyn J, Poot P, Mommer L (2012) Biomass allocation to leaves, stems and roots: meta-analyses of interspecific variation and environmental control. New Phytologist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193</w:t>
      </w:r>
      <w:r w:rsidRPr="00CB692D">
        <w:rPr>
          <w:rFonts w:ascii="Times New Roman" w:hAnsi="Times New Roman" w:cs="Times New Roman"/>
          <w:noProof/>
          <w:sz w:val="24"/>
          <w:szCs w:val="24"/>
        </w:rPr>
        <w:t>, 30-50. doi: 10.1111/j.1469-8137.2011.03952.x</w:t>
      </w:r>
      <w:bookmarkEnd w:id="51"/>
    </w:p>
    <w:p w14:paraId="63649909"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2" w:name="_ENREF_53"/>
      <w:r w:rsidRPr="00CB692D">
        <w:rPr>
          <w:rFonts w:ascii="Times New Roman" w:hAnsi="Times New Roman" w:cs="Times New Roman"/>
          <w:noProof/>
          <w:sz w:val="24"/>
          <w:szCs w:val="24"/>
        </w:rPr>
        <w:t>Potapov P, Yaroshenko A, Turubanova S</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(2008) Mapping the world's intact forest landscapes by remote sensing. Ecology and Society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13</w:t>
      </w:r>
      <w:r w:rsidRPr="00CB692D">
        <w:rPr>
          <w:rFonts w:ascii="Times New Roman" w:hAnsi="Times New Roman" w:cs="Times New Roman"/>
          <w:noProof/>
          <w:sz w:val="24"/>
          <w:szCs w:val="24"/>
        </w:rPr>
        <w:t xml:space="preserve">, 51. </w:t>
      </w:r>
      <w:bookmarkEnd w:id="52"/>
    </w:p>
    <w:p w14:paraId="254FC9E9"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3" w:name="_ENREF_54"/>
      <w:r w:rsidRPr="00CB692D">
        <w:rPr>
          <w:rFonts w:ascii="Times New Roman" w:hAnsi="Times New Roman" w:cs="Times New Roman"/>
          <w:noProof/>
          <w:sz w:val="24"/>
          <w:szCs w:val="24"/>
        </w:rPr>
        <w:t>Pregitzer KS, Euskirchen ES (2004) Carbon cycling and storage in world forests: biome patterns related to forest age. Global Change Biology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10</w:t>
      </w:r>
      <w:r w:rsidRPr="00CB692D">
        <w:rPr>
          <w:rFonts w:ascii="Times New Roman" w:hAnsi="Times New Roman" w:cs="Times New Roman"/>
          <w:noProof/>
          <w:sz w:val="24"/>
          <w:szCs w:val="24"/>
        </w:rPr>
        <w:t xml:space="preserve">, 2052-2077. </w:t>
      </w:r>
      <w:bookmarkEnd w:id="53"/>
    </w:p>
    <w:p w14:paraId="0101BFBF"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4" w:name="_ENREF_55"/>
      <w:r w:rsidRPr="00CB692D">
        <w:rPr>
          <w:rFonts w:ascii="Times New Roman" w:hAnsi="Times New Roman" w:cs="Times New Roman"/>
          <w:noProof/>
          <w:sz w:val="24"/>
          <w:szCs w:val="24"/>
        </w:rPr>
        <w:t>R Core Team (2014) R: A language and environment for statistical computing. Vienna, Austria, R Foundation for Statistical Computing.</w:t>
      </w:r>
      <w:bookmarkEnd w:id="54"/>
    </w:p>
    <w:p w14:paraId="3B25BC8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5" w:name="_ENREF_56"/>
      <w:r w:rsidRPr="00CB692D">
        <w:rPr>
          <w:rFonts w:ascii="Times New Roman" w:hAnsi="Times New Roman" w:cs="Times New Roman"/>
          <w:noProof/>
          <w:sz w:val="24"/>
          <w:szCs w:val="24"/>
        </w:rPr>
        <w:lastRenderedPageBreak/>
        <w:t>Reynolds G, Payne J, Sinun W, Mosigil G, Walsh RPD (2011) Changes in forest land use and management in Sabah, Malaysian Borneo, 1990–2010, with a focus on the Danum Valley region. Philosophical Transactions of the Royal Society B: Biological 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366</w:t>
      </w:r>
      <w:r w:rsidRPr="00CB692D">
        <w:rPr>
          <w:rFonts w:ascii="Times New Roman" w:hAnsi="Times New Roman" w:cs="Times New Roman"/>
          <w:noProof/>
          <w:sz w:val="24"/>
          <w:szCs w:val="24"/>
        </w:rPr>
        <w:t>, 3168-3176. doi: 10.1098/rstb.2011.0154</w:t>
      </w:r>
      <w:bookmarkEnd w:id="55"/>
    </w:p>
    <w:p w14:paraId="31BE8573"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6" w:name="_ENREF_57"/>
      <w:r w:rsidRPr="00CB692D">
        <w:rPr>
          <w:rFonts w:ascii="Times New Roman" w:hAnsi="Times New Roman" w:cs="Times New Roman"/>
          <w:noProof/>
          <w:sz w:val="24"/>
          <w:szCs w:val="24"/>
        </w:rPr>
        <w:t>Ryan M, Binkley D, Fownes J (1997) Age-related decline in forest productivity. Adv. Ecol. Res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27</w:t>
      </w:r>
      <w:r w:rsidRPr="00CB692D">
        <w:rPr>
          <w:rFonts w:ascii="Times New Roman" w:hAnsi="Times New Roman" w:cs="Times New Roman"/>
          <w:noProof/>
          <w:sz w:val="24"/>
          <w:szCs w:val="24"/>
        </w:rPr>
        <w:t xml:space="preserve">, 213-262. </w:t>
      </w:r>
      <w:bookmarkEnd w:id="56"/>
    </w:p>
    <w:p w14:paraId="75125C20"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7" w:name="_ENREF_58"/>
      <w:r w:rsidRPr="00CB692D">
        <w:rPr>
          <w:rFonts w:ascii="Times New Roman" w:hAnsi="Times New Roman" w:cs="Times New Roman"/>
          <w:noProof/>
          <w:sz w:val="24"/>
          <w:szCs w:val="24"/>
        </w:rPr>
        <w:t>Saner P, Loh YY, Ong RC, Hector A (2012) Carbon Stocks and Fluxes in Tropical Lowland Dipterocarp Rainforests in Sabah, Malaysian Borneo. PLoS ONE</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7</w:t>
      </w:r>
      <w:r w:rsidRPr="00CB692D">
        <w:rPr>
          <w:rFonts w:ascii="Times New Roman" w:hAnsi="Times New Roman" w:cs="Times New Roman"/>
          <w:noProof/>
          <w:sz w:val="24"/>
          <w:szCs w:val="24"/>
        </w:rPr>
        <w:t>, e29642. doi: 10.1371/journal.pone.0029642</w:t>
      </w:r>
      <w:bookmarkEnd w:id="57"/>
    </w:p>
    <w:p w14:paraId="5C651F2D"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8" w:name="_ENREF_59"/>
      <w:r w:rsidRPr="00CB692D">
        <w:rPr>
          <w:rFonts w:ascii="Times New Roman" w:hAnsi="Times New Roman" w:cs="Times New Roman"/>
          <w:noProof/>
          <w:sz w:val="24"/>
          <w:szCs w:val="24"/>
        </w:rPr>
        <w:t>Shenkin A, Bolker B, Pena-Claros M, Licona JC, Putz FE (2015) Fates of trees damaged by logging in Amazonian Bolivia. Forest Ecology and Management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357</w:t>
      </w:r>
      <w:r w:rsidRPr="00CB692D">
        <w:rPr>
          <w:rFonts w:ascii="Times New Roman" w:hAnsi="Times New Roman" w:cs="Times New Roman"/>
          <w:noProof/>
          <w:sz w:val="24"/>
          <w:szCs w:val="24"/>
        </w:rPr>
        <w:t>, 50-59. doi: 10.1016/j.foreco.2015.08.009</w:t>
      </w:r>
      <w:bookmarkEnd w:id="58"/>
    </w:p>
    <w:p w14:paraId="2E69DC63"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59" w:name="_ENREF_60"/>
      <w:r w:rsidRPr="00CB692D">
        <w:rPr>
          <w:rFonts w:ascii="Times New Roman" w:hAnsi="Times New Roman" w:cs="Times New Roman"/>
          <w:noProof/>
          <w:sz w:val="24"/>
          <w:szCs w:val="24"/>
        </w:rPr>
        <w:t>Sist P, Mazzei L, Blanc L, Rutishauser E (2014) Large trees as key elements of carbon storage and dynamics after selective logging in the Eastern Amazon. Forest Ecology and Management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318</w:t>
      </w:r>
      <w:r w:rsidRPr="00CB692D">
        <w:rPr>
          <w:rFonts w:ascii="Times New Roman" w:hAnsi="Times New Roman" w:cs="Times New Roman"/>
          <w:noProof/>
          <w:sz w:val="24"/>
          <w:szCs w:val="24"/>
        </w:rPr>
        <w:t>, 103-109. doi: 10.1016/j.foreco.2014.01.005</w:t>
      </w:r>
      <w:bookmarkEnd w:id="59"/>
    </w:p>
    <w:p w14:paraId="2E38900B"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0" w:name="_ENREF_61"/>
      <w:r w:rsidRPr="00CB692D">
        <w:rPr>
          <w:rFonts w:ascii="Times New Roman" w:hAnsi="Times New Roman" w:cs="Times New Roman"/>
          <w:noProof/>
          <w:sz w:val="24"/>
          <w:szCs w:val="24"/>
        </w:rPr>
        <w:t>Sist P, Nguyen-The N (2002) Logging damage and the subsequent dynamics of a dipterocarp forest in East Kalimantan (1990-1996). Forest Ecology and Management</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165</w:t>
      </w:r>
      <w:r w:rsidRPr="00CB692D">
        <w:rPr>
          <w:rFonts w:ascii="Times New Roman" w:hAnsi="Times New Roman" w:cs="Times New Roman"/>
          <w:noProof/>
          <w:sz w:val="24"/>
          <w:szCs w:val="24"/>
        </w:rPr>
        <w:t>, 85- doi: 103. 10.1016/s0378-1127(01)00649-1</w:t>
      </w:r>
      <w:bookmarkEnd w:id="60"/>
    </w:p>
    <w:p w14:paraId="4AFAB3D0"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1" w:name="_ENREF_62"/>
      <w:r w:rsidRPr="00CB692D">
        <w:rPr>
          <w:rFonts w:ascii="Times New Roman" w:hAnsi="Times New Roman" w:cs="Times New Roman"/>
          <w:noProof/>
          <w:sz w:val="24"/>
          <w:szCs w:val="24"/>
        </w:rPr>
        <w:t>Struebig MJ, Turner A, Giles E, Lasmana F, Tollington S, Bernard H, Bell D (2013) Quantifying the biodiversity value of repeatedly logged rainforests: gradient and comparative approaches from Borneo. Advances in Ecological Research</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48</w:t>
      </w:r>
      <w:r w:rsidRPr="00CB692D">
        <w:rPr>
          <w:rFonts w:ascii="Times New Roman" w:hAnsi="Times New Roman" w:cs="Times New Roman"/>
          <w:noProof/>
          <w:sz w:val="24"/>
          <w:szCs w:val="24"/>
        </w:rPr>
        <w:t xml:space="preserve">, 183-224. </w:t>
      </w:r>
      <w:bookmarkEnd w:id="61"/>
    </w:p>
    <w:p w14:paraId="0ED106C9" w14:textId="77777777" w:rsidR="00914113" w:rsidRDefault="00914113" w:rsidP="00CB15A7">
      <w:pPr>
        <w:spacing w:after="0" w:line="480" w:lineRule="auto"/>
        <w:ind w:left="720" w:hanging="720"/>
        <w:rPr>
          <w:rFonts w:ascii="Times New Roman" w:hAnsi="Times New Roman" w:cs="Times New Roman"/>
          <w:noProof/>
          <w:sz w:val="24"/>
          <w:szCs w:val="24"/>
        </w:rPr>
      </w:pPr>
      <w:bookmarkStart w:id="62" w:name="_ENREF_63"/>
      <w:r w:rsidRPr="00CB692D">
        <w:rPr>
          <w:rFonts w:ascii="Times New Roman" w:hAnsi="Times New Roman" w:cs="Times New Roman"/>
          <w:noProof/>
          <w:sz w:val="24"/>
          <w:szCs w:val="24"/>
        </w:rPr>
        <w:t>Swamy S, Dutt C, Murthy M, Mishra A, Bargali S (2010) Floristics and dry matter dynamics of tropical wet evergreen forests of Western Ghats, India. Current science</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99</w:t>
      </w:r>
      <w:r w:rsidRPr="00CB692D">
        <w:rPr>
          <w:rFonts w:ascii="Times New Roman" w:hAnsi="Times New Roman" w:cs="Times New Roman"/>
          <w:noProof/>
          <w:sz w:val="24"/>
          <w:szCs w:val="24"/>
        </w:rPr>
        <w:t xml:space="preserve">, 353-364. </w:t>
      </w:r>
      <w:bookmarkEnd w:id="62"/>
    </w:p>
    <w:p w14:paraId="23EFBA3D" w14:textId="2C1BA646" w:rsidR="00CB15A7" w:rsidRPr="00CB692D" w:rsidRDefault="00CB15A7" w:rsidP="00CB15A7">
      <w:pPr>
        <w:pStyle w:val="EndNoteBibliography"/>
        <w:spacing w:line="480" w:lineRule="auto"/>
        <w:ind w:left="720" w:hanging="720"/>
        <w:rPr>
          <w:rFonts w:ascii="Times New Roman" w:hAnsi="Times New Roman" w:cs="Times New Roman"/>
          <w:sz w:val="24"/>
          <w:szCs w:val="24"/>
        </w:rPr>
      </w:pPr>
      <w:r w:rsidRPr="00CB15A7">
        <w:rPr>
          <w:rFonts w:ascii="Times New Roman" w:hAnsi="Times New Roman" w:cs="Times New Roman"/>
          <w:sz w:val="24"/>
          <w:szCs w:val="24"/>
        </w:rPr>
        <w:lastRenderedPageBreak/>
        <w:t>Sylvester T, Yamakura T, Masako T</w:t>
      </w:r>
      <w:r w:rsidRPr="00CB15A7">
        <w:rPr>
          <w:rFonts w:ascii="Times New Roman" w:hAnsi="Times New Roman" w:cs="Times New Roman"/>
          <w:i/>
          <w:sz w:val="24"/>
          <w:szCs w:val="24"/>
        </w:rPr>
        <w:t xml:space="preserve"> et al.</w:t>
      </w:r>
      <w:r w:rsidRPr="00CB15A7">
        <w:rPr>
          <w:rFonts w:ascii="Times New Roman" w:hAnsi="Times New Roman" w:cs="Times New Roman"/>
          <w:sz w:val="24"/>
          <w:szCs w:val="24"/>
        </w:rPr>
        <w:t xml:space="preserve"> (2009) Review of soils on the 52 ha long term ecological research plot in mixed dipterocarp forest at Lambir, Sarawak, Malaysian Borneo. Tropics</w:t>
      </w:r>
      <w:r w:rsidRPr="00CB15A7">
        <w:rPr>
          <w:rFonts w:ascii="Times New Roman" w:hAnsi="Times New Roman" w:cs="Times New Roman"/>
          <w:i/>
          <w:sz w:val="24"/>
          <w:szCs w:val="24"/>
        </w:rPr>
        <w:t>,</w:t>
      </w:r>
      <w:r w:rsidRPr="00CB15A7">
        <w:rPr>
          <w:rFonts w:ascii="Times New Roman" w:hAnsi="Times New Roman" w:cs="Times New Roman"/>
          <w:sz w:val="24"/>
          <w:szCs w:val="24"/>
        </w:rPr>
        <w:t xml:space="preserve"> </w:t>
      </w:r>
      <w:r w:rsidRPr="00CB15A7">
        <w:rPr>
          <w:rFonts w:ascii="Times New Roman" w:hAnsi="Times New Roman" w:cs="Times New Roman"/>
          <w:b/>
          <w:sz w:val="24"/>
          <w:szCs w:val="24"/>
        </w:rPr>
        <w:t>18</w:t>
      </w:r>
      <w:r w:rsidRPr="00CB15A7">
        <w:rPr>
          <w:rFonts w:ascii="Times New Roman" w:hAnsi="Times New Roman" w:cs="Times New Roman"/>
          <w:sz w:val="24"/>
          <w:szCs w:val="24"/>
        </w:rPr>
        <w:t xml:space="preserve">, 61-86. </w:t>
      </w:r>
    </w:p>
    <w:p w14:paraId="03FE06CB"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3" w:name="_ENREF_64"/>
      <w:r w:rsidRPr="00CB692D">
        <w:rPr>
          <w:rFonts w:ascii="Times New Roman" w:hAnsi="Times New Roman" w:cs="Times New Roman"/>
          <w:noProof/>
          <w:sz w:val="24"/>
          <w:szCs w:val="24"/>
        </w:rPr>
        <w:t>Valentini R, Arneth A, Bombelli A</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(2014) A full greenhouse gases budget of Africa: synthesis, uncertainties, and vulnerabilities. Biogeosciences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11</w:t>
      </w:r>
      <w:r w:rsidRPr="00CB692D">
        <w:rPr>
          <w:rFonts w:ascii="Times New Roman" w:hAnsi="Times New Roman" w:cs="Times New Roman"/>
          <w:noProof/>
          <w:sz w:val="24"/>
          <w:szCs w:val="24"/>
        </w:rPr>
        <w:t>, 381-407. doi: 10.5194/bg-11-381-2014</w:t>
      </w:r>
      <w:bookmarkEnd w:id="63"/>
    </w:p>
    <w:p w14:paraId="43574EF2"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4" w:name="_ENREF_65"/>
      <w:r w:rsidRPr="00CB692D">
        <w:rPr>
          <w:rFonts w:ascii="Times New Roman" w:hAnsi="Times New Roman" w:cs="Times New Roman"/>
          <w:noProof/>
          <w:sz w:val="24"/>
          <w:szCs w:val="24"/>
        </w:rPr>
        <w:t>van den Boogaart KG (2008) “Compositions”: a unified R package to analyze compositional data. Computers &amp; Geosciences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34</w:t>
      </w:r>
      <w:r w:rsidRPr="00CB692D">
        <w:rPr>
          <w:rFonts w:ascii="Times New Roman" w:hAnsi="Times New Roman" w:cs="Times New Roman"/>
          <w:noProof/>
          <w:sz w:val="24"/>
          <w:szCs w:val="24"/>
        </w:rPr>
        <w:t xml:space="preserve">, 320. </w:t>
      </w:r>
      <w:bookmarkEnd w:id="64"/>
    </w:p>
    <w:p w14:paraId="077C726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5" w:name="_ENREF_66"/>
      <w:r w:rsidRPr="00CB692D">
        <w:rPr>
          <w:rFonts w:ascii="Times New Roman" w:hAnsi="Times New Roman" w:cs="Times New Roman"/>
          <w:noProof/>
          <w:sz w:val="24"/>
          <w:szCs w:val="24"/>
        </w:rPr>
        <w:t>van den Boogaart KG, Tolosana R, Bren M (2014) Compositions: Compositional Data Analysis. R package version 1.40-1.</w:t>
      </w:r>
      <w:bookmarkEnd w:id="65"/>
    </w:p>
    <w:p w14:paraId="4C3DC71D"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6" w:name="_ENREF_67"/>
      <w:r w:rsidRPr="00CB692D">
        <w:rPr>
          <w:rFonts w:ascii="Times New Roman" w:hAnsi="Times New Roman" w:cs="Times New Roman"/>
          <w:noProof/>
          <w:sz w:val="24"/>
          <w:szCs w:val="24"/>
        </w:rPr>
        <w:t>Walsh RP, Newbery DM (1999) The ecoclimatology of Danum, Sabah, in the context of the world's rainforest regions, with particular reference to dry periods and their impact. Philosophical Transactions of the Royal Society B: Biological Sciences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354</w:t>
      </w:r>
      <w:r w:rsidRPr="00CB692D">
        <w:rPr>
          <w:rFonts w:ascii="Times New Roman" w:hAnsi="Times New Roman" w:cs="Times New Roman"/>
          <w:noProof/>
          <w:sz w:val="24"/>
          <w:szCs w:val="24"/>
        </w:rPr>
        <w:t xml:space="preserve">, 1869-1883. </w:t>
      </w:r>
      <w:bookmarkEnd w:id="66"/>
    </w:p>
    <w:p w14:paraId="790C7A60"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7" w:name="_ENREF_68"/>
      <w:r w:rsidRPr="00CB692D">
        <w:rPr>
          <w:rFonts w:ascii="Times New Roman" w:hAnsi="Times New Roman" w:cs="Times New Roman"/>
          <w:noProof/>
          <w:sz w:val="24"/>
          <w:szCs w:val="24"/>
        </w:rPr>
        <w:t>Wolf A, Field CB, Berry JA (2011) Allometric growth and allocation in forests: a perspective from FLUXNET. Ecological Applications</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21</w:t>
      </w:r>
      <w:r w:rsidRPr="00CB692D">
        <w:rPr>
          <w:rFonts w:ascii="Times New Roman" w:hAnsi="Times New Roman" w:cs="Times New Roman"/>
          <w:noProof/>
          <w:sz w:val="24"/>
          <w:szCs w:val="24"/>
        </w:rPr>
        <w:t xml:space="preserve">, 1546-1556. </w:t>
      </w:r>
      <w:bookmarkEnd w:id="67"/>
    </w:p>
    <w:p w14:paraId="6EBFA2B8"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8" w:name="_ENREF_69"/>
      <w:r w:rsidRPr="00CB692D">
        <w:rPr>
          <w:rFonts w:ascii="Times New Roman" w:hAnsi="Times New Roman" w:cs="Times New Roman"/>
          <w:noProof/>
          <w:sz w:val="24"/>
          <w:szCs w:val="24"/>
        </w:rPr>
        <w:t>Wood SN (2011) Fast stable restricted maximum likelihood and marginal likelihood estimation of semiparametric generalized linear models. Journal of the Royal Statistical Society: Series B (Statistical Methodology)</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73</w:t>
      </w:r>
      <w:r w:rsidRPr="00CB692D">
        <w:rPr>
          <w:rFonts w:ascii="Times New Roman" w:hAnsi="Times New Roman" w:cs="Times New Roman"/>
          <w:noProof/>
          <w:sz w:val="24"/>
          <w:szCs w:val="24"/>
        </w:rPr>
        <w:t>, 3-36. doi: 10.1111/j.1467-9868.2010.00749.x</w:t>
      </w:r>
      <w:bookmarkEnd w:id="68"/>
    </w:p>
    <w:p w14:paraId="48D251C6"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69" w:name="_ENREF_70"/>
      <w:r w:rsidRPr="00CB692D">
        <w:rPr>
          <w:rFonts w:ascii="Times New Roman" w:hAnsi="Times New Roman" w:cs="Times New Roman"/>
          <w:noProof/>
          <w:sz w:val="24"/>
          <w:szCs w:val="24"/>
        </w:rPr>
        <w:t>Yamada T, Niino M, Yoshida S, Hosaka T, Okuda T (2014) Impacts of logging road networks on dung beetles and small mammals in a Malaysian production forest: implications for biodiversity safeguards. Land</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w:t>
      </w:r>
      <w:r w:rsidRPr="00CB692D">
        <w:rPr>
          <w:rFonts w:ascii="Times New Roman" w:hAnsi="Times New Roman" w:cs="Times New Roman"/>
          <w:noProof/>
          <w:sz w:val="24"/>
          <w:szCs w:val="24"/>
        </w:rPr>
        <w:t xml:space="preserve">, 639-657. </w:t>
      </w:r>
      <w:bookmarkEnd w:id="69"/>
    </w:p>
    <w:p w14:paraId="4797E62E"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70" w:name="_ENREF_71"/>
      <w:r w:rsidRPr="00CB692D">
        <w:rPr>
          <w:rFonts w:ascii="Times New Roman" w:hAnsi="Times New Roman" w:cs="Times New Roman"/>
          <w:noProof/>
          <w:sz w:val="24"/>
          <w:szCs w:val="24"/>
        </w:rPr>
        <w:t>Yoda K (1978) Organic carbon, nitrogen and mineral nutrient stock in the soils of Pasoh Forest. Malayan Nature Journal</w:t>
      </w:r>
      <w:r w:rsidRPr="00CB692D">
        <w:rPr>
          <w:rFonts w:ascii="Times New Roman" w:hAnsi="Times New Roman" w:cs="Times New Roman"/>
          <w:i/>
          <w:noProof/>
          <w:sz w:val="24"/>
          <w:szCs w:val="24"/>
        </w:rPr>
        <w:t>,</w:t>
      </w:r>
      <w:r w:rsidRPr="00CB692D">
        <w:rPr>
          <w:rFonts w:ascii="Times New Roman" w:hAnsi="Times New Roman" w:cs="Times New Roman"/>
          <w:noProof/>
          <w:sz w:val="24"/>
          <w:szCs w:val="24"/>
        </w:rPr>
        <w:t xml:space="preserve"> </w:t>
      </w:r>
      <w:r w:rsidRPr="00CB692D">
        <w:rPr>
          <w:rFonts w:ascii="Times New Roman" w:hAnsi="Times New Roman" w:cs="Times New Roman"/>
          <w:b/>
          <w:noProof/>
          <w:sz w:val="24"/>
          <w:szCs w:val="24"/>
        </w:rPr>
        <w:t>30</w:t>
      </w:r>
      <w:r w:rsidRPr="00CB692D">
        <w:rPr>
          <w:rFonts w:ascii="Times New Roman" w:hAnsi="Times New Roman" w:cs="Times New Roman"/>
          <w:noProof/>
          <w:sz w:val="24"/>
          <w:szCs w:val="24"/>
        </w:rPr>
        <w:t xml:space="preserve">, 229-251. </w:t>
      </w:r>
      <w:bookmarkEnd w:id="70"/>
    </w:p>
    <w:p w14:paraId="296656F7" w14:textId="77777777" w:rsidR="00914113" w:rsidRPr="00CB692D" w:rsidRDefault="00914113" w:rsidP="00CB15A7">
      <w:pPr>
        <w:spacing w:after="0" w:line="480" w:lineRule="auto"/>
        <w:ind w:left="720" w:hanging="720"/>
        <w:rPr>
          <w:rFonts w:ascii="Times New Roman" w:hAnsi="Times New Roman" w:cs="Times New Roman"/>
          <w:noProof/>
          <w:sz w:val="24"/>
          <w:szCs w:val="24"/>
        </w:rPr>
      </w:pPr>
      <w:bookmarkStart w:id="71" w:name="_ENREF_72"/>
      <w:r w:rsidRPr="00CB692D">
        <w:rPr>
          <w:rFonts w:ascii="Times New Roman" w:hAnsi="Times New Roman" w:cs="Times New Roman"/>
          <w:noProof/>
          <w:sz w:val="24"/>
          <w:szCs w:val="24"/>
        </w:rPr>
        <w:lastRenderedPageBreak/>
        <w:t>Zanne AE, Lopez-Gonzalez G, Coomes DA</w:t>
      </w:r>
      <w:r w:rsidRPr="00CB692D">
        <w:rPr>
          <w:rFonts w:ascii="Times New Roman" w:hAnsi="Times New Roman" w:cs="Times New Roman"/>
          <w:i/>
          <w:noProof/>
          <w:sz w:val="24"/>
          <w:szCs w:val="24"/>
        </w:rPr>
        <w:t xml:space="preserve"> et al.</w:t>
      </w:r>
      <w:r w:rsidRPr="00CB692D">
        <w:rPr>
          <w:rFonts w:ascii="Times New Roman" w:hAnsi="Times New Roman" w:cs="Times New Roman"/>
          <w:noProof/>
          <w:sz w:val="24"/>
          <w:szCs w:val="24"/>
        </w:rPr>
        <w:t xml:space="preserve"> (2009) Data from: Towards a worldwide wood economics spectrum. Dryad Digital Repository. doi:10.5061/dryad.234</w:t>
      </w:r>
      <w:bookmarkEnd w:id="71"/>
    </w:p>
    <w:p w14:paraId="56231CEB" w14:textId="3ABAA801" w:rsidR="00914113" w:rsidRDefault="00914113" w:rsidP="00CB15A7">
      <w:pPr>
        <w:pStyle w:val="EndNoteBibliography"/>
        <w:spacing w:after="0" w:line="480" w:lineRule="auto"/>
        <w:ind w:left="720" w:hanging="720"/>
        <w:rPr>
          <w:rFonts w:ascii="Times New Roman" w:hAnsi="Times New Roman" w:cs="Times New Roman"/>
          <w:sz w:val="24"/>
          <w:szCs w:val="24"/>
        </w:rPr>
      </w:pPr>
      <w:bookmarkStart w:id="72" w:name="_ENREF_73"/>
      <w:r w:rsidRPr="00CB15A7">
        <w:rPr>
          <w:rFonts w:ascii="Times New Roman" w:hAnsi="Times New Roman" w:cs="Times New Roman"/>
          <w:sz w:val="24"/>
          <w:szCs w:val="24"/>
        </w:rPr>
        <w:t xml:space="preserve">Zuur AF, Ieno EN, Walker N, Saveliev AA, Smith GM (2009) </w:t>
      </w:r>
      <w:r w:rsidRPr="00CB15A7">
        <w:rPr>
          <w:rFonts w:ascii="Times New Roman" w:hAnsi="Times New Roman" w:cs="Times New Roman"/>
          <w:i/>
          <w:sz w:val="24"/>
          <w:szCs w:val="24"/>
        </w:rPr>
        <w:t>Mixed effects models and extensions in ecology with R</w:t>
      </w:r>
      <w:r w:rsidRPr="00CB15A7">
        <w:rPr>
          <w:rFonts w:ascii="Times New Roman" w:hAnsi="Times New Roman" w:cs="Times New Roman"/>
          <w:sz w:val="24"/>
          <w:szCs w:val="24"/>
        </w:rPr>
        <w:t>, Springer.</w:t>
      </w:r>
      <w:bookmarkEnd w:id="72"/>
      <w:r w:rsidR="00CB15A7">
        <w:rPr>
          <w:rFonts w:ascii="Times New Roman" w:hAnsi="Times New Roman" w:cs="Times New Roman"/>
          <w:sz w:val="24"/>
          <w:szCs w:val="24"/>
        </w:rPr>
        <w:t xml:space="preserve"> </w:t>
      </w:r>
    </w:p>
    <w:p w14:paraId="465963E6" w14:textId="77777777" w:rsidR="00D061BC" w:rsidRDefault="00D061BC"/>
    <w:sectPr w:rsidR="00D061BC" w:rsidSect="00BA4E1F">
      <w:footerReference w:type="default" r:id="rId1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D1564" w14:textId="77777777" w:rsidR="00A03D25" w:rsidRDefault="00A03D25">
      <w:pPr>
        <w:spacing w:after="0" w:line="240" w:lineRule="auto"/>
      </w:pPr>
      <w:r>
        <w:separator/>
      </w:r>
    </w:p>
  </w:endnote>
  <w:endnote w:type="continuationSeparator" w:id="0">
    <w:p w14:paraId="5516EC21" w14:textId="77777777" w:rsidR="00A03D25" w:rsidRDefault="00A03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390432"/>
      <w:docPartObj>
        <w:docPartGallery w:val="Page Numbers (Bottom of Page)"/>
        <w:docPartUnique/>
      </w:docPartObj>
    </w:sdtPr>
    <w:sdtEndPr>
      <w:rPr>
        <w:noProof/>
      </w:rPr>
    </w:sdtEndPr>
    <w:sdtContent>
      <w:p w14:paraId="7EF5834A" w14:textId="746007DF" w:rsidR="00FF0915" w:rsidRDefault="00FF0915">
        <w:pPr>
          <w:pStyle w:val="Footer"/>
          <w:jc w:val="right"/>
        </w:pPr>
        <w:r>
          <w:fldChar w:fldCharType="begin"/>
        </w:r>
        <w:r>
          <w:instrText xml:space="preserve"> PAGE   \* MERGEFORMAT </w:instrText>
        </w:r>
        <w:r>
          <w:fldChar w:fldCharType="separate"/>
        </w:r>
        <w:r w:rsidR="00470203">
          <w:rPr>
            <w:noProof/>
          </w:rPr>
          <w:t>46</w:t>
        </w:r>
        <w:r>
          <w:rPr>
            <w:noProof/>
          </w:rPr>
          <w:fldChar w:fldCharType="end"/>
        </w:r>
      </w:p>
    </w:sdtContent>
  </w:sdt>
  <w:p w14:paraId="2BBAB907" w14:textId="77777777" w:rsidR="00FF0915" w:rsidRDefault="00FF0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68A3F" w14:textId="77777777" w:rsidR="00A03D25" w:rsidRDefault="00A03D25">
      <w:pPr>
        <w:spacing w:after="0" w:line="240" w:lineRule="auto"/>
      </w:pPr>
      <w:r>
        <w:separator/>
      </w:r>
    </w:p>
  </w:footnote>
  <w:footnote w:type="continuationSeparator" w:id="0">
    <w:p w14:paraId="0C34BC90" w14:textId="77777777" w:rsidR="00A03D25" w:rsidRDefault="00A03D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4CC"/>
    <w:multiLevelType w:val="hybridMultilevel"/>
    <w:tmpl w:val="F86024BE"/>
    <w:lvl w:ilvl="0" w:tplc="2206A35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9126F1"/>
    <w:multiLevelType w:val="hybridMultilevel"/>
    <w:tmpl w:val="5C3A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14113"/>
    <w:rsid w:val="00007D70"/>
    <w:rsid w:val="00011736"/>
    <w:rsid w:val="000600A1"/>
    <w:rsid w:val="00070EFB"/>
    <w:rsid w:val="00077AFE"/>
    <w:rsid w:val="00087797"/>
    <w:rsid w:val="000B67DF"/>
    <w:rsid w:val="001054F2"/>
    <w:rsid w:val="0010735A"/>
    <w:rsid w:val="0015013E"/>
    <w:rsid w:val="00197EFD"/>
    <w:rsid w:val="001C40E9"/>
    <w:rsid w:val="002703F6"/>
    <w:rsid w:val="00270D92"/>
    <w:rsid w:val="002E0CDB"/>
    <w:rsid w:val="00302300"/>
    <w:rsid w:val="00302F2C"/>
    <w:rsid w:val="0032191E"/>
    <w:rsid w:val="00337111"/>
    <w:rsid w:val="0035638E"/>
    <w:rsid w:val="00356617"/>
    <w:rsid w:val="003B332C"/>
    <w:rsid w:val="004011AB"/>
    <w:rsid w:val="004032F9"/>
    <w:rsid w:val="00407261"/>
    <w:rsid w:val="004148F3"/>
    <w:rsid w:val="004218C9"/>
    <w:rsid w:val="004233D4"/>
    <w:rsid w:val="00470203"/>
    <w:rsid w:val="004736E6"/>
    <w:rsid w:val="0048021B"/>
    <w:rsid w:val="00486C2D"/>
    <w:rsid w:val="004B5BA7"/>
    <w:rsid w:val="004C740D"/>
    <w:rsid w:val="004D024F"/>
    <w:rsid w:val="004F51E2"/>
    <w:rsid w:val="004F613F"/>
    <w:rsid w:val="00513C7E"/>
    <w:rsid w:val="00544283"/>
    <w:rsid w:val="005578E2"/>
    <w:rsid w:val="00574D80"/>
    <w:rsid w:val="00590A3D"/>
    <w:rsid w:val="005941BA"/>
    <w:rsid w:val="005C107A"/>
    <w:rsid w:val="005E28BE"/>
    <w:rsid w:val="005F0332"/>
    <w:rsid w:val="005F3C6D"/>
    <w:rsid w:val="00614CB9"/>
    <w:rsid w:val="00636CF9"/>
    <w:rsid w:val="00651E29"/>
    <w:rsid w:val="006A6B12"/>
    <w:rsid w:val="006B37D4"/>
    <w:rsid w:val="006B7F07"/>
    <w:rsid w:val="00780B44"/>
    <w:rsid w:val="00796829"/>
    <w:rsid w:val="007D4E31"/>
    <w:rsid w:val="007F23E6"/>
    <w:rsid w:val="007F5254"/>
    <w:rsid w:val="008007ED"/>
    <w:rsid w:val="00805BAE"/>
    <w:rsid w:val="00842772"/>
    <w:rsid w:val="008450D3"/>
    <w:rsid w:val="0085153C"/>
    <w:rsid w:val="0085533B"/>
    <w:rsid w:val="00891FD5"/>
    <w:rsid w:val="008B2F54"/>
    <w:rsid w:val="008C5496"/>
    <w:rsid w:val="008D304A"/>
    <w:rsid w:val="008F1A18"/>
    <w:rsid w:val="00900148"/>
    <w:rsid w:val="00914113"/>
    <w:rsid w:val="00922E20"/>
    <w:rsid w:val="009313E0"/>
    <w:rsid w:val="009316CF"/>
    <w:rsid w:val="009706D0"/>
    <w:rsid w:val="009C7F69"/>
    <w:rsid w:val="009D4481"/>
    <w:rsid w:val="009F1B2B"/>
    <w:rsid w:val="009F21E1"/>
    <w:rsid w:val="00A03D25"/>
    <w:rsid w:val="00A174E5"/>
    <w:rsid w:val="00A36DAB"/>
    <w:rsid w:val="00AD4BCE"/>
    <w:rsid w:val="00AF46B6"/>
    <w:rsid w:val="00B22683"/>
    <w:rsid w:val="00B26003"/>
    <w:rsid w:val="00B3437D"/>
    <w:rsid w:val="00B972F2"/>
    <w:rsid w:val="00BA4E1F"/>
    <w:rsid w:val="00BA5C3D"/>
    <w:rsid w:val="00BE44CF"/>
    <w:rsid w:val="00C13975"/>
    <w:rsid w:val="00C33136"/>
    <w:rsid w:val="00C52EFF"/>
    <w:rsid w:val="00C531EF"/>
    <w:rsid w:val="00C82346"/>
    <w:rsid w:val="00C95E92"/>
    <w:rsid w:val="00CB15A7"/>
    <w:rsid w:val="00CC7A3A"/>
    <w:rsid w:val="00CD3A6F"/>
    <w:rsid w:val="00CD4BAD"/>
    <w:rsid w:val="00CE1C61"/>
    <w:rsid w:val="00CE719E"/>
    <w:rsid w:val="00CE7B31"/>
    <w:rsid w:val="00D01BAD"/>
    <w:rsid w:val="00D061BC"/>
    <w:rsid w:val="00E265C6"/>
    <w:rsid w:val="00E81430"/>
    <w:rsid w:val="00E84595"/>
    <w:rsid w:val="00EB18E7"/>
    <w:rsid w:val="00EE49A0"/>
    <w:rsid w:val="00EF1F14"/>
    <w:rsid w:val="00F142D3"/>
    <w:rsid w:val="00FB05C9"/>
    <w:rsid w:val="00FB5F60"/>
    <w:rsid w:val="00FD25D3"/>
    <w:rsid w:val="00FE62AF"/>
    <w:rsid w:val="00FF09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E6CB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113"/>
    <w:pPr>
      <w:spacing w:after="200" w:line="276" w:lineRule="auto"/>
    </w:pPr>
    <w:rPr>
      <w:rFonts w:eastAsia="PMingLi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113"/>
    <w:rPr>
      <w:color w:val="0563C1" w:themeColor="hyperlink"/>
      <w:u w:val="single"/>
    </w:rPr>
  </w:style>
  <w:style w:type="table" w:styleId="TableGrid">
    <w:name w:val="Table Grid"/>
    <w:basedOn w:val="TableNormal"/>
    <w:uiPriority w:val="59"/>
    <w:rsid w:val="00914113"/>
    <w:pPr>
      <w:spacing w:after="0" w:line="240" w:lineRule="auto"/>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1411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14113"/>
    <w:rPr>
      <w:rFonts w:ascii="Calibri" w:eastAsia="PMingLiU" w:hAnsi="Calibri" w:cs="Calibri"/>
      <w:noProof/>
      <w:lang w:val="en-US"/>
    </w:rPr>
  </w:style>
  <w:style w:type="paragraph" w:customStyle="1" w:styleId="EndNoteBibliography">
    <w:name w:val="EndNote Bibliography"/>
    <w:basedOn w:val="Normal"/>
    <w:link w:val="EndNoteBibliographyChar"/>
    <w:rsid w:val="0091411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14113"/>
    <w:rPr>
      <w:rFonts w:ascii="Calibri" w:eastAsia="PMingLiU" w:hAnsi="Calibri" w:cs="Calibri"/>
      <w:noProof/>
      <w:lang w:val="en-US"/>
    </w:rPr>
  </w:style>
  <w:style w:type="paragraph" w:styleId="BalloonText">
    <w:name w:val="Balloon Text"/>
    <w:basedOn w:val="Normal"/>
    <w:link w:val="BalloonTextChar"/>
    <w:uiPriority w:val="99"/>
    <w:semiHidden/>
    <w:unhideWhenUsed/>
    <w:rsid w:val="009141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113"/>
    <w:rPr>
      <w:rFonts w:ascii="Tahoma" w:eastAsia="PMingLiU" w:hAnsi="Tahoma" w:cs="Tahoma"/>
      <w:sz w:val="16"/>
      <w:szCs w:val="16"/>
    </w:rPr>
  </w:style>
  <w:style w:type="paragraph" w:styleId="ListParagraph">
    <w:name w:val="List Paragraph"/>
    <w:basedOn w:val="Normal"/>
    <w:uiPriority w:val="34"/>
    <w:qFormat/>
    <w:rsid w:val="00914113"/>
    <w:pPr>
      <w:ind w:left="720"/>
      <w:contextualSpacing/>
    </w:pPr>
  </w:style>
  <w:style w:type="character" w:styleId="CommentReference">
    <w:name w:val="annotation reference"/>
    <w:basedOn w:val="DefaultParagraphFont"/>
    <w:uiPriority w:val="99"/>
    <w:semiHidden/>
    <w:unhideWhenUsed/>
    <w:rsid w:val="00914113"/>
    <w:rPr>
      <w:sz w:val="16"/>
      <w:szCs w:val="16"/>
    </w:rPr>
  </w:style>
  <w:style w:type="paragraph" w:styleId="CommentText">
    <w:name w:val="annotation text"/>
    <w:basedOn w:val="Normal"/>
    <w:link w:val="CommentTextChar"/>
    <w:uiPriority w:val="99"/>
    <w:semiHidden/>
    <w:unhideWhenUsed/>
    <w:rsid w:val="00914113"/>
    <w:pPr>
      <w:spacing w:line="240" w:lineRule="auto"/>
    </w:pPr>
    <w:rPr>
      <w:sz w:val="20"/>
      <w:szCs w:val="20"/>
    </w:rPr>
  </w:style>
  <w:style w:type="character" w:customStyle="1" w:styleId="CommentTextChar">
    <w:name w:val="Comment Text Char"/>
    <w:basedOn w:val="DefaultParagraphFont"/>
    <w:link w:val="CommentText"/>
    <w:uiPriority w:val="99"/>
    <w:semiHidden/>
    <w:rsid w:val="00914113"/>
    <w:rPr>
      <w:rFonts w:eastAsia="PMingLiU"/>
      <w:sz w:val="20"/>
      <w:szCs w:val="20"/>
    </w:rPr>
  </w:style>
  <w:style w:type="paragraph" w:styleId="CommentSubject">
    <w:name w:val="annotation subject"/>
    <w:basedOn w:val="CommentText"/>
    <w:next w:val="CommentText"/>
    <w:link w:val="CommentSubjectChar"/>
    <w:uiPriority w:val="99"/>
    <w:semiHidden/>
    <w:unhideWhenUsed/>
    <w:rsid w:val="00914113"/>
    <w:rPr>
      <w:b/>
      <w:bCs/>
    </w:rPr>
  </w:style>
  <w:style w:type="character" w:customStyle="1" w:styleId="CommentSubjectChar">
    <w:name w:val="Comment Subject Char"/>
    <w:basedOn w:val="CommentTextChar"/>
    <w:link w:val="CommentSubject"/>
    <w:uiPriority w:val="99"/>
    <w:semiHidden/>
    <w:rsid w:val="00914113"/>
    <w:rPr>
      <w:rFonts w:eastAsia="PMingLiU"/>
      <w:b/>
      <w:bCs/>
      <w:sz w:val="20"/>
      <w:szCs w:val="20"/>
    </w:rPr>
  </w:style>
  <w:style w:type="paragraph" w:styleId="Header">
    <w:name w:val="header"/>
    <w:basedOn w:val="Normal"/>
    <w:link w:val="HeaderChar"/>
    <w:uiPriority w:val="99"/>
    <w:unhideWhenUsed/>
    <w:rsid w:val="00914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113"/>
    <w:rPr>
      <w:rFonts w:eastAsia="PMingLiU"/>
    </w:rPr>
  </w:style>
  <w:style w:type="paragraph" w:styleId="Footer">
    <w:name w:val="footer"/>
    <w:basedOn w:val="Normal"/>
    <w:link w:val="FooterChar"/>
    <w:uiPriority w:val="99"/>
    <w:unhideWhenUsed/>
    <w:rsid w:val="00914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113"/>
    <w:rPr>
      <w:rFonts w:eastAsia="PMingLiU"/>
    </w:rPr>
  </w:style>
  <w:style w:type="character" w:styleId="LineNumber">
    <w:name w:val="line number"/>
    <w:basedOn w:val="DefaultParagraphFont"/>
    <w:uiPriority w:val="99"/>
    <w:semiHidden/>
    <w:unhideWhenUsed/>
    <w:rsid w:val="00914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hi.riutta@ouce.ox.ac.uk"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72EF8-760A-4230-9A5E-DA6AF270F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10648</Words>
  <Characters>60694</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Riutta, Terhi E</dc:creator>
  <cp:lastModifiedBy>Ewers, Robert M</cp:lastModifiedBy>
  <cp:revision>3</cp:revision>
  <dcterms:created xsi:type="dcterms:W3CDTF">2018-07-11T08:55:00Z</dcterms:created>
  <dcterms:modified xsi:type="dcterms:W3CDTF">2018-07-11T08:58:00Z</dcterms:modified>
</cp:coreProperties>
</file>