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0F2E" w:rsidRPr="00ED0F2E" w:rsidRDefault="00114A57" w:rsidP="00ED0F2E">
      <w:pPr>
        <w:pStyle w:val="NormalWeb"/>
        <w:jc w:val="center"/>
        <w:rPr>
          <w:rFonts w:ascii="Calibri" w:hAnsi="Calibri" w:cs="Calibri"/>
          <w:b/>
          <w:sz w:val="32"/>
          <w:szCs w:val="34"/>
        </w:rPr>
      </w:pPr>
      <w:r>
        <w:rPr>
          <w:rFonts w:ascii="Calibri" w:hAnsi="Calibri" w:cs="Calibri"/>
          <w:b/>
          <w:sz w:val="32"/>
          <w:szCs w:val="34"/>
        </w:rPr>
        <w:t>Nuclear Safety Issues for Fusion Power Plants</w:t>
      </w:r>
    </w:p>
    <w:p w:rsidR="00ED0F2E" w:rsidRPr="00ED0F2E" w:rsidRDefault="00ED0F2E" w:rsidP="00ED0F2E">
      <w:pPr>
        <w:pStyle w:val="NormalWeb"/>
        <w:jc w:val="center"/>
        <w:rPr>
          <w:rFonts w:ascii="Calibri" w:hAnsi="Calibri" w:cs="Calibri"/>
          <w:b/>
          <w:sz w:val="32"/>
          <w:szCs w:val="34"/>
        </w:rPr>
      </w:pPr>
    </w:p>
    <w:p w:rsidR="00ED0F2E" w:rsidRPr="00ED0F2E" w:rsidRDefault="00ED0F2E" w:rsidP="00ED0F2E">
      <w:pPr>
        <w:pStyle w:val="NormalWeb"/>
        <w:jc w:val="center"/>
        <w:rPr>
          <w:rFonts w:ascii="Calibri" w:hAnsi="Calibri" w:cs="Calibri"/>
          <w:szCs w:val="34"/>
        </w:rPr>
      </w:pPr>
      <w:r w:rsidRPr="00ED0F2E">
        <w:rPr>
          <w:rFonts w:ascii="Calibri" w:hAnsi="Calibri" w:cs="Calibri"/>
          <w:szCs w:val="34"/>
        </w:rPr>
        <w:t>2019</w:t>
      </w:r>
    </w:p>
    <w:p w:rsidR="00ED0F2E" w:rsidRDefault="00114A57" w:rsidP="00ED0F2E">
      <w:pPr>
        <w:pStyle w:val="NormalWeb"/>
        <w:jc w:val="center"/>
        <w:rPr>
          <w:rFonts w:ascii="Calibri" w:hAnsi="Calibri" w:cs="Calibri"/>
          <w:szCs w:val="34"/>
        </w:rPr>
      </w:pPr>
      <w:r>
        <w:rPr>
          <w:rFonts w:ascii="Calibri" w:hAnsi="Calibri" w:cs="Calibri"/>
          <w:szCs w:val="34"/>
        </w:rPr>
        <w:t>April</w:t>
      </w:r>
    </w:p>
    <w:p w:rsidR="007914FA" w:rsidRPr="00904A4E" w:rsidRDefault="00FD4C0F" w:rsidP="00ED0F2E">
      <w:pPr>
        <w:pStyle w:val="NormalWeb"/>
        <w:rPr>
          <w:rFonts w:ascii="Calibri" w:hAnsi="Calibri" w:cs="Calibri"/>
          <w:szCs w:val="34"/>
        </w:rPr>
      </w:pPr>
      <w:r w:rsidRPr="00FD4C0F">
        <w:rPr>
          <w:rFonts w:ascii="Calibri" w:hAnsi="Calibri" w:cs="Calibri"/>
          <w:b/>
          <w:bCs/>
          <w:szCs w:val="34"/>
        </w:rPr>
        <w:t>Authors:</w:t>
      </w:r>
      <w:r>
        <w:rPr>
          <w:rFonts w:ascii="Calibri" w:hAnsi="Calibri" w:cs="Calibri"/>
          <w:szCs w:val="34"/>
        </w:rPr>
        <w:t xml:space="preserve"> M. Lukacs (Imperial College London), L. G. Williams (Imperial College London)</w:t>
      </w:r>
    </w:p>
    <w:p w:rsidR="00394E7C" w:rsidRPr="00394E7C" w:rsidRDefault="00394E7C" w:rsidP="00ED0F2E">
      <w:pPr>
        <w:pStyle w:val="NormalWeb"/>
        <w:rPr>
          <w:rFonts w:ascii="Calibri" w:hAnsi="Calibri" w:cs="Calibri"/>
          <w:b/>
          <w:sz w:val="28"/>
          <w:szCs w:val="34"/>
        </w:rPr>
      </w:pPr>
      <w:r w:rsidRPr="00394E7C">
        <w:rPr>
          <w:rFonts w:ascii="Calibri" w:hAnsi="Calibri" w:cs="Calibri"/>
          <w:b/>
          <w:sz w:val="28"/>
          <w:szCs w:val="34"/>
        </w:rPr>
        <w:t>Abstract</w:t>
      </w:r>
    </w:p>
    <w:p w:rsidR="00443BBC" w:rsidRPr="00ED0F2E" w:rsidRDefault="00ED0F2E" w:rsidP="00ED0F2E">
      <w:pPr>
        <w:pStyle w:val="NormalWeb"/>
        <w:rPr>
          <w:rFonts w:ascii="Calibri" w:hAnsi="Calibri" w:cs="Calibri"/>
        </w:rPr>
      </w:pPr>
      <w:r w:rsidRPr="00ED0F2E">
        <w:rPr>
          <w:rFonts w:ascii="Calibri" w:hAnsi="Calibri" w:cs="Calibri"/>
        </w:rPr>
        <w:t xml:space="preserve">Developing a robust safety case is a key step in the development of a fusion power reactor for electricity generation. Plans for fusion power reactors are already underway and before nuclear facilities are licensed, they must demonstrate they satisfy several safety objectives involving keeping workers and the public safe and limiting any environmental impact. In this paper the key </w:t>
      </w:r>
      <w:r w:rsidR="00796457">
        <w:rPr>
          <w:rFonts w:ascii="Calibri" w:hAnsi="Calibri" w:cs="Calibri"/>
        </w:rPr>
        <w:t>safety issues relating to fusion power are explored, including the current approach to fusion safety and methods of accident identification. The paper draws on major studies on the safety of fusion power plant concepts and the current work being undertaken for the ITER project. As well as discussing the key safety issues and potential accident scenarios, the paper identifies gaps in current knowledge together with areas for future work</w:t>
      </w:r>
      <w:r w:rsidR="00B951EE">
        <w:rPr>
          <w:rFonts w:ascii="Calibri" w:hAnsi="Calibri" w:cs="Calibri"/>
        </w:rPr>
        <w:t>, including the establishment of internationally recognise</w:t>
      </w:r>
      <w:r w:rsidR="0008379B">
        <w:rPr>
          <w:rFonts w:ascii="Calibri" w:hAnsi="Calibri" w:cs="Calibri"/>
        </w:rPr>
        <w:t>d</w:t>
      </w:r>
      <w:r w:rsidR="00B951EE">
        <w:rPr>
          <w:rFonts w:ascii="Calibri" w:hAnsi="Calibri" w:cs="Calibri"/>
        </w:rPr>
        <w:t xml:space="preserve"> safety standards for fusion power stations.</w:t>
      </w:r>
    </w:p>
    <w:p w:rsidR="00ED0F2E" w:rsidRPr="00ED0F2E" w:rsidRDefault="00ED0F2E" w:rsidP="00ED0F2E">
      <w:pPr>
        <w:pStyle w:val="NormalWeb"/>
        <w:rPr>
          <w:rFonts w:ascii="Calibri" w:hAnsi="Calibri" w:cs="Calibri"/>
        </w:rPr>
      </w:pPr>
    </w:p>
    <w:p w:rsidR="00995209" w:rsidRPr="00ED0F2E" w:rsidRDefault="00ED0F2E" w:rsidP="00ED0F2E">
      <w:pPr>
        <w:rPr>
          <w:rFonts w:ascii="Calibri" w:hAnsi="Calibri" w:cs="Calibri"/>
          <w:b/>
          <w:sz w:val="28"/>
        </w:rPr>
      </w:pPr>
      <w:r w:rsidRPr="00ED0F2E">
        <w:rPr>
          <w:rFonts w:ascii="Calibri" w:hAnsi="Calibri" w:cs="Calibri"/>
          <w:b/>
          <w:sz w:val="28"/>
        </w:rPr>
        <w:t>1 Introduction</w:t>
      </w:r>
    </w:p>
    <w:p w:rsidR="00ED0F2E" w:rsidRPr="00ED0F2E" w:rsidRDefault="00ED0F2E" w:rsidP="00ED0F2E">
      <w:pPr>
        <w:rPr>
          <w:rFonts w:ascii="Calibri" w:hAnsi="Calibri" w:cs="Calibri"/>
          <w:b/>
          <w:sz w:val="28"/>
        </w:rPr>
      </w:pPr>
    </w:p>
    <w:p w:rsidR="00ED0F2E" w:rsidRDefault="00ED0F2E" w:rsidP="00ED0F2E">
      <w:pPr>
        <w:pStyle w:val="NormalWeb"/>
        <w:rPr>
          <w:rFonts w:ascii="Calibri" w:hAnsi="Calibri" w:cs="Calibri"/>
        </w:rPr>
      </w:pPr>
      <w:r w:rsidRPr="00643B47">
        <w:rPr>
          <w:rFonts w:ascii="Calibri" w:hAnsi="Calibri" w:cs="Calibri"/>
        </w:rPr>
        <w:t xml:space="preserve">Fusion power plant concepts have been under development since the 1950s; however, </w:t>
      </w:r>
      <w:r w:rsidR="00086977">
        <w:rPr>
          <w:rFonts w:ascii="Calibri" w:hAnsi="Calibri" w:cs="Calibri"/>
        </w:rPr>
        <w:t xml:space="preserve">until recent events in the US </w:t>
      </w:r>
      <w:r w:rsidR="00086977">
        <w:rPr>
          <w:rFonts w:ascii="Calibri" w:hAnsi="Calibri" w:cs="Calibri"/>
        </w:rPr>
        <w:fldChar w:fldCharType="begin" w:fldLock="1"/>
      </w:r>
      <w:r w:rsidR="00EF6643">
        <w:rPr>
          <w:rFonts w:ascii="Calibri" w:hAnsi="Calibri" w:cs="Calibri"/>
        </w:rPr>
        <w:instrText>ADDIN CSL_CITATION {"citationItems":[{"id":"ITEM-1","itemData":{"author":[{"dropping-particle":"","family":"US Senate and House Representatives","given":"","non-dropping-particle":"","parse-names":false,"suffix":""}],"container-title":"One Hundred Fifteenth Congress of the United States of America","id":"ITEM-1","issued":{"date-parts":[["2019"]]},"title":"Nuclear Energy Innovation and Modernization Act","type":"legislation"},"uris":["http://www.mendeley.com/documents/?uuid=70c95df1-2717-40c1-9db5-90b8eb55c466"]}],"mendeley":{"formattedCitation":"[1]","plainTextFormattedCitation":"[1]","previouslyFormattedCitation":"[1]"},"properties":{"noteIndex":0},"schema":"https://github.com/citation-style-language/schema/raw/master/csl-citation.json"}</w:instrText>
      </w:r>
      <w:r w:rsidR="00086977">
        <w:rPr>
          <w:rFonts w:ascii="Calibri" w:hAnsi="Calibri" w:cs="Calibri"/>
        </w:rPr>
        <w:fldChar w:fldCharType="separate"/>
      </w:r>
      <w:r w:rsidR="00EF6643" w:rsidRPr="00EF6643">
        <w:rPr>
          <w:rFonts w:ascii="Calibri" w:hAnsi="Calibri" w:cs="Calibri"/>
          <w:noProof/>
        </w:rPr>
        <w:t>[1]</w:t>
      </w:r>
      <w:r w:rsidR="00086977">
        <w:rPr>
          <w:rFonts w:ascii="Calibri" w:hAnsi="Calibri" w:cs="Calibri"/>
        </w:rPr>
        <w:fldChar w:fldCharType="end"/>
      </w:r>
      <w:r w:rsidR="00086977">
        <w:rPr>
          <w:rFonts w:ascii="Calibri" w:hAnsi="Calibri" w:cs="Calibri"/>
        </w:rPr>
        <w:t xml:space="preserve"> there has been no national or international regulatory framework for fusion power plants. </w:t>
      </w:r>
      <w:r w:rsidRPr="00643B47">
        <w:rPr>
          <w:rFonts w:ascii="Calibri" w:hAnsi="Calibri" w:cs="Calibri"/>
        </w:rPr>
        <w:t xml:space="preserve">In spite of this, various safety concepts have been developed, concurrent with plant design, that have allowed multiple approaches to be considered to determine the most promising route. </w:t>
      </w:r>
    </w:p>
    <w:p w:rsidR="00F94EA7" w:rsidRDefault="00F94EA7" w:rsidP="00ED0F2E">
      <w:pPr>
        <w:pStyle w:val="NormalWeb"/>
        <w:rPr>
          <w:rFonts w:ascii="Calibri" w:hAnsi="Calibri" w:cs="Calibri"/>
        </w:rPr>
      </w:pPr>
      <w:r>
        <w:rPr>
          <w:rFonts w:ascii="Calibri" w:hAnsi="Calibri" w:cs="Calibri"/>
        </w:rPr>
        <w:t xml:space="preserve">The aim of this paper is to provide an analysis of some of the key approaches that are likely to be part of a safety case for a fusion reactor for electricity generation. Key safety gaps are highlighted together with analysis of the applicability of the current safety objectives defined (see </w:t>
      </w:r>
      <w:r w:rsidR="00742806">
        <w:rPr>
          <w:rFonts w:ascii="Calibri" w:hAnsi="Calibri" w:cs="Calibri"/>
        </w:rPr>
        <w:t>section 3</w:t>
      </w:r>
      <w:r>
        <w:rPr>
          <w:rFonts w:ascii="Calibri" w:hAnsi="Calibri" w:cs="Calibri"/>
        </w:rPr>
        <w:t xml:space="preserve">). </w:t>
      </w:r>
      <w:r w:rsidR="00C1774B">
        <w:rPr>
          <w:rFonts w:ascii="Calibri" w:hAnsi="Calibri" w:cs="Calibri"/>
        </w:rPr>
        <w:t>Where the current objectives are questionable, recommendations are given on how best to resolve the issues. A literature review was performed to establish the current progress on fusion safety and the critical areas that need to be focussed on.</w:t>
      </w:r>
    </w:p>
    <w:p w:rsidR="00F94EA7" w:rsidRDefault="002B3A7C" w:rsidP="00ED0F2E">
      <w:pPr>
        <w:pStyle w:val="NormalWeb"/>
        <w:rPr>
          <w:rFonts w:ascii="Calibri" w:hAnsi="Calibri" w:cs="Calibri"/>
        </w:rPr>
      </w:pPr>
      <w:r>
        <w:rPr>
          <w:rFonts w:ascii="Calibri" w:hAnsi="Calibri" w:cs="Calibri"/>
        </w:rPr>
        <w:t xml:space="preserve">Various European studies were reviewed, including the Safety and Environmental Assessment of Fusion Power (SEAFP) </w:t>
      </w:r>
      <w:r>
        <w:rPr>
          <w:rFonts w:ascii="Calibri" w:hAnsi="Calibri" w:cs="Calibri"/>
        </w:rPr>
        <w:fldChar w:fldCharType="begin" w:fldLock="1"/>
      </w:r>
      <w:r w:rsidR="003342C2">
        <w:rPr>
          <w:rFonts w:ascii="Calibri" w:hAnsi="Calibri" w:cs="Calibri"/>
        </w:rPr>
        <w:instrText>ADDIN CSL_CITATION {"citationItems":[{"id":"ITEM-1","itemData":{"ISSN":"0269-9702","author":[{"dropping-particle":"","family":"Raeder","given":"J.","non-dropping-particle":"","parse-names":false,"suffix":""},{"dropping-particle":"","family":"Cook","given":"I","non-dropping-particle":"","parse-names":false,"suffix":""},{"dropping-particle":"","family":"Morgensten","given":"F.H","non-dropping-particle":"","parse-names":false,"suffix":""},{"dropping-particle":"","family":"Salpietro","given":"E","non-dropping-particle":"","parse-names":false,"suffix":""},{"dropping-particle":"","family":"Bunde","given":"R","non-dropping-particle":"","parse-names":false,"suffix":""},{"dropping-particle":"","family":"Ebert","given":"E","non-dropping-particle":"","parse-names":false,"suffix":""}],"id":"ITEM-1","issue":"June","issued":{"date-parts":[["1995"]]},"publisher-place":"Brussels","title":"Safety and Environmental Assessment of Fusion Power (SEAFP) Report of the SEAFP Project","type":"report"},"uris":["http://www.mendeley.com/documents/?uuid=c3d71ddb-1d0e-482f-b0d2-aee19363b400"]},{"id":"ITEM-2","itemData":{"DOI":"10.1016/S0920-3796(00)00291-X","ISSN":"09203796","abstract":"The Safety and Environmental Assessment of Fusion Power (SEAFP) programme undertaken in the period 1992-1995 formed part of the ongoing effort in the European Fusion Programme to consider the safety and environmental aspects of fusion power. The assessment started with the development of a tokamak fusion power plant model of 3000 MW of fusion power. The analyses of safety included detailed consideration of effluents from normal operation, occupational doses, accidents (concentrating on the worst possible), and waste management. SEAFP was also the starting point for the Safety and Environmental Assessment of Fusion Power - Long Term Programme (SEAL) initiated within the European Fusion Programme in 1995. SEAL aims at broadening the scope and elaborating selected aspects in more detail. SEAFP and SEAL confirmed the favourable safety and environmental characteristics of fusion power. They also confirmed the need to support these characteristics by dedicated materials development and safety-related design decisions. Recently, a new study on fusion safety (SEAFP-2) has been launched, defined for the time period 1997-1998, using SEAFP and SEAL findings as starting points.","author":[{"dropping-particle":"","family":"Gulden","given":"W.","non-dropping-particle":"","parse-names":false,"suffix":""},{"dropping-particle":"","family":"Raeder","given":"J.","non-dropping-particle":"","parse-names":false,"suffix":""},{"dropping-particle":"","family":"Cook","given":"I.","non-dropping-particle":"","parse-names":false,"suffix":""}],"container-title":"Fusion Engineering and Design","id":"ITEM-2","issued":{"date-parts":[["2000"]]},"page":"429-434","title":"SEAFP and SEAL: Safety and environmental aspects","type":"article-journal","volume":"51-52"},"uris":["http://www.mendeley.com/documents/?uuid=be89b5f7-263a-4c27-a2d2-c271fe4b4b48"]},{"id":"ITEM-3","itemData":{"ISBN":"1235463435","author":[{"dropping-particle":"","family":"Cook","given":"I","non-dropping-particle":"","parse-names":false,"suffix":""},{"dropping-particle":"","family":"Marbach","given":"G","non-dropping-particle":"","parse-names":false,"suffix":""},{"dropping-particle":"Di","family":"Pace","given":"L","non-dropping-particle":"","parse-names":false,"suffix":""},{"dropping-particle":"","family":"Girard","given":"C","non-dropping-particle":"","parse-names":false,"suffix":""},{"dropping-particle":"","family":"Rocco","given":"P","non-dropping-particle":"","parse-names":false,"suffix":""},{"dropping-particle":"","family":"Taylor","given":"N P","non-dropping-particle":"","parse-names":false,"suffix":""}],"container-title":"Fusion Engineering and Design","id":"ITEM-3","issued":{"date-parts":[["2000"]]},"page":"409-417","title":"Results, conclusions ,and implications of the SEAFP-2 programme","type":"article-journal","volume":"52"},"uris":["http://www.mendeley.com/documents/?uuid=88ec883c-439d-4821-b467-c6a9e2ba002d"]}],"mendeley":{"formattedCitation":"[2]–[4]","plainTextFormattedCitation":"[2]–[4]","previouslyFormattedCitation":"[2]–[4]"},"properties":{"noteIndex":0},"schema":"https://github.com/citation-style-language/schema/raw/master/csl-citation.json"}</w:instrText>
      </w:r>
      <w:r>
        <w:rPr>
          <w:rFonts w:ascii="Calibri" w:hAnsi="Calibri" w:cs="Calibri"/>
        </w:rPr>
        <w:fldChar w:fldCharType="separate"/>
      </w:r>
      <w:r w:rsidR="006D5F05" w:rsidRPr="006D5F05">
        <w:rPr>
          <w:rFonts w:ascii="Calibri" w:hAnsi="Calibri" w:cs="Calibri"/>
          <w:noProof/>
        </w:rPr>
        <w:t>[2]–[4]</w:t>
      </w:r>
      <w:r>
        <w:rPr>
          <w:rFonts w:ascii="Calibri" w:hAnsi="Calibri" w:cs="Calibri"/>
        </w:rPr>
        <w:fldChar w:fldCharType="end"/>
      </w:r>
      <w:r>
        <w:rPr>
          <w:rFonts w:ascii="Calibri" w:hAnsi="Calibri" w:cs="Calibri"/>
        </w:rPr>
        <w:t xml:space="preserve"> and the Safety and Environmental Assessment of Fusion Power – Long Term Programme (SEAL) </w:t>
      </w:r>
      <w:r>
        <w:rPr>
          <w:rFonts w:ascii="Calibri" w:hAnsi="Calibri" w:cs="Calibri"/>
        </w:rPr>
        <w:fldChar w:fldCharType="begin" w:fldLock="1"/>
      </w:r>
      <w:r w:rsidR="003342C2">
        <w:rPr>
          <w:rFonts w:ascii="Calibri" w:hAnsi="Calibri" w:cs="Calibri"/>
        </w:rPr>
        <w:instrText>ADDIN CSL_CITATION {"citationItems":[{"id":"ITEM-1","itemData":{"DOI":"10.1016/S0920-3796(00)00291-X","ISSN":"09203796","abstract":"The Safety and Environmental Assessment of Fusion Power (SEAFP) programme undertaken in the period 1992-1995 formed part of the ongoing effort in the European Fusion Programme to consider the safety and environmental aspects of fusion power. The assessment started with the development of a tokamak fusion power plant model of 3000 MW of fusion power. The analyses of safety included detailed consideration of effluents from normal operation, occupational doses, accidents (concentrating on the worst possible), and waste management. SEAFP was also the starting point for the Safety and Environmental Assessment of Fusion Power - Long Term Programme (SEAL) initiated within the European Fusion Programme in 1995. SEAL aims at broadening the scope and elaborating selected aspects in more detail. SEAFP and SEAL confirmed the favourable safety and environmental characteristics of fusion power. They also confirmed the need to support these characteristics by dedicated materials development and safety-related design decisions. Recently, a new study on fusion safety (SEAFP-2) has been launched, defined for the time period 1997-1998, using SEAFP and SEAL findings as starting points.","author":[{"dropping-particle":"","family":"Gulden","given":"W.","non-dropping-particle":"","parse-names":false,"suffix":""},{"dropping-particle":"","family":"Raeder","given":"J.","non-dropping-particle":"","parse-names":false,"suffix":""},{"dropping-particle":"","family":"Cook","given":"I.","non-dropping-particle":"","parse-names":false,"suffix":""}],"container-title":"Fusion Engineering and Design","id":"ITEM-1","issued":{"date-parts":[["2000"]]},"page":"429-434","title":"SEAFP and SEAL: Safety and environmental aspects","type":"article-journal","volume":"51-52"},"uris":["http://www.mendeley.com/documents/?uuid=be89b5f7-263a-4c27-a2d2-c271fe4b4b48"]},{"id":"ITEM-2","itemData":{"author":[{"dropping-particle":"","family":"Cook","given":"I","non-dropping-particle":"","parse-names":false,"suffix":""},{"dropping-particle":"","family":"Marbach","given":"G","non-dropping-particle":"","parse-names":false,"suffix":""},{"dropping-particle":"","family":"Gulden","given":"W","non-dropping-particle":"","parse-names":false,"suffix":""},{"dropping-particle":"","family":"Pace","given":"L","non-dropping-particle":"Di","parse-names":false,"suffix":""},{"dropping-particle":"","family":"Rocco","given":"P","non-dropping-particle":"","parse-names":false,"suffix":""},{"dropping-particle":"","family":"Girard","given":"C","non-dropping-particle":"","parse-names":false,"suffix":""},{"dropping-particle":"","family":"Taylor","given":"N","non-dropping-particle":"","parse-names":false,"suffix":""}],"container-title":"in press.","id":"ITEM-2","issued":{"date-parts":[["1999"]]},"title":"Safety and Environmental Assessment of Fusion Power, Report of the SEAL and SEAFP-2 Projects","type":"article-journal"},"uris":["http://www.mendeley.com/documents/?uuid=b22cb1dd-a310-40be-940b-34cc8a7b315d"]}],"mendeley":{"formattedCitation":"[3], [5]","plainTextFormattedCitation":"[3], [5]","previouslyFormattedCitation":"[3], [5]"},"properties":{"noteIndex":0},"schema":"https://github.com/citation-style-language/schema/raw/master/csl-citation.json"}</w:instrText>
      </w:r>
      <w:r>
        <w:rPr>
          <w:rFonts w:ascii="Calibri" w:hAnsi="Calibri" w:cs="Calibri"/>
        </w:rPr>
        <w:fldChar w:fldCharType="separate"/>
      </w:r>
      <w:r w:rsidR="006D5F05" w:rsidRPr="006D5F05">
        <w:rPr>
          <w:rFonts w:ascii="Calibri" w:hAnsi="Calibri" w:cs="Calibri"/>
          <w:noProof/>
        </w:rPr>
        <w:t>[3], [5]</w:t>
      </w:r>
      <w:r>
        <w:rPr>
          <w:rFonts w:ascii="Calibri" w:hAnsi="Calibri" w:cs="Calibri"/>
        </w:rPr>
        <w:fldChar w:fldCharType="end"/>
      </w:r>
      <w:r>
        <w:rPr>
          <w:rFonts w:ascii="Calibri" w:hAnsi="Calibri" w:cs="Calibri"/>
        </w:rPr>
        <w:t>.</w:t>
      </w:r>
      <w:r w:rsidR="00751AB0">
        <w:rPr>
          <w:rFonts w:ascii="Calibri" w:hAnsi="Calibri" w:cs="Calibri"/>
        </w:rPr>
        <w:t xml:space="preserve"> The Power Plant Conceptual Study (PPCS) was used as a basis for fusion reactor designs, as well as identifying key safety factors </w:t>
      </w:r>
      <w:r w:rsidR="00751AB0">
        <w:rPr>
          <w:rFonts w:ascii="Calibri" w:hAnsi="Calibri" w:cs="Calibri"/>
        </w:rPr>
        <w:lastRenderedPageBreak/>
        <w:t xml:space="preserve">and blanket types </w:t>
      </w:r>
      <w:r w:rsidR="00751AB0">
        <w:rPr>
          <w:rFonts w:ascii="Calibri" w:hAnsi="Calibri" w:cs="Calibri"/>
        </w:rPr>
        <w:fldChar w:fldCharType="begin" w:fldLock="1"/>
      </w:r>
      <w:r w:rsidR="003342C2">
        <w:rPr>
          <w:rFonts w:ascii="Calibri" w:hAnsi="Calibri" w:cs="Calibri"/>
        </w:rPr>
        <w:instrText>ADDIN CSL_CITATION {"citationItems":[{"id":"ITEM-1","itemData":{"author":[{"dropping-particle":"","family":"Maisonnier","given":"D","non-dropping-particle":"","parse-names":false,"suffix":""},{"dropping-particle":"","family":"Cook","given":"I","non-dropping-particle":"","parse-names":false,"suffix":""},{"dropping-particle":"","family":"Sardain","given":"I","non-dropping-particle":"","parse-names":false,"suffix":""},{"dropping-particle":"","family":"Andreani","given":"R","non-dropping-particle":"","parse-names":false,"suffix":""},{"dropping-particle":"","family":"Pace","given":"L","non-dropping-particle":"Di","parse-names":false,"suffix":""},{"dropping-particle":"","family":"Forrest","given":"R","non-dropping-particle":"","parse-names":false,"suffix":""},{"dropping-particle":"","family":"Giancarli","given":"L","non-dropping-particle":"","parse-names":false,"suffix":""},{"dropping-particle":"","family":"Hermsmeyer","given":"S","non-dropping-particle":"","parse-names":false,"suffix":""},{"dropping-particle":"","family":"Norajitra","given":"P","non-dropping-particle":"","parse-names":false,"suffix":""},{"dropping-particle":"","family":"Taylor","given":"N","non-dropping-particle":"","parse-names":false,"suffix":""},{"dropping-particle":"","family":"Ward","given":"D","non-dropping-particle":"","parse-names":false,"suffix":""}],"id":"ITEM-1","issued":{"date-parts":[["2005"]]},"title":"Final Report of the European Fusion Power Plant Conceptual Study (PPCS)","type":"report"},"uris":["http://www.mendeley.com/documents/?uuid=654a4942-b91a-3b30-8ed9-debf8a2b6790"]},{"id":"ITEM-2","itemData":{"DOI":"10.1016/j.fusengdes.2005.08.055","ISBN":"0920-3796","ISSN":"09203796","abstract":"Within the European Power Plant Conceptual Study (PPCS) four fusion power plant 'models' have been developed. Two of these models were developed considering limited extrapolations both in physics and in technology. For the two other models, advanced physics scenarios have been identified and combined with advanced blanket concepts that allow higher thermodynamic efficiencies of the power conversion systems. For all the PPCS models, systems analyses were used to integrate the plasma physics and technology constraints to produce self-consistent plant parameter sets. The broad features of the conclusions of previous studies on safety, environmental impact and economics have been confirmed for the new models and demonstrated with increased confidence. The PPCS also helps in the definition of the objectives and in the identification of the design drivers of DEMO, i.e. the device between the next step (ITER) and a first-of-a-kind reactor. These will constitute the basis of the European DEMO Conceptual Study that has recently started. © 2005 David Maisonnier. Published by Elsevier B.V. All rights reserved.","author":[{"dropping-particle":"","family":"Maisonnier","given":"David","non-dropping-particle":"","parse-names":false,"suffix":""},{"dropping-particle":"","family":"Cook","given":"Iau","non-dropping-particle":"","parse-names":false,"suffix":""},{"dropping-particle":"","family":"Pierre","given":"Sardain","non-dropping-particle":"","parse-names":false,"suffix":""},{"dropping-particle":"","family":"Lorenzo","given":"Boccaccini","non-dropping-particle":"","parse-names":false,"suffix":""},{"dropping-particle":"","family":"Luigi","given":"Di Pace","non-dropping-particle":"","parse-names":false,"suffix":""},{"dropping-particle":"","family":"Luciano","given":"Giancarli","non-dropping-particle":"","parse-names":false,"suffix":""},{"dropping-particle":"","family":"Prachai","given":"Norajitra","non-dropping-particle":"","parse-names":false,"suffix":""},{"dropping-particle":"","family":"Aldo","given":"Pizzuto","non-dropping-particle":"","parse-names":false,"suffix":""}],"container-title":"Fusion Engineering and Design","id":"ITEM-2","issue":"8-14 PART B","issued":{"date-parts":[["2006"]]},"page":"1123-1130","title":"DEMO and fusion power plant conceptual studies in Europe","type":"article-journal","volume":"81"},"uris":["http://www.mendeley.com/documents/?uuid=b2c7c8e4-72cd-4eae-b9b4-d2786cecc1a9"]}],"mendeley":{"formattedCitation":"[6], [7]","plainTextFormattedCitation":"[6], [7]","previouslyFormattedCitation":"[6], [7]"},"properties":{"noteIndex":0},"schema":"https://github.com/citation-style-language/schema/raw/master/csl-citation.json"}</w:instrText>
      </w:r>
      <w:r w:rsidR="00751AB0">
        <w:rPr>
          <w:rFonts w:ascii="Calibri" w:hAnsi="Calibri" w:cs="Calibri"/>
        </w:rPr>
        <w:fldChar w:fldCharType="separate"/>
      </w:r>
      <w:r w:rsidR="006D5F05" w:rsidRPr="006D5F05">
        <w:rPr>
          <w:rFonts w:ascii="Calibri" w:hAnsi="Calibri" w:cs="Calibri"/>
          <w:noProof/>
        </w:rPr>
        <w:t>[6], [7]</w:t>
      </w:r>
      <w:r w:rsidR="00751AB0">
        <w:rPr>
          <w:rFonts w:ascii="Calibri" w:hAnsi="Calibri" w:cs="Calibri"/>
        </w:rPr>
        <w:fldChar w:fldCharType="end"/>
      </w:r>
      <w:r w:rsidR="00751AB0">
        <w:rPr>
          <w:rFonts w:ascii="Calibri" w:hAnsi="Calibri" w:cs="Calibri"/>
        </w:rPr>
        <w:t xml:space="preserve">. </w:t>
      </w:r>
      <w:r w:rsidR="00631A08">
        <w:rPr>
          <w:rFonts w:ascii="Calibri" w:hAnsi="Calibri" w:cs="Calibri"/>
        </w:rPr>
        <w:t>The safety analysis performed in the licensing of ITER</w:t>
      </w:r>
      <w:r w:rsidR="00EF6643">
        <w:rPr>
          <w:rFonts w:ascii="Calibri" w:hAnsi="Calibri" w:cs="Calibri"/>
        </w:rPr>
        <w:t xml:space="preserve"> (RPrS)</w:t>
      </w:r>
      <w:r w:rsidR="00631A08">
        <w:rPr>
          <w:rFonts w:ascii="Calibri" w:hAnsi="Calibri" w:cs="Calibri"/>
        </w:rPr>
        <w:t xml:space="preserve"> was also used as a major reference point, as this currently provides the most comprehensive view of a fusion safety concept in the world</w:t>
      </w:r>
      <w:r w:rsidR="002C0692">
        <w:rPr>
          <w:rFonts w:ascii="Calibri" w:hAnsi="Calibri" w:cs="Calibri"/>
        </w:rPr>
        <w:t xml:space="preserve"> </w:t>
      </w:r>
      <w:r w:rsidR="00EF6643">
        <w:rPr>
          <w:rFonts w:ascii="Calibri" w:hAnsi="Calibri" w:cs="Calibri"/>
        </w:rPr>
        <w:fldChar w:fldCharType="begin" w:fldLock="1"/>
      </w:r>
      <w:r w:rsidR="00EF6643">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EF6643">
        <w:rPr>
          <w:rFonts w:ascii="Calibri" w:hAnsi="Calibri" w:cs="Calibri"/>
        </w:rPr>
        <w:fldChar w:fldCharType="separate"/>
      </w:r>
      <w:r w:rsidR="00EF6643" w:rsidRPr="00EF6643">
        <w:rPr>
          <w:rFonts w:ascii="Calibri" w:hAnsi="Calibri" w:cs="Calibri"/>
          <w:noProof/>
        </w:rPr>
        <w:t>[8]</w:t>
      </w:r>
      <w:r w:rsidR="00EF6643">
        <w:rPr>
          <w:rFonts w:ascii="Calibri" w:hAnsi="Calibri" w:cs="Calibri"/>
        </w:rPr>
        <w:fldChar w:fldCharType="end"/>
      </w:r>
      <w:r w:rsidR="00631A08">
        <w:rPr>
          <w:rFonts w:ascii="Calibri" w:hAnsi="Calibri" w:cs="Calibri"/>
        </w:rPr>
        <w:t>.</w:t>
      </w:r>
    </w:p>
    <w:p w:rsidR="00E5345D" w:rsidRPr="00643B47" w:rsidRDefault="00E5345D" w:rsidP="00ED0F2E">
      <w:pPr>
        <w:pStyle w:val="NormalWeb"/>
        <w:rPr>
          <w:rFonts w:ascii="Calibri" w:hAnsi="Calibri" w:cs="Calibri"/>
        </w:rPr>
      </w:pPr>
    </w:p>
    <w:p w:rsidR="00246020" w:rsidRDefault="00246020" w:rsidP="00ED0F2E">
      <w:pPr>
        <w:pStyle w:val="NormalWeb"/>
        <w:rPr>
          <w:rFonts w:ascii="Calibri" w:hAnsi="Calibri" w:cs="Calibri"/>
          <w:b/>
          <w:sz w:val="28"/>
        </w:rPr>
      </w:pPr>
      <w:r w:rsidRPr="00246020">
        <w:rPr>
          <w:rFonts w:ascii="Calibri" w:hAnsi="Calibri" w:cs="Calibri"/>
          <w:b/>
          <w:sz w:val="28"/>
        </w:rPr>
        <w:t>2 Risk Analysis</w:t>
      </w:r>
    </w:p>
    <w:p w:rsidR="00246020" w:rsidRDefault="00246020" w:rsidP="00ED0F2E">
      <w:pPr>
        <w:pStyle w:val="NormalWeb"/>
        <w:rPr>
          <w:rFonts w:ascii="Calibri" w:hAnsi="Calibri" w:cs="Calibri"/>
        </w:rPr>
      </w:pPr>
      <w:r>
        <w:rPr>
          <w:rFonts w:ascii="Calibri" w:hAnsi="Calibri" w:cs="Calibri"/>
        </w:rPr>
        <w:t xml:space="preserve">Defence in depth is </w:t>
      </w:r>
      <w:r w:rsidR="001E2D4F">
        <w:rPr>
          <w:rFonts w:ascii="Calibri" w:hAnsi="Calibri" w:cs="Calibri"/>
        </w:rPr>
        <w:t xml:space="preserve">the basic nuclear safety principle used in fission reactor design </w:t>
      </w:r>
      <w:r w:rsidR="001E2D4F">
        <w:rPr>
          <w:rFonts w:ascii="Calibri" w:hAnsi="Calibri" w:cs="Calibri"/>
        </w:rPr>
        <w:fldChar w:fldCharType="begin" w:fldLock="1"/>
      </w:r>
      <w:r w:rsidR="00EF6643">
        <w:rPr>
          <w:rFonts w:ascii="Calibri" w:hAnsi="Calibri" w:cs="Calibri"/>
        </w:rPr>
        <w:instrText>ADDIN CSL_CITATION {"citationItems":[{"id":"ITEM-1","itemData":{"ISBN":"9201032951","author":[{"dropping-particle":"","family":"International Nuclear Safety Advisory Group","given":"","non-dropping-particle":"","parse-names":false,"suffix":""}],"container-title":"IAEA","id":"ITEM-1","issued":{"date-parts":[["1996"]]},"publisher-place":"Vienna","title":"Defence in depth in nuclear safety","type":"report"},"uris":["http://www.mendeley.com/documents/?uuid=7da6d96b-c48c-46a2-bf71-6fa60c75d238"]},{"id":"ITEM-2","itemData":{"author":[{"dropping-particle":"","family":"IAEA","given":"","non-dropping-particle":"","parse-names":false,"suffix":""}],"container-title":"Safety Report Series 46","id":"ITEM-2","issued":{"date-parts":[["2005","2"]]},"title":"Assessment of defence in depth for nuclear power plants","type":"report","volume":"46"},"uris":["http://www.mendeley.com/documents/?uuid=fc37e578-7e4e-412a-b3c3-1a4b36bc2bec"]}],"mendeley":{"formattedCitation":"[9], [10]","plainTextFormattedCitation":"[9], [10]","previouslyFormattedCitation":"[9], [10]"},"properties":{"noteIndex":0},"schema":"https://github.com/citation-style-language/schema/raw/master/csl-citation.json"}</w:instrText>
      </w:r>
      <w:r w:rsidR="001E2D4F">
        <w:rPr>
          <w:rFonts w:ascii="Calibri" w:hAnsi="Calibri" w:cs="Calibri"/>
        </w:rPr>
        <w:fldChar w:fldCharType="separate"/>
      </w:r>
      <w:r w:rsidR="00EF6643" w:rsidRPr="00EF6643">
        <w:rPr>
          <w:rFonts w:ascii="Calibri" w:hAnsi="Calibri" w:cs="Calibri"/>
          <w:noProof/>
        </w:rPr>
        <w:t>[9], [10]</w:t>
      </w:r>
      <w:r w:rsidR="001E2D4F">
        <w:rPr>
          <w:rFonts w:ascii="Calibri" w:hAnsi="Calibri" w:cs="Calibri"/>
        </w:rPr>
        <w:fldChar w:fldCharType="end"/>
      </w:r>
      <w:r w:rsidR="00963B51">
        <w:rPr>
          <w:rFonts w:ascii="Calibri" w:hAnsi="Calibri" w:cs="Calibri"/>
        </w:rPr>
        <w:t xml:space="preserve">. This </w:t>
      </w:r>
      <w:r w:rsidRPr="00643B47">
        <w:rPr>
          <w:rFonts w:ascii="Calibri" w:hAnsi="Calibri" w:cs="Calibri"/>
        </w:rPr>
        <w:t>approach</w:t>
      </w:r>
      <w:r w:rsidR="00963B51">
        <w:rPr>
          <w:rFonts w:ascii="Calibri" w:hAnsi="Calibri" w:cs="Calibri"/>
        </w:rPr>
        <w:t xml:space="preserve"> </w:t>
      </w:r>
      <w:r w:rsidRPr="00643B47">
        <w:rPr>
          <w:rFonts w:ascii="Calibri" w:hAnsi="Calibri" w:cs="Calibri"/>
        </w:rPr>
        <w:t>utilises multiple levels of defence (e.g. confinement barriers/protection systems), so that if one system fails, another will be in place to ensure the safety consequences are limited</w:t>
      </w:r>
      <w:r w:rsidR="00E20976">
        <w:rPr>
          <w:rFonts w:ascii="Calibri" w:hAnsi="Calibri" w:cs="Calibri"/>
        </w:rPr>
        <w:t xml:space="preserve">. </w:t>
      </w:r>
      <w:r w:rsidR="00963B51">
        <w:rPr>
          <w:rFonts w:ascii="Calibri" w:hAnsi="Calibri" w:cs="Calibri"/>
        </w:rPr>
        <w:t>This concept of defence in depth can be applied to fusion reactor design to deliver high level</w:t>
      </w:r>
      <w:r w:rsidR="00742D9C">
        <w:rPr>
          <w:rFonts w:ascii="Calibri" w:hAnsi="Calibri" w:cs="Calibri"/>
        </w:rPr>
        <w:t>s</w:t>
      </w:r>
      <w:r w:rsidR="00963B51">
        <w:rPr>
          <w:rFonts w:ascii="Calibri" w:hAnsi="Calibri" w:cs="Calibri"/>
        </w:rPr>
        <w:t xml:space="preserve"> of nuclear safety, nuclear security, and the protection of the environment.</w:t>
      </w:r>
      <w:r w:rsidR="005A5CCF">
        <w:rPr>
          <w:rFonts w:ascii="Calibri" w:hAnsi="Calibri" w:cs="Calibri"/>
        </w:rPr>
        <w:t xml:space="preserve"> </w:t>
      </w:r>
      <w:r w:rsidR="00E20976">
        <w:rPr>
          <w:rFonts w:ascii="Calibri" w:hAnsi="Calibri" w:cs="Calibri"/>
        </w:rPr>
        <w:t>In line with good safety practice, the number and extent of barriers required will depend upon both the frequency of the initiating event and its consequences.</w:t>
      </w:r>
      <w:r w:rsidR="00FC765D">
        <w:rPr>
          <w:rFonts w:ascii="Calibri" w:hAnsi="Calibri" w:cs="Calibri"/>
        </w:rPr>
        <w:t xml:space="preserve"> Whilst the role of these barriers is to prevent the release of radioactive material, there are accident scenarios where the integrity of these barriers will be challenged, hence the need for multiple independent barriers.</w:t>
      </w:r>
    </w:p>
    <w:p w:rsidR="00DB3862" w:rsidRDefault="00C85B6B" w:rsidP="00ED0F2E">
      <w:pPr>
        <w:pStyle w:val="NormalWeb"/>
        <w:rPr>
          <w:rFonts w:ascii="Calibri" w:hAnsi="Calibri" w:cs="Calibri"/>
        </w:rPr>
      </w:pPr>
      <w:r w:rsidRPr="00C85B6B">
        <w:rPr>
          <w:rFonts w:ascii="Calibri" w:hAnsi="Calibri" w:cs="Calibri"/>
          <w:noProof/>
        </w:rPr>
        <w:drawing>
          <wp:anchor distT="0" distB="0" distL="114300" distR="114300" simplePos="0" relativeHeight="251664384" behindDoc="1" locked="0" layoutInCell="1" allowOverlap="1" wp14:anchorId="7E133362">
            <wp:simplePos x="0" y="0"/>
            <wp:positionH relativeFrom="column">
              <wp:posOffset>679089</wp:posOffset>
            </wp:positionH>
            <wp:positionV relativeFrom="paragraph">
              <wp:posOffset>1233788</wp:posOffset>
            </wp:positionV>
            <wp:extent cx="4095750" cy="3034030"/>
            <wp:effectExtent l="0" t="0" r="6350" b="1270"/>
            <wp:wrapTight wrapText="bothSides">
              <wp:wrapPolygon edited="0">
                <wp:start x="0" y="0"/>
                <wp:lineTo x="0" y="21519"/>
                <wp:lineTo x="21567" y="21519"/>
                <wp:lineTo x="21567" y="0"/>
                <wp:lineTo x="0" y="0"/>
              </wp:wrapPolygon>
            </wp:wrapTight>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95750" cy="3034030"/>
                    </a:xfrm>
                    <a:prstGeom prst="rect">
                      <a:avLst/>
                    </a:prstGeom>
                  </pic:spPr>
                </pic:pic>
              </a:graphicData>
            </a:graphic>
            <wp14:sizeRelH relativeFrom="page">
              <wp14:pctWidth>0</wp14:pctWidth>
            </wp14:sizeRelH>
            <wp14:sizeRelV relativeFrom="page">
              <wp14:pctHeight>0</wp14:pctHeight>
            </wp14:sizeRelV>
          </wp:anchor>
        </w:drawing>
      </w:r>
      <w:r w:rsidR="00DB3862">
        <w:rPr>
          <w:rFonts w:ascii="Calibri" w:hAnsi="Calibri" w:cs="Calibri"/>
        </w:rPr>
        <w:t xml:space="preserve">This safety approach requires knowledge of the probabilities of the initiating events, the probabilities of failure of the various barriers, and the consequences of failure. For example, events that have a significantly likely probability of occurrence should have minor or no radiological consequences, whilst events </w:t>
      </w:r>
      <w:r w:rsidR="00FA6B42">
        <w:rPr>
          <w:rFonts w:ascii="Calibri" w:hAnsi="Calibri" w:cs="Calibri"/>
        </w:rPr>
        <w:t>that have the potential to</w:t>
      </w:r>
      <w:r w:rsidR="00DB3862">
        <w:rPr>
          <w:rFonts w:ascii="Calibri" w:hAnsi="Calibri" w:cs="Calibri"/>
        </w:rPr>
        <w:t xml:space="preserve"> result in significant radiological consequences to the public should have a very low probability of occurrence</w:t>
      </w:r>
      <w:r w:rsidR="00D820D4">
        <w:rPr>
          <w:rFonts w:ascii="Calibri" w:hAnsi="Calibri" w:cs="Calibri"/>
        </w:rPr>
        <w:t xml:space="preserve"> </w:t>
      </w:r>
      <w:r w:rsidR="00D820D4">
        <w:rPr>
          <w:rFonts w:ascii="Calibri" w:hAnsi="Calibri" w:cs="Calibri"/>
        </w:rPr>
        <w:fldChar w:fldCharType="begin" w:fldLock="1"/>
      </w:r>
      <w:r w:rsidR="00EF6643">
        <w:rPr>
          <w:rFonts w:ascii="Calibri" w:hAnsi="Calibri" w:cs="Calibri"/>
        </w:rPr>
        <w:instrText>ADDIN CSL_CITATION {"citationItems":[{"id":"ITEM-1","itemData":{"ISBN":"9783944161525","author":[{"dropping-particle":"","family":"Jurgen","given":"Raeder","non-dropping-particle":"","parse-names":false,"suffix":""},{"dropping-particle":"","family":"Arthur","given":"Weller","non-dropping-particle":"","parse-names":false,"suffix":""},{"dropping-particle":"","family":"Robert","given":"Wolf","non-dropping-particle":"","parse-names":false,"suffix":""},{"dropping-particle":"","family":"Xue","given":"Zhou Jin","non-dropping-particle":"","parse-names":false,"suffix":""},{"dropping-particle":"V","family":"Boccaccini","given":"Lorenzo","non-dropping-particle":"","parse-names":false,"suffix":""},{"dropping-particle":"","family":"Robert","given":"Stieglitz","non-dropping-particle":"","parse-names":false,"suffix":""},{"dropping-particle":"","family":"Dario","given":"Carloni","non-dropping-particle":"","parse-names":false,"suffix":""},{"dropping-particle":"","family":"Pistner","given":"Christoph","non-dropping-particle":"","parse-names":false,"suffix":""},{"dropping-particle":"","family":"Joachim","given":"Herb","non-dropping-particle":"","parse-names":false,"suffix":""}],"id":"ITEM-1","issued":{"date-parts":[["2016"]]},"title":"Review of the safety concept for fusion reactor concepts and transferability of the nuclear fission regulation to potential fusion power plants","type":"report"},"uris":["http://www.mendeley.com/documents/?uuid=137efd80-ac21-4821-bfec-5156e3e096e8"]}],"mendeley":{"formattedCitation":"[11]","plainTextFormattedCitation":"[11]","previouslyFormattedCitation":"[11]"},"properties":{"noteIndex":0},"schema":"https://github.com/citation-style-language/schema/raw/master/csl-citation.json"}</w:instrText>
      </w:r>
      <w:r w:rsidR="00D820D4">
        <w:rPr>
          <w:rFonts w:ascii="Calibri" w:hAnsi="Calibri" w:cs="Calibri"/>
        </w:rPr>
        <w:fldChar w:fldCharType="separate"/>
      </w:r>
      <w:r w:rsidR="00EF6643" w:rsidRPr="00EF6643">
        <w:rPr>
          <w:rFonts w:ascii="Calibri" w:hAnsi="Calibri" w:cs="Calibri"/>
          <w:noProof/>
        </w:rPr>
        <w:t>[11]</w:t>
      </w:r>
      <w:r w:rsidR="00D820D4">
        <w:rPr>
          <w:rFonts w:ascii="Calibri" w:hAnsi="Calibri" w:cs="Calibri"/>
        </w:rPr>
        <w:fldChar w:fldCharType="end"/>
      </w:r>
      <w:r w:rsidR="00D820D4">
        <w:rPr>
          <w:rFonts w:ascii="Calibri" w:hAnsi="Calibri" w:cs="Calibri"/>
        </w:rPr>
        <w:t>.</w:t>
      </w:r>
      <w:r w:rsidR="00E5345D">
        <w:rPr>
          <w:rFonts w:ascii="Calibri" w:hAnsi="Calibri" w:cs="Calibri"/>
        </w:rPr>
        <w:t xml:space="preserve"> This is illustrated in figure 1.</w:t>
      </w:r>
    </w:p>
    <w:p w:rsidR="00FF315B" w:rsidRDefault="00FF315B" w:rsidP="00ED0F2E">
      <w:pPr>
        <w:pStyle w:val="NormalWeb"/>
        <w:rPr>
          <w:rFonts w:ascii="Calibri" w:hAnsi="Calibri" w:cs="Calibri"/>
        </w:rPr>
      </w:pPr>
    </w:p>
    <w:p w:rsidR="00FF315B" w:rsidRPr="00246020" w:rsidRDefault="00FF315B" w:rsidP="00ED0F2E">
      <w:pPr>
        <w:pStyle w:val="NormalWeb"/>
        <w:rPr>
          <w:rFonts w:ascii="Calibri" w:hAnsi="Calibri" w:cs="Calibri"/>
        </w:rPr>
      </w:pPr>
    </w:p>
    <w:p w:rsidR="00246020" w:rsidRDefault="00246020" w:rsidP="00ED0F2E">
      <w:pPr>
        <w:pStyle w:val="NormalWeb"/>
        <w:rPr>
          <w:rFonts w:ascii="Calibri" w:hAnsi="Calibri" w:cs="Calibri"/>
        </w:rPr>
      </w:pPr>
    </w:p>
    <w:p w:rsidR="00246020" w:rsidRDefault="00246020" w:rsidP="00ED0F2E">
      <w:pPr>
        <w:pStyle w:val="NormalWeb"/>
        <w:rPr>
          <w:rFonts w:ascii="Calibri" w:hAnsi="Calibri" w:cs="Calibri"/>
        </w:rPr>
      </w:pPr>
    </w:p>
    <w:p w:rsidR="00246020" w:rsidRDefault="00246020" w:rsidP="00ED0F2E">
      <w:pPr>
        <w:pStyle w:val="NormalWeb"/>
        <w:rPr>
          <w:rFonts w:ascii="Calibri" w:hAnsi="Calibri" w:cs="Calibri"/>
        </w:rPr>
      </w:pPr>
    </w:p>
    <w:p w:rsidR="00246020" w:rsidRDefault="00246020" w:rsidP="00ED0F2E">
      <w:pPr>
        <w:pStyle w:val="NormalWeb"/>
        <w:rPr>
          <w:rFonts w:ascii="Calibri" w:hAnsi="Calibri" w:cs="Calibri"/>
        </w:rPr>
      </w:pPr>
    </w:p>
    <w:p w:rsidR="003B7467" w:rsidRDefault="003B7467" w:rsidP="00ED0F2E">
      <w:pPr>
        <w:rPr>
          <w:rFonts w:ascii="Calibri" w:hAnsi="Calibri" w:cs="Calibri"/>
          <w:b/>
          <w:sz w:val="28"/>
        </w:rPr>
      </w:pPr>
    </w:p>
    <w:p w:rsidR="00C85B6B" w:rsidRDefault="00C85B6B" w:rsidP="00ED0F2E">
      <w:pPr>
        <w:rPr>
          <w:rFonts w:ascii="Calibri" w:hAnsi="Calibri" w:cs="Calibri"/>
          <w:b/>
          <w:sz w:val="28"/>
        </w:rPr>
      </w:pPr>
    </w:p>
    <w:p w:rsidR="003B7467" w:rsidRDefault="003B7467" w:rsidP="00ED0F2E">
      <w:pPr>
        <w:rPr>
          <w:rFonts w:ascii="Calibri" w:hAnsi="Calibri" w:cs="Calibri"/>
          <w:b/>
          <w:sz w:val="28"/>
        </w:rPr>
      </w:pPr>
    </w:p>
    <w:p w:rsidR="00EB6124" w:rsidRDefault="00EB6124" w:rsidP="00ED0F2E">
      <w:pPr>
        <w:rPr>
          <w:rFonts w:ascii="Calibri" w:hAnsi="Calibri" w:cs="Calibri"/>
          <w:b/>
          <w:sz w:val="28"/>
        </w:rPr>
      </w:pPr>
    </w:p>
    <w:p w:rsidR="003B7467" w:rsidRPr="003B7467" w:rsidRDefault="003B7467" w:rsidP="00ED0F2E">
      <w:pPr>
        <w:rPr>
          <w:rFonts w:ascii="Calibri" w:hAnsi="Calibri" w:cs="Calibri"/>
        </w:rPr>
      </w:pPr>
      <w:r>
        <w:rPr>
          <w:rFonts w:ascii="Calibri" w:hAnsi="Calibri" w:cs="Calibri"/>
          <w:b/>
        </w:rPr>
        <w:t xml:space="preserve">Figure 1: </w:t>
      </w:r>
      <w:r>
        <w:rPr>
          <w:rFonts w:ascii="Calibri" w:hAnsi="Calibri" w:cs="Calibri"/>
        </w:rPr>
        <w:t xml:space="preserve">Risk approach to safety. Figure taken from </w:t>
      </w:r>
      <w:r>
        <w:rPr>
          <w:rFonts w:ascii="Calibri" w:hAnsi="Calibri" w:cs="Calibri"/>
        </w:rPr>
        <w:fldChar w:fldCharType="begin" w:fldLock="1"/>
      </w:r>
      <w:r w:rsidR="00EF6643">
        <w:rPr>
          <w:rFonts w:ascii="Calibri" w:hAnsi="Calibri" w:cs="Calibri"/>
        </w:rPr>
        <w:instrText>ADDIN CSL_CITATION {"citationItems":[{"id":"ITEM-1","itemData":{"ISBN":"9783944161525","author":[{"dropping-particle":"","family":"Jurgen","given":"Raeder","non-dropping-particle":"","parse-names":false,"suffix":""},{"dropping-particle":"","family":"Arthur","given":"Weller","non-dropping-particle":"","parse-names":false,"suffix":""},{"dropping-particle":"","family":"Robert","given":"Wolf","non-dropping-particle":"","parse-names":false,"suffix":""},{"dropping-particle":"","family":"Xue","given":"Zhou Jin","non-dropping-particle":"","parse-names":false,"suffix":""},{"dropping-particle":"V","family":"Boccaccini","given":"Lorenzo","non-dropping-particle":"","parse-names":false,"suffix":""},{"dropping-particle":"","family":"Robert","given":"Stieglitz","non-dropping-particle":"","parse-names":false,"suffix":""},{"dropping-particle":"","family":"Dario","given":"Carloni","non-dropping-particle":"","parse-names":false,"suffix":""},{"dropping-particle":"","family":"Pistner","given":"Christoph","non-dropping-particle":"","parse-names":false,"suffix":""},{"dropping-particle":"","family":"Joachim","given":"Herb","non-dropping-particle":"","parse-names":false,"suffix":""}],"id":"ITEM-1","issued":{"date-parts":[["2016"]]},"title":"Review of the safety concept for fusion reactor concepts and transferability of the nuclear fission regulation to potential fusion power plants","type":"report"},"uris":["http://www.mendeley.com/documents/?uuid=137efd80-ac21-4821-bfec-5156e3e096e8"]}],"mendeley":{"formattedCitation":"[11]","plainTextFormattedCitation":"[11]","previouslyFormattedCitation":"[11]"},"properties":{"noteIndex":0},"schema":"https://github.com/citation-style-language/schema/raw/master/csl-citation.json"}</w:instrText>
      </w:r>
      <w:r>
        <w:rPr>
          <w:rFonts w:ascii="Calibri" w:hAnsi="Calibri" w:cs="Calibri"/>
        </w:rPr>
        <w:fldChar w:fldCharType="separate"/>
      </w:r>
      <w:r w:rsidR="00EF6643" w:rsidRPr="00EF6643">
        <w:rPr>
          <w:rFonts w:ascii="Calibri" w:hAnsi="Calibri" w:cs="Calibri"/>
          <w:noProof/>
        </w:rPr>
        <w:t>[11]</w:t>
      </w:r>
      <w:r>
        <w:rPr>
          <w:rFonts w:ascii="Calibri" w:hAnsi="Calibri" w:cs="Calibri"/>
        </w:rPr>
        <w:fldChar w:fldCharType="end"/>
      </w:r>
      <w:r>
        <w:rPr>
          <w:rFonts w:ascii="Calibri" w:hAnsi="Calibri" w:cs="Calibri"/>
        </w:rPr>
        <w:t xml:space="preserve">. Original from </w:t>
      </w:r>
      <w:r>
        <w:rPr>
          <w:rFonts w:ascii="Calibri" w:hAnsi="Calibri" w:cs="Calibri"/>
        </w:rPr>
        <w:fldChar w:fldCharType="begin" w:fldLock="1"/>
      </w:r>
      <w:r w:rsidR="00EF6643">
        <w:rPr>
          <w:rFonts w:ascii="Calibri" w:hAnsi="Calibri" w:cs="Calibri"/>
        </w:rPr>
        <w:instrText>ADDIN CSL_CITATION {"citationItems":[{"id":"ITEM-1","itemData":{"author":[{"dropping-particle":"","family":"Gulden","given":"W","non-dropping-particle":"","parse-names":false,"suffix":""}],"id":"ITEM-1","issued":{"date-parts":[["2012"]]},"publisher-place":"Garching","title":"Review technical information available in EU from previous fusion reactor studies relevant for safety","type":"report"},"uris":["http://www.mendeley.com/documents/?uuid=513a9eec-7868-4981-b194-039461cc2d07"]}],"mendeley":{"formattedCitation":"[12]","plainTextFormattedCitation":"[12]","previouslyFormattedCitation":"[12]"},"properties":{"noteIndex":0},"schema":"https://github.com/citation-style-language/schema/raw/master/csl-citation.json"}</w:instrText>
      </w:r>
      <w:r>
        <w:rPr>
          <w:rFonts w:ascii="Calibri" w:hAnsi="Calibri" w:cs="Calibri"/>
        </w:rPr>
        <w:fldChar w:fldCharType="separate"/>
      </w:r>
      <w:r w:rsidR="00EF6643" w:rsidRPr="00EF6643">
        <w:rPr>
          <w:rFonts w:ascii="Calibri" w:hAnsi="Calibri" w:cs="Calibri"/>
          <w:noProof/>
        </w:rPr>
        <w:t>[12]</w:t>
      </w:r>
      <w:r>
        <w:rPr>
          <w:rFonts w:ascii="Calibri" w:hAnsi="Calibri" w:cs="Calibri"/>
        </w:rPr>
        <w:fldChar w:fldCharType="end"/>
      </w:r>
      <w:r>
        <w:rPr>
          <w:rFonts w:ascii="Calibri" w:hAnsi="Calibri" w:cs="Calibri"/>
        </w:rPr>
        <w:t xml:space="preserve"> (Edited)</w:t>
      </w:r>
    </w:p>
    <w:p w:rsidR="003B7467" w:rsidRDefault="003B7467" w:rsidP="00ED0F2E">
      <w:pPr>
        <w:rPr>
          <w:rFonts w:ascii="Calibri" w:hAnsi="Calibri" w:cs="Calibri"/>
          <w:b/>
          <w:sz w:val="28"/>
        </w:rPr>
      </w:pPr>
    </w:p>
    <w:p w:rsidR="003B7467" w:rsidRDefault="003B7467" w:rsidP="00ED0F2E">
      <w:pPr>
        <w:rPr>
          <w:rFonts w:ascii="Calibri" w:hAnsi="Calibri" w:cs="Calibri"/>
          <w:b/>
          <w:sz w:val="28"/>
        </w:rPr>
      </w:pPr>
    </w:p>
    <w:p w:rsidR="0015327C" w:rsidRDefault="00273020" w:rsidP="00ED0F2E">
      <w:pPr>
        <w:rPr>
          <w:rFonts w:ascii="Calibri" w:hAnsi="Calibri" w:cs="Calibri"/>
        </w:rPr>
      </w:pPr>
      <w:r w:rsidRPr="00643B47">
        <w:rPr>
          <w:rFonts w:ascii="Calibri" w:hAnsi="Calibri" w:cs="Calibri"/>
        </w:rPr>
        <w:lastRenderedPageBreak/>
        <w:t>The figure depicts the relationship between acceptable risk and not acceptable risk in relation to expected dose to the public and probability of occurrence</w:t>
      </w:r>
      <w:r w:rsidR="004D34FB">
        <w:rPr>
          <w:rFonts w:ascii="Calibri" w:hAnsi="Calibri" w:cs="Calibri"/>
        </w:rPr>
        <w:t xml:space="preserve"> (</w:t>
      </w:r>
      <w:r w:rsidR="00233A06">
        <w:rPr>
          <w:rFonts w:ascii="Calibri" w:hAnsi="Calibri" w:cs="Calibri"/>
        </w:rPr>
        <w:t>risk is defined as probability of occurrence x consequence</w:t>
      </w:r>
      <w:r w:rsidR="001A20EC">
        <w:rPr>
          <w:rFonts w:ascii="Calibri" w:hAnsi="Calibri" w:cs="Calibri"/>
        </w:rPr>
        <w:t xml:space="preserve"> of failure</w:t>
      </w:r>
      <w:r w:rsidR="004D34FB">
        <w:rPr>
          <w:rFonts w:ascii="Calibri" w:hAnsi="Calibri" w:cs="Calibri"/>
        </w:rPr>
        <w:t>)</w:t>
      </w:r>
      <w:r w:rsidR="00233A06">
        <w:rPr>
          <w:rFonts w:ascii="Calibri" w:hAnsi="Calibri" w:cs="Calibri"/>
        </w:rPr>
        <w:t>.</w:t>
      </w:r>
      <w:r w:rsidR="00333251">
        <w:rPr>
          <w:rFonts w:ascii="Calibri" w:hAnsi="Calibri" w:cs="Calibri"/>
        </w:rPr>
        <w:t xml:space="preserve"> </w:t>
      </w:r>
      <w:r w:rsidRPr="00643B47">
        <w:rPr>
          <w:rFonts w:ascii="Calibri" w:hAnsi="Calibri" w:cs="Calibri"/>
        </w:rPr>
        <w:t>An accident can be plotted on the graph (see red circle) with its expected dose and probability and it can be determined if the risk is acceptable, depending on which zone it lies in. The red line on the graph marks the boundary between these zones. As shown, as the probability of occurrence increases, the dose to the public must significantly decrease in order to remain in the acceptable risk zone. Note, both the dose and probability are on a logarithmic scale.</w:t>
      </w:r>
    </w:p>
    <w:p w:rsidR="0015327C" w:rsidRDefault="0015327C" w:rsidP="00ED0F2E">
      <w:pPr>
        <w:rPr>
          <w:rFonts w:ascii="Calibri" w:hAnsi="Calibri" w:cs="Calibri"/>
        </w:rPr>
      </w:pPr>
    </w:p>
    <w:p w:rsidR="0015327C" w:rsidRDefault="0015327C" w:rsidP="00ED0F2E">
      <w:pPr>
        <w:rPr>
          <w:rFonts w:ascii="Calibri" w:hAnsi="Calibri" w:cs="Calibri"/>
        </w:rPr>
      </w:pPr>
    </w:p>
    <w:p w:rsidR="00FF544A" w:rsidRDefault="003875F8" w:rsidP="00C916A1">
      <w:pPr>
        <w:rPr>
          <w:rFonts w:ascii="Calibri" w:hAnsi="Calibri" w:cs="Calibri"/>
        </w:rPr>
      </w:pPr>
      <w:r>
        <w:rPr>
          <w:rFonts w:ascii="Calibri" w:hAnsi="Calibri" w:cs="Calibri"/>
        </w:rPr>
        <w:t xml:space="preserve">When constructing a fusion safety case, a deterministic approach, complemented when necessary by a probabilistic approach, can be used to identify additional accident sequences to be further considered. </w:t>
      </w:r>
      <w:r w:rsidR="00720634">
        <w:rPr>
          <w:rFonts w:ascii="Calibri" w:hAnsi="Calibri" w:cs="Calibri"/>
        </w:rPr>
        <w:t xml:space="preserve">If an accident scenario lies outside the acceptable risk zone, there are </w:t>
      </w:r>
      <w:r w:rsidR="00BE7CBE">
        <w:rPr>
          <w:rFonts w:ascii="Calibri" w:hAnsi="Calibri" w:cs="Calibri"/>
        </w:rPr>
        <w:t>a number of</w:t>
      </w:r>
      <w:r w:rsidR="00720634">
        <w:rPr>
          <w:rFonts w:ascii="Calibri" w:hAnsi="Calibri" w:cs="Calibri"/>
        </w:rPr>
        <w:t xml:space="preserve"> steps that the designer can ta</w:t>
      </w:r>
      <w:r w:rsidR="00BE7CBE">
        <w:rPr>
          <w:rFonts w:ascii="Calibri" w:hAnsi="Calibri" w:cs="Calibri"/>
        </w:rPr>
        <w:t>k</w:t>
      </w:r>
      <w:r w:rsidR="00720634">
        <w:rPr>
          <w:rFonts w:ascii="Calibri" w:hAnsi="Calibri" w:cs="Calibri"/>
        </w:rPr>
        <w:t xml:space="preserve">e. If the radiological release cannot be reduced, then </w:t>
      </w:r>
      <w:r w:rsidR="00EC574B">
        <w:rPr>
          <w:rFonts w:ascii="Calibri" w:hAnsi="Calibri" w:cs="Calibri"/>
        </w:rPr>
        <w:t xml:space="preserve">either </w:t>
      </w:r>
      <w:r w:rsidR="00720634">
        <w:rPr>
          <w:rFonts w:ascii="Calibri" w:hAnsi="Calibri" w:cs="Calibri"/>
        </w:rPr>
        <w:t xml:space="preserve">an additional containment structure </w:t>
      </w:r>
      <w:r w:rsidR="00667CE6">
        <w:rPr>
          <w:rFonts w:ascii="Calibri" w:hAnsi="Calibri" w:cs="Calibri"/>
        </w:rPr>
        <w:t>must</w:t>
      </w:r>
      <w:r w:rsidR="00720634">
        <w:rPr>
          <w:rFonts w:ascii="Calibri" w:hAnsi="Calibri" w:cs="Calibri"/>
        </w:rPr>
        <w:t xml:space="preserve"> be provided</w:t>
      </w:r>
      <w:r w:rsidR="00EC574B">
        <w:rPr>
          <w:rFonts w:ascii="Calibri" w:hAnsi="Calibri" w:cs="Calibri"/>
        </w:rPr>
        <w:t xml:space="preserve"> or </w:t>
      </w:r>
      <w:r w:rsidR="00AE16F6">
        <w:rPr>
          <w:rFonts w:ascii="Calibri" w:hAnsi="Calibri" w:cs="Calibri"/>
        </w:rPr>
        <w:t>another mitigation tactic to reduce the consequence must be employed</w:t>
      </w:r>
      <w:r w:rsidR="00720634">
        <w:rPr>
          <w:rFonts w:ascii="Calibri" w:hAnsi="Calibri" w:cs="Calibri"/>
        </w:rPr>
        <w:t>. Alternatively, additional protection and safety systems can be provided to reduce the probability of the release occurring. Judging what is acceptable is not easy and is often based on public accept</w:t>
      </w:r>
      <w:r w:rsidR="00B30B67">
        <w:rPr>
          <w:rFonts w:ascii="Calibri" w:hAnsi="Calibri" w:cs="Calibri"/>
        </w:rPr>
        <w:t>a</w:t>
      </w:r>
      <w:r w:rsidR="00F64D37">
        <w:rPr>
          <w:rFonts w:ascii="Calibri" w:hAnsi="Calibri" w:cs="Calibri"/>
        </w:rPr>
        <w:t>nce</w:t>
      </w:r>
      <w:r w:rsidR="00720634">
        <w:rPr>
          <w:rFonts w:ascii="Calibri" w:hAnsi="Calibri" w:cs="Calibri"/>
        </w:rPr>
        <w:t xml:space="preserve"> of a risk of harm when compared to the benefit they gain from the activity that is producing the risk. </w:t>
      </w:r>
      <w:r w:rsidR="008E5B55">
        <w:rPr>
          <w:rFonts w:ascii="Calibri" w:hAnsi="Calibri" w:cs="Calibri"/>
        </w:rPr>
        <w:t>For fission reactors operating in the UK</w:t>
      </w:r>
      <w:r w:rsidR="004B6103">
        <w:rPr>
          <w:rFonts w:ascii="Calibri" w:hAnsi="Calibri" w:cs="Calibri"/>
        </w:rPr>
        <w:t>,</w:t>
      </w:r>
      <w:r w:rsidR="008E5B55">
        <w:rPr>
          <w:rFonts w:ascii="Calibri" w:hAnsi="Calibri" w:cs="Calibri"/>
        </w:rPr>
        <w:t xml:space="preserve"> the law requires </w:t>
      </w:r>
      <w:r w:rsidR="00B77D36">
        <w:rPr>
          <w:rFonts w:ascii="Calibri" w:hAnsi="Calibri" w:cs="Calibri"/>
        </w:rPr>
        <w:t>r</w:t>
      </w:r>
      <w:r w:rsidR="008E5B55">
        <w:rPr>
          <w:rFonts w:ascii="Calibri" w:hAnsi="Calibri" w:cs="Calibri"/>
        </w:rPr>
        <w:t xml:space="preserve">isks to be reduced to </w:t>
      </w:r>
      <w:r w:rsidR="00B46D6A">
        <w:rPr>
          <w:rFonts w:ascii="Calibri" w:hAnsi="Calibri" w:cs="Calibri"/>
        </w:rPr>
        <w:t>‘</w:t>
      </w:r>
      <w:r w:rsidR="008E5B55">
        <w:rPr>
          <w:rFonts w:ascii="Calibri" w:hAnsi="Calibri" w:cs="Calibri"/>
        </w:rPr>
        <w:t>as low as reasonably practicable</w:t>
      </w:r>
      <w:r w:rsidR="00B46D6A">
        <w:rPr>
          <w:rFonts w:ascii="Calibri" w:hAnsi="Calibri" w:cs="Calibri"/>
        </w:rPr>
        <w:t>’</w:t>
      </w:r>
      <w:r w:rsidR="008E5B55">
        <w:rPr>
          <w:rFonts w:ascii="Calibri" w:hAnsi="Calibri" w:cs="Calibri"/>
        </w:rPr>
        <w:t xml:space="preserve"> (ALARP) and hence there is no simple demarcation between what is acceptable and what is not.</w:t>
      </w:r>
      <w:r w:rsidR="004E318D">
        <w:rPr>
          <w:rFonts w:ascii="Calibri" w:hAnsi="Calibri" w:cs="Calibri"/>
        </w:rPr>
        <w:t xml:space="preserve"> </w:t>
      </w:r>
      <w:r w:rsidR="00485259">
        <w:rPr>
          <w:rFonts w:ascii="Calibri" w:hAnsi="Calibri" w:cs="Calibri"/>
        </w:rPr>
        <w:t xml:space="preserve">Note the ALARP principle is a UK concept that is broadly accepted, which is </w:t>
      </w:r>
      <w:r w:rsidR="007A44F9">
        <w:rPr>
          <w:rFonts w:ascii="Calibri" w:hAnsi="Calibri" w:cs="Calibri"/>
        </w:rPr>
        <w:t>similar</w:t>
      </w:r>
      <w:r w:rsidR="00485259">
        <w:rPr>
          <w:rFonts w:ascii="Calibri" w:hAnsi="Calibri" w:cs="Calibri"/>
        </w:rPr>
        <w:t xml:space="preserve"> to the p</w:t>
      </w:r>
      <w:r w:rsidR="007A44F9">
        <w:rPr>
          <w:rFonts w:ascii="Calibri" w:hAnsi="Calibri" w:cs="Calibri"/>
        </w:rPr>
        <w:t>rinciple</w:t>
      </w:r>
      <w:r w:rsidR="00485259">
        <w:rPr>
          <w:rFonts w:ascii="Calibri" w:hAnsi="Calibri" w:cs="Calibri"/>
        </w:rPr>
        <w:t xml:space="preserve"> ‘as low as reasonably achievable’ (ALARA) used in relation to ionising radiation exposure by other bodies nationally and internationally</w:t>
      </w:r>
      <w:r w:rsidR="00F4311F">
        <w:rPr>
          <w:rFonts w:ascii="Calibri" w:hAnsi="Calibri" w:cs="Calibri"/>
        </w:rPr>
        <w:t xml:space="preserve"> </w:t>
      </w:r>
      <w:r w:rsidR="00F4311F">
        <w:rPr>
          <w:rFonts w:ascii="Calibri" w:hAnsi="Calibri" w:cs="Calibri"/>
        </w:rPr>
        <w:fldChar w:fldCharType="begin" w:fldLock="1"/>
      </w:r>
      <w:r w:rsidR="009F1E36">
        <w:rPr>
          <w:rFonts w:ascii="Calibri" w:hAnsi="Calibri" w:cs="Calibri"/>
        </w:rPr>
        <w:instrText>ADDIN CSL_CITATION {"citationItems":[{"id":"ITEM-1","itemData":{"author":[{"dropping-particle":"","family":"Office for Nuclear Regulation","given":"","non-dropping-particle":"","parse-names":false,"suffix":""}],"id":"ITEM-1","issued":{"date-parts":[["2014"]]},"title":"Safety assessment principles for nuclear facilities","type":"report"},"uris":["http://www.mendeley.com/documents/?uuid=063885bb-3471-4dc1-bdda-d5fa7540cbb6"]}],"mendeley":{"formattedCitation":"[13]","plainTextFormattedCitation":"[13]","previouslyFormattedCitation":"[13]"},"properties":{"noteIndex":0},"schema":"https://github.com/citation-style-language/schema/raw/master/csl-citation.json"}</w:instrText>
      </w:r>
      <w:r w:rsidR="00F4311F">
        <w:rPr>
          <w:rFonts w:ascii="Calibri" w:hAnsi="Calibri" w:cs="Calibri"/>
        </w:rPr>
        <w:fldChar w:fldCharType="separate"/>
      </w:r>
      <w:r w:rsidR="00F4311F" w:rsidRPr="00F4311F">
        <w:rPr>
          <w:rFonts w:ascii="Calibri" w:hAnsi="Calibri" w:cs="Calibri"/>
          <w:noProof/>
        </w:rPr>
        <w:t>[13]</w:t>
      </w:r>
      <w:r w:rsidR="00F4311F">
        <w:rPr>
          <w:rFonts w:ascii="Calibri" w:hAnsi="Calibri" w:cs="Calibri"/>
        </w:rPr>
        <w:fldChar w:fldCharType="end"/>
      </w:r>
      <w:r w:rsidR="00F4311F">
        <w:rPr>
          <w:rFonts w:ascii="Calibri" w:hAnsi="Calibri" w:cs="Calibri"/>
        </w:rPr>
        <w:t xml:space="preserve">. </w:t>
      </w:r>
      <w:r w:rsidR="004E318D">
        <w:rPr>
          <w:rFonts w:ascii="Calibri" w:hAnsi="Calibri" w:cs="Calibri"/>
        </w:rPr>
        <w:t xml:space="preserve">The HSE document “The Tolerability of Risk from Nuclear Power Stations” (TOR) </w:t>
      </w:r>
      <w:r w:rsidR="004E318D">
        <w:rPr>
          <w:rFonts w:ascii="Calibri" w:hAnsi="Calibri" w:cs="Calibri"/>
        </w:rPr>
        <w:fldChar w:fldCharType="begin" w:fldLock="1"/>
      </w:r>
      <w:r w:rsidR="009F1E36">
        <w:rPr>
          <w:rFonts w:ascii="Calibri" w:hAnsi="Calibri" w:cs="Calibri"/>
        </w:rPr>
        <w:instrText>ADDIN CSL_CITATION {"citationItems":[{"id":"ITEM-1","itemData":{"author":[{"dropping-particle":"","family":"Health and Safety Executive (HSE)","given":"","non-dropping-particle":"","parse-names":false,"suffix":""}],"id":"ITEM-1","issued":{"date-parts":[["1988"]]},"title":"The tolerability of risk from nuclear power stations","type":"report"},"uris":["http://www.mendeley.com/documents/?uuid=e1f30fec-7fee-438b-9ff6-c0a5a270aa2a"]}],"mendeley":{"formattedCitation":"[14]","plainTextFormattedCitation":"[14]","previouslyFormattedCitation":"[14]"},"properties":{"noteIndex":0},"schema":"https://github.com/citation-style-language/schema/raw/master/csl-citation.json"}</w:instrText>
      </w:r>
      <w:r w:rsidR="004E318D">
        <w:rPr>
          <w:rFonts w:ascii="Calibri" w:hAnsi="Calibri" w:cs="Calibri"/>
        </w:rPr>
        <w:fldChar w:fldCharType="separate"/>
      </w:r>
      <w:r w:rsidR="00F4311F" w:rsidRPr="00F4311F">
        <w:rPr>
          <w:rFonts w:ascii="Calibri" w:hAnsi="Calibri" w:cs="Calibri"/>
          <w:noProof/>
        </w:rPr>
        <w:t>[14]</w:t>
      </w:r>
      <w:r w:rsidR="004E318D">
        <w:rPr>
          <w:rFonts w:ascii="Calibri" w:hAnsi="Calibri" w:cs="Calibri"/>
        </w:rPr>
        <w:fldChar w:fldCharType="end"/>
      </w:r>
      <w:r w:rsidR="004E318D">
        <w:rPr>
          <w:rFonts w:ascii="Calibri" w:hAnsi="Calibri" w:cs="Calibri"/>
        </w:rPr>
        <w:t xml:space="preserve"> addresses </w:t>
      </w:r>
      <w:r w:rsidR="00702798">
        <w:rPr>
          <w:rFonts w:ascii="Calibri" w:hAnsi="Calibri" w:cs="Calibri"/>
        </w:rPr>
        <w:t>public perceptions and gives guidance on how these perceptions can be translated into risk. Although originally produced for fission reactors, TOR is equally applicable to fusion power reactors and any safety case for a fusion power station would need to demonstrate that the risk was either broadly acceptable (</w:t>
      </w:r>
      <w:r w:rsidR="00147D3A">
        <w:rPr>
          <w:rFonts w:ascii="Calibri" w:hAnsi="Calibri" w:cs="Calibri"/>
        </w:rPr>
        <w:t>10</w:t>
      </w:r>
      <w:r w:rsidR="00147D3A">
        <w:rPr>
          <w:rFonts w:ascii="Calibri" w:hAnsi="Calibri" w:cs="Calibri"/>
          <w:vertAlign w:val="superscript"/>
        </w:rPr>
        <w:t xml:space="preserve">-6 </w:t>
      </w:r>
      <w:r w:rsidR="00147D3A">
        <w:rPr>
          <w:rFonts w:ascii="Calibri" w:hAnsi="Calibri" w:cs="Calibri"/>
        </w:rPr>
        <w:t xml:space="preserve">chance of death/year of operation to a member of the public) or within the ALARP region </w:t>
      </w:r>
      <w:r w:rsidR="006526F9">
        <w:rPr>
          <w:rFonts w:ascii="Calibri" w:hAnsi="Calibri" w:cs="Calibri"/>
        </w:rPr>
        <w:t>(</w:t>
      </w:r>
      <w:r w:rsidR="00147D3A">
        <w:rPr>
          <w:rFonts w:ascii="Calibri" w:hAnsi="Calibri" w:cs="Calibri"/>
        </w:rPr>
        <w:t>less than 10</w:t>
      </w:r>
      <w:r w:rsidR="00147D3A">
        <w:rPr>
          <w:rFonts w:ascii="Calibri" w:hAnsi="Calibri" w:cs="Calibri"/>
          <w:vertAlign w:val="superscript"/>
        </w:rPr>
        <w:t xml:space="preserve">-4 </w:t>
      </w:r>
      <w:r w:rsidR="00147D3A">
        <w:rPr>
          <w:rFonts w:ascii="Calibri" w:hAnsi="Calibri" w:cs="Calibri"/>
        </w:rPr>
        <w:t>but greater than 10</w:t>
      </w:r>
      <w:r w:rsidR="00147D3A">
        <w:rPr>
          <w:rFonts w:ascii="Calibri" w:hAnsi="Calibri" w:cs="Calibri"/>
          <w:vertAlign w:val="superscript"/>
        </w:rPr>
        <w:t xml:space="preserve">-6 </w:t>
      </w:r>
      <w:r w:rsidR="00147D3A">
        <w:rPr>
          <w:rFonts w:ascii="Calibri" w:hAnsi="Calibri" w:cs="Calibri"/>
        </w:rPr>
        <w:t>chance of death/year</w:t>
      </w:r>
      <w:r w:rsidR="006526F9">
        <w:rPr>
          <w:rFonts w:ascii="Calibri" w:hAnsi="Calibri" w:cs="Calibri"/>
        </w:rPr>
        <w:t>)</w:t>
      </w:r>
      <w:r w:rsidR="00147D3A">
        <w:rPr>
          <w:rFonts w:ascii="Calibri" w:hAnsi="Calibri" w:cs="Calibri"/>
        </w:rPr>
        <w:t>. See figure 2 (below).</w:t>
      </w:r>
      <w:r w:rsidR="0015327C">
        <w:rPr>
          <w:rFonts w:ascii="Calibri" w:hAnsi="Calibri" w:cs="Calibri"/>
        </w:rPr>
        <w:t xml:space="preserve"> </w:t>
      </w:r>
    </w:p>
    <w:p w:rsidR="00C916A1" w:rsidRPr="00C916A1" w:rsidRDefault="00FF544A" w:rsidP="00C916A1">
      <w:pPr>
        <w:rPr>
          <w:rFonts w:ascii="Calibri" w:hAnsi="Calibri" w:cs="Calibri"/>
        </w:rPr>
      </w:pPr>
      <w:r w:rsidRPr="00FF544A">
        <w:rPr>
          <w:rFonts w:ascii="Calibri" w:hAnsi="Calibri" w:cs="Calibri"/>
          <w:noProof/>
        </w:rPr>
        <w:lastRenderedPageBreak/>
        <w:drawing>
          <wp:anchor distT="0" distB="0" distL="114300" distR="114300" simplePos="0" relativeHeight="251665408" behindDoc="1" locked="0" layoutInCell="1" allowOverlap="1" wp14:anchorId="537A7420">
            <wp:simplePos x="0" y="0"/>
            <wp:positionH relativeFrom="column">
              <wp:posOffset>675192</wp:posOffset>
            </wp:positionH>
            <wp:positionV relativeFrom="paragraph">
              <wp:posOffset>486</wp:posOffset>
            </wp:positionV>
            <wp:extent cx="4471670" cy="5058410"/>
            <wp:effectExtent l="0" t="0" r="0" b="0"/>
            <wp:wrapTight wrapText="bothSides">
              <wp:wrapPolygon edited="0">
                <wp:start x="0" y="0"/>
                <wp:lineTo x="0" y="21530"/>
                <wp:lineTo x="21533" y="21530"/>
                <wp:lineTo x="21533" y="0"/>
                <wp:lineTo x="0" y="0"/>
              </wp:wrapPolygon>
            </wp:wrapTight>
            <wp:docPr id="2" name="Picture 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71670" cy="5058410"/>
                    </a:xfrm>
                    <a:prstGeom prst="rect">
                      <a:avLst/>
                    </a:prstGeom>
                  </pic:spPr>
                </pic:pic>
              </a:graphicData>
            </a:graphic>
            <wp14:sizeRelH relativeFrom="page">
              <wp14:pctWidth>0</wp14:pctWidth>
            </wp14:sizeRelH>
            <wp14:sizeRelV relativeFrom="page">
              <wp14:pctHeight>0</wp14:pctHeight>
            </wp14:sizeRelV>
          </wp:anchor>
        </w:drawing>
      </w:r>
    </w:p>
    <w:p w:rsidR="00C916A1" w:rsidRDefault="00C916A1" w:rsidP="00AB0372">
      <w:pPr>
        <w:jc w:val="center"/>
        <w:rPr>
          <w:rFonts w:ascii="Calibri" w:hAnsi="Calibri" w:cs="Calibri"/>
          <w:b/>
        </w:rPr>
      </w:pPr>
    </w:p>
    <w:p w:rsidR="00C916A1" w:rsidRDefault="00C916A1"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FF544A" w:rsidRDefault="00FF544A" w:rsidP="00AB0372">
      <w:pPr>
        <w:jc w:val="center"/>
        <w:rPr>
          <w:rFonts w:ascii="Calibri" w:hAnsi="Calibri" w:cs="Calibri"/>
          <w:b/>
        </w:rPr>
      </w:pPr>
    </w:p>
    <w:p w:rsidR="003B7467" w:rsidRPr="00581E68" w:rsidRDefault="00581E68" w:rsidP="00AB0372">
      <w:pPr>
        <w:jc w:val="center"/>
        <w:rPr>
          <w:rFonts w:ascii="Calibri" w:hAnsi="Calibri" w:cs="Calibri"/>
          <w:sz w:val="22"/>
        </w:rPr>
      </w:pPr>
      <w:r w:rsidRPr="00581E68">
        <w:rPr>
          <w:rFonts w:ascii="Calibri" w:hAnsi="Calibri" w:cs="Calibri"/>
          <w:b/>
        </w:rPr>
        <w:t>Figure 2:</w:t>
      </w:r>
      <w:r>
        <w:rPr>
          <w:rFonts w:ascii="Calibri" w:hAnsi="Calibri" w:cs="Calibri"/>
          <w:b/>
        </w:rPr>
        <w:t xml:space="preserve"> </w:t>
      </w:r>
      <w:r>
        <w:rPr>
          <w:rFonts w:ascii="Calibri" w:hAnsi="Calibri" w:cs="Calibri"/>
        </w:rPr>
        <w:t xml:space="preserve">Levels of risk and ALARP. </w:t>
      </w:r>
      <w:r w:rsidR="00FF544A">
        <w:rPr>
          <w:rFonts w:ascii="Calibri" w:hAnsi="Calibri" w:cs="Calibri"/>
        </w:rPr>
        <w:t>Original from</w:t>
      </w:r>
      <w:r>
        <w:rPr>
          <w:rFonts w:ascii="Calibri" w:hAnsi="Calibri" w:cs="Calibri"/>
        </w:rPr>
        <w:t xml:space="preserve"> </w:t>
      </w:r>
      <w:r>
        <w:rPr>
          <w:rFonts w:ascii="Calibri" w:hAnsi="Calibri" w:cs="Calibri"/>
        </w:rPr>
        <w:fldChar w:fldCharType="begin" w:fldLock="1"/>
      </w:r>
      <w:r w:rsidR="009F1E36">
        <w:rPr>
          <w:rFonts w:ascii="Calibri" w:hAnsi="Calibri" w:cs="Calibri"/>
        </w:rPr>
        <w:instrText>ADDIN CSL_CITATION {"citationItems":[{"id":"ITEM-1","itemData":{"author":[{"dropping-particle":"","family":"Health and Safety Executive (HSE)","given":"","non-dropping-particle":"","parse-names":false,"suffix":""}],"id":"ITEM-1","issued":{"date-parts":[["1988"]]},"title":"The tolerability of risk from nuclear power stations","type":"report"},"uris":["http://www.mendeley.com/documents/?uuid=e1f30fec-7fee-438b-9ff6-c0a5a270aa2a"]}],"mendeley":{"formattedCitation":"[14]","plainTextFormattedCitation":"[14]","previouslyFormattedCitation":"[14]"},"properties":{"noteIndex":0},"schema":"https://github.com/citation-style-language/schema/raw/master/csl-citation.json"}</w:instrText>
      </w:r>
      <w:r>
        <w:rPr>
          <w:rFonts w:ascii="Calibri" w:hAnsi="Calibri" w:cs="Calibri"/>
        </w:rPr>
        <w:fldChar w:fldCharType="separate"/>
      </w:r>
      <w:r w:rsidR="00F4311F" w:rsidRPr="00F4311F">
        <w:rPr>
          <w:rFonts w:ascii="Calibri" w:hAnsi="Calibri" w:cs="Calibri"/>
          <w:noProof/>
        </w:rPr>
        <w:t>[14]</w:t>
      </w:r>
      <w:r>
        <w:rPr>
          <w:rFonts w:ascii="Calibri" w:hAnsi="Calibri" w:cs="Calibri"/>
        </w:rPr>
        <w:fldChar w:fldCharType="end"/>
      </w:r>
      <w:r w:rsidR="00FF544A">
        <w:rPr>
          <w:rFonts w:ascii="Calibri" w:hAnsi="Calibri" w:cs="Calibri"/>
        </w:rPr>
        <w:t xml:space="preserve"> (Edited)</w:t>
      </w:r>
    </w:p>
    <w:p w:rsidR="00BA566B" w:rsidRDefault="00BA566B" w:rsidP="00ED0F2E">
      <w:pPr>
        <w:rPr>
          <w:rFonts w:ascii="Calibri" w:hAnsi="Calibri" w:cs="Calibri"/>
          <w:b/>
          <w:sz w:val="28"/>
        </w:rPr>
      </w:pPr>
    </w:p>
    <w:p w:rsidR="00D83924" w:rsidRDefault="00D83924" w:rsidP="00ED0F2E">
      <w:pPr>
        <w:rPr>
          <w:rFonts w:ascii="Calibri" w:hAnsi="Calibri" w:cs="Calibri"/>
          <w:b/>
          <w:sz w:val="28"/>
        </w:rPr>
      </w:pPr>
      <w:r>
        <w:rPr>
          <w:rFonts w:ascii="Calibri" w:hAnsi="Calibri" w:cs="Calibri"/>
          <w:b/>
          <w:sz w:val="28"/>
        </w:rPr>
        <w:t xml:space="preserve">3 Nuclear </w:t>
      </w:r>
      <w:r w:rsidR="00FA7531">
        <w:rPr>
          <w:rFonts w:ascii="Calibri" w:hAnsi="Calibri" w:cs="Calibri"/>
          <w:b/>
          <w:sz w:val="28"/>
        </w:rPr>
        <w:t>S</w:t>
      </w:r>
      <w:r>
        <w:rPr>
          <w:rFonts w:ascii="Calibri" w:hAnsi="Calibri" w:cs="Calibri"/>
          <w:b/>
          <w:sz w:val="28"/>
        </w:rPr>
        <w:t xml:space="preserve">afety </w:t>
      </w:r>
      <w:r w:rsidR="00FA7531">
        <w:rPr>
          <w:rFonts w:ascii="Calibri" w:hAnsi="Calibri" w:cs="Calibri"/>
          <w:b/>
          <w:sz w:val="28"/>
        </w:rPr>
        <w:t>O</w:t>
      </w:r>
      <w:r>
        <w:rPr>
          <w:rFonts w:ascii="Calibri" w:hAnsi="Calibri" w:cs="Calibri"/>
          <w:b/>
          <w:sz w:val="28"/>
        </w:rPr>
        <w:t>bjectives</w:t>
      </w:r>
    </w:p>
    <w:p w:rsidR="00C82779" w:rsidRDefault="00C82779" w:rsidP="00ED0F2E">
      <w:pPr>
        <w:rPr>
          <w:rFonts w:ascii="Calibri" w:hAnsi="Calibri" w:cs="Calibri"/>
          <w:b/>
          <w:sz w:val="28"/>
        </w:rPr>
      </w:pPr>
    </w:p>
    <w:p w:rsidR="00C82779" w:rsidRDefault="00C82779" w:rsidP="00ED0F2E">
      <w:pPr>
        <w:rPr>
          <w:rFonts w:ascii="Calibri" w:hAnsi="Calibri" w:cs="Calibri"/>
          <w:bCs/>
          <w:szCs w:val="22"/>
        </w:rPr>
      </w:pPr>
      <w:r>
        <w:rPr>
          <w:rFonts w:ascii="Calibri" w:hAnsi="Calibri" w:cs="Calibri"/>
          <w:bCs/>
          <w:szCs w:val="22"/>
        </w:rPr>
        <w:t xml:space="preserve">The top-level safety objectives for </w:t>
      </w:r>
      <w:r w:rsidR="00207F7E">
        <w:rPr>
          <w:rFonts w:ascii="Calibri" w:hAnsi="Calibri" w:cs="Calibri"/>
          <w:bCs/>
          <w:szCs w:val="22"/>
        </w:rPr>
        <w:t xml:space="preserve">the </w:t>
      </w:r>
      <w:r w:rsidR="00717960">
        <w:rPr>
          <w:rFonts w:ascii="Calibri" w:hAnsi="Calibri" w:cs="Calibri"/>
          <w:bCs/>
          <w:szCs w:val="22"/>
        </w:rPr>
        <w:t>DEMO</w:t>
      </w:r>
      <w:r w:rsidR="00207F7E">
        <w:rPr>
          <w:rFonts w:ascii="Calibri" w:hAnsi="Calibri" w:cs="Calibri"/>
          <w:bCs/>
          <w:szCs w:val="22"/>
        </w:rPr>
        <w:t xml:space="preserve"> facility</w:t>
      </w:r>
      <w:r>
        <w:rPr>
          <w:rFonts w:ascii="Calibri" w:hAnsi="Calibri" w:cs="Calibri"/>
          <w:bCs/>
          <w:szCs w:val="22"/>
        </w:rPr>
        <w:t xml:space="preserve"> are based on international guidelines and </w:t>
      </w:r>
      <w:r w:rsidR="00E375C7">
        <w:rPr>
          <w:rFonts w:ascii="Calibri" w:hAnsi="Calibri" w:cs="Calibri"/>
          <w:bCs/>
          <w:szCs w:val="22"/>
        </w:rPr>
        <w:t>similar</w:t>
      </w:r>
      <w:r>
        <w:rPr>
          <w:rFonts w:ascii="Calibri" w:hAnsi="Calibri" w:cs="Calibri"/>
          <w:bCs/>
          <w:szCs w:val="22"/>
        </w:rPr>
        <w:t xml:space="preserve"> to those adopted by any nuclear facility</w:t>
      </w:r>
      <w:r w:rsidR="00AD1C4A">
        <w:rPr>
          <w:rFonts w:ascii="Calibri" w:hAnsi="Calibri" w:cs="Calibri"/>
          <w:bCs/>
          <w:szCs w:val="22"/>
        </w:rPr>
        <w:t xml:space="preserve"> </w:t>
      </w:r>
      <w:r w:rsidR="00AD1C4A">
        <w:rPr>
          <w:rFonts w:ascii="Calibri" w:hAnsi="Calibri" w:cs="Calibri"/>
          <w:bCs/>
          <w:szCs w:val="22"/>
        </w:rPr>
        <w:fldChar w:fldCharType="begin" w:fldLock="1"/>
      </w:r>
      <w:r w:rsidR="00C14502">
        <w:rPr>
          <w:rFonts w:ascii="Calibri" w:hAnsi="Calibri" w:cs="Calibri"/>
          <w:bCs/>
          <w:szCs w:val="22"/>
        </w:rPr>
        <w:instrText>ADDIN CSL_CITATION {"citationItems":[{"id":"ITEM-1","itemData":{"DOI":"10.1016/j.fusengdes.2018.11.049","ISSN":"09203796","abstract":"Pre-conceptual design studies for a European Demonstration Fusion Power Plant (DEMO) have been in progress since 2014. At this stage, while a range of design options are being considered, assessments of the safety and environmental impact of these options are carried out. This is to ensure that the DEMO plant is optimized for safety performance, and that it will demonstrate the favourable safety and environmental characteristics of fusion energy as part of its mission. To this end, safety studies have been under way since the start of the project, to set clear safety objectives and requirements, to analyse the response of the plant to off-normal events, to assess hazardous inventories, to develop strategies to minimize them, and to identify the main potential contributors to environmental releases and to occupational radiation exposure. Development of computer codes and models for safety analysis is accompanied by selected experimental activities focused on improving their validation, and these models have been used for initial studies of postulated accident scenarios, selected by a formal methodology. Studies of key aspects of waste management are also performed, to minimize the waste burden of DEMO and of fusion power plants that will follow.","author":[{"dropping-particle":"","family":"Taylor","given":"Neill","non-dropping-particle":"","parse-names":false,"suffix":""},{"dropping-particle":"","family":"Ciattaglia","given":"Sergio","non-dropping-particle":"","parse-names":false,"suffix":""},{"dropping-particle":"","family":"Coombs","given":"Dave","non-dropping-particle":"","parse-names":false,"suffix":""},{"dropping-particle":"","family":"Jin","given":"Xue Zhou","non-dropping-particle":"","parse-names":false,"suffix":""},{"dropping-particle":"","family":"Johnston","given":"Jane","non-dropping-particle":"","parse-names":false,"suffix":""},{"dropping-particle":"","family":"Liger","given":"Karine","non-dropping-particle":"","parse-names":false,"suffix":""},{"dropping-particle":"","family":"Mazzini","given":"Guido","non-dropping-particle":"","parse-names":false,"suffix":""},{"dropping-particle":"","family":"Mora","given":"Juan Carlos","non-dropping-particle":"","parse-names":false,"suffix":""},{"dropping-particle":"","family":"Pinna","given":"Tonio","non-dropping-particle":"","parse-names":false,"suffix":""},{"dropping-particle":"","family":"Porfiri","given":"Maria Teresa","non-dropping-particle":"","parse-names":false,"suffix":""},{"dropping-particle":"","family":"Urbonavicius","given":"Egidijus","non-dropping-particle":"","parse-names":false,"suffix":""},{"dropping-particle":"","family":"Vale","given":"Robert","non-dropping-particle":"","parse-names":false,"suffix":""},{"dropping-particle":"","family":"Widdowson","given":"Anna","non-dropping-particle":"","parse-names":false,"suffix":""}],"container-title":"Fusion Engineering and Design","id":"ITEM-1","issue":"December 2018","issued":{"date-parts":[["2018"]]},"page":"111-114","title":"Safety and environment studies for a European DEMO design concept","type":"article-journal","volume":"146"},"uris":["http://www.mendeley.com/documents/?uuid=6949df98-a104-4f3a-8da7-8ad9d3838a53"]}],"mendeley":{"formattedCitation":"[15]","plainTextFormattedCitation":"[15]","previouslyFormattedCitation":"[15]"},"properties":{"noteIndex":0},"schema":"https://github.com/citation-style-language/schema/raw/master/csl-citation.json"}</w:instrText>
      </w:r>
      <w:r w:rsidR="00AD1C4A">
        <w:rPr>
          <w:rFonts w:ascii="Calibri" w:hAnsi="Calibri" w:cs="Calibri"/>
          <w:bCs/>
          <w:szCs w:val="22"/>
        </w:rPr>
        <w:fldChar w:fldCharType="separate"/>
      </w:r>
      <w:r w:rsidR="00AD1C4A" w:rsidRPr="00AD1C4A">
        <w:rPr>
          <w:rFonts w:ascii="Calibri" w:hAnsi="Calibri" w:cs="Calibri"/>
          <w:bCs/>
          <w:noProof/>
          <w:szCs w:val="22"/>
        </w:rPr>
        <w:t>[15]</w:t>
      </w:r>
      <w:r w:rsidR="00AD1C4A">
        <w:rPr>
          <w:rFonts w:ascii="Calibri" w:hAnsi="Calibri" w:cs="Calibri"/>
          <w:bCs/>
          <w:szCs w:val="22"/>
        </w:rPr>
        <w:fldChar w:fldCharType="end"/>
      </w:r>
      <w:r w:rsidR="00207F7E">
        <w:rPr>
          <w:rFonts w:ascii="Calibri" w:hAnsi="Calibri" w:cs="Calibri"/>
          <w:bCs/>
          <w:szCs w:val="22"/>
        </w:rPr>
        <w:t>. The</w:t>
      </w:r>
      <w:r w:rsidR="00725F0B">
        <w:rPr>
          <w:rFonts w:ascii="Calibri" w:hAnsi="Calibri" w:cs="Calibri"/>
          <w:bCs/>
          <w:szCs w:val="22"/>
        </w:rPr>
        <w:t>se</w:t>
      </w:r>
      <w:r w:rsidR="00207F7E">
        <w:rPr>
          <w:rFonts w:ascii="Calibri" w:hAnsi="Calibri" w:cs="Calibri"/>
          <w:bCs/>
          <w:szCs w:val="22"/>
        </w:rPr>
        <w:t xml:space="preserve"> are:</w:t>
      </w:r>
    </w:p>
    <w:p w:rsidR="000056F5" w:rsidRDefault="000056F5" w:rsidP="00ED0F2E">
      <w:pPr>
        <w:rPr>
          <w:rFonts w:ascii="Calibri" w:hAnsi="Calibri" w:cs="Calibri"/>
          <w:bCs/>
          <w:szCs w:val="22"/>
        </w:rPr>
      </w:pPr>
    </w:p>
    <w:p w:rsidR="000056F5" w:rsidRDefault="000056F5" w:rsidP="000056F5">
      <w:pPr>
        <w:pStyle w:val="ListParagraph"/>
        <w:numPr>
          <w:ilvl w:val="0"/>
          <w:numId w:val="5"/>
        </w:numPr>
        <w:rPr>
          <w:rFonts w:ascii="Calibri" w:hAnsi="Calibri" w:cs="Calibri"/>
          <w:bCs/>
          <w:szCs w:val="22"/>
        </w:rPr>
      </w:pPr>
      <w:r>
        <w:rPr>
          <w:rFonts w:ascii="Calibri" w:hAnsi="Calibri" w:cs="Calibri"/>
          <w:bCs/>
          <w:szCs w:val="22"/>
        </w:rPr>
        <w:t>to protect workers, the public, and the environment from harm;</w:t>
      </w:r>
    </w:p>
    <w:p w:rsidR="000056F5" w:rsidRDefault="000056F5" w:rsidP="000056F5">
      <w:pPr>
        <w:pStyle w:val="ListParagraph"/>
        <w:numPr>
          <w:ilvl w:val="0"/>
          <w:numId w:val="5"/>
        </w:numPr>
        <w:rPr>
          <w:rFonts w:ascii="Calibri" w:hAnsi="Calibri" w:cs="Calibri"/>
          <w:bCs/>
          <w:szCs w:val="22"/>
        </w:rPr>
      </w:pPr>
      <w:r>
        <w:rPr>
          <w:rFonts w:ascii="Calibri" w:hAnsi="Calibri" w:cs="Calibri"/>
          <w:bCs/>
          <w:szCs w:val="22"/>
        </w:rPr>
        <w:t xml:space="preserve">to ensure in normal operation that exposure to hazards within the </w:t>
      </w:r>
      <w:r w:rsidR="001D35E2">
        <w:rPr>
          <w:rFonts w:ascii="Calibri" w:hAnsi="Calibri" w:cs="Calibri"/>
          <w:bCs/>
          <w:szCs w:val="22"/>
        </w:rPr>
        <w:t>facility</w:t>
      </w:r>
      <w:r>
        <w:rPr>
          <w:rFonts w:ascii="Calibri" w:hAnsi="Calibri" w:cs="Calibri"/>
          <w:bCs/>
          <w:szCs w:val="22"/>
        </w:rPr>
        <w:t xml:space="preserve"> and due to release of hazardous material from the </w:t>
      </w:r>
      <w:r w:rsidR="001D35E2">
        <w:rPr>
          <w:rFonts w:ascii="Calibri" w:hAnsi="Calibri" w:cs="Calibri"/>
          <w:bCs/>
          <w:szCs w:val="22"/>
        </w:rPr>
        <w:t>facility</w:t>
      </w:r>
      <w:r>
        <w:rPr>
          <w:rFonts w:ascii="Calibri" w:hAnsi="Calibri" w:cs="Calibri"/>
          <w:bCs/>
          <w:szCs w:val="22"/>
        </w:rPr>
        <w:t xml:space="preserve"> is controlled, kept below prescribed limit</w:t>
      </w:r>
      <w:r w:rsidR="004F21EC">
        <w:rPr>
          <w:rFonts w:ascii="Calibri" w:hAnsi="Calibri" w:cs="Calibri"/>
          <w:bCs/>
          <w:szCs w:val="22"/>
        </w:rPr>
        <w:t>s</w:t>
      </w:r>
      <w:r>
        <w:rPr>
          <w:rFonts w:ascii="Calibri" w:hAnsi="Calibri" w:cs="Calibri"/>
          <w:bCs/>
          <w:szCs w:val="22"/>
        </w:rPr>
        <w:t xml:space="preserve"> and minimised to be as low as reasonably achievable;</w:t>
      </w:r>
    </w:p>
    <w:p w:rsidR="000056F5" w:rsidRDefault="000056F5" w:rsidP="000056F5">
      <w:pPr>
        <w:pStyle w:val="ListParagraph"/>
        <w:numPr>
          <w:ilvl w:val="0"/>
          <w:numId w:val="5"/>
        </w:numPr>
        <w:rPr>
          <w:rFonts w:ascii="Calibri" w:hAnsi="Calibri" w:cs="Calibri"/>
          <w:bCs/>
          <w:szCs w:val="22"/>
        </w:rPr>
      </w:pPr>
      <w:r>
        <w:rPr>
          <w:rFonts w:ascii="Calibri" w:hAnsi="Calibri" w:cs="Calibri"/>
          <w:bCs/>
          <w:szCs w:val="22"/>
        </w:rPr>
        <w:t>to ensure that the likelihood of accidents is minimised and that their consequences are bounded;</w:t>
      </w:r>
    </w:p>
    <w:p w:rsidR="001D35E2" w:rsidRDefault="001D35E2" w:rsidP="000056F5">
      <w:pPr>
        <w:pStyle w:val="ListParagraph"/>
        <w:numPr>
          <w:ilvl w:val="0"/>
          <w:numId w:val="5"/>
        </w:numPr>
        <w:rPr>
          <w:rFonts w:ascii="Calibri" w:hAnsi="Calibri" w:cs="Calibri"/>
          <w:bCs/>
          <w:szCs w:val="22"/>
        </w:rPr>
      </w:pPr>
      <w:r>
        <w:rPr>
          <w:rFonts w:ascii="Calibri" w:hAnsi="Calibri" w:cs="Calibri"/>
          <w:bCs/>
          <w:szCs w:val="22"/>
        </w:rPr>
        <w:t>to ensure that the consequences of more frequent incidents, if any, are minor;</w:t>
      </w:r>
    </w:p>
    <w:p w:rsidR="001D35E2" w:rsidRDefault="001D35E2" w:rsidP="000056F5">
      <w:pPr>
        <w:pStyle w:val="ListParagraph"/>
        <w:numPr>
          <w:ilvl w:val="0"/>
          <w:numId w:val="5"/>
        </w:numPr>
        <w:rPr>
          <w:rFonts w:ascii="Calibri" w:hAnsi="Calibri" w:cs="Calibri"/>
          <w:bCs/>
          <w:szCs w:val="22"/>
        </w:rPr>
      </w:pPr>
      <w:r>
        <w:rPr>
          <w:rFonts w:ascii="Calibri" w:hAnsi="Calibri" w:cs="Calibri"/>
          <w:bCs/>
          <w:szCs w:val="22"/>
        </w:rPr>
        <w:t>to apply a safety approach that limits the hazards from accidents such that in any event there is no need for public evacuation on technical grounds;</w:t>
      </w:r>
    </w:p>
    <w:p w:rsidR="000056F5" w:rsidRDefault="000056F5" w:rsidP="000056F5">
      <w:pPr>
        <w:pStyle w:val="ListParagraph"/>
        <w:numPr>
          <w:ilvl w:val="0"/>
          <w:numId w:val="5"/>
        </w:numPr>
        <w:rPr>
          <w:rFonts w:ascii="Calibri" w:hAnsi="Calibri" w:cs="Calibri"/>
          <w:bCs/>
          <w:szCs w:val="22"/>
        </w:rPr>
      </w:pPr>
      <w:r>
        <w:rPr>
          <w:rFonts w:ascii="Calibri" w:hAnsi="Calibri" w:cs="Calibri"/>
          <w:bCs/>
          <w:szCs w:val="22"/>
        </w:rPr>
        <w:t>to minimise radioactive waste hazards and volumes and ensure that they are as low as reasonably achievable.</w:t>
      </w:r>
    </w:p>
    <w:p w:rsidR="000056F5" w:rsidRDefault="000056F5" w:rsidP="000056F5">
      <w:pPr>
        <w:rPr>
          <w:rFonts w:ascii="Calibri" w:hAnsi="Calibri" w:cs="Calibri"/>
          <w:bCs/>
          <w:szCs w:val="22"/>
        </w:rPr>
      </w:pPr>
    </w:p>
    <w:p w:rsidR="00542A3C" w:rsidRDefault="000056F5" w:rsidP="000056F5">
      <w:pPr>
        <w:rPr>
          <w:rFonts w:ascii="Calibri" w:hAnsi="Calibri" w:cs="Calibri"/>
          <w:bCs/>
          <w:szCs w:val="22"/>
        </w:rPr>
      </w:pPr>
      <w:r>
        <w:rPr>
          <w:rFonts w:ascii="Calibri" w:hAnsi="Calibri" w:cs="Calibri"/>
          <w:bCs/>
          <w:szCs w:val="22"/>
        </w:rPr>
        <w:t xml:space="preserve">These are worthy high-level goals and </w:t>
      </w:r>
      <w:r w:rsidR="00D34C8D">
        <w:rPr>
          <w:rFonts w:ascii="Calibri" w:hAnsi="Calibri" w:cs="Calibri"/>
          <w:bCs/>
          <w:szCs w:val="22"/>
        </w:rPr>
        <w:t xml:space="preserve">are consistent with those adopted for the PPCS; hence, similar objectives should be appropriate for a fusion </w:t>
      </w:r>
      <w:r w:rsidR="00DD2F6B">
        <w:rPr>
          <w:rFonts w:ascii="Calibri" w:hAnsi="Calibri" w:cs="Calibri"/>
          <w:bCs/>
          <w:szCs w:val="22"/>
        </w:rPr>
        <w:t>reactor for electricity generation</w:t>
      </w:r>
      <w:r w:rsidR="00D34C8D">
        <w:rPr>
          <w:rFonts w:ascii="Calibri" w:hAnsi="Calibri" w:cs="Calibri"/>
          <w:bCs/>
          <w:szCs w:val="22"/>
        </w:rPr>
        <w:t xml:space="preserve">. </w:t>
      </w:r>
      <w:r w:rsidR="00DA4BC5">
        <w:rPr>
          <w:rFonts w:ascii="Calibri" w:hAnsi="Calibri" w:cs="Calibri"/>
          <w:bCs/>
          <w:szCs w:val="22"/>
        </w:rPr>
        <w:t xml:space="preserve">In the case of the second principle, however, the overarching priority should be the limitation of risk as set out in the TOR document. The final principle </w:t>
      </w:r>
      <w:r w:rsidR="00DA4BC5">
        <w:rPr>
          <w:rFonts w:ascii="Calibri" w:hAnsi="Calibri" w:cs="Calibri"/>
        </w:rPr>
        <w:t>provides a challenge to designers to choose appropriate materials that can minimise neutron induced activation.</w:t>
      </w:r>
    </w:p>
    <w:p w:rsidR="00003D1D" w:rsidRDefault="00003D1D" w:rsidP="00ED0F2E">
      <w:pPr>
        <w:rPr>
          <w:rFonts w:ascii="Calibri" w:hAnsi="Calibri" w:cs="Calibri"/>
          <w:b/>
          <w:sz w:val="28"/>
        </w:rPr>
      </w:pPr>
    </w:p>
    <w:p w:rsidR="00581E68" w:rsidRDefault="002F3735" w:rsidP="00ED0F2E">
      <w:pPr>
        <w:rPr>
          <w:rFonts w:ascii="Calibri" w:hAnsi="Calibri" w:cs="Calibri"/>
          <w:b/>
          <w:sz w:val="28"/>
        </w:rPr>
      </w:pPr>
      <w:r>
        <w:rPr>
          <w:rFonts w:ascii="Calibri" w:hAnsi="Calibri" w:cs="Calibri"/>
          <w:b/>
          <w:sz w:val="28"/>
        </w:rPr>
        <w:t xml:space="preserve">4 </w:t>
      </w:r>
      <w:r w:rsidR="007E1C35">
        <w:rPr>
          <w:rFonts w:ascii="Calibri" w:hAnsi="Calibri" w:cs="Calibri"/>
          <w:b/>
          <w:sz w:val="28"/>
        </w:rPr>
        <w:t xml:space="preserve">Safety Related </w:t>
      </w:r>
      <w:r>
        <w:rPr>
          <w:rFonts w:ascii="Calibri" w:hAnsi="Calibri" w:cs="Calibri"/>
          <w:b/>
          <w:sz w:val="28"/>
        </w:rPr>
        <w:t>Inventories</w:t>
      </w:r>
    </w:p>
    <w:p w:rsidR="00000C83" w:rsidRDefault="00000C83" w:rsidP="00ED0F2E">
      <w:pPr>
        <w:rPr>
          <w:rFonts w:ascii="Calibri" w:hAnsi="Calibri" w:cs="Calibri"/>
          <w:b/>
          <w:sz w:val="28"/>
        </w:rPr>
      </w:pPr>
    </w:p>
    <w:p w:rsidR="00000C83" w:rsidRPr="00000C83" w:rsidRDefault="00000C83" w:rsidP="00ED0F2E">
      <w:pPr>
        <w:rPr>
          <w:rFonts w:ascii="Calibri" w:hAnsi="Calibri" w:cs="Calibri"/>
          <w:bCs/>
          <w:szCs w:val="22"/>
        </w:rPr>
      </w:pPr>
      <w:r>
        <w:rPr>
          <w:rFonts w:ascii="Calibri" w:hAnsi="Calibri" w:cs="Calibri"/>
          <w:bCs/>
          <w:szCs w:val="22"/>
        </w:rPr>
        <w:t>To meet the above principles the design of fusion power plants must take account of the hazard potential that result from a number of features, some unique to fusion power. The inherent features of a fusion power plant that give rise to these hazard potentials are the energy and radioactive materials inventories.</w:t>
      </w:r>
    </w:p>
    <w:p w:rsidR="002F3735" w:rsidRDefault="002F3735" w:rsidP="00ED0F2E">
      <w:pPr>
        <w:rPr>
          <w:rFonts w:ascii="Calibri" w:hAnsi="Calibri" w:cs="Calibri"/>
          <w:b/>
          <w:sz w:val="28"/>
        </w:rPr>
      </w:pPr>
    </w:p>
    <w:p w:rsidR="002F3735" w:rsidRDefault="002F3735" w:rsidP="00ED0F2E">
      <w:pPr>
        <w:rPr>
          <w:rFonts w:ascii="Calibri" w:hAnsi="Calibri" w:cs="Calibri"/>
          <w:b/>
        </w:rPr>
      </w:pPr>
      <w:r w:rsidRPr="002641E7">
        <w:rPr>
          <w:rFonts w:ascii="Calibri" w:hAnsi="Calibri" w:cs="Calibri"/>
          <w:b/>
        </w:rPr>
        <w:t xml:space="preserve">4.1 Energy </w:t>
      </w:r>
      <w:r w:rsidR="00144DFC">
        <w:rPr>
          <w:rFonts w:ascii="Calibri" w:hAnsi="Calibri" w:cs="Calibri"/>
          <w:b/>
        </w:rPr>
        <w:t>I</w:t>
      </w:r>
      <w:r w:rsidRPr="002641E7">
        <w:rPr>
          <w:rFonts w:ascii="Calibri" w:hAnsi="Calibri" w:cs="Calibri"/>
          <w:b/>
        </w:rPr>
        <w:t>nventories</w:t>
      </w:r>
    </w:p>
    <w:p w:rsidR="003132E1" w:rsidRDefault="003132E1" w:rsidP="00ED0F2E">
      <w:pPr>
        <w:rPr>
          <w:rFonts w:ascii="Calibri" w:hAnsi="Calibri" w:cs="Calibri"/>
          <w:b/>
        </w:rPr>
      </w:pPr>
    </w:p>
    <w:p w:rsidR="003132E1" w:rsidRDefault="003132E1" w:rsidP="00ED0F2E">
      <w:pPr>
        <w:rPr>
          <w:rFonts w:ascii="Calibri" w:hAnsi="Calibri" w:cs="Calibri"/>
          <w:b/>
        </w:rPr>
      </w:pPr>
      <w:r w:rsidRPr="00643B47">
        <w:rPr>
          <w:rFonts w:ascii="Calibri" w:hAnsi="Calibri" w:cs="Calibri"/>
        </w:rPr>
        <w:t>Energy inventories play a crucial role in the safety analysis of a fusion reactor. Stored energies have the potential to break confinement barriers and mobilise radioactive elements, releasing them into the environment.</w:t>
      </w:r>
    </w:p>
    <w:p w:rsidR="00144DFC" w:rsidRDefault="00144DFC" w:rsidP="00ED0F2E">
      <w:pPr>
        <w:rPr>
          <w:rFonts w:ascii="Calibri" w:hAnsi="Calibri" w:cs="Calibri"/>
          <w:b/>
        </w:rPr>
      </w:pPr>
    </w:p>
    <w:p w:rsidR="00144DFC" w:rsidRPr="00144DFC" w:rsidRDefault="00144DFC" w:rsidP="00ED0F2E">
      <w:pPr>
        <w:rPr>
          <w:rFonts w:ascii="Calibri" w:hAnsi="Calibri" w:cs="Calibri"/>
          <w:b/>
          <w:i/>
        </w:rPr>
      </w:pPr>
      <w:r w:rsidRPr="00144DFC">
        <w:rPr>
          <w:rFonts w:ascii="Calibri" w:hAnsi="Calibri" w:cs="Calibri"/>
          <w:b/>
          <w:i/>
        </w:rPr>
        <w:t>4.1.1 In-vessel Fuel Energy</w:t>
      </w:r>
    </w:p>
    <w:p w:rsidR="00386218" w:rsidRDefault="00386218" w:rsidP="00ED0F2E">
      <w:pPr>
        <w:rPr>
          <w:rFonts w:ascii="Calibri" w:hAnsi="Calibri" w:cs="Calibri"/>
          <w:b/>
          <w:sz w:val="28"/>
        </w:rPr>
      </w:pPr>
    </w:p>
    <w:p w:rsidR="003875F8" w:rsidRDefault="002F3735" w:rsidP="005908A0">
      <w:pPr>
        <w:tabs>
          <w:tab w:val="left" w:pos="2166"/>
        </w:tabs>
        <w:rPr>
          <w:rFonts w:ascii="Calibri" w:hAnsi="Calibri" w:cs="Calibri"/>
        </w:rPr>
      </w:pPr>
      <w:r w:rsidRPr="00643B47">
        <w:rPr>
          <w:rFonts w:ascii="Calibri" w:hAnsi="Calibri" w:cs="Calibri"/>
        </w:rPr>
        <w:t>The SEAFP and SEAL studies</w:t>
      </w:r>
      <w:r w:rsidR="00412968">
        <w:rPr>
          <w:rFonts w:ascii="Calibri" w:hAnsi="Calibri" w:cs="Calibri"/>
        </w:rPr>
        <w:t xml:space="preserve"> </w:t>
      </w:r>
      <w:r w:rsidR="00412968">
        <w:rPr>
          <w:rFonts w:ascii="Calibri" w:hAnsi="Calibri" w:cs="Calibri"/>
        </w:rPr>
        <w:fldChar w:fldCharType="begin" w:fldLock="1"/>
      </w:r>
      <w:r w:rsidR="00706BF8">
        <w:rPr>
          <w:rFonts w:ascii="Calibri" w:hAnsi="Calibri" w:cs="Calibri"/>
        </w:rPr>
        <w:instrText>ADDIN CSL_CITATION {"citationItems":[{"id":"ITEM-1","itemData":{"ISSN":"0269-9702","author":[{"dropping-particle":"","family":"Raeder","given":"J.","non-dropping-particle":"","parse-names":false,"suffix":""},{"dropping-particle":"","family":"Cook","given":"I","non-dropping-particle":"","parse-names":false,"suffix":""},{"dropping-particle":"","family":"Morgensten","given":"F.H","non-dropping-particle":"","parse-names":false,"suffix":""},{"dropping-particle":"","family":"Salpietro","given":"E","non-dropping-particle":"","parse-names":false,"suffix":""},{"dropping-particle":"","family":"Bunde","given":"R","non-dropping-particle":"","parse-names":false,"suffix":""},{"dropping-particle":"","family":"Ebert","given":"E","non-dropping-particle":"","parse-names":false,"suffix":""}],"id":"ITEM-1","issue":"June","issued":{"date-parts":[["1995"]]},"publisher-place":"Brussels","title":"Safety and Environmental Assessment of Fusion Power (SEAFP) Report of the SEAFP Project","type":"report"},"uris":["http://www.mendeley.com/documents/?uuid=c3d71ddb-1d0e-482f-b0d2-aee19363b400"]},{"id":"ITEM-2","itemData":{"DOI":"10.1016/S0920-3796(00)00291-X","ISSN":"09203796","abstract":"The Safety and Environmental Assessment of Fusion Power (SEAFP) programme undertaken in the period 1992-1995 formed part of the ongoing effort in the European Fusion Programme to consider the safety and environmental aspects of fusion power. The assessment started with the development of a tokamak fusion power plant model of 3000 MW of fusion power. The analyses of safety included detailed consideration of effluents from normal operation, occupational doses, accidents (concentrating on the worst possible), and waste management. SEAFP was also the starting point for the Safety and Environmental Assessment of Fusion Power - Long Term Programme (SEAL) initiated within the European Fusion Programme in 1995. SEAL aims at broadening the scope and elaborating selected aspects in more detail. SEAFP and SEAL confirmed the favourable safety and environmental characteristics of fusion power. They also confirmed the need to support these characteristics by dedicated materials development and safety-related design decisions. Recently, a new study on fusion safety (SEAFP-2) has been launched, defined for the time period 1997-1998, using SEAFP and SEAL findings as starting points.","author":[{"dropping-particle":"","family":"Gulden","given":"W.","non-dropping-particle":"","parse-names":false,"suffix":""},{"dropping-particle":"","family":"Raeder","given":"J.","non-dropping-particle":"","parse-names":false,"suffix":""},{"dropping-particle":"","family":"Cook","given":"I.","non-dropping-particle":"","parse-names":false,"suffix":""}],"container-title":"Fusion Engineering and Design","id":"ITEM-2","issued":{"date-parts":[["2000"]]},"page":"429-434","title":"SEAFP and SEAL: Safety and environmental aspects","type":"article-journal","volume":"51-52"},"uris":["http://www.mendeley.com/documents/?uuid=be89b5f7-263a-4c27-a2d2-c271fe4b4b48"]}],"mendeley":{"formattedCitation":"[2], [3]","plainTextFormattedCitation":"[2], [3]","previouslyFormattedCitation":"[2], [3]"},"properties":{"noteIndex":0},"schema":"https://github.com/citation-style-language/schema/raw/master/csl-citation.json"}</w:instrText>
      </w:r>
      <w:r w:rsidR="00412968">
        <w:rPr>
          <w:rFonts w:ascii="Calibri" w:hAnsi="Calibri" w:cs="Calibri"/>
        </w:rPr>
        <w:fldChar w:fldCharType="separate"/>
      </w:r>
      <w:r w:rsidR="00412968" w:rsidRPr="00412968">
        <w:rPr>
          <w:rFonts w:ascii="Calibri" w:hAnsi="Calibri" w:cs="Calibri"/>
          <w:noProof/>
        </w:rPr>
        <w:t>[2], [3]</w:t>
      </w:r>
      <w:r w:rsidR="00412968">
        <w:rPr>
          <w:rFonts w:ascii="Calibri" w:hAnsi="Calibri" w:cs="Calibri"/>
        </w:rPr>
        <w:fldChar w:fldCharType="end"/>
      </w:r>
      <w:r w:rsidRPr="00643B47">
        <w:rPr>
          <w:rFonts w:ascii="Calibri" w:hAnsi="Calibri" w:cs="Calibri"/>
        </w:rPr>
        <w:t xml:space="preserve"> </w:t>
      </w:r>
      <w:r w:rsidR="0004486D">
        <w:rPr>
          <w:rFonts w:ascii="Calibri" w:hAnsi="Calibri" w:cs="Calibri"/>
        </w:rPr>
        <w:t xml:space="preserve">identified the various energy sources present in a </w:t>
      </w:r>
      <w:r w:rsidR="00AA26E9">
        <w:rPr>
          <w:rFonts w:ascii="Calibri" w:hAnsi="Calibri" w:cs="Calibri"/>
        </w:rPr>
        <w:t xml:space="preserve">commercial fusion power plant concept. </w:t>
      </w:r>
      <w:r w:rsidR="0004486D">
        <w:rPr>
          <w:rFonts w:ascii="Calibri" w:hAnsi="Calibri" w:cs="Calibri"/>
        </w:rPr>
        <w:t xml:space="preserve">The studies produced conservative estimates of the significant energy sources and showed that the in-vessel fuel inventory was not a primary safety concern. This finding was based upon the fact that in the event of a plant malfunction or accident, the fusion process would be terminated by shutting off the fuel supply to the plasma. </w:t>
      </w:r>
      <w:r w:rsidR="00DB53F0">
        <w:rPr>
          <w:rFonts w:ascii="Calibri" w:hAnsi="Calibri" w:cs="Calibri"/>
        </w:rPr>
        <w:t>The estimated maximum energy that could be released from the residual fuel in the fusion chamber was estimated to be some 6.5 GJ (equivalent to the energy released when a barrel of oil combusts). This is not sufficient to challenge the integrity of the vacuum vesse</w:t>
      </w:r>
      <w:r w:rsidR="00706BF8">
        <w:rPr>
          <w:rFonts w:ascii="Calibri" w:hAnsi="Calibri" w:cs="Calibri"/>
        </w:rPr>
        <w:t>l.</w:t>
      </w:r>
      <w:r w:rsidR="00BC45E3">
        <w:rPr>
          <w:rFonts w:ascii="Calibri" w:hAnsi="Calibri" w:cs="Calibri"/>
        </w:rPr>
        <w:t xml:space="preserve"> </w:t>
      </w:r>
      <w:r w:rsidR="006342E2">
        <w:rPr>
          <w:rFonts w:ascii="Calibri" w:hAnsi="Calibri" w:cs="Calibri"/>
        </w:rPr>
        <w:t xml:space="preserve">Note this value does not take into account the additional energy from potential combustion of adsorbed hydrogen on PFC surfaces. Further work is needed to accurately determine these additional source terms and evaluate their energy release. </w:t>
      </w:r>
      <w:r w:rsidR="00706BF8">
        <w:rPr>
          <w:rFonts w:ascii="Calibri" w:hAnsi="Calibri" w:cs="Calibri"/>
        </w:rPr>
        <w:t xml:space="preserve">The studies also found that the plasma thermal energy is not a primary safety concern. Its stored energy was estimated to be only 1-2 GJ. </w:t>
      </w:r>
    </w:p>
    <w:p w:rsidR="0039686F" w:rsidRPr="0039686F" w:rsidRDefault="0039686F" w:rsidP="005908A0">
      <w:pPr>
        <w:tabs>
          <w:tab w:val="left" w:pos="2166"/>
        </w:tabs>
        <w:rPr>
          <w:rFonts w:ascii="Calibri" w:hAnsi="Calibri" w:cs="Calibri"/>
        </w:rPr>
      </w:pPr>
    </w:p>
    <w:p w:rsidR="00D82E4E" w:rsidRPr="00D82E4E" w:rsidRDefault="00D82E4E" w:rsidP="005908A0">
      <w:pPr>
        <w:tabs>
          <w:tab w:val="left" w:pos="2166"/>
        </w:tabs>
        <w:rPr>
          <w:rFonts w:eastAsiaTheme="minorEastAsia"/>
          <w:b/>
          <w:i/>
        </w:rPr>
      </w:pPr>
      <w:r w:rsidRPr="00D82E4E">
        <w:rPr>
          <w:rFonts w:eastAsiaTheme="minorEastAsia"/>
          <w:b/>
          <w:i/>
        </w:rPr>
        <w:t>4.1.2 Magnetic Energy</w:t>
      </w:r>
    </w:p>
    <w:p w:rsidR="00D82E4E" w:rsidRDefault="00D82E4E" w:rsidP="005908A0">
      <w:pPr>
        <w:tabs>
          <w:tab w:val="left" w:pos="2166"/>
        </w:tabs>
        <w:rPr>
          <w:rFonts w:eastAsiaTheme="minorEastAsia"/>
        </w:rPr>
      </w:pPr>
    </w:p>
    <w:p w:rsidR="00742CAF" w:rsidRDefault="00EC4EB7" w:rsidP="00DC44DB">
      <w:pPr>
        <w:tabs>
          <w:tab w:val="left" w:pos="2166"/>
        </w:tabs>
        <w:rPr>
          <w:rFonts w:eastAsiaTheme="minorEastAsia"/>
        </w:rPr>
      </w:pPr>
      <w:r>
        <w:rPr>
          <w:rFonts w:eastAsiaTheme="minorEastAsia"/>
        </w:rPr>
        <w:t xml:space="preserve">The magnetic energy inventory in a fusion reactor is expected to be relatively large, with toroidal and poloidal coils having energies up to 180 GJ and 50 GJ, respectively. Failure of the magnet systems </w:t>
      </w:r>
      <w:r w:rsidR="00742CAF">
        <w:rPr>
          <w:rFonts w:eastAsiaTheme="minorEastAsia"/>
        </w:rPr>
        <w:t xml:space="preserve">could result in the discharge of this energy into the </w:t>
      </w:r>
      <w:r w:rsidR="003E1069">
        <w:rPr>
          <w:rFonts w:eastAsiaTheme="minorEastAsia"/>
        </w:rPr>
        <w:t xml:space="preserve">wall of the first confinement barrier (the vacuum vessel) or </w:t>
      </w:r>
      <w:r w:rsidR="00742CAF">
        <w:rPr>
          <w:rFonts w:eastAsiaTheme="minorEastAsia"/>
        </w:rPr>
        <w:t xml:space="preserve">structural components of the containment system. </w:t>
      </w:r>
      <w:r w:rsidR="00887A6B">
        <w:rPr>
          <w:rFonts w:eastAsiaTheme="minorEastAsia"/>
        </w:rPr>
        <w:t>It is worth noting that multiple penetrations will be present in the vacuum vessel wall (for auxiliary systems such as heating and diagnostics) and these are the weakest sections of the wall. I</w:t>
      </w:r>
      <w:r w:rsidR="00820BE6">
        <w:rPr>
          <w:rFonts w:eastAsiaTheme="minorEastAsia"/>
        </w:rPr>
        <w:t>f the energy from the magnets is discharged into a small area of the vacuum vessel wall</w:t>
      </w:r>
      <w:r w:rsidR="00887A6B">
        <w:rPr>
          <w:rFonts w:eastAsiaTheme="minorEastAsia"/>
        </w:rPr>
        <w:t xml:space="preserve"> (or its penetrations)</w:t>
      </w:r>
      <w:r w:rsidR="00820BE6">
        <w:rPr>
          <w:rFonts w:eastAsiaTheme="minorEastAsia"/>
        </w:rPr>
        <w:t xml:space="preserve"> it can result in melting of the steel and the initiation </w:t>
      </w:r>
      <w:r w:rsidR="00820BE6">
        <w:rPr>
          <w:rFonts w:eastAsiaTheme="minorEastAsia"/>
        </w:rPr>
        <w:lastRenderedPageBreak/>
        <w:t xml:space="preserve">of a loss of vacuum accident (LOVA) </w:t>
      </w:r>
      <w:r w:rsidR="00820BE6">
        <w:rPr>
          <w:rFonts w:eastAsiaTheme="minorEastAsia"/>
        </w:rPr>
        <w:fldChar w:fldCharType="begin" w:fldLock="1"/>
      </w:r>
      <w:r w:rsidR="00820BE6">
        <w:rPr>
          <w:rFonts w:eastAsiaTheme="minorEastAsia"/>
        </w:rPr>
        <w:instrText>ADDIN CSL_CITATION {"citationItems":[{"id":"ITEM-1","itemData":{"ISSN":"0269-9702","author":[{"dropping-particle":"","family":"Raeder","given":"J.","non-dropping-particle":"","parse-names":false,"suffix":""},{"dropping-particle":"","family":"Cook","given":"I","non-dropping-particle":"","parse-names":false,"suffix":""},{"dropping-particle":"","family":"Morgensten","given":"F.H","non-dropping-particle":"","parse-names":false,"suffix":""},{"dropping-particle":"","family":"Salpietro","given":"E","non-dropping-particle":"","parse-names":false,"suffix":""},{"dropping-particle":"","family":"Bunde","given":"R","non-dropping-particle":"","parse-names":false,"suffix":""},{"dropping-particle":"","family":"Ebert","given":"E","non-dropping-particle":"","parse-names":false,"suffix":""}],"id":"ITEM-1","issue":"June","issued":{"date-parts":[["1995"]]},"publisher-place":"Brussels","title":"Safety and Environmental Assessment of Fusion Power (SEAFP) Report of the SEAFP Project","type":"report"},"uris":["http://www.mendeley.com/documents/?uuid=c3d71ddb-1d0e-482f-b0d2-aee19363b400"]}],"mendeley":{"formattedCitation":"[2]","plainTextFormattedCitation":"[2]","previouslyFormattedCitation":"[2]"},"properties":{"noteIndex":0},"schema":"https://github.com/citation-style-language/schema/raw/master/csl-citation.json"}</w:instrText>
      </w:r>
      <w:r w:rsidR="00820BE6">
        <w:rPr>
          <w:rFonts w:eastAsiaTheme="minorEastAsia"/>
        </w:rPr>
        <w:fldChar w:fldCharType="separate"/>
      </w:r>
      <w:r w:rsidR="00820BE6" w:rsidRPr="006D5F05">
        <w:rPr>
          <w:rFonts w:eastAsiaTheme="minorEastAsia"/>
          <w:noProof/>
        </w:rPr>
        <w:t>[2]</w:t>
      </w:r>
      <w:r w:rsidR="00820BE6">
        <w:rPr>
          <w:rFonts w:eastAsiaTheme="minorEastAsia"/>
        </w:rPr>
        <w:fldChar w:fldCharType="end"/>
      </w:r>
      <w:r w:rsidR="00820BE6">
        <w:rPr>
          <w:rFonts w:eastAsiaTheme="minorEastAsia"/>
        </w:rPr>
        <w:t>.</w:t>
      </w:r>
      <w:r w:rsidR="00D50BA7">
        <w:rPr>
          <w:rFonts w:eastAsiaTheme="minorEastAsia"/>
        </w:rPr>
        <w:t xml:space="preserve"> Coil quench occurs when part of the superconducting coil suddenly enters the resistive state, as a result of excursions over limits of temperature, magnetic field, and current density </w:t>
      </w:r>
      <w:r w:rsidR="00D50BA7">
        <w:rPr>
          <w:rFonts w:eastAsiaTheme="minorEastAsia"/>
        </w:rPr>
        <w:fldChar w:fldCharType="begin" w:fldLock="1"/>
      </w:r>
      <w:r w:rsidR="009F1E36">
        <w:rPr>
          <w:rFonts w:eastAsiaTheme="minorEastAsia"/>
        </w:rPr>
        <w:instrText>ADDIN CSL_CITATION {"citationItems":[{"id":"ITEM-1","itemData":{"DOI":"10.1109/ICEMS.2011.6073779","ISBN":"9781457710445","abstract":"High DC current interruption system and large energy dissipation system are required for the protection of ITER superconductive coils. The ITER superconducting magnets will store up to 56 GJ of magnetic energy per operation cycle. In case of coil quench and other fault conditions the energy stored in the coils must be discharged quickly and safely within a discharge time constant from 7.5 to 14 second. It can be achieved by Fast Discharge Unit (FDU), which consists of DC circuit breaker and energy dump resistors. The paper will present its peculiarities and challenging issues and the design and simulation results of FDU system. © 2011 IEEE.","author":[{"dropping-particle":"","family":"Song","given":"Inho","non-dropping-particle":"","parse-names":false,"suffix":""},{"dropping-particle":"","family":"Roshal","given":"Alexander","non-dropping-particle":"","parse-names":false,"suffix":""},{"dropping-particle":"","family":"Tanchuk","given":"Victor","non-dropping-particle":"","parse-names":false,"suffix":""},{"dropping-particle":"","family":"Thomsen","given":"Jeff","non-dropping-particle":"","parse-names":false,"suffix":""},{"dropping-particle":"","family":"Milani","given":"Francesco","non-dropping-particle":"","parse-names":false,"suffix":""},{"dropping-particle":"","family":"Benfatto","given":"Ivone","non-dropping-particle":"","parse-names":false,"suffix":""}],"container-title":"2011 International Conference on Electrical Machines and Systems, ICEMS 2011","id":"ITEM-1","issued":{"date-parts":[["2011"]]},"title":"The fast discharge system of ITER superconducting magnets","type":"article-journal"},"uris":["http://www.mendeley.com/documents/?uuid=74c1bc02-ff24-407c-bc89-b193e841c261"]}],"mendeley":{"formattedCitation":"[16]","plainTextFormattedCitation":"[16]","previouslyFormattedCitation":"[16]"},"properties":{"noteIndex":0},"schema":"https://github.com/citation-style-language/schema/raw/master/csl-citation.json"}</w:instrText>
      </w:r>
      <w:r w:rsidR="00D50BA7">
        <w:rPr>
          <w:rFonts w:eastAsiaTheme="minorEastAsia"/>
        </w:rPr>
        <w:fldChar w:fldCharType="separate"/>
      </w:r>
      <w:r w:rsidR="00F4311F" w:rsidRPr="00F4311F">
        <w:rPr>
          <w:rFonts w:eastAsiaTheme="minorEastAsia"/>
          <w:noProof/>
        </w:rPr>
        <w:t>[16]</w:t>
      </w:r>
      <w:r w:rsidR="00D50BA7">
        <w:rPr>
          <w:rFonts w:eastAsiaTheme="minorEastAsia"/>
        </w:rPr>
        <w:fldChar w:fldCharType="end"/>
      </w:r>
      <w:r w:rsidR="00D50BA7">
        <w:rPr>
          <w:rFonts w:eastAsiaTheme="minorEastAsia"/>
        </w:rPr>
        <w:t xml:space="preserve">. In this situation, the magnetic energy from the coil must be removed as soon as possible, in order to prevent arcing and damage to adjacent structures. This accident scenario is recognised in the ITER safety case and the ITER design has included an accident mitigation system. </w:t>
      </w:r>
    </w:p>
    <w:p w:rsidR="00BB5342" w:rsidRDefault="00BB5342" w:rsidP="00DC44DB">
      <w:pPr>
        <w:tabs>
          <w:tab w:val="left" w:pos="2166"/>
        </w:tabs>
        <w:rPr>
          <w:rFonts w:eastAsiaTheme="minorEastAsia"/>
        </w:rPr>
      </w:pPr>
    </w:p>
    <w:p w:rsidR="00BB5342" w:rsidRDefault="00BB5342" w:rsidP="00DC44DB">
      <w:pPr>
        <w:tabs>
          <w:tab w:val="left" w:pos="2166"/>
        </w:tabs>
        <w:rPr>
          <w:rFonts w:eastAsiaTheme="minorEastAsia"/>
        </w:rPr>
      </w:pPr>
      <w:r>
        <w:rPr>
          <w:rFonts w:eastAsiaTheme="minorEastAsia"/>
        </w:rPr>
        <w:t xml:space="preserve">This potential hazard is common to any magnetic confinement fusion plant and hence all fusion reactor designs will need to have a similar mitigation system to that proposed for ITER. The ITER system includes real-time monitoring, plasma control, and stabilisation of magneto-hydrodynamic (MHD) modes </w:t>
      </w:r>
      <w:r>
        <w:rPr>
          <w:rFonts w:eastAsiaTheme="minorEastAsia"/>
        </w:rPr>
        <w:fldChar w:fldCharType="begin" w:fldLock="1"/>
      </w:r>
      <w:r w:rsidR="009F1E36">
        <w:rPr>
          <w:rFonts w:eastAsiaTheme="minorEastAsia"/>
        </w:rPr>
        <w:instrText>ADDIN CSL_CITATION {"citationItems":[{"id":"ITEM-1","itemData":{"abstract":"This paper presents the multiple set of requirements for the ITER magnetic diagnostic systems and the current status of the various R&amp;D activities performed by the EU partners.","author":[{"dropping-particle":"","family":"Testa","given":"D","non-dropping-particle":"","parse-names":false,"suffix":""},{"dropping-particle":"","family":"Toussaint","given":"M","non-dropping-particle":"","parse-names":false,"suffix":""},{"dropping-particle":"","family":"Chavan","given":"R","non-dropping-particle":"","parse-names":false,"suffix":""},{"dropping-particle":"","family":"Guterl","given":"J","non-dropping-particle":"","parse-names":false,"suffix":""},{"dropping-particle":"","family":"Lister","given":"J B","non-dropping-particle":"","parse-names":false,"suffix":""},{"dropping-particle":"","family":"Moret","given":"J-m","non-dropping-particle":"","parse-names":false,"suffix":""},{"dropping-particle":"","family":"Perez","given":"A","non-dropping-particle":"","parse-names":false,"suffix":""},{"dropping-particle":"","family":"Sanchez","given":"F","non-dropping-particle":"","parse-names":false,"suffix":""},{"dropping-particle":"","family":"Schaller","given":"B","non-dropping-particle":"","parse-names":false,"suffix":""},{"dropping-particle":"","family":"Tonetti","given":"G","non-dropping-particle":"","parse-names":false,"suffix":""},{"dropping-particle":"","family":"Encheva","given":"A","non-dropping-particle":"","parse-names":false,"suffix":""},{"dropping-particle":"","family":"Vayakis","given":"G","non-dropping-particle":"","parse-names":false,"suffix":""},{"dropping-particle":"","family":"Walker","given":"C","non-dropping-particle":"","parse-names":false,"suffix":""},{"dropping-particle":"","family":"Fournier","given":"Y","non-dropping-particle":"","parse-names":false,"suffix":""},{"dropping-particle":"","family":"Maeder","given":"T","non-dropping-particle":"","parse-names":false,"suffix":""},{"dropping-particle":"","family":"Le-Luyer","given":"A","non-dropping-particle":"","parse-names":false,"suffix":""},{"dropping-particle":"","family":"Moreau","given":"Ph","non-dropping-particle":"","parse-names":false,"suffix":""},{"dropping-particle":"","family":"Chitarin","given":"G","non-dropping-particle":"","parse-names":false,"suffix":""},{"dropping-particle":"","family":"Alessi","given":"E","non-dropping-particle":"","parse-names":false,"suffix":""},{"dropping-particle":"","family":"Delogu","given":"R S","non-dropping-particle":"","parse-names":false,"suffix":""},{"dropping-particle":"","family":"Gallo","given":"A","non-dropping-particle":"","parse-names":false,"suffix":""},{"dropping-particle":"","family":"Marconato","given":"N","non-dropping-particle":"","parse-names":false,"suffix":""},{"dropping-particle":"","family":"Peruzzo","given":"S","non-dropping-particle":"","parse-names":false,"suffix":""},{"dropping-particle":"","family":"Preindl","given":"M","non-dropping-particle":"","parse-names":false,"suffix":""},{"dropping-particle":"","family":"Carfantan","given":"H","non-dropping-particle":"","parse-names":false,"suffix":""},{"dropping-particle":"","family":"Hodgson","given":"E","non-dropping-particle":"","parse-names":false,"suffix":""},{"dropping-particle":"","family":"Romero","given":"J","non-dropping-particle":"","parse-names":false,"suffix":""},{"dropping-particle":"","family":"Vila","given":"R","non-dropping-particle":"","parse-names":false,"suffix":""},{"dropping-particle":"","family":"Brichard","given":"B","non-dropping-particle":"","parse-names":false,"suffix":""},{"dropping-particle":"","family":"Vermeeren","given":"L","non-dropping-particle":"","parse-names":false,"suffix":""}],"id":"ITEM-1","issued":{"date-parts":[["2009"]]},"number-of-pages":"1-4","title":"The Magnetic Diagnostic Set for ITER","type":"report"},"uris":["http://www.mendeley.com/documents/?uuid=b13a926b-bd56-40af-9686-73a1c54e85bf"]}],"mendeley":{"formattedCitation":"[17]","plainTextFormattedCitation":"[17]","previouslyFormattedCitation":"[17]"},"properties":{"noteIndex":0},"schema":"https://github.com/citation-style-language/schema/raw/master/csl-citation.json"}</w:instrText>
      </w:r>
      <w:r>
        <w:rPr>
          <w:rFonts w:eastAsiaTheme="minorEastAsia"/>
        </w:rPr>
        <w:fldChar w:fldCharType="separate"/>
      </w:r>
      <w:r w:rsidR="00F4311F" w:rsidRPr="00F4311F">
        <w:rPr>
          <w:rFonts w:eastAsiaTheme="minorEastAsia"/>
          <w:noProof/>
        </w:rPr>
        <w:t>[17]</w:t>
      </w:r>
      <w:r>
        <w:rPr>
          <w:rFonts w:eastAsiaTheme="minorEastAsia"/>
        </w:rPr>
        <w:fldChar w:fldCharType="end"/>
      </w:r>
      <w:r>
        <w:rPr>
          <w:rFonts w:eastAsiaTheme="minorEastAsia"/>
        </w:rPr>
        <w:t xml:space="preserve">. As an example, in the case of coil quench, ITER’s superconducting magnets are fitted with a fast discharge system for quench protection. This system dumps the energy safely through the use of energy dump resistors. During a quench, the flow of current is interrupted and dumped into Fast Discharge Units (FDUs). These are energy dump resistors that discharge the magnets and dissipate the stored magnetic energy as heat </w:t>
      </w:r>
      <w:r>
        <w:rPr>
          <w:rFonts w:eastAsiaTheme="minorEastAsia"/>
        </w:rPr>
        <w:fldChar w:fldCharType="begin" w:fldLock="1"/>
      </w:r>
      <w:r w:rsidR="009F1E36">
        <w:rPr>
          <w:rFonts w:eastAsiaTheme="minorEastAsia"/>
        </w:rPr>
        <w:instrText>ADDIN CSL_CITATION {"citationItems":[{"id":"ITEM-1","itemData":{"DOI":"10.1109/ICEMS.2011.6073779","ISBN":"9781457710445","abstract":"High DC current interruption system and large energy dissipation system are required for the protection of ITER superconductive coils. The ITER superconducting magnets will store up to 56 GJ of magnetic energy per operation cycle. In case of coil quench and other fault conditions the energy stored in the coils must be discharged quickly and safely within a discharge time constant from 7.5 to 14 second. It can be achieved by Fast Discharge Unit (FDU), which consists of DC circuit breaker and energy dump resistors. The paper will present its peculiarities and challenging issues and the design and simulation results of FDU system. © 2011 IEEE.","author":[{"dropping-particle":"","family":"Song","given":"Inho","non-dropping-particle":"","parse-names":false,"suffix":""},{"dropping-particle":"","family":"Roshal","given":"Alexander","non-dropping-particle":"","parse-names":false,"suffix":""},{"dropping-particle":"","family":"Tanchuk","given":"Victor","non-dropping-particle":"","parse-names":false,"suffix":""},{"dropping-particle":"","family":"Thomsen","given":"Jeff","non-dropping-particle":"","parse-names":false,"suffix":""},{"dropping-particle":"","family":"Milani","given":"Francesco","non-dropping-particle":"","parse-names":false,"suffix":""},{"dropping-particle":"","family":"Benfatto","given":"Ivone","non-dropping-particle":"","parse-names":false,"suffix":""}],"container-title":"2011 International Conference on Electrical Machines and Systems, ICEMS 2011","id":"ITEM-1","issued":{"date-parts":[["2011"]]},"title":"The fast discharge system of ITER superconducting magnets","type":"article-journal"},"uris":["http://www.mendeley.com/documents/?uuid=74c1bc02-ff24-407c-bc89-b193e841c261"]}],"mendeley":{"formattedCitation":"[16]","plainTextFormattedCitation":"[16]","previouslyFormattedCitation":"[16]"},"properties":{"noteIndex":0},"schema":"https://github.com/citation-style-language/schema/raw/master/csl-citation.json"}</w:instrText>
      </w:r>
      <w:r>
        <w:rPr>
          <w:rFonts w:eastAsiaTheme="minorEastAsia"/>
        </w:rPr>
        <w:fldChar w:fldCharType="separate"/>
      </w:r>
      <w:r w:rsidR="00F4311F" w:rsidRPr="00F4311F">
        <w:rPr>
          <w:rFonts w:eastAsiaTheme="minorEastAsia"/>
          <w:noProof/>
        </w:rPr>
        <w:t>[16]</w:t>
      </w:r>
      <w:r>
        <w:rPr>
          <w:rFonts w:eastAsiaTheme="minorEastAsia"/>
        </w:rPr>
        <w:fldChar w:fldCharType="end"/>
      </w:r>
      <w:r>
        <w:rPr>
          <w:rFonts w:eastAsiaTheme="minorEastAsia"/>
        </w:rPr>
        <w:t>. In ITER, the toroidal field FDUs are classified as safety important components (SIC</w:t>
      </w:r>
      <w:r w:rsidR="00885555">
        <w:rPr>
          <w:rFonts w:eastAsiaTheme="minorEastAsia"/>
        </w:rPr>
        <w:t>s</w:t>
      </w:r>
      <w:r>
        <w:rPr>
          <w:rFonts w:eastAsiaTheme="minorEastAsia"/>
        </w:rPr>
        <w:t xml:space="preserve">) and perform the safety function of protecting the vacuum vessel </w:t>
      </w:r>
      <w:r>
        <w:rPr>
          <w:rFonts w:eastAsiaTheme="minorEastAsia"/>
        </w:rPr>
        <w:fldChar w:fldCharType="begin" w:fldLock="1"/>
      </w:r>
      <w:r w:rsidR="009F1E36">
        <w:rPr>
          <w:rFonts w:eastAsiaTheme="minorEastAsia"/>
        </w:rPr>
        <w:instrText>ADDIN CSL_CITATION {"citationItems":[{"id":"ITEM-1","itemData":{"DOI":"10.1109/ICEMS.2011.6073779","ISBN":"9781457710445","abstract":"High DC current interruption system and large energy dissipation system are required for the protection of ITER superconductive coils. The ITER superconducting magnets will store up to 56 GJ of magnetic energy per operation cycle. In case of coil quench and other fault conditions the energy stored in the coils must be discharged quickly and safely within a discharge time constant from 7.5 to 14 second. It can be achieved by Fast Discharge Unit (FDU), which consists of DC circuit breaker and energy dump resistors. The paper will present its peculiarities and challenging issues and the design and simulation results of FDU system. © 2011 IEEE.","author":[{"dropping-particle":"","family":"Song","given":"Inho","non-dropping-particle":"","parse-names":false,"suffix":""},{"dropping-particle":"","family":"Roshal","given":"Alexander","non-dropping-particle":"","parse-names":false,"suffix":""},{"dropping-particle":"","family":"Tanchuk","given":"Victor","non-dropping-particle":"","parse-names":false,"suffix":""},{"dropping-particle":"","family":"Thomsen","given":"Jeff","non-dropping-particle":"","parse-names":false,"suffix":""},{"dropping-particle":"","family":"Milani","given":"Francesco","non-dropping-particle":"","parse-names":false,"suffix":""},{"dropping-particle":"","family":"Benfatto","given":"Ivone","non-dropping-particle":"","parse-names":false,"suffix":""}],"container-title":"2011 International Conference on Electrical Machines and Systems, ICEMS 2011","id":"ITEM-1","issued":{"date-parts":[["2011"]]},"title":"The fast discharge system of ITER superconducting magnets","type":"article-journal"},"uris":["http://www.mendeley.com/documents/?uuid=74c1bc02-ff24-407c-bc89-b193e841c261"]}],"mendeley":{"formattedCitation":"[16]","plainTextFormattedCitation":"[16]","previouslyFormattedCitation":"[16]"},"properties":{"noteIndex":0},"schema":"https://github.com/citation-style-language/schema/raw/master/csl-citation.json"}</w:instrText>
      </w:r>
      <w:r>
        <w:rPr>
          <w:rFonts w:eastAsiaTheme="minorEastAsia"/>
        </w:rPr>
        <w:fldChar w:fldCharType="separate"/>
      </w:r>
      <w:r w:rsidR="00F4311F" w:rsidRPr="00F4311F">
        <w:rPr>
          <w:rFonts w:eastAsiaTheme="minorEastAsia"/>
          <w:noProof/>
        </w:rPr>
        <w:t>[16]</w:t>
      </w:r>
      <w:r>
        <w:rPr>
          <w:rFonts w:eastAsiaTheme="minorEastAsia"/>
        </w:rPr>
        <w:fldChar w:fldCharType="end"/>
      </w:r>
      <w:r>
        <w:rPr>
          <w:rFonts w:eastAsiaTheme="minorEastAsia"/>
        </w:rPr>
        <w:t>.</w:t>
      </w:r>
    </w:p>
    <w:p w:rsidR="00BB5342" w:rsidRDefault="00BB5342" w:rsidP="00DC44DB">
      <w:pPr>
        <w:tabs>
          <w:tab w:val="left" w:pos="2166"/>
        </w:tabs>
        <w:rPr>
          <w:rFonts w:eastAsiaTheme="minorEastAsia"/>
        </w:rPr>
      </w:pPr>
    </w:p>
    <w:p w:rsidR="00BB5342" w:rsidRDefault="00BB5342" w:rsidP="00DC44DB">
      <w:pPr>
        <w:tabs>
          <w:tab w:val="left" w:pos="2166"/>
        </w:tabs>
        <w:rPr>
          <w:rFonts w:eastAsiaTheme="minorEastAsia"/>
        </w:rPr>
      </w:pPr>
      <w:r>
        <w:rPr>
          <w:rFonts w:eastAsiaTheme="minorEastAsia"/>
        </w:rPr>
        <w:t xml:space="preserve">As the magnetic energy inventories in </w:t>
      </w:r>
      <w:r w:rsidR="00691748">
        <w:rPr>
          <w:rFonts w:eastAsiaTheme="minorEastAsia"/>
        </w:rPr>
        <w:t>a demonstration fusion reactor (</w:t>
      </w:r>
      <w:r>
        <w:rPr>
          <w:rFonts w:eastAsiaTheme="minorEastAsia"/>
        </w:rPr>
        <w:t>DEMO</w:t>
      </w:r>
      <w:r w:rsidR="00691748">
        <w:rPr>
          <w:rFonts w:eastAsiaTheme="minorEastAsia"/>
        </w:rPr>
        <w:t>)</w:t>
      </w:r>
      <w:r>
        <w:rPr>
          <w:rFonts w:eastAsiaTheme="minorEastAsia"/>
        </w:rPr>
        <w:t>, or any other fusion power plant, are expected to be larger than in ITER, the coil quench protection system will be an essential safety design feature, and the substantiation of its performance a major component of the plant’s design and operational safety case.</w:t>
      </w:r>
    </w:p>
    <w:p w:rsidR="00D50BA7" w:rsidRDefault="00D50BA7" w:rsidP="00DC44DB">
      <w:pPr>
        <w:tabs>
          <w:tab w:val="left" w:pos="2166"/>
        </w:tabs>
        <w:rPr>
          <w:rFonts w:eastAsiaTheme="minorEastAsia"/>
        </w:rPr>
      </w:pPr>
    </w:p>
    <w:p w:rsidR="006143EA" w:rsidRPr="007A2827" w:rsidRDefault="006143EA" w:rsidP="00DC44DB">
      <w:pPr>
        <w:tabs>
          <w:tab w:val="left" w:pos="2166"/>
        </w:tabs>
        <w:rPr>
          <w:rFonts w:eastAsiaTheme="minorEastAsia"/>
          <w:b/>
          <w:i/>
        </w:rPr>
      </w:pPr>
    </w:p>
    <w:p w:rsidR="007A2827" w:rsidRPr="007A2827" w:rsidRDefault="007A2827" w:rsidP="00DC44DB">
      <w:pPr>
        <w:tabs>
          <w:tab w:val="left" w:pos="2166"/>
        </w:tabs>
        <w:rPr>
          <w:rFonts w:eastAsiaTheme="minorEastAsia"/>
          <w:b/>
          <w:i/>
        </w:rPr>
      </w:pPr>
      <w:r w:rsidRPr="007A2827">
        <w:rPr>
          <w:rFonts w:eastAsiaTheme="minorEastAsia"/>
          <w:b/>
          <w:i/>
        </w:rPr>
        <w:t>4.1.3 Plasma Facing Component Stored Heat</w:t>
      </w:r>
    </w:p>
    <w:p w:rsidR="00581E68" w:rsidRDefault="00581E68" w:rsidP="00ED0F2E">
      <w:pPr>
        <w:rPr>
          <w:rFonts w:ascii="Calibri" w:hAnsi="Calibri" w:cs="Calibri"/>
          <w:b/>
          <w:sz w:val="28"/>
        </w:rPr>
      </w:pPr>
    </w:p>
    <w:p w:rsidR="00AA268D" w:rsidRPr="00F04990" w:rsidRDefault="003C5191" w:rsidP="00ED0F2E">
      <w:pPr>
        <w:rPr>
          <w:rFonts w:ascii="Calibri" w:hAnsi="Calibri" w:cs="Calibri"/>
        </w:rPr>
      </w:pPr>
      <w:r>
        <w:rPr>
          <w:rFonts w:ascii="Calibri" w:hAnsi="Calibri" w:cs="Calibri"/>
        </w:rPr>
        <w:t xml:space="preserve">The heat generated </w:t>
      </w:r>
      <w:r w:rsidR="001E26C6">
        <w:rPr>
          <w:rFonts w:ascii="Calibri" w:hAnsi="Calibri" w:cs="Calibri"/>
        </w:rPr>
        <w:t xml:space="preserve">from the radioactive </w:t>
      </w:r>
      <w:r>
        <w:rPr>
          <w:rFonts w:ascii="Calibri" w:hAnsi="Calibri" w:cs="Calibri"/>
        </w:rPr>
        <w:t>decay of</w:t>
      </w:r>
      <w:r w:rsidR="001E26C6">
        <w:rPr>
          <w:rFonts w:ascii="Calibri" w:hAnsi="Calibri" w:cs="Calibri"/>
        </w:rPr>
        <w:t xml:space="preserve"> activated</w:t>
      </w:r>
      <w:r>
        <w:rPr>
          <w:rFonts w:ascii="Calibri" w:hAnsi="Calibri" w:cs="Calibri"/>
        </w:rPr>
        <w:t xml:space="preserve"> plasma facing components (PFCs) must be taken into account </w:t>
      </w:r>
      <w:r w:rsidR="001E26C6">
        <w:rPr>
          <w:rFonts w:ascii="Calibri" w:hAnsi="Calibri" w:cs="Calibri"/>
        </w:rPr>
        <w:t>because</w:t>
      </w:r>
      <w:r>
        <w:rPr>
          <w:rFonts w:ascii="Calibri" w:hAnsi="Calibri" w:cs="Calibri"/>
        </w:rPr>
        <w:t xml:space="preserve"> </w:t>
      </w:r>
      <w:r w:rsidR="001E26C6">
        <w:rPr>
          <w:rFonts w:ascii="Calibri" w:hAnsi="Calibri" w:cs="Calibri"/>
        </w:rPr>
        <w:t>of</w:t>
      </w:r>
      <w:r>
        <w:rPr>
          <w:rFonts w:ascii="Calibri" w:hAnsi="Calibri" w:cs="Calibri"/>
        </w:rPr>
        <w:t xml:space="preserve"> its potential to magnify consequences </w:t>
      </w:r>
      <w:r w:rsidR="001E26C6">
        <w:rPr>
          <w:rFonts w:ascii="Calibri" w:hAnsi="Calibri" w:cs="Calibri"/>
        </w:rPr>
        <w:t xml:space="preserve">of accidents. </w:t>
      </w:r>
      <w:r>
        <w:t xml:space="preserve">The major structural material expected to be used in fusion plants is the reduced activation martensitic steel Eurofer </w:t>
      </w:r>
      <w:r>
        <w:fldChar w:fldCharType="begin" w:fldLock="1"/>
      </w:r>
      <w:r w:rsidR="009F1E36">
        <w:instrText>ADDIN CSL_CITATION {"citationItems":[{"id":"ITEM-1","itemData":{"DOI":"10.1016/S0920-3796(03)00337-5","abstract":"Ferritic martensitic steels show limited swelling and susceptibility to helium effects and can be made with low activation chemical compositions. These properties make them the reference steel for the development of breeding blankets in fusion power plants. EUROFER97 is the European implementation of such a steel, where experience gained from an IEA co-operation with Japan and the US is also implemented. Results obtained so far show that EUROFER steel has attractive mechanical properties even after long ageing times. Compatibility tests in water and PbLi17 are in progress. Oxidised aluminium is the most effective protective layer in PbLi17. The displacement damage and helium formation strongly influence the hydrogen transport in the steel. Present experiments should be backed by tests in a more fusion relevant environment, e.g. IFMIF. The 2.5 dpa neutron irradiations at low temperatures result in a higher DBTT. High dose irradiations, up to 80 dpa, are underway. The early results of ODS grades with EUROFER steel composition show potential of these grades for increasing the operating temperature with 100 Á/150 K. #","author":[{"dropping-particle":"","family":"Schaaf","given":"B","non-dropping-particle":"Van Der","parse-names":false,"suffix":""},{"dropping-particle":"","family":"Tavassoli","given":"F","non-dropping-particle":"","parse-names":false,"suffix":""},{"dropping-particle":"","family":"Fazio","given":"C","non-dropping-particle":"","parse-names":false,"suffix":""},{"dropping-particle":"","family":"Rigal","given":"E","non-dropping-particle":"","parse-names":false,"suffix":""},{"dropping-particle":"","family":"Diegele","given":"E","non-dropping-particle":"","parse-names":false,"suffix":""},{"dropping-particle":"","family":"Lindau","given":"R","non-dropping-particle":"","parse-names":false,"suffix":""},{"dropping-particle":"","family":"Lemarois","given":"G","non-dropping-particle":"","parse-names":false,"suffix":""}],"container-title":"Fusion Engineering and Design","id":"ITEM-1","issued":{"date-parts":[["2003"]]},"page":"197-203","title":"The development of EUROFER reduced activation steel","type":"article-journal","volume":"69"},"uris":["http://www.mendeley.com/documents/?uuid=21a7fefe-c052-369f-bb2c-365fdf9709e4"]}],"mendeley":{"formattedCitation":"[18]","plainTextFormattedCitation":"[18]","previouslyFormattedCitation":"[18]"},"properties":{"noteIndex":0},"schema":"https://github.com/citation-style-language/schema/raw/master/csl-citation.json"}</w:instrText>
      </w:r>
      <w:r>
        <w:fldChar w:fldCharType="separate"/>
      </w:r>
      <w:r w:rsidR="00F4311F" w:rsidRPr="00F4311F">
        <w:rPr>
          <w:noProof/>
        </w:rPr>
        <w:t>[18]</w:t>
      </w:r>
      <w:r>
        <w:fldChar w:fldCharType="end"/>
      </w:r>
      <w:r>
        <w:rPr>
          <w:rFonts w:ascii="Calibri" w:hAnsi="Calibri" w:cs="Calibri"/>
        </w:rPr>
        <w:t>,</w:t>
      </w:r>
      <w:r w:rsidR="00964B2D">
        <w:rPr>
          <w:rFonts w:ascii="Calibri" w:hAnsi="Calibri" w:cs="Calibri"/>
        </w:rPr>
        <w:t xml:space="preserve"> </w:t>
      </w:r>
      <w:r>
        <w:rPr>
          <w:rFonts w:ascii="Calibri" w:hAnsi="Calibri" w:cs="Calibri"/>
        </w:rPr>
        <w:t xml:space="preserve">due to its </w:t>
      </w:r>
      <w:r w:rsidR="00AC63AA">
        <w:rPr>
          <w:rFonts w:ascii="Calibri" w:hAnsi="Calibri" w:cs="Calibri"/>
        </w:rPr>
        <w:t>expected</w:t>
      </w:r>
      <w:r>
        <w:rPr>
          <w:rFonts w:ascii="Calibri" w:hAnsi="Calibri" w:cs="Calibri"/>
        </w:rPr>
        <w:t xml:space="preserve"> performance under fusion conditions. </w:t>
      </w:r>
      <w:r w:rsidR="00F04990">
        <w:rPr>
          <w:rFonts w:ascii="Calibri" w:hAnsi="Calibri" w:cs="Calibri"/>
        </w:rPr>
        <w:t xml:space="preserve">In order to reduce </w:t>
      </w:r>
      <w:r w:rsidR="00FC1BD2">
        <w:rPr>
          <w:rFonts w:ascii="Calibri" w:hAnsi="Calibri" w:cs="Calibri"/>
        </w:rPr>
        <w:t xml:space="preserve">the </w:t>
      </w:r>
      <w:r w:rsidR="00F04990">
        <w:rPr>
          <w:rFonts w:ascii="Calibri" w:hAnsi="Calibri" w:cs="Calibri"/>
        </w:rPr>
        <w:t xml:space="preserve">erosion rates of the </w:t>
      </w:r>
      <w:r w:rsidR="00D20F76">
        <w:rPr>
          <w:rFonts w:ascii="Calibri" w:hAnsi="Calibri" w:cs="Calibri"/>
        </w:rPr>
        <w:t xml:space="preserve">first </w:t>
      </w:r>
      <w:r w:rsidR="00F04990">
        <w:rPr>
          <w:rFonts w:ascii="Calibri" w:hAnsi="Calibri" w:cs="Calibri"/>
        </w:rPr>
        <w:t xml:space="preserve">wall, </w:t>
      </w:r>
      <w:r>
        <w:rPr>
          <w:rFonts w:ascii="Calibri" w:hAnsi="Calibri" w:cs="Calibri"/>
        </w:rPr>
        <w:t>the current approach is to have tungsten</w:t>
      </w:r>
      <w:r w:rsidR="00910DA3">
        <w:rPr>
          <w:rFonts w:ascii="Calibri" w:hAnsi="Calibri" w:cs="Calibri"/>
        </w:rPr>
        <w:t xml:space="preserve"> tiles</w:t>
      </w:r>
      <w:r>
        <w:rPr>
          <w:rFonts w:ascii="Calibri" w:hAnsi="Calibri" w:cs="Calibri"/>
        </w:rPr>
        <w:t xml:space="preserve"> form a protective layer (or armour) on the PFCs. </w:t>
      </w:r>
      <w:r w:rsidR="009B3710">
        <w:rPr>
          <w:rFonts w:eastAsiaTheme="minorEastAsia"/>
        </w:rPr>
        <w:t>Tungsten</w:t>
      </w:r>
      <w:r w:rsidR="003D12C2">
        <w:rPr>
          <w:rFonts w:eastAsiaTheme="minorEastAsia"/>
        </w:rPr>
        <w:t xml:space="preserve"> (W)</w:t>
      </w:r>
      <w:r w:rsidR="009B3710">
        <w:rPr>
          <w:rFonts w:eastAsiaTheme="minorEastAsia"/>
        </w:rPr>
        <w:t xml:space="preserve"> is also expected to be the main structural material used in the divertor, an area of the plant that will be exposed to extremely high heat fluxes</w:t>
      </w:r>
      <w:r w:rsidR="00D15B71">
        <w:rPr>
          <w:rFonts w:eastAsiaTheme="minorEastAsia"/>
        </w:rPr>
        <w:t xml:space="preserve"> (</w:t>
      </w:r>
      <w:r w:rsidR="00D15B71" w:rsidRPr="00F222E7">
        <w:t>up to 20 MW/m</w:t>
      </w:r>
      <w:r w:rsidR="00D15B71" w:rsidRPr="00F222E7">
        <w:rPr>
          <w:vertAlign w:val="superscript"/>
        </w:rPr>
        <w:t>2</w:t>
      </w:r>
      <w:r w:rsidR="00D15B71">
        <w:rPr>
          <w:vertAlign w:val="superscript"/>
        </w:rPr>
        <w:t xml:space="preserve"> </w:t>
      </w:r>
      <w:r w:rsidR="00D15B71">
        <w:rPr>
          <w:rFonts w:eastAsiaTheme="minorEastAsia"/>
          <w:vertAlign w:val="superscript"/>
        </w:rPr>
        <w:fldChar w:fldCharType="begin" w:fldLock="1"/>
      </w:r>
      <w:r w:rsidR="009F1E36">
        <w:rPr>
          <w:rFonts w:eastAsiaTheme="minorEastAsia"/>
          <w:vertAlign w:val="superscript"/>
        </w:rPr>
        <w:instrText>ADDIN CSL_CITATION {"citationItems":[{"id":"ITEM-1","itemData":{"DOI":"10.1016/j.nme.2016.02.005","ISSN":"23521791","author":[{"dropping-particle":"","family":"Richou","given":"M.","non-dropping-particle":"","parse-names":false,"suffix":""},{"dropping-particle":"","family":"McIntosh","given":"S.","non-dropping-particle":"","parse-names":false,"suffix":""},{"dropping-particle":"","family":"Crescenzi","given":"F.","non-dropping-particle":"","parse-names":false,"suffix":""},{"dropping-particle":"","family":"Reiser","given":"J.","non-dropping-particle":"","parse-names":false,"suffix":""},{"dropping-particle":"","family":"Bachmann","given":"Ch.","non-dropping-particle":"","parse-names":false,"suffix":""},{"dropping-particle":"","family":"Visca","given":"E.","non-dropping-particle":"","parse-names":false,"suffix":""},{"dropping-particle":"","family":"Rieth","given":"M.","non-dropping-particle":"","parse-names":false,"suffix":""},{"dropping-particle":"","family":"You","given":"J.H.","non-dropping-particle":"","parse-names":false,"suffix":""},{"dropping-particle":"","family":"Li","given":"M.","non-dropping-particle":"","parse-names":false,"suffix":""},{"dropping-particle":"","family":"Fursdon","given":"M.","non-dropping-particle":"","parse-names":false,"suffix":""},{"dropping-particle":"","family":"Guilhem","given":"D.","non-dropping-particle":"","parse-names":false,"suffix":""},{"dropping-particle":"","family":"Greuner","given":"H.","non-dropping-particle":"","parse-names":false,"suffix":""},{"dropping-particle":"","family":"Barrett","given":"T.","non-dropping-particle":"","parse-names":false,"suffix":""},{"dropping-particle":"","family":"Languille","given":"P.","non-dropping-particle":"","parse-names":false,"suffix":""},{"dropping-particle":"","family":"Müller","given":"A.V.","non-dropping-particle":"","parse-names":false,"suffix":""}],"container-title":"Nuclear Materials and Energy","id":"ITEM-1","issued":{"date-parts":[["2016"]]},"page":"171-176","title":"European DEMO divertor target: Operational requirements and material-design interface","type":"article-journal","volume":"9"},"uris":["http://www.mendeley.com/documents/?uuid=b44476ff-fd01-44af-b248-6d95a9b9293a"]}],"mendeley":{"formattedCitation":"[19]","plainTextFormattedCitation":"[19]","previouslyFormattedCitation":"[19]"},"properties":{"noteIndex":0},"schema":"https://github.com/citation-style-language/schema/raw/master/csl-citation.json"}</w:instrText>
      </w:r>
      <w:r w:rsidR="00D15B71">
        <w:rPr>
          <w:rFonts w:eastAsiaTheme="minorEastAsia"/>
          <w:vertAlign w:val="superscript"/>
        </w:rPr>
        <w:fldChar w:fldCharType="separate"/>
      </w:r>
      <w:r w:rsidR="00F4311F" w:rsidRPr="00F4311F">
        <w:rPr>
          <w:rFonts w:eastAsiaTheme="minorEastAsia"/>
          <w:noProof/>
        </w:rPr>
        <w:t>[19]</w:t>
      </w:r>
      <w:r w:rsidR="00D15B71">
        <w:rPr>
          <w:rFonts w:eastAsiaTheme="minorEastAsia"/>
          <w:vertAlign w:val="superscript"/>
        </w:rPr>
        <w:fldChar w:fldCharType="end"/>
      </w:r>
      <w:r w:rsidR="00D15B71">
        <w:rPr>
          <w:rFonts w:eastAsiaTheme="minorEastAsia"/>
        </w:rPr>
        <w:t>)</w:t>
      </w:r>
      <w:r w:rsidR="002C66F5">
        <w:rPr>
          <w:rFonts w:eastAsiaTheme="minorEastAsia"/>
        </w:rPr>
        <w:t xml:space="preserve"> and intense</w:t>
      </w:r>
      <w:r w:rsidR="009B3710">
        <w:rPr>
          <w:rFonts w:eastAsiaTheme="minorEastAsia"/>
        </w:rPr>
        <w:t xml:space="preserve"> radiation damage</w:t>
      </w:r>
      <w:r w:rsidR="002C66F5">
        <w:rPr>
          <w:rFonts w:eastAsiaTheme="minorEastAsia"/>
        </w:rPr>
        <w:t xml:space="preserve">. </w:t>
      </w:r>
      <w:r w:rsidR="003C328A">
        <w:rPr>
          <w:rFonts w:eastAsiaTheme="minorEastAsia"/>
        </w:rPr>
        <w:t>The incoming neutrons not only cause cascades of damage in the PFCs, but also result in</w:t>
      </w:r>
      <w:r w:rsidR="00126998">
        <w:rPr>
          <w:rFonts w:eastAsiaTheme="minorEastAsia"/>
        </w:rPr>
        <w:t xml:space="preserve"> activation and</w:t>
      </w:r>
      <w:r w:rsidR="003C328A">
        <w:rPr>
          <w:rFonts w:eastAsiaTheme="minorEastAsia"/>
        </w:rPr>
        <w:t xml:space="preserve"> transmutation of the structural materials. </w:t>
      </w:r>
    </w:p>
    <w:p w:rsidR="000802E8" w:rsidRDefault="000802E8" w:rsidP="00ED0F2E">
      <w:pPr>
        <w:rPr>
          <w:rFonts w:eastAsiaTheme="minorEastAsia"/>
        </w:rPr>
      </w:pPr>
    </w:p>
    <w:p w:rsidR="00741CD5" w:rsidRDefault="000802E8" w:rsidP="00ED0F2E">
      <w:pPr>
        <w:rPr>
          <w:rFonts w:eastAsiaTheme="minorEastAsia"/>
        </w:rPr>
      </w:pPr>
      <w:r>
        <w:rPr>
          <w:rFonts w:eastAsiaTheme="minorEastAsia"/>
        </w:rPr>
        <w:t>Activated tungsten</w:t>
      </w:r>
      <w:r w:rsidR="00FB65B5">
        <w:rPr>
          <w:rFonts w:eastAsiaTheme="minorEastAsia"/>
        </w:rPr>
        <w:t xml:space="preserve"> decays via </w:t>
      </w:r>
      <m:oMath>
        <m:r>
          <m:rPr>
            <m:sty m:val="p"/>
          </m:rPr>
          <w:rPr>
            <w:rFonts w:ascii="Cambria Math" w:eastAsiaTheme="minorEastAsia" w:hAnsi="Cambria Math"/>
          </w:rPr>
          <m:t>β</m:t>
        </m:r>
      </m:oMath>
      <w:r w:rsidR="00FB65B5">
        <w:rPr>
          <w:rFonts w:eastAsiaTheme="minorEastAsia"/>
        </w:rPr>
        <w:t>-decay to form small amounts of</w:t>
      </w:r>
      <w:r w:rsidR="00F9634A">
        <w:rPr>
          <w:rFonts w:eastAsiaTheme="minorEastAsia"/>
        </w:rPr>
        <w:t xml:space="preserve"> rhenium</w:t>
      </w:r>
      <w:r w:rsidR="00FB65B5">
        <w:rPr>
          <w:rFonts w:eastAsiaTheme="minorEastAsia"/>
        </w:rPr>
        <w:t xml:space="preserve"> </w:t>
      </w:r>
      <w:r w:rsidR="00F9634A">
        <w:rPr>
          <w:rFonts w:eastAsiaTheme="minorEastAsia"/>
        </w:rPr>
        <w:t>(</w:t>
      </w:r>
      <w:r w:rsidR="00FB65B5">
        <w:rPr>
          <w:rFonts w:eastAsiaTheme="minorEastAsia"/>
        </w:rPr>
        <w:t>Re</w:t>
      </w:r>
      <w:r w:rsidR="00F9634A">
        <w:rPr>
          <w:rFonts w:eastAsiaTheme="minorEastAsia"/>
        </w:rPr>
        <w:t>)</w:t>
      </w:r>
      <w:r w:rsidR="00FB65B5">
        <w:rPr>
          <w:rFonts w:eastAsiaTheme="minorEastAsia"/>
        </w:rPr>
        <w:t xml:space="preserve"> and</w:t>
      </w:r>
      <w:r w:rsidR="00F9634A">
        <w:rPr>
          <w:rFonts w:eastAsiaTheme="minorEastAsia"/>
        </w:rPr>
        <w:t xml:space="preserve"> osmium</w:t>
      </w:r>
      <w:r w:rsidR="00FB65B5">
        <w:rPr>
          <w:rFonts w:eastAsiaTheme="minorEastAsia"/>
        </w:rPr>
        <w:t xml:space="preserve"> </w:t>
      </w:r>
      <w:r w:rsidR="00F9634A">
        <w:rPr>
          <w:rFonts w:eastAsiaTheme="minorEastAsia"/>
        </w:rPr>
        <w:t>(</w:t>
      </w:r>
      <w:r w:rsidR="00FB65B5">
        <w:rPr>
          <w:rFonts w:eastAsiaTheme="minorEastAsia"/>
        </w:rPr>
        <w:t>Os</w:t>
      </w:r>
      <w:r w:rsidR="00F9634A">
        <w:rPr>
          <w:rFonts w:eastAsiaTheme="minorEastAsia"/>
        </w:rPr>
        <w:t>)</w:t>
      </w:r>
      <w:r w:rsidR="00FB65B5">
        <w:rPr>
          <w:rFonts w:eastAsiaTheme="minorEastAsia"/>
        </w:rPr>
        <w:t xml:space="preserve"> (expected concentrations</w:t>
      </w:r>
      <w:r w:rsidR="00741CD5">
        <w:rPr>
          <w:rFonts w:eastAsiaTheme="minorEastAsia"/>
        </w:rPr>
        <w:t xml:space="preserve"> in tungsten armour</w:t>
      </w:r>
      <w:r w:rsidR="00FB65B5">
        <w:rPr>
          <w:rFonts w:eastAsiaTheme="minorEastAsia"/>
        </w:rPr>
        <w:t xml:space="preserve"> after 5 years in a fusion reactor are 3.8% and 1.4%, respectively)</w:t>
      </w:r>
      <w:r w:rsidR="008D62FD">
        <w:rPr>
          <w:rFonts w:eastAsiaTheme="minorEastAsia"/>
        </w:rPr>
        <w:t xml:space="preserve"> </w:t>
      </w:r>
      <w:r w:rsidR="008D62FD">
        <w:rPr>
          <w:rFonts w:eastAsiaTheme="minorEastAsia"/>
        </w:rPr>
        <w:fldChar w:fldCharType="begin" w:fldLock="1"/>
      </w:r>
      <w:r w:rsidR="009F1E36">
        <w:rPr>
          <w:rFonts w:eastAsiaTheme="minorEastAsia"/>
        </w:rPr>
        <w:instrText>ADDIN CSL_CITATION {"citationItems":[{"id":"ITEM-1","itemData":{"DOI":"10.1016/j.fusengdes.2005.05.010","ISSN":"09203796","abstract":"Tungsten is a candidate material for protective armour on the plasma-facing first wall of a fusion power plant. In order to assess the radiological implications of this use of tungsten, two power plant models from the European Power Plant Conceptual Study (PPCS) have been extended by the addition of a 2 mm tungsten layer on the ferritic-martensitic first wall. Neutronics and activation modelling have shown that there is no significant impact on the favourable conclusions regarding long-term disposal of materials, but that earlier activity levels could potentially be of importance on the timescale of maintenance operations. The short-term activity and decay are expected to have only a minor impact on the consequences of postulated accidents.","author":[{"dropping-particle":"","family":"Taylor","given":"N. P.","non-dropping-particle":"","parse-names":false,"suffix":""},{"dropping-particle":"","family":"Pampin","given":"R.","non-dropping-particle":"","parse-names":false,"suffix":""}],"container-title":"Fusion Engineering and Design","id":"ITEM-1","issue":"8-14 PART B","issued":{"date-parts":[["2006"]]},"page":"1333-1338","title":"Activation properties of tungsten as a first wall protection in fusion power plants","type":"article-journal","volume":"81"},"uris":["http://www.mendeley.com/documents/?uuid=148f82f1-1145-4036-8950-eb360a2d23c9"]},{"id":"ITEM-2","itemData":{"DOI":"10.1080/02670836.2016.1185260","ISSN":"17432847","abstract":"Tungsten has been proposed for use in the divertor of future fusion devices. In this environment, it will be exposed to high heat fluxes, neutron damage and hydrogen and helium implantation. This review covers previous experimental and modelling work to establish our ability to predict the performance of tungsten in a fusion environment. Surrogates for high-energy neutrons have been used to predict the change in mechanical properties of tungsten, including fission neutron and self-ion exposure. These studies are critically analysed, with a focus on the difference in results from neutron and ion studies. Further studies to improve our ability to predict the performance of tungsten are proposed as a critical part of the path towards a working fusion reactor.","author":[{"dropping-particle":"","family":"Abernethy","given":"R. G.","non-dropping-particle":"","parse-names":false,"suffix":""}],"container-title":"Materials Science and Technology (United Kingdom)","id":"ITEM-2","issue":"4","issued":{"date-parts":[["2017"]]},"page":"388-399","publisher":"Taylor &amp; Francis","title":"Predicting the performance of tungsten in a fusion environment: a literature review","type":"article-journal","volume":"33"},"uris":["http://www.mendeley.com/documents/?uuid=0c73c2e1-e079-4a97-b5a5-498e6524ca9c"]}],"mendeley":{"formattedCitation":"[20], [21]","plainTextFormattedCitation":"[20], [21]","previouslyFormattedCitation":"[20], [21]"},"properties":{"noteIndex":0},"schema":"https://github.com/citation-style-language/schema/raw/master/csl-citation.json"}</w:instrText>
      </w:r>
      <w:r w:rsidR="008D62FD">
        <w:rPr>
          <w:rFonts w:eastAsiaTheme="minorEastAsia"/>
        </w:rPr>
        <w:fldChar w:fldCharType="separate"/>
      </w:r>
      <w:r w:rsidR="00F4311F" w:rsidRPr="00F4311F">
        <w:rPr>
          <w:rFonts w:eastAsiaTheme="minorEastAsia"/>
          <w:noProof/>
        </w:rPr>
        <w:t>[20], [21]</w:t>
      </w:r>
      <w:r w:rsidR="008D62FD">
        <w:rPr>
          <w:rFonts w:eastAsiaTheme="minorEastAsia"/>
        </w:rPr>
        <w:fldChar w:fldCharType="end"/>
      </w:r>
      <w:r w:rsidR="00FB65B5">
        <w:rPr>
          <w:rFonts w:eastAsiaTheme="minorEastAsia"/>
        </w:rPr>
        <w:t>.</w:t>
      </w:r>
      <w:r w:rsidR="003D12C2">
        <w:rPr>
          <w:rFonts w:eastAsiaTheme="minorEastAsia"/>
        </w:rPr>
        <w:t xml:space="preserve"> </w:t>
      </w:r>
      <w:r w:rsidR="00BB291B">
        <w:rPr>
          <w:rFonts w:eastAsiaTheme="minorEastAsia"/>
        </w:rPr>
        <w:t>Tungsten</w:t>
      </w:r>
      <w:r w:rsidR="003D12C2">
        <w:rPr>
          <w:rFonts w:eastAsiaTheme="minorEastAsia"/>
        </w:rPr>
        <w:t xml:space="preserve"> can also transmutate to form trace amounts of</w:t>
      </w:r>
      <w:r w:rsidR="009050AA">
        <w:rPr>
          <w:rFonts w:eastAsiaTheme="minorEastAsia"/>
        </w:rPr>
        <w:t xml:space="preserve"> tantalum</w:t>
      </w:r>
      <w:r w:rsidR="003D12C2">
        <w:rPr>
          <w:rFonts w:eastAsiaTheme="minorEastAsia"/>
        </w:rPr>
        <w:t xml:space="preserve"> </w:t>
      </w:r>
      <w:r w:rsidR="009050AA">
        <w:rPr>
          <w:rFonts w:eastAsiaTheme="minorEastAsia"/>
        </w:rPr>
        <w:t>(</w:t>
      </w:r>
      <w:r w:rsidR="003D12C2">
        <w:rPr>
          <w:rFonts w:eastAsiaTheme="minorEastAsia"/>
        </w:rPr>
        <w:t>Ta</w:t>
      </w:r>
      <w:r w:rsidR="009050AA">
        <w:rPr>
          <w:rFonts w:eastAsiaTheme="minorEastAsia"/>
        </w:rPr>
        <w:t>)</w:t>
      </w:r>
      <w:r w:rsidR="003D12C2">
        <w:rPr>
          <w:rFonts w:eastAsiaTheme="minorEastAsia"/>
        </w:rPr>
        <w:t xml:space="preserve"> (expected concentration after 5 years 0.8%) </w:t>
      </w:r>
      <w:r w:rsidR="003D12C2">
        <w:rPr>
          <w:rFonts w:eastAsiaTheme="minorEastAsia"/>
        </w:rPr>
        <w:fldChar w:fldCharType="begin" w:fldLock="1"/>
      </w:r>
      <w:r w:rsidR="009F1E36">
        <w:rPr>
          <w:rFonts w:eastAsiaTheme="minorEastAsia"/>
        </w:rPr>
        <w:instrText>ADDIN CSL_CITATION {"citationItems":[{"id":"ITEM-1","itemData":{"DOI":"10.1080/02670836.2016.1185260","ISSN":"17432847","abstract":"Tungsten has been proposed for use in the divertor of future fusion devices. In this environment, it will be exposed to high heat fluxes, neutron damage and hydrogen and helium implantation. This review covers previous experimental and modelling work to establish our ability to predict the performance of tungsten in a fusion environment. Surrogates for high-energy neutrons have been used to predict the change in mechanical properties of tungsten, including fission neutron and self-ion exposure. These studies are critically analysed, with a focus on the difference in results from neutron and ion studies. Further studies to improve our ability to predict the performance of tungsten are proposed as a critical part of the path towards a working fusion reactor.","author":[{"dropping-particle":"","family":"Abernethy","given":"R. G.","non-dropping-particle":"","parse-names":false,"suffix":""}],"container-title":"Materials Science and Technology (United Kingdom)","id":"ITEM-1","issue":"4","issued":{"date-parts":[["2017"]]},"page":"388-399","publisher":"Taylor &amp; Francis","title":"Predicting the performance of tungsten in a fusion environment: a literature review","type":"article-journal","volume":"33"},"uris":["http://www.mendeley.com/documents/?uuid=0c73c2e1-e079-4a97-b5a5-498e6524ca9c"]}],"mendeley":{"formattedCitation":"[21]","plainTextFormattedCitation":"[21]","previouslyFormattedCitation":"[21]"},"properties":{"noteIndex":0},"schema":"https://github.com/citation-style-language/schema/raw/master/csl-citation.json"}</w:instrText>
      </w:r>
      <w:r w:rsidR="003D12C2">
        <w:rPr>
          <w:rFonts w:eastAsiaTheme="minorEastAsia"/>
        </w:rPr>
        <w:fldChar w:fldCharType="separate"/>
      </w:r>
      <w:r w:rsidR="00F4311F" w:rsidRPr="00F4311F">
        <w:rPr>
          <w:rFonts w:eastAsiaTheme="minorEastAsia"/>
          <w:noProof/>
        </w:rPr>
        <w:t>[21]</w:t>
      </w:r>
      <w:r w:rsidR="003D12C2">
        <w:rPr>
          <w:rFonts w:eastAsiaTheme="minorEastAsia"/>
        </w:rPr>
        <w:fldChar w:fldCharType="end"/>
      </w:r>
      <w:r w:rsidR="003D12C2">
        <w:rPr>
          <w:rFonts w:eastAsiaTheme="minorEastAsia"/>
        </w:rPr>
        <w:t>.</w:t>
      </w:r>
      <w:r w:rsidR="001D45B4">
        <w:rPr>
          <w:rFonts w:eastAsiaTheme="minorEastAsia"/>
        </w:rPr>
        <w:t xml:space="preserve"> The decay heat density of tungsten is expected to be modest, with </w:t>
      </w:r>
      <w:r w:rsidR="00970B6A">
        <w:rPr>
          <w:rFonts w:eastAsiaTheme="minorEastAsia"/>
        </w:rPr>
        <w:t xml:space="preserve">a value for the first 12 hours after shutdown between 0.2 and 0.3 kW/kg </w:t>
      </w:r>
      <w:r w:rsidR="00970B6A">
        <w:rPr>
          <w:rFonts w:eastAsiaTheme="minorEastAsia"/>
        </w:rPr>
        <w:fldChar w:fldCharType="begin" w:fldLock="1"/>
      </w:r>
      <w:r w:rsidR="009F1E36">
        <w:rPr>
          <w:rFonts w:eastAsiaTheme="minorEastAsia"/>
        </w:rPr>
        <w:instrText>ADDIN CSL_CITATION {"citationItems":[{"id":"ITEM-1","itemData":{"DOI":"10.1016/j.fusengdes.2005.05.010","ISSN":"09203796","abstract":"Tungsten is a candidate material for protective armour on the plasma-facing first wall of a fusion power plant. In order to assess the radiological implications of this use of tungsten, two power plant models from the European Power Plant Conceptual Study (PPCS) have been extended by the addition of a 2 mm tungsten layer on the ferritic-martensitic first wall. Neutronics and activation modelling have shown that there is no significant impact on the favourable conclusions regarding long-term disposal of materials, but that earlier activity levels could potentially be of importance on the timescale of maintenance operations. The short-term activity and decay are expected to have only a minor impact on the consequences of postulated accidents.","author":[{"dropping-particle":"","family":"Taylor","given":"N. P.","non-dropping-particle":"","parse-names":false,"suffix":""},{"dropping-particle":"","family":"Pampin","given":"R.","non-dropping-particle":"","parse-names":false,"suffix":""}],"container-title":"Fusion Engineering and Design","id":"ITEM-1","issue":"8-14 PART B","issued":{"date-parts":[["2006"]]},"page":"1333-1338","title":"Activation properties of tungsten as a first wall protection in fusion power plants","type":"article-journal","volume":"81"},"uris":["http://www.mendeley.com/documents/?uuid=148f82f1-1145-4036-8950-eb360a2d23c9"]}],"mendeley":{"formattedCitation":"[20]","plainTextFormattedCitation":"[20]","previouslyFormattedCitation":"[20]"},"properties":{"noteIndex":0},"schema":"https://github.com/citation-style-language/schema/raw/master/csl-citation.json"}</w:instrText>
      </w:r>
      <w:r w:rsidR="00970B6A">
        <w:rPr>
          <w:rFonts w:eastAsiaTheme="minorEastAsia"/>
        </w:rPr>
        <w:fldChar w:fldCharType="separate"/>
      </w:r>
      <w:r w:rsidR="00F4311F" w:rsidRPr="00F4311F">
        <w:rPr>
          <w:rFonts w:eastAsiaTheme="minorEastAsia"/>
          <w:noProof/>
        </w:rPr>
        <w:t>[20]</w:t>
      </w:r>
      <w:r w:rsidR="00970B6A">
        <w:rPr>
          <w:rFonts w:eastAsiaTheme="minorEastAsia"/>
        </w:rPr>
        <w:fldChar w:fldCharType="end"/>
      </w:r>
      <w:r w:rsidR="00E14770">
        <w:rPr>
          <w:rFonts w:eastAsiaTheme="minorEastAsia"/>
        </w:rPr>
        <w:t>.</w:t>
      </w:r>
      <w:r w:rsidR="00BF7928">
        <w:rPr>
          <w:rFonts w:eastAsiaTheme="minorEastAsia"/>
        </w:rPr>
        <w:t xml:space="preserve"> </w:t>
      </w:r>
      <w:r w:rsidR="008F0849">
        <w:rPr>
          <w:rFonts w:eastAsiaTheme="minorEastAsia"/>
        </w:rPr>
        <w:t>The structural material of the blankets (typically Eurofer) is expected to be a more significant source of decay heat</w:t>
      </w:r>
      <w:r w:rsidR="004510A4">
        <w:rPr>
          <w:rFonts w:eastAsiaTheme="minorEastAsia"/>
        </w:rPr>
        <w:t xml:space="preserve"> compared with the W armour, as is, possibly, the breeding materials themselves.</w:t>
      </w:r>
      <w:r w:rsidR="00C1520B">
        <w:rPr>
          <w:rFonts w:eastAsiaTheme="minorEastAsia"/>
        </w:rPr>
        <w:t xml:space="preserve"> The Eurofer first wall is expected to have a decay heat of around 0.1 kW/kg</w:t>
      </w:r>
      <w:r w:rsidR="0037166F">
        <w:rPr>
          <w:rFonts w:eastAsiaTheme="minorEastAsia"/>
        </w:rPr>
        <w:t xml:space="preserve"> </w:t>
      </w:r>
      <w:r w:rsidR="0037166F">
        <w:rPr>
          <w:rFonts w:eastAsiaTheme="minorEastAsia"/>
        </w:rPr>
        <w:fldChar w:fldCharType="begin" w:fldLock="1"/>
      </w:r>
      <w:r w:rsidR="009F1E36">
        <w:rPr>
          <w:rFonts w:eastAsiaTheme="minorEastAsia"/>
        </w:rPr>
        <w:instrText>ADDIN CSL_CITATION {"citationItems":[{"id":"ITEM-1","itemData":{"DOI":"10.1016/j.fusengdes.2005.05.010","ISSN":"09203796","abstract":"Tungsten is a candidate material for protective armour on the plasma-facing first wall of a fusion power plant. In order to assess the radiological implications of this use of tungsten, two power plant models from the European Power Plant Conceptual Study (PPCS) have been extended by the addition of a 2 mm tungsten layer on the ferritic-martensitic first wall. Neutronics and activation modelling have shown that there is no significant impact on the favourable conclusions regarding long-term disposal of materials, but that earlier activity levels could potentially be of importance on the timescale of maintenance operations. The short-term activity and decay are expected to have only a minor impact on the consequences of postulated accidents.","author":[{"dropping-particle":"","family":"Taylor","given":"N. P.","non-dropping-particle":"","parse-names":false,"suffix":""},{"dropping-particle":"","family":"Pampin","given":"R.","non-dropping-particle":"","parse-names":false,"suffix":""}],"container-title":"Fusion Engineering and Design","id":"ITEM-1","issue":"8-14 PART B","issued":{"date-parts":[["2006"]]},"page":"1333-1338","title":"Activation properties of tungsten as a first wall protection in fusion power plants","type":"article-journal","volume":"81"},"uris":["http://www.mendeley.com/documents/?uuid=148f82f1-1145-4036-8950-eb360a2d23c9"]}],"mendeley":{"formattedCitation":"[20]","plainTextFormattedCitation":"[20]","previouslyFormattedCitation":"[20]"},"properties":{"noteIndex":0},"schema":"https://github.com/citation-style-language/schema/raw/master/csl-citation.json"}</w:instrText>
      </w:r>
      <w:r w:rsidR="0037166F">
        <w:rPr>
          <w:rFonts w:eastAsiaTheme="minorEastAsia"/>
        </w:rPr>
        <w:fldChar w:fldCharType="separate"/>
      </w:r>
      <w:r w:rsidR="00F4311F" w:rsidRPr="00F4311F">
        <w:rPr>
          <w:rFonts w:eastAsiaTheme="minorEastAsia"/>
          <w:noProof/>
        </w:rPr>
        <w:t>[20]</w:t>
      </w:r>
      <w:r w:rsidR="0037166F">
        <w:rPr>
          <w:rFonts w:eastAsiaTheme="minorEastAsia"/>
        </w:rPr>
        <w:fldChar w:fldCharType="end"/>
      </w:r>
      <w:r w:rsidR="00C1520B">
        <w:rPr>
          <w:rFonts w:eastAsiaTheme="minorEastAsia"/>
        </w:rPr>
        <w:t>, albeit with a much higher inventory than the W armour.</w:t>
      </w:r>
      <w:r w:rsidR="0037166F">
        <w:rPr>
          <w:rFonts w:eastAsiaTheme="minorEastAsia"/>
        </w:rPr>
        <w:t xml:space="preserve"> </w:t>
      </w:r>
      <w:r w:rsidR="00741CD5">
        <w:rPr>
          <w:rFonts w:eastAsiaTheme="minorEastAsia"/>
        </w:rPr>
        <w:t xml:space="preserve">The impact of this decay heat will depend upon the accident scenarios that are </w:t>
      </w:r>
      <w:r w:rsidR="00741CD5">
        <w:rPr>
          <w:rFonts w:eastAsiaTheme="minorEastAsia"/>
        </w:rPr>
        <w:lastRenderedPageBreak/>
        <w:t>identified in the design safety case. Further work is needed to ensure that decay heat effects can be accurately modelled in accident scenarios that have the potential to thermally threaten the integrity of the vacuum vessel.</w:t>
      </w:r>
    </w:p>
    <w:p w:rsidR="0000000B" w:rsidRDefault="0000000B" w:rsidP="00ED0F2E">
      <w:pPr>
        <w:rPr>
          <w:rFonts w:eastAsiaTheme="minorEastAsia"/>
        </w:rPr>
      </w:pPr>
    </w:p>
    <w:p w:rsidR="008740F3" w:rsidRDefault="008740F3" w:rsidP="00ED0F2E">
      <w:pPr>
        <w:rPr>
          <w:rFonts w:eastAsiaTheme="minorEastAsia"/>
        </w:rPr>
      </w:pPr>
    </w:p>
    <w:p w:rsidR="00255F4A" w:rsidRDefault="00255F4A" w:rsidP="00255F4A">
      <w:pPr>
        <w:rPr>
          <w:rFonts w:ascii="Calibri" w:hAnsi="Calibri" w:cs="Calibri"/>
          <w:b/>
        </w:rPr>
      </w:pPr>
      <w:r w:rsidRPr="002641E7">
        <w:rPr>
          <w:rFonts w:ascii="Calibri" w:hAnsi="Calibri" w:cs="Calibri"/>
          <w:b/>
        </w:rPr>
        <w:t>4.</w:t>
      </w:r>
      <w:r>
        <w:rPr>
          <w:rFonts w:ascii="Calibri" w:hAnsi="Calibri" w:cs="Calibri"/>
          <w:b/>
        </w:rPr>
        <w:t>2</w:t>
      </w:r>
      <w:r w:rsidRPr="002641E7">
        <w:rPr>
          <w:rFonts w:ascii="Calibri" w:hAnsi="Calibri" w:cs="Calibri"/>
          <w:b/>
        </w:rPr>
        <w:t xml:space="preserve"> </w:t>
      </w:r>
      <w:r>
        <w:rPr>
          <w:rFonts w:ascii="Calibri" w:hAnsi="Calibri" w:cs="Calibri"/>
          <w:b/>
        </w:rPr>
        <w:t>Radioactive</w:t>
      </w:r>
      <w:r w:rsidRPr="002641E7">
        <w:rPr>
          <w:rFonts w:ascii="Calibri" w:hAnsi="Calibri" w:cs="Calibri"/>
          <w:b/>
        </w:rPr>
        <w:t xml:space="preserve"> </w:t>
      </w:r>
      <w:r w:rsidR="001703F9">
        <w:rPr>
          <w:rFonts w:ascii="Calibri" w:hAnsi="Calibri" w:cs="Calibri"/>
          <w:b/>
        </w:rPr>
        <w:t xml:space="preserve">Materials </w:t>
      </w:r>
      <w:r w:rsidR="00EF270A">
        <w:rPr>
          <w:rFonts w:ascii="Calibri" w:hAnsi="Calibri" w:cs="Calibri"/>
          <w:b/>
        </w:rPr>
        <w:t>I</w:t>
      </w:r>
      <w:r w:rsidRPr="002641E7">
        <w:rPr>
          <w:rFonts w:ascii="Calibri" w:hAnsi="Calibri" w:cs="Calibri"/>
          <w:b/>
        </w:rPr>
        <w:t>nventories</w:t>
      </w:r>
    </w:p>
    <w:p w:rsidR="0051566D" w:rsidRDefault="001703F9" w:rsidP="00255F4A">
      <w:pPr>
        <w:pStyle w:val="NormalWeb"/>
        <w:rPr>
          <w:rFonts w:ascii="Calibri" w:hAnsi="Calibri" w:cs="Calibri"/>
        </w:rPr>
      </w:pPr>
      <w:r>
        <w:rPr>
          <w:rFonts w:ascii="Calibri" w:hAnsi="Calibri" w:cs="Calibri"/>
          <w:bCs/>
        </w:rPr>
        <w:t xml:space="preserve">Fusion is a nuclear process that uses </w:t>
      </w:r>
      <w:r w:rsidR="00544124">
        <w:rPr>
          <w:rFonts w:ascii="Calibri" w:hAnsi="Calibri" w:cs="Calibri"/>
          <w:bCs/>
        </w:rPr>
        <w:t xml:space="preserve">deuterium and tritium </w:t>
      </w:r>
      <w:r>
        <w:rPr>
          <w:rFonts w:ascii="Calibri" w:hAnsi="Calibri" w:cs="Calibri"/>
          <w:bCs/>
        </w:rPr>
        <w:t>as fuel and results in the production of high-energy (14.1 MeV) neutrons that can activate non-radioactive materials.</w:t>
      </w:r>
      <w:r w:rsidR="00544124">
        <w:rPr>
          <w:rFonts w:ascii="Calibri" w:hAnsi="Calibri" w:cs="Calibri"/>
          <w:bCs/>
        </w:rPr>
        <w:t xml:space="preserve"> Tritium is a major radioactive source term in a fusion power plant and can be found in the vacuum vessel, coolant, breeding blankets, and tritium plant.</w:t>
      </w:r>
      <w:r w:rsidR="005C7DE0">
        <w:rPr>
          <w:rFonts w:ascii="Calibri" w:hAnsi="Calibri" w:cs="Calibri"/>
          <w:bCs/>
        </w:rPr>
        <w:t xml:space="preserve"> </w:t>
      </w:r>
      <w:r>
        <w:rPr>
          <w:rFonts w:ascii="Calibri" w:hAnsi="Calibri" w:cs="Calibri"/>
          <w:bCs/>
        </w:rPr>
        <w:t xml:space="preserve">Understanding and quantifying the potential radioactive source terms from </w:t>
      </w:r>
      <w:r w:rsidR="005C7DE0">
        <w:rPr>
          <w:rFonts w:ascii="Calibri" w:hAnsi="Calibri" w:cs="Calibri"/>
          <w:bCs/>
        </w:rPr>
        <w:t>neutron-activated</w:t>
      </w:r>
      <w:r>
        <w:rPr>
          <w:rFonts w:ascii="Calibri" w:hAnsi="Calibri" w:cs="Calibri"/>
          <w:bCs/>
        </w:rPr>
        <w:t xml:space="preserve"> materials is </w:t>
      </w:r>
      <w:r w:rsidRPr="00643B47">
        <w:rPr>
          <w:rFonts w:ascii="Calibri" w:hAnsi="Calibri" w:cs="Calibri"/>
        </w:rPr>
        <w:t xml:space="preserve">another crucial </w:t>
      </w:r>
      <w:r>
        <w:rPr>
          <w:rFonts w:ascii="Calibri" w:hAnsi="Calibri" w:cs="Calibri"/>
        </w:rPr>
        <w:t>safety analysis requirement</w:t>
      </w:r>
      <w:r w:rsidRPr="00643B47">
        <w:rPr>
          <w:rFonts w:ascii="Calibri" w:hAnsi="Calibri" w:cs="Calibri"/>
        </w:rPr>
        <w:t xml:space="preserve">. The amount of radioactive material present determines </w:t>
      </w:r>
      <w:r>
        <w:rPr>
          <w:rFonts w:ascii="Calibri" w:hAnsi="Calibri" w:cs="Calibri"/>
        </w:rPr>
        <w:t>the</w:t>
      </w:r>
      <w:r w:rsidRPr="00643B47">
        <w:rPr>
          <w:rFonts w:ascii="Calibri" w:hAnsi="Calibri" w:cs="Calibri"/>
        </w:rPr>
        <w:t xml:space="preserve"> hazard</w:t>
      </w:r>
      <w:r>
        <w:rPr>
          <w:rFonts w:ascii="Calibri" w:hAnsi="Calibri" w:cs="Calibri"/>
        </w:rPr>
        <w:t xml:space="preserve"> </w:t>
      </w:r>
      <w:r w:rsidRPr="00643B47">
        <w:rPr>
          <w:rFonts w:ascii="Calibri" w:hAnsi="Calibri" w:cs="Calibri"/>
        </w:rPr>
        <w:t>potential</w:t>
      </w:r>
      <w:r>
        <w:rPr>
          <w:rFonts w:ascii="Calibri" w:hAnsi="Calibri" w:cs="Calibri"/>
        </w:rPr>
        <w:t xml:space="preserve"> of an</w:t>
      </w:r>
      <w:r w:rsidRPr="00643B47">
        <w:rPr>
          <w:rFonts w:ascii="Calibri" w:hAnsi="Calibri" w:cs="Calibri"/>
        </w:rPr>
        <w:t xml:space="preserve"> accident, not only to workers but</w:t>
      </w:r>
      <w:r>
        <w:rPr>
          <w:rFonts w:ascii="Calibri" w:hAnsi="Calibri" w:cs="Calibri"/>
        </w:rPr>
        <w:t xml:space="preserve"> also</w:t>
      </w:r>
      <w:r w:rsidRPr="00643B47">
        <w:rPr>
          <w:rFonts w:ascii="Calibri" w:hAnsi="Calibri" w:cs="Calibri"/>
        </w:rPr>
        <w:t xml:space="preserve"> to the public if</w:t>
      </w:r>
      <w:r>
        <w:rPr>
          <w:rFonts w:ascii="Calibri" w:hAnsi="Calibri" w:cs="Calibri"/>
        </w:rPr>
        <w:t xml:space="preserve"> radioactive</w:t>
      </w:r>
      <w:r w:rsidRPr="00643B47">
        <w:rPr>
          <w:rFonts w:ascii="Calibri" w:hAnsi="Calibri" w:cs="Calibri"/>
        </w:rPr>
        <w:t xml:space="preserve"> material </w:t>
      </w:r>
      <w:r>
        <w:rPr>
          <w:rFonts w:ascii="Calibri" w:hAnsi="Calibri" w:cs="Calibri"/>
        </w:rPr>
        <w:t xml:space="preserve">is released into the atmosphere. The </w:t>
      </w:r>
      <w:r w:rsidR="00BD49B1">
        <w:rPr>
          <w:rFonts w:ascii="Calibri" w:hAnsi="Calibri" w:cs="Calibri"/>
        </w:rPr>
        <w:t xml:space="preserve">other </w:t>
      </w:r>
      <w:r>
        <w:rPr>
          <w:rFonts w:ascii="Calibri" w:hAnsi="Calibri" w:cs="Calibri"/>
        </w:rPr>
        <w:t xml:space="preserve">major source terms identified </w:t>
      </w:r>
      <w:r w:rsidR="00BD49B1">
        <w:rPr>
          <w:rFonts w:ascii="Calibri" w:hAnsi="Calibri" w:cs="Calibri"/>
        </w:rPr>
        <w:t xml:space="preserve">are </w:t>
      </w:r>
      <w:r>
        <w:rPr>
          <w:rFonts w:ascii="Calibri" w:hAnsi="Calibri" w:cs="Calibri"/>
        </w:rPr>
        <w:t>activated dust (W or Be) and activated corrosion products (ACPs).</w:t>
      </w:r>
      <w:r w:rsidR="001109C9">
        <w:rPr>
          <w:rFonts w:ascii="Calibri" w:hAnsi="Calibri" w:cs="Calibri"/>
        </w:rPr>
        <w:t xml:space="preserve"> </w:t>
      </w:r>
      <w:r w:rsidR="0013556A">
        <w:rPr>
          <w:rFonts w:ascii="Calibri" w:hAnsi="Calibri" w:cs="Calibri"/>
        </w:rPr>
        <w:t xml:space="preserve">Dust refers to the products formed due to the erosion of plasma facing components, whilst </w:t>
      </w:r>
      <w:r w:rsidR="001109C9">
        <w:rPr>
          <w:rFonts w:ascii="Calibri" w:hAnsi="Calibri" w:cs="Calibri"/>
        </w:rPr>
        <w:t xml:space="preserve">ACPs are defined as the products of corrosion within the </w:t>
      </w:r>
      <w:r w:rsidR="005F6DAC">
        <w:rPr>
          <w:rFonts w:ascii="Calibri" w:hAnsi="Calibri" w:cs="Calibri"/>
        </w:rPr>
        <w:t>water cooling</w:t>
      </w:r>
      <w:r w:rsidR="001109C9">
        <w:rPr>
          <w:rFonts w:ascii="Calibri" w:hAnsi="Calibri" w:cs="Calibri"/>
        </w:rPr>
        <w:t xml:space="preserve"> loops.</w:t>
      </w:r>
      <w:r w:rsidR="003B4790">
        <w:rPr>
          <w:rFonts w:ascii="Calibri" w:hAnsi="Calibri" w:cs="Calibri"/>
        </w:rPr>
        <w:t xml:space="preserve"> </w:t>
      </w:r>
      <w:r w:rsidR="00325284">
        <w:rPr>
          <w:rFonts w:ascii="Calibri" w:hAnsi="Calibri" w:cs="Calibri"/>
        </w:rPr>
        <w:t>Depending on the breeding blanket type used in a fusion power plant, there may be additional source terms that are not mentioned here.</w:t>
      </w:r>
      <w:r w:rsidR="00E63EF5">
        <w:rPr>
          <w:rFonts w:ascii="Calibri" w:hAnsi="Calibri" w:cs="Calibri"/>
        </w:rPr>
        <w:t xml:space="preserve"> As things stand, there are four design options with different levels of design and technology readiness being considered for DEMO using helium, water, or lead-lithium (PbLi) as a potential coolant </w:t>
      </w:r>
      <w:r w:rsidR="00F80CBA">
        <w:rPr>
          <w:rFonts w:ascii="Calibri" w:hAnsi="Calibri" w:cs="Calibri"/>
        </w:rPr>
        <w:fldChar w:fldCharType="begin" w:fldLock="1"/>
      </w:r>
      <w:r w:rsidR="00FF459B">
        <w:rPr>
          <w:rFonts w:ascii="Calibri" w:hAnsi="Calibri" w:cs="Calibri"/>
        </w:rPr>
        <w:instrText>ADDIN CSL_CITATION {"citationItems":[{"id":"ITEM-1","itemData":{"DOI":"10.1016/j.fusengdes.2018.04.001","ISSN":"09203796","abstract":"This paper describes the progress of the DEMO Design Activities in Europe and particularly the work done to address critical design integration issues that affect the machine configuration and performance, the plant concept layout and the selection of system design and technologies. Work continues to be primarily focused on the design integration of a pulsed baseline DEMO reactor concept, but a number of alternative configurations (e.g., a double-null divertor and a snowflake divertor as well as a ‘flexi’ DEMO that operates initially in an inductively driven pulsed regime, with the possibility to be upgraded to a long-pulse or steady-state machine with a greater reliance on auxiliary current drive, etc.) are under preliminary study, especially to evaluate their DEMO reactor relevance. Some initial considerations are given on the strategy to implement a structured design and technology down-selection, that progressively reviews and narrows options to arrive at the DEMO plant concept that addresses major system integration risks and offers the best probability to satisfy all stakeholder mission requirements. Finally, some recent technical achievements are highlighted.","author":[{"dropping-particle":"","family":"Federici","given":"G.","non-dropping-particle":"","parse-names":false,"suffix":""},{"dropping-particle":"","family":"Bachmann","given":"C.","non-dropping-particle":"","parse-names":false,"suffix":""},{"dropping-particle":"","family":"Barucca","given":"L.","non-dropping-particle":"","parse-names":false,"suffix":""},{"dropping-particle":"","family":"Biel","given":"W.","non-dropping-particle":"","parse-names":false,"suffix":""},{"dropping-particle":"","family":"Boccaccini","given":"L.","non-dropping-particle":"","parse-names":false,"suffix":""},{"dropping-particle":"","family":"Brown","given":"R.","non-dropping-particle":"","parse-names":false,"suffix":""},{"dropping-particle":"","family":"Bustreo","given":"C.","non-dropping-particle":"","parse-names":false,"suffix":""},{"dropping-particle":"","family":"Ciattaglia","given":"S.","non-dropping-particle":"","parse-names":false,"suffix":""},{"dropping-particle":"","family":"Cismondi","given":"F.","non-dropping-particle":"","parse-names":false,"suffix":""},{"dropping-particle":"","family":"Coleman","given":"M.","non-dropping-particle":"","parse-names":false,"suffix":""},{"dropping-particle":"","family":"Corato","given":"V.","non-dropping-particle":"","parse-names":false,"suffix":""},{"dropping-particle":"","family":"Day","given":"C.","non-dropping-particle":"","parse-names":false,"suffix":""},{"dropping-particle":"","family":"Diegele","given":"E.","non-dropping-particle":"","parse-names":false,"suffix":""},{"dropping-particle":"","family":"Fischer","given":"U.","non-dropping-particle":"","parse-names":false,"suffix":""},{"dropping-particle":"","family":"Franke","given":"T.","non-dropping-particle":"","parse-names":false,"suffix":""},{"dropping-particle":"","family":"Gliss","given":"C.","non-dropping-particle":"","parse-names":false,"suffix":""},{"dropping-particle":"","family":"Ibarra","given":"A.","non-dropping-particle":"","parse-names":false,"suffix":""},{"dropping-particle":"","family":"Kembleton","given":"R.","non-dropping-particle":"","parse-names":false,"suffix":""},{"dropping-particle":"","family":"Loving","given":"A.","non-dropping-particle":"","parse-names":false,"suffix":""},{"dropping-particle":"","family":"Maviglia","given":"F.","non-dropping-particle":"","parse-names":false,"suffix":""},{"dropping-particle":"","family":"Meszaros","given":"B.","non-dropping-particle":"","parse-names":false,"suffix":""},{"dropping-particle":"","family":"Pintsuk","given":"G.","non-dropping-particle":"","parse-names":false,"suffix":""},{"dropping-particle":"","family":"Taylor","given":"N.","non-dropping-particle":"","parse-names":false,"suffix":""},{"dropping-particle":"","family":"Tran","given":"M. Q.","non-dropping-particle":"","parse-names":false,"suffix":""},{"dropping-particle":"","family":"Vorpahl","given":"C.","non-dropping-particle":"","parse-names":false,"suffix":""},{"dropping-particle":"","family":"Wenninger","given":"R.","non-dropping-particle":"","parse-names":false,"suffix":""},{"dropping-particle":"","family":"You","given":"J. H.","non-dropping-particle":"","parse-names":false,"suffix":""}],"container-title":"Fusion Engineering and Design","id":"ITEM-1","issue":"April","issued":{"date-parts":[["2018"]]},"page":"729-741","publisher":"Elsevier","title":"DEMO design activity in Europe: Progress and updates","type":"article-journal","volume":"136"},"uris":["http://www.mendeley.com/documents/?uuid=9d7929e4-610d-4d3d-9604-cec323dbaaa8"]}],"mendeley":{"formattedCitation":"[22]","plainTextFormattedCitation":"[22]","previouslyFormattedCitation":"[22]"},"properties":{"noteIndex":0},"schema":"https://github.com/citation-style-language/schema/raw/master/csl-citation.json"}</w:instrText>
      </w:r>
      <w:r w:rsidR="00F80CBA">
        <w:rPr>
          <w:rFonts w:ascii="Calibri" w:hAnsi="Calibri" w:cs="Calibri"/>
        </w:rPr>
        <w:fldChar w:fldCharType="separate"/>
      </w:r>
      <w:r w:rsidR="00F80CBA" w:rsidRPr="00F80CBA">
        <w:rPr>
          <w:rFonts w:ascii="Calibri" w:hAnsi="Calibri" w:cs="Calibri"/>
          <w:noProof/>
        </w:rPr>
        <w:t>[22]</w:t>
      </w:r>
      <w:r w:rsidR="00F80CBA">
        <w:rPr>
          <w:rFonts w:ascii="Calibri" w:hAnsi="Calibri" w:cs="Calibri"/>
        </w:rPr>
        <w:fldChar w:fldCharType="end"/>
      </w:r>
      <w:r w:rsidR="00F80CBA">
        <w:rPr>
          <w:rFonts w:ascii="Calibri" w:hAnsi="Calibri" w:cs="Calibri"/>
        </w:rPr>
        <w:t>.</w:t>
      </w:r>
      <w:r w:rsidR="00F5199F">
        <w:rPr>
          <w:rFonts w:ascii="Calibri" w:hAnsi="Calibri" w:cs="Calibri"/>
        </w:rPr>
        <w:t xml:space="preserve"> </w:t>
      </w:r>
      <w:r w:rsidR="0051566D">
        <w:rPr>
          <w:rFonts w:ascii="Calibri" w:hAnsi="Calibri" w:cs="Calibri"/>
        </w:rPr>
        <w:t xml:space="preserve">Until a final decision is made on the breeding blanket type, it remains </w:t>
      </w:r>
      <w:r w:rsidR="00B22EBF">
        <w:rPr>
          <w:rFonts w:ascii="Calibri" w:hAnsi="Calibri" w:cs="Calibri"/>
        </w:rPr>
        <w:t xml:space="preserve">difficult </w:t>
      </w:r>
      <w:r w:rsidR="0051566D">
        <w:rPr>
          <w:rFonts w:ascii="Calibri" w:hAnsi="Calibri" w:cs="Calibri"/>
        </w:rPr>
        <w:t xml:space="preserve">to </w:t>
      </w:r>
      <w:r w:rsidR="009022ED">
        <w:rPr>
          <w:rFonts w:ascii="Calibri" w:hAnsi="Calibri" w:cs="Calibri"/>
        </w:rPr>
        <w:t>identify</w:t>
      </w:r>
      <w:r w:rsidR="0051566D">
        <w:rPr>
          <w:rFonts w:ascii="Calibri" w:hAnsi="Calibri" w:cs="Calibri"/>
        </w:rPr>
        <w:t xml:space="preserve"> the radioactive source terms present in </w:t>
      </w:r>
      <w:r w:rsidR="0008008B">
        <w:rPr>
          <w:rFonts w:ascii="Calibri" w:hAnsi="Calibri" w:cs="Calibri"/>
        </w:rPr>
        <w:t>a fusion plant</w:t>
      </w:r>
      <w:r w:rsidR="0051566D">
        <w:rPr>
          <w:rFonts w:ascii="Calibri" w:hAnsi="Calibri" w:cs="Calibri"/>
        </w:rPr>
        <w:t xml:space="preserve"> blanket architecture.</w:t>
      </w:r>
    </w:p>
    <w:p w:rsidR="00756CC5" w:rsidRPr="008E6E2B" w:rsidRDefault="00756CC5" w:rsidP="00255F4A">
      <w:pPr>
        <w:pStyle w:val="NormalWeb"/>
        <w:rPr>
          <w:rFonts w:ascii="Calibri" w:hAnsi="Calibri" w:cs="Calibri"/>
        </w:rPr>
      </w:pPr>
      <w:r w:rsidRPr="00756CC5">
        <w:rPr>
          <w:rFonts w:ascii="Calibri" w:hAnsi="Calibri" w:cs="Calibri"/>
          <w:b/>
          <w:i/>
        </w:rPr>
        <w:t>4.2.1 Tritium</w:t>
      </w:r>
    </w:p>
    <w:p w:rsidR="000F031E" w:rsidRDefault="00096D78" w:rsidP="000F031E">
      <w:pPr>
        <w:pStyle w:val="NormalWeb"/>
        <w:rPr>
          <w:rFonts w:ascii="Calibri" w:hAnsi="Calibri" w:cs="Calibri"/>
        </w:rPr>
      </w:pPr>
      <w:r>
        <w:rPr>
          <w:rFonts w:ascii="Calibri" w:hAnsi="Calibri" w:cs="Calibri"/>
        </w:rPr>
        <w:t>Whilst there is only a few grams of tritium fuel in the plasma at any one time, t</w:t>
      </w:r>
      <w:r w:rsidR="00756CC5">
        <w:rPr>
          <w:rFonts w:ascii="Calibri" w:hAnsi="Calibri" w:cs="Calibri"/>
        </w:rPr>
        <w:t>he tritium consumption in the vacuum vessel (VV) amounts to ~125 kg per year (in a standard 1GW</w:t>
      </w:r>
      <w:r w:rsidR="00756CC5">
        <w:rPr>
          <w:rFonts w:ascii="Calibri" w:hAnsi="Calibri" w:cs="Calibri"/>
          <w:vertAlign w:val="subscript"/>
        </w:rPr>
        <w:t xml:space="preserve">e  </w:t>
      </w:r>
      <w:r w:rsidR="00756CC5">
        <w:rPr>
          <w:rFonts w:ascii="Calibri" w:hAnsi="Calibri" w:cs="Calibri"/>
        </w:rPr>
        <w:t>fusion reactor)</w:t>
      </w:r>
      <w:r>
        <w:rPr>
          <w:rFonts w:ascii="Calibri" w:hAnsi="Calibri" w:cs="Calibri"/>
        </w:rPr>
        <w:t xml:space="preserve"> and</w:t>
      </w:r>
      <w:r w:rsidR="00756CC5">
        <w:rPr>
          <w:rFonts w:ascii="Calibri" w:hAnsi="Calibri" w:cs="Calibri"/>
        </w:rPr>
        <w:t xml:space="preserve"> can lead to a build-up of tritium in the VV and fuel</w:t>
      </w:r>
      <w:r w:rsidR="004B017B">
        <w:rPr>
          <w:rFonts w:ascii="Calibri" w:hAnsi="Calibri" w:cs="Calibri"/>
        </w:rPr>
        <w:t xml:space="preserve"> and coolant</w:t>
      </w:r>
      <w:r w:rsidR="00756CC5">
        <w:rPr>
          <w:rFonts w:ascii="Calibri" w:hAnsi="Calibri" w:cs="Calibri"/>
        </w:rPr>
        <w:t xml:space="preserve"> system over time. </w:t>
      </w:r>
      <w:r w:rsidR="00756CC5" w:rsidRPr="00643B47">
        <w:rPr>
          <w:rFonts w:ascii="Calibri" w:hAnsi="Calibri" w:cs="Calibri"/>
        </w:rPr>
        <w:t xml:space="preserve">The use of reduced activation martensitic steel in the vacuum vessel should result in a relatively low level of tritium absorption, due to its high diffusion coefficients under </w:t>
      </w:r>
      <w:r w:rsidR="00756CC5">
        <w:rPr>
          <w:rFonts w:ascii="Calibri" w:hAnsi="Calibri" w:cs="Calibri"/>
        </w:rPr>
        <w:t>fusion</w:t>
      </w:r>
      <w:r w:rsidR="00756CC5" w:rsidRPr="00643B47">
        <w:rPr>
          <w:rFonts w:ascii="Calibri" w:hAnsi="Calibri" w:cs="Calibri"/>
        </w:rPr>
        <w:t xml:space="preserve"> conditions. However, the majority of tritium build up will be due to absorption in the W/Be armour and co-deposited</w:t>
      </w:r>
      <w:r w:rsidR="00756CC5">
        <w:rPr>
          <w:rFonts w:ascii="Calibri" w:hAnsi="Calibri" w:cs="Calibri"/>
        </w:rPr>
        <w:t xml:space="preserve"> tritium in dust </w:t>
      </w:r>
      <w:r w:rsidR="00756CC5">
        <w:rPr>
          <w:rFonts w:ascii="Calibri" w:hAnsi="Calibri" w:cs="Calibri"/>
        </w:rPr>
        <w:fldChar w:fldCharType="begin" w:fldLock="1"/>
      </w:r>
      <w:r w:rsidR="00FF459B">
        <w:rPr>
          <w:rFonts w:ascii="Calibri" w:hAnsi="Calibri" w:cs="Calibri"/>
        </w:rPr>
        <w:instrText>ADDIN CSL_CITATION {"citationItems":[{"id":"ITEM-1","itemData":{"DOI":"10.1016/j.fusengdes.2014.04.062","abstract":"• This paper reports progress in the fusion DEMO safety research conducted under the Broader Approach DEMO Design Activities. • Hazards of a reference DEMO concept have been assessed. • Reference accident event sequences in the reference DEMO in this study have been analyzed based on the master logic diagram (MLD) and the functional failure mode and effect analysis (FFMEA) techniques. • Accident events of particular concern in the DEMO have been selected based on the MLD and FFMEA analysis. a b s t r a c t After the Fukushima Dai-ichi nuclear accident, a need for assuring safety of fusion energy has grown in the Japanese (JA) fusion research community. DEMO safety research has been launched as a part of Broader Approach DEMO Design Activities (BA-DDA). This paper reports progress in the fusion DEMO safety research conducted under BA-DDA. Safety requirements and evaluation guidelines have been, first of all, established based on those established in the Japanese ITER site invitation activities. The radioactive source terms and energies that can mobilize such source terms have been assessed for a reference DEMO concept. This concept employs in-vessel components that are cooled by pressurized water and built of a low activation ferritic steel (F82H), contains solid pebble beds made of lithium-titanate (Li 2 TiO 3) and beryllium–titanium (Be 12 Ti) for tritium breeding and neutron multiplication, respectively. It is shown that unlike the energies expected in ITER, the enthalpy in the first wall/blanket cooling loops is large compared to the other energies expected in the reference DEMO concept. Reference accident event sequences in the reference DEMO in this study have been analyzed based on the Master Logic Diagram and Functional Failure Mode and Effect Analysis techniques. Accident events of particular concern in the DEMO have been selected based on the event sequence analysis and the hazard assessment.","author":[{"dropping-particle":"","family":"Nakamura","given":"M","non-dropping-particle":"","parse-names":false,"suffix":""},{"dropping-particle":"","family":"Tobita","given":"K","non-dropping-particle":"","parse-names":false,"suffix":""},{"dropping-particle":"","family":"Gulden","given":"W","non-dropping-particle":"","parse-names":false,"suffix":""},{"dropping-particle":"","family":"Watanabe","given":"K","non-dropping-particle":"","parse-names":false,"suffix":""},{"dropping-particle":"","family":"Someya","given":"Y","non-dropping-particle":"","parse-names":false,"suffix":""},{"dropping-particle":"","family":"Tanigawa","given":"H","non-dropping-particle":"","parse-names":false,"suffix":""},{"dropping-particle":"","family":"Sakamoto","given":"Y","non-dropping-particle":"","parse-names":false,"suffix":""},{"dropping-particle":"","family":"Araki","given":"T","non-dropping-particle":"","parse-names":false,"suffix":""},{"dropping-particle":"","family":"Matsumiya","given":"H","non-dropping-particle":"","parse-names":false,"suffix":""},{"dropping-particle":"","family":"Ishii","given":"K","non-dropping-particle":"","parse-names":false,"suffix":""},{"dropping-particle":"","family":"Utoh","given":"H","non-dropping-particle":"","parse-names":false,"suffix":""},{"dropping-particle":"","family":"Takase","given":"H","non-dropping-particle":"","parse-names":false,"suffix":""},{"dropping-particle":"","family":"Hayashi","given":"T","non-dropping-particle":"","parse-names":false,"suffix":""},{"dropping-particle":"","family":"Satou","given":"A","non-dropping-particle":"","parse-names":false,"suffix":""},{"dropping-particle":"","family":"Yonomoto","given":"T","non-dropping-particle":"","parse-names":false,"suffix":""},{"dropping-particle":"","family":"Federici","given":"G","non-dropping-particle":"","parse-names":false,"suffix":""},{"dropping-particle":"","family":"Okano","given":"K","non-dropping-particle":"","parse-names":false,"suffix":""}],"container-title":"Fusion Engineering and Design","id":"ITEM-1","issued":{"date-parts":[["2014"]]},"page":"2028-2032","title":"Study of safety features and accident scenarios in a fusion DEMO reactor","type":"article-journal","volume":"89"},"uris":["http://www.mendeley.com/documents/?uuid=67f7af1c-9d49-3420-a1fd-ec0eb8fe677e"]}],"mendeley":{"formattedCitation":"[23]","plainTextFormattedCitation":"[23]","previouslyFormattedCitation":"[23]"},"properties":{"noteIndex":0},"schema":"https://github.com/citation-style-language/schema/raw/master/csl-citation.json"}</w:instrText>
      </w:r>
      <w:r w:rsidR="00756CC5">
        <w:rPr>
          <w:rFonts w:ascii="Calibri" w:hAnsi="Calibri" w:cs="Calibri"/>
        </w:rPr>
        <w:fldChar w:fldCharType="separate"/>
      </w:r>
      <w:r w:rsidR="00F80CBA" w:rsidRPr="00F80CBA">
        <w:rPr>
          <w:rFonts w:ascii="Calibri" w:hAnsi="Calibri" w:cs="Calibri"/>
          <w:noProof/>
        </w:rPr>
        <w:t>[23]</w:t>
      </w:r>
      <w:r w:rsidR="00756CC5">
        <w:rPr>
          <w:rFonts w:ascii="Calibri" w:hAnsi="Calibri" w:cs="Calibri"/>
        </w:rPr>
        <w:fldChar w:fldCharType="end"/>
      </w:r>
      <w:r w:rsidR="00756CC5">
        <w:rPr>
          <w:rFonts w:ascii="Calibri" w:hAnsi="Calibri" w:cs="Calibri"/>
        </w:rPr>
        <w:t>.</w:t>
      </w:r>
      <w:r w:rsidR="00020274">
        <w:rPr>
          <w:rFonts w:ascii="Calibri" w:hAnsi="Calibri" w:cs="Calibri"/>
        </w:rPr>
        <w:t xml:space="preserve"> </w:t>
      </w:r>
      <w:r w:rsidR="000F031E">
        <w:rPr>
          <w:rFonts w:ascii="Calibri" w:hAnsi="Calibri" w:cs="Calibri"/>
        </w:rPr>
        <w:t>In the PPCS and SEAFP studies</w:t>
      </w:r>
      <w:r w:rsidR="00875CF8">
        <w:rPr>
          <w:rFonts w:ascii="Calibri" w:hAnsi="Calibri" w:cs="Calibri"/>
        </w:rPr>
        <w:t xml:space="preserve"> </w:t>
      </w:r>
      <w:r w:rsidR="00875CF8">
        <w:rPr>
          <w:rFonts w:ascii="Calibri" w:hAnsi="Calibri" w:cs="Calibri"/>
        </w:rPr>
        <w:fldChar w:fldCharType="begin" w:fldLock="1"/>
      </w:r>
      <w:r w:rsidR="00EC50F8">
        <w:rPr>
          <w:rFonts w:ascii="Calibri" w:hAnsi="Calibri" w:cs="Calibri"/>
        </w:rPr>
        <w:instrText>ADDIN CSL_CITATION {"citationItems":[{"id":"ITEM-1","itemData":{"ISSN":"0269-9702","author":[{"dropping-particle":"","family":"Raeder","given":"J.","non-dropping-particle":"","parse-names":false,"suffix":""},{"dropping-particle":"","family":"Cook","given":"I","non-dropping-particle":"","parse-names":false,"suffix":""},{"dropping-particle":"","family":"Morgensten","given":"F.H","non-dropping-particle":"","parse-names":false,"suffix":""},{"dropping-particle":"","family":"Salpietro","given":"E","non-dropping-particle":"","parse-names":false,"suffix":""},{"dropping-particle":"","family":"Bunde","given":"R","non-dropping-particle":"","parse-names":false,"suffix":""},{"dropping-particle":"","family":"Ebert","given":"E","non-dropping-particle":"","parse-names":false,"suffix":""}],"id":"ITEM-1","issue":"June","issued":{"date-parts":[["1995"]]},"publisher-place":"Brussels","title":"Safety and Environmental Assessment of Fusion Power (SEAFP) Report of the SEAFP Project","type":"report"},"uris":["http://www.mendeley.com/documents/?uuid=c3d71ddb-1d0e-482f-b0d2-aee19363b400"]},{"id":"ITEM-2","itemData":{"author":[{"dropping-particle":"","family":"Maisonnier","given":"D","non-dropping-particle":"","parse-names":false,"suffix":""},{"dropping-particle":"","family":"Cook","given":"I","non-dropping-particle":"","parse-names":false,"suffix":""},{"dropping-particle":"","family":"Sardain","given":"I","non-dropping-particle":"","parse-names":false,"suffix":""},{"dropping-particle":"","family":"Andreani","given":"R","non-dropping-particle":"","parse-names":false,"suffix":""},{"dropping-particle":"","family":"Pace","given":"L","non-dropping-particle":"Di","parse-names":false,"suffix":""},{"dropping-particle":"","family":"Forrest","given":"R","non-dropping-particle":"","parse-names":false,"suffix":""},{"dropping-particle":"","family":"Giancarli","given":"L","non-dropping-particle":"","parse-names":false,"suffix":""},{"dropping-particle":"","family":"Hermsmeyer","given":"S","non-dropping-particle":"","parse-names":false,"suffix":""},{"dropping-particle":"","family":"Norajitra","given":"P","non-dropping-particle":"","parse-names":false,"suffix":""},{"dropping-particle":"","family":"Taylor","given":"N","non-dropping-particle":"","parse-names":false,"suffix":""},{"dropping-particle":"","family":"Ward","given":"D","non-dropping-particle":"","parse-names":false,"suffix":""}],"id":"ITEM-2","issued":{"date-parts":[["2005"]]},"title":"Final Report of the European Fusion Power Plant Conceptual Study (PPCS)","type":"report"},"uris":["http://www.mendeley.com/documents/?uuid=654a4942-b91a-3b30-8ed9-debf8a2b6790"]}],"mendeley":{"formattedCitation":"[2], [6]","plainTextFormattedCitation":"[2], [6]","previouslyFormattedCitation":"[2], [6]"},"properties":{"noteIndex":0},"schema":"https://github.com/citation-style-language/schema/raw/master/csl-citation.json"}</w:instrText>
      </w:r>
      <w:r w:rsidR="00875CF8">
        <w:rPr>
          <w:rFonts w:ascii="Calibri" w:hAnsi="Calibri" w:cs="Calibri"/>
        </w:rPr>
        <w:fldChar w:fldCharType="separate"/>
      </w:r>
      <w:r w:rsidR="00875CF8" w:rsidRPr="000F031E">
        <w:rPr>
          <w:rFonts w:ascii="Calibri" w:hAnsi="Calibri" w:cs="Calibri"/>
          <w:noProof/>
        </w:rPr>
        <w:t>[2], [6]</w:t>
      </w:r>
      <w:r w:rsidR="00875CF8">
        <w:rPr>
          <w:rFonts w:ascii="Calibri" w:hAnsi="Calibri" w:cs="Calibri"/>
        </w:rPr>
        <w:fldChar w:fldCharType="end"/>
      </w:r>
      <w:r w:rsidR="000F031E">
        <w:rPr>
          <w:rFonts w:ascii="Calibri" w:hAnsi="Calibri" w:cs="Calibri"/>
        </w:rPr>
        <w:t>,</w:t>
      </w:r>
      <w:r w:rsidR="00875CF8">
        <w:rPr>
          <w:rFonts w:ascii="Calibri" w:hAnsi="Calibri" w:cs="Calibri"/>
        </w:rPr>
        <w:t xml:space="preserve"> </w:t>
      </w:r>
      <w:r w:rsidR="000F031E">
        <w:rPr>
          <w:rFonts w:ascii="Calibri" w:hAnsi="Calibri" w:cs="Calibri"/>
        </w:rPr>
        <w:t xml:space="preserve"> the maximum tritium inventory that is able to be mobilised in the event of an accident is assumed to be 1 kg, which results in a releasable inventory of 3.57E+17 Bq.</w:t>
      </w:r>
    </w:p>
    <w:p w:rsidR="00756CC5" w:rsidRPr="00C62C45" w:rsidRDefault="00756CC5" w:rsidP="00255F4A">
      <w:pPr>
        <w:pStyle w:val="NormalWeb"/>
        <w:rPr>
          <w:rFonts w:ascii="Calibri" w:hAnsi="Calibri" w:cs="Calibri"/>
        </w:rPr>
      </w:pPr>
      <w:r>
        <w:rPr>
          <w:rFonts w:ascii="Calibri" w:hAnsi="Calibri" w:cs="Calibri"/>
          <w:b/>
          <w:i/>
        </w:rPr>
        <w:t xml:space="preserve">4.2.2 Activated </w:t>
      </w:r>
      <w:r w:rsidR="003B752F">
        <w:rPr>
          <w:rFonts w:ascii="Calibri" w:hAnsi="Calibri" w:cs="Calibri"/>
          <w:b/>
          <w:i/>
        </w:rPr>
        <w:t>D</w:t>
      </w:r>
      <w:r>
        <w:rPr>
          <w:rFonts w:ascii="Calibri" w:hAnsi="Calibri" w:cs="Calibri"/>
          <w:b/>
          <w:i/>
        </w:rPr>
        <w:t>ust</w:t>
      </w:r>
      <w:r w:rsidR="008E6E2B">
        <w:rPr>
          <w:rFonts w:ascii="Calibri" w:hAnsi="Calibri" w:cs="Calibri"/>
          <w:b/>
          <w:i/>
        </w:rPr>
        <w:t xml:space="preserve"> and Corrosion Products</w:t>
      </w:r>
    </w:p>
    <w:p w:rsidR="00B62CC3" w:rsidRDefault="008C032D" w:rsidP="00E61FFC">
      <w:pPr>
        <w:pStyle w:val="NormalWeb"/>
        <w:rPr>
          <w:rFonts w:ascii="Calibri" w:hAnsi="Calibri" w:cs="Calibri"/>
        </w:rPr>
      </w:pPr>
      <w:r>
        <w:rPr>
          <w:rFonts w:ascii="Calibri" w:hAnsi="Calibri" w:cs="Calibri"/>
        </w:rPr>
        <w:t xml:space="preserve">Quantifying the inventories of </w:t>
      </w:r>
      <w:r w:rsidR="005401A2">
        <w:rPr>
          <w:rFonts w:ascii="Calibri" w:hAnsi="Calibri" w:cs="Calibri"/>
        </w:rPr>
        <w:t xml:space="preserve">radioactive </w:t>
      </w:r>
      <w:r>
        <w:rPr>
          <w:rFonts w:ascii="Calibri" w:hAnsi="Calibri" w:cs="Calibri"/>
        </w:rPr>
        <w:t>dust</w:t>
      </w:r>
      <w:r w:rsidR="005401A2">
        <w:rPr>
          <w:rFonts w:ascii="Calibri" w:hAnsi="Calibri" w:cs="Calibri"/>
        </w:rPr>
        <w:t xml:space="preserve"> and mobile corrosion products</w:t>
      </w:r>
      <w:r>
        <w:rPr>
          <w:rFonts w:ascii="Calibri" w:hAnsi="Calibri" w:cs="Calibri"/>
        </w:rPr>
        <w:t xml:space="preserve"> in a fusion reactor remains problematic. Due to the lack of information over the wide range of phenomena taking place during dust</w:t>
      </w:r>
      <w:r w:rsidR="00EF0D5C">
        <w:rPr>
          <w:rFonts w:ascii="Calibri" w:hAnsi="Calibri" w:cs="Calibri"/>
        </w:rPr>
        <w:t xml:space="preserve"> and corrosion product</w:t>
      </w:r>
      <w:r>
        <w:rPr>
          <w:rFonts w:ascii="Calibri" w:hAnsi="Calibri" w:cs="Calibri"/>
        </w:rPr>
        <w:t xml:space="preserve"> production, mainly the plasma-material interactions and the physical and chemical processes involved, the inventory at any one time is based on </w:t>
      </w:r>
      <w:r w:rsidR="00F33313">
        <w:rPr>
          <w:rFonts w:ascii="Calibri" w:hAnsi="Calibri" w:cs="Calibri"/>
        </w:rPr>
        <w:t>approximate</w:t>
      </w:r>
      <w:r>
        <w:rPr>
          <w:rFonts w:ascii="Calibri" w:hAnsi="Calibri" w:cs="Calibri"/>
        </w:rPr>
        <w:t xml:space="preserve"> assumptions and does not take into account the engineering parameters of different plant designs </w:t>
      </w:r>
      <w:r>
        <w:rPr>
          <w:rFonts w:ascii="Calibri" w:hAnsi="Calibri" w:cs="Calibri"/>
        </w:rPr>
        <w:fldChar w:fldCharType="begin" w:fldLock="1"/>
      </w:r>
      <w:r w:rsidR="00FF459B">
        <w:rPr>
          <w:rFonts w:ascii="Calibri" w:hAnsi="Calibri" w:cs="Calibri"/>
        </w:rPr>
        <w:instrText>ADDIN CSL_CITATION {"citationItems":[{"id":"ITEM-1","itemData":{"DOI":"10.1016/j.heliyon.2016.e00184","ISSN":"24058440","abstract":"An open issue still under investigation by several international entities working on the safety and security field for the foreseen nuclear fusion reactors is the estimation of source terms that are a hazard for the operators and public, and for the machine itself in terms of efficiency and integrity in case of severe accident scenarios. Source term estimation is a crucial key safety issue to be addressed in the future reactors safety assessments, and the estimates available at the time are not sufficiently satisfactory. The lack of neutronic data along with the insufficiently accurate methodologies used until now, calls for an integrated methodology for source term estimation that can provide predictions with an adequate accuracy. This work proposes a complete methodology to estimate dust source terms starting from a broad information gathering. The wide number of parameters that can influence dust source term production is reduced with statistical tools using a combination of screening, sensitivity analysis, and uncertainty analysis. Finally, a preliminary and simplified methodology for dust source term production prediction for future devices is presented.","author":[{"dropping-particle":"","family":"Poggi","given":"L. A.","non-dropping-particle":"","parse-names":false,"suffix":""},{"dropping-particle":"","family":"Malizia","given":"A.","non-dropping-particle":"","parse-names":false,"suffix":""},{"dropping-particle":"","family":"Ciparisse","given":"J. F.","non-dropping-particle":"","parse-names":false,"suffix":""},{"dropping-particle":"","family":"Gaudio","given":"P.","non-dropping-particle":"","parse-names":false,"suffix":""}],"container-title":"Heliyon","id":"ITEM-1","issue":"10","issued":{"date-parts":[["2016"]]},"publisher":"Elsevier Ltd","title":"A novel integrated approach for the hazardous radioactive dust source terms estimation in future nuclear fusion power plants","type":"article-journal","volume":"2"},"uris":["http://www.mendeley.com/documents/?uuid=7ca75ddc-91bf-463d-b51e-c2ab6d4b01e1"]}],"mendeley":{"formattedCitation":"[24]","plainTextFormattedCitation":"[24]","previouslyFormattedCitation":"[24]"},"properties":{"noteIndex":0},"schema":"https://github.com/citation-style-language/schema/raw/master/csl-citation.json"}</w:instrText>
      </w:r>
      <w:r>
        <w:rPr>
          <w:rFonts w:ascii="Calibri" w:hAnsi="Calibri" w:cs="Calibri"/>
        </w:rPr>
        <w:fldChar w:fldCharType="separate"/>
      </w:r>
      <w:r w:rsidR="00F80CBA" w:rsidRPr="00F80CBA">
        <w:rPr>
          <w:rFonts w:ascii="Calibri" w:hAnsi="Calibri" w:cs="Calibri"/>
          <w:noProof/>
        </w:rPr>
        <w:t>[24]</w:t>
      </w:r>
      <w:r>
        <w:rPr>
          <w:rFonts w:ascii="Calibri" w:hAnsi="Calibri" w:cs="Calibri"/>
        </w:rPr>
        <w:fldChar w:fldCharType="end"/>
      </w:r>
      <w:r>
        <w:rPr>
          <w:rFonts w:ascii="Calibri" w:hAnsi="Calibri" w:cs="Calibri"/>
        </w:rPr>
        <w:t>.</w:t>
      </w:r>
      <w:r w:rsidR="006B3C92">
        <w:rPr>
          <w:rFonts w:ascii="Calibri" w:hAnsi="Calibri" w:cs="Calibri"/>
        </w:rPr>
        <w:t xml:space="preserve"> </w:t>
      </w:r>
      <w:r>
        <w:rPr>
          <w:rFonts w:ascii="Calibri" w:hAnsi="Calibri" w:cs="Calibri"/>
        </w:rPr>
        <w:t xml:space="preserve">Nevertheless, an attempt has been made in </w:t>
      </w:r>
      <w:r>
        <w:rPr>
          <w:rFonts w:ascii="Calibri" w:hAnsi="Calibri" w:cs="Calibri"/>
        </w:rPr>
        <w:fldChar w:fldCharType="begin" w:fldLock="1"/>
      </w:r>
      <w:r w:rsidR="00FF459B">
        <w:rPr>
          <w:rFonts w:ascii="Calibri" w:hAnsi="Calibri" w:cs="Calibri"/>
        </w:rPr>
        <w:instrText>ADDIN CSL_CITATION {"citationItems":[{"id":"ITEM-1","itemData":{"DOI":"10.13182/FST07-A1514","ISSN":"15361055","abstract":"Throughout the various phases of the ITER project, extensive safety analyses have been performed to ensure that potential hazards to the public, the environment, and personnel are minimized. This work, done before a location for ITER had. been chosen, resulted in a very comprehensive assessment of ITER safety in terms of the impact at a \"generic site\". By making good use of the favourable safety and environmental characteristics of fusion, a very good outcome was achieved. Now that the Cadarache site, in southern France, has been selected for ITER construction, it is necessary to reanalyze the impact of postulated accidental releases of tritium and activated material, taking into account the specific conditions of the site. These include regulatory requirements on dose limits and on assumptions to be made in analyses, as well as local environmental factors such as weather conditions, population demographics, and local food production and consumption patterns. This paper discusses the impact on the ITER safety case of new dispersion and dose calculations for accidental releases, taking into account these site-specific conditions; These indicate that doses arising from the release masses calculated for the most challenging accident scenario in previous generic-site studies will meet the new dose limits by a very large margin.","author":[{"dropping-particle":"","family":"Taylor","given":"Neill P.","non-dropping-particle":"","parse-names":false,"suffix":""},{"dropping-particle":"","family":"Raskob","given":"Wolfgang","non-dropping-particle":"","parse-names":false,"suffix":""}],"container-title":"Fusion Science and Technology","id":"ITEM-1","issue":"3","issued":{"date-parts":[["2007"]]},"page":"359-366","title":"Updated accident consequence analyses for ITER at Cadarache","type":"article-journal","volume":"52"},"uris":["http://www.mendeley.com/documents/?uuid=388aa427-b960-432f-9d4d-77abd55900de"]}],"mendeley":{"formattedCitation":"[25]","plainTextFormattedCitation":"[25]","previouslyFormattedCitation":"[25]"},"properties":{"noteIndex":0},"schema":"https://github.com/citation-style-language/schema/raw/master/csl-citation.json"}</w:instrText>
      </w:r>
      <w:r>
        <w:rPr>
          <w:rFonts w:ascii="Calibri" w:hAnsi="Calibri" w:cs="Calibri"/>
        </w:rPr>
        <w:fldChar w:fldCharType="separate"/>
      </w:r>
      <w:r w:rsidR="00F80CBA" w:rsidRPr="00F80CBA">
        <w:rPr>
          <w:rFonts w:ascii="Calibri" w:hAnsi="Calibri" w:cs="Calibri"/>
          <w:noProof/>
        </w:rPr>
        <w:t>[25]</w:t>
      </w:r>
      <w:r>
        <w:rPr>
          <w:rFonts w:ascii="Calibri" w:hAnsi="Calibri" w:cs="Calibri"/>
        </w:rPr>
        <w:fldChar w:fldCharType="end"/>
      </w:r>
      <w:r>
        <w:rPr>
          <w:rFonts w:ascii="Calibri" w:hAnsi="Calibri" w:cs="Calibri"/>
        </w:rPr>
        <w:t xml:space="preserve"> to identify the potential source terms that can be produced in a fusion power plant</w:t>
      </w:r>
      <w:r w:rsidR="00446DEC">
        <w:rPr>
          <w:rFonts w:ascii="Calibri" w:hAnsi="Calibri" w:cs="Calibri"/>
        </w:rPr>
        <w:t xml:space="preserve"> along with their activity</w:t>
      </w:r>
      <w:r w:rsidR="00106769">
        <w:rPr>
          <w:rFonts w:ascii="Calibri" w:hAnsi="Calibri" w:cs="Calibri"/>
        </w:rPr>
        <w:t>.</w:t>
      </w:r>
      <w:r w:rsidR="00491B56">
        <w:rPr>
          <w:rFonts w:ascii="Calibri" w:hAnsi="Calibri" w:cs="Calibri"/>
        </w:rPr>
        <w:t xml:space="preserve"> </w:t>
      </w:r>
    </w:p>
    <w:p w:rsidR="009F1E36" w:rsidRDefault="00B62CC3" w:rsidP="00ED0F2E">
      <w:pPr>
        <w:rPr>
          <w:rFonts w:ascii="Calibri" w:hAnsi="Calibri" w:cs="Calibri"/>
        </w:rPr>
      </w:pPr>
      <w:r>
        <w:rPr>
          <w:rFonts w:ascii="Calibri" w:hAnsi="Calibri" w:cs="Calibri"/>
        </w:rPr>
        <w:lastRenderedPageBreak/>
        <w:t>The maximum expected inventory of dust in DEMO has been estimated at 1000 kg</w:t>
      </w:r>
      <w:r w:rsidRPr="00B62CC3">
        <w:rPr>
          <w:rFonts w:ascii="Calibri" w:hAnsi="Calibri" w:cs="Calibri"/>
        </w:rPr>
        <w:t xml:space="preserve"> </w:t>
      </w:r>
      <w:r>
        <w:rPr>
          <w:rFonts w:ascii="Calibri" w:hAnsi="Calibri" w:cs="Calibri"/>
        </w:rPr>
        <w:fldChar w:fldCharType="begin" w:fldLock="1"/>
      </w:r>
      <w:r w:rsidR="00C14502">
        <w:rPr>
          <w:rFonts w:ascii="Calibri" w:hAnsi="Calibri" w:cs="Calibri"/>
        </w:rPr>
        <w:instrText>ADDIN CSL_CITATION {"citationItems":[{"id":"ITEM-1","itemData":{"DOI":"10.1016/j.fusengdes.2013.12.030","ISBN":"0920-3796","ISSN":"09203796","abstract":"One of the strong motivations for pursuing the development of fusion energy is its potentially low environmental impact and very good safety performance. But this safety and environmental potential can only be fully realized by careful design choices. For DEMO and other fusion facilities that will require nuclear licensing, S&amp;E objectives and criteria should be set at an early stage and taken into account when choosing basic design options and throughout the design process. Studies in recent decades of the safety of fusion power plant concepts give a useful basis on which to build the S&amp;E approach and to assess the impact of design choices. The experience of licensing ITER is of particular value, even though there are some important differences between ITER and DEMO. The ITER project has developed a safety case, produced a preliminary safety report and had it examined by the French nuclear safety authorities, leading to the licence to construct the facility. The key technical issues that arose during this process are recalled, particularly those that may also have an impact on DEMO safety. These include issues related to postulated accident scenarios, environmental releases during operation, occupational radiation exposure, and radioactive waste. ?? 2014 EURATOM/Culham Centre for Fusion Energy.","author":[{"dropping-particle":"","family":"Taylor","given":"Neill","non-dropping-particle":"","parse-names":false,"suffix":""},{"dropping-particle":"","family":"Cortes","given":"Pierre","non-dropping-particle":"","parse-names":false,"suffix":""}],"container-title":"Fusion Engineering and Design","id":"ITEM-1","issue":"9-10","issued":{"date-parts":[["2014"]]},"page":"1995-2000","publisher":"Elsevier B.V.","title":"Lessons learnt from ITER safety &amp; licensing for DEMO and future nuclear fusion facilities","type":"article-journal","volume":"89"},"uris":["http://www.mendeley.com/documents/?uuid=b565a974-a0ec-45f3-a763-eff6b4063f77"]},{"id":"ITEM-2","itemData":{"DOI":"10.1016/j.fusengdes.2014.04.062","abstract":"• This paper reports progress in the fusion DEMO safety research conducted under the Broader Approach DEMO Design Activities. • Hazards of a reference DEMO concept have been assessed. • Reference accident event sequences in the reference DEMO in this study have been analyzed based on the master logic diagram (MLD) and the functional failure mode and effect analysis (FFMEA) techniques. • Accident events of particular concern in the DEMO have been selected based on the MLD and FFMEA analysis. a b s t r a c t After the Fukushima Dai-ichi nuclear accident, a need for assuring safety of fusion energy has grown in the Japanese (JA) fusion research community. DEMO safety research has been launched as a part of Broader Approach DEMO Design Activities (BA-DDA). This paper reports progress in the fusion DEMO safety research conducted under BA-DDA. Safety requirements and evaluation guidelines have been, first of all, established based on those established in the Japanese ITER site invitation activities. The radioactive source terms and energies that can mobilize such source terms have been assessed for a reference DEMO concept. This concept employs in-vessel components that are cooled by pressurized water and built of a low activation ferritic steel (F82H), contains solid pebble beds made of lithium-titanate (Li 2 TiO 3) and beryllium–titanium (Be 12 Ti) for tritium breeding and neutron multiplication, respectively. It is shown that unlike the energies expected in ITER, the enthalpy in the first wall/blanket cooling loops is large compared to the other energies expected in the reference DEMO concept. Reference accident event sequences in the reference DEMO in this study have been analyzed based on the Master Logic Diagram and Functional Failure Mode and Effect Analysis techniques. Accident events of particular concern in the DEMO have been selected based on the event sequence analysis and the hazard assessment.","author":[{"dropping-particle":"","family":"Nakamura","given":"M","non-dropping-particle":"","parse-names":false,"suffix":""},{"dropping-particle":"","family":"Tobita","given":"K","non-dropping-particle":"","parse-names":false,"suffix":""},{"dropping-particle":"","family":"Gulden","given":"W","non-dropping-particle":"","parse-names":false,"suffix":""},{"dropping-particle":"","family":"Watanabe","given":"K","non-dropping-particle":"","parse-names":false,"suffix":""},{"dropping-particle":"","family":"Someya","given":"Y","non-dropping-particle":"","parse-names":false,"suffix":""},{"dropping-particle":"","family":"Tanigawa","given":"H","non-dropping-particle":"","parse-names":false,"suffix":""},{"dropping-particle":"","family":"Sakamoto","given":"Y","non-dropping-particle":"","parse-names":false,"suffix":""},{"dropping-particle":"","family":"Araki","given":"T","non-dropping-particle":"","parse-names":false,"suffix":""},{"dropping-particle":"","family":"Matsumiya","given":"H","non-dropping-particle":"","parse-names":false,"suffix":""},{"dropping-particle":"","family":"Ishii","given":"K","non-dropping-particle":"","parse-names":false,"suffix":""},{"dropping-particle":"","family":"Utoh","given":"H","non-dropping-particle":"","parse-names":false,"suffix":""},{"dropping-particle":"","family":"Takase","given":"H","non-dropping-particle":"","parse-names":false,"suffix":""},{"dropping-particle":"","family":"Hayashi","given":"T","non-dropping-particle":"","parse-names":false,"suffix":""},{"dropping-particle":"","family":"Satou","given":"A","non-dropping-particle":"","parse-names":false,"suffix":""},{"dropping-particle":"","family":"Yonomoto","given":"T","non-dropping-particle":"","parse-names":false,"suffix":""},{"dropping-particle":"","family":"Federici","given":"G","non-dropping-particle":"","parse-names":false,"suffix":""},{"dropping-particle":"","family":"Okano","given":"K","non-dropping-particle":"","parse-names":false,"suffix":""}],"container-title":"Fusion Engineering and Design","id":"ITEM-2","issued":{"date-parts":[["2014"]]},"page":"2028-2032","title":"Study of safety features and accident scenarios in a fusion DEMO reactor","type":"article-journal","volume":"89"},"uris":["http://www.mendeley.com/documents/?uuid=67f7af1c-9d49-3420-a1fd-ec0eb8fe677e"]}],"mendeley":{"formattedCitation":"[23], [26]","plainTextFormattedCitation":"[23], [26]","previouslyFormattedCitation":"[23], [26]"},"properties":{"noteIndex":0},"schema":"https://github.com/citation-style-language/schema/raw/master/csl-citation.json"}</w:instrText>
      </w:r>
      <w:r>
        <w:rPr>
          <w:rFonts w:ascii="Calibri" w:hAnsi="Calibri" w:cs="Calibri"/>
        </w:rPr>
        <w:fldChar w:fldCharType="separate"/>
      </w:r>
      <w:r w:rsidR="00AD1C4A" w:rsidRPr="00AD1C4A">
        <w:rPr>
          <w:rFonts w:ascii="Calibri" w:hAnsi="Calibri" w:cs="Calibri"/>
          <w:noProof/>
        </w:rPr>
        <w:t>[23], [26]</w:t>
      </w:r>
      <w:r>
        <w:rPr>
          <w:rFonts w:ascii="Calibri" w:hAnsi="Calibri" w:cs="Calibri"/>
        </w:rPr>
        <w:fldChar w:fldCharType="end"/>
      </w:r>
      <w:r>
        <w:rPr>
          <w:rFonts w:ascii="Calibri" w:hAnsi="Calibri" w:cs="Calibri"/>
        </w:rPr>
        <w:t xml:space="preserve">. Whilst it remains unclear which isotopes will make up this 1000 kg at any time, </w:t>
      </w:r>
      <w:r w:rsidR="007C258B">
        <w:rPr>
          <w:rFonts w:ascii="Calibri" w:hAnsi="Calibri" w:cs="Calibri"/>
        </w:rPr>
        <w:t xml:space="preserve">a conservative assumption </w:t>
      </w:r>
      <w:r>
        <w:rPr>
          <w:rFonts w:ascii="Calibri" w:hAnsi="Calibri" w:cs="Calibri"/>
        </w:rPr>
        <w:t xml:space="preserve">that </w:t>
      </w:r>
      <w:r w:rsidR="006A09C9">
        <w:rPr>
          <w:rFonts w:ascii="Calibri" w:hAnsi="Calibri" w:cs="Calibri"/>
        </w:rPr>
        <w:t>the entire dust inventory is composed of W-185 (this isotope has the highest activity and decays on the timescale of days rather than minutes</w:t>
      </w:r>
      <w:r w:rsidR="00121534">
        <w:rPr>
          <w:rFonts w:ascii="Calibri" w:hAnsi="Calibri" w:cs="Calibri"/>
        </w:rPr>
        <w:t xml:space="preserve">), </w:t>
      </w:r>
      <w:r w:rsidR="007C258B">
        <w:rPr>
          <w:rFonts w:ascii="Calibri" w:hAnsi="Calibri" w:cs="Calibri"/>
        </w:rPr>
        <w:t xml:space="preserve">would suggest that the inventory of dust </w:t>
      </w:r>
      <w:r w:rsidR="00DD5CD5">
        <w:rPr>
          <w:rFonts w:ascii="Calibri" w:hAnsi="Calibri" w:cs="Calibri"/>
        </w:rPr>
        <w:t xml:space="preserve">available for mobilisation </w:t>
      </w:r>
      <w:r w:rsidR="007C258B">
        <w:rPr>
          <w:rFonts w:ascii="Calibri" w:hAnsi="Calibri" w:cs="Calibri"/>
        </w:rPr>
        <w:t>would be</w:t>
      </w:r>
      <w:r w:rsidR="007C258B" w:rsidRPr="007C258B">
        <w:rPr>
          <w:rFonts w:ascii="Calibri" w:hAnsi="Calibri" w:cs="Calibri"/>
        </w:rPr>
        <w:t xml:space="preserve"> </w:t>
      </w:r>
      <w:r w:rsidR="007C258B">
        <w:rPr>
          <w:rFonts w:ascii="Calibri" w:hAnsi="Calibri" w:cs="Calibri"/>
        </w:rPr>
        <w:t xml:space="preserve">in the region of 3.7E+16 Bq. Whilst this inventory is still lower than the releasable inventory of tritium (see 4.2.1), it is still a significant amount and the potential production of activated dust and corrosion products must be taken into consideration at the design stage as this could influence component material selection. Further work will need to be carried out to accurately estimate the composition of the activated dust and activated corrosion products to determine an accurate source term that can be used in fault analysis. </w:t>
      </w:r>
      <w:r w:rsidR="009F1E36">
        <w:rPr>
          <w:rFonts w:ascii="Calibri" w:hAnsi="Calibri" w:cs="Calibri"/>
        </w:rPr>
        <w:t>Th</w:t>
      </w:r>
      <w:r w:rsidR="0029392E">
        <w:rPr>
          <w:rFonts w:ascii="Calibri" w:hAnsi="Calibri" w:cs="Calibri"/>
        </w:rPr>
        <w:t>is</w:t>
      </w:r>
      <w:r w:rsidR="009F1E36">
        <w:rPr>
          <w:rFonts w:ascii="Calibri" w:hAnsi="Calibri" w:cs="Calibri"/>
        </w:rPr>
        <w:t xml:space="preserve"> can then be used to fully evaluate the consequences of radioactive dust dispersion (as a result of fusion accidents) on the public and the environment.</w:t>
      </w:r>
    </w:p>
    <w:p w:rsidR="007C258B" w:rsidRDefault="007C258B" w:rsidP="00ED0F2E">
      <w:pPr>
        <w:rPr>
          <w:rFonts w:ascii="Calibri" w:hAnsi="Calibri" w:cs="Calibri"/>
        </w:rPr>
      </w:pPr>
    </w:p>
    <w:p w:rsidR="00756CC5" w:rsidRPr="00B57ACC" w:rsidRDefault="00B57ACC" w:rsidP="00ED0F2E">
      <w:pPr>
        <w:rPr>
          <w:rFonts w:ascii="Calibri" w:hAnsi="Calibri" w:cs="Calibri"/>
          <w:b/>
          <w:i/>
        </w:rPr>
      </w:pPr>
      <w:r w:rsidRPr="00B57ACC">
        <w:rPr>
          <w:rFonts w:ascii="Calibri" w:hAnsi="Calibri" w:cs="Calibri"/>
          <w:b/>
          <w:i/>
        </w:rPr>
        <w:t>4.2.3 Chemi-</w:t>
      </w:r>
      <w:r>
        <w:rPr>
          <w:rFonts w:ascii="Calibri" w:hAnsi="Calibri" w:cs="Calibri"/>
          <w:b/>
          <w:i/>
        </w:rPr>
        <w:t>T</w:t>
      </w:r>
      <w:r w:rsidRPr="00B57ACC">
        <w:rPr>
          <w:rFonts w:ascii="Calibri" w:hAnsi="Calibri" w:cs="Calibri"/>
          <w:b/>
          <w:i/>
        </w:rPr>
        <w:t>oxic Dust</w:t>
      </w:r>
      <w:r w:rsidR="00702941">
        <w:rPr>
          <w:rFonts w:ascii="Calibri" w:hAnsi="Calibri" w:cs="Calibri"/>
          <w:b/>
          <w:i/>
        </w:rPr>
        <w:t xml:space="preserve"> </w:t>
      </w:r>
    </w:p>
    <w:p w:rsidR="00756CC5" w:rsidRDefault="00756CC5" w:rsidP="00ED0F2E">
      <w:pPr>
        <w:rPr>
          <w:rFonts w:ascii="Calibri" w:hAnsi="Calibri" w:cs="Calibri"/>
        </w:rPr>
      </w:pPr>
    </w:p>
    <w:p w:rsidR="00756CC5" w:rsidRDefault="003E175D" w:rsidP="00ED0F2E">
      <w:pPr>
        <w:rPr>
          <w:rFonts w:ascii="Calibri" w:hAnsi="Calibri" w:cs="Calibri"/>
        </w:rPr>
      </w:pPr>
      <w:r>
        <w:rPr>
          <w:rFonts w:ascii="Calibri" w:hAnsi="Calibri" w:cs="Calibri"/>
        </w:rPr>
        <w:t>Identifying and q</w:t>
      </w:r>
      <w:r w:rsidR="00E00CB5">
        <w:rPr>
          <w:rFonts w:ascii="Calibri" w:hAnsi="Calibri" w:cs="Calibri"/>
        </w:rPr>
        <w:t>uantifying the chemi-toxic materials in a fusion reactor that can be released in the event of an accident is also problematic, mainly due to the lack of final designs and final choice of materials used</w:t>
      </w:r>
      <w:r>
        <w:rPr>
          <w:rFonts w:ascii="Calibri" w:hAnsi="Calibri" w:cs="Calibri"/>
        </w:rPr>
        <w:t xml:space="preserve">. In ITER, the beryllium </w:t>
      </w:r>
      <w:r w:rsidR="00022265">
        <w:rPr>
          <w:rFonts w:ascii="Calibri" w:hAnsi="Calibri" w:cs="Calibri"/>
        </w:rPr>
        <w:t xml:space="preserve">dust from </w:t>
      </w:r>
      <w:r w:rsidR="00D541C9">
        <w:rPr>
          <w:rFonts w:ascii="Calibri" w:hAnsi="Calibri" w:cs="Calibri"/>
        </w:rPr>
        <w:t>plasma facing components</w:t>
      </w:r>
      <w:r w:rsidR="003370B0">
        <w:rPr>
          <w:rFonts w:ascii="Calibri" w:hAnsi="Calibri" w:cs="Calibri"/>
        </w:rPr>
        <w:t xml:space="preserve"> </w:t>
      </w:r>
      <w:r w:rsidR="00022265">
        <w:rPr>
          <w:rFonts w:ascii="Calibri" w:hAnsi="Calibri" w:cs="Calibri"/>
        </w:rPr>
        <w:t>can form chemically toxic beryllium oxide</w:t>
      </w:r>
      <w:r w:rsidR="00D541C9">
        <w:rPr>
          <w:rFonts w:ascii="Calibri" w:hAnsi="Calibri" w:cs="Calibri"/>
        </w:rPr>
        <w:t>.</w:t>
      </w:r>
      <w:r w:rsidR="00034CAC">
        <w:rPr>
          <w:rFonts w:ascii="Calibri" w:hAnsi="Calibri" w:cs="Calibri"/>
        </w:rPr>
        <w:t xml:space="preserve"> </w:t>
      </w:r>
      <w:r w:rsidR="00022265">
        <w:rPr>
          <w:rFonts w:ascii="Calibri" w:hAnsi="Calibri" w:cs="Calibri"/>
        </w:rPr>
        <w:t>In a fusion power plant this is expected to be less of an</w:t>
      </w:r>
      <w:r w:rsidR="00821815">
        <w:rPr>
          <w:rFonts w:ascii="Calibri" w:hAnsi="Calibri" w:cs="Calibri"/>
        </w:rPr>
        <w:t xml:space="preserve"> issue as tungsten is the </w:t>
      </w:r>
      <w:r w:rsidR="00D541C9">
        <w:rPr>
          <w:rFonts w:ascii="Calibri" w:hAnsi="Calibri" w:cs="Calibri"/>
        </w:rPr>
        <w:t xml:space="preserve">currently </w:t>
      </w:r>
      <w:r w:rsidR="00821815">
        <w:rPr>
          <w:rFonts w:ascii="Calibri" w:hAnsi="Calibri" w:cs="Calibri"/>
        </w:rPr>
        <w:t xml:space="preserve">preferred candidate for </w:t>
      </w:r>
      <w:r w:rsidR="002C5834">
        <w:rPr>
          <w:rFonts w:ascii="Calibri" w:hAnsi="Calibri" w:cs="Calibri"/>
        </w:rPr>
        <w:t>plasma facing components</w:t>
      </w:r>
      <w:r w:rsidR="00821815">
        <w:rPr>
          <w:rFonts w:ascii="Calibri" w:hAnsi="Calibri" w:cs="Calibri"/>
        </w:rPr>
        <w:t xml:space="preserve"> rather than beryllium</w:t>
      </w:r>
      <w:r w:rsidR="00F85DD6">
        <w:rPr>
          <w:rFonts w:ascii="Calibri" w:hAnsi="Calibri" w:cs="Calibri"/>
        </w:rPr>
        <w:t>. Tungsten can, however, form tungsten trioxide (WO</w:t>
      </w:r>
      <w:r w:rsidR="00F85DD6">
        <w:rPr>
          <w:rFonts w:ascii="Calibri" w:hAnsi="Calibri" w:cs="Calibri"/>
          <w:vertAlign w:val="subscript"/>
        </w:rPr>
        <w:t>3</w:t>
      </w:r>
      <w:r w:rsidR="00F85DD6">
        <w:rPr>
          <w:rFonts w:ascii="Calibri" w:hAnsi="Calibri" w:cs="Calibri"/>
        </w:rPr>
        <w:t>) under certain conditions. The effects of a release of</w:t>
      </w:r>
      <w:r w:rsidR="000E537B">
        <w:rPr>
          <w:rFonts w:ascii="Calibri" w:hAnsi="Calibri" w:cs="Calibri"/>
        </w:rPr>
        <w:t xml:space="preserve"> </w:t>
      </w:r>
      <w:r w:rsidR="00F85DD6">
        <w:rPr>
          <w:rFonts w:ascii="Calibri" w:hAnsi="Calibri" w:cs="Calibri"/>
        </w:rPr>
        <w:t>WO</w:t>
      </w:r>
      <w:r w:rsidR="00F85DD6">
        <w:rPr>
          <w:rFonts w:ascii="Calibri" w:hAnsi="Calibri" w:cs="Calibri"/>
          <w:vertAlign w:val="subscript"/>
        </w:rPr>
        <w:t>3</w:t>
      </w:r>
      <w:r w:rsidR="00F85DD6">
        <w:rPr>
          <w:rFonts w:ascii="Calibri" w:hAnsi="Calibri" w:cs="Calibri"/>
        </w:rPr>
        <w:t xml:space="preserve"> need to be better understood, particularly in the case of a loss of coolant accident (see 5.2.1).</w:t>
      </w:r>
      <w:r w:rsidR="0025334C">
        <w:rPr>
          <w:rFonts w:ascii="Calibri" w:hAnsi="Calibri" w:cs="Calibri"/>
        </w:rPr>
        <w:t xml:space="preserve"> Until final designs are completed </w:t>
      </w:r>
      <w:r w:rsidR="00D541C9">
        <w:rPr>
          <w:rFonts w:ascii="Calibri" w:hAnsi="Calibri" w:cs="Calibri"/>
        </w:rPr>
        <w:t>the use of beryllium cannot be ruled out and</w:t>
      </w:r>
      <w:r w:rsidR="00D4687D">
        <w:rPr>
          <w:rFonts w:ascii="Calibri" w:hAnsi="Calibri" w:cs="Calibri"/>
        </w:rPr>
        <w:t xml:space="preserve">, given that a large quantity of beryllium </w:t>
      </w:r>
      <w:r w:rsidR="00057D62">
        <w:rPr>
          <w:rFonts w:ascii="Calibri" w:hAnsi="Calibri" w:cs="Calibri"/>
        </w:rPr>
        <w:t>may</w:t>
      </w:r>
      <w:r w:rsidR="00D4687D">
        <w:rPr>
          <w:rFonts w:ascii="Calibri" w:hAnsi="Calibri" w:cs="Calibri"/>
        </w:rPr>
        <w:t xml:space="preserve"> be used in the breeder blankets</w:t>
      </w:r>
      <w:r w:rsidR="00057D62">
        <w:rPr>
          <w:rFonts w:ascii="Calibri" w:hAnsi="Calibri" w:cs="Calibri"/>
        </w:rPr>
        <w:t xml:space="preserve"> in some of the design concepts</w:t>
      </w:r>
      <w:r w:rsidR="00D4687D">
        <w:rPr>
          <w:rFonts w:ascii="Calibri" w:hAnsi="Calibri" w:cs="Calibri"/>
        </w:rPr>
        <w:t xml:space="preserve">, </w:t>
      </w:r>
      <w:r w:rsidR="00D541C9">
        <w:rPr>
          <w:rFonts w:ascii="Calibri" w:hAnsi="Calibri" w:cs="Calibri"/>
        </w:rPr>
        <w:t>an understanding of the effects of the release of beryllium dust is necessary. Further work is required to gain a better understanding of the potential chemi-toxic source terms and the</w:t>
      </w:r>
      <w:r w:rsidR="009F1E36">
        <w:rPr>
          <w:rFonts w:ascii="Calibri" w:hAnsi="Calibri" w:cs="Calibri"/>
        </w:rPr>
        <w:t>ir</w:t>
      </w:r>
      <w:r w:rsidR="00F40043">
        <w:rPr>
          <w:rFonts w:ascii="Calibri" w:hAnsi="Calibri" w:cs="Calibri"/>
        </w:rPr>
        <w:t xml:space="preserve"> expected</w:t>
      </w:r>
      <w:r w:rsidR="009F1E36">
        <w:rPr>
          <w:rFonts w:ascii="Calibri" w:hAnsi="Calibri" w:cs="Calibri"/>
        </w:rPr>
        <w:t xml:space="preserve"> compositions in a fusion reactor</w:t>
      </w:r>
      <w:r w:rsidR="00D541C9">
        <w:rPr>
          <w:rFonts w:ascii="Calibri" w:hAnsi="Calibri" w:cs="Calibri"/>
        </w:rPr>
        <w:t xml:space="preserve">. Further work is also required to better understand the consequences for the public and the environment </w:t>
      </w:r>
      <w:r w:rsidR="003F0569">
        <w:rPr>
          <w:rFonts w:ascii="Calibri" w:hAnsi="Calibri" w:cs="Calibri"/>
        </w:rPr>
        <w:t>of</w:t>
      </w:r>
      <w:r w:rsidR="00657D76">
        <w:rPr>
          <w:rFonts w:ascii="Calibri" w:hAnsi="Calibri" w:cs="Calibri"/>
        </w:rPr>
        <w:t xml:space="preserve"> </w:t>
      </w:r>
      <w:r w:rsidR="00D541C9">
        <w:rPr>
          <w:rFonts w:ascii="Calibri" w:hAnsi="Calibri" w:cs="Calibri"/>
        </w:rPr>
        <w:t>the release of these materials in an accident scenario.</w:t>
      </w:r>
    </w:p>
    <w:p w:rsidR="003B7467" w:rsidRDefault="003B7467" w:rsidP="00ED0F2E">
      <w:pPr>
        <w:rPr>
          <w:rFonts w:ascii="Calibri" w:hAnsi="Calibri" w:cs="Calibri"/>
          <w:vertAlign w:val="subscript"/>
        </w:rPr>
      </w:pPr>
    </w:p>
    <w:p w:rsidR="00B95E21" w:rsidRDefault="00FA7531" w:rsidP="00ED0F2E">
      <w:pPr>
        <w:rPr>
          <w:rFonts w:ascii="Calibri" w:hAnsi="Calibri" w:cs="Calibri"/>
          <w:b/>
          <w:sz w:val="28"/>
        </w:rPr>
      </w:pPr>
      <w:r>
        <w:rPr>
          <w:rFonts w:ascii="Calibri" w:hAnsi="Calibri" w:cs="Calibri"/>
          <w:b/>
          <w:sz w:val="28"/>
        </w:rPr>
        <w:t>5 Key Nuclear Safety Issues</w:t>
      </w:r>
    </w:p>
    <w:p w:rsidR="00723898" w:rsidRDefault="00723898" w:rsidP="00ED0F2E">
      <w:pPr>
        <w:rPr>
          <w:rFonts w:ascii="Calibri" w:hAnsi="Calibri" w:cs="Calibri"/>
          <w:b/>
          <w:sz w:val="28"/>
        </w:rPr>
      </w:pPr>
    </w:p>
    <w:p w:rsidR="00F66587" w:rsidRDefault="00723898" w:rsidP="00ED0F2E">
      <w:pPr>
        <w:rPr>
          <w:rFonts w:ascii="Calibri" w:hAnsi="Calibri" w:cs="Calibri"/>
        </w:rPr>
      </w:pPr>
      <w:r>
        <w:rPr>
          <w:rFonts w:ascii="Calibri" w:hAnsi="Calibri" w:cs="Calibri"/>
        </w:rPr>
        <w:t>Nuclear safety can be regarded as all those activities that are necessary to protect</w:t>
      </w:r>
      <w:r w:rsidR="00030D22">
        <w:rPr>
          <w:rFonts w:ascii="Calibri" w:hAnsi="Calibri" w:cs="Calibri"/>
        </w:rPr>
        <w:t xml:space="preserve"> workers and</w:t>
      </w:r>
      <w:r>
        <w:rPr>
          <w:rFonts w:ascii="Calibri" w:hAnsi="Calibri" w:cs="Calibri"/>
        </w:rPr>
        <w:t xml:space="preserve"> the public from </w:t>
      </w:r>
      <w:r w:rsidR="00030D22">
        <w:rPr>
          <w:rFonts w:ascii="Calibri" w:hAnsi="Calibri" w:cs="Calibri"/>
        </w:rPr>
        <w:t>a</w:t>
      </w:r>
      <w:r>
        <w:rPr>
          <w:rFonts w:ascii="Calibri" w:hAnsi="Calibri" w:cs="Calibri"/>
        </w:rPr>
        <w:t xml:space="preserve"> </w:t>
      </w:r>
      <w:r w:rsidR="00030D22">
        <w:rPr>
          <w:rFonts w:ascii="Calibri" w:hAnsi="Calibri" w:cs="Calibri"/>
        </w:rPr>
        <w:t xml:space="preserve">release of radioactivity from a nuclear installation under both </w:t>
      </w:r>
      <w:r w:rsidR="009C2DF2">
        <w:rPr>
          <w:rFonts w:ascii="Calibri" w:hAnsi="Calibri" w:cs="Calibri"/>
        </w:rPr>
        <w:t>normal</w:t>
      </w:r>
      <w:r w:rsidR="00030D22">
        <w:rPr>
          <w:rFonts w:ascii="Calibri" w:hAnsi="Calibri" w:cs="Calibri"/>
        </w:rPr>
        <w:t xml:space="preserve"> and accident conditions.</w:t>
      </w:r>
      <w:r w:rsidR="00595150">
        <w:rPr>
          <w:rFonts w:ascii="Calibri" w:hAnsi="Calibri" w:cs="Calibri"/>
        </w:rPr>
        <w:t xml:space="preserve"> </w:t>
      </w:r>
      <w:r>
        <w:rPr>
          <w:rFonts w:ascii="Calibri" w:hAnsi="Calibri" w:cs="Calibri"/>
        </w:rPr>
        <w:t xml:space="preserve">Nuclear safety therefore requires a detailed knowledge not only of the radioactive inventory within the facility at any point in time, but also of how the facility will </w:t>
      </w:r>
      <w:r w:rsidR="00595150">
        <w:rPr>
          <w:rFonts w:ascii="Calibri" w:hAnsi="Calibri" w:cs="Calibri"/>
        </w:rPr>
        <w:t xml:space="preserve">handle routine releases, as well as how it will </w:t>
      </w:r>
      <w:r>
        <w:rPr>
          <w:rFonts w:ascii="Calibri" w:hAnsi="Calibri" w:cs="Calibri"/>
        </w:rPr>
        <w:t>behave under accident conditions.</w:t>
      </w:r>
      <w:r w:rsidR="0096239E">
        <w:rPr>
          <w:rFonts w:ascii="Calibri" w:hAnsi="Calibri" w:cs="Calibri"/>
        </w:rPr>
        <w:t xml:space="preserve"> </w:t>
      </w:r>
      <w:r w:rsidR="00FA7531">
        <w:rPr>
          <w:rFonts w:ascii="Calibri" w:hAnsi="Calibri" w:cs="Calibri"/>
        </w:rPr>
        <w:t xml:space="preserve">A list of postulated events that could cause a nuclear safety concern in a fusion reactor has been produced utilising the methods of Failure Mode and Effects Analysis (FMEA) and Master Logic Diagrams (MLD) in </w:t>
      </w:r>
      <w:r w:rsidR="00FA7531">
        <w:rPr>
          <w:rFonts w:ascii="Calibri" w:hAnsi="Calibri" w:cs="Calibri"/>
        </w:rPr>
        <w:fldChar w:fldCharType="begin" w:fldLock="1"/>
      </w:r>
      <w:r w:rsidR="00C14502">
        <w:rPr>
          <w:rFonts w:ascii="Calibri" w:hAnsi="Calibri" w:cs="Calibri"/>
        </w:rPr>
        <w:instrText>ADDIN CSL_CITATION {"citationItems":[{"id":"ITEM-1","itemData":{"author":[{"dropping-particle":"","family":"Pinna","given":"Tonio","non-dropping-particle":"","parse-names":false,"suffix":""},{"dropping-particle":"","family":"Carloni","given":"D","non-dropping-particle":"","parse-names":false,"suffix":""},{"dropping-particle":"","family":"Carpignano","given":"A","non-dropping-particle":"","parse-names":false,"suffix":""},{"dropping-particle":"","family":"Ciattaglia","given":"S","non-dropping-particle":"","parse-names":false,"suffix":""},{"dropping-particle":"","family":"Johnston","given":"J","non-dropping-particle":"","parse-names":false,"suffix":""},{"dropping-particle":"","family":"Porfiri","given":"M T","non-dropping-particle":"","parse-names":false,"suffix":""},{"dropping-particle":"","family":"Savoldi","given":"L","non-dropping-particle":"","parse-names":false,"suffix":""},{"dropping-particle":"","family":"Taylor","given":"N","non-dropping-particle":"","parse-names":false,"suffix":""},{"dropping-particle":"","family":"Sobrero","given":"G","non-dropping-particle":"","parse-names":false,"suffix":""},{"dropping-particle":"","family":"Uggenti","given":"A C","non-dropping-particle":"","parse-names":false,"suffix":""},{"dropping-particle":"","family":"Vaisnoras","given":"M","non-dropping-particle":"","parse-names":false,"suffix":""},{"dropping-particle":"","family":"Zanino","given":"R","non-dropping-particle":"","parse-names":false,"suffix":""}],"id":"ITEM-1","issued":{"date-parts":[["2016"]]},"title":"Reference accident sequences for a Demonstration Fusion Power Plant","type":"report"},"uris":["http://www.mendeley.com/documents/?uuid=e60b2172-a9dc-320f-9caa-51c97f7ed6cb"]}],"mendeley":{"formattedCitation":"[27]","plainTextFormattedCitation":"[27]","previouslyFormattedCitation":"[27]"},"properties":{"noteIndex":0},"schema":"https://github.com/citation-style-language/schema/raw/master/csl-citation.json"}</w:instrText>
      </w:r>
      <w:r w:rsidR="00FA7531">
        <w:rPr>
          <w:rFonts w:ascii="Calibri" w:hAnsi="Calibri" w:cs="Calibri"/>
        </w:rPr>
        <w:fldChar w:fldCharType="separate"/>
      </w:r>
      <w:r w:rsidR="00AD1C4A" w:rsidRPr="00AD1C4A">
        <w:rPr>
          <w:rFonts w:ascii="Calibri" w:hAnsi="Calibri" w:cs="Calibri"/>
          <w:noProof/>
        </w:rPr>
        <w:t>[27]</w:t>
      </w:r>
      <w:r w:rsidR="00FA7531">
        <w:rPr>
          <w:rFonts w:ascii="Calibri" w:hAnsi="Calibri" w:cs="Calibri"/>
        </w:rPr>
        <w:fldChar w:fldCharType="end"/>
      </w:r>
      <w:r w:rsidR="00FA7531">
        <w:rPr>
          <w:rFonts w:ascii="Calibri" w:hAnsi="Calibri" w:cs="Calibri"/>
        </w:rPr>
        <w:t xml:space="preserve">. </w:t>
      </w:r>
      <w:r w:rsidR="00F66587">
        <w:rPr>
          <w:rFonts w:ascii="Calibri" w:hAnsi="Calibri" w:cs="Calibri"/>
        </w:rPr>
        <w:t xml:space="preserve">It is claimed that the </w:t>
      </w:r>
      <w:r w:rsidR="00FA7531">
        <w:rPr>
          <w:rFonts w:ascii="Calibri" w:hAnsi="Calibri" w:cs="Calibri"/>
        </w:rPr>
        <w:t xml:space="preserve">use of both of these methods ensures a comprehensive list of postulated events. </w:t>
      </w:r>
    </w:p>
    <w:p w:rsidR="00F66587" w:rsidRDefault="00F66587" w:rsidP="00ED0F2E">
      <w:pPr>
        <w:rPr>
          <w:rFonts w:ascii="Calibri" w:hAnsi="Calibri" w:cs="Calibri"/>
        </w:rPr>
      </w:pPr>
    </w:p>
    <w:p w:rsidR="00F66587" w:rsidRDefault="00FA7531" w:rsidP="00ED0F2E">
      <w:pPr>
        <w:rPr>
          <w:rFonts w:ascii="Calibri" w:hAnsi="Calibri" w:cs="Calibri"/>
        </w:rPr>
      </w:pPr>
      <w:r>
        <w:rPr>
          <w:rFonts w:ascii="Calibri" w:hAnsi="Calibri" w:cs="Calibri"/>
        </w:rPr>
        <w:t>A selection of design issues and accident scenarios is presented here with a focus on nuclear safety concerns, along with comments on the status of current understanding and the actions needed to resolve them.</w:t>
      </w:r>
      <w:r w:rsidR="003E3985">
        <w:rPr>
          <w:rFonts w:ascii="Calibri" w:hAnsi="Calibri" w:cs="Calibri"/>
        </w:rPr>
        <w:t xml:space="preserve"> </w:t>
      </w:r>
      <w:r>
        <w:rPr>
          <w:rFonts w:ascii="Calibri" w:hAnsi="Calibri" w:cs="Calibri"/>
        </w:rPr>
        <w:t xml:space="preserve">Whilst this </w:t>
      </w:r>
      <w:r w:rsidR="007F3632">
        <w:rPr>
          <w:rFonts w:ascii="Calibri" w:hAnsi="Calibri" w:cs="Calibri"/>
        </w:rPr>
        <w:t>selection</w:t>
      </w:r>
      <w:r>
        <w:rPr>
          <w:rFonts w:ascii="Calibri" w:hAnsi="Calibri" w:cs="Calibri"/>
        </w:rPr>
        <w:t xml:space="preserve"> is not exhaustive, the accident scenarios detailed below were chosen </w:t>
      </w:r>
      <w:r w:rsidR="0096239E">
        <w:rPr>
          <w:rFonts w:ascii="Calibri" w:hAnsi="Calibri" w:cs="Calibri"/>
        </w:rPr>
        <w:t>because they are deemed to be</w:t>
      </w:r>
      <w:r w:rsidR="00F66587">
        <w:rPr>
          <w:rFonts w:ascii="Calibri" w:hAnsi="Calibri" w:cs="Calibri"/>
        </w:rPr>
        <w:t xml:space="preserve"> either</w:t>
      </w:r>
      <w:r w:rsidR="0096239E">
        <w:rPr>
          <w:rFonts w:ascii="Calibri" w:hAnsi="Calibri" w:cs="Calibri"/>
        </w:rPr>
        <w:t xml:space="preserve"> a primary </w:t>
      </w:r>
      <w:r w:rsidR="0096239E">
        <w:rPr>
          <w:rFonts w:ascii="Calibri" w:hAnsi="Calibri" w:cs="Calibri"/>
        </w:rPr>
        <w:lastRenderedPageBreak/>
        <w:t>safety concern or</w:t>
      </w:r>
      <w:r w:rsidR="00F66587">
        <w:rPr>
          <w:rFonts w:ascii="Calibri" w:hAnsi="Calibri" w:cs="Calibri"/>
        </w:rPr>
        <w:t>,</w:t>
      </w:r>
      <w:r w:rsidR="0096239E">
        <w:rPr>
          <w:rFonts w:ascii="Calibri" w:hAnsi="Calibri" w:cs="Calibri"/>
        </w:rPr>
        <w:t xml:space="preserve"> because there is </w:t>
      </w:r>
      <w:r w:rsidR="00F66587">
        <w:rPr>
          <w:rFonts w:ascii="Calibri" w:hAnsi="Calibri" w:cs="Calibri"/>
        </w:rPr>
        <w:t>currently insufficient information available to judge their significan</w:t>
      </w:r>
      <w:r w:rsidR="007B3118">
        <w:rPr>
          <w:rFonts w:ascii="Calibri" w:hAnsi="Calibri" w:cs="Calibri"/>
        </w:rPr>
        <w:t>ce</w:t>
      </w:r>
      <w:r w:rsidR="00F66587">
        <w:rPr>
          <w:rFonts w:ascii="Calibri" w:hAnsi="Calibri" w:cs="Calibri"/>
        </w:rPr>
        <w:t>, they have the potential to become a safety concern.</w:t>
      </w:r>
    </w:p>
    <w:p w:rsidR="00391F06" w:rsidRDefault="00391F06" w:rsidP="00ED0F2E">
      <w:pPr>
        <w:rPr>
          <w:rFonts w:ascii="Calibri" w:hAnsi="Calibri" w:cs="Calibri"/>
        </w:rPr>
      </w:pPr>
    </w:p>
    <w:p w:rsidR="00F85F27" w:rsidRDefault="00F85F27" w:rsidP="00ED0F2E">
      <w:pPr>
        <w:rPr>
          <w:rFonts w:ascii="Calibri" w:hAnsi="Calibri" w:cs="Calibri"/>
          <w:b/>
        </w:rPr>
      </w:pPr>
      <w:r>
        <w:rPr>
          <w:rFonts w:ascii="Calibri" w:hAnsi="Calibri" w:cs="Calibri"/>
          <w:b/>
        </w:rPr>
        <w:t xml:space="preserve">5.1 Thermal </w:t>
      </w:r>
      <w:r w:rsidR="00946538">
        <w:rPr>
          <w:rFonts w:ascii="Calibri" w:hAnsi="Calibri" w:cs="Calibri"/>
          <w:b/>
        </w:rPr>
        <w:t>I</w:t>
      </w:r>
      <w:r>
        <w:rPr>
          <w:rFonts w:ascii="Calibri" w:hAnsi="Calibri" w:cs="Calibri"/>
          <w:b/>
        </w:rPr>
        <w:t>nertia</w:t>
      </w:r>
    </w:p>
    <w:p w:rsidR="00F85F27" w:rsidRDefault="00F85F27" w:rsidP="00ED0F2E">
      <w:pPr>
        <w:rPr>
          <w:rFonts w:ascii="Calibri" w:hAnsi="Calibri" w:cs="Calibri"/>
          <w:b/>
        </w:rPr>
      </w:pPr>
    </w:p>
    <w:p w:rsidR="005B451F" w:rsidRDefault="00F85F27" w:rsidP="00ED0F2E">
      <w:pPr>
        <w:rPr>
          <w:rFonts w:ascii="Calibri" w:hAnsi="Calibri" w:cs="Calibri"/>
        </w:rPr>
      </w:pPr>
      <w:r>
        <w:rPr>
          <w:rFonts w:ascii="Calibri" w:hAnsi="Calibri" w:cs="Calibri"/>
        </w:rPr>
        <w:t xml:space="preserve">During normal operation the walls of </w:t>
      </w:r>
      <w:r w:rsidR="00F83CF6">
        <w:rPr>
          <w:rFonts w:ascii="Calibri" w:hAnsi="Calibri" w:cs="Calibri"/>
        </w:rPr>
        <w:t>the vacuum vesse</w:t>
      </w:r>
      <w:r w:rsidR="007C65BF">
        <w:rPr>
          <w:rFonts w:ascii="Calibri" w:hAnsi="Calibri" w:cs="Calibri"/>
        </w:rPr>
        <w:t>l</w:t>
      </w:r>
      <w:r>
        <w:rPr>
          <w:rFonts w:ascii="Calibri" w:hAnsi="Calibri" w:cs="Calibri"/>
        </w:rPr>
        <w:t xml:space="preserve"> and the breeder blankets store energy. Heat is removed to maintain a steady state temperature profile via the coolant</w:t>
      </w:r>
      <w:r w:rsidR="00297DC2">
        <w:rPr>
          <w:rFonts w:ascii="Calibri" w:hAnsi="Calibri" w:cs="Calibri"/>
        </w:rPr>
        <w:t>. There is therefore always the potential for a power coolant mismatch should there be an unplanned loss of cooling. If such an event were to occur, there are two possible outcomes. The first is that the loss of cooling protection system fails to terminate the fusion process. The second is that the loss of cooling protection system</w:t>
      </w:r>
      <w:r w:rsidR="00C858BF">
        <w:rPr>
          <w:rFonts w:ascii="Calibri" w:hAnsi="Calibri" w:cs="Calibri"/>
        </w:rPr>
        <w:t xml:space="preserve"> successfully</w:t>
      </w:r>
      <w:r w:rsidR="00297DC2">
        <w:rPr>
          <w:rFonts w:ascii="Calibri" w:hAnsi="Calibri" w:cs="Calibri"/>
        </w:rPr>
        <w:t xml:space="preserve"> terminate</w:t>
      </w:r>
      <w:r w:rsidR="00927753">
        <w:rPr>
          <w:rFonts w:ascii="Calibri" w:hAnsi="Calibri" w:cs="Calibri"/>
        </w:rPr>
        <w:t>s</w:t>
      </w:r>
      <w:r w:rsidR="00297DC2">
        <w:rPr>
          <w:rFonts w:ascii="Calibri" w:hAnsi="Calibri" w:cs="Calibri"/>
        </w:rPr>
        <w:t xml:space="preserve"> the fusion process. </w:t>
      </w:r>
      <w:r w:rsidR="00447E33">
        <w:rPr>
          <w:rFonts w:ascii="Calibri" w:hAnsi="Calibri" w:cs="Calibri"/>
        </w:rPr>
        <w:t xml:space="preserve">The consequences of the former are discussed later. In the case of the latter, the loss of cooling capability, even when the fusion process is terminated, will result in a transient change in the temperature of the wall of the </w:t>
      </w:r>
      <w:r w:rsidR="009C625B">
        <w:rPr>
          <w:rFonts w:ascii="Calibri" w:hAnsi="Calibri" w:cs="Calibri"/>
        </w:rPr>
        <w:t>vacuum</w:t>
      </w:r>
      <w:r w:rsidR="00447E33">
        <w:rPr>
          <w:rFonts w:ascii="Calibri" w:hAnsi="Calibri" w:cs="Calibri"/>
        </w:rPr>
        <w:t xml:space="preserve"> vessel and the breeder blankets.</w:t>
      </w:r>
      <w:r w:rsidR="005B451F">
        <w:rPr>
          <w:rFonts w:ascii="Calibri" w:hAnsi="Calibri" w:cs="Calibri"/>
        </w:rPr>
        <w:t xml:space="preserve"> The </w:t>
      </w:r>
      <w:r w:rsidR="00447E33">
        <w:rPr>
          <w:rFonts w:ascii="Calibri" w:hAnsi="Calibri" w:cs="Calibri"/>
        </w:rPr>
        <w:t xml:space="preserve">safety </w:t>
      </w:r>
      <w:r w:rsidR="005B451F">
        <w:rPr>
          <w:rFonts w:ascii="Calibri" w:hAnsi="Calibri" w:cs="Calibri"/>
        </w:rPr>
        <w:t>analysis</w:t>
      </w:r>
      <w:r w:rsidR="00447E33">
        <w:rPr>
          <w:rFonts w:ascii="Calibri" w:hAnsi="Calibri" w:cs="Calibri"/>
        </w:rPr>
        <w:t xml:space="preserve"> will need to demonstrate that the temperature transients do not challenge the integrity of the</w:t>
      </w:r>
      <w:r w:rsidR="005B451F">
        <w:rPr>
          <w:rFonts w:ascii="Calibri" w:hAnsi="Calibri" w:cs="Calibri"/>
        </w:rPr>
        <w:t xml:space="preserve"> vacuum</w:t>
      </w:r>
      <w:r w:rsidR="00447E33">
        <w:rPr>
          <w:rFonts w:ascii="Calibri" w:hAnsi="Calibri" w:cs="Calibri"/>
        </w:rPr>
        <w:t xml:space="preserve"> vessel</w:t>
      </w:r>
      <w:r w:rsidR="00E96E8C">
        <w:rPr>
          <w:rFonts w:ascii="Calibri" w:hAnsi="Calibri" w:cs="Calibri"/>
        </w:rPr>
        <w:t xml:space="preserve"> (or its penetrations)</w:t>
      </w:r>
      <w:r w:rsidR="005B451F">
        <w:rPr>
          <w:rFonts w:ascii="Calibri" w:hAnsi="Calibri" w:cs="Calibri"/>
        </w:rPr>
        <w:t>,</w:t>
      </w:r>
      <w:r w:rsidR="00447E33">
        <w:rPr>
          <w:rFonts w:ascii="Calibri" w:hAnsi="Calibri" w:cs="Calibri"/>
        </w:rPr>
        <w:t xml:space="preserve"> </w:t>
      </w:r>
      <w:r w:rsidR="005B451F">
        <w:rPr>
          <w:rFonts w:ascii="Calibri" w:hAnsi="Calibri" w:cs="Calibri"/>
        </w:rPr>
        <w:t>its</w:t>
      </w:r>
      <w:r w:rsidR="00447E33">
        <w:rPr>
          <w:rFonts w:ascii="Calibri" w:hAnsi="Calibri" w:cs="Calibri"/>
        </w:rPr>
        <w:t xml:space="preserve"> supporting structure</w:t>
      </w:r>
      <w:r w:rsidR="005B451F">
        <w:rPr>
          <w:rFonts w:ascii="Calibri" w:hAnsi="Calibri" w:cs="Calibri"/>
        </w:rPr>
        <w:t>,</w:t>
      </w:r>
      <w:r w:rsidR="00447E33">
        <w:rPr>
          <w:rFonts w:ascii="Calibri" w:hAnsi="Calibri" w:cs="Calibri"/>
        </w:rPr>
        <w:t xml:space="preserve"> the breeder blankets</w:t>
      </w:r>
      <w:r w:rsidR="00846EE5">
        <w:rPr>
          <w:rFonts w:ascii="Calibri" w:hAnsi="Calibri" w:cs="Calibri"/>
        </w:rPr>
        <w:t>,</w:t>
      </w:r>
      <w:r w:rsidR="00447E33">
        <w:rPr>
          <w:rFonts w:ascii="Calibri" w:hAnsi="Calibri" w:cs="Calibri"/>
        </w:rPr>
        <w:t xml:space="preserve"> </w:t>
      </w:r>
      <w:r w:rsidR="005B451F">
        <w:rPr>
          <w:rFonts w:ascii="Calibri" w:hAnsi="Calibri" w:cs="Calibri"/>
        </w:rPr>
        <w:t>or other key safety related components. The extent and impact of the thermal inertia stored in these key components will need to be taken into consideration in the detailed design of the plant.</w:t>
      </w:r>
    </w:p>
    <w:p w:rsidR="00784273" w:rsidRPr="00FA7531" w:rsidRDefault="00784273" w:rsidP="00ED0F2E">
      <w:pPr>
        <w:rPr>
          <w:rFonts w:ascii="Calibri" w:hAnsi="Calibri" w:cs="Calibri"/>
          <w:b/>
          <w:sz w:val="28"/>
        </w:rPr>
      </w:pPr>
    </w:p>
    <w:p w:rsidR="00ED0F2E" w:rsidRDefault="00F34F3A" w:rsidP="00ED0F2E">
      <w:pPr>
        <w:rPr>
          <w:rFonts w:ascii="Calibri" w:hAnsi="Calibri" w:cs="Calibri"/>
          <w:b/>
        </w:rPr>
      </w:pPr>
      <w:r>
        <w:rPr>
          <w:rFonts w:ascii="Calibri" w:hAnsi="Calibri" w:cs="Calibri"/>
          <w:b/>
        </w:rPr>
        <w:t xml:space="preserve">5.2 Decay </w:t>
      </w:r>
      <w:r w:rsidR="00666329">
        <w:rPr>
          <w:rFonts w:ascii="Calibri" w:hAnsi="Calibri" w:cs="Calibri"/>
          <w:b/>
        </w:rPr>
        <w:t>H</w:t>
      </w:r>
      <w:r>
        <w:rPr>
          <w:rFonts w:ascii="Calibri" w:hAnsi="Calibri" w:cs="Calibri"/>
          <w:b/>
        </w:rPr>
        <w:t xml:space="preserve">eat </w:t>
      </w:r>
      <w:r w:rsidR="00666329">
        <w:rPr>
          <w:rFonts w:ascii="Calibri" w:hAnsi="Calibri" w:cs="Calibri"/>
          <w:b/>
        </w:rPr>
        <w:t>R</w:t>
      </w:r>
      <w:r>
        <w:rPr>
          <w:rFonts w:ascii="Calibri" w:hAnsi="Calibri" w:cs="Calibri"/>
          <w:b/>
        </w:rPr>
        <w:t>emoval</w:t>
      </w:r>
    </w:p>
    <w:p w:rsidR="00405800" w:rsidRDefault="00405800" w:rsidP="00ED0F2E">
      <w:pPr>
        <w:rPr>
          <w:rFonts w:ascii="Calibri" w:hAnsi="Calibri" w:cs="Calibri"/>
          <w:b/>
        </w:rPr>
      </w:pPr>
    </w:p>
    <w:p w:rsidR="00DB0B5D" w:rsidRPr="00C9608B" w:rsidRDefault="00CB207D" w:rsidP="00ED0F2E">
      <w:pPr>
        <w:rPr>
          <w:rFonts w:ascii="Calibri" w:hAnsi="Calibri" w:cs="Calibri"/>
        </w:rPr>
      </w:pPr>
      <w:r>
        <w:rPr>
          <w:rFonts w:ascii="Calibri" w:hAnsi="Calibri" w:cs="Calibri"/>
        </w:rPr>
        <w:t>In a fusion plant, decay heat is not associated with the fuel, as is the case in a fission reactor, it is associated with the tritium breeding blankets, tritium that has migrated into the structural components, and the activated materials in the plasma facing components</w:t>
      </w:r>
      <w:r w:rsidR="00185469">
        <w:rPr>
          <w:rFonts w:ascii="Calibri" w:hAnsi="Calibri" w:cs="Calibri"/>
        </w:rPr>
        <w:t xml:space="preserve"> (PFCs)</w:t>
      </w:r>
      <w:r>
        <w:rPr>
          <w:rFonts w:ascii="Calibri" w:hAnsi="Calibri" w:cs="Calibri"/>
        </w:rPr>
        <w:t>.</w:t>
      </w:r>
      <w:r w:rsidR="00185469">
        <w:rPr>
          <w:rFonts w:ascii="Calibri" w:hAnsi="Calibri" w:cs="Calibri"/>
        </w:rPr>
        <w:t xml:space="preserve"> The impact of decay heat removal in the breeder blankets will be discussed later. In relation to the PFCs and other structural components that have become impregnated with tritium, the impact of decay heating arising from the activation of </w:t>
      </w:r>
      <w:r w:rsidR="0037543F">
        <w:rPr>
          <w:rFonts w:ascii="Calibri" w:hAnsi="Calibri" w:cs="Calibri"/>
        </w:rPr>
        <w:t xml:space="preserve">the Eurofer steel, the breeding material, </w:t>
      </w:r>
      <w:r w:rsidR="00185469">
        <w:rPr>
          <w:rFonts w:ascii="Calibri" w:hAnsi="Calibri" w:cs="Calibri"/>
        </w:rPr>
        <w:t xml:space="preserve">the </w:t>
      </w:r>
      <w:r w:rsidR="00F85A3F">
        <w:rPr>
          <w:rFonts w:ascii="Calibri" w:hAnsi="Calibri" w:cs="Calibri"/>
        </w:rPr>
        <w:t>tungsten</w:t>
      </w:r>
      <w:r w:rsidR="00185469">
        <w:rPr>
          <w:rFonts w:ascii="Calibri" w:hAnsi="Calibri" w:cs="Calibri"/>
        </w:rPr>
        <w:t xml:space="preserve">, or from tritium will depend upon the activation levels (sustained power levels) and the accident scenario. </w:t>
      </w:r>
      <w:r w:rsidR="000260C9">
        <w:rPr>
          <w:rFonts w:ascii="Calibri" w:hAnsi="Calibri" w:cs="Calibri"/>
        </w:rPr>
        <w:t>Decay heat in this context is the heat that is produced in the activated or impregnated materials after shutdown of the fusion process.</w:t>
      </w:r>
      <w:r w:rsidR="00087091">
        <w:rPr>
          <w:rFonts w:ascii="Calibri" w:hAnsi="Calibri" w:cs="Calibri"/>
        </w:rPr>
        <w:t xml:space="preserve"> </w:t>
      </w:r>
      <w:r w:rsidR="000260C9">
        <w:rPr>
          <w:rFonts w:ascii="Calibri" w:hAnsi="Calibri" w:cs="Calibri"/>
        </w:rPr>
        <w:t>As shown above in section 4.1.3, the decay heat</w:t>
      </w:r>
      <w:r w:rsidR="00A804E9">
        <w:rPr>
          <w:rFonts w:ascii="Calibri" w:hAnsi="Calibri" w:cs="Calibri"/>
        </w:rPr>
        <w:t xml:space="preserve"> density</w:t>
      </w:r>
      <w:r w:rsidR="000260C9">
        <w:rPr>
          <w:rFonts w:ascii="Calibri" w:hAnsi="Calibri" w:cs="Calibri"/>
        </w:rPr>
        <w:t xml:space="preserve"> from activated </w:t>
      </w:r>
      <w:r w:rsidR="00F85A3F">
        <w:rPr>
          <w:rFonts w:ascii="Calibri" w:hAnsi="Calibri" w:cs="Calibri"/>
        </w:rPr>
        <w:t>tungsten</w:t>
      </w:r>
      <w:r w:rsidR="000260C9">
        <w:rPr>
          <w:rFonts w:ascii="Calibri" w:hAnsi="Calibri" w:cs="Calibri"/>
        </w:rPr>
        <w:t xml:space="preserve"> is around 300 W/kg. </w:t>
      </w:r>
      <w:r w:rsidR="00D531D9">
        <w:rPr>
          <w:rFonts w:ascii="Calibri" w:hAnsi="Calibri" w:cs="Calibri"/>
        </w:rPr>
        <w:t>The decay heat</w:t>
      </w:r>
      <w:r w:rsidR="006679AD">
        <w:rPr>
          <w:rFonts w:ascii="Calibri" w:hAnsi="Calibri" w:cs="Calibri"/>
        </w:rPr>
        <w:t xml:space="preserve"> density</w:t>
      </w:r>
      <w:r w:rsidR="00D531D9">
        <w:rPr>
          <w:rFonts w:ascii="Calibri" w:hAnsi="Calibri" w:cs="Calibri"/>
        </w:rPr>
        <w:t xml:space="preserve"> from tritium is similar at 325 W/kg</w:t>
      </w:r>
      <w:r w:rsidR="002F5F63">
        <w:rPr>
          <w:rFonts w:ascii="Calibri" w:hAnsi="Calibri" w:cs="Calibri"/>
        </w:rPr>
        <w:t xml:space="preserve"> </w:t>
      </w:r>
      <w:r w:rsidR="002F5F63">
        <w:rPr>
          <w:rFonts w:ascii="Calibri" w:hAnsi="Calibri" w:cs="Calibri"/>
        </w:rPr>
        <w:fldChar w:fldCharType="begin" w:fldLock="1"/>
      </w:r>
      <w:r w:rsidR="00C14502">
        <w:rPr>
          <w:rFonts w:ascii="Calibri" w:hAnsi="Calibri" w:cs="Calibri"/>
        </w:rPr>
        <w:instrText>ADDIN CSL_CITATION {"citationItems":[{"id":"ITEM-1","itemData":{"DOI":"10.1103/PhysRev.121.232","ISSN":"0031899X","author":[{"dropping-particle":"","family":"Pillinger","given":"W. L.","non-dropping-particle":"","parse-names":false,"suffix":""},{"dropping-particle":"","family":"Hentges","given":"J. J.","non-dropping-particle":"","parse-names":false,"suffix":""},{"dropping-particle":"","family":"Blair","given":"J. A.","non-dropping-particle":"","parse-names":false,"suffix":""}],"container-title":"Physical Review","id":"ITEM-1","issue":"1","issued":{"date-parts":[["1961"]]},"page":"232-233","title":"Tritium decay energy","type":"article-journal","volume":"121"},"uris":["http://www.mendeley.com/documents/?uuid=5f5ff192-7818-4f18-9df6-4923644ed0f2"]}],"mendeley":{"formattedCitation":"[28]","plainTextFormattedCitation":"[28]","previouslyFormattedCitation":"[28]"},"properties":{"noteIndex":0},"schema":"https://github.com/citation-style-language/schema/raw/master/csl-citation.json"}</w:instrText>
      </w:r>
      <w:r w:rsidR="002F5F63">
        <w:rPr>
          <w:rFonts w:ascii="Calibri" w:hAnsi="Calibri" w:cs="Calibri"/>
        </w:rPr>
        <w:fldChar w:fldCharType="separate"/>
      </w:r>
      <w:r w:rsidR="00AD1C4A" w:rsidRPr="00AD1C4A">
        <w:rPr>
          <w:rFonts w:ascii="Calibri" w:hAnsi="Calibri" w:cs="Calibri"/>
          <w:noProof/>
        </w:rPr>
        <w:t>[28]</w:t>
      </w:r>
      <w:r w:rsidR="002F5F63">
        <w:rPr>
          <w:rFonts w:ascii="Calibri" w:hAnsi="Calibri" w:cs="Calibri"/>
        </w:rPr>
        <w:fldChar w:fldCharType="end"/>
      </w:r>
      <w:r w:rsidR="00D531D9">
        <w:rPr>
          <w:rFonts w:ascii="Calibri" w:hAnsi="Calibri" w:cs="Calibri"/>
        </w:rPr>
        <w:t xml:space="preserve">. </w:t>
      </w:r>
      <w:r w:rsidR="0037543F">
        <w:rPr>
          <w:rFonts w:ascii="Calibri" w:hAnsi="Calibri" w:cs="Calibri"/>
        </w:rPr>
        <w:t xml:space="preserve">However, due to the low levels of tritium </w:t>
      </w:r>
      <w:r w:rsidR="00A62B72">
        <w:rPr>
          <w:rFonts w:ascii="Calibri" w:hAnsi="Calibri" w:cs="Calibri"/>
        </w:rPr>
        <w:t>present</w:t>
      </w:r>
      <w:r w:rsidR="0037543F">
        <w:rPr>
          <w:rFonts w:ascii="Calibri" w:hAnsi="Calibri" w:cs="Calibri"/>
        </w:rPr>
        <w:t>, the overall decay heat from tritium is expected to be low.</w:t>
      </w:r>
      <w:r w:rsidR="00F51A27">
        <w:rPr>
          <w:rFonts w:ascii="Calibri" w:hAnsi="Calibri" w:cs="Calibri"/>
        </w:rPr>
        <w:t xml:space="preserve"> Whilst the decay heat</w:t>
      </w:r>
      <w:r w:rsidR="00A0081E">
        <w:rPr>
          <w:rFonts w:ascii="Calibri" w:hAnsi="Calibri" w:cs="Calibri"/>
        </w:rPr>
        <w:t xml:space="preserve"> density</w:t>
      </w:r>
      <w:r w:rsidR="00F51A27">
        <w:rPr>
          <w:rFonts w:ascii="Calibri" w:hAnsi="Calibri" w:cs="Calibri"/>
        </w:rPr>
        <w:t xml:space="preserve"> from Eurofer steel appears low at 100 W/kg, the large inventories expected means that the overall decay heat from Eurofer will be significant.</w:t>
      </w:r>
      <w:r w:rsidR="00186F12">
        <w:rPr>
          <w:rFonts w:ascii="Calibri" w:hAnsi="Calibri" w:cs="Calibri"/>
        </w:rPr>
        <w:t xml:space="preserve"> </w:t>
      </w:r>
      <w:r w:rsidR="00D531D9">
        <w:rPr>
          <w:rFonts w:ascii="Calibri" w:hAnsi="Calibri" w:cs="Calibri"/>
        </w:rPr>
        <w:t>The impact of decay heating on the course of accident scenarios, especially in relation to the release of radioactive materials</w:t>
      </w:r>
      <w:r w:rsidR="00F56433">
        <w:rPr>
          <w:rFonts w:ascii="Calibri" w:hAnsi="Calibri" w:cs="Calibri"/>
        </w:rPr>
        <w:t>,</w:t>
      </w:r>
      <w:r w:rsidR="00D531D9">
        <w:rPr>
          <w:rFonts w:ascii="Calibri" w:hAnsi="Calibri" w:cs="Calibri"/>
        </w:rPr>
        <w:t xml:space="preserve"> needs further investigation. The following sections on loss of coolant accidents look at the impact of decay heating.</w:t>
      </w:r>
    </w:p>
    <w:p w:rsidR="00CB3E8A" w:rsidRDefault="00CB3E8A" w:rsidP="00ED0F2E">
      <w:pPr>
        <w:rPr>
          <w:rFonts w:ascii="Calibri" w:hAnsi="Calibri" w:cs="Calibri"/>
          <w:b/>
        </w:rPr>
      </w:pPr>
    </w:p>
    <w:p w:rsidR="00432C1B" w:rsidRDefault="00432C1B" w:rsidP="00ED0F2E">
      <w:pPr>
        <w:rPr>
          <w:rFonts w:ascii="Calibri" w:hAnsi="Calibri" w:cs="Calibri"/>
          <w:b/>
        </w:rPr>
      </w:pPr>
      <w:r>
        <w:rPr>
          <w:rFonts w:ascii="Calibri" w:hAnsi="Calibri" w:cs="Calibri"/>
          <w:b/>
        </w:rPr>
        <w:t xml:space="preserve">5.2.1 Loss of </w:t>
      </w:r>
      <w:r w:rsidR="00AF3D4E">
        <w:rPr>
          <w:rFonts w:ascii="Calibri" w:hAnsi="Calibri" w:cs="Calibri"/>
          <w:b/>
        </w:rPr>
        <w:t>C</w:t>
      </w:r>
      <w:r>
        <w:rPr>
          <w:rFonts w:ascii="Calibri" w:hAnsi="Calibri" w:cs="Calibri"/>
          <w:b/>
        </w:rPr>
        <w:t xml:space="preserve">oolant to </w:t>
      </w:r>
      <w:r w:rsidR="00AF3D4E">
        <w:rPr>
          <w:rFonts w:ascii="Calibri" w:hAnsi="Calibri" w:cs="Calibri"/>
          <w:b/>
        </w:rPr>
        <w:t>B</w:t>
      </w:r>
      <w:r>
        <w:rPr>
          <w:rFonts w:ascii="Calibri" w:hAnsi="Calibri" w:cs="Calibri"/>
          <w:b/>
        </w:rPr>
        <w:t xml:space="preserve">reeder </w:t>
      </w:r>
      <w:r w:rsidR="00AF3D4E">
        <w:rPr>
          <w:rFonts w:ascii="Calibri" w:hAnsi="Calibri" w:cs="Calibri"/>
          <w:b/>
        </w:rPr>
        <w:t>B</w:t>
      </w:r>
      <w:r>
        <w:rPr>
          <w:rFonts w:ascii="Calibri" w:hAnsi="Calibri" w:cs="Calibri"/>
          <w:b/>
        </w:rPr>
        <w:t xml:space="preserve">lanket and </w:t>
      </w:r>
      <w:r w:rsidR="00AF3D4E">
        <w:rPr>
          <w:rFonts w:ascii="Calibri" w:hAnsi="Calibri" w:cs="Calibri"/>
          <w:b/>
        </w:rPr>
        <w:t>D</w:t>
      </w:r>
      <w:r>
        <w:rPr>
          <w:rFonts w:ascii="Calibri" w:hAnsi="Calibri" w:cs="Calibri"/>
          <w:b/>
        </w:rPr>
        <w:t>ivertor</w:t>
      </w:r>
    </w:p>
    <w:p w:rsidR="00255F4A" w:rsidRPr="007B1E7E" w:rsidRDefault="002F5F63" w:rsidP="000D4D51">
      <w:pPr>
        <w:pStyle w:val="NormalWeb"/>
        <w:rPr>
          <w:rFonts w:ascii="Calibri" w:hAnsi="Calibri" w:cs="Calibri"/>
          <w:bCs/>
        </w:rPr>
      </w:pPr>
      <w:r>
        <w:rPr>
          <w:rFonts w:ascii="Calibri" w:hAnsi="Calibri" w:cs="Calibri"/>
          <w:bCs/>
        </w:rPr>
        <w:t xml:space="preserve">The breeder blankets contain </w:t>
      </w:r>
      <w:r w:rsidR="00C3755B">
        <w:rPr>
          <w:rFonts w:ascii="Calibri" w:hAnsi="Calibri" w:cs="Calibri"/>
          <w:bCs/>
        </w:rPr>
        <w:t xml:space="preserve">structural </w:t>
      </w:r>
      <w:r w:rsidR="00003BB2">
        <w:rPr>
          <w:rFonts w:ascii="Calibri" w:hAnsi="Calibri" w:cs="Calibri"/>
          <w:bCs/>
        </w:rPr>
        <w:t>materials</w:t>
      </w:r>
      <w:r w:rsidR="00C3755B">
        <w:rPr>
          <w:rFonts w:ascii="Calibri" w:hAnsi="Calibri" w:cs="Calibri"/>
          <w:bCs/>
        </w:rPr>
        <w:t xml:space="preserve"> </w:t>
      </w:r>
      <w:r w:rsidR="00003BB2">
        <w:rPr>
          <w:rFonts w:ascii="Calibri" w:hAnsi="Calibri" w:cs="Calibri"/>
          <w:bCs/>
        </w:rPr>
        <w:t>(Eurofer steel)</w:t>
      </w:r>
      <w:r w:rsidR="00C3755B">
        <w:rPr>
          <w:rFonts w:ascii="Calibri" w:hAnsi="Calibri" w:cs="Calibri"/>
          <w:bCs/>
        </w:rPr>
        <w:t xml:space="preserve"> </w:t>
      </w:r>
      <w:r w:rsidR="0010497F">
        <w:rPr>
          <w:rFonts w:ascii="Calibri" w:hAnsi="Calibri" w:cs="Calibri"/>
          <w:bCs/>
        </w:rPr>
        <w:t>as well as breeder materials (e.g. Li</w:t>
      </w:r>
      <w:r w:rsidR="0010497F">
        <w:rPr>
          <w:rFonts w:ascii="Calibri" w:hAnsi="Calibri" w:cs="Calibri"/>
          <w:bCs/>
          <w:vertAlign w:val="subscript"/>
        </w:rPr>
        <w:t>4</w:t>
      </w:r>
      <w:r w:rsidR="0010497F">
        <w:rPr>
          <w:rFonts w:ascii="Calibri" w:hAnsi="Calibri" w:cs="Calibri"/>
          <w:bCs/>
        </w:rPr>
        <w:t>SiO</w:t>
      </w:r>
      <w:r w:rsidR="0010497F">
        <w:rPr>
          <w:rFonts w:ascii="Calibri" w:hAnsi="Calibri" w:cs="Calibri"/>
          <w:bCs/>
          <w:vertAlign w:val="subscript"/>
        </w:rPr>
        <w:t>4</w:t>
      </w:r>
      <w:r w:rsidR="0010497F">
        <w:rPr>
          <w:rFonts w:ascii="Calibri" w:hAnsi="Calibri" w:cs="Calibri"/>
          <w:bCs/>
        </w:rPr>
        <w:t>) that contribute to the overall decay heat.</w:t>
      </w:r>
      <w:r w:rsidR="007B1E7E">
        <w:rPr>
          <w:rFonts w:ascii="Calibri" w:hAnsi="Calibri" w:cs="Calibri"/>
          <w:bCs/>
        </w:rPr>
        <w:t xml:space="preserve"> </w:t>
      </w:r>
      <w:r w:rsidR="00CB3E8A">
        <w:rPr>
          <w:rFonts w:ascii="Calibri" w:hAnsi="Calibri" w:cs="Calibri"/>
        </w:rPr>
        <w:t xml:space="preserve">From </w:t>
      </w:r>
      <w:r w:rsidR="00CB3E8A">
        <w:rPr>
          <w:rFonts w:ascii="Calibri" w:hAnsi="Calibri" w:cs="Calibri"/>
        </w:rPr>
        <w:fldChar w:fldCharType="begin" w:fldLock="1"/>
      </w:r>
      <w:r w:rsidR="00C14502">
        <w:rPr>
          <w:rFonts w:ascii="Calibri" w:hAnsi="Calibri" w:cs="Calibri"/>
        </w:rPr>
        <w:instrText>ADDIN CSL_CITATION {"citationItems":[{"id":"ITEM-1","itemData":{"author":[{"dropping-particle":"","family":"Pinna","given":"Tonio","non-dropping-particle":"","parse-names":false,"suffix":""},{"dropping-particle":"","family":"Carloni","given":"D","non-dropping-particle":"","parse-names":false,"suffix":""},{"dropping-particle":"","family":"Carpignano","given":"A","non-dropping-particle":"","parse-names":false,"suffix":""},{"dropping-particle":"","family":"Ciattaglia","given":"S","non-dropping-particle":"","parse-names":false,"suffix":""},{"dropping-particle":"","family":"Johnston","given":"J","non-dropping-particle":"","parse-names":false,"suffix":""},{"dropping-particle":"","family":"Porfiri","given":"M T","non-dropping-particle":"","parse-names":false,"suffix":""},{"dropping-particle":"","family":"Savoldi","given":"L","non-dropping-particle":"","parse-names":false,"suffix":""},{"dropping-particle":"","family":"Taylor","given":"N","non-dropping-particle":"","parse-names":false,"suffix":""},{"dropping-particle":"","family":"Sobrero","given":"G","non-dropping-particle":"","parse-names":false,"suffix":""},{"dropping-particle":"","family":"Uggenti","given":"A C","non-dropping-particle":"","parse-names":false,"suffix":""},{"dropping-particle":"","family":"Vaisnoras","given":"M","non-dropping-particle":"","parse-names":false,"suffix":""},{"dropping-particle":"","family":"Zanino","given":"R","non-dropping-particle":"","parse-names":false,"suffix":""}],"id":"ITEM-1","issued":{"date-parts":[["2016"]]},"title":"Reference accident sequences for a Demonstration Fusion Power Plant","type":"report"},"uris":["http://www.mendeley.com/documents/?uuid=e60b2172-a9dc-320f-9caa-51c97f7ed6cb"]}],"mendeley":{"formattedCitation":"[27]","plainTextFormattedCitation":"[27]","previouslyFormattedCitation":"[27]"},"properties":{"noteIndex":0},"schema":"https://github.com/citation-style-language/schema/raw/master/csl-citation.json"}</w:instrText>
      </w:r>
      <w:r w:rsidR="00CB3E8A">
        <w:rPr>
          <w:rFonts w:ascii="Calibri" w:hAnsi="Calibri" w:cs="Calibri"/>
        </w:rPr>
        <w:fldChar w:fldCharType="separate"/>
      </w:r>
      <w:r w:rsidR="00AD1C4A" w:rsidRPr="00AD1C4A">
        <w:rPr>
          <w:rFonts w:ascii="Calibri" w:hAnsi="Calibri" w:cs="Calibri"/>
          <w:noProof/>
        </w:rPr>
        <w:t>[27]</w:t>
      </w:r>
      <w:r w:rsidR="00CB3E8A">
        <w:rPr>
          <w:rFonts w:ascii="Calibri" w:hAnsi="Calibri" w:cs="Calibri"/>
        </w:rPr>
        <w:fldChar w:fldCharType="end"/>
      </w:r>
      <w:r w:rsidR="00CB3E8A">
        <w:rPr>
          <w:rFonts w:ascii="Calibri" w:hAnsi="Calibri" w:cs="Calibri"/>
        </w:rPr>
        <w:t>, the primary safety concern with</w:t>
      </w:r>
      <w:r>
        <w:rPr>
          <w:rFonts w:ascii="Calibri" w:hAnsi="Calibri" w:cs="Calibri"/>
        </w:rPr>
        <w:t xml:space="preserve"> this</w:t>
      </w:r>
      <w:r w:rsidR="00CB3E8A">
        <w:rPr>
          <w:rFonts w:ascii="Calibri" w:hAnsi="Calibri" w:cs="Calibri"/>
        </w:rPr>
        <w:t xml:space="preserve"> decay heat is </w:t>
      </w:r>
      <w:r w:rsidR="00583DB1">
        <w:rPr>
          <w:rFonts w:ascii="Calibri" w:hAnsi="Calibri" w:cs="Calibri"/>
        </w:rPr>
        <w:t xml:space="preserve">a potential loss of coolant accident (LOCA). </w:t>
      </w:r>
      <w:r w:rsidR="009E263D">
        <w:rPr>
          <w:rFonts w:ascii="Calibri" w:hAnsi="Calibri" w:cs="Calibri"/>
        </w:rPr>
        <w:t xml:space="preserve">Coolant in this sense refers to the fluid (water, helium, liquid metal etc.) that is used to cool the breeder blankets </w:t>
      </w:r>
      <w:r w:rsidR="00E97F4A">
        <w:rPr>
          <w:rFonts w:ascii="Calibri" w:hAnsi="Calibri" w:cs="Calibri"/>
        </w:rPr>
        <w:t>or</w:t>
      </w:r>
      <w:r w:rsidR="009E263D">
        <w:rPr>
          <w:rFonts w:ascii="Calibri" w:hAnsi="Calibri" w:cs="Calibri"/>
        </w:rPr>
        <w:t xml:space="preserve"> divertor</w:t>
      </w:r>
      <w:r w:rsidR="002A52FC">
        <w:rPr>
          <w:rFonts w:ascii="Calibri" w:hAnsi="Calibri" w:cs="Calibri"/>
        </w:rPr>
        <w:t xml:space="preserve"> during normal operation</w:t>
      </w:r>
      <w:r w:rsidR="00E97F4A">
        <w:rPr>
          <w:rFonts w:ascii="Calibri" w:hAnsi="Calibri" w:cs="Calibri"/>
        </w:rPr>
        <w:t xml:space="preserve">. </w:t>
      </w:r>
      <w:r w:rsidR="009E263D">
        <w:rPr>
          <w:rFonts w:ascii="Calibri" w:hAnsi="Calibri" w:cs="Calibri"/>
        </w:rPr>
        <w:t xml:space="preserve">The PPCS study </w:t>
      </w:r>
      <w:r w:rsidR="009E263D">
        <w:rPr>
          <w:rFonts w:ascii="Calibri" w:hAnsi="Calibri" w:cs="Calibri"/>
        </w:rPr>
        <w:fldChar w:fldCharType="begin" w:fldLock="1"/>
      </w:r>
      <w:r w:rsidR="003342C2">
        <w:rPr>
          <w:rFonts w:ascii="Calibri" w:hAnsi="Calibri" w:cs="Calibri"/>
        </w:rPr>
        <w:instrText>ADDIN CSL_CITATION {"citationItems":[{"id":"ITEM-1","itemData":{"author":[{"dropping-particle":"","family":"Maisonnier","given":"D","non-dropping-particle":"","parse-names":false,"suffix":""},{"dropping-particle":"","family":"Cook","given":"I","non-dropping-particle":"","parse-names":false,"suffix":""},{"dropping-particle":"","family":"Sardain","given":"I","non-dropping-particle":"","parse-names":false,"suffix":""},{"dropping-particle":"","family":"Andreani","given":"R","non-dropping-particle":"","parse-names":false,"suffix":""},{"dropping-particle":"","family":"Pace","given":"L","non-dropping-particle":"Di","parse-names":false,"suffix":""},{"dropping-particle":"","family":"Forrest","given":"R","non-dropping-particle":"","parse-names":false,"suffix":""},{"dropping-particle":"","family":"Giancarli","given":"L","non-dropping-particle":"","parse-names":false,"suffix":""},{"dropping-particle":"","family":"Hermsmeyer","given":"S","non-dropping-particle":"","parse-names":false,"suffix":""},{"dropping-particle":"","family":"Norajitra","given":"P","non-dropping-particle":"","parse-names":false,"suffix":""},{"dropping-particle":"","family":"Taylor","given":"N","non-dropping-particle":"","parse-names":false,"suffix":""},{"dropping-particle":"","family":"Ward","given":"D","non-dropping-particle":"","parse-names":false,"suffix":""}],"id":"ITEM-1","issued":{"date-parts":[["2005"]]},"title":"Final Report of the European Fusion Power Plant Conceptual Study (PPCS)","type":"report"},"uris":["http://www.mendeley.com/documents/?uuid=654a4942-b91a-3b30-8ed9-debf8a2b6790"]}],"mendeley":{"formattedCitation":"[6]","plainTextFormattedCitation":"[6]","previouslyFormattedCitation":"[6]"},"properties":{"noteIndex":0},"schema":"https://github.com/citation-style-language/schema/raw/master/csl-citation.json"}</w:instrText>
      </w:r>
      <w:r w:rsidR="009E263D">
        <w:rPr>
          <w:rFonts w:ascii="Calibri" w:hAnsi="Calibri" w:cs="Calibri"/>
        </w:rPr>
        <w:fldChar w:fldCharType="separate"/>
      </w:r>
      <w:r w:rsidR="006D5F05" w:rsidRPr="006D5F05">
        <w:rPr>
          <w:rFonts w:ascii="Calibri" w:hAnsi="Calibri" w:cs="Calibri"/>
          <w:noProof/>
        </w:rPr>
        <w:t>[6]</w:t>
      </w:r>
      <w:r w:rsidR="009E263D">
        <w:rPr>
          <w:rFonts w:ascii="Calibri" w:hAnsi="Calibri" w:cs="Calibri"/>
        </w:rPr>
        <w:fldChar w:fldCharType="end"/>
      </w:r>
      <w:r w:rsidR="009E263D">
        <w:rPr>
          <w:rFonts w:ascii="Calibri" w:hAnsi="Calibri" w:cs="Calibri"/>
        </w:rPr>
        <w:t xml:space="preserve"> investigated a </w:t>
      </w:r>
      <w:r w:rsidR="009E263D">
        <w:rPr>
          <w:rFonts w:ascii="Calibri" w:hAnsi="Calibri" w:cs="Calibri"/>
        </w:rPr>
        <w:lastRenderedPageBreak/>
        <w:t xml:space="preserve">bounding LOCA accident, </w:t>
      </w:r>
      <w:r w:rsidR="00087EA4">
        <w:rPr>
          <w:rFonts w:ascii="Calibri" w:hAnsi="Calibri" w:cs="Calibri"/>
        </w:rPr>
        <w:t xml:space="preserve">resulting in a total loss of cooling from all loops in the plant, </w:t>
      </w:r>
      <w:r w:rsidR="009E263D">
        <w:rPr>
          <w:rFonts w:ascii="Calibri" w:hAnsi="Calibri" w:cs="Calibri"/>
        </w:rPr>
        <w:t>with added assumptions of no active cooling, no active safety system operation, and no intervention for a prolonged period.</w:t>
      </w:r>
      <w:r w:rsidR="00B46EAC">
        <w:rPr>
          <w:rFonts w:ascii="Calibri" w:hAnsi="Calibri" w:cs="Calibri"/>
        </w:rPr>
        <w:t xml:space="preserve"> Temperature transients in the blanket structures were then obtained for a period of 100 days after the accident, with contributions due to thermal inertia in the structure, decay heat, and tungsten activation and subsequent decay heat. </w:t>
      </w:r>
      <w:r w:rsidR="009E263D">
        <w:rPr>
          <w:rFonts w:ascii="Calibri" w:hAnsi="Calibri" w:cs="Calibri"/>
        </w:rPr>
        <w:t xml:space="preserve">Figure </w:t>
      </w:r>
      <w:r w:rsidR="000D4D51">
        <w:rPr>
          <w:rFonts w:ascii="Calibri" w:hAnsi="Calibri" w:cs="Calibri"/>
        </w:rPr>
        <w:t>3</w:t>
      </w:r>
      <w:r w:rsidR="009E263D">
        <w:rPr>
          <w:rFonts w:ascii="Calibri" w:hAnsi="Calibri" w:cs="Calibri"/>
        </w:rPr>
        <w:t xml:space="preserve"> shows the poloidal temperature profile in PPCS Model A 10 days after the hypothetical acciden</w:t>
      </w:r>
      <w:r w:rsidR="000D4D51">
        <w:rPr>
          <w:rFonts w:ascii="Calibri" w:hAnsi="Calibri" w:cs="Calibri"/>
        </w:rPr>
        <w:t>t.</w:t>
      </w:r>
    </w:p>
    <w:p w:rsidR="00ED0F2E" w:rsidRPr="00ED0F2E" w:rsidRDefault="00ED0F2E" w:rsidP="00ED0F2E">
      <w:pPr>
        <w:rPr>
          <w:rFonts w:ascii="Calibri" w:hAnsi="Calibri" w:cs="Calibri"/>
        </w:rPr>
      </w:pPr>
    </w:p>
    <w:p w:rsidR="00ED0F2E" w:rsidRDefault="00994288" w:rsidP="00ED0F2E">
      <w:pPr>
        <w:rPr>
          <w:rFonts w:ascii="Calibri" w:hAnsi="Calibri" w:cs="Calibri"/>
          <w:b/>
        </w:rPr>
      </w:pPr>
      <w:r w:rsidRPr="00811E7A">
        <w:rPr>
          <w:rFonts w:ascii="Calibri" w:hAnsi="Calibri" w:cs="Calibri"/>
          <w:noProof/>
        </w:rPr>
        <w:drawing>
          <wp:anchor distT="0" distB="0" distL="114300" distR="114300" simplePos="0" relativeHeight="251663360" behindDoc="1" locked="0" layoutInCell="1" allowOverlap="1" wp14:anchorId="71042C0E">
            <wp:simplePos x="0" y="0"/>
            <wp:positionH relativeFrom="column">
              <wp:posOffset>1277034</wp:posOffset>
            </wp:positionH>
            <wp:positionV relativeFrom="paragraph">
              <wp:posOffset>7229</wp:posOffset>
            </wp:positionV>
            <wp:extent cx="3189605" cy="2981325"/>
            <wp:effectExtent l="0" t="0" r="0" b="3175"/>
            <wp:wrapTight wrapText="bothSides">
              <wp:wrapPolygon edited="0">
                <wp:start x="0" y="0"/>
                <wp:lineTo x="0" y="21531"/>
                <wp:lineTo x="21501" y="21531"/>
                <wp:lineTo x="2150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89605" cy="2981325"/>
                    </a:xfrm>
                    <a:prstGeom prst="rect">
                      <a:avLst/>
                    </a:prstGeom>
                  </pic:spPr>
                </pic:pic>
              </a:graphicData>
            </a:graphic>
            <wp14:sizeRelH relativeFrom="page">
              <wp14:pctWidth>0</wp14:pctWidth>
            </wp14:sizeRelH>
            <wp14:sizeRelV relativeFrom="page">
              <wp14:pctHeight>0</wp14:pctHeight>
            </wp14:sizeRelV>
          </wp:anchor>
        </w:drawing>
      </w:r>
    </w:p>
    <w:p w:rsidR="000D4D51" w:rsidRDefault="000D4D51" w:rsidP="00ED0F2E">
      <w:pPr>
        <w:rPr>
          <w:rFonts w:ascii="Calibri" w:hAnsi="Calibri" w:cs="Calibri"/>
        </w:rPr>
      </w:pPr>
    </w:p>
    <w:p w:rsidR="000D4D51" w:rsidRDefault="000D4D51" w:rsidP="00ED0F2E">
      <w:pPr>
        <w:rPr>
          <w:rFonts w:ascii="Calibri" w:hAnsi="Calibri" w:cs="Calibri"/>
        </w:rPr>
      </w:pPr>
    </w:p>
    <w:p w:rsidR="000D4D51" w:rsidRDefault="000D4D51" w:rsidP="00ED0F2E">
      <w:pPr>
        <w:rPr>
          <w:rFonts w:ascii="Calibri" w:hAnsi="Calibri" w:cs="Calibri"/>
        </w:rPr>
      </w:pPr>
    </w:p>
    <w:p w:rsidR="000D4D51" w:rsidRDefault="000D4D51" w:rsidP="00ED0F2E">
      <w:pPr>
        <w:rPr>
          <w:rFonts w:ascii="Calibri" w:hAnsi="Calibri" w:cs="Calibri"/>
        </w:rPr>
      </w:pPr>
    </w:p>
    <w:p w:rsidR="000D4D51" w:rsidRDefault="000D4D51" w:rsidP="00ED0F2E">
      <w:pPr>
        <w:rPr>
          <w:rFonts w:ascii="Calibri" w:hAnsi="Calibri" w:cs="Calibri"/>
        </w:rPr>
      </w:pPr>
    </w:p>
    <w:p w:rsidR="000D4D51" w:rsidRDefault="000D4D51" w:rsidP="00ED0F2E">
      <w:pPr>
        <w:rPr>
          <w:rFonts w:ascii="Calibri" w:hAnsi="Calibri" w:cs="Calibri"/>
        </w:rPr>
      </w:pPr>
    </w:p>
    <w:p w:rsidR="000D4D51" w:rsidRDefault="000D4D51" w:rsidP="00ED0F2E">
      <w:pPr>
        <w:rPr>
          <w:rFonts w:ascii="Calibri" w:hAnsi="Calibri" w:cs="Calibri"/>
        </w:rPr>
      </w:pPr>
    </w:p>
    <w:p w:rsidR="000D4D51" w:rsidRDefault="000D4D51" w:rsidP="00ED0F2E">
      <w:pPr>
        <w:rPr>
          <w:rFonts w:ascii="Calibri" w:hAnsi="Calibri" w:cs="Calibri"/>
        </w:rPr>
      </w:pPr>
    </w:p>
    <w:p w:rsidR="000D4D51" w:rsidRDefault="000D4D51" w:rsidP="00ED0F2E">
      <w:pPr>
        <w:rPr>
          <w:rFonts w:ascii="Calibri" w:hAnsi="Calibri" w:cs="Calibri"/>
        </w:rPr>
      </w:pPr>
    </w:p>
    <w:p w:rsidR="000D4D51" w:rsidRDefault="000D4D51" w:rsidP="00ED0F2E">
      <w:pPr>
        <w:rPr>
          <w:rFonts w:ascii="Calibri" w:hAnsi="Calibri" w:cs="Calibri"/>
        </w:rPr>
      </w:pPr>
    </w:p>
    <w:p w:rsidR="000D4D51" w:rsidRDefault="000D4D51" w:rsidP="00ED0F2E">
      <w:pPr>
        <w:rPr>
          <w:rFonts w:ascii="Calibri" w:hAnsi="Calibri" w:cs="Calibri"/>
        </w:rPr>
      </w:pPr>
    </w:p>
    <w:p w:rsidR="000D4D51" w:rsidRDefault="000D4D51" w:rsidP="00ED0F2E">
      <w:pPr>
        <w:rPr>
          <w:rFonts w:ascii="Calibri" w:hAnsi="Calibri" w:cs="Calibri"/>
        </w:rPr>
      </w:pPr>
    </w:p>
    <w:p w:rsidR="000D4D51" w:rsidRDefault="000D4D51" w:rsidP="00ED0F2E">
      <w:pPr>
        <w:rPr>
          <w:rFonts w:ascii="Calibri" w:hAnsi="Calibri" w:cs="Calibri"/>
        </w:rPr>
      </w:pPr>
    </w:p>
    <w:p w:rsidR="000D4D51" w:rsidRDefault="000D4D51" w:rsidP="00ED0F2E">
      <w:pPr>
        <w:rPr>
          <w:rFonts w:ascii="Calibri" w:hAnsi="Calibri" w:cs="Calibri"/>
        </w:rPr>
      </w:pPr>
    </w:p>
    <w:p w:rsidR="00994288" w:rsidRDefault="00994288" w:rsidP="00ED0F2E">
      <w:pPr>
        <w:rPr>
          <w:rFonts w:ascii="Calibri" w:hAnsi="Calibri" w:cs="Calibri"/>
          <w:b/>
        </w:rPr>
      </w:pPr>
    </w:p>
    <w:p w:rsidR="00994288" w:rsidRDefault="00994288" w:rsidP="00ED0F2E">
      <w:pPr>
        <w:rPr>
          <w:rFonts w:ascii="Calibri" w:hAnsi="Calibri" w:cs="Calibri"/>
          <w:b/>
        </w:rPr>
      </w:pPr>
    </w:p>
    <w:p w:rsidR="000D4D51" w:rsidRDefault="000D4D51" w:rsidP="00ED0F2E">
      <w:pPr>
        <w:rPr>
          <w:rFonts w:ascii="Calibri" w:hAnsi="Calibri" w:cs="Calibri"/>
        </w:rPr>
      </w:pPr>
      <w:r w:rsidRPr="00191FB5">
        <w:rPr>
          <w:rFonts w:ascii="Calibri" w:hAnsi="Calibri" w:cs="Calibri"/>
          <w:b/>
        </w:rPr>
        <w:t xml:space="preserve">Figure 3: </w:t>
      </w:r>
      <w:r>
        <w:rPr>
          <w:rFonts w:ascii="Calibri" w:hAnsi="Calibri" w:cs="Calibri"/>
        </w:rPr>
        <w:t xml:space="preserve">PPCS Model A poloidal temperature profile 10 days after a total LOCA occurs </w:t>
      </w:r>
      <w:r>
        <w:rPr>
          <w:rFonts w:ascii="Calibri" w:hAnsi="Calibri" w:cs="Calibri"/>
        </w:rPr>
        <w:fldChar w:fldCharType="begin" w:fldLock="1"/>
      </w:r>
      <w:r w:rsidR="003342C2">
        <w:rPr>
          <w:rFonts w:ascii="Calibri" w:hAnsi="Calibri" w:cs="Calibri"/>
        </w:rPr>
        <w:instrText>ADDIN CSL_CITATION {"citationItems":[{"id":"ITEM-1","itemData":{"author":[{"dropping-particle":"","family":"Maisonnier","given":"D","non-dropping-particle":"","parse-names":false,"suffix":""},{"dropping-particle":"","family":"Cook","given":"I","non-dropping-particle":"","parse-names":false,"suffix":""},{"dropping-particle":"","family":"Sardain","given":"I","non-dropping-particle":"","parse-names":false,"suffix":""},{"dropping-particle":"","family":"Andreani","given":"R","non-dropping-particle":"","parse-names":false,"suffix":""},{"dropping-particle":"","family":"Pace","given":"L","non-dropping-particle":"Di","parse-names":false,"suffix":""},{"dropping-particle":"","family":"Forrest","given":"R","non-dropping-particle":"","parse-names":false,"suffix":""},{"dropping-particle":"","family":"Giancarli","given":"L","non-dropping-particle":"","parse-names":false,"suffix":""},{"dropping-particle":"","family":"Hermsmeyer","given":"S","non-dropping-particle":"","parse-names":false,"suffix":""},{"dropping-particle":"","family":"Norajitra","given":"P","non-dropping-particle":"","parse-names":false,"suffix":""},{"dropping-particle":"","family":"Taylor","given":"N","non-dropping-particle":"","parse-names":false,"suffix":""},{"dropping-particle":"","family":"Ward","given":"D","non-dropping-particle":"","parse-names":false,"suffix":""}],"id":"ITEM-1","issued":{"date-parts":[["2005"]]},"title":"Final Report of the European Fusion Power Plant Conceptual Study (PPCS)","type":"report"},"uris":["http://www.mendeley.com/documents/?uuid=654a4942-b91a-3b30-8ed9-debf8a2b6790"]}],"mendeley":{"formattedCitation":"[6]","plainTextFormattedCitation":"[6]","previouslyFormattedCitation":"[6]"},"properties":{"noteIndex":0},"schema":"https://github.com/citation-style-language/schema/raw/master/csl-citation.json"}</w:instrText>
      </w:r>
      <w:r>
        <w:rPr>
          <w:rFonts w:ascii="Calibri" w:hAnsi="Calibri" w:cs="Calibri"/>
        </w:rPr>
        <w:fldChar w:fldCharType="separate"/>
      </w:r>
      <w:r w:rsidR="006D5F05" w:rsidRPr="006D5F05">
        <w:rPr>
          <w:rFonts w:ascii="Calibri" w:hAnsi="Calibri" w:cs="Calibri"/>
          <w:noProof/>
        </w:rPr>
        <w:t>[6]</w:t>
      </w:r>
      <w:r>
        <w:rPr>
          <w:rFonts w:ascii="Calibri" w:hAnsi="Calibri" w:cs="Calibri"/>
        </w:rPr>
        <w:fldChar w:fldCharType="end"/>
      </w:r>
      <w:r>
        <w:rPr>
          <w:rFonts w:ascii="Calibri" w:hAnsi="Calibri" w:cs="Calibri"/>
        </w:rPr>
        <w:t>. Note, the temperature scale is in degrees Celsius and Y denotes the vertical direction</w:t>
      </w:r>
    </w:p>
    <w:p w:rsidR="000D4D51" w:rsidRDefault="000D4D51" w:rsidP="00ED0F2E">
      <w:pPr>
        <w:rPr>
          <w:rFonts w:ascii="Calibri" w:hAnsi="Calibri" w:cs="Calibri"/>
        </w:rPr>
      </w:pPr>
    </w:p>
    <w:p w:rsidR="007C4BA8" w:rsidRPr="00B46EAC" w:rsidRDefault="001A6A5B" w:rsidP="00ED0F2E">
      <w:pPr>
        <w:rPr>
          <w:rFonts w:ascii="Calibri" w:hAnsi="Calibri" w:cs="Calibri"/>
        </w:rPr>
      </w:pPr>
      <w:r>
        <w:rPr>
          <w:rFonts w:ascii="Calibri" w:hAnsi="Calibri" w:cs="Calibri"/>
        </w:rPr>
        <w:t xml:space="preserve">The PPCS analysis shows that the tungsten first wall is expected to reach a maximum temperature of ~1200 </w:t>
      </w:r>
      <w:r w:rsidRPr="00ED0F2E">
        <w:rPr>
          <w:rFonts w:ascii="Calibri" w:hAnsi="Calibri" w:cs="Calibri"/>
        </w:rPr>
        <w:t>°C</w:t>
      </w:r>
      <w:r>
        <w:rPr>
          <w:rFonts w:ascii="Calibri" w:hAnsi="Calibri" w:cs="Calibri"/>
        </w:rPr>
        <w:t xml:space="preserve"> 10 days after the postulated LOCA. This value is significantly lower than the melting point of tungsten, inferring the component should not fail at this temperature. </w:t>
      </w:r>
      <w:r w:rsidR="00EF0E59">
        <w:rPr>
          <w:rFonts w:ascii="Calibri" w:hAnsi="Calibri" w:cs="Calibri"/>
        </w:rPr>
        <w:t>The Eurofer steel</w:t>
      </w:r>
      <w:r w:rsidR="00C62997">
        <w:rPr>
          <w:rFonts w:ascii="Calibri" w:hAnsi="Calibri" w:cs="Calibri"/>
        </w:rPr>
        <w:t xml:space="preserve"> has a melting point of 1325-1530 °C and </w:t>
      </w:r>
      <w:r w:rsidR="00EF0E59">
        <w:rPr>
          <w:rFonts w:ascii="Calibri" w:hAnsi="Calibri" w:cs="Calibri"/>
        </w:rPr>
        <w:t xml:space="preserve">should also not melt at this temperature. </w:t>
      </w:r>
      <w:r>
        <w:rPr>
          <w:rFonts w:ascii="Calibri" w:hAnsi="Calibri" w:cs="Calibri"/>
        </w:rPr>
        <w:t>However, it is not sufficient to look solely at melting temperature as an indicator of safety</w:t>
      </w:r>
      <w:r w:rsidR="00F24BA0">
        <w:rPr>
          <w:rFonts w:ascii="Calibri" w:hAnsi="Calibri" w:cs="Calibri"/>
        </w:rPr>
        <w:t>:</w:t>
      </w:r>
      <w:r>
        <w:rPr>
          <w:rFonts w:ascii="Calibri" w:hAnsi="Calibri" w:cs="Calibri"/>
        </w:rPr>
        <w:t xml:space="preserve"> there are other factor</w:t>
      </w:r>
      <w:r w:rsidR="00087229">
        <w:rPr>
          <w:rFonts w:ascii="Calibri" w:hAnsi="Calibri" w:cs="Calibri"/>
        </w:rPr>
        <w:t>s</w:t>
      </w:r>
      <w:r>
        <w:rPr>
          <w:rFonts w:ascii="Calibri" w:hAnsi="Calibri" w:cs="Calibri"/>
        </w:rPr>
        <w:t xml:space="preserve"> that have to be taken into account when substantiating the adequacy of the design in the safety case. One such factor is the formation of tungsten trioxide (WO</w:t>
      </w:r>
      <w:r>
        <w:rPr>
          <w:rFonts w:ascii="Calibri" w:hAnsi="Calibri" w:cs="Calibri"/>
          <w:vertAlign w:val="subscript"/>
        </w:rPr>
        <w:t>3</w:t>
      </w:r>
      <w:r>
        <w:rPr>
          <w:rFonts w:ascii="Calibri" w:hAnsi="Calibri" w:cs="Calibri"/>
        </w:rPr>
        <w:t>).</w:t>
      </w:r>
      <w:r w:rsidR="00AE78E5">
        <w:rPr>
          <w:rFonts w:ascii="Calibri" w:hAnsi="Calibri" w:cs="Calibri"/>
        </w:rPr>
        <w:t xml:space="preserve"> </w:t>
      </w:r>
      <w:r w:rsidR="00CA1312">
        <w:rPr>
          <w:rFonts w:ascii="Calibri" w:hAnsi="Calibri" w:cs="Calibri"/>
        </w:rPr>
        <w:t xml:space="preserve">Analysis by the </w:t>
      </w:r>
      <w:r>
        <w:rPr>
          <w:rFonts w:ascii="Calibri" w:hAnsi="Calibri" w:cs="Calibri"/>
        </w:rPr>
        <w:t>Materials Assessment Group</w:t>
      </w:r>
      <w:r w:rsidR="00CA1312">
        <w:rPr>
          <w:rFonts w:ascii="Calibri" w:hAnsi="Calibri" w:cs="Calibri"/>
        </w:rPr>
        <w:t xml:space="preserve"> (as part of the EU Fusion Roadmap process) </w:t>
      </w:r>
      <w:r>
        <w:rPr>
          <w:rFonts w:ascii="Calibri" w:hAnsi="Calibri" w:cs="Calibri"/>
        </w:rPr>
        <w:t>found that in the event of an air ingress into the vacuum vessel (probable due to failure at penetration at this temperature), significant quantities of highly volatile WO</w:t>
      </w:r>
      <w:r>
        <w:rPr>
          <w:rFonts w:ascii="Calibri" w:hAnsi="Calibri" w:cs="Calibri"/>
          <w:vertAlign w:val="subscript"/>
        </w:rPr>
        <w:t xml:space="preserve">3 </w:t>
      </w:r>
      <w:r>
        <w:rPr>
          <w:rFonts w:ascii="Calibri" w:hAnsi="Calibri" w:cs="Calibri"/>
        </w:rPr>
        <w:t>could form at a rate of 10-100 kg/h for a surface area of 1000 m</w:t>
      </w:r>
      <w:r>
        <w:rPr>
          <w:rFonts w:ascii="Calibri" w:hAnsi="Calibri" w:cs="Calibri"/>
          <w:vertAlign w:val="superscript"/>
        </w:rPr>
        <w:t>2</w:t>
      </w:r>
      <w:r>
        <w:rPr>
          <w:rFonts w:ascii="Calibri" w:hAnsi="Calibri" w:cs="Calibri"/>
        </w:rPr>
        <w:t xml:space="preserve">. </w:t>
      </w:r>
      <w:r w:rsidR="00C51ADE">
        <w:rPr>
          <w:rFonts w:ascii="Calibri" w:hAnsi="Calibri" w:cs="Calibri"/>
        </w:rPr>
        <w:t>It is clear therefore, that if a LOCA challenged the integrity of the vacuum vessel</w:t>
      </w:r>
      <w:r w:rsidR="00B43A3E">
        <w:rPr>
          <w:rFonts w:ascii="Calibri" w:hAnsi="Calibri" w:cs="Calibri"/>
        </w:rPr>
        <w:t xml:space="preserve"> and</w:t>
      </w:r>
      <w:r w:rsidR="00C51ADE">
        <w:rPr>
          <w:rFonts w:ascii="Calibri" w:hAnsi="Calibri" w:cs="Calibri"/>
        </w:rPr>
        <w:t xml:space="preserve"> </w:t>
      </w:r>
      <w:r w:rsidR="00BA7480">
        <w:rPr>
          <w:rFonts w:ascii="Calibri" w:hAnsi="Calibri" w:cs="Calibri"/>
        </w:rPr>
        <w:t>caused deterioration of</w:t>
      </w:r>
      <w:r w:rsidR="00C51ADE">
        <w:rPr>
          <w:rFonts w:ascii="Calibri" w:hAnsi="Calibri" w:cs="Calibri"/>
        </w:rPr>
        <w:t xml:space="preserve"> co</w:t>
      </w:r>
      <w:r w:rsidR="00BA7480">
        <w:rPr>
          <w:rFonts w:ascii="Calibri" w:hAnsi="Calibri" w:cs="Calibri"/>
        </w:rPr>
        <w:t>nfinement barriers</w:t>
      </w:r>
      <w:r w:rsidR="00C51ADE">
        <w:rPr>
          <w:rFonts w:ascii="Calibri" w:hAnsi="Calibri" w:cs="Calibri"/>
        </w:rPr>
        <w:t>, a fraction of this radioactive WO</w:t>
      </w:r>
      <w:r w:rsidR="00C51ADE">
        <w:rPr>
          <w:rFonts w:ascii="Calibri" w:hAnsi="Calibri" w:cs="Calibri"/>
          <w:vertAlign w:val="subscript"/>
        </w:rPr>
        <w:t xml:space="preserve">3 </w:t>
      </w:r>
      <w:r w:rsidR="00C51ADE">
        <w:rPr>
          <w:rFonts w:ascii="Calibri" w:hAnsi="Calibri" w:cs="Calibri"/>
        </w:rPr>
        <w:t xml:space="preserve">could escape and disperse into the environment </w:t>
      </w:r>
      <w:r w:rsidR="00D72EAC">
        <w:rPr>
          <w:rFonts w:ascii="Calibri" w:hAnsi="Calibri" w:cs="Calibri"/>
        </w:rPr>
        <w:fldChar w:fldCharType="begin" w:fldLock="1"/>
      </w:r>
      <w:r w:rsidR="00C14502">
        <w:rPr>
          <w:rFonts w:ascii="Calibri" w:hAnsi="Calibri" w:cs="Calibri"/>
        </w:rPr>
        <w:instrText xml:space="preserve">ADDIN CSL_CITATION {"citationItems":[{"id":"ITEM-1","itemData":{"DOI":"10.1016/j.fusengdes.2013.11.007","ISBN":"0920-3796","ISSN":"09203796","abstract":"The findings of the EU Fusion Programme's 'Materials Assessment Group' (MAG), assessing readiness of Structural, Plasma Facing (PF) and High Heat Flux (HHF) materials for DEMO, are discussed. These are incorporated into the EU Fusion Power Roadmap [1], with a decision to construct DEMO in the early 2030s. The methodology uses project-based and systems-engineering approaches, the concept of Technology Readiness Levels, and considers lessons learned from Fission reactor material development. 'Baseline' materials are identified for each DEMO role, and the DEMO mission risks analysed from the known limitations, or unknown properties, associated with each baseline material. R&amp;D programmes to address these risks are developed. The DEMO assessed has a phase I with a 'starter blanket': the blanket must withstand ≥2 MW yr m-2fusion neutron flux (equivalent to </w:instrText>
      </w:r>
      <w:r w:rsidR="00C14502">
        <w:rPr>
          <w:rFonts w:ascii="Cambria Math" w:hAnsi="Cambria Math" w:cs="Cambria Math"/>
        </w:rPr>
        <w:instrText>∼</w:instrText>
      </w:r>
      <w:r w:rsidR="00C14502">
        <w:rPr>
          <w:rFonts w:ascii="Calibri" w:hAnsi="Calibri" w:cs="Calibri"/>
        </w:rPr>
        <w:instrText>20 dpa front-wall steel damage). The baseline materials all have significant associated risks, so development of 'Risk Mitigation Materials' (RMM) is recommended. The R&amp;D programme has parallel development of the baseline and RMM, up to 'down-selection' points to align with decisions on the DEMO blanket and divertor engineering definition. ITER licensing experience is used to refine the issues for materials nuclear testing, and arguments are developed to optimise scope of materials tests with fusion neutron ('14 MeV') spectra before DEMO design finalisation. Some 14 MeV testing is still essential, and the Roadmap requires deployment of a ≥30 dpa (steels) testing capability by 2026. Programme optimisation by the pre-testing with fission neutrons on isotopically- or chemically-doped steels and with ion-beams is discussed along with the minimum 14 MeV testing programme, and the key role which fundamental and mission-oriented modelling can play in orienting the research. © 2013 Elsevier B.V.","author":[{"dropping-particle":"","family":"Stork","given":"Derek","non-dropping-particle":"","parse-names":false,"suffix":""},{"dropping-particle":"","family":"Agostini","given":"Pietro","non-dropping-particle":"","parse-names":false,"suffix":""},{"dropping-particle":"","family":"Boutard","given":"Jean Louis","non-dropping-particle":"","parse-names":false,"suffix":""},{"dropping-particle":"","family":"Buckthorpe","given":"Derek","non-dropping-particle":"","parse-names":false,"suffix":""},{"dropping-particle":"","family":"Diegele","given":"Eberhard","non-dropping-particle":"","parse-names":false,"suffix":""},{"dropping-particle":"","family":"Dudarev","given":"Sergei L.","non-dropping-particle":"","parse-names":false,"suffix":""},{"dropping-particle":"","family":"English","given":"Colin","non-dropping-particle":"","parse-names":false,"suffix":""},{"dropping-particle":"","family":"Federici","given":"Gianfranco","non-dropping-particle":"","parse-names":false,"suffix":""},{"dropping-particle":"","family":"Gilbert","given":"Mark R.","non-dropping-particle":"","parse-names":false,"suffix":""},{"dropping-particle":"","family":"Gonzalez","given":"Sehila","non-dropping-particle":"","parse-names":false,"suffix":""},{"dropping-particle":"","family":"Ibarra","given":"Angel","non-dropping-particle":"","parse-names":false,"suffix":""},{"dropping-particle":"","family":"Linsmeier","given":"Christian","non-dropping-particle":"","parse-names":false,"suffix":""},{"dropping-particle":"","family":"Puma","given":"Antonella Li","non-dropping-particle":"","parse-names":false,"suffix":""},{"dropping-particle":"","family":"Marbach","given":"Gabriel","non-dropping-particle":"","parse-names":false,"suffix":""},{"dropping-particle":"","family":"Packer","given":"Lee W.","non-dropping-particle":"","parse-names":false,"suffix":""},{"dropping-particle":"","family":"Raj","given":"Baldev","non-dropping-particle":"","parse-names":false,"suffix":""},{"dropping-particle":"","family":"Rieth","given":"Michael","non-dropping-particle":"","parse-names":false,"suffix":""},{"dropping-particle":"","family":"Tran","given":"Min Quang","non-dropping-particle":"","parse-names":false,"suffix":""},{"dropping-particle":"","family":"Ward","given":"David J.","non-dropping-particle":"","parse-names":false,"suffix":""},{"dropping-particle":"","family":"Zinkle","given":"Steven J.","non-dropping-particle":"","parse-names":false,"suffix":""}],"container-title":"Fusion Engineering and Design","id":"ITEM-1","issue":"7-8","issued":{"date-parts":[["2014"]]},"page":"1586-1594","publisher":"Elsevier B.V.","title":"Materials R&amp;D for a timely DEMO: Key findings and recommendations of the EU Roadmap Materials Assessment Group","type":"article-journal","volume":"89"},"uris":["http://www.mendeley.com/documents/?uuid=127e3d66-3738-4a1c-a4bc-2529b76ecb11"]},{"id":"ITEM-2","itemData":{"author":[{"dropping-particle":"","family":"Linsmeier","given":"C","non-dropping-particle":"","parse-names":false,"suffix":""}],"id":"ITEM-2","issued":{"date-parts":[["2012"]]},"publisher-place":"California","title":"Advanced first wall and heat sink materials","type":"report"},"uris":["http://www.mendeley.com/documents/?uuid=f95a6013-c79d-4f3d-bad5-81b9bb0b8d44"]},{"id":"ITEM-3","itemData":{"author":[{"dropping-particle":"","family":"Perrault","given":"Didier","non-dropping-particle":"","parse-names":false,"suffix":""}],"id":"ITEM-3","issued":{"date-parts":[["2017"]]},"publisher-place":"Paris","title":"Nuclear fusion reactors - safety and radiation protection considerations for demonstration reactors that follow the ITER facility","type":"report"},"uris":["http://www.mendeley.com/documents/?uuid=857819de-144b-47d4-91a1-4aa5eb351895"]}],"mendeley":{"formattedCitation":"[29]–[31]","plainTextFormattedCitation":"[29]–[31]","previouslyFormattedCitation":"[29]–[31]"},"properties":{"noteIndex":0},"schema":"https://github.com/citation-style-language/schema/raw/master/csl-citation.json"}</w:instrText>
      </w:r>
      <w:r w:rsidR="00D72EAC">
        <w:rPr>
          <w:rFonts w:ascii="Calibri" w:hAnsi="Calibri" w:cs="Calibri"/>
        </w:rPr>
        <w:fldChar w:fldCharType="separate"/>
      </w:r>
      <w:r w:rsidR="00AD1C4A" w:rsidRPr="00AD1C4A">
        <w:rPr>
          <w:rFonts w:ascii="Calibri" w:hAnsi="Calibri" w:cs="Calibri"/>
          <w:noProof/>
        </w:rPr>
        <w:t>[29]–[31]</w:t>
      </w:r>
      <w:r w:rsidR="00D72EAC">
        <w:rPr>
          <w:rFonts w:ascii="Calibri" w:hAnsi="Calibri" w:cs="Calibri"/>
        </w:rPr>
        <w:fldChar w:fldCharType="end"/>
      </w:r>
      <w:r w:rsidR="00D72EAC">
        <w:rPr>
          <w:rFonts w:ascii="Calibri" w:hAnsi="Calibri" w:cs="Calibri"/>
        </w:rPr>
        <w:t xml:space="preserve">. Further work </w:t>
      </w:r>
      <w:r w:rsidR="004E336B">
        <w:rPr>
          <w:rFonts w:ascii="Calibri" w:hAnsi="Calibri" w:cs="Calibri"/>
        </w:rPr>
        <w:t>on this is needed to evaluate the likelihood of this event</w:t>
      </w:r>
      <w:r w:rsidR="00C51ADE">
        <w:rPr>
          <w:rFonts w:ascii="Calibri" w:hAnsi="Calibri" w:cs="Calibri"/>
        </w:rPr>
        <w:t>, the amount of WO</w:t>
      </w:r>
      <w:r w:rsidR="00C51ADE">
        <w:rPr>
          <w:rFonts w:ascii="Calibri" w:hAnsi="Calibri" w:cs="Calibri"/>
          <w:vertAlign w:val="subscript"/>
        </w:rPr>
        <w:t>3</w:t>
      </w:r>
      <w:r w:rsidR="00C51ADE">
        <w:rPr>
          <w:rFonts w:ascii="Calibri" w:hAnsi="Calibri" w:cs="Calibri"/>
        </w:rPr>
        <w:t xml:space="preserve"> that could be released, its radioactivity source term, and the associated impact on people and the environment resulting from exposure to WO</w:t>
      </w:r>
      <w:r w:rsidR="00C51ADE">
        <w:rPr>
          <w:rFonts w:ascii="Calibri" w:hAnsi="Calibri" w:cs="Calibri"/>
          <w:vertAlign w:val="subscript"/>
        </w:rPr>
        <w:t>3</w:t>
      </w:r>
      <w:r w:rsidR="00C51ADE">
        <w:rPr>
          <w:rFonts w:ascii="Calibri" w:hAnsi="Calibri" w:cs="Calibri"/>
        </w:rPr>
        <w:t>. It would be expected that the safety case would be based upon worst-case weather conditions</w:t>
      </w:r>
      <w:r w:rsidR="004E336B">
        <w:rPr>
          <w:rFonts w:ascii="Calibri" w:hAnsi="Calibri" w:cs="Calibri"/>
        </w:rPr>
        <w:t xml:space="preserve"> in order to calculate the expected doses to the most-exposed individual at the </w:t>
      </w:r>
      <w:r w:rsidR="004E336B">
        <w:rPr>
          <w:rFonts w:ascii="Calibri" w:hAnsi="Calibri" w:cs="Calibri"/>
        </w:rPr>
        <w:lastRenderedPageBreak/>
        <w:t>site boundary.</w:t>
      </w:r>
      <w:r w:rsidR="00B46EAC">
        <w:rPr>
          <w:rFonts w:ascii="Calibri" w:hAnsi="Calibri" w:cs="Calibri"/>
        </w:rPr>
        <w:t xml:space="preserve"> If the level of risk to the public was too great, the design would need to include the provision of an emergency cooling system to remove the decay heat and limit the PFC temperatures to reduce the production of WO</w:t>
      </w:r>
      <w:r w:rsidR="00B46EAC">
        <w:rPr>
          <w:rFonts w:ascii="Calibri" w:hAnsi="Calibri" w:cs="Calibri"/>
          <w:vertAlign w:val="subscript"/>
        </w:rPr>
        <w:t>3</w:t>
      </w:r>
      <w:r w:rsidR="00B46EAC">
        <w:rPr>
          <w:rFonts w:ascii="Calibri" w:hAnsi="Calibri" w:cs="Calibri"/>
        </w:rPr>
        <w:t>. Further work is needed on the range of potential LOCA accident scenarios to examine not only WO</w:t>
      </w:r>
      <w:r w:rsidR="00B46EAC">
        <w:rPr>
          <w:rFonts w:ascii="Calibri" w:hAnsi="Calibri" w:cs="Calibri"/>
          <w:vertAlign w:val="subscript"/>
        </w:rPr>
        <w:t xml:space="preserve">3 </w:t>
      </w:r>
      <w:r w:rsidR="00B46EAC">
        <w:rPr>
          <w:rFonts w:ascii="Calibri" w:hAnsi="Calibri" w:cs="Calibri"/>
        </w:rPr>
        <w:t>releases, but also the potential for hydrogen explosions</w:t>
      </w:r>
      <w:r w:rsidR="00497A71">
        <w:rPr>
          <w:rFonts w:ascii="Calibri" w:hAnsi="Calibri" w:cs="Calibri"/>
        </w:rPr>
        <w:t xml:space="preserve"> </w:t>
      </w:r>
      <w:r w:rsidR="00402888">
        <w:rPr>
          <w:rFonts w:ascii="Calibri" w:hAnsi="Calibri" w:cs="Calibri"/>
        </w:rPr>
        <w:t>due to air ingress into the vessel (see 5.4).</w:t>
      </w:r>
    </w:p>
    <w:p w:rsidR="004B0E2A" w:rsidRDefault="004B0E2A" w:rsidP="00ED0F2E">
      <w:pPr>
        <w:rPr>
          <w:rFonts w:ascii="Calibri" w:hAnsi="Calibri" w:cs="Calibri"/>
        </w:rPr>
      </w:pPr>
    </w:p>
    <w:p w:rsidR="001A6A5B" w:rsidRDefault="000467C0" w:rsidP="00ED0F2E">
      <w:pPr>
        <w:rPr>
          <w:rFonts w:ascii="Calibri" w:hAnsi="Calibri" w:cs="Calibri"/>
          <w:b/>
        </w:rPr>
      </w:pPr>
      <w:r w:rsidRPr="006D5F05">
        <w:rPr>
          <w:rFonts w:ascii="Calibri" w:hAnsi="Calibri" w:cs="Calibri"/>
          <w:b/>
        </w:rPr>
        <w:t xml:space="preserve">5.2.2 Loss of </w:t>
      </w:r>
      <w:r w:rsidR="00C2238F">
        <w:rPr>
          <w:rFonts w:ascii="Calibri" w:hAnsi="Calibri" w:cs="Calibri"/>
          <w:b/>
        </w:rPr>
        <w:t>C</w:t>
      </w:r>
      <w:r w:rsidRPr="006D5F05">
        <w:rPr>
          <w:rFonts w:ascii="Calibri" w:hAnsi="Calibri" w:cs="Calibri"/>
          <w:b/>
        </w:rPr>
        <w:t xml:space="preserve">oolant to </w:t>
      </w:r>
      <w:r w:rsidR="00C2238F">
        <w:rPr>
          <w:rFonts w:ascii="Calibri" w:hAnsi="Calibri" w:cs="Calibri"/>
          <w:b/>
        </w:rPr>
        <w:t>V</w:t>
      </w:r>
      <w:r w:rsidRPr="006D5F05">
        <w:rPr>
          <w:rFonts w:ascii="Calibri" w:hAnsi="Calibri" w:cs="Calibri"/>
          <w:b/>
        </w:rPr>
        <w:t xml:space="preserve">acuum </w:t>
      </w:r>
      <w:r w:rsidR="00C2238F">
        <w:rPr>
          <w:rFonts w:ascii="Calibri" w:hAnsi="Calibri" w:cs="Calibri"/>
          <w:b/>
        </w:rPr>
        <w:t>V</w:t>
      </w:r>
      <w:r w:rsidRPr="006D5F05">
        <w:rPr>
          <w:rFonts w:ascii="Calibri" w:hAnsi="Calibri" w:cs="Calibri"/>
          <w:b/>
        </w:rPr>
        <w:t>essel</w:t>
      </w:r>
    </w:p>
    <w:p w:rsidR="00C77160" w:rsidRDefault="00C77160" w:rsidP="00ED0F2E">
      <w:pPr>
        <w:rPr>
          <w:rFonts w:ascii="Calibri" w:hAnsi="Calibri" w:cs="Calibri"/>
          <w:b/>
        </w:rPr>
      </w:pPr>
    </w:p>
    <w:p w:rsidR="00C77160" w:rsidRPr="00C77160" w:rsidRDefault="00C77160" w:rsidP="00ED0F2E">
      <w:pPr>
        <w:rPr>
          <w:rFonts w:ascii="Calibri" w:hAnsi="Calibri" w:cs="Calibri"/>
        </w:rPr>
      </w:pPr>
      <w:r>
        <w:rPr>
          <w:rFonts w:ascii="Calibri" w:hAnsi="Calibri" w:cs="Calibri"/>
        </w:rPr>
        <w:t xml:space="preserve">An in-vacuum vessel loss of coolant accident (in-VV LOCA) has been identified as one of the key safety concerns for a fusion reactor. As the accident sequence in a fusion reactor for electricity generation is expected to be similar to that used in the ITER safety analysis (due to the similarities in expected initial reactor designs and the final design for ITER), the analysis performed </w:t>
      </w:r>
      <w:r w:rsidR="00D3677F">
        <w:rPr>
          <w:rFonts w:ascii="Calibri" w:hAnsi="Calibri" w:cs="Calibri"/>
        </w:rPr>
        <w:t>for</w:t>
      </w:r>
      <w:r>
        <w:rPr>
          <w:rFonts w:ascii="Calibri" w:hAnsi="Calibri" w:cs="Calibri"/>
        </w:rPr>
        <w:t xml:space="preserve"> ITER has been used here as a basis to investigate </w:t>
      </w:r>
      <w:r w:rsidR="00BC22A7">
        <w:rPr>
          <w:rFonts w:ascii="Calibri" w:hAnsi="Calibri" w:cs="Calibri"/>
        </w:rPr>
        <w:t xml:space="preserve">the impact of a loss of coolant to the vacuum vessel </w:t>
      </w:r>
      <w:r>
        <w:rPr>
          <w:rFonts w:ascii="Calibri" w:hAnsi="Calibri" w:cs="Calibri"/>
        </w:rPr>
        <w:t>and provide an estimate for the radiological consequences.</w:t>
      </w:r>
    </w:p>
    <w:p w:rsidR="00C77160" w:rsidRDefault="00C77160" w:rsidP="00ED0F2E">
      <w:pPr>
        <w:rPr>
          <w:rFonts w:ascii="Calibri" w:hAnsi="Calibri" w:cs="Calibri"/>
          <w:b/>
        </w:rPr>
      </w:pPr>
    </w:p>
    <w:p w:rsidR="00F43614" w:rsidRPr="00EF6643" w:rsidRDefault="00F43614" w:rsidP="00ED0F2E">
      <w:pPr>
        <w:rPr>
          <w:rFonts w:ascii="Calibri" w:hAnsi="Calibri" w:cs="Calibri"/>
        </w:rPr>
      </w:pPr>
      <w:r>
        <w:rPr>
          <w:rFonts w:ascii="Calibri" w:hAnsi="Calibri" w:cs="Calibri"/>
        </w:rPr>
        <w:t>The key steps and safety responses to an in-VV LOCA scenario are detailed in</w:t>
      </w:r>
      <w:r w:rsidR="00EF6643">
        <w:rPr>
          <w:rFonts w:ascii="Calibri" w:hAnsi="Calibri" w:cs="Calibri"/>
        </w:rPr>
        <w:t xml:space="preserve"> the </w:t>
      </w:r>
      <w:r w:rsidR="00EF6643" w:rsidRPr="00EF6643">
        <w:rPr>
          <w:rFonts w:ascii="Calibri" w:hAnsi="Calibri" w:cs="Calibri"/>
        </w:rPr>
        <w:t>ITER RPr</w:t>
      </w:r>
      <w:r w:rsidR="00EF6643">
        <w:rPr>
          <w:rFonts w:ascii="Calibri" w:hAnsi="Calibri" w:cs="Calibri"/>
        </w:rPr>
        <w:t xml:space="preserve">S </w:t>
      </w:r>
      <w:r w:rsidR="00086D99">
        <w:rPr>
          <w:rFonts w:ascii="Calibri" w:hAnsi="Calibri" w:cs="Calibri"/>
        </w:rPr>
        <w:fldChar w:fldCharType="begin" w:fldLock="1"/>
      </w:r>
      <w:r w:rsidR="00D30189">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086D99">
        <w:rPr>
          <w:rFonts w:ascii="Calibri" w:hAnsi="Calibri" w:cs="Calibri"/>
        </w:rPr>
        <w:fldChar w:fldCharType="separate"/>
      </w:r>
      <w:r w:rsidR="00086D99" w:rsidRPr="00086D99">
        <w:rPr>
          <w:rFonts w:ascii="Calibri" w:hAnsi="Calibri" w:cs="Calibri"/>
          <w:noProof/>
        </w:rPr>
        <w:t>[8]</w:t>
      </w:r>
      <w:r w:rsidR="00086D99">
        <w:rPr>
          <w:rFonts w:ascii="Calibri" w:hAnsi="Calibri" w:cs="Calibri"/>
        </w:rPr>
        <w:fldChar w:fldCharType="end"/>
      </w:r>
      <w:r>
        <w:rPr>
          <w:rFonts w:ascii="Calibri" w:hAnsi="Calibri" w:cs="Calibri"/>
        </w:rPr>
        <w:t>. Initially, a coolant pipe rupture causes the LOCA. This results in coolant ingress into the VV</w:t>
      </w:r>
      <w:r w:rsidR="00786F22">
        <w:rPr>
          <w:rFonts w:ascii="Calibri" w:hAnsi="Calibri" w:cs="Calibri"/>
        </w:rPr>
        <w:t>, which</w:t>
      </w:r>
      <w:r>
        <w:rPr>
          <w:rFonts w:ascii="Calibri" w:hAnsi="Calibri" w:cs="Calibri"/>
        </w:rPr>
        <w:t xml:space="preserve"> in turn causes a plasma disruption:</w:t>
      </w:r>
      <w:r w:rsidR="00AB437A">
        <w:rPr>
          <w:rFonts w:ascii="Calibri" w:hAnsi="Calibri" w:cs="Calibri"/>
        </w:rPr>
        <w:t xml:space="preserve"> terminating the plasma with a rapid release of thermal energy and potentially resulting in electromagnetic loading on the VV and its supporting structural components. These loads would need to be substantiated to give confidence that the integrity of the primary confinement barrier (the VV) is not significantly challenged. </w:t>
      </w:r>
      <w:r w:rsidR="005620E8">
        <w:rPr>
          <w:rFonts w:ascii="Calibri" w:hAnsi="Calibri" w:cs="Calibri"/>
        </w:rPr>
        <w:t xml:space="preserve">In </w:t>
      </w:r>
      <w:r w:rsidR="00DE0BDE">
        <w:rPr>
          <w:rFonts w:ascii="Calibri" w:hAnsi="Calibri" w:cs="Calibri"/>
        </w:rPr>
        <w:t>order to be explicit</w:t>
      </w:r>
      <w:r w:rsidR="005620E8">
        <w:rPr>
          <w:rFonts w:ascii="Calibri" w:hAnsi="Calibri" w:cs="Calibri"/>
        </w:rPr>
        <w:t>,</w:t>
      </w:r>
      <w:r w:rsidR="006F69F2">
        <w:rPr>
          <w:rFonts w:ascii="Calibri" w:hAnsi="Calibri" w:cs="Calibri"/>
        </w:rPr>
        <w:t xml:space="preserve"> in ITER</w:t>
      </w:r>
      <w:r w:rsidR="005620E8">
        <w:rPr>
          <w:rFonts w:ascii="Calibri" w:hAnsi="Calibri" w:cs="Calibri"/>
        </w:rPr>
        <w:t xml:space="preserve"> the primary confinement barrier is defined as the VV and </w:t>
      </w:r>
      <w:r w:rsidR="003D170E">
        <w:rPr>
          <w:rFonts w:ascii="Calibri" w:hAnsi="Calibri" w:cs="Calibri"/>
        </w:rPr>
        <w:t>any</w:t>
      </w:r>
      <w:r w:rsidR="005620E8">
        <w:rPr>
          <w:rFonts w:ascii="Calibri" w:hAnsi="Calibri" w:cs="Calibri"/>
        </w:rPr>
        <w:t xml:space="preserve"> extensions</w:t>
      </w:r>
      <w:r w:rsidR="00C50199">
        <w:rPr>
          <w:rFonts w:ascii="Calibri" w:hAnsi="Calibri" w:cs="Calibri"/>
        </w:rPr>
        <w:t xml:space="preserve"> (i.e.</w:t>
      </w:r>
      <w:r w:rsidR="005620E8">
        <w:rPr>
          <w:rFonts w:ascii="Calibri" w:hAnsi="Calibri" w:cs="Calibri"/>
        </w:rPr>
        <w:t xml:space="preserve"> any system that enters the VV or has a barrier that may fail</w:t>
      </w:r>
      <w:r w:rsidR="001B5974">
        <w:rPr>
          <w:rFonts w:ascii="Calibri" w:hAnsi="Calibri" w:cs="Calibri"/>
        </w:rPr>
        <w:t xml:space="preserve"> such as first wall/blanket cooling loops</w:t>
      </w:r>
      <w:r w:rsidR="00C50199">
        <w:rPr>
          <w:rFonts w:ascii="Calibri" w:hAnsi="Calibri" w:cs="Calibri"/>
        </w:rPr>
        <w:t>)</w:t>
      </w:r>
      <w:r w:rsidR="005620E8">
        <w:rPr>
          <w:rFonts w:ascii="Calibri" w:hAnsi="Calibri" w:cs="Calibri"/>
        </w:rPr>
        <w:t>.</w:t>
      </w:r>
    </w:p>
    <w:p w:rsidR="00F43614" w:rsidRDefault="00F43614" w:rsidP="00ED0F2E">
      <w:pPr>
        <w:rPr>
          <w:rFonts w:ascii="Calibri" w:hAnsi="Calibri" w:cs="Calibri"/>
          <w:b/>
        </w:rPr>
      </w:pPr>
    </w:p>
    <w:p w:rsidR="00B84CA8" w:rsidRDefault="00B83081" w:rsidP="00ED0F2E">
      <w:pPr>
        <w:rPr>
          <w:rFonts w:ascii="Calibri" w:hAnsi="Calibri" w:cs="Calibri"/>
        </w:rPr>
      </w:pPr>
      <w:r w:rsidRPr="00D83841">
        <w:rPr>
          <w:rFonts w:ascii="Calibri" w:hAnsi="Calibri" w:cs="Calibri"/>
        </w:rPr>
        <w:t xml:space="preserve">The hot water entering the VV undergoes rapid evaporation, producing steam which pressurises the </w:t>
      </w:r>
      <w:r w:rsidR="00832BEA">
        <w:rPr>
          <w:rFonts w:ascii="Calibri" w:hAnsi="Calibri" w:cs="Calibri"/>
        </w:rPr>
        <w:t>vessel</w:t>
      </w:r>
      <w:r w:rsidRPr="00D83841">
        <w:rPr>
          <w:rFonts w:ascii="Calibri" w:hAnsi="Calibri" w:cs="Calibri"/>
        </w:rPr>
        <w:t xml:space="preserve">. To reduce the potential to over-pressurise the VV, </w:t>
      </w:r>
      <w:r w:rsidR="00B84CA8">
        <w:rPr>
          <w:rFonts w:ascii="Calibri" w:hAnsi="Calibri" w:cs="Calibri"/>
        </w:rPr>
        <w:t>drain and suppression tanks, connected</w:t>
      </w:r>
      <w:r w:rsidR="001725FB">
        <w:rPr>
          <w:rFonts w:ascii="Calibri" w:hAnsi="Calibri" w:cs="Calibri"/>
        </w:rPr>
        <w:t xml:space="preserve"> to the VV</w:t>
      </w:r>
      <w:r w:rsidR="00B84CA8">
        <w:rPr>
          <w:rFonts w:ascii="Calibri" w:hAnsi="Calibri" w:cs="Calibri"/>
        </w:rPr>
        <w:t xml:space="preserve"> via rupture discs, are used to enable the steam in the VV to be drained, and the steam to be condensed. This is known as the vacuum vessel pressure suppression system (VVPSS). </w:t>
      </w:r>
      <w:r w:rsidR="001B0C66">
        <w:rPr>
          <w:rFonts w:ascii="Calibri" w:hAnsi="Calibri" w:cs="Calibri"/>
        </w:rPr>
        <w:t>However, these actions result in a significant inventory of radioactive material (maximum estima</w:t>
      </w:r>
      <w:r w:rsidR="00D651F6">
        <w:rPr>
          <w:rFonts w:ascii="Calibri" w:hAnsi="Calibri" w:cs="Calibri"/>
        </w:rPr>
        <w:t>t</w:t>
      </w:r>
      <w:r w:rsidR="001B0C66">
        <w:rPr>
          <w:rFonts w:ascii="Calibri" w:hAnsi="Calibri" w:cs="Calibri"/>
        </w:rPr>
        <w:t>e</w:t>
      </w:r>
      <w:r w:rsidR="00D651F6">
        <w:rPr>
          <w:rFonts w:ascii="Calibri" w:hAnsi="Calibri" w:cs="Calibri"/>
        </w:rPr>
        <w:t>s are</w:t>
      </w:r>
      <w:r w:rsidR="001B0C66">
        <w:rPr>
          <w:rFonts w:ascii="Calibri" w:hAnsi="Calibri" w:cs="Calibri"/>
        </w:rPr>
        <w:t xml:space="preserve"> almost 1 kg of tritium and hundreds of k</w:t>
      </w:r>
      <w:r w:rsidR="00077ECF">
        <w:rPr>
          <w:rFonts w:ascii="Calibri" w:hAnsi="Calibri" w:cs="Calibri"/>
        </w:rPr>
        <w:t>ilogram</w:t>
      </w:r>
      <w:r w:rsidR="001306A3">
        <w:rPr>
          <w:rFonts w:ascii="Calibri" w:hAnsi="Calibri" w:cs="Calibri"/>
        </w:rPr>
        <w:t>s</w:t>
      </w:r>
      <w:r w:rsidR="001B0C66">
        <w:rPr>
          <w:rFonts w:ascii="Calibri" w:hAnsi="Calibri" w:cs="Calibri"/>
        </w:rPr>
        <w:t xml:space="preserve"> of dust) being transferred to the drain and suppression tanks.</w:t>
      </w:r>
    </w:p>
    <w:p w:rsidR="00C77160" w:rsidRDefault="00C77160" w:rsidP="00ED0F2E">
      <w:pPr>
        <w:rPr>
          <w:rFonts w:ascii="Calibri" w:hAnsi="Calibri" w:cs="Calibri"/>
          <w:b/>
        </w:rPr>
      </w:pPr>
    </w:p>
    <w:p w:rsidR="00216D9A" w:rsidRDefault="00675D56" w:rsidP="00216D9A">
      <w:pPr>
        <w:rPr>
          <w:rFonts w:ascii="Calibri" w:hAnsi="Calibri" w:cs="Calibri"/>
        </w:rPr>
      </w:pPr>
      <w:r>
        <w:rPr>
          <w:rFonts w:ascii="Calibri" w:hAnsi="Calibri" w:cs="Calibri"/>
        </w:rPr>
        <w:t xml:space="preserve">It is expected that the mobilised radioactive inventory of tritium, activated corrosion products, and dust will be initially trapped in both the drain </w:t>
      </w:r>
      <w:r w:rsidR="00D64303">
        <w:rPr>
          <w:rFonts w:ascii="Calibri" w:hAnsi="Calibri" w:cs="Calibri"/>
        </w:rPr>
        <w:t>and</w:t>
      </w:r>
      <w:r>
        <w:rPr>
          <w:rFonts w:ascii="Calibri" w:hAnsi="Calibri" w:cs="Calibri"/>
        </w:rPr>
        <w:t xml:space="preserve"> suppression tank</w:t>
      </w:r>
      <w:r w:rsidR="00D64303">
        <w:rPr>
          <w:rFonts w:ascii="Calibri" w:hAnsi="Calibri" w:cs="Calibri"/>
        </w:rPr>
        <w:t>s</w:t>
      </w:r>
      <w:r>
        <w:rPr>
          <w:rFonts w:ascii="Calibri" w:hAnsi="Calibri" w:cs="Calibri"/>
        </w:rPr>
        <w:t>. On the basis of assumptions used in the analysis, it is suggested that the pressure increase in either the drain or suppression tanks will be such that pressures will be maintained below atmospheric pressure (the pressure in the VVPSS is maintained at the level of about 4 kPa to effectively depressurise the VV).</w:t>
      </w:r>
      <w:r w:rsidR="00216D9A">
        <w:rPr>
          <w:rFonts w:ascii="Calibri" w:hAnsi="Calibri" w:cs="Calibri"/>
        </w:rPr>
        <w:t xml:space="preserve"> The implications resulting from the removal of contaminated liquors from the tanks will need to be assessed, especially in relation to the need for shielding and radioactive waste treatment, which could influence the design of any commercial power plant.</w:t>
      </w:r>
    </w:p>
    <w:p w:rsidR="00C21B99" w:rsidRDefault="00C21B99" w:rsidP="00ED0F2E">
      <w:pPr>
        <w:rPr>
          <w:rFonts w:ascii="Calibri" w:hAnsi="Calibri" w:cs="Calibri"/>
        </w:rPr>
      </w:pPr>
    </w:p>
    <w:p w:rsidR="00C21B99" w:rsidRDefault="006A46EB" w:rsidP="00ED0F2E">
      <w:pPr>
        <w:rPr>
          <w:rFonts w:ascii="Calibri" w:hAnsi="Calibri" w:cs="Calibri"/>
        </w:rPr>
      </w:pPr>
      <w:r>
        <w:rPr>
          <w:rFonts w:ascii="Calibri" w:hAnsi="Calibri" w:cs="Calibri"/>
        </w:rPr>
        <w:t>From the a</w:t>
      </w:r>
      <w:r w:rsidR="00F85C25">
        <w:rPr>
          <w:rFonts w:ascii="Calibri" w:hAnsi="Calibri" w:cs="Calibri"/>
        </w:rPr>
        <w:t>nalysis in</w:t>
      </w:r>
      <w:r w:rsidR="00BF6D8A">
        <w:rPr>
          <w:rFonts w:ascii="Calibri" w:hAnsi="Calibri" w:cs="Calibri"/>
        </w:rPr>
        <w:t xml:space="preserve"> the ITER </w:t>
      </w:r>
      <w:r w:rsidR="00BF6D8A" w:rsidRPr="00EF6643">
        <w:rPr>
          <w:rFonts w:ascii="Calibri" w:hAnsi="Calibri" w:cs="Calibri"/>
        </w:rPr>
        <w:t>RPr</w:t>
      </w:r>
      <w:r w:rsidR="00BF6D8A">
        <w:rPr>
          <w:rFonts w:ascii="Calibri" w:hAnsi="Calibri" w:cs="Calibri"/>
        </w:rPr>
        <w:t>S</w:t>
      </w:r>
      <w:r w:rsidR="00F85C25">
        <w:rPr>
          <w:rFonts w:ascii="Calibri" w:hAnsi="Calibri" w:cs="Calibri"/>
        </w:rPr>
        <w:t xml:space="preserve">, the mobilised radioactive inventory is not released from the drain or VVPSS tanks in the adjacent rooms since pressure remains </w:t>
      </w:r>
      <w:r w:rsidR="00F85C25" w:rsidRPr="008F312A">
        <w:rPr>
          <w:rFonts w:ascii="Calibri" w:hAnsi="Calibri" w:cs="Calibri"/>
        </w:rPr>
        <w:t>below room pressure.</w:t>
      </w:r>
      <w:r w:rsidR="00F85C25">
        <w:rPr>
          <w:rFonts w:ascii="Calibri" w:hAnsi="Calibri" w:cs="Calibri"/>
        </w:rPr>
        <w:t xml:space="preserve"> </w:t>
      </w:r>
      <w:r w:rsidR="00305DAF">
        <w:rPr>
          <w:rFonts w:ascii="Calibri" w:hAnsi="Calibri" w:cs="Calibri"/>
        </w:rPr>
        <w:t xml:space="preserve">Given that there are no workers present in the VVPSS tank room or the drain tank room during plasma operation, and that the return to safe state does not require the </w:t>
      </w:r>
      <w:r w:rsidR="00305DAF">
        <w:rPr>
          <w:rFonts w:ascii="Calibri" w:hAnsi="Calibri" w:cs="Calibri"/>
        </w:rPr>
        <w:lastRenderedPageBreak/>
        <w:t>presence of workers in these rooms, there are no significant radiological consequences for workers</w:t>
      </w:r>
      <w:r w:rsidR="00D30189">
        <w:rPr>
          <w:rFonts w:ascii="Calibri" w:hAnsi="Calibri" w:cs="Calibri"/>
        </w:rPr>
        <w:t xml:space="preserve"> </w:t>
      </w:r>
      <w:r w:rsidR="00D30189">
        <w:rPr>
          <w:rFonts w:ascii="Calibri" w:hAnsi="Calibri" w:cs="Calibri"/>
        </w:rPr>
        <w:fldChar w:fldCharType="begin" w:fldLock="1"/>
      </w:r>
      <w:r w:rsidR="00092B25">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D30189">
        <w:rPr>
          <w:rFonts w:ascii="Calibri" w:hAnsi="Calibri" w:cs="Calibri"/>
        </w:rPr>
        <w:fldChar w:fldCharType="separate"/>
      </w:r>
      <w:r w:rsidR="00D30189" w:rsidRPr="00D30189">
        <w:rPr>
          <w:rFonts w:ascii="Calibri" w:hAnsi="Calibri" w:cs="Calibri"/>
          <w:noProof/>
        </w:rPr>
        <w:t>[8]</w:t>
      </w:r>
      <w:r w:rsidR="00D30189">
        <w:rPr>
          <w:rFonts w:ascii="Calibri" w:hAnsi="Calibri" w:cs="Calibri"/>
        </w:rPr>
        <w:fldChar w:fldCharType="end"/>
      </w:r>
      <w:r w:rsidR="00305DAF">
        <w:rPr>
          <w:rFonts w:ascii="Calibri" w:hAnsi="Calibri" w:cs="Calibri"/>
        </w:rPr>
        <w:t xml:space="preserve">. </w:t>
      </w:r>
      <w:r w:rsidR="0001064A">
        <w:rPr>
          <w:rFonts w:ascii="Calibri" w:hAnsi="Calibri" w:cs="Calibri"/>
        </w:rPr>
        <w:t xml:space="preserve"> Following the event workers will be exposed to ionising radiation as part of the clean-up and plant recovery activities. However, during these </w:t>
      </w:r>
      <w:r w:rsidR="0009004B">
        <w:rPr>
          <w:rFonts w:ascii="Calibri" w:hAnsi="Calibri" w:cs="Calibri"/>
        </w:rPr>
        <w:t>activities</w:t>
      </w:r>
      <w:r w:rsidR="0001064A">
        <w:rPr>
          <w:rFonts w:ascii="Calibri" w:hAnsi="Calibri" w:cs="Calibri"/>
        </w:rPr>
        <w:t xml:space="preserve"> worker exposure will be controlled by normal radiation protection procedures, which in the case of ITER will limit worker doses to less than 10 mSv/year</w:t>
      </w:r>
      <w:r w:rsidR="00C14502">
        <w:rPr>
          <w:rFonts w:ascii="Calibri" w:hAnsi="Calibri" w:cs="Calibri"/>
        </w:rPr>
        <w:t xml:space="preserve"> </w:t>
      </w:r>
      <w:r w:rsidR="00C14502">
        <w:rPr>
          <w:rFonts w:ascii="Calibri" w:hAnsi="Calibri" w:cs="Calibri"/>
        </w:rPr>
        <w:fldChar w:fldCharType="begin" w:fldLock="1"/>
      </w:r>
      <w:r w:rsidR="0038286F">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C14502">
        <w:rPr>
          <w:rFonts w:ascii="Calibri" w:hAnsi="Calibri" w:cs="Calibri"/>
        </w:rPr>
        <w:fldChar w:fldCharType="separate"/>
      </w:r>
      <w:r w:rsidR="00C14502" w:rsidRPr="00C14502">
        <w:rPr>
          <w:rFonts w:ascii="Calibri" w:hAnsi="Calibri" w:cs="Calibri"/>
          <w:noProof/>
        </w:rPr>
        <w:t>[8]</w:t>
      </w:r>
      <w:r w:rsidR="00C14502">
        <w:rPr>
          <w:rFonts w:ascii="Calibri" w:hAnsi="Calibri" w:cs="Calibri"/>
        </w:rPr>
        <w:fldChar w:fldCharType="end"/>
      </w:r>
      <w:r w:rsidR="00C14502">
        <w:rPr>
          <w:rFonts w:ascii="Calibri" w:hAnsi="Calibri" w:cs="Calibri"/>
        </w:rPr>
        <w:t>.</w:t>
      </w:r>
    </w:p>
    <w:p w:rsidR="003E7841" w:rsidRDefault="003E7841" w:rsidP="00ED0F2E">
      <w:pPr>
        <w:rPr>
          <w:rFonts w:ascii="Calibri" w:hAnsi="Calibri" w:cs="Calibri"/>
        </w:rPr>
      </w:pPr>
    </w:p>
    <w:p w:rsidR="005574FE" w:rsidRDefault="00430B8D" w:rsidP="00ED0F2E">
      <w:pPr>
        <w:rPr>
          <w:rFonts w:ascii="Calibri" w:hAnsi="Calibri" w:cs="Calibri"/>
        </w:rPr>
      </w:pPr>
      <w:r>
        <w:rPr>
          <w:rFonts w:ascii="Calibri" w:hAnsi="Calibri" w:cs="Calibri"/>
        </w:rPr>
        <w:t xml:space="preserve">Given that there is no failure </w:t>
      </w:r>
      <w:r w:rsidRPr="0002411A">
        <w:rPr>
          <w:rFonts w:ascii="Calibri" w:hAnsi="Calibri" w:cs="Calibri"/>
        </w:rPr>
        <w:t xml:space="preserve">of </w:t>
      </w:r>
      <w:r w:rsidRPr="00062591">
        <w:rPr>
          <w:rFonts w:ascii="Calibri" w:hAnsi="Calibri" w:cs="Calibri"/>
        </w:rPr>
        <w:t>primary confinement barrier</w:t>
      </w:r>
      <w:r w:rsidR="001B5974">
        <w:rPr>
          <w:rFonts w:ascii="Calibri" w:hAnsi="Calibri" w:cs="Calibri"/>
        </w:rPr>
        <w:t xml:space="preserve"> (the radioactive inventory cannot escape the VV or travel further than the cooling pipework which, as defined earlier, is part of the primary confinement)</w:t>
      </w:r>
      <w:r>
        <w:rPr>
          <w:rFonts w:ascii="Calibri" w:hAnsi="Calibri" w:cs="Calibri"/>
        </w:rPr>
        <w:t>, and hence there are no leaks into adjacent rooms and no uncontrolled leaks into the environment</w:t>
      </w:r>
      <w:r w:rsidR="006D1075">
        <w:rPr>
          <w:rFonts w:ascii="Calibri" w:hAnsi="Calibri" w:cs="Calibri"/>
        </w:rPr>
        <w:t>,</w:t>
      </w:r>
      <w:r>
        <w:rPr>
          <w:rFonts w:ascii="Calibri" w:hAnsi="Calibri" w:cs="Calibri"/>
        </w:rPr>
        <w:t xml:space="preserve"> </w:t>
      </w:r>
      <w:r w:rsidR="006D1075">
        <w:rPr>
          <w:rFonts w:ascii="Calibri" w:hAnsi="Calibri" w:cs="Calibri"/>
        </w:rPr>
        <w:t>t</w:t>
      </w:r>
      <w:r>
        <w:rPr>
          <w:rFonts w:ascii="Calibri" w:hAnsi="Calibri" w:cs="Calibri"/>
        </w:rPr>
        <w:t>he only potential environmental releases are control</w:t>
      </w:r>
      <w:r w:rsidR="00CA1C77">
        <w:rPr>
          <w:rFonts w:ascii="Calibri" w:hAnsi="Calibri" w:cs="Calibri"/>
        </w:rPr>
        <w:t>led</w:t>
      </w:r>
      <w:r>
        <w:rPr>
          <w:rFonts w:ascii="Calibri" w:hAnsi="Calibri" w:cs="Calibri"/>
        </w:rPr>
        <w:t xml:space="preserve"> releases via the suppression tank </w:t>
      </w:r>
      <w:r w:rsidR="002F6BFD">
        <w:rPr>
          <w:rFonts w:ascii="Calibri" w:hAnsi="Calibri" w:cs="Calibri"/>
        </w:rPr>
        <w:t>detritiation</w:t>
      </w:r>
      <w:r>
        <w:rPr>
          <w:rFonts w:ascii="Calibri" w:hAnsi="Calibri" w:cs="Calibri"/>
        </w:rPr>
        <w:t xml:space="preserve"> system (ST-VS). </w:t>
      </w:r>
      <w:r w:rsidR="004C2B98">
        <w:rPr>
          <w:rFonts w:ascii="Calibri" w:hAnsi="Calibri" w:cs="Calibri"/>
        </w:rPr>
        <w:t xml:space="preserve">The calculated radiation doses for most-exposed persons arising from the radioactive release associated with this accident are </w:t>
      </w:r>
      <w:r w:rsidR="00EF7F80">
        <w:rPr>
          <w:rFonts w:ascii="Calibri" w:hAnsi="Calibri" w:cs="Calibri"/>
        </w:rPr>
        <w:t>9.7</w:t>
      </w:r>
      <w:r w:rsidR="004C2B98">
        <w:rPr>
          <w:rFonts w:ascii="Calibri" w:hAnsi="Calibri" w:cs="Calibri"/>
        </w:rPr>
        <w:t>E-05 mSv at 200 m and 6.</w:t>
      </w:r>
      <w:r w:rsidR="00BF4CF8">
        <w:rPr>
          <w:rFonts w:ascii="Calibri" w:hAnsi="Calibri" w:cs="Calibri"/>
        </w:rPr>
        <w:t>6</w:t>
      </w:r>
      <w:r w:rsidR="004C2B98">
        <w:rPr>
          <w:rFonts w:ascii="Calibri" w:hAnsi="Calibri" w:cs="Calibri"/>
        </w:rPr>
        <w:t>E-05 mSv at 2.5 km</w:t>
      </w:r>
      <w:r w:rsidR="00092B25">
        <w:rPr>
          <w:rFonts w:ascii="Calibri" w:hAnsi="Calibri" w:cs="Calibri"/>
        </w:rPr>
        <w:t xml:space="preserve"> </w:t>
      </w:r>
      <w:r w:rsidR="00092B25">
        <w:rPr>
          <w:rFonts w:ascii="Calibri" w:hAnsi="Calibri" w:cs="Calibri"/>
        </w:rPr>
        <w:fldChar w:fldCharType="begin" w:fldLock="1"/>
      </w:r>
      <w:r w:rsidR="00F407D8">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092B25">
        <w:rPr>
          <w:rFonts w:ascii="Calibri" w:hAnsi="Calibri" w:cs="Calibri"/>
        </w:rPr>
        <w:fldChar w:fldCharType="separate"/>
      </w:r>
      <w:r w:rsidR="00092B25" w:rsidRPr="00092B25">
        <w:rPr>
          <w:rFonts w:ascii="Calibri" w:hAnsi="Calibri" w:cs="Calibri"/>
          <w:noProof/>
        </w:rPr>
        <w:t>[8]</w:t>
      </w:r>
      <w:r w:rsidR="00092B25">
        <w:rPr>
          <w:rFonts w:ascii="Calibri" w:hAnsi="Calibri" w:cs="Calibri"/>
        </w:rPr>
        <w:fldChar w:fldCharType="end"/>
      </w:r>
      <w:r w:rsidR="004C2B98">
        <w:rPr>
          <w:rFonts w:ascii="Calibri" w:hAnsi="Calibri" w:cs="Calibri"/>
        </w:rPr>
        <w:t xml:space="preserve">. Such exposures are very low when compared with the 1 mSv limit for members of the public and are orders of magnitude below the evacuation limit (50 mSv). </w:t>
      </w:r>
    </w:p>
    <w:p w:rsidR="005574FE" w:rsidRDefault="005574FE" w:rsidP="00ED0F2E">
      <w:pPr>
        <w:rPr>
          <w:rFonts w:ascii="Calibri" w:hAnsi="Calibri" w:cs="Calibri"/>
        </w:rPr>
      </w:pPr>
    </w:p>
    <w:p w:rsidR="00430B8D" w:rsidRDefault="005574FE" w:rsidP="00ED0F2E">
      <w:pPr>
        <w:rPr>
          <w:rFonts w:ascii="Calibri" w:hAnsi="Calibri" w:cs="Calibri"/>
        </w:rPr>
      </w:pPr>
      <w:r>
        <w:rPr>
          <w:rFonts w:ascii="Calibri" w:hAnsi="Calibri" w:cs="Calibri"/>
        </w:rPr>
        <w:t xml:space="preserve">Whilst the 1 mSv dose limit for the public is generally associated with routine releases during normal operation, comparing this value with the dose predicted for members of the public arising from accident scenarios is useful as it puts the postulated consequences into perspective. </w:t>
      </w:r>
      <w:r w:rsidR="00987095">
        <w:rPr>
          <w:rFonts w:ascii="Calibri" w:hAnsi="Calibri" w:cs="Calibri"/>
        </w:rPr>
        <w:t>As the predicted inventories of the DEMO fusion reactor and ITER are expected to be similar, it seems reasonable to assume that even with the added complexity of an advanced reactor (longer running times, presence of breeding blankets etc.), the radiological dose from an in-VV LOCA would not reach levels where an evacuation may be necessary.</w:t>
      </w:r>
    </w:p>
    <w:p w:rsidR="0061682C" w:rsidRDefault="0061682C" w:rsidP="00ED0F2E">
      <w:pPr>
        <w:rPr>
          <w:rFonts w:ascii="Calibri" w:hAnsi="Calibri" w:cs="Calibri"/>
        </w:rPr>
      </w:pPr>
    </w:p>
    <w:p w:rsidR="0061682C" w:rsidRDefault="0061682C" w:rsidP="00ED0F2E">
      <w:pPr>
        <w:rPr>
          <w:rFonts w:ascii="Calibri" w:hAnsi="Calibri" w:cs="Calibri"/>
        </w:rPr>
      </w:pPr>
      <w:r>
        <w:rPr>
          <w:rFonts w:ascii="Calibri" w:hAnsi="Calibri" w:cs="Calibri"/>
        </w:rPr>
        <w:t>There is another accident scenario in which the VVPSS fails to activate</w:t>
      </w:r>
      <w:r w:rsidR="004A295D">
        <w:rPr>
          <w:rFonts w:ascii="Calibri" w:hAnsi="Calibri" w:cs="Calibri"/>
        </w:rPr>
        <w:t xml:space="preserve"> (e.g. </w:t>
      </w:r>
      <w:r w:rsidR="00286171">
        <w:rPr>
          <w:rFonts w:ascii="Calibri" w:hAnsi="Calibri" w:cs="Calibri"/>
        </w:rPr>
        <w:t>a mechanical fault occurs in which the rupture discs fail to burst at the specified pressure)</w:t>
      </w:r>
      <w:r w:rsidR="00DD719A">
        <w:rPr>
          <w:rFonts w:ascii="Calibri" w:hAnsi="Calibri" w:cs="Calibri"/>
        </w:rPr>
        <w:t>.</w:t>
      </w:r>
      <w:r w:rsidR="00A516A5">
        <w:rPr>
          <w:rFonts w:ascii="Calibri" w:hAnsi="Calibri" w:cs="Calibri"/>
        </w:rPr>
        <w:t xml:space="preserve"> </w:t>
      </w:r>
      <w:r w:rsidR="00DD719A">
        <w:rPr>
          <w:rFonts w:ascii="Calibri" w:hAnsi="Calibri" w:cs="Calibri"/>
        </w:rPr>
        <w:t>T</w:t>
      </w:r>
      <w:r>
        <w:rPr>
          <w:rFonts w:ascii="Calibri" w:hAnsi="Calibri" w:cs="Calibri"/>
        </w:rPr>
        <w:t xml:space="preserve">he consequences of this could lead to a higher release. This accident needs to be investigated to demonstrate that </w:t>
      </w:r>
      <w:r w:rsidR="00D60948">
        <w:rPr>
          <w:rFonts w:ascii="Calibri" w:hAnsi="Calibri" w:cs="Calibri"/>
        </w:rPr>
        <w:t>either 1) the VV will not reach overpressure in the absence of this safety system, or 2) the radiological release due to overpressure has no significant impact on workers or the surrounding public. Until one of these points is met, it remains unclear if an in-VV LOCA is a primary safety issue, or whether the response satisfies the safety objectives outlined</w:t>
      </w:r>
      <w:r w:rsidR="00D373D6">
        <w:rPr>
          <w:rFonts w:ascii="Calibri" w:hAnsi="Calibri" w:cs="Calibri"/>
        </w:rPr>
        <w:t>.</w:t>
      </w:r>
    </w:p>
    <w:p w:rsidR="00C21B99" w:rsidRDefault="00C21B99" w:rsidP="00ED0F2E">
      <w:pPr>
        <w:rPr>
          <w:rFonts w:ascii="Calibri" w:hAnsi="Calibri" w:cs="Calibri"/>
        </w:rPr>
      </w:pPr>
    </w:p>
    <w:p w:rsidR="00C21B99" w:rsidRDefault="00455044" w:rsidP="00ED0F2E">
      <w:pPr>
        <w:rPr>
          <w:rFonts w:ascii="Calibri" w:hAnsi="Calibri" w:cs="Calibri"/>
          <w:b/>
        </w:rPr>
      </w:pPr>
      <w:r>
        <w:rPr>
          <w:rFonts w:ascii="Calibri" w:hAnsi="Calibri" w:cs="Calibri"/>
          <w:b/>
        </w:rPr>
        <w:t xml:space="preserve">5.2.3 Loss of </w:t>
      </w:r>
      <w:r w:rsidR="0005600E">
        <w:rPr>
          <w:rFonts w:ascii="Calibri" w:hAnsi="Calibri" w:cs="Calibri"/>
          <w:b/>
        </w:rPr>
        <w:t>C</w:t>
      </w:r>
      <w:r>
        <w:rPr>
          <w:rFonts w:ascii="Calibri" w:hAnsi="Calibri" w:cs="Calibri"/>
          <w:b/>
        </w:rPr>
        <w:t xml:space="preserve">ooling </w:t>
      </w:r>
      <w:r w:rsidR="0005600E">
        <w:rPr>
          <w:rFonts w:ascii="Calibri" w:hAnsi="Calibri" w:cs="Calibri"/>
          <w:b/>
        </w:rPr>
        <w:t>D</w:t>
      </w:r>
      <w:r>
        <w:rPr>
          <w:rFonts w:ascii="Calibri" w:hAnsi="Calibri" w:cs="Calibri"/>
          <w:b/>
        </w:rPr>
        <w:t xml:space="preserve">uring </w:t>
      </w:r>
      <w:r w:rsidR="0005600E">
        <w:rPr>
          <w:rFonts w:ascii="Calibri" w:hAnsi="Calibri" w:cs="Calibri"/>
          <w:b/>
        </w:rPr>
        <w:t>T</w:t>
      </w:r>
      <w:r>
        <w:rPr>
          <w:rFonts w:ascii="Calibri" w:hAnsi="Calibri" w:cs="Calibri"/>
          <w:b/>
        </w:rPr>
        <w:t xml:space="preserve">ransfer of </w:t>
      </w:r>
      <w:r w:rsidR="0005600E">
        <w:rPr>
          <w:rFonts w:ascii="Calibri" w:hAnsi="Calibri" w:cs="Calibri"/>
          <w:b/>
        </w:rPr>
        <w:t>B</w:t>
      </w:r>
      <w:r>
        <w:rPr>
          <w:rFonts w:ascii="Calibri" w:hAnsi="Calibri" w:cs="Calibri"/>
          <w:b/>
        </w:rPr>
        <w:t xml:space="preserve">lanket </w:t>
      </w:r>
      <w:r w:rsidR="0005600E">
        <w:rPr>
          <w:rFonts w:ascii="Calibri" w:hAnsi="Calibri" w:cs="Calibri"/>
          <w:b/>
        </w:rPr>
        <w:t>S</w:t>
      </w:r>
      <w:r>
        <w:rPr>
          <w:rFonts w:ascii="Calibri" w:hAnsi="Calibri" w:cs="Calibri"/>
          <w:b/>
        </w:rPr>
        <w:t>ectors</w:t>
      </w:r>
    </w:p>
    <w:p w:rsidR="00455044" w:rsidRDefault="00455044" w:rsidP="00ED0F2E">
      <w:pPr>
        <w:rPr>
          <w:rFonts w:ascii="Calibri" w:hAnsi="Calibri" w:cs="Calibri"/>
          <w:b/>
        </w:rPr>
      </w:pPr>
    </w:p>
    <w:p w:rsidR="00455044" w:rsidRPr="00455044" w:rsidRDefault="00455044" w:rsidP="00ED0F2E">
      <w:pPr>
        <w:rPr>
          <w:rFonts w:ascii="Calibri" w:hAnsi="Calibri" w:cs="Calibri"/>
        </w:rPr>
      </w:pPr>
      <w:r>
        <w:rPr>
          <w:rFonts w:ascii="Calibri" w:hAnsi="Calibri" w:cs="Calibri"/>
        </w:rPr>
        <w:t>The role of the breeding blanket in a fusion reactor is to absorb high-energy neutrons produced in the plasma, extracting heat as well as producing tritium to be used as fuel. Due to this intense neutron bombardment and the activation of materials in the first wall, the blanket sectors will need to be removed</w:t>
      </w:r>
      <w:r w:rsidR="00F44A63">
        <w:rPr>
          <w:rFonts w:ascii="Calibri" w:hAnsi="Calibri" w:cs="Calibri"/>
        </w:rPr>
        <w:t xml:space="preserve"> and replaced</w:t>
      </w:r>
      <w:r>
        <w:rPr>
          <w:rFonts w:ascii="Calibri" w:hAnsi="Calibri" w:cs="Calibri"/>
        </w:rPr>
        <w:t xml:space="preserve"> at various points throughout the lifetime of the reactor.</w:t>
      </w:r>
      <w:r w:rsidR="00DB434B">
        <w:rPr>
          <w:rFonts w:ascii="Calibri" w:hAnsi="Calibri" w:cs="Calibri"/>
        </w:rPr>
        <w:t xml:space="preserve"> The current conceptual design for DEMO suggests that specially designed ports in the roof of the vacuum vessel will be used for the remote removal of the breeder sectors (or half-sectors). Given the levels of radioactivity of these reactor components (dose rates of DEMO half-sectors during maintenance have been estimated at around 3 kGy/h </w:t>
      </w:r>
      <w:r w:rsidR="00DB434B">
        <w:rPr>
          <w:rFonts w:ascii="Calibri" w:hAnsi="Calibri" w:cs="Calibri"/>
        </w:rPr>
        <w:fldChar w:fldCharType="begin" w:fldLock="1"/>
      </w:r>
      <w:r w:rsidR="00C14502">
        <w:rPr>
          <w:rFonts w:ascii="Calibri" w:hAnsi="Calibri" w:cs="Calibri"/>
        </w:rPr>
        <w:instrText>ADDIN CSL_CITATION {"citationItems":[{"id":"ITEM-1","itemData":{"DOI":"10.1016/j.fusengdes.2014.02.047","ISSN":"09203796","abstract":"The anticipated high neutron flux, and the consequent damage to plasma-facing components in DEMO, results in the need to regularly replace the tritium breeding and radiation shielding blanket. The current European multi module segment (MMS) blanket concept favours a less invasive small port entry maintenance system over large sector transport concepts, because of the reduced impact on other tokamak systems - particularly the magnetic coils. This paper presents a novel conceptual remote maintenance strategy for a Vertical Maintenance Scheme DEMO, incorporating substantiated designs for an in-vessel mover, to detach and attach the blanket segments, and cask-housed vertical maintenance devices to open and close access ports, cut and join service connections, and extract blanket segments from the vessel. In addition, a conceptual architectural model for DEMO was generated to capture functional and spatial interfaces between the remote maintenance equipment and other systems. Areas of further study are identified in order to comprehensively establish the feasibility of the proposed maintenance system. © 2014 EURATOM/CCFE Fusion Association.","author":[{"dropping-particle":"","family":"Coleman","given":"M.","non-dropping-particle":"","parse-names":false,"suffix":""},{"dropping-particle":"","family":"Sykes","given":"N.","non-dropping-particle":"","parse-names":false,"suffix":""},{"dropping-particle":"","family":"Cooper","given":"D.","non-dropping-particle":"","parse-names":false,"suffix":""},{"dropping-particle":"","family":"Iglesias","given":"D.","non-dropping-particle":"","parse-names":false,"suffix":""},{"dropping-particle":"","family":"Bastow","given":"R.","non-dropping-particle":"","parse-names":false,"suffix":""},{"dropping-particle":"","family":"Loving","given":"A.","non-dropping-particle":"","parse-names":false,"suffix":""},{"dropping-particle":"","family":"Harman","given":"J.","non-dropping-particle":"","parse-names":false,"suffix":""}],"container-title":"Fusion Engineering and Design","id":"ITEM-1","issue":"9-10","issued":{"date-parts":[["2014"]]},"page":"2347-2351","publisher":"Elsevier B.V.","title":"Concept for a vertical maintenance remote handling system for multi module blanket segments in DEMO","type":"article-journal","volume":"89"},"uris":["http://www.mendeley.com/documents/?uuid=6909e3fe-11ae-48fc-9dab-670bb7bbfa1b"]}],"mendeley":{"formattedCitation":"[32]","plainTextFormattedCitation":"[32]","previouslyFormattedCitation":"[32]"},"properties":{"noteIndex":0},"schema":"https://github.com/citation-style-language/schema/raw/master/csl-citation.json"}</w:instrText>
      </w:r>
      <w:r w:rsidR="00DB434B">
        <w:rPr>
          <w:rFonts w:ascii="Calibri" w:hAnsi="Calibri" w:cs="Calibri"/>
        </w:rPr>
        <w:fldChar w:fldCharType="separate"/>
      </w:r>
      <w:r w:rsidR="00C14502" w:rsidRPr="00C14502">
        <w:rPr>
          <w:rFonts w:ascii="Calibri" w:hAnsi="Calibri" w:cs="Calibri"/>
          <w:noProof/>
        </w:rPr>
        <w:t>[32]</w:t>
      </w:r>
      <w:r w:rsidR="00DB434B">
        <w:rPr>
          <w:rFonts w:ascii="Calibri" w:hAnsi="Calibri" w:cs="Calibri"/>
        </w:rPr>
        <w:fldChar w:fldCharType="end"/>
      </w:r>
      <w:r w:rsidR="002C6ED1">
        <w:rPr>
          <w:rFonts w:ascii="Calibri" w:hAnsi="Calibri" w:cs="Calibri"/>
        </w:rPr>
        <w:t>)</w:t>
      </w:r>
      <w:r w:rsidR="00621FAF">
        <w:rPr>
          <w:rFonts w:ascii="Calibri" w:hAnsi="Calibri" w:cs="Calibri"/>
        </w:rPr>
        <w:t>, an</w:t>
      </w:r>
      <w:r w:rsidR="002B6CBF">
        <w:rPr>
          <w:rFonts w:ascii="Calibri" w:hAnsi="Calibri" w:cs="Calibri"/>
        </w:rPr>
        <w:t>d given that the</w:t>
      </w:r>
      <w:r w:rsidR="00BB4C57">
        <w:rPr>
          <w:rFonts w:ascii="Calibri" w:hAnsi="Calibri" w:cs="Calibri"/>
        </w:rPr>
        <w:t xml:space="preserve"> lethal dose is 5 Gy, changing of the sectors will have to be performed using robotic handling (RH), to ensure worker exposure to ionising radiation is kept as low as reasonably </w:t>
      </w:r>
      <w:r w:rsidR="00150483">
        <w:rPr>
          <w:rFonts w:ascii="Calibri" w:hAnsi="Calibri" w:cs="Calibri"/>
        </w:rPr>
        <w:t>practicable</w:t>
      </w:r>
      <w:r w:rsidR="00B56E24">
        <w:rPr>
          <w:rFonts w:ascii="Calibri" w:hAnsi="Calibri" w:cs="Calibri"/>
        </w:rPr>
        <w:t>.</w:t>
      </w:r>
    </w:p>
    <w:p w:rsidR="00C21B99" w:rsidRDefault="00C21B99" w:rsidP="00ED0F2E">
      <w:pPr>
        <w:rPr>
          <w:rFonts w:ascii="Calibri" w:hAnsi="Calibri" w:cs="Calibri"/>
        </w:rPr>
      </w:pPr>
    </w:p>
    <w:p w:rsidR="00B314DA" w:rsidRDefault="00EC2701" w:rsidP="00ED0F2E">
      <w:pPr>
        <w:rPr>
          <w:rFonts w:ascii="Calibri" w:hAnsi="Calibri" w:cs="Calibri"/>
        </w:rPr>
      </w:pPr>
      <w:r>
        <w:rPr>
          <w:rFonts w:ascii="Calibri" w:hAnsi="Calibri" w:cs="Calibri"/>
        </w:rPr>
        <w:t xml:space="preserve">Due to their large size, it is expected that the </w:t>
      </w:r>
      <w:r w:rsidR="005A76FD">
        <w:rPr>
          <w:rFonts w:ascii="Calibri" w:hAnsi="Calibri" w:cs="Calibri"/>
        </w:rPr>
        <w:t>decay</w:t>
      </w:r>
      <w:r>
        <w:rPr>
          <w:rFonts w:ascii="Calibri" w:hAnsi="Calibri" w:cs="Calibri"/>
        </w:rPr>
        <w:t xml:space="preserve"> heat of each blanket sector will be significant</w:t>
      </w:r>
      <w:r w:rsidR="00BB702B">
        <w:rPr>
          <w:rFonts w:ascii="Calibri" w:hAnsi="Calibri" w:cs="Calibri"/>
        </w:rPr>
        <w:t xml:space="preserve"> (around 4.55 MW per sector just after shutdown</w:t>
      </w:r>
      <w:r w:rsidR="007F0123">
        <w:rPr>
          <w:rFonts w:ascii="Calibri" w:hAnsi="Calibri" w:cs="Calibri"/>
        </w:rPr>
        <w:t xml:space="preserve"> </w:t>
      </w:r>
      <w:r w:rsidR="007F0123">
        <w:rPr>
          <w:rFonts w:ascii="Calibri" w:hAnsi="Calibri" w:cs="Calibri"/>
        </w:rPr>
        <w:fldChar w:fldCharType="begin" w:fldLock="1"/>
      </w:r>
      <w:r w:rsidR="00C14502">
        <w:rPr>
          <w:rFonts w:ascii="Calibri" w:hAnsi="Calibri" w:cs="Calibri"/>
        </w:rPr>
        <w:instrText>ADDIN CSL_CITATION {"citationItems":[{"id":"ITEM-1","itemData":{"DOI":"10.1016/j.fusengdes.2014.04.059","abstract":"a b s t r a c t Management strategy of radioactive waste generated in periodic replacement may be important in the point of view of fusion reactor design, because it has a large impact on the design of the hot cell and waste storage in the plant. In the replacement period of a fusion power reactor, the assembly of blanket or divertor modules needs to be removed from the reactor in order to minimize remote maintenance in the vacuum vessel and to attain reasonable plant availability. In the hot cell, the modules will be removed from the back plate of the assembly. Here, note that the active cooling must be done by a way that does not cause contamination of the hot cell environment due to dispersion of tritium and tungsten dust. In this sense, the cooling scenario is adopted that the existing pipe of cooling water in the assembly is connected to a different cooling water system in the hot cell. On the other hand, it is assumed that the structural material (F82H) of the blanket and divertor is not recycled due to its high contact dose rate. It should be crushed into small pieces to reduce volume of the waste and required storage space. In this paper, the basic idea of the waste management scenario and the conceptual design in the hot cell and waste storage for DEMO has been proposed.","author":[{"dropping-particle":"","family":"Someya","given":"Youji","non-dropping-particle":"","parse-names":false,"suffix":""},{"dropping-particle":"","family":"Tobita","given":"Kenji","non-dropping-particle":"","parse-names":false,"suffix":""},{"dropping-particle":"","family":"Yanagihara","given":"Satoshi","non-dropping-particle":"","parse-names":false,"suffix":""},{"dropping-particle":"","family":"Kondo","given":"Masatoshi","non-dropping-particle":"","parse-names":false,"suffix":""},{"dropping-particle":"","family":"Utoh","given":"Hiroyasu","non-dropping-particle":"","parse-names":false,"suffix":""},{"dropping-particle":"","family":"Asakura","given":"Nobuyuki","non-dropping-particle":"","parse-names":false,"suffix":""},{"dropping-particle":"","family":"Hoshino","given":"Kazuo","non-dropping-particle":"","parse-names":false,"suffix":""},{"dropping-particle":"","family":"Nakamura","given":"Makoto","non-dropping-particle":"","parse-names":false,"suffix":""},{"dropping-particle":"","family":"Sakamoto","given":"Yoshiteru","non-dropping-particle":"","parse-names":false,"suffix":""}],"container-title":"Fusion Engineering and Design","id":"ITEM-1","issued":{"date-parts":[["2014"]]},"page":"2033-2037","title":"Waste management scenario in the hot cell and waste storage for DEMO","type":"article-journal","volume":"89"},"uris":["http://www.mendeley.com/documents/?uuid=d37f36ce-ab16-430b-a9d4-326b726d073a"]}],"mendeley":{"formattedCitation":"[33]","plainTextFormattedCitation":"[33]","previouslyFormattedCitation":"[33]"},"properties":{"noteIndex":0},"schema":"https://github.com/citation-style-language/schema/raw/master/csl-citation.json"}</w:instrText>
      </w:r>
      <w:r w:rsidR="007F0123">
        <w:rPr>
          <w:rFonts w:ascii="Calibri" w:hAnsi="Calibri" w:cs="Calibri"/>
        </w:rPr>
        <w:fldChar w:fldCharType="separate"/>
      </w:r>
      <w:r w:rsidR="00C14502" w:rsidRPr="00C14502">
        <w:rPr>
          <w:rFonts w:ascii="Calibri" w:hAnsi="Calibri" w:cs="Calibri"/>
          <w:noProof/>
        </w:rPr>
        <w:t>[33]</w:t>
      </w:r>
      <w:r w:rsidR="007F0123">
        <w:rPr>
          <w:rFonts w:ascii="Calibri" w:hAnsi="Calibri" w:cs="Calibri"/>
        </w:rPr>
        <w:fldChar w:fldCharType="end"/>
      </w:r>
      <w:r w:rsidR="00BB702B">
        <w:rPr>
          <w:rFonts w:ascii="Calibri" w:hAnsi="Calibri" w:cs="Calibri"/>
        </w:rPr>
        <w:t>)</w:t>
      </w:r>
      <w:r>
        <w:rPr>
          <w:rFonts w:ascii="Calibri" w:hAnsi="Calibri" w:cs="Calibri"/>
        </w:rPr>
        <w:t xml:space="preserve"> and therefore will require active cooling during their transfer from the vacuum vessel to the hot cells</w:t>
      </w:r>
      <w:r w:rsidR="007F0123">
        <w:rPr>
          <w:rFonts w:ascii="Calibri" w:hAnsi="Calibri" w:cs="Calibri"/>
        </w:rPr>
        <w:t>.</w:t>
      </w:r>
      <w:r w:rsidR="006B4532">
        <w:rPr>
          <w:rFonts w:ascii="Calibri" w:hAnsi="Calibri" w:cs="Calibri"/>
        </w:rPr>
        <w:t xml:space="preserve"> </w:t>
      </w:r>
      <w:r w:rsidR="00777AB5">
        <w:rPr>
          <w:rFonts w:ascii="Calibri" w:hAnsi="Calibri" w:cs="Calibri"/>
        </w:rPr>
        <w:t xml:space="preserve">Ref </w:t>
      </w:r>
      <w:r w:rsidR="00777AB5">
        <w:rPr>
          <w:rFonts w:ascii="Calibri" w:hAnsi="Calibri" w:cs="Calibri"/>
        </w:rPr>
        <w:fldChar w:fldCharType="begin" w:fldLock="1"/>
      </w:r>
      <w:r w:rsidR="00C14502">
        <w:rPr>
          <w:rFonts w:ascii="Calibri" w:hAnsi="Calibri" w:cs="Calibri"/>
        </w:rPr>
        <w:instrText>ADDIN CSL_CITATION {"citationItems":[{"id":"ITEM-1","itemData":{"DOI":"10.1016/j.fusengdes.2014.04.059","abstract":"a b s t r a c t Management strategy of radioactive waste generated in periodic replacement may be important in the point of view of fusion reactor design, because it has a large impact on the design of the hot cell and waste storage in the plant. In the replacement period of a fusion power reactor, the assembly of blanket or divertor modules needs to be removed from the reactor in order to minimize remote maintenance in the vacuum vessel and to attain reasonable plant availability. In the hot cell, the modules will be removed from the back plate of the assembly. Here, note that the active cooling must be done by a way that does not cause contamination of the hot cell environment due to dispersion of tritium and tungsten dust. In this sense, the cooling scenario is adopted that the existing pipe of cooling water in the assembly is connected to a different cooling water system in the hot cell. On the other hand, it is assumed that the structural material (F82H) of the blanket and divertor is not recycled due to its high contact dose rate. It should be crushed into small pieces to reduce volume of the waste and required storage space. In this paper, the basic idea of the waste management scenario and the conceptual design in the hot cell and waste storage for DEMO has been proposed.","author":[{"dropping-particle":"","family":"Someya","given":"Youji","non-dropping-particle":"","parse-names":false,"suffix":""},{"dropping-particle":"","family":"Tobita","given":"Kenji","non-dropping-particle":"","parse-names":false,"suffix":""},{"dropping-particle":"","family":"Yanagihara","given":"Satoshi","non-dropping-particle":"","parse-names":false,"suffix":""},{"dropping-particle":"","family":"Kondo","given":"Masatoshi","non-dropping-particle":"","parse-names":false,"suffix":""},{"dropping-particle":"","family":"Utoh","given":"Hiroyasu","non-dropping-particle":"","parse-names":false,"suffix":""},{"dropping-particle":"","family":"Asakura","given":"Nobuyuki","non-dropping-particle":"","parse-names":false,"suffix":""},{"dropping-particle":"","family":"Hoshino","given":"Kazuo","non-dropping-particle":"","parse-names":false,"suffix":""},{"dropping-particle":"","family":"Nakamura","given":"Makoto","non-dropping-particle":"","parse-names":false,"suffix":""},{"dropping-particle":"","family":"Sakamoto","given":"Yoshiteru","non-dropping-particle":"","parse-names":false,"suffix":""}],"container-title":"Fusion Engineering and Design","id":"ITEM-1","issued":{"date-parts":[["2014"]]},"page":"2033-2037","title":"Waste management scenario in the hot cell and waste storage for DEMO","type":"article-journal","volume":"89"},"uris":["http://www.mendeley.com/documents/?uuid=d37f36ce-ab16-430b-a9d4-326b726d073a"]}],"mendeley":{"formattedCitation":"[33]","plainTextFormattedCitation":"[33]","previouslyFormattedCitation":"[33]"},"properties":{"noteIndex":0},"schema":"https://github.com/citation-style-language/schema/raw/master/csl-citation.json"}</w:instrText>
      </w:r>
      <w:r w:rsidR="00777AB5">
        <w:rPr>
          <w:rFonts w:ascii="Calibri" w:hAnsi="Calibri" w:cs="Calibri"/>
        </w:rPr>
        <w:fldChar w:fldCharType="separate"/>
      </w:r>
      <w:r w:rsidR="00C14502" w:rsidRPr="00C14502">
        <w:rPr>
          <w:rFonts w:ascii="Calibri" w:hAnsi="Calibri" w:cs="Calibri"/>
          <w:noProof/>
        </w:rPr>
        <w:t>[33]</w:t>
      </w:r>
      <w:r w:rsidR="00777AB5">
        <w:rPr>
          <w:rFonts w:ascii="Calibri" w:hAnsi="Calibri" w:cs="Calibri"/>
        </w:rPr>
        <w:fldChar w:fldCharType="end"/>
      </w:r>
      <w:r w:rsidR="00EF75B5">
        <w:rPr>
          <w:rFonts w:ascii="Calibri" w:hAnsi="Calibri" w:cs="Calibri"/>
        </w:rPr>
        <w:t xml:space="preserve"> </w:t>
      </w:r>
      <w:r>
        <w:rPr>
          <w:rFonts w:ascii="Calibri" w:hAnsi="Calibri" w:cs="Calibri"/>
        </w:rPr>
        <w:t xml:space="preserve">investigated the </w:t>
      </w:r>
      <w:r w:rsidR="005A76FD">
        <w:rPr>
          <w:rFonts w:ascii="Calibri" w:hAnsi="Calibri" w:cs="Calibri"/>
        </w:rPr>
        <w:t>decay</w:t>
      </w:r>
      <w:r>
        <w:rPr>
          <w:rFonts w:ascii="Calibri" w:hAnsi="Calibri" w:cs="Calibri"/>
        </w:rPr>
        <w:t xml:space="preserve"> heat of reactor components following shutdown on the former Japanese SlimCS DEMO reactor project.</w:t>
      </w:r>
      <w:r w:rsidR="00495F2B">
        <w:rPr>
          <w:rFonts w:ascii="Calibri" w:hAnsi="Calibri" w:cs="Calibri"/>
        </w:rPr>
        <w:t xml:space="preserve"> This analysis showed that to ensure the decay</w:t>
      </w:r>
      <w:r w:rsidR="001D1D08">
        <w:rPr>
          <w:rFonts w:ascii="Calibri" w:hAnsi="Calibri" w:cs="Calibri"/>
        </w:rPr>
        <w:t xml:space="preserve"> heat</w:t>
      </w:r>
      <w:r w:rsidR="00495F2B">
        <w:rPr>
          <w:rFonts w:ascii="Calibri" w:hAnsi="Calibri" w:cs="Calibri"/>
        </w:rPr>
        <w:t xml:space="preserve"> of the blanket ha</w:t>
      </w:r>
      <w:r w:rsidR="00EF75B5">
        <w:rPr>
          <w:rFonts w:ascii="Calibri" w:hAnsi="Calibri" w:cs="Calibri"/>
        </w:rPr>
        <w:t>d</w:t>
      </w:r>
      <w:r w:rsidR="00495F2B">
        <w:rPr>
          <w:rFonts w:ascii="Calibri" w:hAnsi="Calibri" w:cs="Calibri"/>
        </w:rPr>
        <w:t xml:space="preserve"> reduced to acceptable levels</w:t>
      </w:r>
      <w:r w:rsidR="007B1111">
        <w:rPr>
          <w:rFonts w:ascii="Calibri" w:hAnsi="Calibri" w:cs="Calibri"/>
        </w:rPr>
        <w:t xml:space="preserve"> (&lt; 0.5 MW per sector)</w:t>
      </w:r>
      <w:r w:rsidR="00495F2B">
        <w:rPr>
          <w:rFonts w:ascii="Calibri" w:hAnsi="Calibri" w:cs="Calibri"/>
        </w:rPr>
        <w:t xml:space="preserve">, it </w:t>
      </w:r>
      <w:r w:rsidR="00EF75B5">
        <w:rPr>
          <w:rFonts w:ascii="Calibri" w:hAnsi="Calibri" w:cs="Calibri"/>
        </w:rPr>
        <w:t>was</w:t>
      </w:r>
      <w:r w:rsidR="00495F2B">
        <w:rPr>
          <w:rFonts w:ascii="Calibri" w:hAnsi="Calibri" w:cs="Calibri"/>
        </w:rPr>
        <w:t xml:space="preserve"> necessary to wait at least one month after shutdown before transfer of any sectors is carried out. The availability of a power plant is a hugely significant factor and whilst this paper focus</w:t>
      </w:r>
      <w:r w:rsidR="005907A4">
        <w:rPr>
          <w:rFonts w:ascii="Calibri" w:hAnsi="Calibri" w:cs="Calibri"/>
        </w:rPr>
        <w:t>s</w:t>
      </w:r>
      <w:r w:rsidR="00495F2B">
        <w:rPr>
          <w:rFonts w:ascii="Calibri" w:hAnsi="Calibri" w:cs="Calibri"/>
        </w:rPr>
        <w:t>es on safety, it seems likely that new solutions will need to be found for tritium breeding in order to reduce this outage time significantly, if fusion is to be economically competitive.</w:t>
      </w:r>
    </w:p>
    <w:p w:rsidR="00B314DA" w:rsidRDefault="00B314DA" w:rsidP="00ED0F2E">
      <w:pPr>
        <w:rPr>
          <w:rFonts w:ascii="Calibri" w:hAnsi="Calibri" w:cs="Calibri"/>
        </w:rPr>
      </w:pPr>
    </w:p>
    <w:p w:rsidR="00F50D9D" w:rsidRPr="00EC2701" w:rsidRDefault="00F50D9D" w:rsidP="00ED0F2E">
      <w:pPr>
        <w:rPr>
          <w:rFonts w:ascii="Calibri" w:hAnsi="Calibri" w:cs="Calibri"/>
        </w:rPr>
      </w:pPr>
      <w:r>
        <w:rPr>
          <w:rFonts w:ascii="Calibri" w:hAnsi="Calibri" w:cs="Calibri"/>
        </w:rPr>
        <w:t xml:space="preserve">Assuming the current conceptual design for DEMO requires breeder blanket sectors to be removed, it would appear that some form of active heat removal will be necessary during the blanket transfer process. Analysis in </w:t>
      </w:r>
      <w:r>
        <w:rPr>
          <w:rFonts w:ascii="Calibri" w:hAnsi="Calibri" w:cs="Calibri"/>
        </w:rPr>
        <w:fldChar w:fldCharType="begin" w:fldLock="1"/>
      </w:r>
      <w:r w:rsidR="00C14502">
        <w:rPr>
          <w:rFonts w:ascii="Calibri" w:hAnsi="Calibri" w:cs="Calibri"/>
        </w:rPr>
        <w:instrText>ADDIN CSL_CITATION {"citationItems":[{"id":"ITEM-1","itemData":{"DOI":"10.1016/j.fusengdes.2014.04.059","abstract":"a b s t r a c t Management strategy of radioactive waste generated in periodic replacement may be important in the point of view of fusion reactor design, because it has a large impact on the design of the hot cell and waste storage in the plant. In the replacement period of a fusion power reactor, the assembly of blanket or divertor modules needs to be removed from the reactor in order to minimize remote maintenance in the vacuum vessel and to attain reasonable plant availability. In the hot cell, the modules will be removed from the back plate of the assembly. Here, note that the active cooling must be done by a way that does not cause contamination of the hot cell environment due to dispersion of tritium and tungsten dust. In this sense, the cooling scenario is adopted that the existing pipe of cooling water in the assembly is connected to a different cooling water system in the hot cell. On the other hand, it is assumed that the structural material (F82H) of the blanket and divertor is not recycled due to its high contact dose rate. It should be crushed into small pieces to reduce volume of the waste and required storage space. In this paper, the basic idea of the waste management scenario and the conceptual design in the hot cell and waste storage for DEMO has been proposed.","author":[{"dropping-particle":"","family":"Someya","given":"Youji","non-dropping-particle":"","parse-names":false,"suffix":""},{"dropping-particle":"","family":"Tobita","given":"Kenji","non-dropping-particle":"","parse-names":false,"suffix":""},{"dropping-particle":"","family":"Yanagihara","given":"Satoshi","non-dropping-particle":"","parse-names":false,"suffix":""},{"dropping-particle":"","family":"Kondo","given":"Masatoshi","non-dropping-particle":"","parse-names":false,"suffix":""},{"dropping-particle":"","family":"Utoh","given":"Hiroyasu","non-dropping-particle":"","parse-names":false,"suffix":""},{"dropping-particle":"","family":"Asakura","given":"Nobuyuki","non-dropping-particle":"","parse-names":false,"suffix":""},{"dropping-particle":"","family":"Hoshino","given":"Kazuo","non-dropping-particle":"","parse-names":false,"suffix":""},{"dropping-particle":"","family":"Nakamura","given":"Makoto","non-dropping-particle":"","parse-names":false,"suffix":""},{"dropping-particle":"","family":"Sakamoto","given":"Yoshiteru","non-dropping-particle":"","parse-names":false,"suffix":""}],"container-title":"Fusion Engineering and Design","id":"ITEM-1","issued":{"date-parts":[["2014"]]},"page":"2033-2037","title":"Waste management scenario in the hot cell and waste storage for DEMO","type":"article-journal","volume":"89"},"uris":["http://www.mendeley.com/documents/?uuid=d37f36ce-ab16-430b-a9d4-326b726d073a"]},{"id":"ITEM-2","itemData":{"author":[{"dropping-particle":"","family":"Perrault","given":"Didier","non-dropping-particle":"","parse-names":false,"suffix":""}],"id":"ITEM-2","issued":{"date-parts":[["2017"]]},"publisher-place":"Paris","title":"Nuclear fusion reactors - safety and radiation protection considerations for demonstration reactors that follow the ITER facility","type":"report"},"uris":["http://www.mendeley.com/documents/?uuid=857819de-144b-47d4-91a1-4aa5eb351895"]},{"id":"ITEM-3","itemData":{"author":[{"dropping-particle":"","family":"Tobita","given":"K","non-dropping-particle":"","parse-names":false,"suffix":""}],"id":"ITEM-3","issued":{"date-parts":[["2012"]]},"publisher-place":"California","title":"Reconsideration of tokamak DEMO concept based on the latest design study","type":"report"},"uris":["http://www.mendeley.com/documents/?uuid=3d3a3f45-0062-4598-b602-88baffe1275e"]}],"mendeley":{"formattedCitation":"[31], [33], [34]","plainTextFormattedCitation":"[31], [33], [34]","previouslyFormattedCitation":"[31], [33], [34]"},"properties":{"noteIndex":0},"schema":"https://github.com/citation-style-language/schema/raw/master/csl-citation.json"}</w:instrText>
      </w:r>
      <w:r>
        <w:rPr>
          <w:rFonts w:ascii="Calibri" w:hAnsi="Calibri" w:cs="Calibri"/>
        </w:rPr>
        <w:fldChar w:fldCharType="separate"/>
      </w:r>
      <w:r w:rsidR="00C14502" w:rsidRPr="00C14502">
        <w:rPr>
          <w:rFonts w:ascii="Calibri" w:hAnsi="Calibri" w:cs="Calibri"/>
          <w:noProof/>
        </w:rPr>
        <w:t>[31], [33], [34]</w:t>
      </w:r>
      <w:r>
        <w:rPr>
          <w:rFonts w:ascii="Calibri" w:hAnsi="Calibri" w:cs="Calibri"/>
        </w:rPr>
        <w:fldChar w:fldCharType="end"/>
      </w:r>
      <w:r>
        <w:rPr>
          <w:rFonts w:ascii="Calibri" w:hAnsi="Calibri" w:cs="Calibri"/>
        </w:rPr>
        <w:t xml:space="preserve"> suggests that without this the temperature of the blanket could reach ~1000 °C after around 40 days – a figure considered too high for a component in a zone outside the primary confinement barrier</w:t>
      </w:r>
      <w:r w:rsidR="002F3745">
        <w:rPr>
          <w:rFonts w:ascii="Calibri" w:hAnsi="Calibri" w:cs="Calibri"/>
        </w:rPr>
        <w:t xml:space="preserve">. </w:t>
      </w:r>
      <w:r w:rsidR="00F653E9">
        <w:rPr>
          <w:rFonts w:ascii="Calibri" w:hAnsi="Calibri" w:cs="Calibri"/>
        </w:rPr>
        <w:t xml:space="preserve">Designing a safety critical active cooling system for the breeder sectors to enable removal transport to the tritium treatment plant will be challenging. </w:t>
      </w:r>
      <w:r w:rsidR="00813D3B">
        <w:rPr>
          <w:rFonts w:ascii="Calibri" w:hAnsi="Calibri" w:cs="Calibri"/>
        </w:rPr>
        <w:t>The complexity of such a system will inevitably give rise to safety challenges associated with loss of cooling as shown above.</w:t>
      </w:r>
    </w:p>
    <w:p w:rsidR="00455044" w:rsidRDefault="00455044" w:rsidP="00ED0F2E">
      <w:pPr>
        <w:rPr>
          <w:rFonts w:ascii="Calibri" w:hAnsi="Calibri" w:cs="Calibri"/>
        </w:rPr>
      </w:pPr>
    </w:p>
    <w:p w:rsidR="00455044" w:rsidRDefault="00B33693" w:rsidP="00ED0F2E">
      <w:pPr>
        <w:rPr>
          <w:rFonts w:ascii="Calibri" w:hAnsi="Calibri" w:cs="Calibri"/>
        </w:rPr>
      </w:pPr>
      <w:r>
        <w:rPr>
          <w:rFonts w:ascii="Calibri" w:hAnsi="Calibri" w:cs="Calibri"/>
        </w:rPr>
        <w:t xml:space="preserve">The safety analysis will require an evaluation of the potential causes of failure of the transport-specific cooling system along with their consequences. However, as this will be a new concept, there will be little if any component failure rate data; as such, a reliable probability of failure analysis </w:t>
      </w:r>
      <w:r w:rsidR="005C3653">
        <w:rPr>
          <w:rFonts w:ascii="Calibri" w:hAnsi="Calibri" w:cs="Calibri"/>
        </w:rPr>
        <w:t xml:space="preserve">will be difficult to obtain. </w:t>
      </w:r>
      <w:r w:rsidR="00470FB7">
        <w:rPr>
          <w:rFonts w:ascii="Calibri" w:hAnsi="Calibri" w:cs="Calibri"/>
        </w:rPr>
        <w:t>When studying the potential consequences of this loss of transport-specific cooling, a number of factors will need to be considered, namely</w:t>
      </w:r>
      <w:r w:rsidR="00C947BF">
        <w:rPr>
          <w:rFonts w:ascii="Calibri" w:hAnsi="Calibri" w:cs="Calibri"/>
        </w:rPr>
        <w:t>:</w:t>
      </w:r>
      <w:r w:rsidR="00470FB7">
        <w:rPr>
          <w:rFonts w:ascii="Calibri" w:hAnsi="Calibri" w:cs="Calibri"/>
        </w:rPr>
        <w:t xml:space="preserve"> recovery times, transient temperatures within the breeder sector, tritium release pathways, location of blanket sectors within the building, and the building containment and ventilation capability. </w:t>
      </w:r>
    </w:p>
    <w:p w:rsidR="0060312C" w:rsidRDefault="0060312C" w:rsidP="00ED0F2E">
      <w:pPr>
        <w:rPr>
          <w:rFonts w:ascii="Calibri" w:hAnsi="Calibri" w:cs="Calibri"/>
        </w:rPr>
      </w:pPr>
    </w:p>
    <w:p w:rsidR="0060312C" w:rsidRDefault="0060312C" w:rsidP="00ED0F2E">
      <w:pPr>
        <w:rPr>
          <w:rFonts w:ascii="Calibri" w:hAnsi="Calibri" w:cs="Calibri"/>
        </w:rPr>
      </w:pPr>
      <w:r>
        <w:rPr>
          <w:rFonts w:ascii="Calibri" w:hAnsi="Calibri" w:cs="Calibri"/>
        </w:rPr>
        <w:t>The decay heat removal system is clearly safety critical. The substantiation of the design of the system will be a major part of the safety case for a fusion reactor and it is clear that the analysis of potential consequences of a LOCA, either during normal operation or during breeder blanket transfer, needs further work.</w:t>
      </w:r>
    </w:p>
    <w:p w:rsidR="00C21B99" w:rsidRDefault="00C21B99" w:rsidP="00ED0F2E">
      <w:pPr>
        <w:rPr>
          <w:rFonts w:ascii="Calibri" w:hAnsi="Calibri" w:cs="Calibri"/>
        </w:rPr>
      </w:pPr>
    </w:p>
    <w:p w:rsidR="00C150FD" w:rsidRDefault="00C150FD" w:rsidP="00ED0F2E">
      <w:pPr>
        <w:rPr>
          <w:rFonts w:ascii="Calibri" w:hAnsi="Calibri" w:cs="Calibri"/>
          <w:b/>
        </w:rPr>
      </w:pPr>
      <w:bookmarkStart w:id="0" w:name="OLE_LINK1"/>
      <w:bookmarkStart w:id="1" w:name="OLE_LINK2"/>
      <w:r>
        <w:rPr>
          <w:rFonts w:ascii="Calibri" w:hAnsi="Calibri" w:cs="Calibri"/>
          <w:b/>
        </w:rPr>
        <w:t xml:space="preserve">5.2.4 Loss of </w:t>
      </w:r>
      <w:r w:rsidR="00D1010F">
        <w:rPr>
          <w:rFonts w:ascii="Calibri" w:hAnsi="Calibri" w:cs="Calibri"/>
          <w:b/>
        </w:rPr>
        <w:t>C</w:t>
      </w:r>
      <w:r>
        <w:rPr>
          <w:rFonts w:ascii="Calibri" w:hAnsi="Calibri" w:cs="Calibri"/>
          <w:b/>
        </w:rPr>
        <w:t xml:space="preserve">ooling in a </w:t>
      </w:r>
      <w:r w:rsidR="008D4C92">
        <w:rPr>
          <w:rFonts w:ascii="Calibri" w:hAnsi="Calibri" w:cs="Calibri"/>
          <w:b/>
        </w:rPr>
        <w:t>D</w:t>
      </w:r>
      <w:r>
        <w:rPr>
          <w:rFonts w:ascii="Calibri" w:hAnsi="Calibri" w:cs="Calibri"/>
          <w:b/>
        </w:rPr>
        <w:t xml:space="preserve">ual </w:t>
      </w:r>
      <w:r w:rsidR="008D4C92">
        <w:rPr>
          <w:rFonts w:ascii="Calibri" w:hAnsi="Calibri" w:cs="Calibri"/>
          <w:b/>
        </w:rPr>
        <w:t>C</w:t>
      </w:r>
      <w:r>
        <w:rPr>
          <w:rFonts w:ascii="Calibri" w:hAnsi="Calibri" w:cs="Calibri"/>
          <w:b/>
        </w:rPr>
        <w:t>oolant</w:t>
      </w:r>
      <w:r w:rsidR="008D4C92">
        <w:rPr>
          <w:rFonts w:ascii="Calibri" w:hAnsi="Calibri" w:cs="Calibri"/>
          <w:b/>
        </w:rPr>
        <w:t xml:space="preserve"> Le</w:t>
      </w:r>
      <w:r>
        <w:rPr>
          <w:rFonts w:ascii="Calibri" w:hAnsi="Calibri" w:cs="Calibri"/>
          <w:b/>
        </w:rPr>
        <w:t>ad</w:t>
      </w:r>
      <w:r w:rsidR="008D4C92">
        <w:rPr>
          <w:rFonts w:ascii="Calibri" w:hAnsi="Calibri" w:cs="Calibri"/>
          <w:b/>
        </w:rPr>
        <w:t xml:space="preserve"> L</w:t>
      </w:r>
      <w:r>
        <w:rPr>
          <w:rFonts w:ascii="Calibri" w:hAnsi="Calibri" w:cs="Calibri"/>
          <w:b/>
        </w:rPr>
        <w:t>ithium</w:t>
      </w:r>
      <w:r w:rsidR="008D4C92">
        <w:rPr>
          <w:rFonts w:ascii="Calibri" w:hAnsi="Calibri" w:cs="Calibri"/>
          <w:b/>
        </w:rPr>
        <w:t xml:space="preserve"> (DCLL)</w:t>
      </w:r>
      <w:r>
        <w:rPr>
          <w:rFonts w:ascii="Calibri" w:hAnsi="Calibri" w:cs="Calibri"/>
          <w:b/>
        </w:rPr>
        <w:t xml:space="preserve"> </w:t>
      </w:r>
      <w:r w:rsidR="00D1010F">
        <w:rPr>
          <w:rFonts w:ascii="Calibri" w:hAnsi="Calibri" w:cs="Calibri"/>
          <w:b/>
        </w:rPr>
        <w:t>B</w:t>
      </w:r>
      <w:r>
        <w:rPr>
          <w:rFonts w:ascii="Calibri" w:hAnsi="Calibri" w:cs="Calibri"/>
          <w:b/>
        </w:rPr>
        <w:t>lanket</w:t>
      </w:r>
      <w:bookmarkEnd w:id="0"/>
      <w:bookmarkEnd w:id="1"/>
    </w:p>
    <w:p w:rsidR="008D4C92" w:rsidRDefault="008D4C92" w:rsidP="00ED0F2E">
      <w:pPr>
        <w:rPr>
          <w:rFonts w:ascii="Calibri" w:hAnsi="Calibri" w:cs="Calibri"/>
          <w:b/>
        </w:rPr>
      </w:pPr>
    </w:p>
    <w:p w:rsidR="00022EE2" w:rsidRDefault="008D4C92" w:rsidP="00ED0F2E">
      <w:pPr>
        <w:rPr>
          <w:rFonts w:ascii="Calibri" w:hAnsi="Calibri" w:cs="Calibri"/>
        </w:rPr>
      </w:pPr>
      <w:r>
        <w:rPr>
          <w:rFonts w:ascii="Calibri" w:hAnsi="Calibri" w:cs="Calibri"/>
        </w:rPr>
        <w:t xml:space="preserve">The makeup of the breeding blankets can have a significant effect on the safety case. For example, activation of the DCLL blanket produces </w:t>
      </w:r>
      <w:r>
        <w:rPr>
          <w:rFonts w:ascii="Calibri" w:hAnsi="Calibri" w:cs="Calibri"/>
          <w:vertAlign w:val="superscript"/>
        </w:rPr>
        <w:t>203</w:t>
      </w:r>
      <w:r>
        <w:rPr>
          <w:rFonts w:ascii="Calibri" w:hAnsi="Calibri" w:cs="Calibri"/>
        </w:rPr>
        <w:t xml:space="preserve">Hg and </w:t>
      </w:r>
      <w:r>
        <w:rPr>
          <w:rFonts w:ascii="Calibri" w:hAnsi="Calibri" w:cs="Calibri"/>
          <w:vertAlign w:val="superscript"/>
        </w:rPr>
        <w:t>210</w:t>
      </w:r>
      <w:r>
        <w:rPr>
          <w:rFonts w:ascii="Calibri" w:hAnsi="Calibri" w:cs="Calibri"/>
        </w:rPr>
        <w:t xml:space="preserve">Po, whose respective dose factors per ingestion are 100 and 100,000 times higher than for tritiated water </w:t>
      </w:r>
      <w:r>
        <w:rPr>
          <w:rFonts w:ascii="Calibri" w:hAnsi="Calibri" w:cs="Calibri"/>
        </w:rPr>
        <w:fldChar w:fldCharType="begin" w:fldLock="1"/>
      </w:r>
      <w:r w:rsidR="00C14502">
        <w:rPr>
          <w:rFonts w:ascii="Calibri" w:hAnsi="Calibri" w:cs="Calibri"/>
        </w:rPr>
        <w:instrText>ADDIN CSL_CITATION {"citationItems":[{"id":"ITEM-1","itemData":{"author":[{"dropping-particle":"","family":"Perrault","given":"Didier","non-dropping-particle":"","parse-names":false,"suffix":""}],"id":"ITEM-1","issued":{"date-parts":[["2017"]]},"publisher-place":"Paris","title":"Nuclear fusion reactors - safety and radiation protection considerations for demonstration reactors that follow the ITER facility","type":"report"},"uris":["http://www.mendeley.com/documents/?uuid=857819de-144b-47d4-91a1-4aa5eb351895"]}],"mendeley":{"formattedCitation":"[31]","plainTextFormattedCitation":"[31]","previouslyFormattedCitation":"[31]"},"properties":{"noteIndex":0},"schema":"https://github.com/citation-style-language/schema/raw/master/csl-citation.json"}</w:instrText>
      </w:r>
      <w:r>
        <w:rPr>
          <w:rFonts w:ascii="Calibri" w:hAnsi="Calibri" w:cs="Calibri"/>
        </w:rPr>
        <w:fldChar w:fldCharType="separate"/>
      </w:r>
      <w:r w:rsidR="00AD1C4A" w:rsidRPr="00AD1C4A">
        <w:rPr>
          <w:rFonts w:ascii="Calibri" w:hAnsi="Calibri" w:cs="Calibri"/>
          <w:noProof/>
        </w:rPr>
        <w:t>[31]</w:t>
      </w:r>
      <w:r>
        <w:rPr>
          <w:rFonts w:ascii="Calibri" w:hAnsi="Calibri" w:cs="Calibri"/>
        </w:rPr>
        <w:fldChar w:fldCharType="end"/>
      </w:r>
      <w:r>
        <w:rPr>
          <w:rFonts w:ascii="Calibri" w:hAnsi="Calibri" w:cs="Calibri"/>
        </w:rPr>
        <w:t xml:space="preserve">. </w:t>
      </w:r>
      <w:r w:rsidR="00961992">
        <w:rPr>
          <w:rFonts w:ascii="Calibri" w:hAnsi="Calibri" w:cs="Calibri"/>
        </w:rPr>
        <w:t>The primary concern</w:t>
      </w:r>
      <w:r w:rsidR="0068418D">
        <w:rPr>
          <w:rFonts w:ascii="Calibri" w:hAnsi="Calibri" w:cs="Calibri"/>
        </w:rPr>
        <w:t>s</w:t>
      </w:r>
      <w:r w:rsidR="00961992">
        <w:rPr>
          <w:rFonts w:ascii="Calibri" w:hAnsi="Calibri" w:cs="Calibri"/>
        </w:rPr>
        <w:t xml:space="preserve"> with </w:t>
      </w:r>
      <w:r w:rsidR="001E6E8F">
        <w:rPr>
          <w:rFonts w:ascii="Calibri" w:hAnsi="Calibri" w:cs="Calibri"/>
        </w:rPr>
        <w:t xml:space="preserve">these radioisotopes </w:t>
      </w:r>
      <w:r w:rsidR="0068418D">
        <w:rPr>
          <w:rFonts w:ascii="Calibri" w:hAnsi="Calibri" w:cs="Calibri"/>
        </w:rPr>
        <w:t>are</w:t>
      </w:r>
      <w:r w:rsidR="001E6E8F">
        <w:rPr>
          <w:rFonts w:ascii="Calibri" w:hAnsi="Calibri" w:cs="Calibri"/>
        </w:rPr>
        <w:t xml:space="preserve"> potential spills and release</w:t>
      </w:r>
      <w:r w:rsidR="0068418D">
        <w:rPr>
          <w:rFonts w:ascii="Calibri" w:hAnsi="Calibri" w:cs="Calibri"/>
        </w:rPr>
        <w:t>s</w:t>
      </w:r>
      <w:r w:rsidR="001E6E8F">
        <w:rPr>
          <w:rFonts w:ascii="Calibri" w:hAnsi="Calibri" w:cs="Calibri"/>
        </w:rPr>
        <w:t xml:space="preserve"> during </w:t>
      </w:r>
      <w:r w:rsidR="001E6E8F" w:rsidRPr="004559B7">
        <w:rPr>
          <w:rFonts w:ascii="Calibri" w:hAnsi="Calibri" w:cs="Calibri"/>
        </w:rPr>
        <w:t>maintenance operations.</w:t>
      </w:r>
      <w:r w:rsidR="008B3B95" w:rsidRPr="004559B7">
        <w:rPr>
          <w:rFonts w:ascii="Calibri" w:hAnsi="Calibri" w:cs="Calibri"/>
        </w:rPr>
        <w:t xml:space="preserve"> For the test DCLL blanket module (TBM) being developed for </w:t>
      </w:r>
      <w:r w:rsidR="00A10586">
        <w:rPr>
          <w:rFonts w:ascii="Calibri" w:hAnsi="Calibri" w:cs="Calibri"/>
        </w:rPr>
        <w:t>DEMO</w:t>
      </w:r>
      <w:r w:rsidR="008B3B95" w:rsidRPr="004559B7">
        <w:rPr>
          <w:rFonts w:ascii="Calibri" w:hAnsi="Calibri" w:cs="Calibri"/>
        </w:rPr>
        <w:t xml:space="preserve">, the end-of-life production of </w:t>
      </w:r>
      <w:r w:rsidR="008B3B95" w:rsidRPr="004559B7">
        <w:rPr>
          <w:rFonts w:ascii="Calibri" w:hAnsi="Calibri" w:cs="Calibri"/>
          <w:vertAlign w:val="superscript"/>
        </w:rPr>
        <w:t>203</w:t>
      </w:r>
      <w:r w:rsidR="008B3B95" w:rsidRPr="004559B7">
        <w:rPr>
          <w:rFonts w:ascii="Calibri" w:hAnsi="Calibri" w:cs="Calibri"/>
        </w:rPr>
        <w:t xml:space="preserve">Hg and </w:t>
      </w:r>
      <w:r w:rsidR="008B3B95" w:rsidRPr="004559B7">
        <w:rPr>
          <w:rFonts w:ascii="Calibri" w:hAnsi="Calibri" w:cs="Calibri"/>
          <w:vertAlign w:val="superscript"/>
        </w:rPr>
        <w:t>210</w:t>
      </w:r>
      <w:r w:rsidR="008B3B95" w:rsidRPr="004559B7">
        <w:rPr>
          <w:rFonts w:ascii="Calibri" w:hAnsi="Calibri" w:cs="Calibri"/>
        </w:rPr>
        <w:t xml:space="preserve">Po </w:t>
      </w:r>
      <w:r w:rsidR="00C22A75">
        <w:rPr>
          <w:rFonts w:ascii="Calibri" w:hAnsi="Calibri" w:cs="Calibri"/>
        </w:rPr>
        <w:t>equates to activities of</w:t>
      </w:r>
      <w:r w:rsidR="008B3B95" w:rsidRPr="004559B7">
        <w:rPr>
          <w:rFonts w:ascii="Calibri" w:hAnsi="Calibri" w:cs="Calibri"/>
        </w:rPr>
        <w:t xml:space="preserve"> 1332 GBq and 66.6 GBq, respectively </w:t>
      </w:r>
      <w:r w:rsidR="00CE79FE" w:rsidRPr="004559B7">
        <w:rPr>
          <w:rFonts w:ascii="Calibri" w:hAnsi="Calibri" w:cs="Calibri"/>
        </w:rPr>
        <w:fldChar w:fldCharType="begin" w:fldLock="1"/>
      </w:r>
      <w:r w:rsidR="00C14502">
        <w:rPr>
          <w:rFonts w:ascii="Calibri" w:hAnsi="Calibri" w:cs="Calibri"/>
        </w:rPr>
        <w:instrText>ADDIN CSL_CITATION {"citationItems":[{"id":"ITEM-1","itemData":{"DOI":"10.1016/j.fusengdes.2014.04.076","abstract":"a b s t r a c t A leading power reactor breeding blanket candidate for a fusion demonstration power plant (DEMO) being pursued by the US Fusion Community is the Dual Coolant Lead Lithium (DCLL) concept. The safety hazards associated with the DCLL concept as a reactor blanket have been examined in several US design studies. These studies identify the largest radiological hazards as those associated with the dust gen-eration by plasma erosion of plasma blanket module first walls, oxidation of blanket structures at high temperature in air or steam, inventories of tritium bred in or permeating through the ferritic steel struc-tures of the blanket module and blanket support systems, and the 210 Po and 203 Hg produced in the PbLi breeder/coolant. What these studies lack is the scrutiny associated with a licensing review of the DCLL concept. An insight into this process was gained during the US participation in the ITER Test Blanket Module (TBM) Program. In this paper we discuss the lessons learned during this activity and make safety proposals for the design of a Fusion Nuclear Science Facility (FNSF) or a DEMO that employs a lead lithium breeding blanket.","author":[{"dropping-particle":"","family":"Merrill","given":"B J","non-dropping-particle":"","parse-names":false,"suffix":""},{"dropping-particle":"","family":"Wong","given":"C P C","non-dropping-particle":"","parse-names":false,"suffix":""},{"dropping-particle":"","family":"Cadwallader","given":"L C","non-dropping-particle":"","parse-names":false,"suffix":""},{"dropping-particle":"","family":"Abdou","given":"M","non-dropping-particle":"","parse-names":false,"suffix":""},{"dropping-particle":"","family":"Morley","given":"N B","non-dropping-particle":"","parse-names":false,"suffix":""}],"container-title":"Fusion Engineering and Design","id":"ITEM-1","issued":{"date-parts":[["2014"]]},"title":"Normal operation and maintenance safety lessons from the ITER US PbLi test blanket module program for a US FNSF and DEMO","type":"article-journal","volume":"89"},"uris":["http://www.mendeley.com/documents/?uuid=1d3c0e92-675e-389e-b670-ac56f9746d18"]}],"mendeley":{"formattedCitation":"[35]","plainTextFormattedCitation":"[35]","previouslyFormattedCitation":"[35]"},"properties":{"noteIndex":0},"schema":"https://github.com/citation-style-language/schema/raw/master/csl-citation.json"}</w:instrText>
      </w:r>
      <w:r w:rsidR="00CE79FE" w:rsidRPr="004559B7">
        <w:rPr>
          <w:rFonts w:ascii="Calibri" w:hAnsi="Calibri" w:cs="Calibri"/>
        </w:rPr>
        <w:fldChar w:fldCharType="separate"/>
      </w:r>
      <w:r w:rsidR="00C14502" w:rsidRPr="00C14502">
        <w:rPr>
          <w:rFonts w:ascii="Calibri" w:hAnsi="Calibri" w:cs="Calibri"/>
          <w:noProof/>
        </w:rPr>
        <w:t>[35]</w:t>
      </w:r>
      <w:r w:rsidR="00CE79FE" w:rsidRPr="004559B7">
        <w:rPr>
          <w:rFonts w:ascii="Calibri" w:hAnsi="Calibri" w:cs="Calibri"/>
        </w:rPr>
        <w:fldChar w:fldCharType="end"/>
      </w:r>
      <w:r w:rsidR="00CE79FE" w:rsidRPr="004559B7">
        <w:rPr>
          <w:rFonts w:ascii="Calibri" w:hAnsi="Calibri" w:cs="Calibri"/>
        </w:rPr>
        <w:t>.</w:t>
      </w:r>
      <w:r w:rsidR="003473B4" w:rsidRPr="004559B7">
        <w:rPr>
          <w:rFonts w:ascii="Calibri" w:hAnsi="Calibri" w:cs="Calibri"/>
        </w:rPr>
        <w:t xml:space="preserve"> If an accident were to occur that resulted in </w:t>
      </w:r>
      <w:r w:rsidR="00483A63">
        <w:rPr>
          <w:rFonts w:ascii="Calibri" w:hAnsi="Calibri" w:cs="Calibri"/>
        </w:rPr>
        <w:t xml:space="preserve">the deterioration of confinement barriers and </w:t>
      </w:r>
      <w:r w:rsidR="003473B4" w:rsidRPr="004559B7">
        <w:rPr>
          <w:rFonts w:ascii="Calibri" w:hAnsi="Calibri" w:cs="Calibri"/>
        </w:rPr>
        <w:t xml:space="preserve">the release of the entire </w:t>
      </w:r>
      <w:r w:rsidR="003473B4" w:rsidRPr="004559B7">
        <w:rPr>
          <w:rFonts w:ascii="Calibri" w:hAnsi="Calibri" w:cs="Calibri"/>
          <w:vertAlign w:val="superscript"/>
        </w:rPr>
        <w:t>210</w:t>
      </w:r>
      <w:r w:rsidR="003473B4" w:rsidRPr="004559B7">
        <w:rPr>
          <w:rFonts w:ascii="Calibri" w:hAnsi="Calibri" w:cs="Calibri"/>
        </w:rPr>
        <w:t>Po inventory to the environment,</w:t>
      </w:r>
      <w:r w:rsidR="000D60D8">
        <w:rPr>
          <w:rFonts w:ascii="Calibri" w:hAnsi="Calibri" w:cs="Calibri"/>
        </w:rPr>
        <w:t xml:space="preserve"> assuming average weather conditions (P-G stability conditions D with a wind speed of 4 m/s), </w:t>
      </w:r>
      <w:r w:rsidR="003473B4" w:rsidRPr="004559B7">
        <w:rPr>
          <w:rFonts w:ascii="Calibri" w:hAnsi="Calibri" w:cs="Calibri"/>
        </w:rPr>
        <w:t xml:space="preserve">the dose at the site boundary would be </w:t>
      </w:r>
      <w:r w:rsidR="003473B4" w:rsidRPr="003B4EB4">
        <w:rPr>
          <w:rFonts w:ascii="Calibri" w:hAnsi="Calibri" w:cs="Calibri"/>
        </w:rPr>
        <w:t>0.08 mSv</w:t>
      </w:r>
      <w:r w:rsidR="000D60D8" w:rsidRPr="003B4EB4">
        <w:rPr>
          <w:rFonts w:ascii="Calibri" w:hAnsi="Calibri" w:cs="Calibri"/>
        </w:rPr>
        <w:t xml:space="preserve"> </w:t>
      </w:r>
      <w:r w:rsidR="003473B4" w:rsidRPr="003B4EB4">
        <w:rPr>
          <w:rFonts w:ascii="Calibri" w:hAnsi="Calibri" w:cs="Calibri"/>
        </w:rPr>
        <w:fldChar w:fldCharType="begin" w:fldLock="1"/>
      </w:r>
      <w:r w:rsidR="00C14502">
        <w:rPr>
          <w:rFonts w:ascii="Calibri" w:hAnsi="Calibri" w:cs="Calibri"/>
        </w:rPr>
        <w:instrText>ADDIN CSL_CITATION {"citationItems":[{"id":"ITEM-1","itemData":{"DOI":"10.1016/j.fusengdes.2014.04.076","abstract":"a b s t r a c t A leading power reactor breeding blanket candidate for a fusion demonstration power plant (DEMO) being pursued by the US Fusion Community is the Dual Coolant Lead Lithium (DCLL) concept. The safety hazards associated with the DCLL concept as a reactor blanket have been examined in several US design studies. These studies identify the largest radiological hazards as those associated with the dust gen-eration by plasma erosion of plasma blanket module first walls, oxidation of blanket structures at high temperature in air or steam, inventories of tritium bred in or permeating through the ferritic steel struc-tures of the blanket module and blanket support systems, and the 210 Po and 203 Hg produced in the PbLi breeder/coolant. What these studies lack is the scrutiny associated with a licensing review of the DCLL concept. An insight into this process was gained during the US participation in the ITER Test Blanket Module (TBM) Program. In this paper we discuss the lessons learned during this activity and make safety proposals for the design of a Fusion Nuclear Science Facility (FNSF) or a DEMO that employs a lead lithium breeding blanket.","author":[{"dropping-particle":"","family":"Merrill","given":"B J","non-dropping-particle":"","parse-names":false,"suffix":""},{"dropping-particle":"","family":"Wong","given":"C P C","non-dropping-particle":"","parse-names":false,"suffix":""},{"dropping-particle":"","family":"Cadwallader","given":"L C","non-dropping-particle":"","parse-names":false,"suffix":""},{"dropping-particle":"","family":"Abdou","given":"M","non-dropping-particle":"","parse-names":false,"suffix":""},{"dropping-particle":"","family":"Morley","given":"N B","non-dropping-particle":"","parse-names":false,"suffix":""}],"container-title":"Fusion Engineering and Design","id":"ITEM-1","issued":{"date-parts":[["2014"]]},"title":"Normal operation and maintenance safety lessons from the ITER US PbLi test blanket module program for a US FNSF and DEMO","type":"article-journal","volume":"89"},"uris":["http://www.mendeley.com/documents/?uuid=1d3c0e92-675e-389e-b670-ac56f9746d18"]}],"mendeley":{"formattedCitation":"[35]","plainTextFormattedCitation":"[35]","previouslyFormattedCitation":"[35]"},"properties":{"noteIndex":0},"schema":"https://github.com/citation-style-language/schema/raw/master/csl-citation.json"}</w:instrText>
      </w:r>
      <w:r w:rsidR="003473B4" w:rsidRPr="003B4EB4">
        <w:rPr>
          <w:rFonts w:ascii="Calibri" w:hAnsi="Calibri" w:cs="Calibri"/>
        </w:rPr>
        <w:fldChar w:fldCharType="separate"/>
      </w:r>
      <w:r w:rsidR="00C14502" w:rsidRPr="00C14502">
        <w:rPr>
          <w:rFonts w:ascii="Calibri" w:hAnsi="Calibri" w:cs="Calibri"/>
          <w:noProof/>
        </w:rPr>
        <w:t>[35]</w:t>
      </w:r>
      <w:r w:rsidR="003473B4" w:rsidRPr="003B4EB4">
        <w:rPr>
          <w:rFonts w:ascii="Calibri" w:hAnsi="Calibri" w:cs="Calibri"/>
        </w:rPr>
        <w:fldChar w:fldCharType="end"/>
      </w:r>
      <w:r w:rsidR="003473B4" w:rsidRPr="003B4EB4">
        <w:rPr>
          <w:rFonts w:ascii="Calibri" w:hAnsi="Calibri" w:cs="Calibri"/>
        </w:rPr>
        <w:t xml:space="preserve">. Similarly, if the entire </w:t>
      </w:r>
      <w:r w:rsidR="003473B4" w:rsidRPr="003B4EB4">
        <w:rPr>
          <w:rFonts w:ascii="Calibri" w:hAnsi="Calibri" w:cs="Calibri"/>
          <w:vertAlign w:val="superscript"/>
        </w:rPr>
        <w:t>203</w:t>
      </w:r>
      <w:r w:rsidR="003473B4" w:rsidRPr="003B4EB4">
        <w:rPr>
          <w:rFonts w:ascii="Calibri" w:hAnsi="Calibri" w:cs="Calibri"/>
        </w:rPr>
        <w:t xml:space="preserve">Hg </w:t>
      </w:r>
      <w:r w:rsidR="003473B4" w:rsidRPr="003B4EB4">
        <w:rPr>
          <w:rFonts w:ascii="Calibri" w:hAnsi="Calibri" w:cs="Calibri"/>
        </w:rPr>
        <w:lastRenderedPageBreak/>
        <w:t>were to be released, the dose at the boundary would be 0.002 mSv</w:t>
      </w:r>
      <w:r w:rsidR="003473B4" w:rsidRPr="004559B7">
        <w:rPr>
          <w:rFonts w:ascii="Calibri" w:hAnsi="Calibri" w:cs="Calibri"/>
        </w:rPr>
        <w:t>.</w:t>
      </w:r>
      <w:r w:rsidR="00536111" w:rsidRPr="004559B7">
        <w:rPr>
          <w:rFonts w:ascii="Calibri" w:hAnsi="Calibri" w:cs="Calibri"/>
        </w:rPr>
        <w:t xml:space="preserve"> </w:t>
      </w:r>
      <w:r w:rsidR="00B752E1">
        <w:rPr>
          <w:rFonts w:ascii="Calibri" w:hAnsi="Calibri" w:cs="Calibri"/>
        </w:rPr>
        <w:t>Whilst these doses are low, it is worth bearing in mind these estimates are for a single blanket module.</w:t>
      </w:r>
      <w:r w:rsidR="00CC3C99">
        <w:rPr>
          <w:rFonts w:ascii="Calibri" w:hAnsi="Calibri" w:cs="Calibri"/>
        </w:rPr>
        <w:t xml:space="preserve"> </w:t>
      </w:r>
      <w:r w:rsidR="00022EE2">
        <w:rPr>
          <w:rFonts w:ascii="Calibri" w:hAnsi="Calibri" w:cs="Calibri"/>
        </w:rPr>
        <w:t xml:space="preserve">Investigation of the potential consequences of an unplanned release of inventories of </w:t>
      </w:r>
      <w:r w:rsidR="00022EE2" w:rsidRPr="003B4EB4">
        <w:rPr>
          <w:rFonts w:ascii="Calibri" w:hAnsi="Calibri" w:cs="Calibri"/>
          <w:vertAlign w:val="superscript"/>
        </w:rPr>
        <w:t>203</w:t>
      </w:r>
      <w:r w:rsidR="00022EE2" w:rsidRPr="003B4EB4">
        <w:rPr>
          <w:rFonts w:ascii="Calibri" w:hAnsi="Calibri" w:cs="Calibri"/>
        </w:rPr>
        <w:t>Hg</w:t>
      </w:r>
      <w:r w:rsidR="00022EE2">
        <w:rPr>
          <w:rFonts w:ascii="Calibri" w:hAnsi="Calibri" w:cs="Calibri"/>
        </w:rPr>
        <w:t xml:space="preserve"> and </w:t>
      </w:r>
      <w:r w:rsidR="00022EE2" w:rsidRPr="004559B7">
        <w:rPr>
          <w:rFonts w:ascii="Calibri" w:hAnsi="Calibri" w:cs="Calibri"/>
          <w:vertAlign w:val="superscript"/>
        </w:rPr>
        <w:t>210</w:t>
      </w:r>
      <w:r w:rsidR="00022EE2" w:rsidRPr="004559B7">
        <w:rPr>
          <w:rFonts w:ascii="Calibri" w:hAnsi="Calibri" w:cs="Calibri"/>
        </w:rPr>
        <w:t>Po</w:t>
      </w:r>
      <w:r w:rsidR="00022EE2">
        <w:rPr>
          <w:rFonts w:ascii="Calibri" w:hAnsi="Calibri" w:cs="Calibri"/>
        </w:rPr>
        <w:t xml:space="preserve"> in a fusion power plant needs further work, in order to inform the design of the blanket cooling systems to avoid a LOCA resulting in an unacceptable release of radioactivity.</w:t>
      </w:r>
    </w:p>
    <w:p w:rsidR="0093319D" w:rsidRDefault="0093319D" w:rsidP="00ED0F2E">
      <w:pPr>
        <w:rPr>
          <w:rFonts w:ascii="Calibri" w:hAnsi="Calibri" w:cs="Calibri"/>
        </w:rPr>
      </w:pPr>
    </w:p>
    <w:p w:rsidR="006759AA" w:rsidRDefault="00F34911" w:rsidP="00ED0F2E">
      <w:pPr>
        <w:rPr>
          <w:rFonts w:ascii="Calibri" w:hAnsi="Calibri" w:cs="Calibri"/>
        </w:rPr>
      </w:pPr>
      <w:r>
        <w:rPr>
          <w:rFonts w:ascii="Calibri" w:hAnsi="Calibri" w:cs="Calibri"/>
        </w:rPr>
        <w:t>During operation, the only release pathways for the</w:t>
      </w:r>
      <w:r w:rsidR="00314BAB">
        <w:rPr>
          <w:rFonts w:ascii="Calibri" w:hAnsi="Calibri" w:cs="Calibri"/>
        </w:rPr>
        <w:t xml:space="preserve"> lead-lithium</w:t>
      </w:r>
      <w:r>
        <w:rPr>
          <w:rFonts w:ascii="Calibri" w:hAnsi="Calibri" w:cs="Calibri"/>
        </w:rPr>
        <w:t xml:space="preserve"> </w:t>
      </w:r>
      <w:r w:rsidR="00314BAB">
        <w:rPr>
          <w:rFonts w:ascii="Calibri" w:hAnsi="Calibri" w:cs="Calibri"/>
        </w:rPr>
        <w:t>(</w:t>
      </w:r>
      <w:r>
        <w:rPr>
          <w:rFonts w:ascii="Calibri" w:hAnsi="Calibri" w:cs="Calibri"/>
        </w:rPr>
        <w:t>PbLi</w:t>
      </w:r>
      <w:r w:rsidR="00314BAB">
        <w:rPr>
          <w:rFonts w:ascii="Calibri" w:hAnsi="Calibri" w:cs="Calibri"/>
        </w:rPr>
        <w:t>)</w:t>
      </w:r>
      <w:r w:rsidR="00870B64">
        <w:rPr>
          <w:rFonts w:ascii="Calibri" w:hAnsi="Calibri" w:cs="Calibri"/>
        </w:rPr>
        <w:t xml:space="preserve"> coolant</w:t>
      </w:r>
      <w:r w:rsidR="00AA180D">
        <w:rPr>
          <w:rFonts w:ascii="Calibri" w:hAnsi="Calibri" w:cs="Calibri"/>
        </w:rPr>
        <w:t xml:space="preserve"> in the DCLL blanket</w:t>
      </w:r>
      <w:r>
        <w:rPr>
          <w:rFonts w:ascii="Calibri" w:hAnsi="Calibri" w:cs="Calibri"/>
        </w:rPr>
        <w:t xml:space="preserve"> are through potential leaks in the pumping systems.</w:t>
      </w:r>
      <w:r w:rsidR="007E17F2">
        <w:rPr>
          <w:rFonts w:ascii="Calibri" w:hAnsi="Calibri" w:cs="Calibri"/>
        </w:rPr>
        <w:t xml:space="preserve"> This is a similar concern </w:t>
      </w:r>
      <w:r w:rsidR="001237B3">
        <w:rPr>
          <w:rFonts w:ascii="Calibri" w:hAnsi="Calibri" w:cs="Calibri"/>
        </w:rPr>
        <w:t>for</w:t>
      </w:r>
      <w:r w:rsidR="007E17F2">
        <w:rPr>
          <w:rFonts w:ascii="Calibri" w:hAnsi="Calibri" w:cs="Calibri"/>
        </w:rPr>
        <w:t xml:space="preserve"> the release of tritium during operation and will need to be </w:t>
      </w:r>
      <w:r w:rsidR="00777AB5">
        <w:rPr>
          <w:rFonts w:ascii="Calibri" w:hAnsi="Calibri" w:cs="Calibri"/>
        </w:rPr>
        <w:t>addressed in the pre-construction safety case.</w:t>
      </w:r>
      <w:r w:rsidR="0006057A">
        <w:rPr>
          <w:rFonts w:ascii="Calibri" w:hAnsi="Calibri" w:cs="Calibri"/>
        </w:rPr>
        <w:t xml:space="preserve"> </w:t>
      </w:r>
      <w:r w:rsidR="00330899">
        <w:rPr>
          <w:rFonts w:ascii="Calibri" w:hAnsi="Calibri" w:cs="Calibri"/>
        </w:rPr>
        <w:t>Potential spills of the PbLi during maintenance activities will also need to be investigated, in order to protect workers.</w:t>
      </w:r>
      <w:r w:rsidR="00AA3A65">
        <w:rPr>
          <w:rFonts w:ascii="Calibri" w:hAnsi="Calibri" w:cs="Calibri"/>
        </w:rPr>
        <w:t xml:space="preserve"> </w:t>
      </w:r>
      <w:r w:rsidR="00777AB5">
        <w:rPr>
          <w:rFonts w:ascii="Calibri" w:hAnsi="Calibri" w:cs="Calibri"/>
        </w:rPr>
        <w:t xml:space="preserve">Ref </w:t>
      </w:r>
      <w:r w:rsidR="00777AB5">
        <w:rPr>
          <w:rFonts w:ascii="Calibri" w:hAnsi="Calibri" w:cs="Calibri"/>
        </w:rPr>
        <w:fldChar w:fldCharType="begin" w:fldLock="1"/>
      </w:r>
      <w:r w:rsidR="00C14502">
        <w:rPr>
          <w:rFonts w:ascii="Calibri" w:hAnsi="Calibri" w:cs="Calibri"/>
        </w:rPr>
        <w:instrText>ADDIN CSL_CITATION {"citationItems":[{"id":"ITEM-1","itemData":{"DOI":"10.1016/j.fusengdes.2005.06.351","ISBN":"0920-3796","ISSN":"09203796","abstract":"ARIES-AT is a 1000 MWe conceptual fusion power plant design with a very low projected cost of electricity. The design contains many innovative features to improve both the physics and engineering performance of the system. From the safety and environmental perspective, there is greater depth to the overall analysis than in past ARIES studies. For ARIES-AT, the overall spectrum of off-normal events to be examined has been broadened. They include conventional loss of coolant and loss of flow events, an ex-vessel loss of coolant, and in-vessel off-normal events that mobilize in-vessel inventories (e.g., tritium and tokamak dust) and bypass primary confinement such as a loss of vacuum and an in-vessel loss of coolant with bypass. This broader examination of accidents improves the robustness of the design from the safety perspective and gives additional confidence that the facility can meet the no-evacuation requirement under average weather conditions. We also provide a systematic assessment of the design to address key safety functions such as confinement, decay heat removal, and chemical energy control. In the area of waste management, both the volume of the component and its hazard are used to classify the waste. In comparison to previous ARIES designs, the overall waste volume is less because of the compact design.","author":[{"dropping-particle":"","family":"Petti","given":"D. A.","non-dropping-particle":"","parse-names":false,"suffix":""},{"dropping-particle":"","family":"Merrill","given":"B. J.","non-dropping-particle":"","parse-names":false,"suffix":""},{"dropping-particle":"","family":"Moore","given":"R. L.","non-dropping-particle":"","parse-names":false,"suffix":""},{"dropping-particle":"","family":"Longhurst","given":"G. R.","non-dropping-particle":"","parse-names":false,"suffix":""},{"dropping-particle":"","family":"El-Guebaly","given":"L.","non-dropping-particle":"","parse-names":false,"suffix":""},{"dropping-particle":"","family":"Mogahed","given":"E.","non-dropping-particle":"","parse-names":false,"suffix":""},{"dropping-particle":"","family":"Henderson","given":"D.","non-dropping-particle":"","parse-names":false,"suffix":""},{"dropping-particle":"","family":"Wilson","given":"P.","non-dropping-particle":"","parse-names":false,"suffix":""},{"dropping-particle":"","family":"Abdou","given":"A.","non-dropping-particle":"","parse-names":false,"suffix":""}],"container-title":"Fusion Engineering and Design","id":"ITEM-1","issue":"1-4","issued":{"date-parts":[["2006"]]},"page":"111-137","title":"ARIES-AT safety design and analysis","type":"article-journal","volume":"80"},"uris":["http://www.mendeley.com/documents/?uuid=b82bd0a2-2f42-4716-b274-a16201df5370"]}],"mendeley":{"formattedCitation":"[36]","plainTextFormattedCitation":"[36]","previouslyFormattedCitation":"[36]"},"properties":{"noteIndex":0},"schema":"https://github.com/citation-style-language/schema/raw/master/csl-citation.json"}</w:instrText>
      </w:r>
      <w:r w:rsidR="00777AB5">
        <w:rPr>
          <w:rFonts w:ascii="Calibri" w:hAnsi="Calibri" w:cs="Calibri"/>
        </w:rPr>
        <w:fldChar w:fldCharType="separate"/>
      </w:r>
      <w:r w:rsidR="00C14502" w:rsidRPr="00C14502">
        <w:rPr>
          <w:rFonts w:ascii="Calibri" w:hAnsi="Calibri" w:cs="Calibri"/>
          <w:noProof/>
        </w:rPr>
        <w:t>[36]</w:t>
      </w:r>
      <w:r w:rsidR="00777AB5">
        <w:rPr>
          <w:rFonts w:ascii="Calibri" w:hAnsi="Calibri" w:cs="Calibri"/>
        </w:rPr>
        <w:fldChar w:fldCharType="end"/>
      </w:r>
      <w:r w:rsidR="004C58F0">
        <w:rPr>
          <w:rFonts w:ascii="Calibri" w:hAnsi="Calibri" w:cs="Calibri"/>
        </w:rPr>
        <w:t xml:space="preserve"> reports work on the modelling of the blanket in a </w:t>
      </w:r>
      <w:r w:rsidR="00AA3A65">
        <w:rPr>
          <w:rFonts w:ascii="Calibri" w:hAnsi="Calibri" w:cs="Calibri"/>
        </w:rPr>
        <w:t>conceptual 1000 MWe fusion plant design to identify safety issues and develop mitigation strategies</w:t>
      </w:r>
      <w:r w:rsidR="00777AB5">
        <w:rPr>
          <w:rFonts w:ascii="Calibri" w:hAnsi="Calibri" w:cs="Calibri"/>
        </w:rPr>
        <w:t>.</w:t>
      </w:r>
      <w:r w:rsidR="008615D4">
        <w:rPr>
          <w:rFonts w:ascii="Calibri" w:hAnsi="Calibri" w:cs="Calibri"/>
        </w:rPr>
        <w:t xml:space="preserve"> The most promising approach is the introduction of online bismuth removal to 1 ppm</w:t>
      </w:r>
      <w:r w:rsidR="00E53064">
        <w:rPr>
          <w:rFonts w:ascii="Calibri" w:hAnsi="Calibri" w:cs="Calibri"/>
        </w:rPr>
        <w:t>.</w:t>
      </w:r>
      <w:r w:rsidR="008615D4">
        <w:rPr>
          <w:rFonts w:ascii="Calibri" w:hAnsi="Calibri" w:cs="Calibri"/>
        </w:rPr>
        <w:t xml:space="preserve"> </w:t>
      </w:r>
      <w:r w:rsidR="00E53064">
        <w:rPr>
          <w:rFonts w:ascii="Calibri" w:hAnsi="Calibri" w:cs="Calibri"/>
        </w:rPr>
        <w:t>A</w:t>
      </w:r>
      <w:r w:rsidR="008615D4">
        <w:rPr>
          <w:rFonts w:ascii="Calibri" w:hAnsi="Calibri" w:cs="Calibri"/>
        </w:rPr>
        <w:t xml:space="preserve">s </w:t>
      </w:r>
      <w:r w:rsidR="008615D4" w:rsidRPr="00AA3A65">
        <w:rPr>
          <w:rFonts w:ascii="Calibri" w:hAnsi="Calibri" w:cs="Calibri"/>
        </w:rPr>
        <w:t>﻿</w:t>
      </w:r>
      <w:r w:rsidR="008615D4">
        <w:rPr>
          <w:rFonts w:ascii="Calibri" w:hAnsi="Calibri" w:cs="Calibri"/>
          <w:vertAlign w:val="superscript"/>
        </w:rPr>
        <w:t>209</w:t>
      </w:r>
      <w:r w:rsidR="008615D4">
        <w:rPr>
          <w:rFonts w:ascii="Calibri" w:hAnsi="Calibri" w:cs="Calibri"/>
        </w:rPr>
        <w:t xml:space="preserve">Bi acts as a precursor to </w:t>
      </w:r>
      <w:r w:rsidR="008615D4">
        <w:rPr>
          <w:rFonts w:ascii="Calibri" w:hAnsi="Calibri" w:cs="Calibri"/>
          <w:vertAlign w:val="superscript"/>
        </w:rPr>
        <w:t>210</w:t>
      </w:r>
      <w:r w:rsidR="008615D4">
        <w:rPr>
          <w:rFonts w:ascii="Calibri" w:hAnsi="Calibri" w:cs="Calibri"/>
        </w:rPr>
        <w:t>Po</w:t>
      </w:r>
      <w:r w:rsidR="00E53064">
        <w:rPr>
          <w:rFonts w:ascii="Calibri" w:hAnsi="Calibri" w:cs="Calibri"/>
        </w:rPr>
        <w:t>,</w:t>
      </w:r>
      <w:r w:rsidR="008615D4">
        <w:rPr>
          <w:rFonts w:ascii="Calibri" w:hAnsi="Calibri" w:cs="Calibri"/>
        </w:rPr>
        <w:t xml:space="preserve"> </w:t>
      </w:r>
      <w:r w:rsidR="00E53064">
        <w:rPr>
          <w:rFonts w:ascii="Calibri" w:hAnsi="Calibri" w:cs="Calibri"/>
        </w:rPr>
        <w:t>r</w:t>
      </w:r>
      <w:r w:rsidR="00AA3A65">
        <w:rPr>
          <w:rFonts w:ascii="Calibri" w:hAnsi="Calibri" w:cs="Calibri"/>
        </w:rPr>
        <w:t xml:space="preserve">educing the </w:t>
      </w:r>
      <w:r w:rsidR="00AA3A65">
        <w:rPr>
          <w:rFonts w:ascii="Calibri" w:hAnsi="Calibri" w:cs="Calibri"/>
          <w:vertAlign w:val="superscript"/>
        </w:rPr>
        <w:t>209</w:t>
      </w:r>
      <w:r w:rsidR="00AA3A65">
        <w:rPr>
          <w:rFonts w:ascii="Calibri" w:hAnsi="Calibri" w:cs="Calibri"/>
        </w:rPr>
        <w:t xml:space="preserve">Bi can limit the </w:t>
      </w:r>
      <w:r w:rsidR="00AA3A65">
        <w:rPr>
          <w:rFonts w:ascii="Calibri" w:hAnsi="Calibri" w:cs="Calibri"/>
          <w:vertAlign w:val="superscript"/>
        </w:rPr>
        <w:t>210</w:t>
      </w:r>
      <w:r w:rsidR="00AA3A65">
        <w:rPr>
          <w:rFonts w:ascii="Calibri" w:hAnsi="Calibri" w:cs="Calibri"/>
        </w:rPr>
        <w:t>Po inventory.</w:t>
      </w:r>
      <w:r w:rsidR="007A38C8">
        <w:rPr>
          <w:rFonts w:ascii="Calibri" w:hAnsi="Calibri" w:cs="Calibri"/>
        </w:rPr>
        <w:t xml:space="preserve"> Due to the volatility of these radioactive isotopes, there is a potential for an off-site release. A detailed safety analysis of the accident scenarios is required in order to determine the appropriate containment system for a fusion reactor.</w:t>
      </w:r>
    </w:p>
    <w:p w:rsidR="0033557B" w:rsidRDefault="0033557B" w:rsidP="00ED0F2E">
      <w:pPr>
        <w:rPr>
          <w:rFonts w:ascii="Calibri" w:hAnsi="Calibri" w:cs="Calibri"/>
        </w:rPr>
      </w:pPr>
    </w:p>
    <w:p w:rsidR="00956784" w:rsidRDefault="00956784" w:rsidP="00ED0F2E">
      <w:pPr>
        <w:rPr>
          <w:rFonts w:ascii="Calibri" w:hAnsi="Calibri" w:cs="Calibri"/>
          <w:b/>
        </w:rPr>
      </w:pPr>
      <w:r w:rsidRPr="00956784">
        <w:rPr>
          <w:rFonts w:ascii="Calibri" w:hAnsi="Calibri" w:cs="Calibri"/>
          <w:b/>
        </w:rPr>
        <w:t xml:space="preserve">5.3 Loss of </w:t>
      </w:r>
      <w:r w:rsidR="002D7B4C">
        <w:rPr>
          <w:rFonts w:ascii="Calibri" w:hAnsi="Calibri" w:cs="Calibri"/>
          <w:b/>
        </w:rPr>
        <w:t>V</w:t>
      </w:r>
      <w:r w:rsidRPr="00956784">
        <w:rPr>
          <w:rFonts w:ascii="Calibri" w:hAnsi="Calibri" w:cs="Calibri"/>
          <w:b/>
        </w:rPr>
        <w:t xml:space="preserve">acuum </w:t>
      </w:r>
      <w:r w:rsidR="002D7B4C">
        <w:rPr>
          <w:rFonts w:ascii="Calibri" w:hAnsi="Calibri" w:cs="Calibri"/>
          <w:b/>
        </w:rPr>
        <w:t>V</w:t>
      </w:r>
      <w:r w:rsidRPr="00956784">
        <w:rPr>
          <w:rFonts w:ascii="Calibri" w:hAnsi="Calibri" w:cs="Calibri"/>
          <w:b/>
        </w:rPr>
        <w:t xml:space="preserve">essel </w:t>
      </w:r>
      <w:r w:rsidR="002D7B4C">
        <w:rPr>
          <w:rFonts w:ascii="Calibri" w:hAnsi="Calibri" w:cs="Calibri"/>
          <w:b/>
        </w:rPr>
        <w:t>I</w:t>
      </w:r>
      <w:r w:rsidRPr="00956784">
        <w:rPr>
          <w:rFonts w:ascii="Calibri" w:hAnsi="Calibri" w:cs="Calibri"/>
          <w:b/>
        </w:rPr>
        <w:t>ntegrity</w:t>
      </w:r>
    </w:p>
    <w:p w:rsidR="00764281" w:rsidRDefault="00764281" w:rsidP="00ED0F2E">
      <w:pPr>
        <w:rPr>
          <w:rFonts w:ascii="Calibri" w:hAnsi="Calibri" w:cs="Calibri"/>
          <w:b/>
        </w:rPr>
      </w:pPr>
    </w:p>
    <w:p w:rsidR="00764281" w:rsidRDefault="00764281" w:rsidP="00ED0F2E">
      <w:pPr>
        <w:rPr>
          <w:rFonts w:ascii="Calibri" w:hAnsi="Calibri" w:cs="Calibri"/>
          <w:b/>
          <w:i/>
        </w:rPr>
      </w:pPr>
      <w:r w:rsidRPr="00DD5ECA">
        <w:rPr>
          <w:rFonts w:ascii="Calibri" w:hAnsi="Calibri" w:cs="Calibri"/>
          <w:b/>
          <w:i/>
        </w:rPr>
        <w:t>5.3.1 Failure of</w:t>
      </w:r>
      <w:r w:rsidR="002D7B4C">
        <w:rPr>
          <w:rFonts w:ascii="Calibri" w:hAnsi="Calibri" w:cs="Calibri"/>
          <w:b/>
          <w:i/>
        </w:rPr>
        <w:t xml:space="preserve"> P</w:t>
      </w:r>
      <w:r w:rsidRPr="00DD5ECA">
        <w:rPr>
          <w:rFonts w:ascii="Calibri" w:hAnsi="Calibri" w:cs="Calibri"/>
          <w:b/>
          <w:i/>
        </w:rPr>
        <w:t>enetration</w:t>
      </w:r>
    </w:p>
    <w:p w:rsidR="00E84BFC" w:rsidRDefault="00E84BFC" w:rsidP="00ED0F2E">
      <w:pPr>
        <w:rPr>
          <w:rFonts w:ascii="Calibri" w:hAnsi="Calibri" w:cs="Calibri"/>
          <w:b/>
          <w:i/>
        </w:rPr>
      </w:pPr>
      <w:bookmarkStart w:id="2" w:name="_GoBack"/>
      <w:bookmarkEnd w:id="2"/>
    </w:p>
    <w:p w:rsidR="00E84BFC" w:rsidRDefault="00E84BFC" w:rsidP="00ED0F2E">
      <w:pPr>
        <w:rPr>
          <w:rFonts w:ascii="Calibri" w:hAnsi="Calibri" w:cs="Calibri"/>
        </w:rPr>
      </w:pPr>
      <w:r>
        <w:rPr>
          <w:rFonts w:ascii="Calibri" w:hAnsi="Calibri" w:cs="Calibri"/>
        </w:rPr>
        <w:t xml:space="preserve">Failure of penetrations in the vacuum vessel (VV) can result in a loss of vacuum and ingress of air into the vessel itself. These are typically called loss of vacuum accidents (LOVA). As part of the </w:t>
      </w:r>
      <w:r w:rsidR="001D4968">
        <w:rPr>
          <w:rFonts w:ascii="Calibri" w:hAnsi="Calibri" w:cs="Calibri"/>
        </w:rPr>
        <w:t>RPrS</w:t>
      </w:r>
      <w:r>
        <w:rPr>
          <w:rFonts w:ascii="Calibri" w:hAnsi="Calibri" w:cs="Calibri"/>
        </w:rPr>
        <w:t xml:space="preserve"> at</w:t>
      </w:r>
      <w:r w:rsidRPr="00E84BFC">
        <w:rPr>
          <w:rFonts w:ascii="Calibri" w:hAnsi="Calibri" w:cs="Calibri"/>
        </w:rPr>
        <w:t xml:space="preserve"> </w:t>
      </w:r>
      <w:r>
        <w:rPr>
          <w:rFonts w:ascii="Calibri" w:hAnsi="Calibri" w:cs="Calibri"/>
        </w:rPr>
        <w:t>ITER</w:t>
      </w:r>
      <w:r w:rsidR="00F407D8">
        <w:rPr>
          <w:rFonts w:ascii="Calibri" w:hAnsi="Calibri" w:cs="Calibri"/>
        </w:rPr>
        <w:t xml:space="preserve"> </w:t>
      </w:r>
      <w:r w:rsidR="00F407D8">
        <w:rPr>
          <w:rFonts w:ascii="Calibri" w:hAnsi="Calibri" w:cs="Calibri"/>
        </w:rPr>
        <w:fldChar w:fldCharType="begin" w:fldLock="1"/>
      </w:r>
      <w:r w:rsidR="00A4766A">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F407D8">
        <w:rPr>
          <w:rFonts w:ascii="Calibri" w:hAnsi="Calibri" w:cs="Calibri"/>
        </w:rPr>
        <w:fldChar w:fldCharType="separate"/>
      </w:r>
      <w:r w:rsidR="00F407D8" w:rsidRPr="00F407D8">
        <w:rPr>
          <w:rFonts w:ascii="Calibri" w:hAnsi="Calibri" w:cs="Calibri"/>
          <w:noProof/>
        </w:rPr>
        <w:t>[8]</w:t>
      </w:r>
      <w:r w:rsidR="00F407D8">
        <w:rPr>
          <w:rFonts w:ascii="Calibri" w:hAnsi="Calibri" w:cs="Calibri"/>
        </w:rPr>
        <w:fldChar w:fldCharType="end"/>
      </w:r>
      <w:r>
        <w:rPr>
          <w:rFonts w:ascii="Calibri" w:hAnsi="Calibri" w:cs="Calibri"/>
        </w:rPr>
        <w:t>, an assessment of a LOVA found that if a single penetration line is assumed to fail, the resulting air ingress will trigger a disruption, resulting in an immediate termination of the fusion power.</w:t>
      </w:r>
    </w:p>
    <w:p w:rsidR="00E84BFC" w:rsidRDefault="00E84BFC" w:rsidP="00ED0F2E">
      <w:pPr>
        <w:rPr>
          <w:rFonts w:ascii="Calibri" w:hAnsi="Calibri" w:cs="Calibri"/>
        </w:rPr>
      </w:pPr>
    </w:p>
    <w:p w:rsidR="00304FD8" w:rsidRDefault="00E84BFC" w:rsidP="00ED0F2E">
      <w:pPr>
        <w:rPr>
          <w:rFonts w:ascii="Calibri" w:hAnsi="Calibri" w:cs="Calibri"/>
        </w:rPr>
      </w:pPr>
      <w:r>
        <w:rPr>
          <w:rFonts w:ascii="Calibri" w:hAnsi="Calibri" w:cs="Calibri"/>
        </w:rPr>
        <w:t>From the analysis, the tritium and dust masses in the vessel that are likely to escape outside the bioshield are very small (0.32 mg and 6 mg, respectively). Given that there are no workers present in these areas during operation, and the return to safe state does not require workers to be in these areas, there are no significant radiological consequences for personnel.</w:t>
      </w:r>
    </w:p>
    <w:p w:rsidR="00052BDF" w:rsidRDefault="00052BDF" w:rsidP="00ED0F2E">
      <w:pPr>
        <w:rPr>
          <w:rFonts w:ascii="Calibri" w:hAnsi="Calibri" w:cs="Calibri"/>
        </w:rPr>
      </w:pPr>
    </w:p>
    <w:p w:rsidR="0023160E" w:rsidRDefault="00304FD8" w:rsidP="00ED0F2E">
      <w:pPr>
        <w:rPr>
          <w:rFonts w:ascii="Calibri" w:hAnsi="Calibri" w:cs="Calibri"/>
        </w:rPr>
      </w:pPr>
      <w:r>
        <w:rPr>
          <w:rFonts w:ascii="Calibri" w:hAnsi="Calibri" w:cs="Calibri"/>
        </w:rPr>
        <w:t>The calculated radiation doses for most-exposed persons arising from the radioactive release associated with this accident are</w:t>
      </w:r>
      <w:r w:rsidR="00627D94">
        <w:rPr>
          <w:rFonts w:ascii="Calibri" w:hAnsi="Calibri" w:cs="Calibri"/>
        </w:rPr>
        <w:t xml:space="preserve"> 0.012</w:t>
      </w:r>
      <w:r>
        <w:rPr>
          <w:rFonts w:ascii="Calibri" w:hAnsi="Calibri" w:cs="Calibri"/>
        </w:rPr>
        <w:t xml:space="preserve"> mSv at 200 m</w:t>
      </w:r>
      <w:r w:rsidR="00363ED0">
        <w:rPr>
          <w:rFonts w:ascii="Calibri" w:hAnsi="Calibri" w:cs="Calibri"/>
        </w:rPr>
        <w:t xml:space="preserve"> (short term)</w:t>
      </w:r>
      <w:r>
        <w:rPr>
          <w:rFonts w:ascii="Calibri" w:hAnsi="Calibri" w:cs="Calibri"/>
        </w:rPr>
        <w:t xml:space="preserve"> and</w:t>
      </w:r>
      <w:r w:rsidR="00627D94">
        <w:rPr>
          <w:rFonts w:ascii="Calibri" w:hAnsi="Calibri" w:cs="Calibri"/>
        </w:rPr>
        <w:t xml:space="preserve"> 0.013 </w:t>
      </w:r>
      <w:r>
        <w:rPr>
          <w:rFonts w:ascii="Calibri" w:hAnsi="Calibri" w:cs="Calibri"/>
        </w:rPr>
        <w:t>mSv at 2.5 km</w:t>
      </w:r>
      <w:r w:rsidR="00363ED0">
        <w:rPr>
          <w:rFonts w:ascii="Calibri" w:hAnsi="Calibri" w:cs="Calibri"/>
        </w:rPr>
        <w:t xml:space="preserve"> (long term)</w:t>
      </w:r>
      <w:r w:rsidR="00A4766A">
        <w:rPr>
          <w:rFonts w:ascii="Calibri" w:hAnsi="Calibri" w:cs="Calibri"/>
        </w:rPr>
        <w:t xml:space="preserve"> </w:t>
      </w:r>
      <w:r w:rsidR="00A4766A">
        <w:rPr>
          <w:rFonts w:ascii="Calibri" w:hAnsi="Calibri" w:cs="Calibri"/>
        </w:rPr>
        <w:fldChar w:fldCharType="begin" w:fldLock="1"/>
      </w:r>
      <w:r w:rsidR="00A32258">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A4766A">
        <w:rPr>
          <w:rFonts w:ascii="Calibri" w:hAnsi="Calibri" w:cs="Calibri"/>
        </w:rPr>
        <w:fldChar w:fldCharType="separate"/>
      </w:r>
      <w:r w:rsidR="00A4766A" w:rsidRPr="00A4766A">
        <w:rPr>
          <w:rFonts w:ascii="Calibri" w:hAnsi="Calibri" w:cs="Calibri"/>
          <w:noProof/>
        </w:rPr>
        <w:t>[8]</w:t>
      </w:r>
      <w:r w:rsidR="00A4766A">
        <w:rPr>
          <w:rFonts w:ascii="Calibri" w:hAnsi="Calibri" w:cs="Calibri"/>
        </w:rPr>
        <w:fldChar w:fldCharType="end"/>
      </w:r>
      <w:r>
        <w:rPr>
          <w:rFonts w:ascii="Calibri" w:hAnsi="Calibri" w:cs="Calibri"/>
        </w:rPr>
        <w:t>.</w:t>
      </w:r>
      <w:r w:rsidR="002C7580">
        <w:rPr>
          <w:rFonts w:ascii="Calibri" w:hAnsi="Calibri" w:cs="Calibri"/>
        </w:rPr>
        <w:t xml:space="preserve"> Such exposures are very low when compared with the 1 mSv limit for members of the public and are orders of magnitude below the evacuation limit (50 mSv).</w:t>
      </w:r>
      <w:r w:rsidR="001F77DF">
        <w:rPr>
          <w:rFonts w:ascii="Calibri" w:hAnsi="Calibri" w:cs="Calibri"/>
        </w:rPr>
        <w:t xml:space="preserve"> As the predicted inventories of the DEMO fusion reactor and ITER are expected to be similar, it seems reasonable to assume the radiological dose from a single failure of penetration would not reach levels where an evacuation may be necessary.</w:t>
      </w:r>
    </w:p>
    <w:p w:rsidR="00242542" w:rsidRDefault="00242542" w:rsidP="00ED0F2E">
      <w:pPr>
        <w:rPr>
          <w:rFonts w:ascii="Calibri" w:hAnsi="Calibri" w:cs="Calibri"/>
        </w:rPr>
      </w:pPr>
    </w:p>
    <w:p w:rsidR="0023160E" w:rsidRDefault="0023160E" w:rsidP="00ED0F2E">
      <w:pPr>
        <w:rPr>
          <w:rFonts w:ascii="Calibri" w:hAnsi="Calibri" w:cs="Calibri"/>
          <w:b/>
        </w:rPr>
      </w:pPr>
      <w:r w:rsidRPr="0023160E">
        <w:rPr>
          <w:rFonts w:ascii="Calibri" w:hAnsi="Calibri" w:cs="Calibri"/>
          <w:b/>
        </w:rPr>
        <w:t xml:space="preserve">5.4 Hydrogen and </w:t>
      </w:r>
      <w:r w:rsidR="002D7B4C">
        <w:rPr>
          <w:rFonts w:ascii="Calibri" w:hAnsi="Calibri" w:cs="Calibri"/>
          <w:b/>
        </w:rPr>
        <w:t>D</w:t>
      </w:r>
      <w:r w:rsidRPr="0023160E">
        <w:rPr>
          <w:rFonts w:ascii="Calibri" w:hAnsi="Calibri" w:cs="Calibri"/>
          <w:b/>
        </w:rPr>
        <w:t xml:space="preserve">ust </w:t>
      </w:r>
      <w:r w:rsidR="002D7B4C">
        <w:rPr>
          <w:rFonts w:ascii="Calibri" w:hAnsi="Calibri" w:cs="Calibri"/>
          <w:b/>
        </w:rPr>
        <w:t>E</w:t>
      </w:r>
      <w:r w:rsidRPr="0023160E">
        <w:rPr>
          <w:rFonts w:ascii="Calibri" w:hAnsi="Calibri" w:cs="Calibri"/>
          <w:b/>
        </w:rPr>
        <w:t>xplosion</w:t>
      </w:r>
    </w:p>
    <w:p w:rsidR="00242542" w:rsidRDefault="00242542" w:rsidP="00ED0F2E">
      <w:pPr>
        <w:rPr>
          <w:rFonts w:ascii="Calibri" w:hAnsi="Calibri" w:cs="Calibri"/>
          <w:b/>
        </w:rPr>
      </w:pPr>
    </w:p>
    <w:p w:rsidR="00483A63" w:rsidRDefault="00242542" w:rsidP="00ED0F2E">
      <w:pPr>
        <w:rPr>
          <w:rFonts w:ascii="Calibri" w:hAnsi="Calibri" w:cs="Calibri"/>
        </w:rPr>
      </w:pPr>
      <w:r>
        <w:rPr>
          <w:rFonts w:ascii="Calibri" w:hAnsi="Calibri" w:cs="Calibri"/>
        </w:rPr>
        <w:t xml:space="preserve">Within a fusion reactor where there is tritium and deuterium there is the potential for an energetic hydrogen interaction should a failure of the VV result in significant air ingress. </w:t>
      </w:r>
      <w:r w:rsidR="00483A63">
        <w:rPr>
          <w:rFonts w:ascii="Calibri" w:hAnsi="Calibri" w:cs="Calibri"/>
        </w:rPr>
        <w:lastRenderedPageBreak/>
        <w:t>F</w:t>
      </w:r>
      <w:r>
        <w:rPr>
          <w:rFonts w:ascii="Calibri" w:hAnsi="Calibri" w:cs="Calibri"/>
        </w:rPr>
        <w:t>ailure of the VV</w:t>
      </w:r>
      <w:r w:rsidR="00483A63">
        <w:rPr>
          <w:rFonts w:ascii="Calibri" w:hAnsi="Calibri" w:cs="Calibri"/>
        </w:rPr>
        <w:t xml:space="preserve"> causing</w:t>
      </w:r>
      <w:r>
        <w:rPr>
          <w:rFonts w:ascii="Calibri" w:hAnsi="Calibri" w:cs="Calibri"/>
        </w:rPr>
        <w:t xml:space="preserve"> significant ingress of air</w:t>
      </w:r>
      <w:r w:rsidR="00483A63">
        <w:rPr>
          <w:rFonts w:ascii="Calibri" w:hAnsi="Calibri" w:cs="Calibri"/>
        </w:rPr>
        <w:t xml:space="preserve"> resulting in a combined hydrogen and dust explosion</w:t>
      </w:r>
      <w:r>
        <w:rPr>
          <w:rFonts w:ascii="Calibri" w:hAnsi="Calibri" w:cs="Calibri"/>
        </w:rPr>
        <w:t xml:space="preserve"> was considered to be a beyond design basis</w:t>
      </w:r>
      <w:r w:rsidR="00351456">
        <w:rPr>
          <w:rFonts w:ascii="Calibri" w:hAnsi="Calibri" w:cs="Calibri"/>
        </w:rPr>
        <w:t xml:space="preserve"> </w:t>
      </w:r>
      <w:r>
        <w:rPr>
          <w:rFonts w:ascii="Calibri" w:hAnsi="Calibri" w:cs="Calibri"/>
        </w:rPr>
        <w:t xml:space="preserve">event for the ITER design. </w:t>
      </w:r>
    </w:p>
    <w:p w:rsidR="00242542" w:rsidRPr="00242542" w:rsidRDefault="00242542" w:rsidP="00ED0F2E">
      <w:pPr>
        <w:rPr>
          <w:rFonts w:ascii="Calibri" w:hAnsi="Calibri" w:cs="Calibri"/>
        </w:rPr>
      </w:pPr>
      <w:r>
        <w:rPr>
          <w:rFonts w:ascii="Calibri" w:hAnsi="Calibri" w:cs="Calibri"/>
        </w:rPr>
        <w:t>Nevertheless, this event was considered in the ITER safety analysis</w:t>
      </w:r>
      <w:r w:rsidR="00A32258">
        <w:rPr>
          <w:rFonts w:ascii="Calibri" w:hAnsi="Calibri" w:cs="Calibri"/>
        </w:rPr>
        <w:t xml:space="preserve"> </w:t>
      </w:r>
      <w:r w:rsidR="00A32258">
        <w:rPr>
          <w:rFonts w:ascii="Calibri" w:hAnsi="Calibri" w:cs="Calibri"/>
        </w:rPr>
        <w:fldChar w:fldCharType="begin" w:fldLock="1"/>
      </w:r>
      <w:r w:rsidR="00E53706">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A32258">
        <w:rPr>
          <w:rFonts w:ascii="Calibri" w:hAnsi="Calibri" w:cs="Calibri"/>
        </w:rPr>
        <w:fldChar w:fldCharType="separate"/>
      </w:r>
      <w:r w:rsidR="00A32258" w:rsidRPr="00A32258">
        <w:rPr>
          <w:rFonts w:ascii="Calibri" w:hAnsi="Calibri" w:cs="Calibri"/>
          <w:noProof/>
        </w:rPr>
        <w:t>[8]</w:t>
      </w:r>
      <w:r w:rsidR="00A32258">
        <w:rPr>
          <w:rFonts w:ascii="Calibri" w:hAnsi="Calibri" w:cs="Calibri"/>
        </w:rPr>
        <w:fldChar w:fldCharType="end"/>
      </w:r>
      <w:r>
        <w:rPr>
          <w:rFonts w:ascii="Calibri" w:hAnsi="Calibri" w:cs="Calibri"/>
        </w:rPr>
        <w:t>. The accident sequence chosen considered multiple failures in one of the penetration lines connecting the VV to a port cell, resulting in rapid air ingress into the VV. Hydrogen from the cryopumps was assumed to mix with the air. As the ignition energy required for a hydrogen explosion in air is so low (0.02 mJ), an explosion can spark on any hot surface.</w:t>
      </w:r>
    </w:p>
    <w:p w:rsidR="00242542" w:rsidRDefault="00242542" w:rsidP="00ED0F2E">
      <w:pPr>
        <w:rPr>
          <w:rFonts w:ascii="Calibri" w:hAnsi="Calibri" w:cs="Calibri"/>
          <w:b/>
        </w:rPr>
      </w:pPr>
    </w:p>
    <w:p w:rsidR="00091B7C" w:rsidRDefault="00242542" w:rsidP="00ED0F2E">
      <w:pPr>
        <w:rPr>
          <w:rFonts w:ascii="Calibri" w:hAnsi="Calibri" w:cs="Calibri"/>
        </w:rPr>
      </w:pPr>
      <w:r>
        <w:rPr>
          <w:rFonts w:ascii="Calibri" w:hAnsi="Calibri" w:cs="Calibri"/>
        </w:rPr>
        <w:t>Within the VV of a fusion reactor there is the potential for a large quantity of dust</w:t>
      </w:r>
      <w:r w:rsidR="00091B7C">
        <w:rPr>
          <w:rFonts w:ascii="Calibri" w:hAnsi="Calibri" w:cs="Calibri"/>
        </w:rPr>
        <w:t xml:space="preserve"> to accumulate.</w:t>
      </w:r>
      <w:r>
        <w:rPr>
          <w:rFonts w:ascii="Calibri" w:hAnsi="Calibri" w:cs="Calibri"/>
        </w:rPr>
        <w:t xml:space="preserve"> </w:t>
      </w:r>
      <w:r w:rsidR="00091B7C">
        <w:rPr>
          <w:rFonts w:ascii="Calibri" w:hAnsi="Calibri" w:cs="Calibri"/>
        </w:rPr>
        <w:t>This dust is composed of Be and W that is eroded when the plasma hits the VV walls</w:t>
      </w:r>
      <w:r w:rsidR="00B1255B">
        <w:rPr>
          <w:rFonts w:ascii="Calibri" w:hAnsi="Calibri" w:cs="Calibri"/>
        </w:rPr>
        <w:t>;</w:t>
      </w:r>
      <w:r w:rsidR="00091B7C">
        <w:rPr>
          <w:rFonts w:ascii="Calibri" w:hAnsi="Calibri" w:cs="Calibri"/>
        </w:rPr>
        <w:t xml:space="preserve"> </w:t>
      </w:r>
      <w:r w:rsidR="00B1255B">
        <w:rPr>
          <w:rFonts w:ascii="Calibri" w:hAnsi="Calibri" w:cs="Calibri"/>
        </w:rPr>
        <w:t>i</w:t>
      </w:r>
      <w:r w:rsidR="00091B7C">
        <w:rPr>
          <w:rFonts w:ascii="Calibri" w:hAnsi="Calibri" w:cs="Calibri"/>
        </w:rPr>
        <w:t xml:space="preserve">n ITER and in EU-DEMO the maximum limit for dust in the VV is 1000 kg. In the ITER analysis, it is assumed that the hydrogen explosion provided enough energy to initiate a more severe dust explosion (expected energy of around 14 GJ). </w:t>
      </w:r>
      <w:r w:rsidR="009E7390">
        <w:rPr>
          <w:rFonts w:ascii="Calibri" w:hAnsi="Calibri" w:cs="Calibri"/>
        </w:rPr>
        <w:t>The combination of these explosions resulted in multiple failure of confinement systems (windows or valves) between the VV and several Port Cells, providing a release pathway for any radionuclides into the atmosphere.</w:t>
      </w:r>
    </w:p>
    <w:p w:rsidR="009E7390" w:rsidRDefault="009E7390" w:rsidP="00ED0F2E">
      <w:pPr>
        <w:rPr>
          <w:rFonts w:ascii="Calibri" w:hAnsi="Calibri" w:cs="Calibri"/>
        </w:rPr>
      </w:pPr>
    </w:p>
    <w:p w:rsidR="009E7390" w:rsidRDefault="009E7390" w:rsidP="00ED0F2E">
      <w:pPr>
        <w:rPr>
          <w:rFonts w:ascii="Calibri" w:hAnsi="Calibri" w:cs="Calibri"/>
        </w:rPr>
      </w:pPr>
      <w:r>
        <w:rPr>
          <w:rFonts w:ascii="Calibri" w:hAnsi="Calibri" w:cs="Calibri"/>
        </w:rPr>
        <w:t xml:space="preserve">In the ITER analysis, as this scenario was classed as a </w:t>
      </w:r>
      <w:r w:rsidR="00351456">
        <w:rPr>
          <w:rFonts w:ascii="Calibri" w:hAnsi="Calibri" w:cs="Calibri"/>
        </w:rPr>
        <w:t>beyond design basis</w:t>
      </w:r>
      <w:r>
        <w:rPr>
          <w:rFonts w:ascii="Calibri" w:hAnsi="Calibri" w:cs="Calibri"/>
        </w:rPr>
        <w:t xml:space="preserve"> accident, no worker doses were calculated; however, the calculated radiation doses for most exposed persons are 0.</w:t>
      </w:r>
      <w:r w:rsidR="00B2600D">
        <w:rPr>
          <w:rFonts w:ascii="Calibri" w:hAnsi="Calibri" w:cs="Calibri"/>
        </w:rPr>
        <w:t>3</w:t>
      </w:r>
      <w:r w:rsidR="00462D4A">
        <w:rPr>
          <w:rFonts w:ascii="Calibri" w:hAnsi="Calibri" w:cs="Calibri"/>
        </w:rPr>
        <w:t>3</w:t>
      </w:r>
      <w:r>
        <w:rPr>
          <w:rFonts w:ascii="Calibri" w:hAnsi="Calibri" w:cs="Calibri"/>
        </w:rPr>
        <w:t xml:space="preserve"> mSv at 200 m and 0.20 mSv at 2.5 km. Radiation doses at this level would again not result in the need to evacuate people in the surrounding areas. Given that the probability of the initiating event is extremely low, even at these dose levels the risks are likely to be in the broadly acceptable region. However, for a commercial fusion power plant, the probability of the initiating event would need to be evaluated to demonstrate this is the case, and that any additional safety measures needed to reduce the risk further would need to satisfy the ALARP criteria.</w:t>
      </w:r>
    </w:p>
    <w:p w:rsidR="00AB147C" w:rsidRDefault="00AB147C" w:rsidP="00ED0F2E">
      <w:pPr>
        <w:rPr>
          <w:rFonts w:ascii="Calibri" w:hAnsi="Calibri" w:cs="Calibri"/>
        </w:rPr>
      </w:pPr>
    </w:p>
    <w:p w:rsidR="00AB147C" w:rsidRDefault="00AB147C" w:rsidP="00ED0F2E">
      <w:pPr>
        <w:rPr>
          <w:rFonts w:ascii="Calibri" w:hAnsi="Calibri" w:cs="Calibri"/>
        </w:rPr>
      </w:pPr>
      <w:r>
        <w:rPr>
          <w:rFonts w:ascii="Calibri" w:hAnsi="Calibri" w:cs="Calibri"/>
        </w:rPr>
        <w:t xml:space="preserve">Nevertheless, such explosions have the potential to compromise the integrity of the VV and the containment/confinement vessel and result in multiple release pathways for radioactive materials. Given the larger size and added complexity of DEMO, or other commercial fusion power plants, the consequences of a potential hydrogen/dust explosion could be more severe than that shown in the ITER safety analysis. </w:t>
      </w:r>
      <w:r w:rsidR="00A07006">
        <w:rPr>
          <w:rFonts w:ascii="Calibri" w:hAnsi="Calibri" w:cs="Calibri"/>
        </w:rPr>
        <w:t xml:space="preserve">Whilst avoiding ignition sources is not a practical solution (the ignition energy required for a hydrogen explosion is extremely low), mitigation systems that aim to limit the consequences of an explosion </w:t>
      </w:r>
      <w:r w:rsidR="004C2DC2">
        <w:rPr>
          <w:rFonts w:ascii="Calibri" w:hAnsi="Calibri" w:cs="Calibri"/>
        </w:rPr>
        <w:t>are currently being explored</w:t>
      </w:r>
      <w:r w:rsidR="00A07006">
        <w:rPr>
          <w:rFonts w:ascii="Calibri" w:hAnsi="Calibri" w:cs="Calibri"/>
        </w:rPr>
        <w:t>.</w:t>
      </w:r>
      <w:r w:rsidR="004C2DC2">
        <w:rPr>
          <w:rFonts w:ascii="Calibri" w:hAnsi="Calibri" w:cs="Calibri"/>
        </w:rPr>
        <w:t xml:space="preserve"> Examples of mitigation tactics for future fusion reactors</w:t>
      </w:r>
      <w:r w:rsidR="00A07006">
        <w:rPr>
          <w:rFonts w:ascii="Calibri" w:hAnsi="Calibri" w:cs="Calibri"/>
        </w:rPr>
        <w:t xml:space="preserve"> include igniters within the VV (which ignite a small amount of hydrogen/air mixture as soon as the lower flammability limit is reached resulting in a less severe combustion), or rapid injections of inert gas to reduce the rate of pressure increase </w:t>
      </w:r>
      <w:r w:rsidR="00A07006">
        <w:rPr>
          <w:rFonts w:ascii="Calibri" w:hAnsi="Calibri" w:cs="Calibri"/>
        </w:rPr>
        <w:fldChar w:fldCharType="begin" w:fldLock="1"/>
      </w:r>
      <w:r w:rsidR="00C14502">
        <w:rPr>
          <w:rFonts w:ascii="Calibri" w:hAnsi="Calibri" w:cs="Calibri"/>
        </w:rPr>
        <w:instrText>ADDIN CSL_CITATION {"citationItems":[{"id":"ITEM-1","itemData":{"DOI":"10.1016/j.fusengdes.2013.12.030","ISBN":"0920-3796","ISSN":"09203796","abstract":"One of the strong motivations for pursuing the development of fusion energy is its potentially low environmental impact and very good safety performance. But this safety and environmental potential can only be fully realized by careful design choices. For DEMO and other fusion facilities that will require nuclear licensing, S&amp;E objectives and criteria should be set at an early stage and taken into account when choosing basic design options and throughout the design process. Studies in recent decades of the safety of fusion power plant concepts give a useful basis on which to build the S&amp;E approach and to assess the impact of design choices. The experience of licensing ITER is of particular value, even though there are some important differences between ITER and DEMO. The ITER project has developed a safety case, produced a preliminary safety report and had it examined by the French nuclear safety authorities, leading to the licence to construct the facility. The key technical issues that arose during this process are recalled, particularly those that may also have an impact on DEMO safety. These include issues related to postulated accident scenarios, environmental releases during operation, occupational radiation exposure, and radioactive waste. ?? 2014 EURATOM/Culham Centre for Fusion Energy.","author":[{"dropping-particle":"","family":"Taylor","given":"Neill","non-dropping-particle":"","parse-names":false,"suffix":""},{"dropping-particle":"","family":"Cortes","given":"Pierre","non-dropping-particle":"","parse-names":false,"suffix":""}],"container-title":"Fusion Engineering and Design","id":"ITEM-1","issue":"9-10","issued":{"date-parts":[["2014"]]},"page":"1995-2000","publisher":"Elsevier B.V.","title":"Lessons learnt from ITER safety &amp; licensing for DEMO and future nuclear fusion facilities","type":"article-journal","volume":"89"},"uris":["http://www.mendeley.com/documents/?uuid=b565a974-a0ec-45f3-a763-eff6b4063f77"]}],"mendeley":{"formattedCitation":"[26]","plainTextFormattedCitation":"[26]","previouslyFormattedCitation":"[26]"},"properties":{"noteIndex":0},"schema":"https://github.com/citation-style-language/schema/raw/master/csl-citation.json"}</w:instrText>
      </w:r>
      <w:r w:rsidR="00A07006">
        <w:rPr>
          <w:rFonts w:ascii="Calibri" w:hAnsi="Calibri" w:cs="Calibri"/>
        </w:rPr>
        <w:fldChar w:fldCharType="separate"/>
      </w:r>
      <w:r w:rsidR="00AD1C4A" w:rsidRPr="00AD1C4A">
        <w:rPr>
          <w:rFonts w:ascii="Calibri" w:hAnsi="Calibri" w:cs="Calibri"/>
          <w:noProof/>
        </w:rPr>
        <w:t>[26]</w:t>
      </w:r>
      <w:r w:rsidR="00A07006">
        <w:rPr>
          <w:rFonts w:ascii="Calibri" w:hAnsi="Calibri" w:cs="Calibri"/>
        </w:rPr>
        <w:fldChar w:fldCharType="end"/>
      </w:r>
      <w:r w:rsidR="008B570F">
        <w:rPr>
          <w:rFonts w:ascii="Calibri" w:hAnsi="Calibri" w:cs="Calibri"/>
        </w:rPr>
        <w:t>. Another option for designers is to reduce the potential for dust accumulation through material selection for components within the VV and dust extraction systems.</w:t>
      </w:r>
    </w:p>
    <w:p w:rsidR="002D7B4C" w:rsidRDefault="002D7B4C" w:rsidP="00ED0F2E">
      <w:pPr>
        <w:rPr>
          <w:rFonts w:ascii="Calibri" w:hAnsi="Calibri" w:cs="Calibri"/>
        </w:rPr>
      </w:pPr>
    </w:p>
    <w:p w:rsidR="002D7B4C" w:rsidRPr="007A3FAE" w:rsidRDefault="002D7B4C" w:rsidP="00ED0F2E">
      <w:pPr>
        <w:rPr>
          <w:rFonts w:ascii="Calibri" w:hAnsi="Calibri" w:cs="Calibri"/>
          <w:b/>
        </w:rPr>
      </w:pPr>
      <w:r w:rsidRPr="007A3FAE">
        <w:rPr>
          <w:rFonts w:ascii="Calibri" w:hAnsi="Calibri" w:cs="Calibri"/>
          <w:b/>
        </w:rPr>
        <w:t>5.5 Loss of Plasma Control</w:t>
      </w:r>
    </w:p>
    <w:p w:rsidR="00091B7C" w:rsidRDefault="00091B7C" w:rsidP="00ED0F2E">
      <w:pPr>
        <w:rPr>
          <w:rFonts w:ascii="Calibri" w:hAnsi="Calibri" w:cs="Calibri"/>
        </w:rPr>
      </w:pPr>
    </w:p>
    <w:p w:rsidR="00242542" w:rsidRDefault="00830C79" w:rsidP="00ED0F2E">
      <w:pPr>
        <w:rPr>
          <w:rFonts w:ascii="Calibri" w:hAnsi="Calibri" w:cs="Calibri"/>
        </w:rPr>
      </w:pPr>
      <w:r>
        <w:rPr>
          <w:rFonts w:ascii="Calibri" w:hAnsi="Calibri" w:cs="Calibri"/>
        </w:rPr>
        <w:t>Plasma instabilities and disruptions can lead to physical phenomena such as thermal shocks, electron beams, eddy currents, etc. that can, if uncontrolled</w:t>
      </w:r>
      <w:r w:rsidR="008B533F">
        <w:rPr>
          <w:rFonts w:ascii="Calibri" w:hAnsi="Calibri" w:cs="Calibri"/>
        </w:rPr>
        <w:t>,</w:t>
      </w:r>
      <w:r>
        <w:rPr>
          <w:rFonts w:ascii="Calibri" w:hAnsi="Calibri" w:cs="Calibri"/>
        </w:rPr>
        <w:t xml:space="preserve"> threaten the integrity of the VV (e.g. due to electromagnetic loads in VV components and on the vessel itself) </w:t>
      </w:r>
      <w:r>
        <w:rPr>
          <w:rFonts w:ascii="Calibri" w:hAnsi="Calibri" w:cs="Calibri"/>
        </w:rPr>
        <w:fldChar w:fldCharType="begin" w:fldLock="1"/>
      </w:r>
      <w:r w:rsidR="00C14502">
        <w:rPr>
          <w:rFonts w:ascii="Calibri" w:hAnsi="Calibri" w:cs="Calibri"/>
        </w:rPr>
        <w:instrText>ADDIN CSL_CITATION {"citationItems":[{"id":"ITEM-1","itemData":{"author":[{"dropping-particle":"","family":"Perrault","given":"Didier","non-dropping-particle":"","parse-names":false,"suffix":""}],"id":"ITEM-1","issued":{"date-parts":[["2017"]]},"publisher-place":"Paris","title":"Nuclear fusion reactors - safety and radiation protection considerations for demonstration reactors that follow the ITER facility","type":"report"},"uris":["http://www.mendeley.com/documents/?uuid=857819de-144b-47d4-91a1-4aa5eb351895"]}],"mendeley":{"formattedCitation":"[31]","plainTextFormattedCitation":"[31]","previouslyFormattedCitation":"[31]"},"properties":{"noteIndex":0},"schema":"https://github.com/citation-style-language/schema/raw/master/csl-citation.json"}</w:instrText>
      </w:r>
      <w:r>
        <w:rPr>
          <w:rFonts w:ascii="Calibri" w:hAnsi="Calibri" w:cs="Calibri"/>
        </w:rPr>
        <w:fldChar w:fldCharType="separate"/>
      </w:r>
      <w:r w:rsidR="00AD1C4A" w:rsidRPr="00AD1C4A">
        <w:rPr>
          <w:rFonts w:ascii="Calibri" w:hAnsi="Calibri" w:cs="Calibri"/>
          <w:noProof/>
        </w:rPr>
        <w:t>[31]</w:t>
      </w:r>
      <w:r>
        <w:rPr>
          <w:rFonts w:ascii="Calibri" w:hAnsi="Calibri" w:cs="Calibri"/>
        </w:rPr>
        <w:fldChar w:fldCharType="end"/>
      </w:r>
      <w:r>
        <w:rPr>
          <w:rFonts w:ascii="Calibri" w:hAnsi="Calibri" w:cs="Calibri"/>
        </w:rPr>
        <w:t xml:space="preserve">. Such </w:t>
      </w:r>
      <w:r>
        <w:rPr>
          <w:rFonts w:ascii="Calibri" w:hAnsi="Calibri" w:cs="Calibri"/>
        </w:rPr>
        <w:lastRenderedPageBreak/>
        <w:t>instabilities also have the potential to accelerate production of dust from erosion of the first wall and damage the VV cooling system caus</w:t>
      </w:r>
      <w:r w:rsidR="00E62F6B">
        <w:rPr>
          <w:rFonts w:ascii="Calibri" w:hAnsi="Calibri" w:cs="Calibri"/>
        </w:rPr>
        <w:t>ing</w:t>
      </w:r>
      <w:r>
        <w:rPr>
          <w:rFonts w:ascii="Calibri" w:hAnsi="Calibri" w:cs="Calibri"/>
        </w:rPr>
        <w:t xml:space="preserve"> coolant ingress </w:t>
      </w:r>
      <w:r w:rsidR="00F95A72">
        <w:rPr>
          <w:rFonts w:ascii="Calibri" w:hAnsi="Calibri" w:cs="Calibri"/>
        </w:rPr>
        <w:t>(</w:t>
      </w:r>
      <w:r>
        <w:rPr>
          <w:rFonts w:ascii="Calibri" w:hAnsi="Calibri" w:cs="Calibri"/>
        </w:rPr>
        <w:t>as discussed above</w:t>
      </w:r>
      <w:r w:rsidR="00F95A72">
        <w:rPr>
          <w:rFonts w:ascii="Calibri" w:hAnsi="Calibri" w:cs="Calibri"/>
        </w:rPr>
        <w:t>)</w:t>
      </w:r>
      <w:r>
        <w:rPr>
          <w:rFonts w:ascii="Calibri" w:hAnsi="Calibri" w:cs="Calibri"/>
        </w:rPr>
        <w:t>.</w:t>
      </w:r>
    </w:p>
    <w:p w:rsidR="004C39B7" w:rsidRDefault="004C39B7" w:rsidP="00ED0F2E">
      <w:pPr>
        <w:rPr>
          <w:rFonts w:ascii="Calibri" w:hAnsi="Calibri" w:cs="Calibri"/>
        </w:rPr>
      </w:pPr>
    </w:p>
    <w:p w:rsidR="004C39B7" w:rsidRDefault="004C39B7" w:rsidP="00ED0F2E">
      <w:pPr>
        <w:rPr>
          <w:rFonts w:ascii="Calibri" w:hAnsi="Calibri" w:cs="Calibri"/>
        </w:rPr>
      </w:pPr>
      <w:r>
        <w:rPr>
          <w:rFonts w:ascii="Calibri" w:hAnsi="Calibri" w:cs="Calibri"/>
        </w:rPr>
        <w:t>The ITER safety analysis looked at a scenario that began with an “over-fuelling” of the plasma, result</w:t>
      </w:r>
      <w:r w:rsidR="00CF2AE8">
        <w:rPr>
          <w:rFonts w:ascii="Calibri" w:hAnsi="Calibri" w:cs="Calibri"/>
        </w:rPr>
        <w:t>ing</w:t>
      </w:r>
      <w:r>
        <w:rPr>
          <w:rFonts w:ascii="Calibri" w:hAnsi="Calibri" w:cs="Calibri"/>
        </w:rPr>
        <w:t xml:space="preserve"> in a loss of plasma control and an increase in fusion power. A simultaneous failure of the Fusion Power Termination System (FPTS) and failure of all three first wall cooling loops into the VV were postulated as aggravating factors. This scenario was chosen as a bounding case for events related to loss of plasma control to demonstrate the safety margins of the reactor design.</w:t>
      </w:r>
    </w:p>
    <w:p w:rsidR="00FA4ED0" w:rsidRDefault="00FA4ED0" w:rsidP="00ED0F2E">
      <w:pPr>
        <w:rPr>
          <w:rFonts w:ascii="Calibri" w:hAnsi="Calibri" w:cs="Calibri"/>
        </w:rPr>
      </w:pPr>
    </w:p>
    <w:p w:rsidR="00FA4ED0" w:rsidRPr="008A144B" w:rsidRDefault="00FA4ED0" w:rsidP="00ED0F2E">
      <w:pPr>
        <w:rPr>
          <w:rFonts w:ascii="Calibri" w:hAnsi="Calibri" w:cs="Calibri"/>
        </w:rPr>
      </w:pPr>
      <w:r w:rsidRPr="008A144B">
        <w:rPr>
          <w:rFonts w:ascii="Calibri" w:hAnsi="Calibri" w:cs="Calibri"/>
        </w:rPr>
        <w:t xml:space="preserve">In the event, it is assumed the FPTS fails to stop the plasma on the indication of an increase in fusion power. </w:t>
      </w:r>
      <w:r w:rsidR="00A30B97" w:rsidRPr="008A144B">
        <w:rPr>
          <w:rFonts w:ascii="Calibri" w:hAnsi="Calibri" w:cs="Calibri"/>
        </w:rPr>
        <w:t xml:space="preserve">If this occurs, the FPTS has a backup system in which it </w:t>
      </w:r>
      <w:r w:rsidRPr="008A144B">
        <w:rPr>
          <w:rFonts w:ascii="Calibri" w:hAnsi="Calibri" w:cs="Calibri"/>
        </w:rPr>
        <w:t>stops the plasma burn after receiving a signal that the outlet (VV) water coolant temperature exceeds 170 °C. As it takes roughly 40 s to reach this temperature</w:t>
      </w:r>
      <w:r w:rsidR="00A06E3D" w:rsidRPr="008A144B">
        <w:rPr>
          <w:rFonts w:ascii="Calibri" w:hAnsi="Calibri" w:cs="Calibri"/>
        </w:rPr>
        <w:t>,</w:t>
      </w:r>
      <w:r w:rsidRPr="008A144B">
        <w:rPr>
          <w:rFonts w:ascii="Calibri" w:hAnsi="Calibri" w:cs="Calibri"/>
        </w:rPr>
        <w:t xml:space="preserve"> it is assumed that both the coolant spilled inside the VV and the in-vessel components are at significantly higher operational temperatures than normal.</w:t>
      </w:r>
      <w:r w:rsidR="00A30B97" w:rsidRPr="008A144B">
        <w:rPr>
          <w:rFonts w:ascii="Calibri" w:hAnsi="Calibri" w:cs="Calibri"/>
        </w:rPr>
        <w:t xml:space="preserve"> </w:t>
      </w:r>
      <w:r w:rsidR="004C3A41" w:rsidRPr="008A144B">
        <w:rPr>
          <w:rFonts w:ascii="Calibri" w:hAnsi="Calibri" w:cs="Calibri"/>
        </w:rPr>
        <w:t>Future</w:t>
      </w:r>
      <w:r w:rsidR="00A30B97" w:rsidRPr="008A144B">
        <w:rPr>
          <w:rFonts w:ascii="Calibri" w:hAnsi="Calibri" w:cs="Calibri"/>
        </w:rPr>
        <w:t xml:space="preserve"> work should investigate the consequences of a loss of plasma control in which the FPTS fails completely.</w:t>
      </w:r>
    </w:p>
    <w:p w:rsidR="00A239D5" w:rsidRDefault="00A239D5" w:rsidP="00ED0F2E">
      <w:pPr>
        <w:rPr>
          <w:rFonts w:ascii="Calibri" w:hAnsi="Calibri" w:cs="Calibri"/>
        </w:rPr>
      </w:pPr>
    </w:p>
    <w:p w:rsidR="00A239D5" w:rsidRDefault="00E53706" w:rsidP="00ED0F2E">
      <w:pPr>
        <w:rPr>
          <w:rFonts w:ascii="Calibri" w:hAnsi="Calibri" w:cs="Calibri"/>
        </w:rPr>
      </w:pPr>
      <w:r>
        <w:rPr>
          <w:rFonts w:ascii="Calibri" w:hAnsi="Calibri" w:cs="Calibri"/>
        </w:rPr>
        <w:t xml:space="preserve">The ITER </w:t>
      </w:r>
      <w:r w:rsidRPr="00EF6643">
        <w:rPr>
          <w:rFonts w:ascii="Calibri" w:hAnsi="Calibri" w:cs="Calibri"/>
        </w:rPr>
        <w:t>RPr</w:t>
      </w:r>
      <w:r>
        <w:rPr>
          <w:rFonts w:ascii="Calibri" w:hAnsi="Calibri" w:cs="Calibri"/>
        </w:rPr>
        <w:t xml:space="preserve">S </w:t>
      </w:r>
      <w:r>
        <w:rPr>
          <w:rFonts w:ascii="Calibri" w:hAnsi="Calibri" w:cs="Calibri"/>
        </w:rPr>
        <w:fldChar w:fldCharType="begin" w:fldLock="1"/>
      </w:r>
      <w:r w:rsidR="0071620C">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Pr>
          <w:rFonts w:ascii="Calibri" w:hAnsi="Calibri" w:cs="Calibri"/>
        </w:rPr>
        <w:fldChar w:fldCharType="separate"/>
      </w:r>
      <w:r w:rsidRPr="00E53706">
        <w:rPr>
          <w:rFonts w:ascii="Calibri" w:hAnsi="Calibri" w:cs="Calibri"/>
          <w:noProof/>
        </w:rPr>
        <w:t>[8]</w:t>
      </w:r>
      <w:r>
        <w:rPr>
          <w:rFonts w:ascii="Calibri" w:hAnsi="Calibri" w:cs="Calibri"/>
        </w:rPr>
        <w:fldChar w:fldCharType="end"/>
      </w:r>
      <w:r w:rsidR="004810FB">
        <w:rPr>
          <w:rFonts w:ascii="Calibri" w:hAnsi="Calibri" w:cs="Calibri"/>
        </w:rPr>
        <w:t xml:space="preserve"> finds that </w:t>
      </w:r>
      <w:r w:rsidR="003C3D70">
        <w:rPr>
          <w:rFonts w:ascii="Calibri" w:hAnsi="Calibri" w:cs="Calibri"/>
        </w:rPr>
        <w:t>both the temporary increase in fusion power and the increase in temperature and pressure have no sig</w:t>
      </w:r>
      <w:r w:rsidR="00F95610">
        <w:rPr>
          <w:rFonts w:ascii="Calibri" w:hAnsi="Calibri" w:cs="Calibri"/>
        </w:rPr>
        <w:t xml:space="preserve">nificant effect on the VV. </w:t>
      </w:r>
      <w:r w:rsidR="003B7B1C">
        <w:rPr>
          <w:rFonts w:ascii="Calibri" w:hAnsi="Calibri" w:cs="Calibri"/>
        </w:rPr>
        <w:t>Whilst the failure of the cooling loops demonstrate failure</w:t>
      </w:r>
      <w:r w:rsidR="00350B7B">
        <w:rPr>
          <w:rFonts w:ascii="Calibri" w:hAnsi="Calibri" w:cs="Calibri"/>
        </w:rPr>
        <w:t>s</w:t>
      </w:r>
      <w:r w:rsidR="003B7B1C">
        <w:rPr>
          <w:rFonts w:ascii="Calibri" w:hAnsi="Calibri" w:cs="Calibri"/>
        </w:rPr>
        <w:t xml:space="preserve"> of safety critical component</w:t>
      </w:r>
      <w:r w:rsidR="00350B7B">
        <w:rPr>
          <w:rFonts w:ascii="Calibri" w:hAnsi="Calibri" w:cs="Calibri"/>
        </w:rPr>
        <w:t>s</w:t>
      </w:r>
      <w:r w:rsidR="003B7B1C">
        <w:rPr>
          <w:rFonts w:ascii="Calibri" w:hAnsi="Calibri" w:cs="Calibri"/>
        </w:rPr>
        <w:t xml:space="preserve">, </w:t>
      </w:r>
      <w:r w:rsidR="00350B7B">
        <w:rPr>
          <w:rFonts w:ascii="Calibri" w:hAnsi="Calibri" w:cs="Calibri"/>
        </w:rPr>
        <w:t>assuming the VVPSS operates correctly, the VV will not reach overpressure and there is no significant release of radiological material</w:t>
      </w:r>
      <w:r w:rsidR="00567466">
        <w:rPr>
          <w:rFonts w:ascii="Calibri" w:hAnsi="Calibri" w:cs="Calibri"/>
        </w:rPr>
        <w:t>.</w:t>
      </w:r>
    </w:p>
    <w:p w:rsidR="00793118" w:rsidRDefault="00793118" w:rsidP="00ED0F2E">
      <w:pPr>
        <w:rPr>
          <w:rFonts w:ascii="Calibri" w:hAnsi="Calibri" w:cs="Calibri"/>
        </w:rPr>
      </w:pPr>
    </w:p>
    <w:p w:rsidR="003D122A" w:rsidRDefault="00793118" w:rsidP="003D122A">
      <w:pPr>
        <w:rPr>
          <w:rFonts w:ascii="Calibri" w:hAnsi="Calibri" w:cs="Calibri"/>
        </w:rPr>
      </w:pPr>
      <w:r>
        <w:rPr>
          <w:rFonts w:ascii="Calibri" w:hAnsi="Calibri" w:cs="Calibri"/>
        </w:rPr>
        <w:t>Similar to the point made in 5.2</w:t>
      </w:r>
      <w:r w:rsidR="00A06321">
        <w:rPr>
          <w:rFonts w:ascii="Calibri" w:hAnsi="Calibri" w:cs="Calibri"/>
        </w:rPr>
        <w:t>.</w:t>
      </w:r>
      <w:r>
        <w:rPr>
          <w:rFonts w:ascii="Calibri" w:hAnsi="Calibri" w:cs="Calibri"/>
        </w:rPr>
        <w:t xml:space="preserve">2 (above), further work on accidents/events in which the VVPSS fails is necessary to fully evaluate the potential threat from these types of event. The safety analysis for a fusion power plant must be able to demonstrate that in the event of a loss of plasma control </w:t>
      </w:r>
      <w:r w:rsidR="00027117">
        <w:rPr>
          <w:rFonts w:ascii="Calibri" w:hAnsi="Calibri" w:cs="Calibri"/>
        </w:rPr>
        <w:t>(resulting in an</w:t>
      </w:r>
      <w:r>
        <w:rPr>
          <w:rFonts w:ascii="Calibri" w:hAnsi="Calibri" w:cs="Calibri"/>
        </w:rPr>
        <w:t xml:space="preserve"> in-VV LOCA), failure of the VVPSS system will</w:t>
      </w:r>
      <w:r w:rsidR="005C4203">
        <w:rPr>
          <w:rFonts w:ascii="Calibri" w:hAnsi="Calibri" w:cs="Calibri"/>
        </w:rPr>
        <w:t xml:space="preserve"> </w:t>
      </w:r>
      <w:r w:rsidR="00FE38D4">
        <w:rPr>
          <w:rFonts w:ascii="Calibri" w:hAnsi="Calibri" w:cs="Calibri"/>
        </w:rPr>
        <w:t xml:space="preserve">not result in overpressure of the VV, or result in a radiological release that has a significant impact on workers or the surrounding public. </w:t>
      </w:r>
    </w:p>
    <w:p w:rsidR="004C39B7" w:rsidRDefault="004C39B7" w:rsidP="00ED0F2E">
      <w:pPr>
        <w:rPr>
          <w:rFonts w:ascii="Calibri" w:hAnsi="Calibri" w:cs="Calibri"/>
        </w:rPr>
      </w:pPr>
    </w:p>
    <w:p w:rsidR="003D122A" w:rsidRPr="003D122A" w:rsidRDefault="003D122A" w:rsidP="00ED0F2E">
      <w:pPr>
        <w:rPr>
          <w:rFonts w:ascii="Calibri" w:hAnsi="Calibri" w:cs="Calibri"/>
          <w:b/>
        </w:rPr>
      </w:pPr>
      <w:r w:rsidRPr="003D122A">
        <w:rPr>
          <w:rFonts w:ascii="Calibri" w:hAnsi="Calibri" w:cs="Calibri"/>
          <w:b/>
        </w:rPr>
        <w:t>5.6 External Hazards</w:t>
      </w:r>
    </w:p>
    <w:p w:rsidR="003D122A" w:rsidRDefault="003D122A" w:rsidP="00ED0F2E">
      <w:pPr>
        <w:rPr>
          <w:rFonts w:ascii="Calibri" w:hAnsi="Calibri" w:cs="Calibri"/>
        </w:rPr>
      </w:pPr>
    </w:p>
    <w:p w:rsidR="003D122A" w:rsidRDefault="00001776" w:rsidP="00ED0F2E">
      <w:pPr>
        <w:rPr>
          <w:rFonts w:ascii="Calibri" w:hAnsi="Calibri" w:cs="Calibri"/>
        </w:rPr>
      </w:pPr>
      <w:r>
        <w:rPr>
          <w:rFonts w:ascii="Calibri" w:hAnsi="Calibri" w:cs="Calibri"/>
        </w:rPr>
        <w:t xml:space="preserve">In addition to designing fusion power plants to cope with a range of plant modifications and accident initiating events, it is necessary to consider the challenges posed by external hazards </w:t>
      </w:r>
      <w:r w:rsidR="009B63BC">
        <w:rPr>
          <w:rFonts w:ascii="Calibri" w:hAnsi="Calibri" w:cs="Calibri"/>
        </w:rPr>
        <w:fldChar w:fldCharType="begin" w:fldLock="1"/>
      </w:r>
      <w:r w:rsidR="00C14502">
        <w:rPr>
          <w:rFonts w:ascii="Calibri" w:hAnsi="Calibri" w:cs="Calibri"/>
        </w:rPr>
        <w:instrText>ADDIN CSL_CITATION {"citationItems":[{"id":"ITEM-1","itemData":{"DOI":"10.1038/nenergy.2016.154","ISBN":"doi:10.1038/nenergy.2016.154","ISSN":"20587546","abstract":"&lt;p&gt;Following on from ITER, a fusion demonstration reactor will be needed to showcase the commercial viability of fusion energy. To guide preliminary design considerations, this Review explores safety gaps that must be filled between current fission reactors, ITER and future&amp;hellip;&lt;/p&gt;","author":[{"dropping-particle":"","family":"Wu","given":"Y.","non-dropping-particle":"","parse-names":false,"suffix":""},{"dropping-particle":"","family":"Chen","given":"Z.","non-dropping-particle":"","parse-names":false,"suffix":""},{"dropping-particle":"","family":"Hu","given":"L.","non-dropping-particle":"","parse-names":false,"suffix":""},{"dropping-particle":"","family":"Jin","given":"M.","non-dropping-particle":"","parse-names":false,"suffix":""},{"dropping-particle":"","family":"Li","given":"Y.","non-dropping-particle":"","parse-names":false,"suffix":""},{"dropping-particle":"","family":"Jiang","given":"J.","non-dropping-particle":"","parse-names":false,"suffix":""},{"dropping-particle":"","family":"Yu","given":"J.","non-dropping-particle":"","parse-names":false,"suffix":""},{"dropping-particle":"","family":"Alejaldre","given":"C.","non-dropping-particle":"","parse-names":false,"suffix":""},{"dropping-particle":"","family":"Stevens","given":"E.","non-dropping-particle":"","parse-names":false,"suffix":""},{"dropping-particle":"","family":"Kim","given":"K.","non-dropping-particle":"","parse-names":false,"suffix":""},{"dropping-particle":"","family":"Maisonnier","given":"D.","non-dropping-particle":"","parse-names":false,"suffix":""},{"dropping-particle":"","family":"Kalashnikov","given":"A.","non-dropping-particle":"","parse-names":false,"suffix":""},{"dropping-particle":"","family":"Tobita","given":"K.","non-dropping-particle":"","parse-names":false,"suffix":""},{"dropping-particle":"","family":"Jackson","given":"D.","non-dropping-particle":"","parse-names":false,"suffix":""},{"dropping-particle":"","family":"Perrault","given":"D.","non-dropping-particle":"","parse-names":false,"suffix":""}],"container-title":"Nature Energy","id":"ITEM-1","issue":"12","issued":{"date-parts":[["2016"]]},"title":"Identification of safety gaps for fusion demonstration reactors","type":"article-journal","volume":"1"},"uris":["http://www.mendeley.com/documents/?uuid=f1f583ea-910c-44d8-8b97-e061208f187a"]}],"mendeley":{"formattedCitation":"[37]","plainTextFormattedCitation":"[37]","previouslyFormattedCitation":"[37]"},"properties":{"noteIndex":0},"schema":"https://github.com/citation-style-language/schema/raw/master/csl-citation.json"}</w:instrText>
      </w:r>
      <w:r w:rsidR="009B63BC">
        <w:rPr>
          <w:rFonts w:ascii="Calibri" w:hAnsi="Calibri" w:cs="Calibri"/>
        </w:rPr>
        <w:fldChar w:fldCharType="separate"/>
      </w:r>
      <w:r w:rsidR="00C14502" w:rsidRPr="00C14502">
        <w:rPr>
          <w:rFonts w:ascii="Calibri" w:hAnsi="Calibri" w:cs="Calibri"/>
          <w:noProof/>
        </w:rPr>
        <w:t>[37]</w:t>
      </w:r>
      <w:r w:rsidR="009B63BC">
        <w:rPr>
          <w:rFonts w:ascii="Calibri" w:hAnsi="Calibri" w:cs="Calibri"/>
        </w:rPr>
        <w:fldChar w:fldCharType="end"/>
      </w:r>
      <w:r w:rsidR="009B63BC">
        <w:rPr>
          <w:rFonts w:ascii="Calibri" w:hAnsi="Calibri" w:cs="Calibri"/>
        </w:rPr>
        <w:t xml:space="preserve">. External hazards can generally be split into two categories: natural events such as earthquakes, extreme temperature, high winds, flooding, precipitation, and forest fires etc.; and man-made events such as aircraft crashes, external explosions, loss of off-site power etc. </w:t>
      </w:r>
      <w:r w:rsidR="009B63BC">
        <w:rPr>
          <w:rFonts w:ascii="Calibri" w:hAnsi="Calibri" w:cs="Calibri"/>
        </w:rPr>
        <w:fldChar w:fldCharType="begin" w:fldLock="1"/>
      </w:r>
      <w:r w:rsidR="0038286F">
        <w:rPr>
          <w:rFonts w:ascii="Calibri" w:hAnsi="Calibri" w:cs="Calibri"/>
        </w:rPr>
        <w:instrText>ADDIN CSL_CITATION {"citationItems":[{"id":"ITEM-1","itemData":{"DOI":"10.1016/j.fusengdes.2017.03.082","ISSN":"09203796","abstract":"Safety analysis for the design basis accident (DBA) is essential to support DEMO blanket concept design. It is necessary to study the pressure behaviour in the blanket and the connected systems during the loss of coolant accident (LOCA) in a blanket module, as well as the temperature evolution in the coolant flow and the associated structures. For the Helium Cooled Pebble Bed (HCPB) blanket concept (version 2014) three representative accidental sequences of LOCA have been simulated using system code MELCOR 1.8.6 for fusion. The LOCA is identified to be the failure of cooling channels in the stiffening grid, in the FW or in the breeder unit. Simulation results are discussed in this paper.","author":[{"dropping-particle":"","family":"Jin","given":"Xue Zhou","non-dropping-particle":"","parse-names":false,"suffix":""}],"container-title":"Fusion Engineering and Design","id":"ITEM-1","issued":{"date-parts":[["2017"]]},"page":"1233-1236","publisher":"Elsevier B.V.","title":"Preliminary safety analysis of LOCAs in one EU DEMO HCPB blanket module","type":"article-journal","volume":"124"},"uris":["http://www.mendeley.com/documents/?uuid=492f29f9-679d-4936-83bc-dab61a797c34"]}],"mendeley":{"formattedCitation":"[38]","plainTextFormattedCitation":"[38]","previouslyFormattedCitation":"[38]"},"properties":{"noteIndex":0},"schema":"https://github.com/citation-style-language/schema/raw/master/csl-citation.json"}</w:instrText>
      </w:r>
      <w:r w:rsidR="009B63BC">
        <w:rPr>
          <w:rFonts w:ascii="Calibri" w:hAnsi="Calibri" w:cs="Calibri"/>
        </w:rPr>
        <w:fldChar w:fldCharType="separate"/>
      </w:r>
      <w:r w:rsidR="00C14502" w:rsidRPr="00C14502">
        <w:rPr>
          <w:rFonts w:ascii="Calibri" w:hAnsi="Calibri" w:cs="Calibri"/>
          <w:noProof/>
        </w:rPr>
        <w:t>[38]</w:t>
      </w:r>
      <w:r w:rsidR="009B63BC">
        <w:rPr>
          <w:rFonts w:ascii="Calibri" w:hAnsi="Calibri" w:cs="Calibri"/>
        </w:rPr>
        <w:fldChar w:fldCharType="end"/>
      </w:r>
      <w:r w:rsidR="009B63BC">
        <w:rPr>
          <w:rFonts w:ascii="Calibri" w:hAnsi="Calibri" w:cs="Calibri"/>
        </w:rPr>
        <w:t>. In the SEAFP studies, only preliminary consideration was given to the role of external events such as those described above.</w:t>
      </w:r>
    </w:p>
    <w:p w:rsidR="007A2267" w:rsidRDefault="007A2267" w:rsidP="00ED0F2E">
      <w:pPr>
        <w:rPr>
          <w:rFonts w:ascii="Calibri" w:hAnsi="Calibri" w:cs="Calibri"/>
        </w:rPr>
      </w:pPr>
    </w:p>
    <w:p w:rsidR="007A2267" w:rsidRDefault="007A2267" w:rsidP="00ED0F2E">
      <w:pPr>
        <w:rPr>
          <w:rFonts w:ascii="Calibri" w:hAnsi="Calibri" w:cs="Calibri"/>
          <w:b/>
          <w:i/>
        </w:rPr>
      </w:pPr>
      <w:r>
        <w:rPr>
          <w:rFonts w:ascii="Calibri" w:hAnsi="Calibri" w:cs="Calibri"/>
          <w:b/>
          <w:i/>
        </w:rPr>
        <w:t>5.6.1 Bounding Event</w:t>
      </w:r>
    </w:p>
    <w:p w:rsidR="00C43616" w:rsidRDefault="00C43616" w:rsidP="00ED0F2E">
      <w:pPr>
        <w:rPr>
          <w:rFonts w:ascii="Calibri" w:hAnsi="Calibri" w:cs="Calibri"/>
          <w:b/>
          <w:i/>
        </w:rPr>
      </w:pPr>
    </w:p>
    <w:p w:rsidR="00347589" w:rsidRPr="00347589" w:rsidRDefault="00C43616" w:rsidP="00347589">
      <w:pPr>
        <w:rPr>
          <w:rFonts w:ascii="Calibri" w:hAnsi="Calibri" w:cs="Calibri"/>
        </w:rPr>
      </w:pPr>
      <w:r>
        <w:rPr>
          <w:rFonts w:ascii="Calibri" w:hAnsi="Calibri" w:cs="Calibri"/>
          <w:bCs/>
          <w:iCs/>
        </w:rPr>
        <w:t>I</w:t>
      </w:r>
      <w:r w:rsidR="0038286F">
        <w:rPr>
          <w:rFonts w:ascii="Calibri" w:hAnsi="Calibri" w:cs="Calibri"/>
          <w:bCs/>
          <w:iCs/>
        </w:rPr>
        <w:t>n</w:t>
      </w:r>
      <w:r w:rsidR="00257673">
        <w:rPr>
          <w:rFonts w:ascii="Calibri" w:hAnsi="Calibri" w:cs="Calibri"/>
          <w:bCs/>
          <w:iCs/>
        </w:rPr>
        <w:t xml:space="preserve"> the SEAFP studies</w:t>
      </w:r>
      <w:r w:rsidR="0038286F">
        <w:rPr>
          <w:rFonts w:ascii="Calibri" w:hAnsi="Calibri" w:cs="Calibri"/>
          <w:bCs/>
          <w:iCs/>
        </w:rPr>
        <w:t xml:space="preserve"> </w:t>
      </w:r>
      <w:r w:rsidR="0038286F">
        <w:rPr>
          <w:rFonts w:ascii="Calibri" w:hAnsi="Calibri" w:cs="Calibri"/>
          <w:bCs/>
          <w:iCs/>
        </w:rPr>
        <w:fldChar w:fldCharType="begin" w:fldLock="1"/>
      </w:r>
      <w:r w:rsidR="002E1789">
        <w:rPr>
          <w:rFonts w:ascii="Calibri" w:hAnsi="Calibri" w:cs="Calibri"/>
          <w:bCs/>
          <w:iCs/>
        </w:rPr>
        <w:instrText>ADDIN CSL_CITATION {"citationItems":[{"id":"ITEM-1","itemData":{"ISSN":"0269-9702","author":[{"dropping-particle":"","family":"Raeder","given":"J.","non-dropping-particle":"","parse-names":false,"suffix":""},{"dropping-particle":"","family":"Cook","given":"I","non-dropping-particle":"","parse-names":false,"suffix":""},{"dropping-particle":"","family":"Morgensten","given":"F.H","non-dropping-particle":"","parse-names":false,"suffix":""},{"dropping-particle":"","family":"Salpietro","given":"E","non-dropping-particle":"","parse-names":false,"suffix":""},{"dropping-particle":"","family":"Bunde","given":"R","non-dropping-particle":"","parse-names":false,"suffix":""},{"dropping-particle":"","family":"Ebert","given":"E","non-dropping-particle":"","parse-names":false,"suffix":""}],"id":"ITEM-1","issue":"June","issued":{"date-parts":[["1995"]]},"publisher-place":"Brussels","title":"Safety and Environmental Assessment of Fusion Power (SEAFP) Report of the SEAFP Project","type":"report"},"uris":["http://www.mendeley.com/documents/?uuid=c3d71ddb-1d0e-482f-b0d2-aee19363b400"]}],"mendeley":{"formattedCitation":"[2]","plainTextFormattedCitation":"[2]","previouslyFormattedCitation":"[2]"},"properties":{"noteIndex":0},"schema":"https://github.com/citation-style-language/schema/raw/master/csl-citation.json"}</w:instrText>
      </w:r>
      <w:r w:rsidR="0038286F">
        <w:rPr>
          <w:rFonts w:ascii="Calibri" w:hAnsi="Calibri" w:cs="Calibri"/>
          <w:bCs/>
          <w:iCs/>
        </w:rPr>
        <w:fldChar w:fldCharType="separate"/>
      </w:r>
      <w:r w:rsidR="0038286F" w:rsidRPr="0038286F">
        <w:rPr>
          <w:rFonts w:ascii="Calibri" w:hAnsi="Calibri" w:cs="Calibri"/>
          <w:bCs/>
          <w:iCs/>
          <w:noProof/>
        </w:rPr>
        <w:t>[2]</w:t>
      </w:r>
      <w:r w:rsidR="0038286F">
        <w:rPr>
          <w:rFonts w:ascii="Calibri" w:hAnsi="Calibri" w:cs="Calibri"/>
          <w:bCs/>
          <w:iCs/>
        </w:rPr>
        <w:fldChar w:fldCharType="end"/>
      </w:r>
      <w:r w:rsidR="0038286F">
        <w:rPr>
          <w:rFonts w:ascii="Calibri" w:hAnsi="Calibri" w:cs="Calibri"/>
          <w:bCs/>
          <w:iCs/>
        </w:rPr>
        <w:t xml:space="preserve">, an </w:t>
      </w:r>
      <w:r w:rsidR="00ED012B">
        <w:rPr>
          <w:rFonts w:ascii="Calibri" w:hAnsi="Calibri" w:cs="Calibri"/>
          <w:bCs/>
          <w:iCs/>
        </w:rPr>
        <w:t xml:space="preserve">unspecified ultra-energetic event was postulated, resulting in the complete destruction of confinement barriers. </w:t>
      </w:r>
      <w:r w:rsidR="00C86F0C">
        <w:rPr>
          <w:rFonts w:ascii="Calibri" w:hAnsi="Calibri" w:cs="Calibri"/>
          <w:bCs/>
          <w:iCs/>
        </w:rPr>
        <w:t>In this scenario, the radiological consequences of the release of the full inventory of tritium would</w:t>
      </w:r>
      <w:r w:rsidR="002E1E2D">
        <w:rPr>
          <w:rFonts w:ascii="Calibri" w:hAnsi="Calibri" w:cs="Calibri"/>
          <w:bCs/>
          <w:iCs/>
        </w:rPr>
        <w:t xml:space="preserve"> almost</w:t>
      </w:r>
      <w:r w:rsidR="00C86F0C">
        <w:rPr>
          <w:rFonts w:ascii="Calibri" w:hAnsi="Calibri" w:cs="Calibri"/>
          <w:bCs/>
          <w:iCs/>
        </w:rPr>
        <w:t xml:space="preserve"> certainly require evacuation of the public in the surrounding area, if worst-case assumptions are retained. </w:t>
      </w:r>
      <w:r w:rsidR="00347589" w:rsidRPr="008724F6">
        <w:rPr>
          <w:rFonts w:ascii="Calibri" w:hAnsi="Calibri" w:cs="Calibri"/>
        </w:rPr>
        <w:t xml:space="preserve">In </w:t>
      </w:r>
      <w:r w:rsidR="00347589" w:rsidRPr="008724F6">
        <w:rPr>
          <w:rFonts w:ascii="Calibri" w:hAnsi="Calibri" w:cs="Calibri"/>
        </w:rPr>
        <w:lastRenderedPageBreak/>
        <w:t xml:space="preserve">order to prevent this, it is clear that any fusion power plant would need to be designed to limit this uncontrolled release of radioactivity in line with the Tolerability of Risk concept </w:t>
      </w:r>
      <w:r w:rsidR="00347589" w:rsidRPr="008724F6">
        <w:rPr>
          <w:rFonts w:ascii="Calibri" w:hAnsi="Calibri" w:cs="Calibri"/>
        </w:rPr>
        <w:fldChar w:fldCharType="begin" w:fldLock="1"/>
      </w:r>
      <w:r w:rsidR="00347589" w:rsidRPr="008724F6">
        <w:rPr>
          <w:rFonts w:ascii="Calibri" w:hAnsi="Calibri" w:cs="Calibri"/>
        </w:rPr>
        <w:instrText>ADDIN CSL_CITATION {"citationItems":[{"id":"ITEM-1","itemData":{"author":[{"dropping-particle":"","family":"Health and Safety Executive (HSE)","given":"","non-dropping-particle":"","parse-names":false,"suffix":""}],"id":"ITEM-1","issued":{"date-parts":[["1988"]]},"title":"The tolerability of risk from nuclear power stations","type":"report"},"uris":["http://www.mendeley.com/documents/?uuid=e1f30fec-7fee-438b-9ff6-c0a5a270aa2a"]}],"mendeley":{"formattedCitation":"[14]","plainTextFormattedCitation":"[14]","previouslyFormattedCitation":"[14]"},"properties":{"noteIndex":0},"schema":"https://github.com/citation-style-language/schema/raw/master/csl-citation.json"}</w:instrText>
      </w:r>
      <w:r w:rsidR="00347589" w:rsidRPr="008724F6">
        <w:rPr>
          <w:rFonts w:ascii="Calibri" w:hAnsi="Calibri" w:cs="Calibri"/>
        </w:rPr>
        <w:fldChar w:fldCharType="separate"/>
      </w:r>
      <w:r w:rsidR="00347589" w:rsidRPr="008724F6">
        <w:rPr>
          <w:rFonts w:ascii="Calibri" w:hAnsi="Calibri" w:cs="Calibri"/>
          <w:noProof/>
        </w:rPr>
        <w:t>[14]</w:t>
      </w:r>
      <w:r w:rsidR="00347589" w:rsidRPr="008724F6">
        <w:rPr>
          <w:rFonts w:ascii="Calibri" w:hAnsi="Calibri" w:cs="Calibri"/>
        </w:rPr>
        <w:fldChar w:fldCharType="end"/>
      </w:r>
      <w:r w:rsidR="00347589" w:rsidRPr="008724F6">
        <w:rPr>
          <w:rFonts w:ascii="Calibri" w:hAnsi="Calibri" w:cs="Calibri"/>
        </w:rPr>
        <w:t xml:space="preserve"> and in conformance with figure 1 (above).</w:t>
      </w:r>
      <w:r w:rsidR="00347589">
        <w:rPr>
          <w:rFonts w:ascii="Calibri" w:hAnsi="Calibri" w:cs="Calibri"/>
        </w:rPr>
        <w:t xml:space="preserve"> </w:t>
      </w:r>
      <w:r w:rsidR="00347589" w:rsidRPr="00D56509">
        <w:rPr>
          <w:rFonts w:ascii="Calibri" w:hAnsi="Calibri" w:cs="Calibri"/>
        </w:rPr>
        <w:t xml:space="preserve">Consideration of this worst-case scenario is useful to put the potential consequences into perspective and enable appropriate protection and confinement systems to be built into the power plant design </w:t>
      </w:r>
      <w:r w:rsidR="00347589" w:rsidRPr="00D56509">
        <w:rPr>
          <w:rFonts w:ascii="Calibri" w:hAnsi="Calibri" w:cs="Calibri"/>
        </w:rPr>
        <w:fldChar w:fldCharType="begin" w:fldLock="1"/>
      </w:r>
      <w:r w:rsidR="00347589" w:rsidRPr="00D56509">
        <w:rPr>
          <w:rFonts w:ascii="Calibri" w:hAnsi="Calibri" w:cs="Calibri"/>
        </w:rPr>
        <w:instrText>ADDIN CSL_CITATION {"citationItems":[{"id":"ITEM-1","itemData":{"ISBN":"9783944161525","author":[{"dropping-particle":"","family":"Jurgen","given":"Raeder","non-dropping-particle":"","parse-names":false,"suffix":""},{"dropping-particle":"","family":"Arthur","given":"Weller","non-dropping-particle":"","parse-names":false,"suffix":""},{"dropping-particle":"","family":"Robert","given":"Wolf","non-dropping-particle":"","parse-names":false,"suffix":""},{"dropping-particle":"","family":"Xue","given":"Zhou Jin","non-dropping-particle":"","parse-names":false,"suffix":""},{"dropping-particle":"V","family":"Boccaccini","given":"Lorenzo","non-dropping-particle":"","parse-names":false,"suffix":""},{"dropping-particle":"","family":"Robert","given":"Stieglitz","non-dropping-particle":"","parse-names":false,"suffix":""},{"dropping-particle":"","family":"Dario","given":"Carloni","non-dropping-particle":"","parse-names":false,"suffix":""},{"dropping-particle":"","family":"Pistner","given":"Christoph","non-dropping-particle":"","parse-names":false,"suffix":""},{"dropping-particle":"","family":"Joachim","given":"Herb","non-dropping-particle":"","parse-names":false,"suffix":""}],"id":"ITEM-1","issued":{"date-parts":[["2016"]]},"title":"Review of the safety concept for fusion reactor concepts and transferability of the nuclear fission regulation to potential fusion power plants","type":"report"},"uris":["http://www.mendeley.com/documents/?uuid=137efd80-ac21-4821-bfec-5156e3e096e8"]}],"mendeley":{"formattedCitation":"[11]","plainTextFormattedCitation":"[11]","previouslyFormattedCitation":"[11]"},"properties":{"noteIndex":0},"schema":"https://github.com/citation-style-language/schema/raw/master/csl-citation.json"}</w:instrText>
      </w:r>
      <w:r w:rsidR="00347589" w:rsidRPr="00D56509">
        <w:rPr>
          <w:rFonts w:ascii="Calibri" w:hAnsi="Calibri" w:cs="Calibri"/>
        </w:rPr>
        <w:fldChar w:fldCharType="separate"/>
      </w:r>
      <w:r w:rsidR="00347589" w:rsidRPr="00D56509">
        <w:rPr>
          <w:rFonts w:ascii="Calibri" w:hAnsi="Calibri" w:cs="Calibri"/>
          <w:noProof/>
        </w:rPr>
        <w:t>[11]</w:t>
      </w:r>
      <w:r w:rsidR="00347589" w:rsidRPr="00D56509">
        <w:rPr>
          <w:rFonts w:ascii="Calibri" w:hAnsi="Calibri" w:cs="Calibri"/>
        </w:rPr>
        <w:fldChar w:fldCharType="end"/>
      </w:r>
      <w:r w:rsidR="00347589" w:rsidRPr="00D56509">
        <w:rPr>
          <w:rFonts w:ascii="Calibri" w:hAnsi="Calibri" w:cs="Calibri"/>
        </w:rPr>
        <w:t>.</w:t>
      </w:r>
    </w:p>
    <w:p w:rsidR="003D122A" w:rsidRPr="00AE305D" w:rsidRDefault="003D122A" w:rsidP="00ED0F2E">
      <w:pPr>
        <w:rPr>
          <w:rFonts w:ascii="Calibri" w:hAnsi="Calibri" w:cs="Calibri"/>
        </w:rPr>
      </w:pPr>
    </w:p>
    <w:p w:rsidR="0074264F" w:rsidRDefault="0074264F" w:rsidP="0074264F">
      <w:pPr>
        <w:rPr>
          <w:rFonts w:ascii="Calibri" w:hAnsi="Calibri" w:cs="Calibri"/>
        </w:rPr>
      </w:pPr>
      <w:r w:rsidRPr="00AE305D">
        <w:rPr>
          <w:rFonts w:ascii="Calibri" w:hAnsi="Calibri" w:cs="Calibri"/>
        </w:rPr>
        <w:t xml:space="preserve">In </w:t>
      </w:r>
      <w:r w:rsidRPr="00AE305D">
        <w:rPr>
          <w:rFonts w:ascii="Calibri" w:hAnsi="Calibri" w:cs="Calibri"/>
        </w:rPr>
        <w:fldChar w:fldCharType="begin" w:fldLock="1"/>
      </w:r>
      <w:r w:rsidRPr="00AE305D">
        <w:rPr>
          <w:rFonts w:ascii="Calibri" w:hAnsi="Calibri" w:cs="Calibri"/>
        </w:rPr>
        <w:instrText>ADDIN CSL_CITATION {"citationItems":[{"id":"ITEM-1","itemData":{"ISSN":"0269-9702","author":[{"dropping-particle":"","family":"Raeder","given":"J.","non-dropping-particle":"","parse-names":false,"suffix":""},{"dropping-particle":"","family":"Cook","given":"I","non-dropping-particle":"","parse-names":false,"suffix":""},{"dropping-particle":"","family":"Morgensten","given":"F.H","non-dropping-particle":"","parse-names":false,"suffix":""},{"dropping-particle":"","family":"Salpietro","given":"E","non-dropping-particle":"","parse-names":false,"suffix":""},{"dropping-particle":"","family":"Bunde","given":"R","non-dropping-particle":"","parse-names":false,"suffix":""},{"dropping-particle":"","family":"Ebert","given":"E","non-dropping-particle":"","parse-names":false,"suffix":""}],"id":"ITEM-1","issue":"June","issued":{"date-parts":[["1995"]]},"publisher-place":"Brussels","title":"Safety and Environmental Assessment of Fusion Power (SEAFP) Report of the SEAFP Project","type":"report"},"uris":["http://www.mendeley.com/documents/?uuid=c3d71ddb-1d0e-482f-b0d2-aee19363b400"]}],"mendeley":{"formattedCitation":"[2]","plainTextFormattedCitation":"[2]","previouslyFormattedCitation":"[2]"},"properties":{"noteIndex":0},"schema":"https://github.com/citation-style-language/schema/raw/master/csl-citation.json"}</w:instrText>
      </w:r>
      <w:r w:rsidRPr="00AE305D">
        <w:rPr>
          <w:rFonts w:ascii="Calibri" w:hAnsi="Calibri" w:cs="Calibri"/>
        </w:rPr>
        <w:fldChar w:fldCharType="separate"/>
      </w:r>
      <w:r w:rsidRPr="00AE305D">
        <w:rPr>
          <w:rFonts w:ascii="Calibri" w:hAnsi="Calibri" w:cs="Calibri"/>
          <w:noProof/>
        </w:rPr>
        <w:t>[2]</w:t>
      </w:r>
      <w:r w:rsidRPr="00AE305D">
        <w:rPr>
          <w:rFonts w:ascii="Calibri" w:hAnsi="Calibri" w:cs="Calibri"/>
        </w:rPr>
        <w:fldChar w:fldCharType="end"/>
      </w:r>
      <w:r w:rsidRPr="00AE305D">
        <w:rPr>
          <w:rFonts w:ascii="Calibri" w:hAnsi="Calibri" w:cs="Calibri"/>
        </w:rPr>
        <w:t>, it was concluded that only certain ex-plant events have a potential for breaching the primary radioactivity confinement barrier. It was suggeste</w:t>
      </w:r>
      <w:r w:rsidR="00A225AC" w:rsidRPr="00AE305D">
        <w:rPr>
          <w:rFonts w:ascii="Calibri" w:hAnsi="Calibri" w:cs="Calibri"/>
        </w:rPr>
        <w:t>d</w:t>
      </w:r>
      <w:r w:rsidRPr="00AE305D">
        <w:rPr>
          <w:rFonts w:ascii="Calibri" w:hAnsi="Calibri" w:cs="Calibri"/>
        </w:rPr>
        <w:t xml:space="preserve"> that aircraft impact and earthquakes be covered by the design basis </w:t>
      </w:r>
      <w:r w:rsidRPr="00AE305D">
        <w:rPr>
          <w:rFonts w:ascii="Calibri" w:hAnsi="Calibri" w:cs="Calibri"/>
        </w:rPr>
        <w:fldChar w:fldCharType="begin" w:fldLock="1"/>
      </w:r>
      <w:r w:rsidR="00EF6643" w:rsidRPr="00AE305D">
        <w:rPr>
          <w:rFonts w:ascii="Calibri" w:hAnsi="Calibri" w:cs="Calibri"/>
        </w:rPr>
        <w:instrText>ADDIN CSL_CITATION {"citationItems":[{"id":"ITEM-1","itemData":{"ISBN":"9783944161525","author":[{"dropping-particle":"","family":"Jurgen","given":"Raeder","non-dropping-particle":"","parse-names":false,"suffix":""},{"dropping-particle":"","family":"Arthur","given":"Weller","non-dropping-particle":"","parse-names":false,"suffix":""},{"dropping-particle":"","family":"Robert","given":"Wolf","non-dropping-particle":"","parse-names":false,"suffix":""},{"dropping-particle":"","family":"Xue","given":"Zhou Jin","non-dropping-particle":"","parse-names":false,"suffix":""},{"dropping-particle":"V","family":"Boccaccini","given":"Lorenzo","non-dropping-particle":"","parse-names":false,"suffix":""},{"dropping-particle":"","family":"Robert","given":"Stieglitz","non-dropping-particle":"","parse-names":false,"suffix":""},{"dropping-particle":"","family":"Dario","given":"Carloni","non-dropping-particle":"","parse-names":false,"suffix":""},{"dropping-particle":"","family":"Pistner","given":"Christoph","non-dropping-particle":"","parse-names":false,"suffix":""},{"dropping-particle":"","family":"Joachim","given":"Herb","non-dropping-particle":"","parse-names":false,"suffix":""}],"id":"ITEM-1","issued":{"date-parts":[["2016"]]},"title":"Review of the safety concept for fusion reactor concepts and transferability of the nuclear fission regulation to potential fusion power plants","type":"report"},"uris":["http://www.mendeley.com/documents/?uuid=137efd80-ac21-4821-bfec-5156e3e096e8"]}],"mendeley":{"formattedCitation":"[11]","plainTextFormattedCitation":"[11]","previouslyFormattedCitation":"[11]"},"properties":{"noteIndex":0},"schema":"https://github.com/citation-style-language/schema/raw/master/csl-citation.json"}</w:instrText>
      </w:r>
      <w:r w:rsidRPr="00AE305D">
        <w:rPr>
          <w:rFonts w:ascii="Calibri" w:hAnsi="Calibri" w:cs="Calibri"/>
        </w:rPr>
        <w:fldChar w:fldCharType="separate"/>
      </w:r>
      <w:r w:rsidR="00EF6643" w:rsidRPr="00AE305D">
        <w:rPr>
          <w:rFonts w:ascii="Calibri" w:hAnsi="Calibri" w:cs="Calibri"/>
          <w:noProof/>
        </w:rPr>
        <w:t>[11]</w:t>
      </w:r>
      <w:r w:rsidRPr="00AE305D">
        <w:rPr>
          <w:rFonts w:ascii="Calibri" w:hAnsi="Calibri" w:cs="Calibri"/>
        </w:rPr>
        <w:fldChar w:fldCharType="end"/>
      </w:r>
      <w:r w:rsidRPr="00AE305D">
        <w:rPr>
          <w:rFonts w:ascii="Calibri" w:hAnsi="Calibri" w:cs="Calibri"/>
        </w:rPr>
        <w:t>. However, for any fusion power plant design, the range of external hazards to be considered will depend upon the country and location that the plant is sited in.</w:t>
      </w:r>
    </w:p>
    <w:p w:rsidR="004F58FE" w:rsidRDefault="004F58FE" w:rsidP="0074264F">
      <w:pPr>
        <w:rPr>
          <w:rFonts w:ascii="Calibri" w:hAnsi="Calibri" w:cs="Calibri"/>
        </w:rPr>
      </w:pPr>
    </w:p>
    <w:p w:rsidR="004F58FE" w:rsidRDefault="004F58FE" w:rsidP="0074264F">
      <w:pPr>
        <w:rPr>
          <w:rFonts w:ascii="Calibri" w:hAnsi="Calibri" w:cs="Calibri"/>
          <w:b/>
          <w:i/>
        </w:rPr>
      </w:pPr>
      <w:r>
        <w:rPr>
          <w:rFonts w:ascii="Calibri" w:hAnsi="Calibri" w:cs="Calibri"/>
          <w:b/>
          <w:i/>
        </w:rPr>
        <w:t>5.6.2 Seismic Events</w:t>
      </w:r>
    </w:p>
    <w:p w:rsidR="004F58FE" w:rsidRDefault="004F58FE" w:rsidP="0074264F">
      <w:pPr>
        <w:rPr>
          <w:rFonts w:ascii="Calibri" w:hAnsi="Calibri" w:cs="Calibri"/>
          <w:b/>
          <w:i/>
        </w:rPr>
      </w:pPr>
    </w:p>
    <w:p w:rsidR="00D97784" w:rsidRDefault="004F58FE" w:rsidP="00D97784">
      <w:pPr>
        <w:rPr>
          <w:rFonts w:ascii="Calibri" w:hAnsi="Calibri" w:cs="Calibri"/>
        </w:rPr>
      </w:pPr>
      <w:r>
        <w:rPr>
          <w:rFonts w:ascii="Calibri" w:hAnsi="Calibri" w:cs="Calibri"/>
        </w:rPr>
        <w:t>The design requirements to withstand seismic events depend upon a number of factors including the consequences of an uncontrolled release of radioactive</w:t>
      </w:r>
      <w:r w:rsidR="00A150AF">
        <w:rPr>
          <w:rFonts w:ascii="Calibri" w:hAnsi="Calibri" w:cs="Calibri"/>
        </w:rPr>
        <w:t xml:space="preserve"> materials</w:t>
      </w:r>
      <w:r>
        <w:rPr>
          <w:rFonts w:ascii="Calibri" w:hAnsi="Calibri" w:cs="Calibri"/>
        </w:rPr>
        <w:t xml:space="preserve"> and the seismicity of the area in which the plant is located. In the case of ITER, the French regulators required that buildings that contain radioactive inventories have earthquake protection </w:t>
      </w:r>
      <w:r>
        <w:rPr>
          <w:rFonts w:ascii="Calibri" w:hAnsi="Calibri" w:cs="Calibri"/>
        </w:rPr>
        <w:fldChar w:fldCharType="begin" w:fldLock="1"/>
      </w:r>
      <w:r w:rsidR="00C14502">
        <w:rPr>
          <w:rFonts w:ascii="Calibri" w:hAnsi="Calibri" w:cs="Calibri"/>
        </w:rPr>
        <w:instrText>ADDIN CSL_CITATION {"citationItems":[{"id":"ITEM-1","itemData":{"ISSN":"15361055","abstract":"In order to support the licensing application for the ITER facility at Cadarache, a preliminary safety case has been prepared and submitted to the French nuclear safety authorities. This paper provides an overview of technical aspects of this case, which is based on an evolution of the safety approach developed and applied in earlier phases of the ITER project. The basis of the safety of ITER derives from the fundamental safety characteristics of fusion. The potential radiological hazards that arise are related to the tritium fuel and material activated by neutrons. The confinement of these materials is therefore the principal safety function, and it is reliably provided by robust barriers inherent in the design together with filtering and detritiation as a secondary level of confinement provision. A Defense in Depth approach is taken to ensure that off-normal events are minimized in their frequency, and that the consequences of accidents, even though extremely unlikely, are limited. A comprehensive set of analyses of postulated event sequences provides the demonstration that the consequences of enveloping scenarios are well within acceptable limits, and that even for hypothetical events involving two or more independent failures, the public and environmental impacts remain limited. An ALARA approach is taken to minimizing occupational radiation exposure, as well as other potential impacts of normal operation such as routine releases. Other hazards arising from internal and external risks are also considered, with design provisions, for example the Tokamak building is built on seismic isolation","author":[{"dropping-particle":"","family":"Taylor","given":"Neill","non-dropping-particle":"","parse-names":false,"suffix":""},{"dropping-particle":"","family":"Baker","given":"Dennis","non-dropping-particle":"","parse-names":false,"suffix":""},{"dropping-particle":"","family":"Barabash","given":"Vladimir","non-dropping-particle":"","parse-names":false,"suffix":""},{"dropping-particle":"","family":"Ciattaglia","given":"Sergio","non-dropping-particle":"","parse-names":false,"suffix":""},{"dropping-particle":"","family":"Elbez-Uzan","given":"Joelle","non-dropping-particle":"","parse-names":false,"suffix":""},{"dropping-particle":"","family":"Girard","given":"Jean Philippe","non-dropping-particle":"","parse-names":false,"suffix":""},{"dropping-particle":"","family":"Gordon","given":"Charles","non-dropping-particle":"","parse-names":false,"suffix":""},{"dropping-particle":"","family":"Iseli","given":"Markus","non-dropping-particle":"","parse-names":false,"suffix":""},{"dropping-particle":"","family":"Maubert","given":"Henri","non-dropping-particle":"","parse-names":false,"suffix":""},{"dropping-particle":"","family":"Reyes","given":"Susana","non-dropping-particle":"","parse-names":false,"suffix":""},{"dropping-particle":"","family":"Topilski","given":"Leonid","non-dropping-particle":"","parse-names":false,"suffix":""}],"container-title":"Fusion Science and Technology","id":"ITEM-1","issue":"2","issued":{"date-parts":[["2009"]]},"page":"573-580","title":"Preliminary safety analysis of iter","type":"article-journal","volume":"56"},"uris":["http://www.mendeley.com/documents/?uuid=e3f8f281-0a21-4f09-a539-fae147090e3c"]}],"mendeley":{"formattedCitation":"[39]","plainTextFormattedCitation":"[39]","previouslyFormattedCitation":"[39]"},"properties":{"noteIndex":0},"schema":"https://github.com/citation-style-language/schema/raw/master/csl-citation.json"}</w:instrText>
      </w:r>
      <w:r>
        <w:rPr>
          <w:rFonts w:ascii="Calibri" w:hAnsi="Calibri" w:cs="Calibri"/>
        </w:rPr>
        <w:fldChar w:fldCharType="separate"/>
      </w:r>
      <w:r w:rsidR="00C14502" w:rsidRPr="00C14502">
        <w:rPr>
          <w:rFonts w:ascii="Calibri" w:hAnsi="Calibri" w:cs="Calibri"/>
          <w:noProof/>
        </w:rPr>
        <w:t>[39]</w:t>
      </w:r>
      <w:r>
        <w:rPr>
          <w:rFonts w:ascii="Calibri" w:hAnsi="Calibri" w:cs="Calibri"/>
        </w:rPr>
        <w:fldChar w:fldCharType="end"/>
      </w:r>
      <w:r>
        <w:rPr>
          <w:rFonts w:ascii="Calibri" w:hAnsi="Calibri" w:cs="Calibri"/>
        </w:rPr>
        <w:t>.</w:t>
      </w:r>
      <w:r w:rsidR="00D97784">
        <w:rPr>
          <w:rFonts w:ascii="Calibri" w:hAnsi="Calibri" w:cs="Calibri"/>
        </w:rPr>
        <w:t xml:space="preserve"> This was to ensure that, in the event of an earthquake, safety important components are not impaired and retain their function. The analysis performed at ITER found that an earthquake itself would not initiate an accident that has not already been covered by the safety case; however, internal and external hazards can act as aggravating factors in an existing situation, for example loss of electric power following an earthquake</w:t>
      </w:r>
      <w:r w:rsidR="0071620C">
        <w:rPr>
          <w:rFonts w:ascii="Calibri" w:hAnsi="Calibri" w:cs="Calibri"/>
        </w:rPr>
        <w:t xml:space="preserve"> </w:t>
      </w:r>
      <w:r w:rsidR="0071620C">
        <w:rPr>
          <w:rFonts w:ascii="Calibri" w:hAnsi="Calibri" w:cs="Calibri"/>
        </w:rPr>
        <w:fldChar w:fldCharType="begin" w:fldLock="1"/>
      </w:r>
      <w:r w:rsidR="00B06422">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71620C">
        <w:rPr>
          <w:rFonts w:ascii="Calibri" w:hAnsi="Calibri" w:cs="Calibri"/>
        </w:rPr>
        <w:fldChar w:fldCharType="separate"/>
      </w:r>
      <w:r w:rsidR="0071620C" w:rsidRPr="0071620C">
        <w:rPr>
          <w:rFonts w:ascii="Calibri" w:hAnsi="Calibri" w:cs="Calibri"/>
          <w:noProof/>
        </w:rPr>
        <w:t>[8]</w:t>
      </w:r>
      <w:r w:rsidR="0071620C">
        <w:rPr>
          <w:rFonts w:ascii="Calibri" w:hAnsi="Calibri" w:cs="Calibri"/>
        </w:rPr>
        <w:fldChar w:fldCharType="end"/>
      </w:r>
      <w:r w:rsidR="00D97784">
        <w:rPr>
          <w:rFonts w:ascii="Calibri" w:hAnsi="Calibri" w:cs="Calibri"/>
        </w:rPr>
        <w:t xml:space="preserve">. </w:t>
      </w:r>
    </w:p>
    <w:p w:rsidR="004F58FE" w:rsidRPr="004F58FE" w:rsidRDefault="004F58FE" w:rsidP="0074264F">
      <w:pPr>
        <w:rPr>
          <w:rFonts w:ascii="Calibri" w:hAnsi="Calibri" w:cs="Calibri"/>
        </w:rPr>
      </w:pPr>
    </w:p>
    <w:p w:rsidR="003D122A" w:rsidRDefault="00D11C20" w:rsidP="00ED0F2E">
      <w:pPr>
        <w:rPr>
          <w:rFonts w:ascii="Calibri" w:hAnsi="Calibri" w:cs="Calibri"/>
        </w:rPr>
      </w:pPr>
      <w:r>
        <w:rPr>
          <w:rFonts w:ascii="Calibri" w:hAnsi="Calibri" w:cs="Calibri"/>
        </w:rPr>
        <w:t>The approach adopted for ITER is understandable, but it should not be regarded as a precedent for future fusion power stations. Seismic protection can be costly and can increase design complexity. To justify special design measures to withstand seismic events, it is essential to understand the potential consequences of failure. As such seismic design requirements for fusion power stations should be risk based</w:t>
      </w:r>
      <w:r w:rsidR="00C256F4">
        <w:rPr>
          <w:rFonts w:ascii="Calibri" w:hAnsi="Calibri" w:cs="Calibri"/>
        </w:rPr>
        <w:t>,</w:t>
      </w:r>
      <w:r>
        <w:rPr>
          <w:rFonts w:ascii="Calibri" w:hAnsi="Calibri" w:cs="Calibri"/>
        </w:rPr>
        <w:t xml:space="preserve"> designers of future fusion power station</w:t>
      </w:r>
      <w:r w:rsidR="00FD3084">
        <w:rPr>
          <w:rFonts w:ascii="Calibri" w:hAnsi="Calibri" w:cs="Calibri"/>
        </w:rPr>
        <w:t>s</w:t>
      </w:r>
      <w:r>
        <w:rPr>
          <w:rFonts w:ascii="Calibri" w:hAnsi="Calibri" w:cs="Calibri"/>
        </w:rPr>
        <w:t xml:space="preserve"> will need to evaluate containment integrity based on the radiological release consequences.</w:t>
      </w:r>
      <w:r w:rsidR="008463CF">
        <w:rPr>
          <w:rFonts w:ascii="Calibri" w:hAnsi="Calibri" w:cs="Calibri"/>
        </w:rPr>
        <w:t xml:space="preserve"> It is entirely possible that enhanced seismic design requirements may not be justified on safety grounds alone but rather for asset protection reasons.</w:t>
      </w:r>
    </w:p>
    <w:p w:rsidR="003D122A" w:rsidRDefault="003D122A" w:rsidP="00ED0F2E">
      <w:pPr>
        <w:rPr>
          <w:rFonts w:ascii="Calibri" w:hAnsi="Calibri" w:cs="Calibri"/>
        </w:rPr>
      </w:pPr>
    </w:p>
    <w:p w:rsidR="003D122A" w:rsidRDefault="0087017A" w:rsidP="00ED0F2E">
      <w:pPr>
        <w:rPr>
          <w:rFonts w:ascii="Calibri" w:hAnsi="Calibri" w:cs="Calibri"/>
          <w:b/>
          <w:i/>
        </w:rPr>
      </w:pPr>
      <w:r>
        <w:rPr>
          <w:rFonts w:ascii="Calibri" w:hAnsi="Calibri" w:cs="Calibri"/>
          <w:b/>
          <w:i/>
        </w:rPr>
        <w:t>5.6.</w:t>
      </w:r>
      <w:r w:rsidR="00DC4D27">
        <w:rPr>
          <w:rFonts w:ascii="Calibri" w:hAnsi="Calibri" w:cs="Calibri"/>
          <w:b/>
          <w:i/>
        </w:rPr>
        <w:t>3</w:t>
      </w:r>
      <w:r>
        <w:rPr>
          <w:rFonts w:ascii="Calibri" w:hAnsi="Calibri" w:cs="Calibri"/>
          <w:b/>
          <w:i/>
        </w:rPr>
        <w:t xml:space="preserve"> Aircraft Impact</w:t>
      </w:r>
    </w:p>
    <w:p w:rsidR="0087017A" w:rsidRDefault="0087017A" w:rsidP="00ED0F2E">
      <w:pPr>
        <w:rPr>
          <w:rFonts w:ascii="Calibri" w:hAnsi="Calibri" w:cs="Calibri"/>
          <w:b/>
          <w:i/>
        </w:rPr>
      </w:pPr>
    </w:p>
    <w:p w:rsidR="00C66968" w:rsidRDefault="001E3079" w:rsidP="00C66968">
      <w:pPr>
        <w:rPr>
          <w:rFonts w:ascii="Calibri" w:hAnsi="Calibri" w:cs="Calibri"/>
        </w:rPr>
      </w:pPr>
      <w:r>
        <w:rPr>
          <w:rFonts w:ascii="Calibri" w:hAnsi="Calibri" w:cs="Calibri"/>
        </w:rPr>
        <w:t>Prior to the attacks on the Twin Towers in New York in 20</w:t>
      </w:r>
      <w:r w:rsidR="00483364">
        <w:rPr>
          <w:rFonts w:ascii="Calibri" w:hAnsi="Calibri" w:cs="Calibri"/>
        </w:rPr>
        <w:t>0</w:t>
      </w:r>
      <w:r>
        <w:rPr>
          <w:rFonts w:ascii="Calibri" w:hAnsi="Calibri" w:cs="Calibri"/>
        </w:rPr>
        <w:t xml:space="preserve">1, the traditional approach to aircraft crash assessment was to consider the likelihood of an aircraft falling out of the sky and impacting on an installation. These probabilities were generally very low and hence in most, but not all, cases no special design measures were required. However, things have </w:t>
      </w:r>
      <w:r w:rsidR="00C66968">
        <w:rPr>
          <w:rFonts w:ascii="Calibri" w:hAnsi="Calibri" w:cs="Calibri"/>
        </w:rPr>
        <w:t>changed,</w:t>
      </w:r>
      <w:r>
        <w:rPr>
          <w:rFonts w:ascii="Calibri" w:hAnsi="Calibri" w:cs="Calibri"/>
        </w:rPr>
        <w:t xml:space="preserve"> and fission power stations now need to demonstrate resilience against a direct aircraft impact. </w:t>
      </w:r>
      <w:r w:rsidR="00C66968">
        <w:rPr>
          <w:rFonts w:ascii="Calibri" w:hAnsi="Calibri" w:cs="Calibri"/>
        </w:rPr>
        <w:t>Assessments of aircraft impacts on reactor buildings were performed in the safety analysis at ITER</w:t>
      </w:r>
      <w:r w:rsidR="00B06422">
        <w:rPr>
          <w:rFonts w:ascii="Calibri" w:hAnsi="Calibri" w:cs="Calibri"/>
        </w:rPr>
        <w:t xml:space="preserve"> </w:t>
      </w:r>
      <w:r w:rsidR="00B06422">
        <w:rPr>
          <w:rFonts w:ascii="Calibri" w:hAnsi="Calibri" w:cs="Calibri"/>
        </w:rPr>
        <w:fldChar w:fldCharType="begin" w:fldLock="1"/>
      </w:r>
      <w:r w:rsidR="00E42C29">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B06422">
        <w:rPr>
          <w:rFonts w:ascii="Calibri" w:hAnsi="Calibri" w:cs="Calibri"/>
        </w:rPr>
        <w:fldChar w:fldCharType="separate"/>
      </w:r>
      <w:r w:rsidR="00B06422" w:rsidRPr="00B06422">
        <w:rPr>
          <w:rFonts w:ascii="Calibri" w:hAnsi="Calibri" w:cs="Calibri"/>
          <w:noProof/>
        </w:rPr>
        <w:t>[8]</w:t>
      </w:r>
      <w:r w:rsidR="00B06422">
        <w:rPr>
          <w:rFonts w:ascii="Calibri" w:hAnsi="Calibri" w:cs="Calibri"/>
        </w:rPr>
        <w:fldChar w:fldCharType="end"/>
      </w:r>
      <w:r w:rsidR="00C66968">
        <w:rPr>
          <w:rFonts w:ascii="Calibri" w:hAnsi="Calibri" w:cs="Calibri"/>
        </w:rPr>
        <w:t>. A range of aircraft families were analysed and the probability of a hazard relating to general aircraft impacting on the Tokamak Building was calculated at 1.2 x 10</w:t>
      </w:r>
      <w:r w:rsidR="00C66968">
        <w:rPr>
          <w:rFonts w:ascii="Calibri" w:hAnsi="Calibri" w:cs="Calibri"/>
          <w:vertAlign w:val="superscript"/>
        </w:rPr>
        <w:t>-6</w:t>
      </w:r>
      <w:r w:rsidR="00C66968">
        <w:rPr>
          <w:rFonts w:ascii="Calibri" w:hAnsi="Calibri" w:cs="Calibri"/>
        </w:rPr>
        <w:t xml:space="preserve"> per annum. As this value was above the 10</w:t>
      </w:r>
      <w:r w:rsidR="00C66968">
        <w:rPr>
          <w:rFonts w:ascii="Calibri" w:hAnsi="Calibri" w:cs="Calibri"/>
          <w:vertAlign w:val="superscript"/>
        </w:rPr>
        <w:t>-7</w:t>
      </w:r>
      <w:r w:rsidR="00C66968">
        <w:rPr>
          <w:rFonts w:ascii="Calibri" w:hAnsi="Calibri" w:cs="Calibri"/>
        </w:rPr>
        <w:t xml:space="preserve"> per annum limit for a radiologically controlled building (as stated in the Fundamental Safety Rule (RFS)</w:t>
      </w:r>
      <w:r w:rsidR="00B81951">
        <w:rPr>
          <w:rFonts w:ascii="Calibri" w:hAnsi="Calibri" w:cs="Calibri"/>
        </w:rPr>
        <w:t xml:space="preserve"> </w:t>
      </w:r>
      <w:r w:rsidR="001A3467">
        <w:rPr>
          <w:rFonts w:ascii="Calibri" w:hAnsi="Calibri" w:cs="Calibri"/>
        </w:rPr>
        <w:fldChar w:fldCharType="begin" w:fldLock="1"/>
      </w:r>
      <w:r w:rsidR="00C14502">
        <w:rPr>
          <w:rFonts w:ascii="Calibri" w:hAnsi="Calibri" w:cs="Calibri"/>
        </w:rPr>
        <w:instrText>ADDIN CSL_CITATION {"citationItems":[{"id":"ITEM-1","itemData":{"author":[{"dropping-particle":"","family":"Autorité de sûreté nucléaire","given":"","non-dropping-particle":"","parse-names":false,"suffix":""}],"id":"ITEM-1","issued":{"date-parts":[["2001"]]},"number-of-pages":"1-14","title":"Fundamental safety rule RFS 2001-01 concerning seismic risk assessment for basic nuclear installations","type":"report"},"uris":["http://www.mendeley.com/documents/?uuid=fcd72355-563b-4598-83d6-62b26f5cc7fb"]}],"mendeley":{"formattedCitation":"[40]","plainTextFormattedCitation":"[40]","previouslyFormattedCitation":"[40]"},"properties":{"noteIndex":0},"schema":"https://github.com/citation-style-language/schema/raw/master/csl-citation.json"}</w:instrText>
      </w:r>
      <w:r w:rsidR="001A3467">
        <w:rPr>
          <w:rFonts w:ascii="Calibri" w:hAnsi="Calibri" w:cs="Calibri"/>
        </w:rPr>
        <w:fldChar w:fldCharType="separate"/>
      </w:r>
      <w:r w:rsidR="00C14502" w:rsidRPr="00C14502">
        <w:rPr>
          <w:rFonts w:ascii="Calibri" w:hAnsi="Calibri" w:cs="Calibri"/>
          <w:noProof/>
        </w:rPr>
        <w:t>[40]</w:t>
      </w:r>
      <w:r w:rsidR="001A3467">
        <w:rPr>
          <w:rFonts w:ascii="Calibri" w:hAnsi="Calibri" w:cs="Calibri"/>
        </w:rPr>
        <w:fldChar w:fldCharType="end"/>
      </w:r>
      <w:r w:rsidR="00C66968">
        <w:rPr>
          <w:rFonts w:ascii="Calibri" w:hAnsi="Calibri" w:cs="Calibri"/>
        </w:rPr>
        <w:t xml:space="preserve">), the hazard must be taken into account in the design of the facility. The analysis showed that the design and layout of the buildings ensures that any impact from a general aircraft would not impair </w:t>
      </w:r>
      <w:r w:rsidR="00C66968">
        <w:rPr>
          <w:rFonts w:ascii="Calibri" w:hAnsi="Calibri" w:cs="Calibri"/>
        </w:rPr>
        <w:lastRenderedPageBreak/>
        <w:t>safety important components (SIC</w:t>
      </w:r>
      <w:r w:rsidR="00234DDF">
        <w:rPr>
          <w:rFonts w:ascii="Calibri" w:hAnsi="Calibri" w:cs="Calibri"/>
        </w:rPr>
        <w:t>s</w:t>
      </w:r>
      <w:r w:rsidR="00C66968">
        <w:rPr>
          <w:rFonts w:ascii="Calibri" w:hAnsi="Calibri" w:cs="Calibri"/>
        </w:rPr>
        <w:t>) or result in a release of radioactive material. This is generally due to the concrete in the roofs and walls of reactor buildings being sufficiently thick to withstand an aircraft crash or the impact of structures, liable to fall on them, without causing major cracks or perforations</w:t>
      </w:r>
      <w:r w:rsidR="00E42C29">
        <w:rPr>
          <w:rFonts w:ascii="Calibri" w:hAnsi="Calibri" w:cs="Calibri"/>
        </w:rPr>
        <w:t xml:space="preserve"> </w:t>
      </w:r>
      <w:r w:rsidR="00E42C29">
        <w:rPr>
          <w:rFonts w:ascii="Calibri" w:hAnsi="Calibri" w:cs="Calibri"/>
        </w:rPr>
        <w:fldChar w:fldCharType="begin" w:fldLock="1"/>
      </w:r>
      <w:r w:rsidR="00A00371">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E42C29">
        <w:rPr>
          <w:rFonts w:ascii="Calibri" w:hAnsi="Calibri" w:cs="Calibri"/>
        </w:rPr>
        <w:fldChar w:fldCharType="separate"/>
      </w:r>
      <w:r w:rsidR="00E42C29" w:rsidRPr="00E42C29">
        <w:rPr>
          <w:rFonts w:ascii="Calibri" w:hAnsi="Calibri" w:cs="Calibri"/>
          <w:noProof/>
        </w:rPr>
        <w:t>[8]</w:t>
      </w:r>
      <w:r w:rsidR="00E42C29">
        <w:rPr>
          <w:rFonts w:ascii="Calibri" w:hAnsi="Calibri" w:cs="Calibri"/>
        </w:rPr>
        <w:fldChar w:fldCharType="end"/>
      </w:r>
      <w:r w:rsidR="00C66968">
        <w:rPr>
          <w:rFonts w:ascii="Calibri" w:hAnsi="Calibri" w:cs="Calibri"/>
        </w:rPr>
        <w:t xml:space="preserve">. </w:t>
      </w:r>
    </w:p>
    <w:p w:rsidR="003D122A" w:rsidRDefault="003D122A" w:rsidP="00ED0F2E">
      <w:pPr>
        <w:rPr>
          <w:rFonts w:ascii="Calibri" w:hAnsi="Calibri" w:cs="Calibri"/>
        </w:rPr>
      </w:pPr>
    </w:p>
    <w:p w:rsidR="00B22936" w:rsidRDefault="00B22936" w:rsidP="00ED0F2E">
      <w:pPr>
        <w:rPr>
          <w:rFonts w:ascii="Calibri" w:hAnsi="Calibri" w:cs="Calibri"/>
        </w:rPr>
      </w:pPr>
      <w:r>
        <w:rPr>
          <w:rFonts w:ascii="Calibri" w:hAnsi="Calibri" w:cs="Calibri"/>
        </w:rPr>
        <w:t>However, aircraft impact protection is costly and can increase design complexity and hence aircraft protection for any future fusion power station must be justified. The potential radiological release consequences of an aircraft crash must determine the extent to which the power plant is designed to protect against aircraft impact.</w:t>
      </w:r>
    </w:p>
    <w:p w:rsidR="00B22936" w:rsidRDefault="00B22936" w:rsidP="00ED0F2E">
      <w:pPr>
        <w:rPr>
          <w:rFonts w:ascii="Calibri" w:hAnsi="Calibri" w:cs="Calibri"/>
        </w:rPr>
      </w:pPr>
    </w:p>
    <w:p w:rsidR="00B22936" w:rsidRDefault="00BB4E33" w:rsidP="00ED0F2E">
      <w:pPr>
        <w:rPr>
          <w:rFonts w:ascii="Calibri" w:hAnsi="Calibri" w:cs="Calibri"/>
          <w:b/>
        </w:rPr>
      </w:pPr>
      <w:r>
        <w:rPr>
          <w:rFonts w:ascii="Calibri" w:hAnsi="Calibri" w:cs="Calibri"/>
          <w:b/>
        </w:rPr>
        <w:t>5.7 Internal Hazards</w:t>
      </w:r>
    </w:p>
    <w:p w:rsidR="00BB4E33" w:rsidRDefault="00BB4E33" w:rsidP="00ED0F2E">
      <w:pPr>
        <w:rPr>
          <w:rFonts w:ascii="Calibri" w:hAnsi="Calibri" w:cs="Calibri"/>
          <w:b/>
        </w:rPr>
      </w:pPr>
    </w:p>
    <w:p w:rsidR="00BB4E33" w:rsidRDefault="00BB4E33" w:rsidP="00ED0F2E">
      <w:pPr>
        <w:rPr>
          <w:rFonts w:ascii="Calibri" w:hAnsi="Calibri" w:cs="Calibri"/>
          <w:b/>
          <w:i/>
        </w:rPr>
      </w:pPr>
      <w:r>
        <w:rPr>
          <w:rFonts w:ascii="Calibri" w:hAnsi="Calibri" w:cs="Calibri"/>
          <w:b/>
          <w:i/>
        </w:rPr>
        <w:t>5.7.1 Fire Hazards – Reactor (Tokamak) Building</w:t>
      </w:r>
    </w:p>
    <w:p w:rsidR="00BB4E33" w:rsidRDefault="00BB4E33" w:rsidP="00ED0F2E">
      <w:pPr>
        <w:rPr>
          <w:rFonts w:ascii="Calibri" w:hAnsi="Calibri" w:cs="Calibri"/>
          <w:b/>
          <w:i/>
        </w:rPr>
      </w:pPr>
    </w:p>
    <w:p w:rsidR="00BB4E33" w:rsidRPr="00BB4E33" w:rsidRDefault="00BB4E33" w:rsidP="00ED0F2E">
      <w:pPr>
        <w:rPr>
          <w:rFonts w:ascii="Calibri" w:hAnsi="Calibri" w:cs="Calibri"/>
        </w:rPr>
      </w:pPr>
      <w:r>
        <w:rPr>
          <w:rFonts w:ascii="Calibri" w:hAnsi="Calibri" w:cs="Calibri"/>
        </w:rPr>
        <w:t>Fire within a power station is a recognised internal hazard and, as such, all nuclear installations are designed to limit the initiation and consequences of fire. The preliminary safety analysis</w:t>
      </w:r>
      <w:r w:rsidR="001D4968">
        <w:rPr>
          <w:rFonts w:ascii="Calibri" w:hAnsi="Calibri" w:cs="Calibri"/>
        </w:rPr>
        <w:t xml:space="preserve"> (RPrS)</w:t>
      </w:r>
      <w:r>
        <w:rPr>
          <w:rFonts w:ascii="Calibri" w:hAnsi="Calibri" w:cs="Calibri"/>
        </w:rPr>
        <w:t xml:space="preserve"> of the ITER design </w:t>
      </w:r>
      <w:r w:rsidR="00A00371">
        <w:rPr>
          <w:rFonts w:ascii="Calibri" w:hAnsi="Calibri" w:cs="Calibri"/>
        </w:rPr>
        <w:fldChar w:fldCharType="begin" w:fldLock="1"/>
      </w:r>
      <w:r w:rsidR="000634D6">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A00371">
        <w:rPr>
          <w:rFonts w:ascii="Calibri" w:hAnsi="Calibri" w:cs="Calibri"/>
        </w:rPr>
        <w:fldChar w:fldCharType="separate"/>
      </w:r>
      <w:r w:rsidR="00A00371" w:rsidRPr="00A00371">
        <w:rPr>
          <w:rFonts w:ascii="Calibri" w:hAnsi="Calibri" w:cs="Calibri"/>
          <w:noProof/>
        </w:rPr>
        <w:t>[8]</w:t>
      </w:r>
      <w:r w:rsidR="00A00371">
        <w:rPr>
          <w:rFonts w:ascii="Calibri" w:hAnsi="Calibri" w:cs="Calibri"/>
        </w:rPr>
        <w:fldChar w:fldCharType="end"/>
      </w:r>
      <w:r>
        <w:rPr>
          <w:rFonts w:ascii="Calibri" w:hAnsi="Calibri" w:cs="Calibri"/>
        </w:rPr>
        <w:t xml:space="preserve"> addressed the fire risk and showed that it is possible to design a fusion facility so that a fire in the tokamak building (i.e. the building housing the fusion react</w:t>
      </w:r>
      <w:r w:rsidR="003552E7">
        <w:rPr>
          <w:rFonts w:ascii="Calibri" w:hAnsi="Calibri" w:cs="Calibri"/>
        </w:rPr>
        <w:t>ion</w:t>
      </w:r>
      <w:r>
        <w:rPr>
          <w:rFonts w:ascii="Calibri" w:hAnsi="Calibri" w:cs="Calibri"/>
        </w:rPr>
        <w:t>) would not result in a loss of vacuum vessel integrity, and that the loss of safety functions from damage to safety important components (SIC</w:t>
      </w:r>
      <w:r w:rsidR="003C34CE">
        <w:rPr>
          <w:rFonts w:ascii="Calibri" w:hAnsi="Calibri" w:cs="Calibri"/>
        </w:rPr>
        <w:t>s</w:t>
      </w:r>
      <w:r>
        <w:rPr>
          <w:rFonts w:ascii="Calibri" w:hAnsi="Calibri" w:cs="Calibri"/>
        </w:rPr>
        <w:t xml:space="preserve">) was very unlikely </w:t>
      </w:r>
      <w:r>
        <w:rPr>
          <w:rFonts w:ascii="Calibri" w:hAnsi="Calibri" w:cs="Calibri"/>
        </w:rPr>
        <w:fldChar w:fldCharType="begin" w:fldLock="1"/>
      </w:r>
      <w:r w:rsidR="00EF6643">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Pr>
          <w:rFonts w:ascii="Calibri" w:hAnsi="Calibri" w:cs="Calibri"/>
        </w:rPr>
        <w:fldChar w:fldCharType="separate"/>
      </w:r>
      <w:r w:rsidR="00EF6643" w:rsidRPr="00EF6643">
        <w:rPr>
          <w:rFonts w:ascii="Calibri" w:hAnsi="Calibri" w:cs="Calibri"/>
          <w:noProof/>
        </w:rPr>
        <w:t>[8]</w:t>
      </w:r>
      <w:r>
        <w:rPr>
          <w:rFonts w:ascii="Calibri" w:hAnsi="Calibri" w:cs="Calibri"/>
        </w:rPr>
        <w:fldChar w:fldCharType="end"/>
      </w:r>
      <w:r>
        <w:rPr>
          <w:rFonts w:ascii="Calibri" w:hAnsi="Calibri" w:cs="Calibri"/>
        </w:rPr>
        <w:t>. This analysis has shown that with the application of the appropriate fire standards, the risks associated with internal fire hazards in fusion power stations can be managed. The radiological consequences of a fire breaking out in the tritium plant are discussed in 5.7.2 (below).</w:t>
      </w:r>
    </w:p>
    <w:p w:rsidR="003D122A" w:rsidRDefault="003D122A" w:rsidP="00ED0F2E">
      <w:pPr>
        <w:rPr>
          <w:rFonts w:ascii="Calibri" w:hAnsi="Calibri" w:cs="Calibri"/>
        </w:rPr>
      </w:pPr>
    </w:p>
    <w:p w:rsidR="00331BD7" w:rsidRDefault="00331BD7" w:rsidP="00ED0F2E">
      <w:pPr>
        <w:rPr>
          <w:rFonts w:ascii="Calibri" w:hAnsi="Calibri" w:cs="Calibri"/>
          <w:b/>
          <w:i/>
        </w:rPr>
      </w:pPr>
      <w:r w:rsidRPr="00331BD7">
        <w:rPr>
          <w:rFonts w:ascii="Calibri" w:hAnsi="Calibri" w:cs="Calibri"/>
          <w:b/>
          <w:i/>
        </w:rPr>
        <w:t>5.7.2 Fire Hazards – Tritium Plant</w:t>
      </w:r>
    </w:p>
    <w:p w:rsidR="00331BD7" w:rsidRDefault="00331BD7" w:rsidP="00ED0F2E">
      <w:pPr>
        <w:rPr>
          <w:rFonts w:ascii="Calibri" w:hAnsi="Calibri" w:cs="Calibri"/>
          <w:b/>
          <w:i/>
        </w:rPr>
      </w:pPr>
    </w:p>
    <w:p w:rsidR="00331BD7" w:rsidRDefault="00331BD7" w:rsidP="00ED0F2E">
      <w:pPr>
        <w:rPr>
          <w:rFonts w:ascii="Calibri" w:hAnsi="Calibri" w:cs="Calibri"/>
        </w:rPr>
      </w:pPr>
      <w:r>
        <w:rPr>
          <w:rFonts w:ascii="Calibri" w:hAnsi="Calibri" w:cs="Calibri"/>
        </w:rPr>
        <w:t xml:space="preserve">The impact of a fire in the tritium plant was modelled as part of the </w:t>
      </w:r>
      <w:r w:rsidR="001D4968">
        <w:rPr>
          <w:rFonts w:ascii="Calibri" w:hAnsi="Calibri" w:cs="Calibri"/>
        </w:rPr>
        <w:t xml:space="preserve">RPrS </w:t>
      </w:r>
      <w:r>
        <w:rPr>
          <w:rFonts w:ascii="Calibri" w:hAnsi="Calibri" w:cs="Calibri"/>
        </w:rPr>
        <w:t>at ITER</w:t>
      </w:r>
      <w:r w:rsidR="000634D6">
        <w:rPr>
          <w:rFonts w:ascii="Calibri" w:hAnsi="Calibri" w:cs="Calibri"/>
        </w:rPr>
        <w:t xml:space="preserve"> </w:t>
      </w:r>
      <w:r w:rsidR="000634D6">
        <w:rPr>
          <w:rFonts w:ascii="Calibri" w:hAnsi="Calibri" w:cs="Calibri"/>
        </w:rPr>
        <w:fldChar w:fldCharType="begin" w:fldLock="1"/>
      </w:r>
      <w:r w:rsidR="008C7B6A">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0634D6">
        <w:rPr>
          <w:rFonts w:ascii="Calibri" w:hAnsi="Calibri" w:cs="Calibri"/>
        </w:rPr>
        <w:fldChar w:fldCharType="separate"/>
      </w:r>
      <w:r w:rsidR="000634D6" w:rsidRPr="000634D6">
        <w:rPr>
          <w:rFonts w:ascii="Calibri" w:hAnsi="Calibri" w:cs="Calibri"/>
          <w:noProof/>
        </w:rPr>
        <w:t>[8]</w:t>
      </w:r>
      <w:r w:rsidR="000634D6">
        <w:rPr>
          <w:rFonts w:ascii="Calibri" w:hAnsi="Calibri" w:cs="Calibri"/>
        </w:rPr>
        <w:fldChar w:fldCharType="end"/>
      </w:r>
      <w:r w:rsidR="00A85B00">
        <w:rPr>
          <w:rFonts w:ascii="Calibri" w:hAnsi="Calibri" w:cs="Calibri"/>
        </w:rPr>
        <w:t xml:space="preserve">. The analysis assumed the failure of a glove box confinement which resulted in a release of tritium. It was assumed that the </w:t>
      </w:r>
      <w:r w:rsidR="00597966">
        <w:rPr>
          <w:rFonts w:ascii="Calibri" w:hAnsi="Calibri" w:cs="Calibri"/>
        </w:rPr>
        <w:t>entire tritium inventory in the glove box (70</w:t>
      </w:r>
      <w:r w:rsidR="000F5827">
        <w:rPr>
          <w:rFonts w:ascii="Calibri" w:hAnsi="Calibri" w:cs="Calibri"/>
        </w:rPr>
        <w:t xml:space="preserve"> </w:t>
      </w:r>
      <w:r w:rsidR="00597966">
        <w:rPr>
          <w:rFonts w:ascii="Calibri" w:hAnsi="Calibri" w:cs="Calibri"/>
        </w:rPr>
        <w:t>g) was instantaneously released into the room as the fire began. The temperature increase led to a pressure increase</w:t>
      </w:r>
      <w:r w:rsidR="00B76EED">
        <w:rPr>
          <w:rFonts w:ascii="Calibri" w:hAnsi="Calibri" w:cs="Calibri"/>
        </w:rPr>
        <w:t xml:space="preserve">; however, </w:t>
      </w:r>
      <w:r w:rsidR="00597966">
        <w:rPr>
          <w:rFonts w:ascii="Calibri" w:hAnsi="Calibri" w:cs="Calibri"/>
        </w:rPr>
        <w:t xml:space="preserve">it was assumed that the detritiation systems will be able to cope with the room pressurisation during the fire and maintain it under depression. </w:t>
      </w:r>
      <w:r w:rsidR="00981803">
        <w:rPr>
          <w:rFonts w:ascii="Calibri" w:hAnsi="Calibri" w:cs="Calibri"/>
        </w:rPr>
        <w:t>The maximum quantity of tritium as HTO released into the environment was calculated to be 7.3 g.</w:t>
      </w:r>
    </w:p>
    <w:p w:rsidR="00280E3E" w:rsidRDefault="00280E3E" w:rsidP="00ED0F2E">
      <w:pPr>
        <w:rPr>
          <w:rFonts w:ascii="Calibri" w:hAnsi="Calibri" w:cs="Calibri"/>
        </w:rPr>
      </w:pPr>
    </w:p>
    <w:p w:rsidR="004F6847" w:rsidRDefault="00280E3E" w:rsidP="00ED0F2E">
      <w:pPr>
        <w:rPr>
          <w:rFonts w:ascii="Calibri" w:hAnsi="Calibri" w:cs="Calibri"/>
        </w:rPr>
      </w:pPr>
      <w:r>
        <w:rPr>
          <w:rFonts w:ascii="Calibri" w:hAnsi="Calibri" w:cs="Calibri"/>
        </w:rPr>
        <w:t xml:space="preserve">The calculated radiation doses for most-exposed persons arising from the radioactive release associated with this accident are 1.07 mSv at 200 m and 0.17 mSv at 2.5 km. </w:t>
      </w:r>
      <w:r w:rsidR="00354C94">
        <w:rPr>
          <w:rFonts w:ascii="Calibri" w:hAnsi="Calibri" w:cs="Calibri"/>
        </w:rPr>
        <w:t xml:space="preserve">Whilst these exposures are on the same order as the 1 mSv limit for members of the public, they are significantly below the evacuation limit (50 mSv). </w:t>
      </w:r>
      <w:r w:rsidR="00F25055">
        <w:rPr>
          <w:rFonts w:ascii="Calibri" w:hAnsi="Calibri" w:cs="Calibri"/>
        </w:rPr>
        <w:t xml:space="preserve">Given that this is classed as a beyond design basis accident, i.e. a hypothetical event sequence postulated by adding a series of independent aggravating failures, the likelihood of the overall sequence transpiring is extremely low </w:t>
      </w:r>
      <w:r w:rsidR="00F25055">
        <w:rPr>
          <w:rFonts w:ascii="Calibri" w:hAnsi="Calibri" w:cs="Calibri"/>
        </w:rPr>
        <w:fldChar w:fldCharType="begin" w:fldLock="1"/>
      </w:r>
      <w:r w:rsidR="00FF459B">
        <w:rPr>
          <w:rFonts w:ascii="Calibri" w:hAnsi="Calibri" w:cs="Calibri"/>
        </w:rPr>
        <w:instrText>ADDIN CSL_CITATION {"citationItems":[{"id":"ITEM-1","itemData":{"DOI":"10.13182/FST07-A1514","ISSN":"15361055","abstract":"Throughout the various phases of the ITER project, extensive safety analyses have been performed to ensure that potential hazards to the public, the environment, and personnel are minimized. This work, done before a location for ITER had. been chosen, resulted in a very comprehensive assessment of ITER safety in terms of the impact at a \"generic site\". By making good use of the favourable safety and environmental characteristics of fusion, a very good outcome was achieved. Now that the Cadarache site, in southern France, has been selected for ITER construction, it is necessary to reanalyze the impact of postulated accidental releases of tritium and activated material, taking into account the specific conditions of the site. These include regulatory requirements on dose limits and on assumptions to be made in analyses, as well as local environmental factors such as weather conditions, population demographics, and local food production and consumption patterns. This paper discusses the impact on the ITER safety case of new dispersion and dose calculations for accidental releases, taking into account these site-specific conditions; These indicate that doses arising from the release masses calculated for the most challenging accident scenario in previous generic-site studies will meet the new dose limits by a very large margin.","author":[{"dropping-particle":"","family":"Taylor","given":"Neill P.","non-dropping-particle":"","parse-names":false,"suffix":""},{"dropping-particle":"","family":"Raskob","given":"Wolfgang","non-dropping-particle":"","parse-names":false,"suffix":""}],"container-title":"Fusion Science and Technology","id":"ITEM-1","issue":"3","issued":{"date-parts":[["2007"]]},"page":"359-366","title":"Updated accident consequence analyses for ITER at Cadarache","type":"article-journal","volume":"52"},"uris":["http://www.mendeley.com/documents/?uuid=388aa427-b960-432f-9d4d-77abd55900de"]}],"mendeley":{"formattedCitation":"[25]","plainTextFormattedCitation":"[25]","previouslyFormattedCitation":"[25]"},"properties":{"noteIndex":0},"schema":"https://github.com/citation-style-language/schema/raw/master/csl-citation.json"}</w:instrText>
      </w:r>
      <w:r w:rsidR="00F25055">
        <w:rPr>
          <w:rFonts w:ascii="Calibri" w:hAnsi="Calibri" w:cs="Calibri"/>
        </w:rPr>
        <w:fldChar w:fldCharType="separate"/>
      </w:r>
      <w:r w:rsidR="00F80CBA" w:rsidRPr="00F80CBA">
        <w:rPr>
          <w:rFonts w:ascii="Calibri" w:hAnsi="Calibri" w:cs="Calibri"/>
          <w:noProof/>
        </w:rPr>
        <w:t>[25]</w:t>
      </w:r>
      <w:r w:rsidR="00F25055">
        <w:rPr>
          <w:rFonts w:ascii="Calibri" w:hAnsi="Calibri" w:cs="Calibri"/>
        </w:rPr>
        <w:fldChar w:fldCharType="end"/>
      </w:r>
      <w:r w:rsidR="00F25055">
        <w:rPr>
          <w:rFonts w:ascii="Calibri" w:hAnsi="Calibri" w:cs="Calibri"/>
        </w:rPr>
        <w:t>.</w:t>
      </w:r>
      <w:r w:rsidR="00967BFC">
        <w:rPr>
          <w:rFonts w:ascii="Calibri" w:hAnsi="Calibri" w:cs="Calibri"/>
        </w:rPr>
        <w:t xml:space="preserve"> The objective must always be to make any fault sequence extremely</w:t>
      </w:r>
      <w:r w:rsidR="00E500FA">
        <w:rPr>
          <w:rFonts w:ascii="Calibri" w:hAnsi="Calibri" w:cs="Calibri"/>
        </w:rPr>
        <w:t xml:space="preserve"> low</w:t>
      </w:r>
      <w:r w:rsidR="00967BFC">
        <w:rPr>
          <w:rFonts w:ascii="Calibri" w:hAnsi="Calibri" w:cs="Calibri"/>
        </w:rPr>
        <w:t xml:space="preserve"> if the consequences result in the risk not being ALARP/ALARA.</w:t>
      </w:r>
    </w:p>
    <w:p w:rsidR="004F6847" w:rsidRDefault="004F6847" w:rsidP="00ED0F2E">
      <w:pPr>
        <w:rPr>
          <w:rFonts w:ascii="Calibri" w:hAnsi="Calibri" w:cs="Calibri"/>
        </w:rPr>
      </w:pPr>
    </w:p>
    <w:p w:rsidR="00280E3E" w:rsidRDefault="004F6847" w:rsidP="00ED0F2E">
      <w:pPr>
        <w:rPr>
          <w:rFonts w:ascii="Calibri" w:hAnsi="Calibri" w:cs="Calibri"/>
        </w:rPr>
      </w:pPr>
      <w:r>
        <w:rPr>
          <w:rFonts w:ascii="Calibri" w:hAnsi="Calibri" w:cs="Calibri"/>
        </w:rPr>
        <w:t>For ITER there is a comprehensive fire detection and suppression system together with a robust defence in depth approach to fire protection</w:t>
      </w:r>
      <w:r w:rsidR="00F25055">
        <w:rPr>
          <w:rFonts w:ascii="Calibri" w:hAnsi="Calibri" w:cs="Calibri"/>
        </w:rPr>
        <w:t xml:space="preserve"> </w:t>
      </w:r>
      <w:r>
        <w:rPr>
          <w:rFonts w:ascii="Calibri" w:hAnsi="Calibri" w:cs="Calibri"/>
        </w:rPr>
        <w:fldChar w:fldCharType="begin" w:fldLock="1"/>
      </w:r>
      <w:r w:rsidR="00EF6643">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Pr>
          <w:rFonts w:ascii="Calibri" w:hAnsi="Calibri" w:cs="Calibri"/>
        </w:rPr>
        <w:fldChar w:fldCharType="separate"/>
      </w:r>
      <w:r w:rsidR="00EF6643" w:rsidRPr="00EF6643">
        <w:rPr>
          <w:rFonts w:ascii="Calibri" w:hAnsi="Calibri" w:cs="Calibri"/>
          <w:noProof/>
        </w:rPr>
        <w:t>[8]</w:t>
      </w:r>
      <w:r>
        <w:rPr>
          <w:rFonts w:ascii="Calibri" w:hAnsi="Calibri" w:cs="Calibri"/>
        </w:rPr>
        <w:fldChar w:fldCharType="end"/>
      </w:r>
      <w:r>
        <w:rPr>
          <w:rFonts w:ascii="Calibri" w:hAnsi="Calibri" w:cs="Calibri"/>
        </w:rPr>
        <w:t xml:space="preserve">. It is clear that there is a potential </w:t>
      </w:r>
      <w:r>
        <w:rPr>
          <w:rFonts w:ascii="Calibri" w:hAnsi="Calibri" w:cs="Calibri"/>
        </w:rPr>
        <w:lastRenderedPageBreak/>
        <w:t>for radiological release from a fire in a fusion reactor tritium handling plant and hence the fire safety design will require robust substantiation.</w:t>
      </w:r>
    </w:p>
    <w:p w:rsidR="004F6847" w:rsidRDefault="004F6847" w:rsidP="00ED0F2E">
      <w:pPr>
        <w:rPr>
          <w:rFonts w:ascii="Calibri" w:hAnsi="Calibri" w:cs="Calibri"/>
        </w:rPr>
      </w:pPr>
    </w:p>
    <w:p w:rsidR="003D122A" w:rsidRPr="007B15E8" w:rsidRDefault="007B15E8" w:rsidP="00ED0F2E">
      <w:pPr>
        <w:rPr>
          <w:rFonts w:ascii="Calibri" w:hAnsi="Calibri" w:cs="Calibri"/>
          <w:b/>
          <w:i/>
        </w:rPr>
      </w:pPr>
      <w:r w:rsidRPr="007B15E8">
        <w:rPr>
          <w:rFonts w:ascii="Calibri" w:hAnsi="Calibri" w:cs="Calibri"/>
          <w:b/>
          <w:i/>
        </w:rPr>
        <w:t>5.7.3 Electromagnetic Discharge</w:t>
      </w:r>
    </w:p>
    <w:p w:rsidR="003D122A" w:rsidRDefault="003D122A" w:rsidP="00ED0F2E">
      <w:pPr>
        <w:rPr>
          <w:rFonts w:ascii="Calibri" w:hAnsi="Calibri" w:cs="Calibri"/>
        </w:rPr>
      </w:pPr>
    </w:p>
    <w:p w:rsidR="00372917" w:rsidRDefault="0036430A" w:rsidP="00ED0F2E">
      <w:pPr>
        <w:rPr>
          <w:rFonts w:ascii="Calibri" w:hAnsi="Calibri" w:cs="Calibri"/>
        </w:rPr>
      </w:pPr>
      <w:r>
        <w:rPr>
          <w:rFonts w:ascii="Calibri" w:hAnsi="Calibri" w:cs="Calibri"/>
        </w:rPr>
        <w:t xml:space="preserve">As discussed in 4.1, the magnetic energy inventory in a fusion reactor is expected to be large, with toroidal and poloidal coils having energies up to 180 GJ and 50 GJ, respectively. Failure of the magnet systems can result in discharge of this energy in arcs leading to significant damage to the first confinement barrier (the VV wall). Energy from the magnet is discharged in a small area and can result in a hole forming in the wall, initiating a LOVA </w:t>
      </w:r>
      <w:r>
        <w:rPr>
          <w:rFonts w:ascii="Calibri" w:hAnsi="Calibri" w:cs="Calibri"/>
        </w:rPr>
        <w:fldChar w:fldCharType="begin" w:fldLock="1"/>
      </w:r>
      <w:r w:rsidR="004F1095">
        <w:rPr>
          <w:rFonts w:ascii="Calibri" w:hAnsi="Calibri" w:cs="Calibri"/>
        </w:rPr>
        <w:instrText>ADDIN CSL_CITATION {"citationItems":[{"id":"ITEM-1","itemData":{"ISSN":"0269-9702","author":[{"dropping-particle":"","family":"Raeder","given":"J.","non-dropping-particle":"","parse-names":false,"suffix":""},{"dropping-particle":"","family":"Cook","given":"I","non-dropping-particle":"","parse-names":false,"suffix":""},{"dropping-particle":"","family":"Morgensten","given":"F.H","non-dropping-particle":"","parse-names":false,"suffix":""},{"dropping-particle":"","family":"Salpietro","given":"E","non-dropping-particle":"","parse-names":false,"suffix":""},{"dropping-particle":"","family":"Bunde","given":"R","non-dropping-particle":"","parse-names":false,"suffix":""},{"dropping-particle":"","family":"Ebert","given":"E","non-dropping-particle":"","parse-names":false,"suffix":""}],"id":"ITEM-1","issue":"June","issued":{"date-parts":[["1995"]]},"publisher-place":"Brussels","title":"Safety and Environmental Assessment of Fusion Power (SEAFP) Report of the SEAFP Project","type":"report"},"uris":["http://www.mendeley.com/documents/?uuid=c3d71ddb-1d0e-482f-b0d2-aee19363b400"]}],"mendeley":{"formattedCitation":"[2]","plainTextFormattedCitation":"[2]","previouslyFormattedCitation":"[2]"},"properties":{"noteIndex":0},"schema":"https://github.com/citation-style-language/schema/raw/master/csl-citation.json"}</w:instrText>
      </w:r>
      <w:r>
        <w:rPr>
          <w:rFonts w:ascii="Calibri" w:hAnsi="Calibri" w:cs="Calibri"/>
        </w:rPr>
        <w:fldChar w:fldCharType="separate"/>
      </w:r>
      <w:r w:rsidRPr="0036430A">
        <w:rPr>
          <w:rFonts w:ascii="Calibri" w:hAnsi="Calibri" w:cs="Calibri"/>
          <w:noProof/>
        </w:rPr>
        <w:t>[2]</w:t>
      </w:r>
      <w:r>
        <w:rPr>
          <w:rFonts w:ascii="Calibri" w:hAnsi="Calibri" w:cs="Calibri"/>
        </w:rPr>
        <w:fldChar w:fldCharType="end"/>
      </w:r>
      <w:r>
        <w:rPr>
          <w:rFonts w:ascii="Calibri" w:hAnsi="Calibri" w:cs="Calibri"/>
        </w:rPr>
        <w:t>.</w:t>
      </w:r>
      <w:r w:rsidR="00D2472F">
        <w:rPr>
          <w:rFonts w:ascii="Calibri" w:hAnsi="Calibri" w:cs="Calibri"/>
        </w:rPr>
        <w:t xml:space="preserve"> </w:t>
      </w:r>
      <w:r w:rsidR="00372917">
        <w:rPr>
          <w:rFonts w:ascii="Calibri" w:hAnsi="Calibri" w:cs="Calibri"/>
        </w:rPr>
        <w:t>As detailed in 4.1.2, ITER’s magnet system incorporates separate monitoring, fault detection, and protection systems that act to minimise the likelihood of magnetic energies damaging the first confinement barrier.</w:t>
      </w:r>
    </w:p>
    <w:p w:rsidR="0019453E" w:rsidRDefault="0019453E" w:rsidP="00ED0F2E">
      <w:pPr>
        <w:rPr>
          <w:rFonts w:ascii="Calibri" w:hAnsi="Calibri" w:cs="Calibri"/>
        </w:rPr>
      </w:pPr>
    </w:p>
    <w:p w:rsidR="0019453E" w:rsidRDefault="0019453E" w:rsidP="00ED0F2E">
      <w:pPr>
        <w:rPr>
          <w:rFonts w:ascii="Calibri" w:hAnsi="Calibri" w:cs="Calibri"/>
        </w:rPr>
      </w:pPr>
      <w:r>
        <w:rPr>
          <w:rFonts w:ascii="Calibri" w:hAnsi="Calibri" w:cs="Calibri"/>
        </w:rPr>
        <w:t xml:space="preserve">A bounding accident related to this hazard was included in the ITER </w:t>
      </w:r>
      <w:r w:rsidR="001D4968">
        <w:rPr>
          <w:rFonts w:ascii="Calibri" w:hAnsi="Calibri" w:cs="Calibri"/>
        </w:rPr>
        <w:t>RPrS</w:t>
      </w:r>
      <w:r>
        <w:rPr>
          <w:rFonts w:ascii="Calibri" w:hAnsi="Calibri" w:cs="Calibri"/>
        </w:rPr>
        <w:t xml:space="preserve"> </w:t>
      </w:r>
      <w:r w:rsidR="008C7B6A">
        <w:rPr>
          <w:rFonts w:ascii="Calibri" w:hAnsi="Calibri" w:cs="Calibri"/>
        </w:rPr>
        <w:fldChar w:fldCharType="begin" w:fldLock="1"/>
      </w:r>
      <w:r w:rsidR="00CF5010">
        <w:rPr>
          <w:rFonts w:ascii="Calibri" w:hAnsi="Calibri" w:cs="Calibri"/>
        </w:rPr>
        <w:instrText>ADDIN CSL_CITATION {"citationItems":[{"id":"ITEM-1","itemData":{"DOI":"10.1016/j.fusengdes.2010.11.037","ISBN":"0920-3796","ISSN":"09203796","abstract":"An updated version of the ITER Preliminary Safety Report has been produced and submitted to the licensing authorities. It is revised and expanded in response to requests from the authorities after their review of an earlier version in 2008, to reflect enhancements in ITER safety provisions through design changes, to incorporate new and improved safety analyses and to take into account other ITER design evolution. The updated analyses show that changes to the Tokamak cooling water system design have enhanced confinement and reduced potential radiological releases as well as removing decay heat with very high reliability. New and updated accident scenario analyses, together with fire and explosion risk analyses, have shown that design provisions are sufficient to minimize the likelihood of accidents and reduce potential consequences to a very low level. Taken together, the improvements provided a stronger demonstration of the very good safety performance of the ITER design. ?? 2010 ITER Organization. Published by Elsevier B.V. All rights reserved.","author":[{"dropping-particle":"","family":"Taylor","given":"Neill","non-dropping-particle":"","parse-names":false,"suffix":""},{"dropping-particle":"","family":"Baker","given":"Dennis","non-dropping-particle":"","parse-names":false,"suffix":""},{"dropping-particle":"","family":"Ciattaglia","given":"Sergio","non-dropping-particle":"","parse-names":false,"suffix":""},{"dropping-particle":"","family":"Cortes","given":"Pierre","non-dropping-particle":"","parse-names":false,"suffix":""},{"dropping-particle":"","family":"Elbez-Uzan","given":"Jo??lle","non-dropping-particle":"","parse-names":false,"suffix":""},{"dropping-particle":"","family":"Iseli","given":"Markus","non-dropping-particle":"","parse-names":false,"suffix":""},{"dropping-particle":"","family":"Reyes","given":"Susana","non-dropping-particle":"","parse-names":false,"suffix":""},{"dropping-particle":"","family":"Rodriguez-Rodrigo","given":"Lina","non-dropping-particle":"","parse-names":false,"suffix":""},{"dropping-particle":"","family":"Rosanvallon","given":"Sandrine","non-dropping-particle":"","parse-names":false,"suffix":""},{"dropping-particle":"","family":"Topilski","given":"Leonid","non-dropping-particle":"","parse-names":false,"suffix":""}],"container-title":"Fusion Engineering and Design","id":"ITEM-1","issue":"6-8","issued":{"date-parts":[["2011"]]},"page":"619-622","publisher":"Elsevier B.V.","title":"Updated safety analysis of ITER","type":"article-journal","volume":"86"},"uris":["http://www.mendeley.com/documents/?uuid=4d222a3b-e941-4f4b-b048-47b8e0f7cf13"]}],"mendeley":{"formattedCitation":"[8]","plainTextFormattedCitation":"[8]","previouslyFormattedCitation":"[8]"},"properties":{"noteIndex":0},"schema":"https://github.com/citation-style-language/schema/raw/master/csl-citation.json"}</w:instrText>
      </w:r>
      <w:r w:rsidR="008C7B6A">
        <w:rPr>
          <w:rFonts w:ascii="Calibri" w:hAnsi="Calibri" w:cs="Calibri"/>
        </w:rPr>
        <w:fldChar w:fldCharType="separate"/>
      </w:r>
      <w:r w:rsidR="008C7B6A" w:rsidRPr="008C7B6A">
        <w:rPr>
          <w:rFonts w:ascii="Calibri" w:hAnsi="Calibri" w:cs="Calibri"/>
          <w:noProof/>
        </w:rPr>
        <w:t>[8]</w:t>
      </w:r>
      <w:r w:rsidR="008C7B6A">
        <w:rPr>
          <w:rFonts w:ascii="Calibri" w:hAnsi="Calibri" w:cs="Calibri"/>
        </w:rPr>
        <w:fldChar w:fldCharType="end"/>
      </w:r>
      <w:r>
        <w:rPr>
          <w:rFonts w:ascii="Calibri" w:hAnsi="Calibri" w:cs="Calibri"/>
        </w:rPr>
        <w:t>. In the scenario, two 1 m</w:t>
      </w:r>
      <w:r>
        <w:rPr>
          <w:rFonts w:ascii="Calibri" w:hAnsi="Calibri" w:cs="Calibri"/>
          <w:vertAlign w:val="superscript"/>
        </w:rPr>
        <w:t>2</w:t>
      </w:r>
      <w:r>
        <w:rPr>
          <w:rFonts w:ascii="Calibri" w:hAnsi="Calibri" w:cs="Calibri"/>
        </w:rPr>
        <w:t xml:space="preserve"> holes appear simultaneously, one in the wall of the VV and one in the wall of the cryostat, providing potential release paths to the environment. The hole in the VV wall causes coolant ingress into the VV, causing a pressure rise and effects similar to those discussed in the in-VV LOCA in 5.2.2. As this scenario was classed as a beyond design basis accident, no worker doses were calculated; however, the calculated radiation doses for most-exposed members of the public are 3.0 mSv as 200 m and 0.1</w:t>
      </w:r>
      <w:r w:rsidR="00776319">
        <w:rPr>
          <w:rFonts w:ascii="Calibri" w:hAnsi="Calibri" w:cs="Calibri"/>
        </w:rPr>
        <w:t>3</w:t>
      </w:r>
      <w:r>
        <w:rPr>
          <w:rFonts w:ascii="Calibri" w:hAnsi="Calibri" w:cs="Calibri"/>
        </w:rPr>
        <w:t xml:space="preserve"> mSv at 2.5 km. </w:t>
      </w:r>
      <w:r w:rsidR="00732436">
        <w:rPr>
          <w:rFonts w:ascii="Calibri" w:hAnsi="Calibri" w:cs="Calibri"/>
        </w:rPr>
        <w:t>Radiation doses at this level would again not result in the need to evacuate people in the surrounding areas.</w:t>
      </w:r>
      <w:r w:rsidR="007843AE">
        <w:rPr>
          <w:rFonts w:ascii="Calibri" w:hAnsi="Calibri" w:cs="Calibri"/>
        </w:rPr>
        <w:t xml:space="preserve"> However, the safety case for any future fusion power station will need to address this accident scenario to ensure that the design is robust to reduce the consequences of this type of accident such that the risks to workers and the public are ALARP.</w:t>
      </w:r>
      <w:r w:rsidR="003B38FA">
        <w:rPr>
          <w:rFonts w:ascii="Calibri" w:hAnsi="Calibri" w:cs="Calibri"/>
        </w:rPr>
        <w:t xml:space="preserve"> Fusion power stations such as DEMO will have larger magnetic energies compared to that in ITER</w:t>
      </w:r>
      <w:r w:rsidR="00FB1275">
        <w:rPr>
          <w:rFonts w:ascii="Calibri" w:hAnsi="Calibri" w:cs="Calibri"/>
        </w:rPr>
        <w:t>.</w:t>
      </w:r>
      <w:r w:rsidR="003B38FA">
        <w:rPr>
          <w:rFonts w:ascii="Calibri" w:hAnsi="Calibri" w:cs="Calibri"/>
        </w:rPr>
        <w:t xml:space="preserve"> </w:t>
      </w:r>
      <w:r w:rsidR="00FB1275">
        <w:rPr>
          <w:rFonts w:ascii="Calibri" w:hAnsi="Calibri" w:cs="Calibri"/>
        </w:rPr>
        <w:t>A</w:t>
      </w:r>
      <w:r w:rsidR="003B38FA">
        <w:rPr>
          <w:rFonts w:ascii="Calibri" w:hAnsi="Calibri" w:cs="Calibri"/>
        </w:rPr>
        <w:t xml:space="preserve">dditional work in this area is currently being carried out </w:t>
      </w:r>
      <w:r w:rsidR="003B38FA">
        <w:rPr>
          <w:rFonts w:ascii="Calibri" w:hAnsi="Calibri" w:cs="Calibri"/>
        </w:rPr>
        <w:fldChar w:fldCharType="begin" w:fldLock="1"/>
      </w:r>
      <w:r w:rsidR="00EF6643">
        <w:rPr>
          <w:rFonts w:ascii="Calibri" w:hAnsi="Calibri" w:cs="Calibri"/>
        </w:rPr>
        <w:instrText>ADDIN CSL_CITATION {"citationItems":[{"id":"ITEM-1","itemData":{"ISBN":"9783944161525","author":[{"dropping-particle":"","family":"Jurgen","given":"Raeder","non-dropping-particle":"","parse-names":false,"suffix":""},{"dropping-particle":"","family":"Arthur","given":"Weller","non-dropping-particle":"","parse-names":false,"suffix":""},{"dropping-particle":"","family":"Robert","given":"Wolf","non-dropping-particle":"","parse-names":false,"suffix":""},{"dropping-particle":"","family":"Xue","given":"Zhou Jin","non-dropping-particle":"","parse-names":false,"suffix":""},{"dropping-particle":"V","family":"Boccaccini","given":"Lorenzo","non-dropping-particle":"","parse-names":false,"suffix":""},{"dropping-particle":"","family":"Robert","given":"Stieglitz","non-dropping-particle":"","parse-names":false,"suffix":""},{"dropping-particle":"","family":"Dario","given":"Carloni","non-dropping-particle":"","parse-names":false,"suffix":""},{"dropping-particle":"","family":"Pistner","given":"Christoph","non-dropping-particle":"","parse-names":false,"suffix":""},{"dropping-particle":"","family":"Joachim","given":"Herb","non-dropping-particle":"","parse-names":false,"suffix":""}],"id":"ITEM-1","issued":{"date-parts":[["2016"]]},"title":"Review of the safety concept for fusion reactor concepts and transferability of the nuclear fission regulation to potential fusion power plants","type":"report"},"uris":["http://www.mendeley.com/documents/?uuid=137efd80-ac21-4821-bfec-5156e3e096e8"]}],"mendeley":{"formattedCitation":"[11]","plainTextFormattedCitation":"[11]","previouslyFormattedCitation":"[11]"},"properties":{"noteIndex":0},"schema":"https://github.com/citation-style-language/schema/raw/master/csl-citation.json"}</w:instrText>
      </w:r>
      <w:r w:rsidR="003B38FA">
        <w:rPr>
          <w:rFonts w:ascii="Calibri" w:hAnsi="Calibri" w:cs="Calibri"/>
        </w:rPr>
        <w:fldChar w:fldCharType="separate"/>
      </w:r>
      <w:r w:rsidR="00EF6643" w:rsidRPr="00EF6643">
        <w:rPr>
          <w:rFonts w:ascii="Calibri" w:hAnsi="Calibri" w:cs="Calibri"/>
          <w:noProof/>
        </w:rPr>
        <w:t>[11]</w:t>
      </w:r>
      <w:r w:rsidR="003B38FA">
        <w:rPr>
          <w:rFonts w:ascii="Calibri" w:hAnsi="Calibri" w:cs="Calibri"/>
        </w:rPr>
        <w:fldChar w:fldCharType="end"/>
      </w:r>
      <w:r w:rsidR="003B38FA">
        <w:rPr>
          <w:rFonts w:ascii="Calibri" w:hAnsi="Calibri" w:cs="Calibri"/>
        </w:rPr>
        <w:t>.</w:t>
      </w:r>
    </w:p>
    <w:p w:rsidR="00B63BDC" w:rsidRDefault="00B63BDC" w:rsidP="00ED0F2E">
      <w:pPr>
        <w:rPr>
          <w:rFonts w:ascii="Calibri" w:hAnsi="Calibri" w:cs="Calibri"/>
        </w:rPr>
      </w:pPr>
    </w:p>
    <w:p w:rsidR="00B63BDC" w:rsidRPr="002F14C4" w:rsidRDefault="002F14C4" w:rsidP="00ED0F2E">
      <w:pPr>
        <w:rPr>
          <w:rFonts w:ascii="Calibri" w:hAnsi="Calibri" w:cs="Calibri"/>
          <w:b/>
        </w:rPr>
      </w:pPr>
      <w:r w:rsidRPr="002F14C4">
        <w:rPr>
          <w:rFonts w:ascii="Calibri" w:hAnsi="Calibri" w:cs="Calibri"/>
          <w:b/>
        </w:rPr>
        <w:t>5.8 Component Failure Rates</w:t>
      </w:r>
    </w:p>
    <w:p w:rsidR="0019453E" w:rsidRDefault="0019453E" w:rsidP="00ED0F2E">
      <w:pPr>
        <w:rPr>
          <w:rFonts w:ascii="Calibri" w:hAnsi="Calibri" w:cs="Calibri"/>
        </w:rPr>
      </w:pPr>
    </w:p>
    <w:p w:rsidR="0019453E" w:rsidRDefault="002F2606" w:rsidP="00ED0F2E">
      <w:pPr>
        <w:rPr>
          <w:rFonts w:ascii="Calibri" w:hAnsi="Calibri" w:cs="Calibri"/>
        </w:rPr>
      </w:pPr>
      <w:r>
        <w:rPr>
          <w:rFonts w:ascii="Calibri" w:hAnsi="Calibri" w:cs="Calibri"/>
        </w:rPr>
        <w:t>Evaluating risk requires knowledge of the probabilities of the initiating event and the subsequent performance of the protection systems. Currently there are large gaps in component failure rate data for evaluating accident probabilities. Failure rates are generally based on empirical data where available.</w:t>
      </w:r>
      <w:r w:rsidR="00615C3B">
        <w:rPr>
          <w:rFonts w:ascii="Calibri" w:hAnsi="Calibri" w:cs="Calibri"/>
        </w:rPr>
        <w:t xml:space="preserve"> A fusion-specific database has been developed as part of an international collaboration, based on data from typical equipment used in other areas of engineering (such as pipes, valves, ducts etc.)</w:t>
      </w:r>
      <w:r w:rsidR="00D0029F">
        <w:rPr>
          <w:rFonts w:ascii="Calibri" w:hAnsi="Calibri" w:cs="Calibri"/>
        </w:rPr>
        <w:t xml:space="preserve"> </w:t>
      </w:r>
      <w:r w:rsidR="00D0029F">
        <w:rPr>
          <w:rFonts w:ascii="Calibri" w:hAnsi="Calibri" w:cs="Calibri"/>
        </w:rPr>
        <w:fldChar w:fldCharType="begin" w:fldLock="1"/>
      </w:r>
      <w:r w:rsidR="00C14502">
        <w:rPr>
          <w:rFonts w:ascii="Calibri" w:hAnsi="Calibri" w:cs="Calibri"/>
        </w:rPr>
        <w:instrText>ADDIN CSL_CITATION {"citationItems":[{"id":"ITEM-1","itemData":{"DOI":"10.1016/j.fusengdes.2005.05.011","ISSN":"09203796","abstract":"A fusion component failure rate database (FCFR-DB) has been set up. Failure data of typical components in the systems of a generic fusion power plant have been collected, processed and recorded. The data sources have been existing fusion facilities (JET, TFTR, DIII-D, TLK, etc.) and other technological experiences like fission power plants or industrial systems. Records in the database contain, among other information, component boundaries, design features and application field; failure and repair rate values; uncertainty distributions and indications about possible use of the data in designing and assess fusion device. The database is now accessible \"on line\" by the way of an Internet browsers and Lotus Notes application for analyst or designers developing reliability and probabilistic safety assessments. The link to the database is http://spx595.frascati.enea.it:8080/se-home.nsf. The number of records in FCFR-DB is foreseen to grow as new data from operating fusion devices will be evaluated. © 2005 Elsevier B.V. All rights reserved.","author":[{"dropping-particle":"","family":"Pinna","given":"Tonio","non-dropping-particle":"","parse-names":false,"suffix":""},{"dropping-particle":"","family":"Izquierdo","given":"Jesus","non-dropping-particle":"","parse-names":false,"suffix":""},{"dropping-particle":"","family":"Porfiri","given":"Maria Teresa","non-dropping-particle":"","parse-names":false,"suffix":""},{"dropping-particle":"","family":"Dies","given":"Javier","non-dropping-particle":"","parse-names":false,"suffix":""}],"container-title":"Fusion Engineering and Design","id":"ITEM-1","issue":"8-14 PART B","issued":{"date-parts":[["2006"]]},"page":"1391-1395","title":"Fusion component failure rate database (FCFR-DB)","type":"article-journal","volume":"81"},"uris":["http://www.mendeley.com/documents/?uuid=9afafa9e-39d5-46b1-afe0-db4e2f32f90e"]}],"mendeley":{"formattedCitation":"[41]","plainTextFormattedCitation":"[41]","previouslyFormattedCitation":"[41]"},"properties":{"noteIndex":0},"schema":"https://github.com/citation-style-language/schema/raw/master/csl-citation.json"}</w:instrText>
      </w:r>
      <w:r w:rsidR="00D0029F">
        <w:rPr>
          <w:rFonts w:ascii="Calibri" w:hAnsi="Calibri" w:cs="Calibri"/>
        </w:rPr>
        <w:fldChar w:fldCharType="separate"/>
      </w:r>
      <w:r w:rsidR="00C14502" w:rsidRPr="00C14502">
        <w:rPr>
          <w:rFonts w:ascii="Calibri" w:hAnsi="Calibri" w:cs="Calibri"/>
          <w:noProof/>
        </w:rPr>
        <w:t>[41]</w:t>
      </w:r>
      <w:r w:rsidR="00D0029F">
        <w:rPr>
          <w:rFonts w:ascii="Calibri" w:hAnsi="Calibri" w:cs="Calibri"/>
        </w:rPr>
        <w:fldChar w:fldCharType="end"/>
      </w:r>
      <w:r w:rsidR="00615C3B">
        <w:rPr>
          <w:rFonts w:ascii="Calibri" w:hAnsi="Calibri" w:cs="Calibri"/>
        </w:rPr>
        <w:t>.</w:t>
      </w:r>
      <w:r w:rsidR="00E25371">
        <w:rPr>
          <w:rFonts w:ascii="Calibri" w:hAnsi="Calibri" w:cs="Calibri"/>
        </w:rPr>
        <w:t xml:space="preserve"> Many fusion-specific systems (as they are new), however, have no empirical data and hence cannot be assigned an accurate component failure rate. In these circumstances judgement has to be used to assign failure rates. In the SEAFP studies </w:t>
      </w:r>
      <w:r w:rsidR="00E25371">
        <w:rPr>
          <w:rFonts w:ascii="Calibri" w:hAnsi="Calibri" w:cs="Calibri"/>
        </w:rPr>
        <w:fldChar w:fldCharType="begin" w:fldLock="1"/>
      </w:r>
      <w:r w:rsidR="00693793">
        <w:rPr>
          <w:rFonts w:ascii="Calibri" w:hAnsi="Calibri" w:cs="Calibri"/>
        </w:rPr>
        <w:instrText>ADDIN CSL_CITATION {"citationItems":[{"id":"ITEM-1","itemData":{"ISSN":"0269-9702","author":[{"dropping-particle":"","family":"Raeder","given":"J.","non-dropping-particle":"","parse-names":false,"suffix":""},{"dropping-particle":"","family":"Cook","given":"I","non-dropping-particle":"","parse-names":false,"suffix":""},{"dropping-particle":"","family":"Morgensten","given":"F.H","non-dropping-particle":"","parse-names":false,"suffix":""},{"dropping-particle":"","family":"Salpietro","given":"E","non-dropping-particle":"","parse-names":false,"suffix":""},{"dropping-particle":"","family":"Bunde","given":"R","non-dropping-particle":"","parse-names":false,"suffix":""},{"dropping-particle":"","family":"Ebert","given":"E","non-dropping-particle":"","parse-names":false,"suffix":""}],"id":"ITEM-1","issue":"June","issued":{"date-parts":[["1995"]]},"publisher-place":"Brussels","title":"Safety and Environmental Assessment of Fusion Power (SEAFP) Report of the SEAFP Project","type":"report"},"uris":["http://www.mendeley.com/documents/?uuid=c3d71ddb-1d0e-482f-b0d2-aee19363b400"]}],"mendeley":{"formattedCitation":"[2]","plainTextFormattedCitation":"[2]","previouslyFormattedCitation":"[2]"},"properties":{"noteIndex":0},"schema":"https://github.com/citation-style-language/schema/raw/master/csl-citation.json"}</w:instrText>
      </w:r>
      <w:r w:rsidR="00E25371">
        <w:rPr>
          <w:rFonts w:ascii="Calibri" w:hAnsi="Calibri" w:cs="Calibri"/>
        </w:rPr>
        <w:fldChar w:fldCharType="separate"/>
      </w:r>
      <w:r w:rsidR="00E25371" w:rsidRPr="00E25371">
        <w:rPr>
          <w:rFonts w:ascii="Calibri" w:hAnsi="Calibri" w:cs="Calibri"/>
          <w:noProof/>
        </w:rPr>
        <w:t>[2]</w:t>
      </w:r>
      <w:r w:rsidR="00E25371">
        <w:rPr>
          <w:rFonts w:ascii="Calibri" w:hAnsi="Calibri" w:cs="Calibri"/>
        </w:rPr>
        <w:fldChar w:fldCharType="end"/>
      </w:r>
      <w:r w:rsidR="00E25371">
        <w:rPr>
          <w:rFonts w:ascii="Calibri" w:hAnsi="Calibri" w:cs="Calibri"/>
        </w:rPr>
        <w:t>, failure rates were used to form bands of probabilities defining events as:</w:t>
      </w:r>
    </w:p>
    <w:p w:rsidR="00E25371" w:rsidRDefault="00E25371" w:rsidP="00ED0F2E">
      <w:pPr>
        <w:rPr>
          <w:rFonts w:ascii="Calibri" w:hAnsi="Calibri" w:cs="Calibri"/>
        </w:rPr>
      </w:pPr>
    </w:p>
    <w:p w:rsidR="00E25371" w:rsidRDefault="00E25371" w:rsidP="00E25371">
      <w:pPr>
        <w:pStyle w:val="ListParagraph"/>
        <w:numPr>
          <w:ilvl w:val="0"/>
          <w:numId w:val="3"/>
        </w:numPr>
        <w:rPr>
          <w:rFonts w:ascii="Calibri" w:hAnsi="Calibri" w:cs="Calibri"/>
        </w:rPr>
      </w:pPr>
      <w:r>
        <w:rPr>
          <w:rFonts w:ascii="Calibri" w:hAnsi="Calibri" w:cs="Calibri"/>
        </w:rPr>
        <w:t>incidents – 1 to 10</w:t>
      </w:r>
      <w:r>
        <w:rPr>
          <w:rFonts w:ascii="Calibri" w:hAnsi="Calibri" w:cs="Calibri"/>
          <w:vertAlign w:val="superscript"/>
        </w:rPr>
        <w:t>-2</w:t>
      </w:r>
      <w:r>
        <w:rPr>
          <w:rFonts w:ascii="Calibri" w:hAnsi="Calibri" w:cs="Calibri"/>
        </w:rPr>
        <w:t xml:space="preserve"> per annum;</w:t>
      </w:r>
    </w:p>
    <w:p w:rsidR="00E25371" w:rsidRDefault="00E25371" w:rsidP="00E25371">
      <w:pPr>
        <w:pStyle w:val="ListParagraph"/>
        <w:numPr>
          <w:ilvl w:val="0"/>
          <w:numId w:val="3"/>
        </w:numPr>
        <w:rPr>
          <w:rFonts w:ascii="Calibri" w:hAnsi="Calibri" w:cs="Calibri"/>
        </w:rPr>
      </w:pPr>
      <w:r>
        <w:rPr>
          <w:rFonts w:ascii="Calibri" w:hAnsi="Calibri" w:cs="Calibri"/>
        </w:rPr>
        <w:t>design basis accidents – 10</w:t>
      </w:r>
      <w:r>
        <w:rPr>
          <w:rFonts w:ascii="Calibri" w:hAnsi="Calibri" w:cs="Calibri"/>
          <w:vertAlign w:val="superscript"/>
        </w:rPr>
        <w:t>-2</w:t>
      </w:r>
      <w:r>
        <w:rPr>
          <w:rFonts w:ascii="Calibri" w:hAnsi="Calibri" w:cs="Calibri"/>
        </w:rPr>
        <w:t xml:space="preserve"> to 10</w:t>
      </w:r>
      <w:r>
        <w:rPr>
          <w:rFonts w:ascii="Calibri" w:hAnsi="Calibri" w:cs="Calibri"/>
          <w:vertAlign w:val="superscript"/>
        </w:rPr>
        <w:t>-6</w:t>
      </w:r>
      <w:r>
        <w:rPr>
          <w:rFonts w:ascii="Calibri" w:hAnsi="Calibri" w:cs="Calibri"/>
        </w:rPr>
        <w:t xml:space="preserve"> per annum; and</w:t>
      </w:r>
    </w:p>
    <w:p w:rsidR="00E25371" w:rsidRDefault="00E25371" w:rsidP="00E25371">
      <w:pPr>
        <w:pStyle w:val="ListParagraph"/>
        <w:numPr>
          <w:ilvl w:val="0"/>
          <w:numId w:val="3"/>
        </w:numPr>
        <w:rPr>
          <w:rFonts w:ascii="Calibri" w:hAnsi="Calibri" w:cs="Calibri"/>
        </w:rPr>
      </w:pPr>
      <w:r>
        <w:rPr>
          <w:rFonts w:ascii="Calibri" w:hAnsi="Calibri" w:cs="Calibri"/>
        </w:rPr>
        <w:t>beyond design basis accidents - &lt; 10</w:t>
      </w:r>
      <w:r>
        <w:rPr>
          <w:rFonts w:ascii="Calibri" w:hAnsi="Calibri" w:cs="Calibri"/>
          <w:vertAlign w:val="superscript"/>
        </w:rPr>
        <w:t>-7</w:t>
      </w:r>
      <w:r>
        <w:rPr>
          <w:rFonts w:ascii="Calibri" w:hAnsi="Calibri" w:cs="Calibri"/>
        </w:rPr>
        <w:t xml:space="preserve"> per annum.</w:t>
      </w:r>
    </w:p>
    <w:p w:rsidR="00693793" w:rsidRDefault="00693793" w:rsidP="00693793">
      <w:pPr>
        <w:rPr>
          <w:rFonts w:ascii="Calibri" w:hAnsi="Calibri" w:cs="Calibri"/>
        </w:rPr>
      </w:pPr>
    </w:p>
    <w:p w:rsidR="00693793" w:rsidRDefault="00693793" w:rsidP="00693793">
      <w:pPr>
        <w:rPr>
          <w:rFonts w:ascii="Calibri" w:hAnsi="Calibri" w:cs="Calibri"/>
        </w:rPr>
      </w:pPr>
      <w:r>
        <w:rPr>
          <w:rFonts w:ascii="Calibri" w:hAnsi="Calibri" w:cs="Calibri"/>
        </w:rPr>
        <w:t xml:space="preserve">The current international fusion safety community, as illustrated in the ITER project, uses a similar technique but without indicating numerical values for occurrence rates </w:t>
      </w:r>
      <w:r>
        <w:rPr>
          <w:rFonts w:ascii="Calibri" w:hAnsi="Calibri" w:cs="Calibri"/>
        </w:rPr>
        <w:fldChar w:fldCharType="begin" w:fldLock="1"/>
      </w:r>
      <w:r w:rsidR="00EF6643">
        <w:rPr>
          <w:rFonts w:ascii="Calibri" w:hAnsi="Calibri" w:cs="Calibri"/>
        </w:rPr>
        <w:instrText>ADDIN CSL_CITATION {"citationItems":[{"id":"ITEM-1","itemData":{"ISBN":"9783944161525","author":[{"dropping-particle":"","family":"Jurgen","given":"Raeder","non-dropping-particle":"","parse-names":false,"suffix":""},{"dropping-particle":"","family":"Arthur","given":"Weller","non-dropping-particle":"","parse-names":false,"suffix":""},{"dropping-particle":"","family":"Robert","given":"Wolf","non-dropping-particle":"","parse-names":false,"suffix":""},{"dropping-particle":"","family":"Xue","given":"Zhou Jin","non-dropping-particle":"","parse-names":false,"suffix":""},{"dropping-particle":"V","family":"Boccaccini","given":"Lorenzo","non-dropping-particle":"","parse-names":false,"suffix":""},{"dropping-particle":"","family":"Robert","given":"Stieglitz","non-dropping-particle":"","parse-names":false,"suffix":""},{"dropping-particle":"","family":"Dario","given":"Carloni","non-dropping-particle":"","parse-names":false,"suffix":""},{"dropping-particle":"","family":"Pistner","given":"Christoph","non-dropping-particle":"","parse-names":false,"suffix":""},{"dropping-particle":"","family":"Joachim","given":"Herb","non-dropping-particle":"","parse-names":false,"suffix":""}],"id":"ITEM-1","issued":{"date-parts":[["2016"]]},"title":"Review of the safety concept for fusion reactor concepts and transferability of the nuclear fission regulation to potential fusion power plants","type":"report"},"uris":["http://www.mendeley.com/documents/?uuid=137efd80-ac21-4821-bfec-5156e3e096e8"]}],"mendeley":{"formattedCitation":"[11]","plainTextFormattedCitation":"[11]","previouslyFormattedCitation":"[11]"},"properties":{"noteIndex":0},"schema":"https://github.com/citation-style-language/schema/raw/master/csl-citation.json"}</w:instrText>
      </w:r>
      <w:r>
        <w:rPr>
          <w:rFonts w:ascii="Calibri" w:hAnsi="Calibri" w:cs="Calibri"/>
        </w:rPr>
        <w:fldChar w:fldCharType="separate"/>
      </w:r>
      <w:r w:rsidR="00EF6643" w:rsidRPr="00EF6643">
        <w:rPr>
          <w:rFonts w:ascii="Calibri" w:hAnsi="Calibri" w:cs="Calibri"/>
          <w:noProof/>
        </w:rPr>
        <w:t>[11]</w:t>
      </w:r>
      <w:r>
        <w:rPr>
          <w:rFonts w:ascii="Calibri" w:hAnsi="Calibri" w:cs="Calibri"/>
        </w:rPr>
        <w:fldChar w:fldCharType="end"/>
      </w:r>
      <w:r>
        <w:rPr>
          <w:rFonts w:ascii="Calibri" w:hAnsi="Calibri" w:cs="Calibri"/>
        </w:rPr>
        <w:t xml:space="preserve">. Instead, </w:t>
      </w:r>
      <w:r>
        <w:rPr>
          <w:rFonts w:ascii="Calibri" w:hAnsi="Calibri" w:cs="Calibri"/>
        </w:rPr>
        <w:lastRenderedPageBreak/>
        <w:t xml:space="preserve">ITER defines an incident as an unplanned event that can nevertheless be expected to occur at least once in the lifetime of the reactor. An accident is defined as an event that is not expected to occur; however, precautions are taken in the design to mitigate the consequences if it does. A beyond design basis accident is defined as an accident with multiple aggravating factors that is not expected to occur and has such a low probability that it is generally not taken into account during design </w:t>
      </w:r>
      <w:r>
        <w:rPr>
          <w:rFonts w:ascii="Calibri" w:hAnsi="Calibri" w:cs="Calibri"/>
        </w:rPr>
        <w:fldChar w:fldCharType="begin" w:fldLock="1"/>
      </w:r>
      <w:r w:rsidR="00EF6643">
        <w:rPr>
          <w:rFonts w:ascii="Calibri" w:hAnsi="Calibri" w:cs="Calibri"/>
        </w:rPr>
        <w:instrText>ADDIN CSL_CITATION {"citationItems":[{"id":"ITEM-1","itemData":{"ISBN":"9783944161525","author":[{"dropping-particle":"","family":"Jurgen","given":"Raeder","non-dropping-particle":"","parse-names":false,"suffix":""},{"dropping-particle":"","family":"Arthur","given":"Weller","non-dropping-particle":"","parse-names":false,"suffix":""},{"dropping-particle":"","family":"Robert","given":"Wolf","non-dropping-particle":"","parse-names":false,"suffix":""},{"dropping-particle":"","family":"Xue","given":"Zhou Jin","non-dropping-particle":"","parse-names":false,"suffix":""},{"dropping-particle":"V","family":"Boccaccini","given":"Lorenzo","non-dropping-particle":"","parse-names":false,"suffix":""},{"dropping-particle":"","family":"Robert","given":"Stieglitz","non-dropping-particle":"","parse-names":false,"suffix":""},{"dropping-particle":"","family":"Dario","given":"Carloni","non-dropping-particle":"","parse-names":false,"suffix":""},{"dropping-particle":"","family":"Pistner","given":"Christoph","non-dropping-particle":"","parse-names":false,"suffix":""},{"dropping-particle":"","family":"Joachim","given":"Herb","non-dropping-particle":"","parse-names":false,"suffix":""}],"id":"ITEM-1","issued":{"date-parts":[["2016"]]},"title":"Review of the safety concept for fusion reactor concepts and transferability of the nuclear fission regulation to potential fusion power plants","type":"report"},"uris":["http://www.mendeley.com/documents/?uuid=137efd80-ac21-4821-bfec-5156e3e096e8"]}],"mendeley":{"formattedCitation":"[11]","plainTextFormattedCitation":"[11]","previouslyFormattedCitation":"[11]"},"properties":{"noteIndex":0},"schema":"https://github.com/citation-style-language/schema/raw/master/csl-citation.json"}</w:instrText>
      </w:r>
      <w:r>
        <w:rPr>
          <w:rFonts w:ascii="Calibri" w:hAnsi="Calibri" w:cs="Calibri"/>
        </w:rPr>
        <w:fldChar w:fldCharType="separate"/>
      </w:r>
      <w:r w:rsidR="00EF6643" w:rsidRPr="00EF6643">
        <w:rPr>
          <w:rFonts w:ascii="Calibri" w:hAnsi="Calibri" w:cs="Calibri"/>
          <w:noProof/>
        </w:rPr>
        <w:t>[11]</w:t>
      </w:r>
      <w:r>
        <w:rPr>
          <w:rFonts w:ascii="Calibri" w:hAnsi="Calibri" w:cs="Calibri"/>
        </w:rPr>
        <w:fldChar w:fldCharType="end"/>
      </w:r>
      <w:r>
        <w:rPr>
          <w:rFonts w:ascii="Calibri" w:hAnsi="Calibri" w:cs="Calibri"/>
        </w:rPr>
        <w:t>.</w:t>
      </w:r>
    </w:p>
    <w:p w:rsidR="005E41C5" w:rsidRDefault="005E41C5" w:rsidP="00693793">
      <w:pPr>
        <w:rPr>
          <w:rFonts w:ascii="Calibri" w:hAnsi="Calibri" w:cs="Calibri"/>
        </w:rPr>
      </w:pPr>
    </w:p>
    <w:p w:rsidR="00013439" w:rsidRDefault="005E41C5" w:rsidP="00ED0F2E">
      <w:pPr>
        <w:rPr>
          <w:rFonts w:ascii="Calibri" w:hAnsi="Calibri" w:cs="Calibri"/>
        </w:rPr>
      </w:pPr>
      <w:r>
        <w:rPr>
          <w:rFonts w:ascii="Calibri" w:hAnsi="Calibri" w:cs="Calibri"/>
        </w:rPr>
        <w:t>Looking towards DEMO and future fusion power stations, it is imperative that the consequences of accidents where safety systems are impaired or fail to act are established. Using the in-VV LOCA as an example (see 5.2</w:t>
      </w:r>
      <w:r w:rsidR="00637DF5">
        <w:rPr>
          <w:rFonts w:ascii="Calibri" w:hAnsi="Calibri" w:cs="Calibri"/>
        </w:rPr>
        <w:t>.</w:t>
      </w:r>
      <w:r>
        <w:rPr>
          <w:rFonts w:ascii="Calibri" w:hAnsi="Calibri" w:cs="Calibri"/>
        </w:rPr>
        <w:t>2), if the VVPSS rupture discs fail to burst, the consequences of an unmitigated pressure rise need to be established.</w:t>
      </w:r>
      <w:r w:rsidR="00214741">
        <w:rPr>
          <w:rFonts w:ascii="Calibri" w:hAnsi="Calibri" w:cs="Calibri"/>
        </w:rPr>
        <w:t xml:space="preserve"> The design pressure limit of the VV will be verified (e.g. in ITER it is expected to be 200 kPa), but there will need to be an analysis of what the peak pressure would be in an in-VV LOCA with failed VVPSS rupture discs and if this peak pressure is sufficient to cause failure of the VV. </w:t>
      </w:r>
      <w:r w:rsidR="00013439">
        <w:rPr>
          <w:rFonts w:ascii="Calibri" w:hAnsi="Calibri" w:cs="Calibri"/>
        </w:rPr>
        <w:t>Whilst rupture discs tend to have a low rate of failure, in order to determine if this rate is acceptable, one would need to know the probability of the initiating event coupled with the probability of the failure of the bursting disc</w:t>
      </w:r>
      <w:r w:rsidR="00EF7A43">
        <w:rPr>
          <w:rFonts w:ascii="Calibri" w:hAnsi="Calibri" w:cs="Calibri"/>
        </w:rPr>
        <w:t>, as well as the consequences of the likely release.</w:t>
      </w:r>
      <w:r w:rsidR="00383E01">
        <w:rPr>
          <w:rFonts w:ascii="Calibri" w:hAnsi="Calibri" w:cs="Calibri"/>
        </w:rPr>
        <w:t xml:space="preserve"> Th</w:t>
      </w:r>
      <w:r w:rsidR="00B75784">
        <w:rPr>
          <w:rFonts w:ascii="Calibri" w:hAnsi="Calibri" w:cs="Calibri"/>
        </w:rPr>
        <w:t>e</w:t>
      </w:r>
      <w:r w:rsidR="0058586A">
        <w:rPr>
          <w:rFonts w:ascii="Calibri" w:hAnsi="Calibri" w:cs="Calibri"/>
        </w:rPr>
        <w:t xml:space="preserve"> assumptions around the size of the water ingress in the case of an in-VV LOCA will also need to be substantiated, along with the ability of the VVPSS to cope with a range of water ingress events</w:t>
      </w:r>
      <w:r w:rsidR="00373BEF">
        <w:rPr>
          <w:rFonts w:ascii="Calibri" w:hAnsi="Calibri" w:cs="Calibri"/>
        </w:rPr>
        <w:t xml:space="preserve">. </w:t>
      </w:r>
      <w:r w:rsidR="00C53A20">
        <w:rPr>
          <w:rFonts w:ascii="Calibri" w:hAnsi="Calibri" w:cs="Calibri"/>
        </w:rPr>
        <w:t>This will ensure the VVPSS has been designed to cope with the design basis event and there was no cliff edge present beyond the design basis.</w:t>
      </w:r>
      <w:r w:rsidR="008D6AE6">
        <w:rPr>
          <w:rFonts w:ascii="Calibri" w:hAnsi="Calibri" w:cs="Calibri"/>
        </w:rPr>
        <w:t xml:space="preserve"> Given this it is not unreasonable to suggest that more work is needed to identify the range of challenges from the design basis water ingress assumptions to the VVPSS and the ability of the proposed design of the VVPSS to cope with the design basis challenge.</w:t>
      </w:r>
      <w:r w:rsidR="0053001F">
        <w:rPr>
          <w:rFonts w:ascii="Calibri" w:hAnsi="Calibri" w:cs="Calibri"/>
        </w:rPr>
        <w:t xml:space="preserve"> </w:t>
      </w:r>
    </w:p>
    <w:p w:rsidR="00E4162D" w:rsidRDefault="00E4162D" w:rsidP="00ED0F2E">
      <w:pPr>
        <w:rPr>
          <w:rFonts w:ascii="Calibri" w:hAnsi="Calibri" w:cs="Calibri"/>
        </w:rPr>
      </w:pPr>
    </w:p>
    <w:p w:rsidR="00E4162D" w:rsidRDefault="00E4162D" w:rsidP="00ED0F2E">
      <w:pPr>
        <w:rPr>
          <w:rFonts w:ascii="Calibri" w:hAnsi="Calibri" w:cs="Calibri"/>
        </w:rPr>
      </w:pPr>
      <w:r>
        <w:rPr>
          <w:rFonts w:ascii="Calibri" w:hAnsi="Calibri" w:cs="Calibri"/>
        </w:rPr>
        <w:t>As discussed above, the reliability of the plasma control system is vital to the safe operation of a fusion power plant. In a fusion power station</w:t>
      </w:r>
      <w:r w:rsidR="00450D56">
        <w:rPr>
          <w:rFonts w:ascii="Calibri" w:hAnsi="Calibri" w:cs="Calibri"/>
        </w:rPr>
        <w:t>,</w:t>
      </w:r>
      <w:r>
        <w:rPr>
          <w:rFonts w:ascii="Calibri" w:hAnsi="Calibri" w:cs="Calibri"/>
        </w:rPr>
        <w:t xml:space="preserve"> the control and protection system </w:t>
      </w:r>
      <w:proofErr w:type="gramStart"/>
      <w:r>
        <w:rPr>
          <w:rFonts w:ascii="Calibri" w:hAnsi="Calibri" w:cs="Calibri"/>
        </w:rPr>
        <w:t>is</w:t>
      </w:r>
      <w:proofErr w:type="gramEnd"/>
      <w:r>
        <w:rPr>
          <w:rFonts w:ascii="Calibri" w:hAnsi="Calibri" w:cs="Calibri"/>
        </w:rPr>
        <w:t xml:space="preserve"> likely to be more complex than that in ITER and hence the potential for malfunctions of the plasma control system could potentially increase. Initiating events could result in a rapid increase in fuelling rate or a rapid increase in auxiliary heating </w:t>
      </w:r>
      <w:r>
        <w:rPr>
          <w:rFonts w:ascii="Calibri" w:hAnsi="Calibri" w:cs="Calibri"/>
        </w:rPr>
        <w:fldChar w:fldCharType="begin" w:fldLock="1"/>
      </w:r>
      <w:r w:rsidR="00C14502">
        <w:rPr>
          <w:rFonts w:ascii="Calibri" w:hAnsi="Calibri" w:cs="Calibri"/>
        </w:rPr>
        <w:instrText>ADDIN CSL_CITATION {"citationItems":[{"id":"ITEM-1","itemData":{"DOI":"10.1016/j.fusengdes.2015.10.012","ISSN":"09203796","abstract":"For several years now, the French “Institut de Radioprotection et de Sûreté Nucléaire” has been carrying out expertise of ITER fusion facility safety files at the request of the French “Autorité de Sûreté Nucléaire”. As part of the lengthy process which should lead to mastering nuclear fusion, different fusion facility projects are currently under study throughout the world to be ready to continue building on the work which will take place in the ITER facility. On the basis of the experience acquired during the ITER safety expertise, the IRSN has carried out a preliminary study of the safety issues which seem necessary to take into account right from the earliest design phase of these DEMO facilities. The issues studied have included the decay heat removal, exposure to ionizing radiation, potential accidents, and effluent releases and waste. The study shows that it will be important to give priority to the following actions, given that their results would have a major influence on the design: assess if decay heat removal is a safety function, re-study the accidents considered in the context of the ITER project and identify those specific to DEMO, and optimize each of the main routes for gaseous tritium releases.","author":[{"dropping-particle":"","family":"Perrault","given":"Didier","non-dropping-particle":"","parse-names":false,"suffix":""}],"container-title":"Fusion Engineering and Design","id":"ITEM-1","issued":{"date-parts":[["2016"]]},"page":"1733-1738","publisher":"Elsevier B.V.","title":"Safety issues to be taken into account in designing future nuclear fusion facilities","type":"article-journal","volume":"109-111"},"uris":["http://www.mendeley.com/documents/?uuid=9b1bb2d4-e746-435e-8f23-77883e9e6958"]}],"mendeley":{"formattedCitation":"[42]","plainTextFormattedCitation":"[42]","previouslyFormattedCitation":"[42]"},"properties":{"noteIndex":0},"schema":"https://github.com/citation-style-language/schema/raw/master/csl-citation.json"}</w:instrText>
      </w:r>
      <w:r>
        <w:rPr>
          <w:rFonts w:ascii="Calibri" w:hAnsi="Calibri" w:cs="Calibri"/>
        </w:rPr>
        <w:fldChar w:fldCharType="separate"/>
      </w:r>
      <w:r w:rsidR="00C14502" w:rsidRPr="00C14502">
        <w:rPr>
          <w:rFonts w:ascii="Calibri" w:hAnsi="Calibri" w:cs="Calibri"/>
          <w:noProof/>
        </w:rPr>
        <w:t>[42]</w:t>
      </w:r>
      <w:r>
        <w:rPr>
          <w:rFonts w:ascii="Calibri" w:hAnsi="Calibri" w:cs="Calibri"/>
        </w:rPr>
        <w:fldChar w:fldCharType="end"/>
      </w:r>
      <w:r w:rsidR="00AD4052">
        <w:rPr>
          <w:rFonts w:ascii="Calibri" w:hAnsi="Calibri" w:cs="Calibri"/>
        </w:rPr>
        <w:t>. New systems will probably have to be developed that can monitor and control the plasma to limit the likelihood and consequences of these types of events. As these will be new fusion-specific systems, again there will be little empirical failure rate data, which will make reliability assumptions difficult to verify in the early stage of fusion power station development.</w:t>
      </w:r>
    </w:p>
    <w:p w:rsidR="00195570" w:rsidRDefault="00195570" w:rsidP="00ED0F2E">
      <w:pPr>
        <w:rPr>
          <w:rFonts w:ascii="Calibri" w:hAnsi="Calibri" w:cs="Calibri"/>
        </w:rPr>
      </w:pPr>
    </w:p>
    <w:p w:rsidR="0001375A" w:rsidRDefault="00195570" w:rsidP="00ED0F2E">
      <w:pPr>
        <w:rPr>
          <w:rFonts w:ascii="Calibri" w:hAnsi="Calibri" w:cs="Calibri"/>
        </w:rPr>
      </w:pPr>
      <w:r>
        <w:rPr>
          <w:rFonts w:ascii="Calibri" w:hAnsi="Calibri" w:cs="Calibri"/>
        </w:rPr>
        <w:t xml:space="preserve">Without accurate system and component failure rates, the reliability of fusion reactor control and protection systems will be difficult to verify. </w:t>
      </w:r>
      <w:r w:rsidR="0001375A">
        <w:rPr>
          <w:rFonts w:ascii="Calibri" w:hAnsi="Calibri" w:cs="Calibri"/>
        </w:rPr>
        <w:t>To compensate the lack of component failure rates, the operations at ITER will have to be scrutinised in order to provide further input to be used for safety and reliability assessments at future fusion facilities. This work is vitally important to the demonstration of the safety of fusion power and can be used to help develop, build, and maintain a comprehensive failure rate database for evaluating accident probabilities.</w:t>
      </w:r>
    </w:p>
    <w:p w:rsidR="0019453E" w:rsidRDefault="0019453E" w:rsidP="00ED0F2E">
      <w:pPr>
        <w:rPr>
          <w:rFonts w:ascii="Calibri" w:hAnsi="Calibri" w:cs="Calibri"/>
        </w:rPr>
      </w:pPr>
    </w:p>
    <w:p w:rsidR="0019453E" w:rsidRDefault="004E1EA3" w:rsidP="00ED0F2E">
      <w:pPr>
        <w:rPr>
          <w:rFonts w:ascii="Calibri" w:hAnsi="Calibri" w:cs="Calibri"/>
          <w:b/>
          <w:sz w:val="28"/>
        </w:rPr>
      </w:pPr>
      <w:r>
        <w:rPr>
          <w:rFonts w:ascii="Calibri" w:hAnsi="Calibri" w:cs="Calibri"/>
          <w:b/>
          <w:sz w:val="28"/>
        </w:rPr>
        <w:t>6 Conclusion</w:t>
      </w:r>
    </w:p>
    <w:p w:rsidR="004E1EA3" w:rsidRDefault="004E1EA3" w:rsidP="00ED0F2E">
      <w:pPr>
        <w:rPr>
          <w:rFonts w:ascii="Calibri" w:hAnsi="Calibri" w:cs="Calibri"/>
          <w:b/>
          <w:sz w:val="28"/>
        </w:rPr>
      </w:pPr>
    </w:p>
    <w:p w:rsidR="004E1EA3" w:rsidRPr="004E1EA3" w:rsidRDefault="004E1EA3" w:rsidP="00ED0F2E">
      <w:pPr>
        <w:rPr>
          <w:rFonts w:ascii="Calibri" w:hAnsi="Calibri" w:cs="Calibri"/>
        </w:rPr>
      </w:pPr>
      <w:r>
        <w:rPr>
          <w:rFonts w:ascii="Calibri" w:hAnsi="Calibri" w:cs="Calibri"/>
        </w:rPr>
        <w:t xml:space="preserve">A review of the key nuclear safety issues associated with fusion power plants has been performed in this paper. From the evidence gathered, the indications are that on current </w:t>
      </w:r>
      <w:r>
        <w:rPr>
          <w:rFonts w:ascii="Calibri" w:hAnsi="Calibri" w:cs="Calibri"/>
        </w:rPr>
        <w:lastRenderedPageBreak/>
        <w:t xml:space="preserve">knowledge the use </w:t>
      </w:r>
      <w:r w:rsidR="002C637E">
        <w:rPr>
          <w:rFonts w:ascii="Calibri" w:hAnsi="Calibri" w:cs="Calibri"/>
        </w:rPr>
        <w:t>of fusion energy for power production does not present significant off</w:t>
      </w:r>
      <w:r w:rsidR="00F90FAA">
        <w:rPr>
          <w:rFonts w:ascii="Calibri" w:hAnsi="Calibri" w:cs="Calibri"/>
        </w:rPr>
        <w:t>-</w:t>
      </w:r>
      <w:r w:rsidR="002C637E">
        <w:rPr>
          <w:rFonts w:ascii="Calibri" w:hAnsi="Calibri" w:cs="Calibri"/>
        </w:rPr>
        <w:t>site radiological risks for the public. A number of fusion reactor safety issues ha</w:t>
      </w:r>
      <w:r w:rsidR="005F0C0E">
        <w:rPr>
          <w:rFonts w:ascii="Calibri" w:hAnsi="Calibri" w:cs="Calibri"/>
        </w:rPr>
        <w:t>ve</w:t>
      </w:r>
      <w:r w:rsidR="002C637E">
        <w:rPr>
          <w:rFonts w:ascii="Calibri" w:hAnsi="Calibri" w:cs="Calibri"/>
        </w:rPr>
        <w:t xml:space="preserve"> been reviewed together with their impact on public safety. It has been shown that despite the significant amount of in-vessel fuel (deuterium/tritium) energy inventory, the burn fraction of around 2% expected in a fusion power plant ensures that the maximum fuel energy able to be released under accident conditions will not challenge the integrity of confinement barriers. </w:t>
      </w:r>
      <w:r w:rsidR="002E36AF">
        <w:rPr>
          <w:rFonts w:ascii="Calibri" w:hAnsi="Calibri" w:cs="Calibri"/>
        </w:rPr>
        <w:t>However, disruptions that could lead to a release of magnetic energy need to be better understood, in order to gain a better understanding of the potential risk they pose.</w:t>
      </w:r>
      <w:r w:rsidR="002C637E">
        <w:rPr>
          <w:rFonts w:ascii="Calibri" w:hAnsi="Calibri" w:cs="Calibri"/>
        </w:rPr>
        <w:t xml:space="preserve"> </w:t>
      </w:r>
    </w:p>
    <w:p w:rsidR="0019453E" w:rsidRDefault="0019453E" w:rsidP="00ED0F2E">
      <w:pPr>
        <w:rPr>
          <w:rFonts w:ascii="Calibri" w:hAnsi="Calibri" w:cs="Calibri"/>
        </w:rPr>
      </w:pPr>
    </w:p>
    <w:p w:rsidR="0019453E" w:rsidRDefault="0054671F" w:rsidP="00ED0F2E">
      <w:pPr>
        <w:rPr>
          <w:rFonts w:ascii="Calibri" w:hAnsi="Calibri" w:cs="Calibri"/>
        </w:rPr>
      </w:pPr>
      <w:r>
        <w:rPr>
          <w:rFonts w:ascii="Calibri" w:hAnsi="Calibri" w:cs="Calibri"/>
        </w:rPr>
        <w:t xml:space="preserve">The large gaps in component failure rate data is a significant issue for the robust safety analysis and engineering substantiation that will be needed for fusion power plants. This is especially true for the new fusion-specific systems that are being developed. Without robust failure rate data, the probabilities of potential accidents will be based on engineering judgement rather than hard data. This will impact on the robustness of the necessary safety cases. </w:t>
      </w:r>
      <w:r w:rsidR="005A7547">
        <w:rPr>
          <w:rFonts w:ascii="Calibri" w:hAnsi="Calibri" w:cs="Calibri"/>
        </w:rPr>
        <w:t xml:space="preserve">Without a detailed knowledge of how likely an accident is, the risk approach to safety becomes less robust and subject to uncertainty. </w:t>
      </w:r>
      <w:r w:rsidR="00347585">
        <w:rPr>
          <w:rFonts w:ascii="Calibri" w:hAnsi="Calibri" w:cs="Calibri"/>
        </w:rPr>
        <w:t>The current development of a fusion-specific database is aiming to combat this potential weakness. The work at ITER aims to fill in many of the gaps but more work needs to be focussed in this area. The production of a robust system and component failure rate database should be a main priority in the coming years to enable the early delivery of fusion power stations.</w:t>
      </w:r>
    </w:p>
    <w:p w:rsidR="006353CD" w:rsidRDefault="006353CD" w:rsidP="00ED0F2E">
      <w:pPr>
        <w:rPr>
          <w:rFonts w:ascii="Calibri" w:hAnsi="Calibri" w:cs="Calibri"/>
        </w:rPr>
      </w:pPr>
    </w:p>
    <w:p w:rsidR="006353CD" w:rsidRDefault="006353CD" w:rsidP="00ED0F2E">
      <w:pPr>
        <w:rPr>
          <w:rFonts w:ascii="Calibri" w:hAnsi="Calibri" w:cs="Calibri"/>
        </w:rPr>
      </w:pPr>
      <w:r>
        <w:rPr>
          <w:rFonts w:ascii="Calibri" w:hAnsi="Calibri" w:cs="Calibri"/>
        </w:rPr>
        <w:t xml:space="preserve">Breeder blankets and their tritium inventories pose a challenge to the design and safety analysis of fusion power stations. The removal of decay heat from these blankets, particularly when changing blankets, needs to be studied further to establish the risk associated with this activity. </w:t>
      </w:r>
      <w:r w:rsidR="00B920E4">
        <w:rPr>
          <w:rFonts w:ascii="Calibri" w:hAnsi="Calibri" w:cs="Calibri"/>
        </w:rPr>
        <w:t xml:space="preserve">The potential accident scenarios associated with the transfer of blanket sectors need further investigation, especially in relation to the consequences of a loss of coolant accident during the transfer process. This is necessary in order to determine the number of engineered barriers that are required to ensure the safety of these operations. </w:t>
      </w:r>
    </w:p>
    <w:p w:rsidR="0019453E" w:rsidRDefault="0019453E" w:rsidP="00ED0F2E">
      <w:pPr>
        <w:rPr>
          <w:rFonts w:ascii="Calibri" w:hAnsi="Calibri" w:cs="Calibri"/>
        </w:rPr>
      </w:pPr>
    </w:p>
    <w:p w:rsidR="0019453E" w:rsidRDefault="0032300E" w:rsidP="00ED0F2E">
      <w:pPr>
        <w:rPr>
          <w:rFonts w:ascii="Calibri" w:hAnsi="Calibri" w:cs="Calibri"/>
        </w:rPr>
      </w:pPr>
      <w:r>
        <w:rPr>
          <w:rFonts w:ascii="Calibri" w:hAnsi="Calibri" w:cs="Calibri"/>
        </w:rPr>
        <w:t>Whilst the heat in the plasma chamber under normal operation should never reach levels that could melt the first wall, the production of WO</w:t>
      </w:r>
      <w:r>
        <w:rPr>
          <w:rFonts w:ascii="Calibri" w:hAnsi="Calibri" w:cs="Calibri"/>
          <w:vertAlign w:val="subscript"/>
        </w:rPr>
        <w:t>3</w:t>
      </w:r>
      <w:r>
        <w:rPr>
          <w:rFonts w:ascii="Calibri" w:hAnsi="Calibri" w:cs="Calibri"/>
        </w:rPr>
        <w:t xml:space="preserve"> needs to be investigated further to better understand the consequences of accidents that could result in the release of this material. </w:t>
      </w:r>
    </w:p>
    <w:p w:rsidR="001F5150" w:rsidRDefault="001F5150" w:rsidP="00ED0F2E">
      <w:pPr>
        <w:rPr>
          <w:rFonts w:ascii="Calibri" w:hAnsi="Calibri" w:cs="Calibri"/>
        </w:rPr>
      </w:pPr>
    </w:p>
    <w:p w:rsidR="001F5150" w:rsidRDefault="001F5150" w:rsidP="00ED0F2E">
      <w:pPr>
        <w:rPr>
          <w:rFonts w:ascii="Calibri" w:hAnsi="Calibri" w:cs="Calibri"/>
        </w:rPr>
      </w:pPr>
      <w:r>
        <w:rPr>
          <w:rFonts w:ascii="Calibri" w:hAnsi="Calibri" w:cs="Calibri"/>
        </w:rPr>
        <w:t>Fusion reactors for electricity generation will undoubtedly require sophisticated engineering solutions to the safety issues highlighted here. However, in order to develop a robust safety case for a fusion power plant it is clear that significant further work is needed in areas including component failure rates, decay heat removal, vacuum vessel integrity, accident scenarios in which control or protection systems fail, and the impact of external hazards.</w:t>
      </w:r>
    </w:p>
    <w:p w:rsidR="00366FF3" w:rsidRDefault="00366FF3" w:rsidP="00ED0F2E">
      <w:pPr>
        <w:rPr>
          <w:rFonts w:ascii="Calibri" w:hAnsi="Calibri" w:cs="Calibri"/>
        </w:rPr>
      </w:pPr>
    </w:p>
    <w:p w:rsidR="00366FF3" w:rsidRDefault="00366FF3" w:rsidP="00ED0F2E">
      <w:pPr>
        <w:rPr>
          <w:rFonts w:ascii="Calibri" w:hAnsi="Calibri" w:cs="Calibri"/>
        </w:rPr>
      </w:pPr>
      <w:r>
        <w:rPr>
          <w:rFonts w:ascii="Calibri" w:hAnsi="Calibri" w:cs="Calibri"/>
        </w:rPr>
        <w:t xml:space="preserve">The above review has shown that whilst the hazard potential of a fusion power station is significantly less than that of a fission power station, there is the potential for the release of radioactive materials in accident conditions. </w:t>
      </w:r>
      <w:r w:rsidR="007A175A">
        <w:rPr>
          <w:rFonts w:ascii="Calibri" w:hAnsi="Calibri" w:cs="Calibri"/>
        </w:rPr>
        <w:t xml:space="preserve">Fusion power stations will also produce radioactive waste, some of which will require long-term management. There is an internationally recognised nuclear safety standards framework for nuclear fission reactors; </w:t>
      </w:r>
      <w:r w:rsidR="007A175A">
        <w:rPr>
          <w:rFonts w:ascii="Calibri" w:hAnsi="Calibri" w:cs="Calibri"/>
        </w:rPr>
        <w:lastRenderedPageBreak/>
        <w:t>however, the application of this framework to fusion power would, on the basis of the safety issues discussed in this paper, be disproportionate to the hazard potential.</w:t>
      </w:r>
    </w:p>
    <w:p w:rsidR="00B412A7" w:rsidRDefault="00B412A7" w:rsidP="00ED0F2E">
      <w:pPr>
        <w:rPr>
          <w:rFonts w:ascii="Calibri" w:hAnsi="Calibri" w:cs="Calibri"/>
        </w:rPr>
      </w:pPr>
    </w:p>
    <w:p w:rsidR="00B412A7" w:rsidRDefault="00B412A7" w:rsidP="00ED0F2E">
      <w:pPr>
        <w:rPr>
          <w:rFonts w:ascii="Calibri" w:hAnsi="Calibri" w:cs="Calibri"/>
        </w:rPr>
      </w:pPr>
      <w:r>
        <w:rPr>
          <w:rFonts w:ascii="Calibri" w:hAnsi="Calibri" w:cs="Calibri"/>
        </w:rPr>
        <w:t>The direct application of the fission safety standards to fusion would not only be disproportionate but would also result in unnecessary cost and complexity. It is therefore recommended that the nuclear fusion community gives serious consideration to the development of a fusion</w:t>
      </w:r>
      <w:r w:rsidR="00775421">
        <w:rPr>
          <w:rFonts w:ascii="Calibri" w:hAnsi="Calibri" w:cs="Calibri"/>
        </w:rPr>
        <w:t>-</w:t>
      </w:r>
      <w:r>
        <w:rPr>
          <w:rFonts w:ascii="Calibri" w:hAnsi="Calibri" w:cs="Calibri"/>
        </w:rPr>
        <w:t xml:space="preserve">focussed safety standards framework (similar to that </w:t>
      </w:r>
      <w:r w:rsidR="00A90138">
        <w:rPr>
          <w:rFonts w:ascii="Calibri" w:hAnsi="Calibri" w:cs="Calibri"/>
        </w:rPr>
        <w:t>which</w:t>
      </w:r>
      <w:r>
        <w:rPr>
          <w:rFonts w:ascii="Calibri" w:hAnsi="Calibri" w:cs="Calibri"/>
        </w:rPr>
        <w:t xml:space="preserve"> has been developed for fission power) to enable fusion power station designers to produce proportionate safety lead designs.</w:t>
      </w:r>
    </w:p>
    <w:p w:rsidR="00556F18" w:rsidRDefault="00556F18" w:rsidP="00ED0F2E">
      <w:pPr>
        <w:rPr>
          <w:rFonts w:ascii="Calibri" w:hAnsi="Calibri" w:cs="Calibri"/>
        </w:rPr>
      </w:pPr>
    </w:p>
    <w:p w:rsidR="00556F18" w:rsidRPr="006922DA" w:rsidRDefault="00556F18" w:rsidP="00ED0F2E">
      <w:pPr>
        <w:rPr>
          <w:rFonts w:ascii="Calibri" w:hAnsi="Calibri" w:cs="Calibri"/>
          <w:b/>
          <w:bCs/>
          <w:sz w:val="28"/>
          <w:szCs w:val="28"/>
        </w:rPr>
      </w:pPr>
      <w:r w:rsidRPr="006922DA">
        <w:rPr>
          <w:rFonts w:ascii="Calibri" w:hAnsi="Calibri" w:cs="Calibri"/>
          <w:b/>
          <w:bCs/>
          <w:sz w:val="28"/>
          <w:szCs w:val="28"/>
        </w:rPr>
        <w:t>Acknowledgements</w:t>
      </w:r>
    </w:p>
    <w:p w:rsidR="00B96344" w:rsidRDefault="00B96344" w:rsidP="00ED0F2E">
      <w:pPr>
        <w:rPr>
          <w:rFonts w:ascii="Calibri" w:hAnsi="Calibri" w:cs="Calibri"/>
        </w:rPr>
      </w:pPr>
    </w:p>
    <w:p w:rsidR="00721919" w:rsidRDefault="00721919" w:rsidP="00721919">
      <w:pPr>
        <w:rPr>
          <w:rFonts w:ascii="Calibri" w:hAnsi="Calibri" w:cs="Calibri"/>
        </w:rPr>
      </w:pPr>
      <w:r w:rsidRPr="00721919">
        <w:rPr>
          <w:rFonts w:ascii="Calibri" w:hAnsi="Calibri" w:cs="Calibri"/>
        </w:rPr>
        <w:t>﻿This research was supported by the EPSRC (Engineering and</w:t>
      </w:r>
      <w:r>
        <w:rPr>
          <w:rFonts w:ascii="Calibri" w:hAnsi="Calibri" w:cs="Calibri"/>
        </w:rPr>
        <w:t xml:space="preserve"> </w:t>
      </w:r>
      <w:r w:rsidRPr="00721919">
        <w:rPr>
          <w:rFonts w:ascii="Calibri" w:hAnsi="Calibri" w:cs="Calibri"/>
        </w:rPr>
        <w:t xml:space="preserve">Physical Sciences Research Council, UK) ICO Centre for Doctoral Training in Nuclear Energy (ICO CDT). EPSRC Grant reference number: EP/L015900/1. Other research studies under the ICO CDT involving </w:t>
      </w:r>
      <w:r>
        <w:rPr>
          <w:rFonts w:ascii="Calibri" w:hAnsi="Calibri" w:cs="Calibri"/>
        </w:rPr>
        <w:t>Matthew Lukacs</w:t>
      </w:r>
      <w:r w:rsidRPr="00721919">
        <w:rPr>
          <w:rFonts w:ascii="Calibri" w:hAnsi="Calibri" w:cs="Calibri"/>
        </w:rPr>
        <w:t xml:space="preserve"> are supported in part by </w:t>
      </w:r>
      <w:r>
        <w:rPr>
          <w:rFonts w:ascii="Calibri" w:hAnsi="Calibri" w:cs="Calibri"/>
        </w:rPr>
        <w:t>Culham Centre for Fusion Energy (CCFE)/UK Atomic Energy Authority (UKAEA).</w:t>
      </w:r>
      <w:r w:rsidR="00B07B27">
        <w:rPr>
          <w:rFonts w:ascii="Calibri" w:hAnsi="Calibri" w:cs="Calibri"/>
        </w:rPr>
        <w:t xml:space="preserve"> The authors would like to thank Dr Neill Taylor at CCFE for his valuable contributions on safety studies. </w:t>
      </w:r>
    </w:p>
    <w:p w:rsidR="00B96344" w:rsidRDefault="00B96344" w:rsidP="00ED0F2E">
      <w:pPr>
        <w:rPr>
          <w:rFonts w:ascii="Calibri" w:hAnsi="Calibri" w:cs="Calibri"/>
        </w:rPr>
      </w:pPr>
    </w:p>
    <w:p w:rsidR="0019453E" w:rsidRDefault="008E252B" w:rsidP="00D1484C">
      <w:pPr>
        <w:widowControl w:val="0"/>
        <w:autoSpaceDE w:val="0"/>
        <w:autoSpaceDN w:val="0"/>
        <w:adjustRightInd w:val="0"/>
        <w:ind w:left="640" w:hanging="640"/>
        <w:rPr>
          <w:rFonts w:ascii="Calibri" w:hAnsi="Calibri" w:cs="Calibri"/>
          <w:b/>
          <w:bCs/>
          <w:sz w:val="28"/>
          <w:szCs w:val="28"/>
        </w:rPr>
      </w:pPr>
      <w:r>
        <w:rPr>
          <w:rFonts w:ascii="Calibri" w:hAnsi="Calibri" w:cs="Calibri"/>
          <w:b/>
          <w:bCs/>
          <w:sz w:val="28"/>
          <w:szCs w:val="28"/>
        </w:rPr>
        <w:t>References</w:t>
      </w:r>
    </w:p>
    <w:p w:rsidR="008E252B" w:rsidRDefault="008E252B" w:rsidP="00D1484C">
      <w:pPr>
        <w:widowControl w:val="0"/>
        <w:autoSpaceDE w:val="0"/>
        <w:autoSpaceDN w:val="0"/>
        <w:adjustRightInd w:val="0"/>
        <w:ind w:left="640" w:hanging="640"/>
        <w:rPr>
          <w:rFonts w:ascii="Calibri" w:hAnsi="Calibri" w:cs="Calibri"/>
          <w:b/>
          <w:bCs/>
          <w:sz w:val="28"/>
          <w:szCs w:val="28"/>
        </w:rPr>
      </w:pPr>
    </w:p>
    <w:p w:rsidR="002E1789" w:rsidRPr="002E1789" w:rsidRDefault="00F75BC5" w:rsidP="002E1789">
      <w:pPr>
        <w:widowControl w:val="0"/>
        <w:autoSpaceDE w:val="0"/>
        <w:autoSpaceDN w:val="0"/>
        <w:adjustRightInd w:val="0"/>
        <w:ind w:left="640" w:hanging="640"/>
        <w:rPr>
          <w:rFonts w:ascii="Calibri" w:hAnsi="Calibri" w:cs="Calibri"/>
          <w:noProof/>
        </w:rPr>
      </w:pPr>
      <w:r>
        <w:rPr>
          <w:rFonts w:ascii="Calibri" w:hAnsi="Calibri" w:cs="Calibri"/>
        </w:rPr>
        <w:fldChar w:fldCharType="begin" w:fldLock="1"/>
      </w:r>
      <w:r>
        <w:rPr>
          <w:rFonts w:ascii="Calibri" w:hAnsi="Calibri" w:cs="Calibri"/>
        </w:rPr>
        <w:instrText xml:space="preserve">ADDIN Mendeley Bibliography CSL_BIBLIOGRAPHY </w:instrText>
      </w:r>
      <w:r>
        <w:rPr>
          <w:rFonts w:ascii="Calibri" w:hAnsi="Calibri" w:cs="Calibri"/>
        </w:rPr>
        <w:fldChar w:fldCharType="separate"/>
      </w:r>
      <w:r w:rsidR="002E1789" w:rsidRPr="002E1789">
        <w:rPr>
          <w:rFonts w:ascii="Calibri" w:hAnsi="Calibri" w:cs="Calibri"/>
          <w:noProof/>
        </w:rPr>
        <w:t>[1]</w:t>
      </w:r>
      <w:r w:rsidR="002E1789" w:rsidRPr="002E1789">
        <w:rPr>
          <w:rFonts w:ascii="Calibri" w:hAnsi="Calibri" w:cs="Calibri"/>
          <w:noProof/>
        </w:rPr>
        <w:tab/>
        <w:t xml:space="preserve">US Senate and House Representatives, </w:t>
      </w:r>
      <w:r w:rsidR="002E1789" w:rsidRPr="002E1789">
        <w:rPr>
          <w:rFonts w:ascii="Calibri" w:hAnsi="Calibri" w:cs="Calibri"/>
          <w:i/>
          <w:iCs/>
          <w:noProof/>
        </w:rPr>
        <w:t>Nuclear Energy Innovation and Modernization Act</w:t>
      </w:r>
      <w:r w:rsidR="002E1789" w:rsidRPr="002E1789">
        <w:rPr>
          <w:rFonts w:ascii="Calibri" w:hAnsi="Calibri" w:cs="Calibri"/>
          <w:noProof/>
        </w:rPr>
        <w:t>. 2019.</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[2]</w:t>
      </w:r>
      <w:r w:rsidRPr="002E1789">
        <w:rPr>
          <w:rFonts w:ascii="Calibri" w:hAnsi="Calibri" w:cs="Calibri"/>
          <w:noProof/>
        </w:rPr>
        <w:tab/>
        <w:t>J. Raeder, I. Cook, F. . Morgensten, E. Salpietro, R. Bunde, and E. Ebert, “Safety and Environmental Assessment of Fusion Power (SEAFP) Report of the SEAFP Project,” Brussels, 1995.</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[3]</w:t>
      </w:r>
      <w:r w:rsidRPr="002E1789">
        <w:rPr>
          <w:rFonts w:ascii="Calibri" w:hAnsi="Calibri" w:cs="Calibri"/>
          <w:noProof/>
        </w:rPr>
        <w:tab/>
        <w:t xml:space="preserve">W. Gulden, J. Raeder, and I. Cook, “SEAFP and SEAL: Safety and environmental aspects,” </w:t>
      </w:r>
      <w:r w:rsidRPr="002E1789">
        <w:rPr>
          <w:rFonts w:ascii="Calibri" w:hAnsi="Calibri" w:cs="Calibri"/>
          <w:i/>
          <w:iCs/>
          <w:noProof/>
        </w:rPr>
        <w:t>Fusion Eng. Des.</w:t>
      </w:r>
      <w:r w:rsidRPr="002E1789">
        <w:rPr>
          <w:rFonts w:ascii="Calibri" w:hAnsi="Calibri" w:cs="Calibri"/>
          <w:noProof/>
        </w:rPr>
        <w:t>, vol. 51–52, pp. 429–434, 2000.</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[4]</w:t>
      </w:r>
      <w:r w:rsidRPr="002E1789">
        <w:rPr>
          <w:rFonts w:ascii="Calibri" w:hAnsi="Calibri" w:cs="Calibri"/>
          <w:noProof/>
        </w:rPr>
        <w:tab/>
        <w:t xml:space="preserve">I. Cook, G. Marbach, L. Di Pace, C. Girard, P. Rocco, and N. P. Taylor, “Results, conclusions ,and implications of the SEAFP-2 programme,” </w:t>
      </w:r>
      <w:r w:rsidRPr="002E1789">
        <w:rPr>
          <w:rFonts w:ascii="Calibri" w:hAnsi="Calibri" w:cs="Calibri"/>
          <w:i/>
          <w:iCs/>
          <w:noProof/>
        </w:rPr>
        <w:t>Fusion Eng. Des.</w:t>
      </w:r>
      <w:r w:rsidRPr="002E1789">
        <w:rPr>
          <w:rFonts w:ascii="Calibri" w:hAnsi="Calibri" w:cs="Calibri"/>
          <w:noProof/>
        </w:rPr>
        <w:t>, vol. 52, pp. 409–417, 2000.</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[5]</w:t>
      </w:r>
      <w:r w:rsidRPr="002E1789">
        <w:rPr>
          <w:rFonts w:ascii="Calibri" w:hAnsi="Calibri" w:cs="Calibri"/>
          <w:noProof/>
        </w:rPr>
        <w:tab/>
        <w:t xml:space="preserve">I. Cook </w:t>
      </w:r>
      <w:r w:rsidRPr="002E1789">
        <w:rPr>
          <w:rFonts w:ascii="Calibri" w:hAnsi="Calibri" w:cs="Calibri"/>
          <w:i/>
          <w:iCs/>
          <w:noProof/>
        </w:rPr>
        <w:t>et al.</w:t>
      </w:r>
      <w:r w:rsidRPr="002E1789">
        <w:rPr>
          <w:rFonts w:ascii="Calibri" w:hAnsi="Calibri" w:cs="Calibri"/>
          <w:noProof/>
        </w:rPr>
        <w:t xml:space="preserve">, “Safety and Environmental Assessment of Fusion Power, Report of the SEAL and SEAFP-2 Projects,” </w:t>
      </w:r>
      <w:r w:rsidRPr="002E1789">
        <w:rPr>
          <w:rFonts w:ascii="Calibri" w:hAnsi="Calibri" w:cs="Calibri"/>
          <w:i/>
          <w:iCs/>
          <w:noProof/>
        </w:rPr>
        <w:t>Press.</w:t>
      </w:r>
      <w:r w:rsidRPr="002E1789">
        <w:rPr>
          <w:rFonts w:ascii="Calibri" w:hAnsi="Calibri" w:cs="Calibri"/>
          <w:noProof/>
        </w:rPr>
        <w:t>, 1999.</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[6]</w:t>
      </w:r>
      <w:r w:rsidRPr="002E1789">
        <w:rPr>
          <w:rFonts w:ascii="Calibri" w:hAnsi="Calibri" w:cs="Calibri"/>
          <w:noProof/>
        </w:rPr>
        <w:tab/>
        <w:t xml:space="preserve">D. Maisonnier </w:t>
      </w:r>
      <w:r w:rsidRPr="002E1789">
        <w:rPr>
          <w:rFonts w:ascii="Calibri" w:hAnsi="Calibri" w:cs="Calibri"/>
          <w:i/>
          <w:iCs/>
          <w:noProof/>
        </w:rPr>
        <w:t>et al.</w:t>
      </w:r>
      <w:r w:rsidRPr="002E1789">
        <w:rPr>
          <w:rFonts w:ascii="Calibri" w:hAnsi="Calibri" w:cs="Calibri"/>
          <w:noProof/>
        </w:rPr>
        <w:t>, “Final Report of the European Fusion Power Plant Conceptual Study (PPCS),” 2005.</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[7]</w:t>
      </w:r>
      <w:r w:rsidRPr="002E1789">
        <w:rPr>
          <w:rFonts w:ascii="Calibri" w:hAnsi="Calibri" w:cs="Calibri"/>
          <w:noProof/>
        </w:rPr>
        <w:tab/>
        <w:t xml:space="preserve">D. Maisonnier </w:t>
      </w:r>
      <w:r w:rsidRPr="002E1789">
        <w:rPr>
          <w:rFonts w:ascii="Calibri" w:hAnsi="Calibri" w:cs="Calibri"/>
          <w:i/>
          <w:iCs/>
          <w:noProof/>
        </w:rPr>
        <w:t>et al.</w:t>
      </w:r>
      <w:r w:rsidRPr="002E1789">
        <w:rPr>
          <w:rFonts w:ascii="Calibri" w:hAnsi="Calibri" w:cs="Calibri"/>
          <w:noProof/>
        </w:rPr>
        <w:t xml:space="preserve">, “DEMO and fusion power plant conceptual studies in Europe,” </w:t>
      </w:r>
      <w:r w:rsidRPr="002E1789">
        <w:rPr>
          <w:rFonts w:ascii="Calibri" w:hAnsi="Calibri" w:cs="Calibri"/>
          <w:i/>
          <w:iCs/>
          <w:noProof/>
        </w:rPr>
        <w:t>Fusion Eng. Des.</w:t>
      </w:r>
      <w:r w:rsidRPr="002E1789">
        <w:rPr>
          <w:rFonts w:ascii="Calibri" w:hAnsi="Calibri" w:cs="Calibri"/>
          <w:noProof/>
        </w:rPr>
        <w:t>, vol. 81, no. 8-14 PART B, pp. 1123–1130, 2006.</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[8]</w:t>
      </w:r>
      <w:r w:rsidRPr="002E1789">
        <w:rPr>
          <w:rFonts w:ascii="Calibri" w:hAnsi="Calibri" w:cs="Calibri"/>
          <w:noProof/>
        </w:rPr>
        <w:tab/>
        <w:t xml:space="preserve">N. Taylor </w:t>
      </w:r>
      <w:r w:rsidRPr="002E1789">
        <w:rPr>
          <w:rFonts w:ascii="Calibri" w:hAnsi="Calibri" w:cs="Calibri"/>
          <w:i/>
          <w:iCs/>
          <w:noProof/>
        </w:rPr>
        <w:t>et al.</w:t>
      </w:r>
      <w:r w:rsidRPr="002E1789">
        <w:rPr>
          <w:rFonts w:ascii="Calibri" w:hAnsi="Calibri" w:cs="Calibri"/>
          <w:noProof/>
        </w:rPr>
        <w:t xml:space="preserve">, “Updated safety analysis of ITER,” </w:t>
      </w:r>
      <w:r w:rsidRPr="002E1789">
        <w:rPr>
          <w:rFonts w:ascii="Calibri" w:hAnsi="Calibri" w:cs="Calibri"/>
          <w:i/>
          <w:iCs/>
          <w:noProof/>
        </w:rPr>
        <w:t>Fusion Eng. Des.</w:t>
      </w:r>
      <w:r w:rsidRPr="002E1789">
        <w:rPr>
          <w:rFonts w:ascii="Calibri" w:hAnsi="Calibri" w:cs="Calibri"/>
          <w:noProof/>
        </w:rPr>
        <w:t>, vol. 86, no. 6–8, pp. 619–622, 2011.</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[9]</w:t>
      </w:r>
      <w:r w:rsidRPr="002E1789">
        <w:rPr>
          <w:rFonts w:ascii="Calibri" w:hAnsi="Calibri" w:cs="Calibri"/>
          <w:noProof/>
        </w:rPr>
        <w:tab/>
        <w:t>International Nuclear Safety Advisory Group, “Defence in depth in nuclear safety,” Vienna, 1996.</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[10]</w:t>
      </w:r>
      <w:r w:rsidRPr="002E1789">
        <w:rPr>
          <w:rFonts w:ascii="Calibri" w:hAnsi="Calibri" w:cs="Calibri"/>
          <w:noProof/>
        </w:rPr>
        <w:tab/>
        <w:t>IAEA, “Assessment of defence in depth for nuclear power plants,” Feb. 2005.</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[11]</w:t>
      </w:r>
      <w:r w:rsidRPr="002E1789">
        <w:rPr>
          <w:rFonts w:ascii="Calibri" w:hAnsi="Calibri" w:cs="Calibri"/>
          <w:noProof/>
        </w:rPr>
        <w:tab/>
        <w:t xml:space="preserve">R. Jurgen </w:t>
      </w:r>
      <w:r w:rsidRPr="002E1789">
        <w:rPr>
          <w:rFonts w:ascii="Calibri" w:hAnsi="Calibri" w:cs="Calibri"/>
          <w:i/>
          <w:iCs/>
          <w:noProof/>
        </w:rPr>
        <w:t>et al.</w:t>
      </w:r>
      <w:r w:rsidRPr="002E1789">
        <w:rPr>
          <w:rFonts w:ascii="Calibri" w:hAnsi="Calibri" w:cs="Calibri"/>
          <w:noProof/>
        </w:rPr>
        <w:t>, “Review of the safety concept for fusion reactor concepts and transferability of the nuclear fission regulation to potential fusion power plants,” 2016.</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[12]</w:t>
      </w:r>
      <w:r w:rsidRPr="002E1789">
        <w:rPr>
          <w:rFonts w:ascii="Calibri" w:hAnsi="Calibri" w:cs="Calibri"/>
          <w:noProof/>
        </w:rPr>
        <w:tab/>
        <w:t>W. Gulden, “Review technical information available in EU from previous fusion reactor studies relevant for safety,” Garching, 2012.</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lastRenderedPageBreak/>
        <w:t>[13]</w:t>
      </w:r>
      <w:r w:rsidRPr="002E1789">
        <w:rPr>
          <w:rFonts w:ascii="Calibri" w:hAnsi="Calibri" w:cs="Calibri"/>
          <w:noProof/>
        </w:rPr>
        <w:tab/>
        <w:t>Office for Nuclear Regulation, “Safety assessment principles for nuclear facilities,” 2014.</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[14]</w:t>
      </w:r>
      <w:r w:rsidRPr="002E1789">
        <w:rPr>
          <w:rFonts w:ascii="Calibri" w:hAnsi="Calibri" w:cs="Calibri"/>
          <w:noProof/>
        </w:rPr>
        <w:tab/>
        <w:t>Health and Safety Executive (HSE), “The tolerability of risk from nuclear power stations,” 1988.</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[15]</w:t>
      </w:r>
      <w:r w:rsidRPr="002E1789">
        <w:rPr>
          <w:rFonts w:ascii="Calibri" w:hAnsi="Calibri" w:cs="Calibri"/>
          <w:noProof/>
        </w:rPr>
        <w:tab/>
        <w:t xml:space="preserve">N. Taylor </w:t>
      </w:r>
      <w:r w:rsidRPr="002E1789">
        <w:rPr>
          <w:rFonts w:ascii="Calibri" w:hAnsi="Calibri" w:cs="Calibri"/>
          <w:i/>
          <w:iCs/>
          <w:noProof/>
        </w:rPr>
        <w:t>et al.</w:t>
      </w:r>
      <w:r w:rsidRPr="002E1789">
        <w:rPr>
          <w:rFonts w:ascii="Calibri" w:hAnsi="Calibri" w:cs="Calibri"/>
          <w:noProof/>
        </w:rPr>
        <w:t xml:space="preserve">, “Safety and environment studies for a European DEMO design concept,” </w:t>
      </w:r>
      <w:r w:rsidRPr="002E1789">
        <w:rPr>
          <w:rFonts w:ascii="Calibri" w:hAnsi="Calibri" w:cs="Calibri"/>
          <w:i/>
          <w:iCs/>
          <w:noProof/>
        </w:rPr>
        <w:t>Fusion Eng. Des.</w:t>
      </w:r>
      <w:r w:rsidRPr="002E1789">
        <w:rPr>
          <w:rFonts w:ascii="Calibri" w:hAnsi="Calibri" w:cs="Calibri"/>
          <w:noProof/>
        </w:rPr>
        <w:t>, vol. 146, no. December 2018, pp. 111–114, 2018.</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[16]</w:t>
      </w:r>
      <w:r w:rsidRPr="002E1789">
        <w:rPr>
          <w:rFonts w:ascii="Calibri" w:hAnsi="Calibri" w:cs="Calibri"/>
          <w:noProof/>
        </w:rPr>
        <w:tab/>
        <w:t xml:space="preserve">I. Song, A. Roshal, V. Tanchuk, J. Thomsen, F. Milani, and I. Benfatto, “The fast discharge system of ITER superconducting magnets,” </w:t>
      </w:r>
      <w:r w:rsidRPr="002E1789">
        <w:rPr>
          <w:rFonts w:ascii="Calibri" w:hAnsi="Calibri" w:cs="Calibri"/>
          <w:i/>
          <w:iCs/>
          <w:noProof/>
        </w:rPr>
        <w:t>2011 Int. Conf. Electr. Mach. Syst. ICEMS 2011</w:t>
      </w:r>
      <w:r w:rsidRPr="002E1789">
        <w:rPr>
          <w:rFonts w:ascii="Calibri" w:hAnsi="Calibri" w:cs="Calibri"/>
          <w:noProof/>
        </w:rPr>
        <w:t>, 2011.</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[17]</w:t>
      </w:r>
      <w:r w:rsidRPr="002E1789">
        <w:rPr>
          <w:rFonts w:ascii="Calibri" w:hAnsi="Calibri" w:cs="Calibri"/>
          <w:noProof/>
        </w:rPr>
        <w:tab/>
        <w:t xml:space="preserve">D. Testa </w:t>
      </w:r>
      <w:r w:rsidRPr="002E1789">
        <w:rPr>
          <w:rFonts w:ascii="Calibri" w:hAnsi="Calibri" w:cs="Calibri"/>
          <w:i/>
          <w:iCs/>
          <w:noProof/>
        </w:rPr>
        <w:t>et al.</w:t>
      </w:r>
      <w:r w:rsidRPr="002E1789">
        <w:rPr>
          <w:rFonts w:ascii="Calibri" w:hAnsi="Calibri" w:cs="Calibri"/>
          <w:noProof/>
        </w:rPr>
        <w:t>, “The Magnetic Diagnostic Set for ITER,” 2009.</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[18]</w:t>
      </w:r>
      <w:r w:rsidRPr="002E1789">
        <w:rPr>
          <w:rFonts w:ascii="Calibri" w:hAnsi="Calibri" w:cs="Calibri"/>
          <w:noProof/>
        </w:rPr>
        <w:tab/>
        <w:t xml:space="preserve">B. Van Der Schaaf </w:t>
      </w:r>
      <w:r w:rsidRPr="002E1789">
        <w:rPr>
          <w:rFonts w:ascii="Calibri" w:hAnsi="Calibri" w:cs="Calibri"/>
          <w:i/>
          <w:iCs/>
          <w:noProof/>
        </w:rPr>
        <w:t>et al.</w:t>
      </w:r>
      <w:r w:rsidRPr="002E1789">
        <w:rPr>
          <w:rFonts w:ascii="Calibri" w:hAnsi="Calibri" w:cs="Calibri"/>
          <w:noProof/>
        </w:rPr>
        <w:t xml:space="preserve">, “The development of EUROFER reduced activation steel,” </w:t>
      </w:r>
      <w:r w:rsidRPr="002E1789">
        <w:rPr>
          <w:rFonts w:ascii="Calibri" w:hAnsi="Calibri" w:cs="Calibri"/>
          <w:i/>
          <w:iCs/>
          <w:noProof/>
        </w:rPr>
        <w:t>Fusion Eng. Des.</w:t>
      </w:r>
      <w:r w:rsidRPr="002E1789">
        <w:rPr>
          <w:rFonts w:ascii="Calibri" w:hAnsi="Calibri" w:cs="Calibri"/>
          <w:noProof/>
        </w:rPr>
        <w:t>, vol. 69, pp. 197–203, 2003.</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[19]</w:t>
      </w:r>
      <w:r w:rsidRPr="002E1789">
        <w:rPr>
          <w:rFonts w:ascii="Calibri" w:hAnsi="Calibri" w:cs="Calibri"/>
          <w:noProof/>
        </w:rPr>
        <w:tab/>
        <w:t xml:space="preserve">M. Richou </w:t>
      </w:r>
      <w:r w:rsidRPr="002E1789">
        <w:rPr>
          <w:rFonts w:ascii="Calibri" w:hAnsi="Calibri" w:cs="Calibri"/>
          <w:i/>
          <w:iCs/>
          <w:noProof/>
        </w:rPr>
        <w:t>et al.</w:t>
      </w:r>
      <w:r w:rsidRPr="002E1789">
        <w:rPr>
          <w:rFonts w:ascii="Calibri" w:hAnsi="Calibri" w:cs="Calibri"/>
          <w:noProof/>
        </w:rPr>
        <w:t xml:space="preserve">, “European DEMO divertor target: Operational requirements and material-design interface,” </w:t>
      </w:r>
      <w:r w:rsidRPr="002E1789">
        <w:rPr>
          <w:rFonts w:ascii="Calibri" w:hAnsi="Calibri" w:cs="Calibri"/>
          <w:i/>
          <w:iCs/>
          <w:noProof/>
        </w:rPr>
        <w:t>Nucl. Mater. Energy</w:t>
      </w:r>
      <w:r w:rsidRPr="002E1789">
        <w:rPr>
          <w:rFonts w:ascii="Calibri" w:hAnsi="Calibri" w:cs="Calibri"/>
          <w:noProof/>
        </w:rPr>
        <w:t>, vol. 9, pp. 171–176, 2016.</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[20]</w:t>
      </w:r>
      <w:r w:rsidRPr="002E1789">
        <w:rPr>
          <w:rFonts w:ascii="Calibri" w:hAnsi="Calibri" w:cs="Calibri"/>
          <w:noProof/>
        </w:rPr>
        <w:tab/>
        <w:t xml:space="preserve">N. P. Taylor and R. Pampin, “Activation properties of tungsten as a first wall protection in fusion power plants,” </w:t>
      </w:r>
      <w:r w:rsidRPr="002E1789">
        <w:rPr>
          <w:rFonts w:ascii="Calibri" w:hAnsi="Calibri" w:cs="Calibri"/>
          <w:i/>
          <w:iCs/>
          <w:noProof/>
        </w:rPr>
        <w:t>Fusion Eng. Des.</w:t>
      </w:r>
      <w:r w:rsidRPr="002E1789">
        <w:rPr>
          <w:rFonts w:ascii="Calibri" w:hAnsi="Calibri" w:cs="Calibri"/>
          <w:noProof/>
        </w:rPr>
        <w:t>, vol. 81, no. 8-14 PART B, pp. 1333–1338, 2006.</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[21]</w:t>
      </w:r>
      <w:r w:rsidRPr="002E1789">
        <w:rPr>
          <w:rFonts w:ascii="Calibri" w:hAnsi="Calibri" w:cs="Calibri"/>
          <w:noProof/>
        </w:rPr>
        <w:tab/>
        <w:t xml:space="preserve">R. G. Abernethy, “Predicting the performance of tungsten in a fusion environment: a literature review,” </w:t>
      </w:r>
      <w:r w:rsidRPr="002E1789">
        <w:rPr>
          <w:rFonts w:ascii="Calibri" w:hAnsi="Calibri" w:cs="Calibri"/>
          <w:i/>
          <w:iCs/>
          <w:noProof/>
        </w:rPr>
        <w:t>Mater. Sci. Technol. (United Kingdom)</w:t>
      </w:r>
      <w:r w:rsidRPr="002E1789">
        <w:rPr>
          <w:rFonts w:ascii="Calibri" w:hAnsi="Calibri" w:cs="Calibri"/>
          <w:noProof/>
        </w:rPr>
        <w:t>, vol. 33, no. 4, pp. 388–399, 2017.</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[22]</w:t>
      </w:r>
      <w:r w:rsidRPr="002E1789">
        <w:rPr>
          <w:rFonts w:ascii="Calibri" w:hAnsi="Calibri" w:cs="Calibri"/>
          <w:noProof/>
        </w:rPr>
        <w:tab/>
        <w:t xml:space="preserve">G. Federici </w:t>
      </w:r>
      <w:r w:rsidRPr="002E1789">
        <w:rPr>
          <w:rFonts w:ascii="Calibri" w:hAnsi="Calibri" w:cs="Calibri"/>
          <w:i/>
          <w:iCs/>
          <w:noProof/>
        </w:rPr>
        <w:t>et al.</w:t>
      </w:r>
      <w:r w:rsidRPr="002E1789">
        <w:rPr>
          <w:rFonts w:ascii="Calibri" w:hAnsi="Calibri" w:cs="Calibri"/>
          <w:noProof/>
        </w:rPr>
        <w:t xml:space="preserve">, “DEMO design activity in Europe: Progress and updates,” </w:t>
      </w:r>
      <w:r w:rsidRPr="002E1789">
        <w:rPr>
          <w:rFonts w:ascii="Calibri" w:hAnsi="Calibri" w:cs="Calibri"/>
          <w:i/>
          <w:iCs/>
          <w:noProof/>
        </w:rPr>
        <w:t>Fusion Eng. Des.</w:t>
      </w:r>
      <w:r w:rsidRPr="002E1789">
        <w:rPr>
          <w:rFonts w:ascii="Calibri" w:hAnsi="Calibri" w:cs="Calibri"/>
          <w:noProof/>
        </w:rPr>
        <w:t>, vol. 136, no. April, pp. 729–741, 2018.</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[23]</w:t>
      </w:r>
      <w:r w:rsidRPr="002E1789">
        <w:rPr>
          <w:rFonts w:ascii="Calibri" w:hAnsi="Calibri" w:cs="Calibri"/>
          <w:noProof/>
        </w:rPr>
        <w:tab/>
        <w:t xml:space="preserve">M. Nakamura </w:t>
      </w:r>
      <w:r w:rsidRPr="002E1789">
        <w:rPr>
          <w:rFonts w:ascii="Calibri" w:hAnsi="Calibri" w:cs="Calibri"/>
          <w:i/>
          <w:iCs/>
          <w:noProof/>
        </w:rPr>
        <w:t>et al.</w:t>
      </w:r>
      <w:r w:rsidRPr="002E1789">
        <w:rPr>
          <w:rFonts w:ascii="Calibri" w:hAnsi="Calibri" w:cs="Calibri"/>
          <w:noProof/>
        </w:rPr>
        <w:t xml:space="preserve">, “Study of safety features and accident scenarios in a fusion DEMO reactor,” </w:t>
      </w:r>
      <w:r w:rsidRPr="002E1789">
        <w:rPr>
          <w:rFonts w:ascii="Calibri" w:hAnsi="Calibri" w:cs="Calibri"/>
          <w:i/>
          <w:iCs/>
          <w:noProof/>
        </w:rPr>
        <w:t>Fusion Eng. Des.</w:t>
      </w:r>
      <w:r w:rsidRPr="002E1789">
        <w:rPr>
          <w:rFonts w:ascii="Calibri" w:hAnsi="Calibri" w:cs="Calibri"/>
          <w:noProof/>
        </w:rPr>
        <w:t>, vol. 89, pp. 2028–2032, 2014.</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[24]</w:t>
      </w:r>
      <w:r w:rsidRPr="002E1789">
        <w:rPr>
          <w:rFonts w:ascii="Calibri" w:hAnsi="Calibri" w:cs="Calibri"/>
          <w:noProof/>
        </w:rPr>
        <w:tab/>
        <w:t xml:space="preserve">L. A. Poggi, A. Malizia, J. F. Ciparisse, and P. Gaudio, “A novel integrated approach for the hazardous radioactive dust source terms estimation in future nuclear fusion power plants,” </w:t>
      </w:r>
      <w:r w:rsidRPr="002E1789">
        <w:rPr>
          <w:rFonts w:ascii="Calibri" w:hAnsi="Calibri" w:cs="Calibri"/>
          <w:i/>
          <w:iCs/>
          <w:noProof/>
        </w:rPr>
        <w:t>Heliyon</w:t>
      </w:r>
      <w:r w:rsidRPr="002E1789">
        <w:rPr>
          <w:rFonts w:ascii="Calibri" w:hAnsi="Calibri" w:cs="Calibri"/>
          <w:noProof/>
        </w:rPr>
        <w:t>, vol. 2, no. 10, 2016.</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[25]</w:t>
      </w:r>
      <w:r w:rsidRPr="002E1789">
        <w:rPr>
          <w:rFonts w:ascii="Calibri" w:hAnsi="Calibri" w:cs="Calibri"/>
          <w:noProof/>
        </w:rPr>
        <w:tab/>
        <w:t xml:space="preserve">N. P. Taylor and W. Raskob, “Updated accident consequence analyses for ITER at Cadarache,” </w:t>
      </w:r>
      <w:r w:rsidRPr="002E1789">
        <w:rPr>
          <w:rFonts w:ascii="Calibri" w:hAnsi="Calibri" w:cs="Calibri"/>
          <w:i/>
          <w:iCs/>
          <w:noProof/>
        </w:rPr>
        <w:t>Fusion Sci. Technol.</w:t>
      </w:r>
      <w:r w:rsidRPr="002E1789">
        <w:rPr>
          <w:rFonts w:ascii="Calibri" w:hAnsi="Calibri" w:cs="Calibri"/>
          <w:noProof/>
        </w:rPr>
        <w:t>, vol. 52, no. 3, pp. 359–366, 2007.</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[26]</w:t>
      </w:r>
      <w:r w:rsidRPr="002E1789">
        <w:rPr>
          <w:rFonts w:ascii="Calibri" w:hAnsi="Calibri" w:cs="Calibri"/>
          <w:noProof/>
        </w:rPr>
        <w:tab/>
        <w:t xml:space="preserve">N. Taylor and P. Cortes, “Lessons learnt from ITER safety &amp; licensing for DEMO and future nuclear fusion facilities,” </w:t>
      </w:r>
      <w:r w:rsidRPr="002E1789">
        <w:rPr>
          <w:rFonts w:ascii="Calibri" w:hAnsi="Calibri" w:cs="Calibri"/>
          <w:i/>
          <w:iCs/>
          <w:noProof/>
        </w:rPr>
        <w:t>Fusion Eng. Des.</w:t>
      </w:r>
      <w:r w:rsidRPr="002E1789">
        <w:rPr>
          <w:rFonts w:ascii="Calibri" w:hAnsi="Calibri" w:cs="Calibri"/>
          <w:noProof/>
        </w:rPr>
        <w:t>, vol. 89, no. 9–10, pp. 1995–2000, 2014.</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[27]</w:t>
      </w:r>
      <w:r w:rsidRPr="002E1789">
        <w:rPr>
          <w:rFonts w:ascii="Calibri" w:hAnsi="Calibri" w:cs="Calibri"/>
          <w:noProof/>
        </w:rPr>
        <w:tab/>
        <w:t xml:space="preserve">T. Pinna </w:t>
      </w:r>
      <w:r w:rsidRPr="002E1789">
        <w:rPr>
          <w:rFonts w:ascii="Calibri" w:hAnsi="Calibri" w:cs="Calibri"/>
          <w:i/>
          <w:iCs/>
          <w:noProof/>
        </w:rPr>
        <w:t>et al.</w:t>
      </w:r>
      <w:r w:rsidRPr="002E1789">
        <w:rPr>
          <w:rFonts w:ascii="Calibri" w:hAnsi="Calibri" w:cs="Calibri"/>
          <w:noProof/>
        </w:rPr>
        <w:t>, “Reference accident sequences for a Demonstration Fusion Power Plant,” 2016.</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[28]</w:t>
      </w:r>
      <w:r w:rsidRPr="002E1789">
        <w:rPr>
          <w:rFonts w:ascii="Calibri" w:hAnsi="Calibri" w:cs="Calibri"/>
          <w:noProof/>
        </w:rPr>
        <w:tab/>
        <w:t xml:space="preserve">W. L. Pillinger, J. J. Hentges, and J. A. Blair, “Tritium decay energy,” </w:t>
      </w:r>
      <w:r w:rsidRPr="002E1789">
        <w:rPr>
          <w:rFonts w:ascii="Calibri" w:hAnsi="Calibri" w:cs="Calibri"/>
          <w:i/>
          <w:iCs/>
          <w:noProof/>
        </w:rPr>
        <w:t>Phys. Rev.</w:t>
      </w:r>
      <w:r w:rsidRPr="002E1789">
        <w:rPr>
          <w:rFonts w:ascii="Calibri" w:hAnsi="Calibri" w:cs="Calibri"/>
          <w:noProof/>
        </w:rPr>
        <w:t>, vol. 121, no. 1, pp. 232–233, 1961.</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[29]</w:t>
      </w:r>
      <w:r w:rsidRPr="002E1789">
        <w:rPr>
          <w:rFonts w:ascii="Calibri" w:hAnsi="Calibri" w:cs="Calibri"/>
          <w:noProof/>
        </w:rPr>
        <w:tab/>
        <w:t xml:space="preserve">D. Stork </w:t>
      </w:r>
      <w:r w:rsidRPr="002E1789">
        <w:rPr>
          <w:rFonts w:ascii="Calibri" w:hAnsi="Calibri" w:cs="Calibri"/>
          <w:i/>
          <w:iCs/>
          <w:noProof/>
        </w:rPr>
        <w:t>et al.</w:t>
      </w:r>
      <w:r w:rsidRPr="002E1789">
        <w:rPr>
          <w:rFonts w:ascii="Calibri" w:hAnsi="Calibri" w:cs="Calibri"/>
          <w:noProof/>
        </w:rPr>
        <w:t xml:space="preserve">, “Materials R&amp;D for a timely DEMO: Key findings and recommendations of the EU Roadmap Materials Assessment Group,” </w:t>
      </w:r>
      <w:r w:rsidRPr="002E1789">
        <w:rPr>
          <w:rFonts w:ascii="Calibri" w:hAnsi="Calibri" w:cs="Calibri"/>
          <w:i/>
          <w:iCs/>
          <w:noProof/>
        </w:rPr>
        <w:t>Fusion Eng. Des.</w:t>
      </w:r>
      <w:r w:rsidRPr="002E1789">
        <w:rPr>
          <w:rFonts w:ascii="Calibri" w:hAnsi="Calibri" w:cs="Calibri"/>
          <w:noProof/>
        </w:rPr>
        <w:t>, vol. 89, no. 7–8, pp. 1586–1594, 2014.</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[30]</w:t>
      </w:r>
      <w:r w:rsidRPr="002E1789">
        <w:rPr>
          <w:rFonts w:ascii="Calibri" w:hAnsi="Calibri" w:cs="Calibri"/>
          <w:noProof/>
        </w:rPr>
        <w:tab/>
        <w:t>C. Linsmeier, “Advanced first wall and heat sink materials,” California, 2012.</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[31]</w:t>
      </w:r>
      <w:r w:rsidRPr="002E1789">
        <w:rPr>
          <w:rFonts w:ascii="Calibri" w:hAnsi="Calibri" w:cs="Calibri"/>
          <w:noProof/>
        </w:rPr>
        <w:tab/>
        <w:t>D. Perrault, “Nuclear fusion reactors - safety and radiation protection considerations for demonstration reactors that follow the ITER facility,” Paris, 2017.</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[32]</w:t>
      </w:r>
      <w:r w:rsidRPr="002E1789">
        <w:rPr>
          <w:rFonts w:ascii="Calibri" w:hAnsi="Calibri" w:cs="Calibri"/>
          <w:noProof/>
        </w:rPr>
        <w:tab/>
        <w:t xml:space="preserve">M. Coleman </w:t>
      </w:r>
      <w:r w:rsidRPr="002E1789">
        <w:rPr>
          <w:rFonts w:ascii="Calibri" w:hAnsi="Calibri" w:cs="Calibri"/>
          <w:i/>
          <w:iCs/>
          <w:noProof/>
        </w:rPr>
        <w:t>et al.</w:t>
      </w:r>
      <w:r w:rsidRPr="002E1789">
        <w:rPr>
          <w:rFonts w:ascii="Calibri" w:hAnsi="Calibri" w:cs="Calibri"/>
          <w:noProof/>
        </w:rPr>
        <w:t xml:space="preserve">, “Concept for a vertical maintenance remote handling system for multi module blanket segments in DEMO,” </w:t>
      </w:r>
      <w:r w:rsidRPr="002E1789">
        <w:rPr>
          <w:rFonts w:ascii="Calibri" w:hAnsi="Calibri" w:cs="Calibri"/>
          <w:i/>
          <w:iCs/>
          <w:noProof/>
        </w:rPr>
        <w:t>Fusion Eng. Des.</w:t>
      </w:r>
      <w:r w:rsidRPr="002E1789">
        <w:rPr>
          <w:rFonts w:ascii="Calibri" w:hAnsi="Calibri" w:cs="Calibri"/>
          <w:noProof/>
        </w:rPr>
        <w:t>, vol. 89, no. 9–10, pp. 2347–2351, 2014.</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[33]</w:t>
      </w:r>
      <w:r w:rsidRPr="002E1789">
        <w:rPr>
          <w:rFonts w:ascii="Calibri" w:hAnsi="Calibri" w:cs="Calibri"/>
          <w:noProof/>
        </w:rPr>
        <w:tab/>
        <w:t xml:space="preserve">Y. Someya </w:t>
      </w:r>
      <w:r w:rsidRPr="002E1789">
        <w:rPr>
          <w:rFonts w:ascii="Calibri" w:hAnsi="Calibri" w:cs="Calibri"/>
          <w:i/>
          <w:iCs/>
          <w:noProof/>
        </w:rPr>
        <w:t>et al.</w:t>
      </w:r>
      <w:r w:rsidRPr="002E1789">
        <w:rPr>
          <w:rFonts w:ascii="Calibri" w:hAnsi="Calibri" w:cs="Calibri"/>
          <w:noProof/>
        </w:rPr>
        <w:t xml:space="preserve">, “Waste management scenario in the hot cell and waste storage for DEMO,” </w:t>
      </w:r>
      <w:r w:rsidRPr="002E1789">
        <w:rPr>
          <w:rFonts w:ascii="Calibri" w:hAnsi="Calibri" w:cs="Calibri"/>
          <w:i/>
          <w:iCs/>
          <w:noProof/>
        </w:rPr>
        <w:t>Fusion Eng. Des.</w:t>
      </w:r>
      <w:r w:rsidRPr="002E1789">
        <w:rPr>
          <w:rFonts w:ascii="Calibri" w:hAnsi="Calibri" w:cs="Calibri"/>
          <w:noProof/>
        </w:rPr>
        <w:t>, vol. 89, pp. 2033–2037, 2014.</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lastRenderedPageBreak/>
        <w:t>[34]</w:t>
      </w:r>
      <w:r w:rsidRPr="002E1789">
        <w:rPr>
          <w:rFonts w:ascii="Calibri" w:hAnsi="Calibri" w:cs="Calibri"/>
          <w:noProof/>
        </w:rPr>
        <w:tab/>
        <w:t>K. Tobita, “Reconsideration of tokamak DEMO concept based on the latest design study,” California, 2012.</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[35]</w:t>
      </w:r>
      <w:r w:rsidRPr="002E1789">
        <w:rPr>
          <w:rFonts w:ascii="Calibri" w:hAnsi="Calibri" w:cs="Calibri"/>
          <w:noProof/>
        </w:rPr>
        <w:tab/>
        <w:t xml:space="preserve">B. J. Merrill, C. P. C. Wong, L. C. Cadwallader, M. Abdou, and N. B. Morley, “Normal operation and maintenance safety lessons from the ITER US PbLi test blanket module program for a US FNSF and DEMO,” </w:t>
      </w:r>
      <w:r w:rsidRPr="002E1789">
        <w:rPr>
          <w:rFonts w:ascii="Calibri" w:hAnsi="Calibri" w:cs="Calibri"/>
          <w:i/>
          <w:iCs/>
          <w:noProof/>
        </w:rPr>
        <w:t>Fusion Eng. Des.</w:t>
      </w:r>
      <w:r w:rsidRPr="002E1789">
        <w:rPr>
          <w:rFonts w:ascii="Calibri" w:hAnsi="Calibri" w:cs="Calibri"/>
          <w:noProof/>
        </w:rPr>
        <w:t>, vol. 89, 2014.</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[36]</w:t>
      </w:r>
      <w:r w:rsidRPr="002E1789">
        <w:rPr>
          <w:rFonts w:ascii="Calibri" w:hAnsi="Calibri" w:cs="Calibri"/>
          <w:noProof/>
        </w:rPr>
        <w:tab/>
        <w:t xml:space="preserve">D. A. Petti </w:t>
      </w:r>
      <w:r w:rsidRPr="002E1789">
        <w:rPr>
          <w:rFonts w:ascii="Calibri" w:hAnsi="Calibri" w:cs="Calibri"/>
          <w:i/>
          <w:iCs/>
          <w:noProof/>
        </w:rPr>
        <w:t>et al.</w:t>
      </w:r>
      <w:r w:rsidRPr="002E1789">
        <w:rPr>
          <w:rFonts w:ascii="Calibri" w:hAnsi="Calibri" w:cs="Calibri"/>
          <w:noProof/>
        </w:rPr>
        <w:t xml:space="preserve">, “ARIES-AT safety design and analysis,” </w:t>
      </w:r>
      <w:r w:rsidRPr="002E1789">
        <w:rPr>
          <w:rFonts w:ascii="Calibri" w:hAnsi="Calibri" w:cs="Calibri"/>
          <w:i/>
          <w:iCs/>
          <w:noProof/>
        </w:rPr>
        <w:t>Fusion Eng. Des.</w:t>
      </w:r>
      <w:r w:rsidRPr="002E1789">
        <w:rPr>
          <w:rFonts w:ascii="Calibri" w:hAnsi="Calibri" w:cs="Calibri"/>
          <w:noProof/>
        </w:rPr>
        <w:t>, vol. 80, no. 1–4, pp. 111–137, 2006.</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[37]</w:t>
      </w:r>
      <w:r w:rsidRPr="002E1789">
        <w:rPr>
          <w:rFonts w:ascii="Calibri" w:hAnsi="Calibri" w:cs="Calibri"/>
          <w:noProof/>
        </w:rPr>
        <w:tab/>
        <w:t xml:space="preserve">Y. Wu </w:t>
      </w:r>
      <w:r w:rsidRPr="002E1789">
        <w:rPr>
          <w:rFonts w:ascii="Calibri" w:hAnsi="Calibri" w:cs="Calibri"/>
          <w:i/>
          <w:iCs/>
          <w:noProof/>
        </w:rPr>
        <w:t>et al.</w:t>
      </w:r>
      <w:r w:rsidRPr="002E1789">
        <w:rPr>
          <w:rFonts w:ascii="Calibri" w:hAnsi="Calibri" w:cs="Calibri"/>
          <w:noProof/>
        </w:rPr>
        <w:t xml:space="preserve">, “Identification of safety gaps for fusion demonstration reactors,” </w:t>
      </w:r>
      <w:r w:rsidRPr="002E1789">
        <w:rPr>
          <w:rFonts w:ascii="Calibri" w:hAnsi="Calibri" w:cs="Calibri"/>
          <w:i/>
          <w:iCs/>
          <w:noProof/>
        </w:rPr>
        <w:t>Nat. Energy</w:t>
      </w:r>
      <w:r w:rsidRPr="002E1789">
        <w:rPr>
          <w:rFonts w:ascii="Calibri" w:hAnsi="Calibri" w:cs="Calibri"/>
          <w:noProof/>
        </w:rPr>
        <w:t>, vol. 1, no. 12, 2016.</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[38]</w:t>
      </w:r>
      <w:r w:rsidRPr="002E1789">
        <w:rPr>
          <w:rFonts w:ascii="Calibri" w:hAnsi="Calibri" w:cs="Calibri"/>
          <w:noProof/>
        </w:rPr>
        <w:tab/>
        <w:t xml:space="preserve">X. Z. Jin, “Preliminary safety analysis of LOCAs in one EU DEMO HCPB blanket module,” </w:t>
      </w:r>
      <w:r w:rsidRPr="002E1789">
        <w:rPr>
          <w:rFonts w:ascii="Calibri" w:hAnsi="Calibri" w:cs="Calibri"/>
          <w:i/>
          <w:iCs/>
          <w:noProof/>
        </w:rPr>
        <w:t>Fusion Eng. Des.</w:t>
      </w:r>
      <w:r w:rsidRPr="002E1789">
        <w:rPr>
          <w:rFonts w:ascii="Calibri" w:hAnsi="Calibri" w:cs="Calibri"/>
          <w:noProof/>
        </w:rPr>
        <w:t>, vol. 124, pp. 1233–1236, 2017.</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[39]</w:t>
      </w:r>
      <w:r w:rsidRPr="002E1789">
        <w:rPr>
          <w:rFonts w:ascii="Calibri" w:hAnsi="Calibri" w:cs="Calibri"/>
          <w:noProof/>
        </w:rPr>
        <w:tab/>
        <w:t xml:space="preserve">N. Taylor </w:t>
      </w:r>
      <w:r w:rsidRPr="002E1789">
        <w:rPr>
          <w:rFonts w:ascii="Calibri" w:hAnsi="Calibri" w:cs="Calibri"/>
          <w:i/>
          <w:iCs/>
          <w:noProof/>
        </w:rPr>
        <w:t>et al.</w:t>
      </w:r>
      <w:r w:rsidRPr="002E1789">
        <w:rPr>
          <w:rFonts w:ascii="Calibri" w:hAnsi="Calibri" w:cs="Calibri"/>
          <w:noProof/>
        </w:rPr>
        <w:t xml:space="preserve">, “Preliminary safety analysis of iter,” </w:t>
      </w:r>
      <w:r w:rsidRPr="002E1789">
        <w:rPr>
          <w:rFonts w:ascii="Calibri" w:hAnsi="Calibri" w:cs="Calibri"/>
          <w:i/>
          <w:iCs/>
          <w:noProof/>
        </w:rPr>
        <w:t>Fusion Sci. Technol.</w:t>
      </w:r>
      <w:r w:rsidRPr="002E1789">
        <w:rPr>
          <w:rFonts w:ascii="Calibri" w:hAnsi="Calibri" w:cs="Calibri"/>
          <w:noProof/>
        </w:rPr>
        <w:t>, vol. 56, no. 2, pp. 573–580, 2009.</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[40]</w:t>
      </w:r>
      <w:r w:rsidRPr="002E1789">
        <w:rPr>
          <w:rFonts w:ascii="Calibri" w:hAnsi="Calibri" w:cs="Calibri"/>
          <w:noProof/>
        </w:rPr>
        <w:tab/>
        <w:t>Autorité de sûreté nucléaire, “Fundamental safety rule RFS 2001-01 concerning seismic risk assessment for basic nuclear installations,” 2001.</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[41]</w:t>
      </w:r>
      <w:r w:rsidRPr="002E1789">
        <w:rPr>
          <w:rFonts w:ascii="Calibri" w:hAnsi="Calibri" w:cs="Calibri"/>
          <w:noProof/>
        </w:rPr>
        <w:tab/>
        <w:t xml:space="preserve">T. Pinna, J. Izquierdo, M. T. Porfiri, and J. Dies, “Fusion component failure rate database (FCFR-DB),” </w:t>
      </w:r>
      <w:r w:rsidRPr="002E1789">
        <w:rPr>
          <w:rFonts w:ascii="Calibri" w:hAnsi="Calibri" w:cs="Calibri"/>
          <w:i/>
          <w:iCs/>
          <w:noProof/>
        </w:rPr>
        <w:t>Fusion Eng. Des.</w:t>
      </w:r>
      <w:r w:rsidRPr="002E1789">
        <w:rPr>
          <w:rFonts w:ascii="Calibri" w:hAnsi="Calibri" w:cs="Calibri"/>
          <w:noProof/>
        </w:rPr>
        <w:t>, vol. 81, no. 8-14 PART B, pp. 1391–1395, 2006.</w:t>
      </w:r>
    </w:p>
    <w:p w:rsidR="002E1789" w:rsidRPr="002E1789" w:rsidRDefault="002E1789" w:rsidP="002E1789">
      <w:pPr>
        <w:widowControl w:val="0"/>
        <w:autoSpaceDE w:val="0"/>
        <w:autoSpaceDN w:val="0"/>
        <w:adjustRightInd w:val="0"/>
        <w:ind w:left="640" w:hanging="640"/>
        <w:rPr>
          <w:rFonts w:ascii="Calibri" w:hAnsi="Calibri" w:cs="Calibri"/>
          <w:noProof/>
        </w:rPr>
      </w:pPr>
      <w:r w:rsidRPr="002E1789">
        <w:rPr>
          <w:rFonts w:ascii="Calibri" w:hAnsi="Calibri" w:cs="Calibri"/>
          <w:noProof/>
        </w:rPr>
        <w:t>[42]</w:t>
      </w:r>
      <w:r w:rsidRPr="002E1789">
        <w:rPr>
          <w:rFonts w:ascii="Calibri" w:hAnsi="Calibri" w:cs="Calibri"/>
          <w:noProof/>
        </w:rPr>
        <w:tab/>
        <w:t xml:space="preserve">D. Perrault, “Safety issues to be taken into account in designing future nuclear fusion facilities,” </w:t>
      </w:r>
      <w:r w:rsidRPr="002E1789">
        <w:rPr>
          <w:rFonts w:ascii="Calibri" w:hAnsi="Calibri" w:cs="Calibri"/>
          <w:i/>
          <w:iCs/>
          <w:noProof/>
        </w:rPr>
        <w:t>Fusion Eng. Des.</w:t>
      </w:r>
      <w:r w:rsidRPr="002E1789">
        <w:rPr>
          <w:rFonts w:ascii="Calibri" w:hAnsi="Calibri" w:cs="Calibri"/>
          <w:noProof/>
        </w:rPr>
        <w:t>, vol. 109–111, pp. 1733–1738, 2016.</w:t>
      </w:r>
    </w:p>
    <w:p w:rsidR="008E252B" w:rsidRPr="00F75BC5" w:rsidRDefault="00F75BC5" w:rsidP="002E1789">
      <w:pPr>
        <w:widowControl w:val="0"/>
        <w:autoSpaceDE w:val="0"/>
        <w:autoSpaceDN w:val="0"/>
        <w:adjustRightInd w:val="0"/>
        <w:ind w:left="640" w:hanging="640"/>
        <w:rPr>
          <w:rFonts w:ascii="Calibri" w:hAnsi="Calibri" w:cs="Calibri"/>
        </w:rPr>
      </w:pPr>
      <w:r>
        <w:rPr>
          <w:rFonts w:ascii="Calibri" w:hAnsi="Calibri" w:cs="Calibri"/>
        </w:rPr>
        <w:fldChar w:fldCharType="end"/>
      </w:r>
    </w:p>
    <w:p w:rsidR="003D122A" w:rsidRDefault="003D122A" w:rsidP="00ED0F2E">
      <w:pPr>
        <w:rPr>
          <w:rFonts w:ascii="Calibri" w:hAnsi="Calibri" w:cs="Calibri"/>
        </w:rPr>
      </w:pPr>
    </w:p>
    <w:p w:rsidR="004C39B7" w:rsidRDefault="004C39B7" w:rsidP="00ED0F2E">
      <w:pPr>
        <w:rPr>
          <w:rFonts w:ascii="Calibri" w:hAnsi="Calibri" w:cs="Calibri"/>
          <w:b/>
        </w:rPr>
      </w:pPr>
    </w:p>
    <w:p w:rsidR="00242542" w:rsidRDefault="00242542" w:rsidP="00ED0F2E">
      <w:pPr>
        <w:rPr>
          <w:rFonts w:ascii="Calibri" w:hAnsi="Calibri" w:cs="Calibri"/>
          <w:b/>
        </w:rPr>
      </w:pPr>
    </w:p>
    <w:p w:rsidR="00242542" w:rsidRDefault="00242542" w:rsidP="00ED0F2E">
      <w:pPr>
        <w:rPr>
          <w:rFonts w:ascii="Calibri" w:hAnsi="Calibri" w:cs="Calibri"/>
          <w:b/>
        </w:rPr>
      </w:pPr>
    </w:p>
    <w:p w:rsidR="00242542" w:rsidRDefault="00242542" w:rsidP="00ED0F2E">
      <w:pPr>
        <w:rPr>
          <w:rFonts w:ascii="Calibri" w:hAnsi="Calibri" w:cs="Calibri"/>
          <w:b/>
        </w:rPr>
      </w:pPr>
    </w:p>
    <w:p w:rsidR="00C21B99" w:rsidRDefault="00C21B99" w:rsidP="00ED0F2E">
      <w:pPr>
        <w:rPr>
          <w:rFonts w:ascii="Calibri" w:hAnsi="Calibri" w:cs="Calibri"/>
        </w:rPr>
      </w:pPr>
    </w:p>
    <w:sectPr w:rsidR="00C21B99" w:rsidSect="00B0208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417FAB"/>
    <w:multiLevelType w:val="hybridMultilevel"/>
    <w:tmpl w:val="3BACC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8C6784"/>
    <w:multiLevelType w:val="multilevel"/>
    <w:tmpl w:val="10BA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9A44B91"/>
    <w:multiLevelType w:val="hybridMultilevel"/>
    <w:tmpl w:val="95C06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E02DD7"/>
    <w:multiLevelType w:val="hybridMultilevel"/>
    <w:tmpl w:val="BE2E6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D61C14"/>
    <w:multiLevelType w:val="multilevel"/>
    <w:tmpl w:val="A59CCC10"/>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EAE5978"/>
    <w:multiLevelType w:val="multilevel"/>
    <w:tmpl w:val="524A4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F2E"/>
    <w:rsid w:val="0000000B"/>
    <w:rsid w:val="00000C83"/>
    <w:rsid w:val="000011D7"/>
    <w:rsid w:val="00001776"/>
    <w:rsid w:val="000029C4"/>
    <w:rsid w:val="00002BA2"/>
    <w:rsid w:val="00003BB2"/>
    <w:rsid w:val="00003D1D"/>
    <w:rsid w:val="0000464F"/>
    <w:rsid w:val="000056F5"/>
    <w:rsid w:val="0001064A"/>
    <w:rsid w:val="00010916"/>
    <w:rsid w:val="000115E2"/>
    <w:rsid w:val="0001230E"/>
    <w:rsid w:val="00013439"/>
    <w:rsid w:val="0001375A"/>
    <w:rsid w:val="00017E74"/>
    <w:rsid w:val="00020274"/>
    <w:rsid w:val="000212BE"/>
    <w:rsid w:val="00022265"/>
    <w:rsid w:val="00022E36"/>
    <w:rsid w:val="00022EE2"/>
    <w:rsid w:val="0002411A"/>
    <w:rsid w:val="000260C9"/>
    <w:rsid w:val="00027117"/>
    <w:rsid w:val="00030D22"/>
    <w:rsid w:val="000328E1"/>
    <w:rsid w:val="00033B54"/>
    <w:rsid w:val="00034CAC"/>
    <w:rsid w:val="00035013"/>
    <w:rsid w:val="00036723"/>
    <w:rsid w:val="00041AFB"/>
    <w:rsid w:val="000437F8"/>
    <w:rsid w:val="000441DD"/>
    <w:rsid w:val="0004486D"/>
    <w:rsid w:val="000467C0"/>
    <w:rsid w:val="00047229"/>
    <w:rsid w:val="00050BBA"/>
    <w:rsid w:val="00052BDF"/>
    <w:rsid w:val="00055193"/>
    <w:rsid w:val="0005600E"/>
    <w:rsid w:val="00056DFC"/>
    <w:rsid w:val="00057D62"/>
    <w:rsid w:val="0006057A"/>
    <w:rsid w:val="00060C17"/>
    <w:rsid w:val="00062591"/>
    <w:rsid w:val="000634D6"/>
    <w:rsid w:val="0007495B"/>
    <w:rsid w:val="00077ECF"/>
    <w:rsid w:val="0008008B"/>
    <w:rsid w:val="000802E8"/>
    <w:rsid w:val="0008097E"/>
    <w:rsid w:val="00081342"/>
    <w:rsid w:val="00082367"/>
    <w:rsid w:val="0008379B"/>
    <w:rsid w:val="00084668"/>
    <w:rsid w:val="000850F8"/>
    <w:rsid w:val="00086977"/>
    <w:rsid w:val="00086D99"/>
    <w:rsid w:val="00087091"/>
    <w:rsid w:val="00087229"/>
    <w:rsid w:val="00087EA4"/>
    <w:rsid w:val="0009004B"/>
    <w:rsid w:val="00091B7C"/>
    <w:rsid w:val="00092B25"/>
    <w:rsid w:val="00092C7A"/>
    <w:rsid w:val="00094992"/>
    <w:rsid w:val="00096D78"/>
    <w:rsid w:val="000B0C14"/>
    <w:rsid w:val="000B3FDA"/>
    <w:rsid w:val="000B430E"/>
    <w:rsid w:val="000B6976"/>
    <w:rsid w:val="000B7334"/>
    <w:rsid w:val="000B73F5"/>
    <w:rsid w:val="000C424B"/>
    <w:rsid w:val="000C6C94"/>
    <w:rsid w:val="000D040E"/>
    <w:rsid w:val="000D1D67"/>
    <w:rsid w:val="000D4D51"/>
    <w:rsid w:val="000D5E6C"/>
    <w:rsid w:val="000D60D8"/>
    <w:rsid w:val="000D626B"/>
    <w:rsid w:val="000D66B6"/>
    <w:rsid w:val="000D74EA"/>
    <w:rsid w:val="000E2607"/>
    <w:rsid w:val="000E30C8"/>
    <w:rsid w:val="000E3777"/>
    <w:rsid w:val="000E537B"/>
    <w:rsid w:val="000E6992"/>
    <w:rsid w:val="000F031E"/>
    <w:rsid w:val="000F0EE4"/>
    <w:rsid w:val="000F5827"/>
    <w:rsid w:val="000F6E82"/>
    <w:rsid w:val="000F7281"/>
    <w:rsid w:val="000F7C3A"/>
    <w:rsid w:val="00103D7A"/>
    <w:rsid w:val="0010497F"/>
    <w:rsid w:val="00104CAD"/>
    <w:rsid w:val="00106219"/>
    <w:rsid w:val="00106769"/>
    <w:rsid w:val="001109C9"/>
    <w:rsid w:val="00112F48"/>
    <w:rsid w:val="00114A57"/>
    <w:rsid w:val="00121534"/>
    <w:rsid w:val="001226BB"/>
    <w:rsid w:val="001228E6"/>
    <w:rsid w:val="00122AC6"/>
    <w:rsid w:val="001237B3"/>
    <w:rsid w:val="00125403"/>
    <w:rsid w:val="00126998"/>
    <w:rsid w:val="001306A3"/>
    <w:rsid w:val="00132836"/>
    <w:rsid w:val="0013556A"/>
    <w:rsid w:val="00135C0A"/>
    <w:rsid w:val="00141380"/>
    <w:rsid w:val="00143A48"/>
    <w:rsid w:val="00144DF5"/>
    <w:rsid w:val="00144DFC"/>
    <w:rsid w:val="00147D3A"/>
    <w:rsid w:val="001502B1"/>
    <w:rsid w:val="00150483"/>
    <w:rsid w:val="00152C80"/>
    <w:rsid w:val="0015327C"/>
    <w:rsid w:val="00153687"/>
    <w:rsid w:val="00154555"/>
    <w:rsid w:val="00156446"/>
    <w:rsid w:val="00160A0D"/>
    <w:rsid w:val="00161823"/>
    <w:rsid w:val="00162CC4"/>
    <w:rsid w:val="001634CD"/>
    <w:rsid w:val="001703F9"/>
    <w:rsid w:val="001725FB"/>
    <w:rsid w:val="0017290D"/>
    <w:rsid w:val="00177009"/>
    <w:rsid w:val="00177015"/>
    <w:rsid w:val="001774E5"/>
    <w:rsid w:val="00182E61"/>
    <w:rsid w:val="00184C3A"/>
    <w:rsid w:val="00185469"/>
    <w:rsid w:val="001858D4"/>
    <w:rsid w:val="00186953"/>
    <w:rsid w:val="00186F12"/>
    <w:rsid w:val="00187C61"/>
    <w:rsid w:val="00190F97"/>
    <w:rsid w:val="00191FB5"/>
    <w:rsid w:val="0019453E"/>
    <w:rsid w:val="001954B5"/>
    <w:rsid w:val="00195570"/>
    <w:rsid w:val="001A20EC"/>
    <w:rsid w:val="001A3467"/>
    <w:rsid w:val="001A41AD"/>
    <w:rsid w:val="001A6A5B"/>
    <w:rsid w:val="001A6A87"/>
    <w:rsid w:val="001B0C66"/>
    <w:rsid w:val="001B5974"/>
    <w:rsid w:val="001C2A8D"/>
    <w:rsid w:val="001C342F"/>
    <w:rsid w:val="001C4849"/>
    <w:rsid w:val="001C4E17"/>
    <w:rsid w:val="001C5739"/>
    <w:rsid w:val="001D0DF1"/>
    <w:rsid w:val="001D1D08"/>
    <w:rsid w:val="001D2638"/>
    <w:rsid w:val="001D35E2"/>
    <w:rsid w:val="001D3985"/>
    <w:rsid w:val="001D45B4"/>
    <w:rsid w:val="001D4968"/>
    <w:rsid w:val="001D7F16"/>
    <w:rsid w:val="001E0746"/>
    <w:rsid w:val="001E26C6"/>
    <w:rsid w:val="001E2D4F"/>
    <w:rsid w:val="001E3079"/>
    <w:rsid w:val="001E6E8F"/>
    <w:rsid w:val="001E7501"/>
    <w:rsid w:val="001F00C1"/>
    <w:rsid w:val="001F5150"/>
    <w:rsid w:val="001F6DA7"/>
    <w:rsid w:val="001F77DF"/>
    <w:rsid w:val="00204B20"/>
    <w:rsid w:val="00207F7E"/>
    <w:rsid w:val="00207FC0"/>
    <w:rsid w:val="00214741"/>
    <w:rsid w:val="00214EC8"/>
    <w:rsid w:val="00216D9A"/>
    <w:rsid w:val="00221BF3"/>
    <w:rsid w:val="00222B40"/>
    <w:rsid w:val="00222B78"/>
    <w:rsid w:val="00223B3E"/>
    <w:rsid w:val="0023160E"/>
    <w:rsid w:val="00233203"/>
    <w:rsid w:val="00233A06"/>
    <w:rsid w:val="00233DD2"/>
    <w:rsid w:val="00234DDF"/>
    <w:rsid w:val="002372B7"/>
    <w:rsid w:val="00237FD4"/>
    <w:rsid w:val="002421FA"/>
    <w:rsid w:val="00242542"/>
    <w:rsid w:val="00244AD9"/>
    <w:rsid w:val="00246020"/>
    <w:rsid w:val="00252204"/>
    <w:rsid w:val="0025334C"/>
    <w:rsid w:val="00255F4A"/>
    <w:rsid w:val="002561D5"/>
    <w:rsid w:val="00256AAB"/>
    <w:rsid w:val="00257673"/>
    <w:rsid w:val="0026155E"/>
    <w:rsid w:val="0026175D"/>
    <w:rsid w:val="002626D6"/>
    <w:rsid w:val="00262D55"/>
    <w:rsid w:val="002641E7"/>
    <w:rsid w:val="00264F81"/>
    <w:rsid w:val="00264FC2"/>
    <w:rsid w:val="00265557"/>
    <w:rsid w:val="00265F05"/>
    <w:rsid w:val="00267022"/>
    <w:rsid w:val="00267971"/>
    <w:rsid w:val="00267C7F"/>
    <w:rsid w:val="00273020"/>
    <w:rsid w:val="00274360"/>
    <w:rsid w:val="00280703"/>
    <w:rsid w:val="00280E3E"/>
    <w:rsid w:val="00283D49"/>
    <w:rsid w:val="002859E3"/>
    <w:rsid w:val="00285CD0"/>
    <w:rsid w:val="00286171"/>
    <w:rsid w:val="0029392E"/>
    <w:rsid w:val="00294687"/>
    <w:rsid w:val="00297CE3"/>
    <w:rsid w:val="00297DC2"/>
    <w:rsid w:val="002A1A54"/>
    <w:rsid w:val="002A24E6"/>
    <w:rsid w:val="002A308A"/>
    <w:rsid w:val="002A3307"/>
    <w:rsid w:val="002A38FE"/>
    <w:rsid w:val="002A52FC"/>
    <w:rsid w:val="002B2B45"/>
    <w:rsid w:val="002B374C"/>
    <w:rsid w:val="002B3A7C"/>
    <w:rsid w:val="002B4789"/>
    <w:rsid w:val="002B6CBF"/>
    <w:rsid w:val="002C0692"/>
    <w:rsid w:val="002C1762"/>
    <w:rsid w:val="002C1DC8"/>
    <w:rsid w:val="002C5834"/>
    <w:rsid w:val="002C637E"/>
    <w:rsid w:val="002C66F5"/>
    <w:rsid w:val="002C6ED1"/>
    <w:rsid w:val="002C7580"/>
    <w:rsid w:val="002D3488"/>
    <w:rsid w:val="002D7B4C"/>
    <w:rsid w:val="002E0B91"/>
    <w:rsid w:val="002E1789"/>
    <w:rsid w:val="002E1E2D"/>
    <w:rsid w:val="002E316B"/>
    <w:rsid w:val="002E3471"/>
    <w:rsid w:val="002E36AF"/>
    <w:rsid w:val="002E75A9"/>
    <w:rsid w:val="002E7EC9"/>
    <w:rsid w:val="002F14C4"/>
    <w:rsid w:val="002F1E46"/>
    <w:rsid w:val="002F2606"/>
    <w:rsid w:val="002F3735"/>
    <w:rsid w:val="002F3745"/>
    <w:rsid w:val="002F56FA"/>
    <w:rsid w:val="002F5F63"/>
    <w:rsid w:val="002F6BFD"/>
    <w:rsid w:val="002F6D40"/>
    <w:rsid w:val="00304FD8"/>
    <w:rsid w:val="00305DAF"/>
    <w:rsid w:val="00312CBD"/>
    <w:rsid w:val="003132E1"/>
    <w:rsid w:val="00314BAB"/>
    <w:rsid w:val="00314BB4"/>
    <w:rsid w:val="0031549A"/>
    <w:rsid w:val="0032251E"/>
    <w:rsid w:val="0032300E"/>
    <w:rsid w:val="00324953"/>
    <w:rsid w:val="00325284"/>
    <w:rsid w:val="00327691"/>
    <w:rsid w:val="00330899"/>
    <w:rsid w:val="00331BD7"/>
    <w:rsid w:val="00332BE0"/>
    <w:rsid w:val="00333251"/>
    <w:rsid w:val="003342C2"/>
    <w:rsid w:val="00334A52"/>
    <w:rsid w:val="0033557B"/>
    <w:rsid w:val="00335D1A"/>
    <w:rsid w:val="00335F35"/>
    <w:rsid w:val="003361A0"/>
    <w:rsid w:val="003370B0"/>
    <w:rsid w:val="0033739E"/>
    <w:rsid w:val="00337A6B"/>
    <w:rsid w:val="003403FF"/>
    <w:rsid w:val="00342159"/>
    <w:rsid w:val="00343345"/>
    <w:rsid w:val="00343B56"/>
    <w:rsid w:val="003473B4"/>
    <w:rsid w:val="00347585"/>
    <w:rsid w:val="00347589"/>
    <w:rsid w:val="00350B7B"/>
    <w:rsid w:val="00351456"/>
    <w:rsid w:val="0035204C"/>
    <w:rsid w:val="0035307F"/>
    <w:rsid w:val="00354C94"/>
    <w:rsid w:val="003552E7"/>
    <w:rsid w:val="0035533E"/>
    <w:rsid w:val="0035665C"/>
    <w:rsid w:val="003569F1"/>
    <w:rsid w:val="00356F77"/>
    <w:rsid w:val="00361716"/>
    <w:rsid w:val="00361901"/>
    <w:rsid w:val="0036363A"/>
    <w:rsid w:val="00363ED0"/>
    <w:rsid w:val="0036430A"/>
    <w:rsid w:val="00364A76"/>
    <w:rsid w:val="00366FF3"/>
    <w:rsid w:val="0037166F"/>
    <w:rsid w:val="003724DB"/>
    <w:rsid w:val="00372917"/>
    <w:rsid w:val="00373BEF"/>
    <w:rsid w:val="00375309"/>
    <w:rsid w:val="0037543F"/>
    <w:rsid w:val="003756D4"/>
    <w:rsid w:val="00376ED3"/>
    <w:rsid w:val="0038032A"/>
    <w:rsid w:val="00380E85"/>
    <w:rsid w:val="0038286F"/>
    <w:rsid w:val="00383E01"/>
    <w:rsid w:val="00386218"/>
    <w:rsid w:val="0038646C"/>
    <w:rsid w:val="003875F8"/>
    <w:rsid w:val="00391F06"/>
    <w:rsid w:val="00394C0A"/>
    <w:rsid w:val="00394E7C"/>
    <w:rsid w:val="0039686F"/>
    <w:rsid w:val="003A0705"/>
    <w:rsid w:val="003A07C7"/>
    <w:rsid w:val="003A12FD"/>
    <w:rsid w:val="003A36C7"/>
    <w:rsid w:val="003A3C39"/>
    <w:rsid w:val="003A6112"/>
    <w:rsid w:val="003B1355"/>
    <w:rsid w:val="003B1981"/>
    <w:rsid w:val="003B294D"/>
    <w:rsid w:val="003B38FA"/>
    <w:rsid w:val="003B4790"/>
    <w:rsid w:val="003B4EB4"/>
    <w:rsid w:val="003B6870"/>
    <w:rsid w:val="003B7467"/>
    <w:rsid w:val="003B752F"/>
    <w:rsid w:val="003B7945"/>
    <w:rsid w:val="003B7B1C"/>
    <w:rsid w:val="003C1769"/>
    <w:rsid w:val="003C328A"/>
    <w:rsid w:val="003C34CE"/>
    <w:rsid w:val="003C3D70"/>
    <w:rsid w:val="003C4FB4"/>
    <w:rsid w:val="003C5102"/>
    <w:rsid w:val="003C5191"/>
    <w:rsid w:val="003C5447"/>
    <w:rsid w:val="003C630D"/>
    <w:rsid w:val="003D122A"/>
    <w:rsid w:val="003D12C2"/>
    <w:rsid w:val="003D170E"/>
    <w:rsid w:val="003D22CD"/>
    <w:rsid w:val="003D5759"/>
    <w:rsid w:val="003E1069"/>
    <w:rsid w:val="003E175D"/>
    <w:rsid w:val="003E3985"/>
    <w:rsid w:val="003E4A71"/>
    <w:rsid w:val="003E7841"/>
    <w:rsid w:val="003E7C03"/>
    <w:rsid w:val="003F0569"/>
    <w:rsid w:val="003F25D4"/>
    <w:rsid w:val="003F38E6"/>
    <w:rsid w:val="0040032F"/>
    <w:rsid w:val="00402888"/>
    <w:rsid w:val="004033B2"/>
    <w:rsid w:val="00405800"/>
    <w:rsid w:val="00410D7D"/>
    <w:rsid w:val="0041193E"/>
    <w:rsid w:val="00412968"/>
    <w:rsid w:val="00413D5D"/>
    <w:rsid w:val="00417A35"/>
    <w:rsid w:val="004226D3"/>
    <w:rsid w:val="0042541A"/>
    <w:rsid w:val="00430B8D"/>
    <w:rsid w:val="00432C1B"/>
    <w:rsid w:val="0043300B"/>
    <w:rsid w:val="00435723"/>
    <w:rsid w:val="00442761"/>
    <w:rsid w:val="004427F3"/>
    <w:rsid w:val="00443BBC"/>
    <w:rsid w:val="00443F1B"/>
    <w:rsid w:val="0044481C"/>
    <w:rsid w:val="00444BBA"/>
    <w:rsid w:val="00446035"/>
    <w:rsid w:val="00446090"/>
    <w:rsid w:val="00446DEC"/>
    <w:rsid w:val="00447E33"/>
    <w:rsid w:val="00450D56"/>
    <w:rsid w:val="00450FE6"/>
    <w:rsid w:val="004510A4"/>
    <w:rsid w:val="0045307E"/>
    <w:rsid w:val="004540CB"/>
    <w:rsid w:val="00455044"/>
    <w:rsid w:val="00455105"/>
    <w:rsid w:val="004559B7"/>
    <w:rsid w:val="00462D4A"/>
    <w:rsid w:val="00467106"/>
    <w:rsid w:val="004671B7"/>
    <w:rsid w:val="00467E4D"/>
    <w:rsid w:val="00470FB7"/>
    <w:rsid w:val="00471854"/>
    <w:rsid w:val="0047194F"/>
    <w:rsid w:val="00472BC3"/>
    <w:rsid w:val="00473AC4"/>
    <w:rsid w:val="00473C89"/>
    <w:rsid w:val="00474F66"/>
    <w:rsid w:val="00477AC5"/>
    <w:rsid w:val="004810FB"/>
    <w:rsid w:val="00483364"/>
    <w:rsid w:val="00483A63"/>
    <w:rsid w:val="00485259"/>
    <w:rsid w:val="00485440"/>
    <w:rsid w:val="0048607B"/>
    <w:rsid w:val="0048731B"/>
    <w:rsid w:val="00491B56"/>
    <w:rsid w:val="004931CC"/>
    <w:rsid w:val="004942ED"/>
    <w:rsid w:val="00495596"/>
    <w:rsid w:val="00495F2B"/>
    <w:rsid w:val="00497909"/>
    <w:rsid w:val="00497A71"/>
    <w:rsid w:val="00497D69"/>
    <w:rsid w:val="004A26E2"/>
    <w:rsid w:val="004A295D"/>
    <w:rsid w:val="004A382D"/>
    <w:rsid w:val="004A3E16"/>
    <w:rsid w:val="004A42B9"/>
    <w:rsid w:val="004A5672"/>
    <w:rsid w:val="004A5EA5"/>
    <w:rsid w:val="004B017B"/>
    <w:rsid w:val="004B0AFA"/>
    <w:rsid w:val="004B0E2A"/>
    <w:rsid w:val="004B34C2"/>
    <w:rsid w:val="004B51C5"/>
    <w:rsid w:val="004B6103"/>
    <w:rsid w:val="004C0C1A"/>
    <w:rsid w:val="004C17BB"/>
    <w:rsid w:val="004C1A7B"/>
    <w:rsid w:val="004C2B98"/>
    <w:rsid w:val="004C2DC2"/>
    <w:rsid w:val="004C39B7"/>
    <w:rsid w:val="004C3A41"/>
    <w:rsid w:val="004C3EB4"/>
    <w:rsid w:val="004C58F0"/>
    <w:rsid w:val="004D305C"/>
    <w:rsid w:val="004D34FB"/>
    <w:rsid w:val="004D385B"/>
    <w:rsid w:val="004D581C"/>
    <w:rsid w:val="004D609A"/>
    <w:rsid w:val="004E1EA3"/>
    <w:rsid w:val="004E318D"/>
    <w:rsid w:val="004E336B"/>
    <w:rsid w:val="004E4A83"/>
    <w:rsid w:val="004F1095"/>
    <w:rsid w:val="004F21EC"/>
    <w:rsid w:val="004F2B8B"/>
    <w:rsid w:val="004F3729"/>
    <w:rsid w:val="004F58FE"/>
    <w:rsid w:val="004F6847"/>
    <w:rsid w:val="004F7304"/>
    <w:rsid w:val="00511D9C"/>
    <w:rsid w:val="00513FDE"/>
    <w:rsid w:val="0051566D"/>
    <w:rsid w:val="00516E20"/>
    <w:rsid w:val="0052012D"/>
    <w:rsid w:val="00521138"/>
    <w:rsid w:val="0052687F"/>
    <w:rsid w:val="0052734B"/>
    <w:rsid w:val="0053001F"/>
    <w:rsid w:val="00534FA3"/>
    <w:rsid w:val="0053502D"/>
    <w:rsid w:val="00535232"/>
    <w:rsid w:val="00536111"/>
    <w:rsid w:val="005401A2"/>
    <w:rsid w:val="00540322"/>
    <w:rsid w:val="00541BDF"/>
    <w:rsid w:val="00542A3C"/>
    <w:rsid w:val="00542C58"/>
    <w:rsid w:val="00542E74"/>
    <w:rsid w:val="00544124"/>
    <w:rsid w:val="00545CE4"/>
    <w:rsid w:val="0054671F"/>
    <w:rsid w:val="00546772"/>
    <w:rsid w:val="00546D90"/>
    <w:rsid w:val="005555C0"/>
    <w:rsid w:val="00556F18"/>
    <w:rsid w:val="005574FE"/>
    <w:rsid w:val="005620E8"/>
    <w:rsid w:val="00567466"/>
    <w:rsid w:val="00580287"/>
    <w:rsid w:val="00581D39"/>
    <w:rsid w:val="00581E68"/>
    <w:rsid w:val="00583DB1"/>
    <w:rsid w:val="0058586A"/>
    <w:rsid w:val="005858D6"/>
    <w:rsid w:val="0058621A"/>
    <w:rsid w:val="00587EE9"/>
    <w:rsid w:val="005907A4"/>
    <w:rsid w:val="005908A0"/>
    <w:rsid w:val="00593990"/>
    <w:rsid w:val="00595150"/>
    <w:rsid w:val="00595B71"/>
    <w:rsid w:val="00595C64"/>
    <w:rsid w:val="005970E0"/>
    <w:rsid w:val="00597966"/>
    <w:rsid w:val="00597B89"/>
    <w:rsid w:val="005A45AA"/>
    <w:rsid w:val="005A5CCF"/>
    <w:rsid w:val="005A5F2A"/>
    <w:rsid w:val="005A6A3E"/>
    <w:rsid w:val="005A7547"/>
    <w:rsid w:val="005A7561"/>
    <w:rsid w:val="005A76FD"/>
    <w:rsid w:val="005B3087"/>
    <w:rsid w:val="005B451F"/>
    <w:rsid w:val="005B75A2"/>
    <w:rsid w:val="005C02FB"/>
    <w:rsid w:val="005C1D78"/>
    <w:rsid w:val="005C1EA6"/>
    <w:rsid w:val="005C3653"/>
    <w:rsid w:val="005C4203"/>
    <w:rsid w:val="005C557E"/>
    <w:rsid w:val="005C6D60"/>
    <w:rsid w:val="005C7DE0"/>
    <w:rsid w:val="005D065A"/>
    <w:rsid w:val="005D301E"/>
    <w:rsid w:val="005D30C0"/>
    <w:rsid w:val="005D55EF"/>
    <w:rsid w:val="005D7FC1"/>
    <w:rsid w:val="005E0A51"/>
    <w:rsid w:val="005E2555"/>
    <w:rsid w:val="005E3D28"/>
    <w:rsid w:val="005E41C5"/>
    <w:rsid w:val="005E43E9"/>
    <w:rsid w:val="005E5C10"/>
    <w:rsid w:val="005F0C0E"/>
    <w:rsid w:val="005F2910"/>
    <w:rsid w:val="005F43C5"/>
    <w:rsid w:val="005F4465"/>
    <w:rsid w:val="005F6DAC"/>
    <w:rsid w:val="00602383"/>
    <w:rsid w:val="00602816"/>
    <w:rsid w:val="006029FF"/>
    <w:rsid w:val="0060312C"/>
    <w:rsid w:val="006049FA"/>
    <w:rsid w:val="00606FAB"/>
    <w:rsid w:val="0060775A"/>
    <w:rsid w:val="006138B6"/>
    <w:rsid w:val="006143EA"/>
    <w:rsid w:val="0061442C"/>
    <w:rsid w:val="00615C3B"/>
    <w:rsid w:val="006164DB"/>
    <w:rsid w:val="0061682C"/>
    <w:rsid w:val="00621C47"/>
    <w:rsid w:val="00621FAF"/>
    <w:rsid w:val="006234BC"/>
    <w:rsid w:val="00623840"/>
    <w:rsid w:val="00624C02"/>
    <w:rsid w:val="00625B34"/>
    <w:rsid w:val="0062710C"/>
    <w:rsid w:val="00627D94"/>
    <w:rsid w:val="00631A08"/>
    <w:rsid w:val="00631FE6"/>
    <w:rsid w:val="00632533"/>
    <w:rsid w:val="006342E2"/>
    <w:rsid w:val="0063472F"/>
    <w:rsid w:val="006353CD"/>
    <w:rsid w:val="00636D2D"/>
    <w:rsid w:val="00637DF5"/>
    <w:rsid w:val="006408E7"/>
    <w:rsid w:val="0064344B"/>
    <w:rsid w:val="00643B47"/>
    <w:rsid w:val="00646B9E"/>
    <w:rsid w:val="00647722"/>
    <w:rsid w:val="00650B89"/>
    <w:rsid w:val="0065207E"/>
    <w:rsid w:val="006526F9"/>
    <w:rsid w:val="00652E14"/>
    <w:rsid w:val="00656DCD"/>
    <w:rsid w:val="00657C80"/>
    <w:rsid w:val="00657D76"/>
    <w:rsid w:val="00657FFE"/>
    <w:rsid w:val="0066175C"/>
    <w:rsid w:val="00663706"/>
    <w:rsid w:val="00666329"/>
    <w:rsid w:val="006679AD"/>
    <w:rsid w:val="00667CE6"/>
    <w:rsid w:val="0067452F"/>
    <w:rsid w:val="006759AA"/>
    <w:rsid w:val="00675D56"/>
    <w:rsid w:val="00676537"/>
    <w:rsid w:val="006774D0"/>
    <w:rsid w:val="00677BA1"/>
    <w:rsid w:val="006808CD"/>
    <w:rsid w:val="00680D00"/>
    <w:rsid w:val="006825E7"/>
    <w:rsid w:val="0068418D"/>
    <w:rsid w:val="0068456B"/>
    <w:rsid w:val="006863B7"/>
    <w:rsid w:val="006878D3"/>
    <w:rsid w:val="00690E89"/>
    <w:rsid w:val="00691748"/>
    <w:rsid w:val="006922DA"/>
    <w:rsid w:val="00693793"/>
    <w:rsid w:val="006952B5"/>
    <w:rsid w:val="00696B39"/>
    <w:rsid w:val="00696F1F"/>
    <w:rsid w:val="00697170"/>
    <w:rsid w:val="006A09C9"/>
    <w:rsid w:val="006A3AC4"/>
    <w:rsid w:val="006A46EB"/>
    <w:rsid w:val="006A4C2E"/>
    <w:rsid w:val="006A657E"/>
    <w:rsid w:val="006B1D45"/>
    <w:rsid w:val="006B3A49"/>
    <w:rsid w:val="006B3C92"/>
    <w:rsid w:val="006B443F"/>
    <w:rsid w:val="006B4532"/>
    <w:rsid w:val="006B7F7C"/>
    <w:rsid w:val="006C1067"/>
    <w:rsid w:val="006C3B1B"/>
    <w:rsid w:val="006C424A"/>
    <w:rsid w:val="006D1075"/>
    <w:rsid w:val="006D29C4"/>
    <w:rsid w:val="006D3A20"/>
    <w:rsid w:val="006D5F05"/>
    <w:rsid w:val="006D6EC0"/>
    <w:rsid w:val="006E0708"/>
    <w:rsid w:val="006E13D3"/>
    <w:rsid w:val="006E396C"/>
    <w:rsid w:val="006F118B"/>
    <w:rsid w:val="006F4222"/>
    <w:rsid w:val="006F5CC8"/>
    <w:rsid w:val="006F69F2"/>
    <w:rsid w:val="0070040C"/>
    <w:rsid w:val="00701C56"/>
    <w:rsid w:val="00702798"/>
    <w:rsid w:val="00702941"/>
    <w:rsid w:val="00702C08"/>
    <w:rsid w:val="00702E64"/>
    <w:rsid w:val="00706BF8"/>
    <w:rsid w:val="00710A43"/>
    <w:rsid w:val="0071620C"/>
    <w:rsid w:val="00717960"/>
    <w:rsid w:val="00720634"/>
    <w:rsid w:val="00721919"/>
    <w:rsid w:val="00723898"/>
    <w:rsid w:val="007254DB"/>
    <w:rsid w:val="00725F0B"/>
    <w:rsid w:val="0073083D"/>
    <w:rsid w:val="00732436"/>
    <w:rsid w:val="00735DA0"/>
    <w:rsid w:val="00741CD5"/>
    <w:rsid w:val="0074264F"/>
    <w:rsid w:val="00742806"/>
    <w:rsid w:val="00742CAF"/>
    <w:rsid w:val="00742D9C"/>
    <w:rsid w:val="00751AB0"/>
    <w:rsid w:val="00756CC5"/>
    <w:rsid w:val="00756E48"/>
    <w:rsid w:val="007571FE"/>
    <w:rsid w:val="0075783B"/>
    <w:rsid w:val="00760E58"/>
    <w:rsid w:val="007610C5"/>
    <w:rsid w:val="00761552"/>
    <w:rsid w:val="0076260E"/>
    <w:rsid w:val="00764281"/>
    <w:rsid w:val="00764DEE"/>
    <w:rsid w:val="007654A7"/>
    <w:rsid w:val="00772E9D"/>
    <w:rsid w:val="00773996"/>
    <w:rsid w:val="00775421"/>
    <w:rsid w:val="00775D35"/>
    <w:rsid w:val="00776319"/>
    <w:rsid w:val="00777A5A"/>
    <w:rsid w:val="00777AB5"/>
    <w:rsid w:val="00777B33"/>
    <w:rsid w:val="00781BAA"/>
    <w:rsid w:val="00782265"/>
    <w:rsid w:val="007837B8"/>
    <w:rsid w:val="00783970"/>
    <w:rsid w:val="00784273"/>
    <w:rsid w:val="007843AE"/>
    <w:rsid w:val="00786F22"/>
    <w:rsid w:val="007874B4"/>
    <w:rsid w:val="007914FA"/>
    <w:rsid w:val="00791A11"/>
    <w:rsid w:val="007925EB"/>
    <w:rsid w:val="0079267C"/>
    <w:rsid w:val="007928AA"/>
    <w:rsid w:val="00793118"/>
    <w:rsid w:val="00796457"/>
    <w:rsid w:val="00797976"/>
    <w:rsid w:val="007A175A"/>
    <w:rsid w:val="007A2267"/>
    <w:rsid w:val="007A2827"/>
    <w:rsid w:val="007A38C8"/>
    <w:rsid w:val="007A3FAE"/>
    <w:rsid w:val="007A44F9"/>
    <w:rsid w:val="007A4AD3"/>
    <w:rsid w:val="007A6D33"/>
    <w:rsid w:val="007A7AE0"/>
    <w:rsid w:val="007A7CF2"/>
    <w:rsid w:val="007A7FF7"/>
    <w:rsid w:val="007B1111"/>
    <w:rsid w:val="007B15E8"/>
    <w:rsid w:val="007B1E7E"/>
    <w:rsid w:val="007B1F38"/>
    <w:rsid w:val="007B262B"/>
    <w:rsid w:val="007B2BA2"/>
    <w:rsid w:val="007B3118"/>
    <w:rsid w:val="007B4512"/>
    <w:rsid w:val="007B50E6"/>
    <w:rsid w:val="007C20CD"/>
    <w:rsid w:val="007C258B"/>
    <w:rsid w:val="007C4BA8"/>
    <w:rsid w:val="007C65BF"/>
    <w:rsid w:val="007C6A12"/>
    <w:rsid w:val="007C782B"/>
    <w:rsid w:val="007D2F8E"/>
    <w:rsid w:val="007D7CE5"/>
    <w:rsid w:val="007E0935"/>
    <w:rsid w:val="007E17F2"/>
    <w:rsid w:val="007E1C35"/>
    <w:rsid w:val="007E1CAF"/>
    <w:rsid w:val="007E1DAE"/>
    <w:rsid w:val="007E7F1C"/>
    <w:rsid w:val="007F0123"/>
    <w:rsid w:val="007F115C"/>
    <w:rsid w:val="007F3318"/>
    <w:rsid w:val="007F3632"/>
    <w:rsid w:val="00802D80"/>
    <w:rsid w:val="00811E7A"/>
    <w:rsid w:val="00813D3B"/>
    <w:rsid w:val="00813F52"/>
    <w:rsid w:val="00815D1A"/>
    <w:rsid w:val="00820BE6"/>
    <w:rsid w:val="00821815"/>
    <w:rsid w:val="00825687"/>
    <w:rsid w:val="00825E9B"/>
    <w:rsid w:val="00826B0F"/>
    <w:rsid w:val="00830BCA"/>
    <w:rsid w:val="00830C79"/>
    <w:rsid w:val="008310A1"/>
    <w:rsid w:val="00832892"/>
    <w:rsid w:val="00832BEA"/>
    <w:rsid w:val="008400C1"/>
    <w:rsid w:val="008404D4"/>
    <w:rsid w:val="00841EF4"/>
    <w:rsid w:val="00845605"/>
    <w:rsid w:val="00845CAD"/>
    <w:rsid w:val="008463CF"/>
    <w:rsid w:val="00846EE5"/>
    <w:rsid w:val="00846FCB"/>
    <w:rsid w:val="00850B6E"/>
    <w:rsid w:val="0085105E"/>
    <w:rsid w:val="008514E7"/>
    <w:rsid w:val="00851E70"/>
    <w:rsid w:val="0085224C"/>
    <w:rsid w:val="00854F01"/>
    <w:rsid w:val="0085747C"/>
    <w:rsid w:val="008615D4"/>
    <w:rsid w:val="008616B2"/>
    <w:rsid w:val="00863362"/>
    <w:rsid w:val="00867F71"/>
    <w:rsid w:val="0087017A"/>
    <w:rsid w:val="00870B64"/>
    <w:rsid w:val="00870DA9"/>
    <w:rsid w:val="00871DDC"/>
    <w:rsid w:val="008724F6"/>
    <w:rsid w:val="00872580"/>
    <w:rsid w:val="00873ACE"/>
    <w:rsid w:val="008740F3"/>
    <w:rsid w:val="00875AC1"/>
    <w:rsid w:val="00875CF8"/>
    <w:rsid w:val="0087726E"/>
    <w:rsid w:val="008777CC"/>
    <w:rsid w:val="00884243"/>
    <w:rsid w:val="00885555"/>
    <w:rsid w:val="00887A6B"/>
    <w:rsid w:val="0089093A"/>
    <w:rsid w:val="0089239A"/>
    <w:rsid w:val="00893E72"/>
    <w:rsid w:val="00895B45"/>
    <w:rsid w:val="008A144B"/>
    <w:rsid w:val="008A56BE"/>
    <w:rsid w:val="008B3B95"/>
    <w:rsid w:val="008B533F"/>
    <w:rsid w:val="008B56EF"/>
    <w:rsid w:val="008B570F"/>
    <w:rsid w:val="008B65B4"/>
    <w:rsid w:val="008C032D"/>
    <w:rsid w:val="008C25D9"/>
    <w:rsid w:val="008C3FE8"/>
    <w:rsid w:val="008C4ABC"/>
    <w:rsid w:val="008C5142"/>
    <w:rsid w:val="008C76B3"/>
    <w:rsid w:val="008C77F4"/>
    <w:rsid w:val="008C7B6A"/>
    <w:rsid w:val="008D4C92"/>
    <w:rsid w:val="008D62FD"/>
    <w:rsid w:val="008D6AE6"/>
    <w:rsid w:val="008E07B0"/>
    <w:rsid w:val="008E1656"/>
    <w:rsid w:val="008E252B"/>
    <w:rsid w:val="008E5B55"/>
    <w:rsid w:val="008E6136"/>
    <w:rsid w:val="008E6E2B"/>
    <w:rsid w:val="008F0849"/>
    <w:rsid w:val="008F312A"/>
    <w:rsid w:val="009008C5"/>
    <w:rsid w:val="009022ED"/>
    <w:rsid w:val="00903AAE"/>
    <w:rsid w:val="00904A4E"/>
    <w:rsid w:val="009050AA"/>
    <w:rsid w:val="00910DA3"/>
    <w:rsid w:val="00914C00"/>
    <w:rsid w:val="009173CE"/>
    <w:rsid w:val="009225D7"/>
    <w:rsid w:val="00922E57"/>
    <w:rsid w:val="009244BF"/>
    <w:rsid w:val="00927753"/>
    <w:rsid w:val="0093148B"/>
    <w:rsid w:val="0093319D"/>
    <w:rsid w:val="00935D05"/>
    <w:rsid w:val="00936C91"/>
    <w:rsid w:val="00941A9C"/>
    <w:rsid w:val="009421A9"/>
    <w:rsid w:val="00946538"/>
    <w:rsid w:val="009479C8"/>
    <w:rsid w:val="00956282"/>
    <w:rsid w:val="00956784"/>
    <w:rsid w:val="00961992"/>
    <w:rsid w:val="0096239E"/>
    <w:rsid w:val="00963B51"/>
    <w:rsid w:val="00964B2D"/>
    <w:rsid w:val="0096620B"/>
    <w:rsid w:val="0096673F"/>
    <w:rsid w:val="00967BFC"/>
    <w:rsid w:val="00970A3C"/>
    <w:rsid w:val="00970AA3"/>
    <w:rsid w:val="00970B6A"/>
    <w:rsid w:val="009713E6"/>
    <w:rsid w:val="00976759"/>
    <w:rsid w:val="00976DAC"/>
    <w:rsid w:val="00981338"/>
    <w:rsid w:val="00981803"/>
    <w:rsid w:val="009818BE"/>
    <w:rsid w:val="0098545E"/>
    <w:rsid w:val="00987095"/>
    <w:rsid w:val="00994288"/>
    <w:rsid w:val="00995209"/>
    <w:rsid w:val="0099704A"/>
    <w:rsid w:val="009A43C9"/>
    <w:rsid w:val="009B341E"/>
    <w:rsid w:val="009B3710"/>
    <w:rsid w:val="009B5EFE"/>
    <w:rsid w:val="009B63BC"/>
    <w:rsid w:val="009B6437"/>
    <w:rsid w:val="009B6527"/>
    <w:rsid w:val="009C2123"/>
    <w:rsid w:val="009C2DF2"/>
    <w:rsid w:val="009C625B"/>
    <w:rsid w:val="009D6EF5"/>
    <w:rsid w:val="009E1A35"/>
    <w:rsid w:val="009E263D"/>
    <w:rsid w:val="009E3EC8"/>
    <w:rsid w:val="009E4DAE"/>
    <w:rsid w:val="009E7390"/>
    <w:rsid w:val="009F0378"/>
    <w:rsid w:val="009F13F5"/>
    <w:rsid w:val="009F1E36"/>
    <w:rsid w:val="009F4797"/>
    <w:rsid w:val="009F78FA"/>
    <w:rsid w:val="00A00371"/>
    <w:rsid w:val="00A0081E"/>
    <w:rsid w:val="00A06321"/>
    <w:rsid w:val="00A06B6D"/>
    <w:rsid w:val="00A06E3D"/>
    <w:rsid w:val="00A07006"/>
    <w:rsid w:val="00A1052A"/>
    <w:rsid w:val="00A10586"/>
    <w:rsid w:val="00A11584"/>
    <w:rsid w:val="00A1191E"/>
    <w:rsid w:val="00A11C01"/>
    <w:rsid w:val="00A123A1"/>
    <w:rsid w:val="00A150AF"/>
    <w:rsid w:val="00A208BA"/>
    <w:rsid w:val="00A225AC"/>
    <w:rsid w:val="00A239D5"/>
    <w:rsid w:val="00A26CB1"/>
    <w:rsid w:val="00A26CF8"/>
    <w:rsid w:val="00A275FD"/>
    <w:rsid w:val="00A30B97"/>
    <w:rsid w:val="00A32258"/>
    <w:rsid w:val="00A358FF"/>
    <w:rsid w:val="00A370BE"/>
    <w:rsid w:val="00A42F8D"/>
    <w:rsid w:val="00A4766A"/>
    <w:rsid w:val="00A516A5"/>
    <w:rsid w:val="00A55440"/>
    <w:rsid w:val="00A6008C"/>
    <w:rsid w:val="00A62B72"/>
    <w:rsid w:val="00A65EA6"/>
    <w:rsid w:val="00A672BF"/>
    <w:rsid w:val="00A70C4A"/>
    <w:rsid w:val="00A750F0"/>
    <w:rsid w:val="00A804E9"/>
    <w:rsid w:val="00A82D57"/>
    <w:rsid w:val="00A847E0"/>
    <w:rsid w:val="00A85B00"/>
    <w:rsid w:val="00A90138"/>
    <w:rsid w:val="00A9283B"/>
    <w:rsid w:val="00A96514"/>
    <w:rsid w:val="00A9713C"/>
    <w:rsid w:val="00A975C4"/>
    <w:rsid w:val="00A9796A"/>
    <w:rsid w:val="00AA1281"/>
    <w:rsid w:val="00AA15CD"/>
    <w:rsid w:val="00AA180D"/>
    <w:rsid w:val="00AA18A6"/>
    <w:rsid w:val="00AA268D"/>
    <w:rsid w:val="00AA26E9"/>
    <w:rsid w:val="00AA3A65"/>
    <w:rsid w:val="00AA4DA6"/>
    <w:rsid w:val="00AA7AFE"/>
    <w:rsid w:val="00AB0372"/>
    <w:rsid w:val="00AB147C"/>
    <w:rsid w:val="00AB3965"/>
    <w:rsid w:val="00AB437A"/>
    <w:rsid w:val="00AC1AAA"/>
    <w:rsid w:val="00AC3D6C"/>
    <w:rsid w:val="00AC5685"/>
    <w:rsid w:val="00AC63AA"/>
    <w:rsid w:val="00AC7807"/>
    <w:rsid w:val="00AC7F3F"/>
    <w:rsid w:val="00AD1C4A"/>
    <w:rsid w:val="00AD4052"/>
    <w:rsid w:val="00AD689B"/>
    <w:rsid w:val="00AE16F6"/>
    <w:rsid w:val="00AE305D"/>
    <w:rsid w:val="00AE41E6"/>
    <w:rsid w:val="00AE76DE"/>
    <w:rsid w:val="00AE78E5"/>
    <w:rsid w:val="00AF077A"/>
    <w:rsid w:val="00AF303D"/>
    <w:rsid w:val="00AF32D3"/>
    <w:rsid w:val="00AF38C6"/>
    <w:rsid w:val="00AF3A65"/>
    <w:rsid w:val="00AF3D4E"/>
    <w:rsid w:val="00AF5A96"/>
    <w:rsid w:val="00AF64B2"/>
    <w:rsid w:val="00AF71CF"/>
    <w:rsid w:val="00B02084"/>
    <w:rsid w:val="00B06422"/>
    <w:rsid w:val="00B07B27"/>
    <w:rsid w:val="00B07BA1"/>
    <w:rsid w:val="00B07ECC"/>
    <w:rsid w:val="00B1255B"/>
    <w:rsid w:val="00B14C6C"/>
    <w:rsid w:val="00B17CB4"/>
    <w:rsid w:val="00B22936"/>
    <w:rsid w:val="00B22EBF"/>
    <w:rsid w:val="00B24782"/>
    <w:rsid w:val="00B2600D"/>
    <w:rsid w:val="00B26B5C"/>
    <w:rsid w:val="00B278D7"/>
    <w:rsid w:val="00B27CEF"/>
    <w:rsid w:val="00B30B67"/>
    <w:rsid w:val="00B314DA"/>
    <w:rsid w:val="00B32456"/>
    <w:rsid w:val="00B33499"/>
    <w:rsid w:val="00B33510"/>
    <w:rsid w:val="00B33693"/>
    <w:rsid w:val="00B35BC2"/>
    <w:rsid w:val="00B37D94"/>
    <w:rsid w:val="00B40C84"/>
    <w:rsid w:val="00B412A7"/>
    <w:rsid w:val="00B43A3E"/>
    <w:rsid w:val="00B451BE"/>
    <w:rsid w:val="00B46259"/>
    <w:rsid w:val="00B46A45"/>
    <w:rsid w:val="00B46D6A"/>
    <w:rsid w:val="00B46EAC"/>
    <w:rsid w:val="00B50C49"/>
    <w:rsid w:val="00B50DBF"/>
    <w:rsid w:val="00B52E9F"/>
    <w:rsid w:val="00B56E24"/>
    <w:rsid w:val="00B57A3E"/>
    <w:rsid w:val="00B57ACC"/>
    <w:rsid w:val="00B62CC3"/>
    <w:rsid w:val="00B63BDC"/>
    <w:rsid w:val="00B752E1"/>
    <w:rsid w:val="00B75784"/>
    <w:rsid w:val="00B76EED"/>
    <w:rsid w:val="00B778E7"/>
    <w:rsid w:val="00B77D36"/>
    <w:rsid w:val="00B8136C"/>
    <w:rsid w:val="00B81951"/>
    <w:rsid w:val="00B83081"/>
    <w:rsid w:val="00B84CA8"/>
    <w:rsid w:val="00B86DD5"/>
    <w:rsid w:val="00B920E4"/>
    <w:rsid w:val="00B94A0E"/>
    <w:rsid w:val="00B951EE"/>
    <w:rsid w:val="00B95E21"/>
    <w:rsid w:val="00B96344"/>
    <w:rsid w:val="00BA3368"/>
    <w:rsid w:val="00BA3987"/>
    <w:rsid w:val="00BA566B"/>
    <w:rsid w:val="00BA5C48"/>
    <w:rsid w:val="00BA7284"/>
    <w:rsid w:val="00BA7348"/>
    <w:rsid w:val="00BA7480"/>
    <w:rsid w:val="00BB277D"/>
    <w:rsid w:val="00BB291B"/>
    <w:rsid w:val="00BB4C57"/>
    <w:rsid w:val="00BB4E33"/>
    <w:rsid w:val="00BB5342"/>
    <w:rsid w:val="00BB5ED9"/>
    <w:rsid w:val="00BB702B"/>
    <w:rsid w:val="00BC119F"/>
    <w:rsid w:val="00BC15B2"/>
    <w:rsid w:val="00BC22A7"/>
    <w:rsid w:val="00BC45E3"/>
    <w:rsid w:val="00BC6891"/>
    <w:rsid w:val="00BD3687"/>
    <w:rsid w:val="00BD49B1"/>
    <w:rsid w:val="00BE1F02"/>
    <w:rsid w:val="00BE2872"/>
    <w:rsid w:val="00BE5A13"/>
    <w:rsid w:val="00BE712D"/>
    <w:rsid w:val="00BE7548"/>
    <w:rsid w:val="00BE7CBE"/>
    <w:rsid w:val="00BF4CF8"/>
    <w:rsid w:val="00BF53C5"/>
    <w:rsid w:val="00BF6D8A"/>
    <w:rsid w:val="00BF7928"/>
    <w:rsid w:val="00C14192"/>
    <w:rsid w:val="00C14502"/>
    <w:rsid w:val="00C150FD"/>
    <w:rsid w:val="00C1520B"/>
    <w:rsid w:val="00C163F7"/>
    <w:rsid w:val="00C1774B"/>
    <w:rsid w:val="00C21B99"/>
    <w:rsid w:val="00C2238F"/>
    <w:rsid w:val="00C22A75"/>
    <w:rsid w:val="00C256F4"/>
    <w:rsid w:val="00C2777E"/>
    <w:rsid w:val="00C35C16"/>
    <w:rsid w:val="00C35DC8"/>
    <w:rsid w:val="00C36AEE"/>
    <w:rsid w:val="00C3755B"/>
    <w:rsid w:val="00C37736"/>
    <w:rsid w:val="00C406EE"/>
    <w:rsid w:val="00C41C9A"/>
    <w:rsid w:val="00C43616"/>
    <w:rsid w:val="00C44FFC"/>
    <w:rsid w:val="00C4576E"/>
    <w:rsid w:val="00C50199"/>
    <w:rsid w:val="00C50B47"/>
    <w:rsid w:val="00C51ADE"/>
    <w:rsid w:val="00C521F4"/>
    <w:rsid w:val="00C53A20"/>
    <w:rsid w:val="00C56E5F"/>
    <w:rsid w:val="00C62128"/>
    <w:rsid w:val="00C62997"/>
    <w:rsid w:val="00C62C45"/>
    <w:rsid w:val="00C66968"/>
    <w:rsid w:val="00C67FB8"/>
    <w:rsid w:val="00C71255"/>
    <w:rsid w:val="00C72D77"/>
    <w:rsid w:val="00C7699F"/>
    <w:rsid w:val="00C77160"/>
    <w:rsid w:val="00C779AC"/>
    <w:rsid w:val="00C82779"/>
    <w:rsid w:val="00C833C7"/>
    <w:rsid w:val="00C858BF"/>
    <w:rsid w:val="00C85B6B"/>
    <w:rsid w:val="00C85F38"/>
    <w:rsid w:val="00C86F0C"/>
    <w:rsid w:val="00C86FC3"/>
    <w:rsid w:val="00C9122A"/>
    <w:rsid w:val="00C91352"/>
    <w:rsid w:val="00C916A1"/>
    <w:rsid w:val="00C920B7"/>
    <w:rsid w:val="00C93C43"/>
    <w:rsid w:val="00C942BE"/>
    <w:rsid w:val="00C947BF"/>
    <w:rsid w:val="00C959AE"/>
    <w:rsid w:val="00C9608B"/>
    <w:rsid w:val="00CA1312"/>
    <w:rsid w:val="00CA1C77"/>
    <w:rsid w:val="00CA2059"/>
    <w:rsid w:val="00CA2112"/>
    <w:rsid w:val="00CA60F3"/>
    <w:rsid w:val="00CA720C"/>
    <w:rsid w:val="00CB1CC0"/>
    <w:rsid w:val="00CB207D"/>
    <w:rsid w:val="00CB362E"/>
    <w:rsid w:val="00CB3E8A"/>
    <w:rsid w:val="00CB40CD"/>
    <w:rsid w:val="00CB7BBD"/>
    <w:rsid w:val="00CC3C99"/>
    <w:rsid w:val="00CC4F49"/>
    <w:rsid w:val="00CC6A4A"/>
    <w:rsid w:val="00CD1B7C"/>
    <w:rsid w:val="00CD3129"/>
    <w:rsid w:val="00CD3660"/>
    <w:rsid w:val="00CD3DC8"/>
    <w:rsid w:val="00CD3EF5"/>
    <w:rsid w:val="00CE3B58"/>
    <w:rsid w:val="00CE5C8A"/>
    <w:rsid w:val="00CE79FE"/>
    <w:rsid w:val="00CF1154"/>
    <w:rsid w:val="00CF21DE"/>
    <w:rsid w:val="00CF2AE8"/>
    <w:rsid w:val="00CF5010"/>
    <w:rsid w:val="00CF5BDC"/>
    <w:rsid w:val="00CF631D"/>
    <w:rsid w:val="00D0029F"/>
    <w:rsid w:val="00D007EB"/>
    <w:rsid w:val="00D01F83"/>
    <w:rsid w:val="00D0472B"/>
    <w:rsid w:val="00D1010F"/>
    <w:rsid w:val="00D11C20"/>
    <w:rsid w:val="00D1484C"/>
    <w:rsid w:val="00D15B71"/>
    <w:rsid w:val="00D16293"/>
    <w:rsid w:val="00D16562"/>
    <w:rsid w:val="00D20AD0"/>
    <w:rsid w:val="00D20F76"/>
    <w:rsid w:val="00D2437C"/>
    <w:rsid w:val="00D2472F"/>
    <w:rsid w:val="00D27188"/>
    <w:rsid w:val="00D27F64"/>
    <w:rsid w:val="00D30189"/>
    <w:rsid w:val="00D34C8D"/>
    <w:rsid w:val="00D3677F"/>
    <w:rsid w:val="00D370A1"/>
    <w:rsid w:val="00D373D6"/>
    <w:rsid w:val="00D37A8F"/>
    <w:rsid w:val="00D414E3"/>
    <w:rsid w:val="00D425FA"/>
    <w:rsid w:val="00D4687D"/>
    <w:rsid w:val="00D50BA7"/>
    <w:rsid w:val="00D50EAD"/>
    <w:rsid w:val="00D531D9"/>
    <w:rsid w:val="00D541C9"/>
    <w:rsid w:val="00D54DF8"/>
    <w:rsid w:val="00D56509"/>
    <w:rsid w:val="00D57FD3"/>
    <w:rsid w:val="00D60948"/>
    <w:rsid w:val="00D61E6D"/>
    <w:rsid w:val="00D64303"/>
    <w:rsid w:val="00D65083"/>
    <w:rsid w:val="00D651F6"/>
    <w:rsid w:val="00D65D7E"/>
    <w:rsid w:val="00D65DB1"/>
    <w:rsid w:val="00D7181E"/>
    <w:rsid w:val="00D72EAC"/>
    <w:rsid w:val="00D73E33"/>
    <w:rsid w:val="00D75F54"/>
    <w:rsid w:val="00D779AA"/>
    <w:rsid w:val="00D82050"/>
    <w:rsid w:val="00D820D4"/>
    <w:rsid w:val="00D829C1"/>
    <w:rsid w:val="00D82E4E"/>
    <w:rsid w:val="00D83841"/>
    <w:rsid w:val="00D83924"/>
    <w:rsid w:val="00D84409"/>
    <w:rsid w:val="00D85CE0"/>
    <w:rsid w:val="00D906B2"/>
    <w:rsid w:val="00D90E08"/>
    <w:rsid w:val="00D92E1D"/>
    <w:rsid w:val="00D9585D"/>
    <w:rsid w:val="00D97784"/>
    <w:rsid w:val="00DA0A2D"/>
    <w:rsid w:val="00DA4BC5"/>
    <w:rsid w:val="00DA799A"/>
    <w:rsid w:val="00DB0ABC"/>
    <w:rsid w:val="00DB0B5D"/>
    <w:rsid w:val="00DB1598"/>
    <w:rsid w:val="00DB3862"/>
    <w:rsid w:val="00DB434B"/>
    <w:rsid w:val="00DB53F0"/>
    <w:rsid w:val="00DB6CD4"/>
    <w:rsid w:val="00DC1803"/>
    <w:rsid w:val="00DC27F9"/>
    <w:rsid w:val="00DC29AB"/>
    <w:rsid w:val="00DC44DB"/>
    <w:rsid w:val="00DC4D27"/>
    <w:rsid w:val="00DD0741"/>
    <w:rsid w:val="00DD1062"/>
    <w:rsid w:val="00DD2F6B"/>
    <w:rsid w:val="00DD466B"/>
    <w:rsid w:val="00DD5CD5"/>
    <w:rsid w:val="00DD5ECA"/>
    <w:rsid w:val="00DD719A"/>
    <w:rsid w:val="00DE05A4"/>
    <w:rsid w:val="00DE09FC"/>
    <w:rsid w:val="00DE0BDE"/>
    <w:rsid w:val="00DE53F2"/>
    <w:rsid w:val="00DE5DBA"/>
    <w:rsid w:val="00DF0C8D"/>
    <w:rsid w:val="00DF2002"/>
    <w:rsid w:val="00DF35E5"/>
    <w:rsid w:val="00DF632D"/>
    <w:rsid w:val="00E0099B"/>
    <w:rsid w:val="00E00A65"/>
    <w:rsid w:val="00E00CB5"/>
    <w:rsid w:val="00E02440"/>
    <w:rsid w:val="00E03E5E"/>
    <w:rsid w:val="00E075E1"/>
    <w:rsid w:val="00E10B31"/>
    <w:rsid w:val="00E14770"/>
    <w:rsid w:val="00E15A0B"/>
    <w:rsid w:val="00E1666C"/>
    <w:rsid w:val="00E16E02"/>
    <w:rsid w:val="00E20976"/>
    <w:rsid w:val="00E22AE9"/>
    <w:rsid w:val="00E22DF1"/>
    <w:rsid w:val="00E23925"/>
    <w:rsid w:val="00E25371"/>
    <w:rsid w:val="00E2542D"/>
    <w:rsid w:val="00E2757A"/>
    <w:rsid w:val="00E2799E"/>
    <w:rsid w:val="00E33F91"/>
    <w:rsid w:val="00E356D7"/>
    <w:rsid w:val="00E362A4"/>
    <w:rsid w:val="00E36D87"/>
    <w:rsid w:val="00E375C7"/>
    <w:rsid w:val="00E4162D"/>
    <w:rsid w:val="00E42C29"/>
    <w:rsid w:val="00E43686"/>
    <w:rsid w:val="00E44F9F"/>
    <w:rsid w:val="00E4590B"/>
    <w:rsid w:val="00E463D1"/>
    <w:rsid w:val="00E500FA"/>
    <w:rsid w:val="00E511B8"/>
    <w:rsid w:val="00E53064"/>
    <w:rsid w:val="00E5345D"/>
    <w:rsid w:val="00E53706"/>
    <w:rsid w:val="00E550F7"/>
    <w:rsid w:val="00E566B6"/>
    <w:rsid w:val="00E57F6E"/>
    <w:rsid w:val="00E60D4C"/>
    <w:rsid w:val="00E61FFC"/>
    <w:rsid w:val="00E62F6B"/>
    <w:rsid w:val="00E63EF5"/>
    <w:rsid w:val="00E64564"/>
    <w:rsid w:val="00E64C40"/>
    <w:rsid w:val="00E711FD"/>
    <w:rsid w:val="00E76D45"/>
    <w:rsid w:val="00E7757D"/>
    <w:rsid w:val="00E80574"/>
    <w:rsid w:val="00E82662"/>
    <w:rsid w:val="00E834D6"/>
    <w:rsid w:val="00E84BFC"/>
    <w:rsid w:val="00E86549"/>
    <w:rsid w:val="00E86EF9"/>
    <w:rsid w:val="00E91E14"/>
    <w:rsid w:val="00E91F74"/>
    <w:rsid w:val="00E96E8C"/>
    <w:rsid w:val="00E97F4A"/>
    <w:rsid w:val="00EA1948"/>
    <w:rsid w:val="00EA77EB"/>
    <w:rsid w:val="00EB1189"/>
    <w:rsid w:val="00EB1874"/>
    <w:rsid w:val="00EB4C47"/>
    <w:rsid w:val="00EB6124"/>
    <w:rsid w:val="00EC2701"/>
    <w:rsid w:val="00EC4EB7"/>
    <w:rsid w:val="00EC50F8"/>
    <w:rsid w:val="00EC574B"/>
    <w:rsid w:val="00EC5FFB"/>
    <w:rsid w:val="00ED012B"/>
    <w:rsid w:val="00ED0F2E"/>
    <w:rsid w:val="00ED36C7"/>
    <w:rsid w:val="00ED6476"/>
    <w:rsid w:val="00ED7893"/>
    <w:rsid w:val="00EE17A3"/>
    <w:rsid w:val="00EE22E1"/>
    <w:rsid w:val="00EE3EA0"/>
    <w:rsid w:val="00EE4FFE"/>
    <w:rsid w:val="00EE534B"/>
    <w:rsid w:val="00EF0D5C"/>
    <w:rsid w:val="00EF0E59"/>
    <w:rsid w:val="00EF270A"/>
    <w:rsid w:val="00EF2D2E"/>
    <w:rsid w:val="00EF5468"/>
    <w:rsid w:val="00EF6643"/>
    <w:rsid w:val="00EF75B5"/>
    <w:rsid w:val="00EF7A43"/>
    <w:rsid w:val="00EF7F80"/>
    <w:rsid w:val="00F00F3E"/>
    <w:rsid w:val="00F04990"/>
    <w:rsid w:val="00F0593B"/>
    <w:rsid w:val="00F1158B"/>
    <w:rsid w:val="00F12474"/>
    <w:rsid w:val="00F14ABF"/>
    <w:rsid w:val="00F152EE"/>
    <w:rsid w:val="00F24BA0"/>
    <w:rsid w:val="00F25055"/>
    <w:rsid w:val="00F25BE3"/>
    <w:rsid w:val="00F26488"/>
    <w:rsid w:val="00F30AAD"/>
    <w:rsid w:val="00F33313"/>
    <w:rsid w:val="00F34911"/>
    <w:rsid w:val="00F34F3A"/>
    <w:rsid w:val="00F3556F"/>
    <w:rsid w:val="00F35BB7"/>
    <w:rsid w:val="00F3789F"/>
    <w:rsid w:val="00F40043"/>
    <w:rsid w:val="00F407D8"/>
    <w:rsid w:val="00F40FD7"/>
    <w:rsid w:val="00F41F66"/>
    <w:rsid w:val="00F4311F"/>
    <w:rsid w:val="00F43614"/>
    <w:rsid w:val="00F44A63"/>
    <w:rsid w:val="00F45DDF"/>
    <w:rsid w:val="00F50D9D"/>
    <w:rsid w:val="00F5199F"/>
    <w:rsid w:val="00F51A27"/>
    <w:rsid w:val="00F56433"/>
    <w:rsid w:val="00F6183A"/>
    <w:rsid w:val="00F63962"/>
    <w:rsid w:val="00F64D37"/>
    <w:rsid w:val="00F653E9"/>
    <w:rsid w:val="00F66587"/>
    <w:rsid w:val="00F721F8"/>
    <w:rsid w:val="00F74F54"/>
    <w:rsid w:val="00F75BC5"/>
    <w:rsid w:val="00F76750"/>
    <w:rsid w:val="00F80A08"/>
    <w:rsid w:val="00F80CBA"/>
    <w:rsid w:val="00F837C8"/>
    <w:rsid w:val="00F83CF6"/>
    <w:rsid w:val="00F8490E"/>
    <w:rsid w:val="00F85A3F"/>
    <w:rsid w:val="00F85C25"/>
    <w:rsid w:val="00F85DD6"/>
    <w:rsid w:val="00F85F27"/>
    <w:rsid w:val="00F90FAA"/>
    <w:rsid w:val="00F94EA7"/>
    <w:rsid w:val="00F95610"/>
    <w:rsid w:val="00F95A72"/>
    <w:rsid w:val="00F9634A"/>
    <w:rsid w:val="00FA0810"/>
    <w:rsid w:val="00FA0F25"/>
    <w:rsid w:val="00FA1842"/>
    <w:rsid w:val="00FA450A"/>
    <w:rsid w:val="00FA4937"/>
    <w:rsid w:val="00FA4ED0"/>
    <w:rsid w:val="00FA5218"/>
    <w:rsid w:val="00FA570C"/>
    <w:rsid w:val="00FA6B42"/>
    <w:rsid w:val="00FA7531"/>
    <w:rsid w:val="00FB04C0"/>
    <w:rsid w:val="00FB1275"/>
    <w:rsid w:val="00FB1954"/>
    <w:rsid w:val="00FB1C24"/>
    <w:rsid w:val="00FB226D"/>
    <w:rsid w:val="00FB38D6"/>
    <w:rsid w:val="00FB65B5"/>
    <w:rsid w:val="00FB6F93"/>
    <w:rsid w:val="00FC0C32"/>
    <w:rsid w:val="00FC1BD2"/>
    <w:rsid w:val="00FC43FC"/>
    <w:rsid w:val="00FC55D7"/>
    <w:rsid w:val="00FC71D8"/>
    <w:rsid w:val="00FC765D"/>
    <w:rsid w:val="00FC7CBF"/>
    <w:rsid w:val="00FD0234"/>
    <w:rsid w:val="00FD3084"/>
    <w:rsid w:val="00FD3B8D"/>
    <w:rsid w:val="00FD46A1"/>
    <w:rsid w:val="00FD4701"/>
    <w:rsid w:val="00FD4C0F"/>
    <w:rsid w:val="00FD6596"/>
    <w:rsid w:val="00FD79B9"/>
    <w:rsid w:val="00FE04B8"/>
    <w:rsid w:val="00FE38D4"/>
    <w:rsid w:val="00FF0BAA"/>
    <w:rsid w:val="00FF1833"/>
    <w:rsid w:val="00FF1CC1"/>
    <w:rsid w:val="00FF315B"/>
    <w:rsid w:val="00FF459B"/>
    <w:rsid w:val="00FF544A"/>
    <w:rsid w:val="00FF6A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43EA7"/>
  <w15:chartTrackingRefBased/>
  <w15:docId w15:val="{E160F5CF-A992-D94F-A109-64A1CBD9E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0F2E"/>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114A5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14A57"/>
    <w:rPr>
      <w:rFonts w:ascii="Times New Roman" w:hAnsi="Times New Roman" w:cs="Times New Roman"/>
      <w:sz w:val="18"/>
      <w:szCs w:val="18"/>
    </w:rPr>
  </w:style>
  <w:style w:type="character" w:styleId="PlaceholderText">
    <w:name w:val="Placeholder Text"/>
    <w:basedOn w:val="DefaultParagraphFont"/>
    <w:uiPriority w:val="99"/>
    <w:semiHidden/>
    <w:rsid w:val="00541BDF"/>
    <w:rPr>
      <w:color w:val="808080"/>
    </w:rPr>
  </w:style>
  <w:style w:type="table" w:styleId="TableGrid">
    <w:name w:val="Table Grid"/>
    <w:basedOn w:val="TableNormal"/>
    <w:uiPriority w:val="39"/>
    <w:rsid w:val="007739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7399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77399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7399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7399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7399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7399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7399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E25371"/>
    <w:pPr>
      <w:ind w:left="720"/>
      <w:contextualSpacing/>
    </w:pPr>
  </w:style>
  <w:style w:type="character" w:styleId="LineNumber">
    <w:name w:val="line number"/>
    <w:basedOn w:val="DefaultParagraphFont"/>
    <w:uiPriority w:val="99"/>
    <w:semiHidden/>
    <w:unhideWhenUsed/>
    <w:rsid w:val="00CA2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3562">
      <w:bodyDiv w:val="1"/>
      <w:marLeft w:val="0"/>
      <w:marRight w:val="0"/>
      <w:marTop w:val="0"/>
      <w:marBottom w:val="0"/>
      <w:divBdr>
        <w:top w:val="none" w:sz="0" w:space="0" w:color="auto"/>
        <w:left w:val="none" w:sz="0" w:space="0" w:color="auto"/>
        <w:bottom w:val="none" w:sz="0" w:space="0" w:color="auto"/>
        <w:right w:val="none" w:sz="0" w:space="0" w:color="auto"/>
      </w:divBdr>
      <w:divsChild>
        <w:div w:id="1253658903">
          <w:marLeft w:val="0"/>
          <w:marRight w:val="0"/>
          <w:marTop w:val="0"/>
          <w:marBottom w:val="0"/>
          <w:divBdr>
            <w:top w:val="none" w:sz="0" w:space="0" w:color="auto"/>
            <w:left w:val="none" w:sz="0" w:space="0" w:color="auto"/>
            <w:bottom w:val="none" w:sz="0" w:space="0" w:color="auto"/>
            <w:right w:val="none" w:sz="0" w:space="0" w:color="auto"/>
          </w:divBdr>
          <w:divsChild>
            <w:div w:id="1720547648">
              <w:marLeft w:val="0"/>
              <w:marRight w:val="0"/>
              <w:marTop w:val="0"/>
              <w:marBottom w:val="0"/>
              <w:divBdr>
                <w:top w:val="none" w:sz="0" w:space="0" w:color="auto"/>
                <w:left w:val="none" w:sz="0" w:space="0" w:color="auto"/>
                <w:bottom w:val="none" w:sz="0" w:space="0" w:color="auto"/>
                <w:right w:val="none" w:sz="0" w:space="0" w:color="auto"/>
              </w:divBdr>
              <w:divsChild>
                <w:div w:id="32945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73965">
      <w:bodyDiv w:val="1"/>
      <w:marLeft w:val="0"/>
      <w:marRight w:val="0"/>
      <w:marTop w:val="0"/>
      <w:marBottom w:val="0"/>
      <w:divBdr>
        <w:top w:val="none" w:sz="0" w:space="0" w:color="auto"/>
        <w:left w:val="none" w:sz="0" w:space="0" w:color="auto"/>
        <w:bottom w:val="none" w:sz="0" w:space="0" w:color="auto"/>
        <w:right w:val="none" w:sz="0" w:space="0" w:color="auto"/>
      </w:divBdr>
      <w:divsChild>
        <w:div w:id="246232598">
          <w:marLeft w:val="0"/>
          <w:marRight w:val="0"/>
          <w:marTop w:val="0"/>
          <w:marBottom w:val="0"/>
          <w:divBdr>
            <w:top w:val="none" w:sz="0" w:space="0" w:color="auto"/>
            <w:left w:val="none" w:sz="0" w:space="0" w:color="auto"/>
            <w:bottom w:val="none" w:sz="0" w:space="0" w:color="auto"/>
            <w:right w:val="none" w:sz="0" w:space="0" w:color="auto"/>
          </w:divBdr>
          <w:divsChild>
            <w:div w:id="1413047994">
              <w:marLeft w:val="0"/>
              <w:marRight w:val="0"/>
              <w:marTop w:val="0"/>
              <w:marBottom w:val="0"/>
              <w:divBdr>
                <w:top w:val="none" w:sz="0" w:space="0" w:color="auto"/>
                <w:left w:val="none" w:sz="0" w:space="0" w:color="auto"/>
                <w:bottom w:val="none" w:sz="0" w:space="0" w:color="auto"/>
                <w:right w:val="none" w:sz="0" w:space="0" w:color="auto"/>
              </w:divBdr>
              <w:divsChild>
                <w:div w:id="199880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29601">
      <w:bodyDiv w:val="1"/>
      <w:marLeft w:val="0"/>
      <w:marRight w:val="0"/>
      <w:marTop w:val="0"/>
      <w:marBottom w:val="0"/>
      <w:divBdr>
        <w:top w:val="none" w:sz="0" w:space="0" w:color="auto"/>
        <w:left w:val="none" w:sz="0" w:space="0" w:color="auto"/>
        <w:bottom w:val="none" w:sz="0" w:space="0" w:color="auto"/>
        <w:right w:val="none" w:sz="0" w:space="0" w:color="auto"/>
      </w:divBdr>
      <w:divsChild>
        <w:div w:id="460151764">
          <w:marLeft w:val="0"/>
          <w:marRight w:val="0"/>
          <w:marTop w:val="0"/>
          <w:marBottom w:val="0"/>
          <w:divBdr>
            <w:top w:val="none" w:sz="0" w:space="0" w:color="auto"/>
            <w:left w:val="none" w:sz="0" w:space="0" w:color="auto"/>
            <w:bottom w:val="none" w:sz="0" w:space="0" w:color="auto"/>
            <w:right w:val="none" w:sz="0" w:space="0" w:color="auto"/>
          </w:divBdr>
          <w:divsChild>
            <w:div w:id="173303823">
              <w:marLeft w:val="0"/>
              <w:marRight w:val="0"/>
              <w:marTop w:val="0"/>
              <w:marBottom w:val="0"/>
              <w:divBdr>
                <w:top w:val="none" w:sz="0" w:space="0" w:color="auto"/>
                <w:left w:val="none" w:sz="0" w:space="0" w:color="auto"/>
                <w:bottom w:val="none" w:sz="0" w:space="0" w:color="auto"/>
                <w:right w:val="none" w:sz="0" w:space="0" w:color="auto"/>
              </w:divBdr>
              <w:divsChild>
                <w:div w:id="21185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48370">
      <w:bodyDiv w:val="1"/>
      <w:marLeft w:val="0"/>
      <w:marRight w:val="0"/>
      <w:marTop w:val="0"/>
      <w:marBottom w:val="0"/>
      <w:divBdr>
        <w:top w:val="none" w:sz="0" w:space="0" w:color="auto"/>
        <w:left w:val="none" w:sz="0" w:space="0" w:color="auto"/>
        <w:bottom w:val="none" w:sz="0" w:space="0" w:color="auto"/>
        <w:right w:val="none" w:sz="0" w:space="0" w:color="auto"/>
      </w:divBdr>
      <w:divsChild>
        <w:div w:id="732047830">
          <w:marLeft w:val="0"/>
          <w:marRight w:val="0"/>
          <w:marTop w:val="0"/>
          <w:marBottom w:val="0"/>
          <w:divBdr>
            <w:top w:val="none" w:sz="0" w:space="0" w:color="auto"/>
            <w:left w:val="none" w:sz="0" w:space="0" w:color="auto"/>
            <w:bottom w:val="none" w:sz="0" w:space="0" w:color="auto"/>
            <w:right w:val="none" w:sz="0" w:space="0" w:color="auto"/>
          </w:divBdr>
          <w:divsChild>
            <w:div w:id="1697998576">
              <w:marLeft w:val="0"/>
              <w:marRight w:val="0"/>
              <w:marTop w:val="0"/>
              <w:marBottom w:val="0"/>
              <w:divBdr>
                <w:top w:val="none" w:sz="0" w:space="0" w:color="auto"/>
                <w:left w:val="none" w:sz="0" w:space="0" w:color="auto"/>
                <w:bottom w:val="none" w:sz="0" w:space="0" w:color="auto"/>
                <w:right w:val="none" w:sz="0" w:space="0" w:color="auto"/>
              </w:divBdr>
              <w:divsChild>
                <w:div w:id="182250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503190">
          <w:marLeft w:val="0"/>
          <w:marRight w:val="0"/>
          <w:marTop w:val="0"/>
          <w:marBottom w:val="0"/>
          <w:divBdr>
            <w:top w:val="none" w:sz="0" w:space="0" w:color="auto"/>
            <w:left w:val="none" w:sz="0" w:space="0" w:color="auto"/>
            <w:bottom w:val="none" w:sz="0" w:space="0" w:color="auto"/>
            <w:right w:val="none" w:sz="0" w:space="0" w:color="auto"/>
          </w:divBdr>
          <w:divsChild>
            <w:div w:id="1435245309">
              <w:marLeft w:val="0"/>
              <w:marRight w:val="0"/>
              <w:marTop w:val="0"/>
              <w:marBottom w:val="0"/>
              <w:divBdr>
                <w:top w:val="none" w:sz="0" w:space="0" w:color="auto"/>
                <w:left w:val="none" w:sz="0" w:space="0" w:color="auto"/>
                <w:bottom w:val="none" w:sz="0" w:space="0" w:color="auto"/>
                <w:right w:val="none" w:sz="0" w:space="0" w:color="auto"/>
              </w:divBdr>
              <w:divsChild>
                <w:div w:id="203858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584670">
      <w:bodyDiv w:val="1"/>
      <w:marLeft w:val="0"/>
      <w:marRight w:val="0"/>
      <w:marTop w:val="0"/>
      <w:marBottom w:val="0"/>
      <w:divBdr>
        <w:top w:val="none" w:sz="0" w:space="0" w:color="auto"/>
        <w:left w:val="none" w:sz="0" w:space="0" w:color="auto"/>
        <w:bottom w:val="none" w:sz="0" w:space="0" w:color="auto"/>
        <w:right w:val="none" w:sz="0" w:space="0" w:color="auto"/>
      </w:divBdr>
      <w:divsChild>
        <w:div w:id="1813911420">
          <w:marLeft w:val="0"/>
          <w:marRight w:val="0"/>
          <w:marTop w:val="0"/>
          <w:marBottom w:val="0"/>
          <w:divBdr>
            <w:top w:val="none" w:sz="0" w:space="0" w:color="auto"/>
            <w:left w:val="none" w:sz="0" w:space="0" w:color="auto"/>
            <w:bottom w:val="none" w:sz="0" w:space="0" w:color="auto"/>
            <w:right w:val="none" w:sz="0" w:space="0" w:color="auto"/>
          </w:divBdr>
          <w:divsChild>
            <w:div w:id="833031295">
              <w:marLeft w:val="0"/>
              <w:marRight w:val="0"/>
              <w:marTop w:val="0"/>
              <w:marBottom w:val="0"/>
              <w:divBdr>
                <w:top w:val="none" w:sz="0" w:space="0" w:color="auto"/>
                <w:left w:val="none" w:sz="0" w:space="0" w:color="auto"/>
                <w:bottom w:val="none" w:sz="0" w:space="0" w:color="auto"/>
                <w:right w:val="none" w:sz="0" w:space="0" w:color="auto"/>
              </w:divBdr>
              <w:divsChild>
                <w:div w:id="56230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6275">
      <w:bodyDiv w:val="1"/>
      <w:marLeft w:val="0"/>
      <w:marRight w:val="0"/>
      <w:marTop w:val="0"/>
      <w:marBottom w:val="0"/>
      <w:divBdr>
        <w:top w:val="none" w:sz="0" w:space="0" w:color="auto"/>
        <w:left w:val="none" w:sz="0" w:space="0" w:color="auto"/>
        <w:bottom w:val="none" w:sz="0" w:space="0" w:color="auto"/>
        <w:right w:val="none" w:sz="0" w:space="0" w:color="auto"/>
      </w:divBdr>
      <w:divsChild>
        <w:div w:id="234094850">
          <w:marLeft w:val="0"/>
          <w:marRight w:val="0"/>
          <w:marTop w:val="0"/>
          <w:marBottom w:val="0"/>
          <w:divBdr>
            <w:top w:val="none" w:sz="0" w:space="0" w:color="auto"/>
            <w:left w:val="none" w:sz="0" w:space="0" w:color="auto"/>
            <w:bottom w:val="none" w:sz="0" w:space="0" w:color="auto"/>
            <w:right w:val="none" w:sz="0" w:space="0" w:color="auto"/>
          </w:divBdr>
          <w:divsChild>
            <w:div w:id="738402533">
              <w:marLeft w:val="0"/>
              <w:marRight w:val="0"/>
              <w:marTop w:val="0"/>
              <w:marBottom w:val="0"/>
              <w:divBdr>
                <w:top w:val="none" w:sz="0" w:space="0" w:color="auto"/>
                <w:left w:val="none" w:sz="0" w:space="0" w:color="auto"/>
                <w:bottom w:val="none" w:sz="0" w:space="0" w:color="auto"/>
                <w:right w:val="none" w:sz="0" w:space="0" w:color="auto"/>
              </w:divBdr>
              <w:divsChild>
                <w:div w:id="209119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63869">
          <w:marLeft w:val="0"/>
          <w:marRight w:val="0"/>
          <w:marTop w:val="0"/>
          <w:marBottom w:val="0"/>
          <w:divBdr>
            <w:top w:val="none" w:sz="0" w:space="0" w:color="auto"/>
            <w:left w:val="none" w:sz="0" w:space="0" w:color="auto"/>
            <w:bottom w:val="none" w:sz="0" w:space="0" w:color="auto"/>
            <w:right w:val="none" w:sz="0" w:space="0" w:color="auto"/>
          </w:divBdr>
          <w:divsChild>
            <w:div w:id="1762487522">
              <w:marLeft w:val="0"/>
              <w:marRight w:val="0"/>
              <w:marTop w:val="0"/>
              <w:marBottom w:val="0"/>
              <w:divBdr>
                <w:top w:val="none" w:sz="0" w:space="0" w:color="auto"/>
                <w:left w:val="none" w:sz="0" w:space="0" w:color="auto"/>
                <w:bottom w:val="none" w:sz="0" w:space="0" w:color="auto"/>
                <w:right w:val="none" w:sz="0" w:space="0" w:color="auto"/>
              </w:divBdr>
              <w:divsChild>
                <w:div w:id="71874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285430">
      <w:bodyDiv w:val="1"/>
      <w:marLeft w:val="0"/>
      <w:marRight w:val="0"/>
      <w:marTop w:val="0"/>
      <w:marBottom w:val="0"/>
      <w:divBdr>
        <w:top w:val="none" w:sz="0" w:space="0" w:color="auto"/>
        <w:left w:val="none" w:sz="0" w:space="0" w:color="auto"/>
        <w:bottom w:val="none" w:sz="0" w:space="0" w:color="auto"/>
        <w:right w:val="none" w:sz="0" w:space="0" w:color="auto"/>
      </w:divBdr>
      <w:divsChild>
        <w:div w:id="480196018">
          <w:marLeft w:val="0"/>
          <w:marRight w:val="0"/>
          <w:marTop w:val="0"/>
          <w:marBottom w:val="0"/>
          <w:divBdr>
            <w:top w:val="none" w:sz="0" w:space="0" w:color="auto"/>
            <w:left w:val="none" w:sz="0" w:space="0" w:color="auto"/>
            <w:bottom w:val="none" w:sz="0" w:space="0" w:color="auto"/>
            <w:right w:val="none" w:sz="0" w:space="0" w:color="auto"/>
          </w:divBdr>
          <w:divsChild>
            <w:div w:id="1923954122">
              <w:marLeft w:val="0"/>
              <w:marRight w:val="0"/>
              <w:marTop w:val="0"/>
              <w:marBottom w:val="0"/>
              <w:divBdr>
                <w:top w:val="none" w:sz="0" w:space="0" w:color="auto"/>
                <w:left w:val="none" w:sz="0" w:space="0" w:color="auto"/>
                <w:bottom w:val="none" w:sz="0" w:space="0" w:color="auto"/>
                <w:right w:val="none" w:sz="0" w:space="0" w:color="auto"/>
              </w:divBdr>
              <w:divsChild>
                <w:div w:id="212441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995160">
      <w:bodyDiv w:val="1"/>
      <w:marLeft w:val="0"/>
      <w:marRight w:val="0"/>
      <w:marTop w:val="0"/>
      <w:marBottom w:val="0"/>
      <w:divBdr>
        <w:top w:val="none" w:sz="0" w:space="0" w:color="auto"/>
        <w:left w:val="none" w:sz="0" w:space="0" w:color="auto"/>
        <w:bottom w:val="none" w:sz="0" w:space="0" w:color="auto"/>
        <w:right w:val="none" w:sz="0" w:space="0" w:color="auto"/>
      </w:divBdr>
      <w:divsChild>
        <w:div w:id="1929072806">
          <w:marLeft w:val="0"/>
          <w:marRight w:val="0"/>
          <w:marTop w:val="0"/>
          <w:marBottom w:val="0"/>
          <w:divBdr>
            <w:top w:val="none" w:sz="0" w:space="0" w:color="auto"/>
            <w:left w:val="none" w:sz="0" w:space="0" w:color="auto"/>
            <w:bottom w:val="none" w:sz="0" w:space="0" w:color="auto"/>
            <w:right w:val="none" w:sz="0" w:space="0" w:color="auto"/>
          </w:divBdr>
          <w:divsChild>
            <w:div w:id="458182755">
              <w:marLeft w:val="0"/>
              <w:marRight w:val="0"/>
              <w:marTop w:val="0"/>
              <w:marBottom w:val="0"/>
              <w:divBdr>
                <w:top w:val="none" w:sz="0" w:space="0" w:color="auto"/>
                <w:left w:val="none" w:sz="0" w:space="0" w:color="auto"/>
                <w:bottom w:val="none" w:sz="0" w:space="0" w:color="auto"/>
                <w:right w:val="none" w:sz="0" w:space="0" w:color="auto"/>
              </w:divBdr>
              <w:divsChild>
                <w:div w:id="56526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749165">
      <w:bodyDiv w:val="1"/>
      <w:marLeft w:val="0"/>
      <w:marRight w:val="0"/>
      <w:marTop w:val="0"/>
      <w:marBottom w:val="0"/>
      <w:divBdr>
        <w:top w:val="none" w:sz="0" w:space="0" w:color="auto"/>
        <w:left w:val="none" w:sz="0" w:space="0" w:color="auto"/>
        <w:bottom w:val="none" w:sz="0" w:space="0" w:color="auto"/>
        <w:right w:val="none" w:sz="0" w:space="0" w:color="auto"/>
      </w:divBdr>
      <w:divsChild>
        <w:div w:id="1655062736">
          <w:marLeft w:val="0"/>
          <w:marRight w:val="0"/>
          <w:marTop w:val="0"/>
          <w:marBottom w:val="0"/>
          <w:divBdr>
            <w:top w:val="none" w:sz="0" w:space="0" w:color="auto"/>
            <w:left w:val="none" w:sz="0" w:space="0" w:color="auto"/>
            <w:bottom w:val="none" w:sz="0" w:space="0" w:color="auto"/>
            <w:right w:val="none" w:sz="0" w:space="0" w:color="auto"/>
          </w:divBdr>
          <w:divsChild>
            <w:div w:id="530725838">
              <w:marLeft w:val="0"/>
              <w:marRight w:val="0"/>
              <w:marTop w:val="0"/>
              <w:marBottom w:val="0"/>
              <w:divBdr>
                <w:top w:val="none" w:sz="0" w:space="0" w:color="auto"/>
                <w:left w:val="none" w:sz="0" w:space="0" w:color="auto"/>
                <w:bottom w:val="none" w:sz="0" w:space="0" w:color="auto"/>
                <w:right w:val="none" w:sz="0" w:space="0" w:color="auto"/>
              </w:divBdr>
              <w:divsChild>
                <w:div w:id="178056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327481">
      <w:bodyDiv w:val="1"/>
      <w:marLeft w:val="0"/>
      <w:marRight w:val="0"/>
      <w:marTop w:val="0"/>
      <w:marBottom w:val="0"/>
      <w:divBdr>
        <w:top w:val="none" w:sz="0" w:space="0" w:color="auto"/>
        <w:left w:val="none" w:sz="0" w:space="0" w:color="auto"/>
        <w:bottom w:val="none" w:sz="0" w:space="0" w:color="auto"/>
        <w:right w:val="none" w:sz="0" w:space="0" w:color="auto"/>
      </w:divBdr>
      <w:divsChild>
        <w:div w:id="416026532">
          <w:marLeft w:val="0"/>
          <w:marRight w:val="0"/>
          <w:marTop w:val="0"/>
          <w:marBottom w:val="0"/>
          <w:divBdr>
            <w:top w:val="none" w:sz="0" w:space="0" w:color="auto"/>
            <w:left w:val="none" w:sz="0" w:space="0" w:color="auto"/>
            <w:bottom w:val="none" w:sz="0" w:space="0" w:color="auto"/>
            <w:right w:val="none" w:sz="0" w:space="0" w:color="auto"/>
          </w:divBdr>
          <w:divsChild>
            <w:div w:id="36973201">
              <w:marLeft w:val="0"/>
              <w:marRight w:val="0"/>
              <w:marTop w:val="0"/>
              <w:marBottom w:val="0"/>
              <w:divBdr>
                <w:top w:val="none" w:sz="0" w:space="0" w:color="auto"/>
                <w:left w:val="none" w:sz="0" w:space="0" w:color="auto"/>
                <w:bottom w:val="none" w:sz="0" w:space="0" w:color="auto"/>
                <w:right w:val="none" w:sz="0" w:space="0" w:color="auto"/>
              </w:divBdr>
              <w:divsChild>
                <w:div w:id="13448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858052">
      <w:bodyDiv w:val="1"/>
      <w:marLeft w:val="0"/>
      <w:marRight w:val="0"/>
      <w:marTop w:val="0"/>
      <w:marBottom w:val="0"/>
      <w:divBdr>
        <w:top w:val="none" w:sz="0" w:space="0" w:color="auto"/>
        <w:left w:val="none" w:sz="0" w:space="0" w:color="auto"/>
        <w:bottom w:val="none" w:sz="0" w:space="0" w:color="auto"/>
        <w:right w:val="none" w:sz="0" w:space="0" w:color="auto"/>
      </w:divBdr>
      <w:divsChild>
        <w:div w:id="42490096">
          <w:marLeft w:val="0"/>
          <w:marRight w:val="0"/>
          <w:marTop w:val="0"/>
          <w:marBottom w:val="0"/>
          <w:divBdr>
            <w:top w:val="none" w:sz="0" w:space="0" w:color="auto"/>
            <w:left w:val="none" w:sz="0" w:space="0" w:color="auto"/>
            <w:bottom w:val="none" w:sz="0" w:space="0" w:color="auto"/>
            <w:right w:val="none" w:sz="0" w:space="0" w:color="auto"/>
          </w:divBdr>
          <w:divsChild>
            <w:div w:id="2053188731">
              <w:marLeft w:val="0"/>
              <w:marRight w:val="0"/>
              <w:marTop w:val="0"/>
              <w:marBottom w:val="0"/>
              <w:divBdr>
                <w:top w:val="none" w:sz="0" w:space="0" w:color="auto"/>
                <w:left w:val="none" w:sz="0" w:space="0" w:color="auto"/>
                <w:bottom w:val="none" w:sz="0" w:space="0" w:color="auto"/>
                <w:right w:val="none" w:sz="0" w:space="0" w:color="auto"/>
              </w:divBdr>
              <w:divsChild>
                <w:div w:id="127594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013252">
      <w:bodyDiv w:val="1"/>
      <w:marLeft w:val="0"/>
      <w:marRight w:val="0"/>
      <w:marTop w:val="0"/>
      <w:marBottom w:val="0"/>
      <w:divBdr>
        <w:top w:val="none" w:sz="0" w:space="0" w:color="auto"/>
        <w:left w:val="none" w:sz="0" w:space="0" w:color="auto"/>
        <w:bottom w:val="none" w:sz="0" w:space="0" w:color="auto"/>
        <w:right w:val="none" w:sz="0" w:space="0" w:color="auto"/>
      </w:divBdr>
      <w:divsChild>
        <w:div w:id="980647258">
          <w:marLeft w:val="0"/>
          <w:marRight w:val="0"/>
          <w:marTop w:val="0"/>
          <w:marBottom w:val="0"/>
          <w:divBdr>
            <w:top w:val="none" w:sz="0" w:space="0" w:color="auto"/>
            <w:left w:val="none" w:sz="0" w:space="0" w:color="auto"/>
            <w:bottom w:val="none" w:sz="0" w:space="0" w:color="auto"/>
            <w:right w:val="none" w:sz="0" w:space="0" w:color="auto"/>
          </w:divBdr>
          <w:divsChild>
            <w:div w:id="335962484">
              <w:marLeft w:val="0"/>
              <w:marRight w:val="0"/>
              <w:marTop w:val="0"/>
              <w:marBottom w:val="0"/>
              <w:divBdr>
                <w:top w:val="none" w:sz="0" w:space="0" w:color="auto"/>
                <w:left w:val="none" w:sz="0" w:space="0" w:color="auto"/>
                <w:bottom w:val="none" w:sz="0" w:space="0" w:color="auto"/>
                <w:right w:val="none" w:sz="0" w:space="0" w:color="auto"/>
              </w:divBdr>
              <w:divsChild>
                <w:div w:id="5976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15939">
      <w:bodyDiv w:val="1"/>
      <w:marLeft w:val="0"/>
      <w:marRight w:val="0"/>
      <w:marTop w:val="0"/>
      <w:marBottom w:val="0"/>
      <w:divBdr>
        <w:top w:val="none" w:sz="0" w:space="0" w:color="auto"/>
        <w:left w:val="none" w:sz="0" w:space="0" w:color="auto"/>
        <w:bottom w:val="none" w:sz="0" w:space="0" w:color="auto"/>
        <w:right w:val="none" w:sz="0" w:space="0" w:color="auto"/>
      </w:divBdr>
      <w:divsChild>
        <w:div w:id="2013408220">
          <w:marLeft w:val="0"/>
          <w:marRight w:val="0"/>
          <w:marTop w:val="0"/>
          <w:marBottom w:val="0"/>
          <w:divBdr>
            <w:top w:val="none" w:sz="0" w:space="0" w:color="auto"/>
            <w:left w:val="none" w:sz="0" w:space="0" w:color="auto"/>
            <w:bottom w:val="none" w:sz="0" w:space="0" w:color="auto"/>
            <w:right w:val="none" w:sz="0" w:space="0" w:color="auto"/>
          </w:divBdr>
          <w:divsChild>
            <w:div w:id="1572081031">
              <w:marLeft w:val="0"/>
              <w:marRight w:val="0"/>
              <w:marTop w:val="0"/>
              <w:marBottom w:val="0"/>
              <w:divBdr>
                <w:top w:val="none" w:sz="0" w:space="0" w:color="auto"/>
                <w:left w:val="none" w:sz="0" w:space="0" w:color="auto"/>
                <w:bottom w:val="none" w:sz="0" w:space="0" w:color="auto"/>
                <w:right w:val="none" w:sz="0" w:space="0" w:color="auto"/>
              </w:divBdr>
              <w:divsChild>
                <w:div w:id="16793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769832">
      <w:bodyDiv w:val="1"/>
      <w:marLeft w:val="0"/>
      <w:marRight w:val="0"/>
      <w:marTop w:val="0"/>
      <w:marBottom w:val="0"/>
      <w:divBdr>
        <w:top w:val="none" w:sz="0" w:space="0" w:color="auto"/>
        <w:left w:val="none" w:sz="0" w:space="0" w:color="auto"/>
        <w:bottom w:val="none" w:sz="0" w:space="0" w:color="auto"/>
        <w:right w:val="none" w:sz="0" w:space="0" w:color="auto"/>
      </w:divBdr>
      <w:divsChild>
        <w:div w:id="381709130">
          <w:marLeft w:val="0"/>
          <w:marRight w:val="0"/>
          <w:marTop w:val="0"/>
          <w:marBottom w:val="0"/>
          <w:divBdr>
            <w:top w:val="none" w:sz="0" w:space="0" w:color="auto"/>
            <w:left w:val="none" w:sz="0" w:space="0" w:color="auto"/>
            <w:bottom w:val="none" w:sz="0" w:space="0" w:color="auto"/>
            <w:right w:val="none" w:sz="0" w:space="0" w:color="auto"/>
          </w:divBdr>
          <w:divsChild>
            <w:div w:id="2086486278">
              <w:marLeft w:val="0"/>
              <w:marRight w:val="0"/>
              <w:marTop w:val="0"/>
              <w:marBottom w:val="0"/>
              <w:divBdr>
                <w:top w:val="none" w:sz="0" w:space="0" w:color="auto"/>
                <w:left w:val="none" w:sz="0" w:space="0" w:color="auto"/>
                <w:bottom w:val="none" w:sz="0" w:space="0" w:color="auto"/>
                <w:right w:val="none" w:sz="0" w:space="0" w:color="auto"/>
              </w:divBdr>
              <w:divsChild>
                <w:div w:id="78073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373239">
      <w:bodyDiv w:val="1"/>
      <w:marLeft w:val="0"/>
      <w:marRight w:val="0"/>
      <w:marTop w:val="0"/>
      <w:marBottom w:val="0"/>
      <w:divBdr>
        <w:top w:val="none" w:sz="0" w:space="0" w:color="auto"/>
        <w:left w:val="none" w:sz="0" w:space="0" w:color="auto"/>
        <w:bottom w:val="none" w:sz="0" w:space="0" w:color="auto"/>
        <w:right w:val="none" w:sz="0" w:space="0" w:color="auto"/>
      </w:divBdr>
      <w:divsChild>
        <w:div w:id="330446876">
          <w:marLeft w:val="0"/>
          <w:marRight w:val="0"/>
          <w:marTop w:val="0"/>
          <w:marBottom w:val="0"/>
          <w:divBdr>
            <w:top w:val="none" w:sz="0" w:space="0" w:color="auto"/>
            <w:left w:val="none" w:sz="0" w:space="0" w:color="auto"/>
            <w:bottom w:val="none" w:sz="0" w:space="0" w:color="auto"/>
            <w:right w:val="none" w:sz="0" w:space="0" w:color="auto"/>
          </w:divBdr>
          <w:divsChild>
            <w:div w:id="1940410217">
              <w:marLeft w:val="0"/>
              <w:marRight w:val="0"/>
              <w:marTop w:val="0"/>
              <w:marBottom w:val="0"/>
              <w:divBdr>
                <w:top w:val="none" w:sz="0" w:space="0" w:color="auto"/>
                <w:left w:val="none" w:sz="0" w:space="0" w:color="auto"/>
                <w:bottom w:val="none" w:sz="0" w:space="0" w:color="auto"/>
                <w:right w:val="none" w:sz="0" w:space="0" w:color="auto"/>
              </w:divBdr>
              <w:divsChild>
                <w:div w:id="7178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064">
      <w:bodyDiv w:val="1"/>
      <w:marLeft w:val="0"/>
      <w:marRight w:val="0"/>
      <w:marTop w:val="0"/>
      <w:marBottom w:val="0"/>
      <w:divBdr>
        <w:top w:val="none" w:sz="0" w:space="0" w:color="auto"/>
        <w:left w:val="none" w:sz="0" w:space="0" w:color="auto"/>
        <w:bottom w:val="none" w:sz="0" w:space="0" w:color="auto"/>
        <w:right w:val="none" w:sz="0" w:space="0" w:color="auto"/>
      </w:divBdr>
      <w:divsChild>
        <w:div w:id="829447242">
          <w:marLeft w:val="0"/>
          <w:marRight w:val="0"/>
          <w:marTop w:val="0"/>
          <w:marBottom w:val="0"/>
          <w:divBdr>
            <w:top w:val="none" w:sz="0" w:space="0" w:color="auto"/>
            <w:left w:val="none" w:sz="0" w:space="0" w:color="auto"/>
            <w:bottom w:val="none" w:sz="0" w:space="0" w:color="auto"/>
            <w:right w:val="none" w:sz="0" w:space="0" w:color="auto"/>
          </w:divBdr>
          <w:divsChild>
            <w:div w:id="1596671212">
              <w:marLeft w:val="0"/>
              <w:marRight w:val="0"/>
              <w:marTop w:val="0"/>
              <w:marBottom w:val="0"/>
              <w:divBdr>
                <w:top w:val="none" w:sz="0" w:space="0" w:color="auto"/>
                <w:left w:val="none" w:sz="0" w:space="0" w:color="auto"/>
                <w:bottom w:val="none" w:sz="0" w:space="0" w:color="auto"/>
                <w:right w:val="none" w:sz="0" w:space="0" w:color="auto"/>
              </w:divBdr>
              <w:divsChild>
                <w:div w:id="205091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64969">
      <w:bodyDiv w:val="1"/>
      <w:marLeft w:val="0"/>
      <w:marRight w:val="0"/>
      <w:marTop w:val="0"/>
      <w:marBottom w:val="0"/>
      <w:divBdr>
        <w:top w:val="none" w:sz="0" w:space="0" w:color="auto"/>
        <w:left w:val="none" w:sz="0" w:space="0" w:color="auto"/>
        <w:bottom w:val="none" w:sz="0" w:space="0" w:color="auto"/>
        <w:right w:val="none" w:sz="0" w:space="0" w:color="auto"/>
      </w:divBdr>
      <w:divsChild>
        <w:div w:id="1197236435">
          <w:marLeft w:val="0"/>
          <w:marRight w:val="0"/>
          <w:marTop w:val="0"/>
          <w:marBottom w:val="0"/>
          <w:divBdr>
            <w:top w:val="none" w:sz="0" w:space="0" w:color="auto"/>
            <w:left w:val="none" w:sz="0" w:space="0" w:color="auto"/>
            <w:bottom w:val="none" w:sz="0" w:space="0" w:color="auto"/>
            <w:right w:val="none" w:sz="0" w:space="0" w:color="auto"/>
          </w:divBdr>
          <w:divsChild>
            <w:div w:id="1943604153">
              <w:marLeft w:val="0"/>
              <w:marRight w:val="0"/>
              <w:marTop w:val="0"/>
              <w:marBottom w:val="0"/>
              <w:divBdr>
                <w:top w:val="none" w:sz="0" w:space="0" w:color="auto"/>
                <w:left w:val="none" w:sz="0" w:space="0" w:color="auto"/>
                <w:bottom w:val="none" w:sz="0" w:space="0" w:color="auto"/>
                <w:right w:val="none" w:sz="0" w:space="0" w:color="auto"/>
              </w:divBdr>
              <w:divsChild>
                <w:div w:id="49449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759972">
      <w:bodyDiv w:val="1"/>
      <w:marLeft w:val="0"/>
      <w:marRight w:val="0"/>
      <w:marTop w:val="0"/>
      <w:marBottom w:val="0"/>
      <w:divBdr>
        <w:top w:val="none" w:sz="0" w:space="0" w:color="auto"/>
        <w:left w:val="none" w:sz="0" w:space="0" w:color="auto"/>
        <w:bottom w:val="none" w:sz="0" w:space="0" w:color="auto"/>
        <w:right w:val="none" w:sz="0" w:space="0" w:color="auto"/>
      </w:divBdr>
    </w:div>
    <w:div w:id="812142472">
      <w:bodyDiv w:val="1"/>
      <w:marLeft w:val="0"/>
      <w:marRight w:val="0"/>
      <w:marTop w:val="0"/>
      <w:marBottom w:val="0"/>
      <w:divBdr>
        <w:top w:val="none" w:sz="0" w:space="0" w:color="auto"/>
        <w:left w:val="none" w:sz="0" w:space="0" w:color="auto"/>
        <w:bottom w:val="none" w:sz="0" w:space="0" w:color="auto"/>
        <w:right w:val="none" w:sz="0" w:space="0" w:color="auto"/>
      </w:divBdr>
      <w:divsChild>
        <w:div w:id="2054191938">
          <w:marLeft w:val="0"/>
          <w:marRight w:val="0"/>
          <w:marTop w:val="0"/>
          <w:marBottom w:val="0"/>
          <w:divBdr>
            <w:top w:val="none" w:sz="0" w:space="0" w:color="auto"/>
            <w:left w:val="none" w:sz="0" w:space="0" w:color="auto"/>
            <w:bottom w:val="none" w:sz="0" w:space="0" w:color="auto"/>
            <w:right w:val="none" w:sz="0" w:space="0" w:color="auto"/>
          </w:divBdr>
          <w:divsChild>
            <w:div w:id="1763069987">
              <w:marLeft w:val="0"/>
              <w:marRight w:val="0"/>
              <w:marTop w:val="0"/>
              <w:marBottom w:val="0"/>
              <w:divBdr>
                <w:top w:val="none" w:sz="0" w:space="0" w:color="auto"/>
                <w:left w:val="none" w:sz="0" w:space="0" w:color="auto"/>
                <w:bottom w:val="none" w:sz="0" w:space="0" w:color="auto"/>
                <w:right w:val="none" w:sz="0" w:space="0" w:color="auto"/>
              </w:divBdr>
              <w:divsChild>
                <w:div w:id="167217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927097">
      <w:bodyDiv w:val="1"/>
      <w:marLeft w:val="0"/>
      <w:marRight w:val="0"/>
      <w:marTop w:val="0"/>
      <w:marBottom w:val="0"/>
      <w:divBdr>
        <w:top w:val="none" w:sz="0" w:space="0" w:color="auto"/>
        <w:left w:val="none" w:sz="0" w:space="0" w:color="auto"/>
        <w:bottom w:val="none" w:sz="0" w:space="0" w:color="auto"/>
        <w:right w:val="none" w:sz="0" w:space="0" w:color="auto"/>
      </w:divBdr>
      <w:divsChild>
        <w:div w:id="829633437">
          <w:marLeft w:val="0"/>
          <w:marRight w:val="0"/>
          <w:marTop w:val="0"/>
          <w:marBottom w:val="0"/>
          <w:divBdr>
            <w:top w:val="none" w:sz="0" w:space="0" w:color="auto"/>
            <w:left w:val="none" w:sz="0" w:space="0" w:color="auto"/>
            <w:bottom w:val="none" w:sz="0" w:space="0" w:color="auto"/>
            <w:right w:val="none" w:sz="0" w:space="0" w:color="auto"/>
          </w:divBdr>
          <w:divsChild>
            <w:div w:id="1151361172">
              <w:marLeft w:val="0"/>
              <w:marRight w:val="0"/>
              <w:marTop w:val="0"/>
              <w:marBottom w:val="0"/>
              <w:divBdr>
                <w:top w:val="none" w:sz="0" w:space="0" w:color="auto"/>
                <w:left w:val="none" w:sz="0" w:space="0" w:color="auto"/>
                <w:bottom w:val="none" w:sz="0" w:space="0" w:color="auto"/>
                <w:right w:val="none" w:sz="0" w:space="0" w:color="auto"/>
              </w:divBdr>
              <w:divsChild>
                <w:div w:id="9867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951788">
      <w:bodyDiv w:val="1"/>
      <w:marLeft w:val="0"/>
      <w:marRight w:val="0"/>
      <w:marTop w:val="0"/>
      <w:marBottom w:val="0"/>
      <w:divBdr>
        <w:top w:val="none" w:sz="0" w:space="0" w:color="auto"/>
        <w:left w:val="none" w:sz="0" w:space="0" w:color="auto"/>
        <w:bottom w:val="none" w:sz="0" w:space="0" w:color="auto"/>
        <w:right w:val="none" w:sz="0" w:space="0" w:color="auto"/>
      </w:divBdr>
      <w:divsChild>
        <w:div w:id="1353263555">
          <w:marLeft w:val="0"/>
          <w:marRight w:val="0"/>
          <w:marTop w:val="0"/>
          <w:marBottom w:val="0"/>
          <w:divBdr>
            <w:top w:val="none" w:sz="0" w:space="0" w:color="auto"/>
            <w:left w:val="none" w:sz="0" w:space="0" w:color="auto"/>
            <w:bottom w:val="none" w:sz="0" w:space="0" w:color="auto"/>
            <w:right w:val="none" w:sz="0" w:space="0" w:color="auto"/>
          </w:divBdr>
          <w:divsChild>
            <w:div w:id="151992353">
              <w:marLeft w:val="0"/>
              <w:marRight w:val="0"/>
              <w:marTop w:val="0"/>
              <w:marBottom w:val="0"/>
              <w:divBdr>
                <w:top w:val="none" w:sz="0" w:space="0" w:color="auto"/>
                <w:left w:val="none" w:sz="0" w:space="0" w:color="auto"/>
                <w:bottom w:val="none" w:sz="0" w:space="0" w:color="auto"/>
                <w:right w:val="none" w:sz="0" w:space="0" w:color="auto"/>
              </w:divBdr>
              <w:divsChild>
                <w:div w:id="178260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139876">
      <w:bodyDiv w:val="1"/>
      <w:marLeft w:val="0"/>
      <w:marRight w:val="0"/>
      <w:marTop w:val="0"/>
      <w:marBottom w:val="0"/>
      <w:divBdr>
        <w:top w:val="none" w:sz="0" w:space="0" w:color="auto"/>
        <w:left w:val="none" w:sz="0" w:space="0" w:color="auto"/>
        <w:bottom w:val="none" w:sz="0" w:space="0" w:color="auto"/>
        <w:right w:val="none" w:sz="0" w:space="0" w:color="auto"/>
      </w:divBdr>
      <w:divsChild>
        <w:div w:id="889808100">
          <w:marLeft w:val="0"/>
          <w:marRight w:val="0"/>
          <w:marTop w:val="0"/>
          <w:marBottom w:val="0"/>
          <w:divBdr>
            <w:top w:val="none" w:sz="0" w:space="0" w:color="auto"/>
            <w:left w:val="none" w:sz="0" w:space="0" w:color="auto"/>
            <w:bottom w:val="none" w:sz="0" w:space="0" w:color="auto"/>
            <w:right w:val="none" w:sz="0" w:space="0" w:color="auto"/>
          </w:divBdr>
          <w:divsChild>
            <w:div w:id="276061">
              <w:marLeft w:val="0"/>
              <w:marRight w:val="0"/>
              <w:marTop w:val="0"/>
              <w:marBottom w:val="0"/>
              <w:divBdr>
                <w:top w:val="none" w:sz="0" w:space="0" w:color="auto"/>
                <w:left w:val="none" w:sz="0" w:space="0" w:color="auto"/>
                <w:bottom w:val="none" w:sz="0" w:space="0" w:color="auto"/>
                <w:right w:val="none" w:sz="0" w:space="0" w:color="auto"/>
              </w:divBdr>
              <w:divsChild>
                <w:div w:id="135287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73519">
      <w:bodyDiv w:val="1"/>
      <w:marLeft w:val="0"/>
      <w:marRight w:val="0"/>
      <w:marTop w:val="0"/>
      <w:marBottom w:val="0"/>
      <w:divBdr>
        <w:top w:val="none" w:sz="0" w:space="0" w:color="auto"/>
        <w:left w:val="none" w:sz="0" w:space="0" w:color="auto"/>
        <w:bottom w:val="none" w:sz="0" w:space="0" w:color="auto"/>
        <w:right w:val="none" w:sz="0" w:space="0" w:color="auto"/>
      </w:divBdr>
      <w:divsChild>
        <w:div w:id="2139955367">
          <w:marLeft w:val="0"/>
          <w:marRight w:val="0"/>
          <w:marTop w:val="0"/>
          <w:marBottom w:val="0"/>
          <w:divBdr>
            <w:top w:val="none" w:sz="0" w:space="0" w:color="auto"/>
            <w:left w:val="none" w:sz="0" w:space="0" w:color="auto"/>
            <w:bottom w:val="none" w:sz="0" w:space="0" w:color="auto"/>
            <w:right w:val="none" w:sz="0" w:space="0" w:color="auto"/>
          </w:divBdr>
          <w:divsChild>
            <w:div w:id="1842574968">
              <w:marLeft w:val="0"/>
              <w:marRight w:val="0"/>
              <w:marTop w:val="0"/>
              <w:marBottom w:val="0"/>
              <w:divBdr>
                <w:top w:val="none" w:sz="0" w:space="0" w:color="auto"/>
                <w:left w:val="none" w:sz="0" w:space="0" w:color="auto"/>
                <w:bottom w:val="none" w:sz="0" w:space="0" w:color="auto"/>
                <w:right w:val="none" w:sz="0" w:space="0" w:color="auto"/>
              </w:divBdr>
              <w:divsChild>
                <w:div w:id="112335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733940">
      <w:bodyDiv w:val="1"/>
      <w:marLeft w:val="0"/>
      <w:marRight w:val="0"/>
      <w:marTop w:val="0"/>
      <w:marBottom w:val="0"/>
      <w:divBdr>
        <w:top w:val="none" w:sz="0" w:space="0" w:color="auto"/>
        <w:left w:val="none" w:sz="0" w:space="0" w:color="auto"/>
        <w:bottom w:val="none" w:sz="0" w:space="0" w:color="auto"/>
        <w:right w:val="none" w:sz="0" w:space="0" w:color="auto"/>
      </w:divBdr>
      <w:divsChild>
        <w:div w:id="1032345050">
          <w:marLeft w:val="0"/>
          <w:marRight w:val="0"/>
          <w:marTop w:val="0"/>
          <w:marBottom w:val="0"/>
          <w:divBdr>
            <w:top w:val="none" w:sz="0" w:space="0" w:color="auto"/>
            <w:left w:val="none" w:sz="0" w:space="0" w:color="auto"/>
            <w:bottom w:val="none" w:sz="0" w:space="0" w:color="auto"/>
            <w:right w:val="none" w:sz="0" w:space="0" w:color="auto"/>
          </w:divBdr>
          <w:divsChild>
            <w:div w:id="1172767792">
              <w:marLeft w:val="0"/>
              <w:marRight w:val="0"/>
              <w:marTop w:val="0"/>
              <w:marBottom w:val="0"/>
              <w:divBdr>
                <w:top w:val="none" w:sz="0" w:space="0" w:color="auto"/>
                <w:left w:val="none" w:sz="0" w:space="0" w:color="auto"/>
                <w:bottom w:val="none" w:sz="0" w:space="0" w:color="auto"/>
                <w:right w:val="none" w:sz="0" w:space="0" w:color="auto"/>
              </w:divBdr>
              <w:divsChild>
                <w:div w:id="122506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282799">
      <w:bodyDiv w:val="1"/>
      <w:marLeft w:val="0"/>
      <w:marRight w:val="0"/>
      <w:marTop w:val="0"/>
      <w:marBottom w:val="0"/>
      <w:divBdr>
        <w:top w:val="none" w:sz="0" w:space="0" w:color="auto"/>
        <w:left w:val="none" w:sz="0" w:space="0" w:color="auto"/>
        <w:bottom w:val="none" w:sz="0" w:space="0" w:color="auto"/>
        <w:right w:val="none" w:sz="0" w:space="0" w:color="auto"/>
      </w:divBdr>
      <w:divsChild>
        <w:div w:id="1660422983">
          <w:marLeft w:val="0"/>
          <w:marRight w:val="0"/>
          <w:marTop w:val="0"/>
          <w:marBottom w:val="0"/>
          <w:divBdr>
            <w:top w:val="none" w:sz="0" w:space="0" w:color="auto"/>
            <w:left w:val="none" w:sz="0" w:space="0" w:color="auto"/>
            <w:bottom w:val="none" w:sz="0" w:space="0" w:color="auto"/>
            <w:right w:val="none" w:sz="0" w:space="0" w:color="auto"/>
          </w:divBdr>
          <w:divsChild>
            <w:div w:id="245186036">
              <w:marLeft w:val="0"/>
              <w:marRight w:val="0"/>
              <w:marTop w:val="0"/>
              <w:marBottom w:val="0"/>
              <w:divBdr>
                <w:top w:val="none" w:sz="0" w:space="0" w:color="auto"/>
                <w:left w:val="none" w:sz="0" w:space="0" w:color="auto"/>
                <w:bottom w:val="none" w:sz="0" w:space="0" w:color="auto"/>
                <w:right w:val="none" w:sz="0" w:space="0" w:color="auto"/>
              </w:divBdr>
              <w:divsChild>
                <w:div w:id="29834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533093">
      <w:bodyDiv w:val="1"/>
      <w:marLeft w:val="0"/>
      <w:marRight w:val="0"/>
      <w:marTop w:val="0"/>
      <w:marBottom w:val="0"/>
      <w:divBdr>
        <w:top w:val="none" w:sz="0" w:space="0" w:color="auto"/>
        <w:left w:val="none" w:sz="0" w:space="0" w:color="auto"/>
        <w:bottom w:val="none" w:sz="0" w:space="0" w:color="auto"/>
        <w:right w:val="none" w:sz="0" w:space="0" w:color="auto"/>
      </w:divBdr>
      <w:divsChild>
        <w:div w:id="2058239629">
          <w:marLeft w:val="0"/>
          <w:marRight w:val="0"/>
          <w:marTop w:val="0"/>
          <w:marBottom w:val="0"/>
          <w:divBdr>
            <w:top w:val="none" w:sz="0" w:space="0" w:color="auto"/>
            <w:left w:val="none" w:sz="0" w:space="0" w:color="auto"/>
            <w:bottom w:val="none" w:sz="0" w:space="0" w:color="auto"/>
            <w:right w:val="none" w:sz="0" w:space="0" w:color="auto"/>
          </w:divBdr>
          <w:divsChild>
            <w:div w:id="1409307650">
              <w:marLeft w:val="0"/>
              <w:marRight w:val="0"/>
              <w:marTop w:val="0"/>
              <w:marBottom w:val="0"/>
              <w:divBdr>
                <w:top w:val="none" w:sz="0" w:space="0" w:color="auto"/>
                <w:left w:val="none" w:sz="0" w:space="0" w:color="auto"/>
                <w:bottom w:val="none" w:sz="0" w:space="0" w:color="auto"/>
                <w:right w:val="none" w:sz="0" w:space="0" w:color="auto"/>
              </w:divBdr>
              <w:divsChild>
                <w:div w:id="22919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3887">
      <w:bodyDiv w:val="1"/>
      <w:marLeft w:val="0"/>
      <w:marRight w:val="0"/>
      <w:marTop w:val="0"/>
      <w:marBottom w:val="0"/>
      <w:divBdr>
        <w:top w:val="none" w:sz="0" w:space="0" w:color="auto"/>
        <w:left w:val="none" w:sz="0" w:space="0" w:color="auto"/>
        <w:bottom w:val="none" w:sz="0" w:space="0" w:color="auto"/>
        <w:right w:val="none" w:sz="0" w:space="0" w:color="auto"/>
      </w:divBdr>
      <w:divsChild>
        <w:div w:id="1710639891">
          <w:marLeft w:val="0"/>
          <w:marRight w:val="0"/>
          <w:marTop w:val="0"/>
          <w:marBottom w:val="0"/>
          <w:divBdr>
            <w:top w:val="none" w:sz="0" w:space="0" w:color="auto"/>
            <w:left w:val="none" w:sz="0" w:space="0" w:color="auto"/>
            <w:bottom w:val="none" w:sz="0" w:space="0" w:color="auto"/>
            <w:right w:val="none" w:sz="0" w:space="0" w:color="auto"/>
          </w:divBdr>
          <w:divsChild>
            <w:div w:id="803816475">
              <w:marLeft w:val="0"/>
              <w:marRight w:val="0"/>
              <w:marTop w:val="0"/>
              <w:marBottom w:val="0"/>
              <w:divBdr>
                <w:top w:val="none" w:sz="0" w:space="0" w:color="auto"/>
                <w:left w:val="none" w:sz="0" w:space="0" w:color="auto"/>
                <w:bottom w:val="none" w:sz="0" w:space="0" w:color="auto"/>
                <w:right w:val="none" w:sz="0" w:space="0" w:color="auto"/>
              </w:divBdr>
              <w:divsChild>
                <w:div w:id="52208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605313">
      <w:bodyDiv w:val="1"/>
      <w:marLeft w:val="0"/>
      <w:marRight w:val="0"/>
      <w:marTop w:val="0"/>
      <w:marBottom w:val="0"/>
      <w:divBdr>
        <w:top w:val="none" w:sz="0" w:space="0" w:color="auto"/>
        <w:left w:val="none" w:sz="0" w:space="0" w:color="auto"/>
        <w:bottom w:val="none" w:sz="0" w:space="0" w:color="auto"/>
        <w:right w:val="none" w:sz="0" w:space="0" w:color="auto"/>
      </w:divBdr>
      <w:divsChild>
        <w:div w:id="1575436137">
          <w:marLeft w:val="0"/>
          <w:marRight w:val="0"/>
          <w:marTop w:val="0"/>
          <w:marBottom w:val="0"/>
          <w:divBdr>
            <w:top w:val="none" w:sz="0" w:space="0" w:color="auto"/>
            <w:left w:val="none" w:sz="0" w:space="0" w:color="auto"/>
            <w:bottom w:val="none" w:sz="0" w:space="0" w:color="auto"/>
            <w:right w:val="none" w:sz="0" w:space="0" w:color="auto"/>
          </w:divBdr>
          <w:divsChild>
            <w:div w:id="1502156337">
              <w:marLeft w:val="0"/>
              <w:marRight w:val="0"/>
              <w:marTop w:val="0"/>
              <w:marBottom w:val="0"/>
              <w:divBdr>
                <w:top w:val="none" w:sz="0" w:space="0" w:color="auto"/>
                <w:left w:val="none" w:sz="0" w:space="0" w:color="auto"/>
                <w:bottom w:val="none" w:sz="0" w:space="0" w:color="auto"/>
                <w:right w:val="none" w:sz="0" w:space="0" w:color="auto"/>
              </w:divBdr>
              <w:divsChild>
                <w:div w:id="121696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470480">
      <w:bodyDiv w:val="1"/>
      <w:marLeft w:val="0"/>
      <w:marRight w:val="0"/>
      <w:marTop w:val="0"/>
      <w:marBottom w:val="0"/>
      <w:divBdr>
        <w:top w:val="none" w:sz="0" w:space="0" w:color="auto"/>
        <w:left w:val="none" w:sz="0" w:space="0" w:color="auto"/>
        <w:bottom w:val="none" w:sz="0" w:space="0" w:color="auto"/>
        <w:right w:val="none" w:sz="0" w:space="0" w:color="auto"/>
      </w:divBdr>
      <w:divsChild>
        <w:div w:id="853885871">
          <w:marLeft w:val="0"/>
          <w:marRight w:val="0"/>
          <w:marTop w:val="0"/>
          <w:marBottom w:val="0"/>
          <w:divBdr>
            <w:top w:val="none" w:sz="0" w:space="0" w:color="auto"/>
            <w:left w:val="none" w:sz="0" w:space="0" w:color="auto"/>
            <w:bottom w:val="none" w:sz="0" w:space="0" w:color="auto"/>
            <w:right w:val="none" w:sz="0" w:space="0" w:color="auto"/>
          </w:divBdr>
          <w:divsChild>
            <w:div w:id="1048456083">
              <w:marLeft w:val="0"/>
              <w:marRight w:val="0"/>
              <w:marTop w:val="0"/>
              <w:marBottom w:val="0"/>
              <w:divBdr>
                <w:top w:val="none" w:sz="0" w:space="0" w:color="auto"/>
                <w:left w:val="none" w:sz="0" w:space="0" w:color="auto"/>
                <w:bottom w:val="none" w:sz="0" w:space="0" w:color="auto"/>
                <w:right w:val="none" w:sz="0" w:space="0" w:color="auto"/>
              </w:divBdr>
              <w:divsChild>
                <w:div w:id="87630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817949">
      <w:bodyDiv w:val="1"/>
      <w:marLeft w:val="0"/>
      <w:marRight w:val="0"/>
      <w:marTop w:val="0"/>
      <w:marBottom w:val="0"/>
      <w:divBdr>
        <w:top w:val="none" w:sz="0" w:space="0" w:color="auto"/>
        <w:left w:val="none" w:sz="0" w:space="0" w:color="auto"/>
        <w:bottom w:val="none" w:sz="0" w:space="0" w:color="auto"/>
        <w:right w:val="none" w:sz="0" w:space="0" w:color="auto"/>
      </w:divBdr>
      <w:divsChild>
        <w:div w:id="1514415215">
          <w:marLeft w:val="0"/>
          <w:marRight w:val="0"/>
          <w:marTop w:val="0"/>
          <w:marBottom w:val="0"/>
          <w:divBdr>
            <w:top w:val="none" w:sz="0" w:space="0" w:color="auto"/>
            <w:left w:val="none" w:sz="0" w:space="0" w:color="auto"/>
            <w:bottom w:val="none" w:sz="0" w:space="0" w:color="auto"/>
            <w:right w:val="none" w:sz="0" w:space="0" w:color="auto"/>
          </w:divBdr>
          <w:divsChild>
            <w:div w:id="1655140852">
              <w:marLeft w:val="0"/>
              <w:marRight w:val="0"/>
              <w:marTop w:val="0"/>
              <w:marBottom w:val="0"/>
              <w:divBdr>
                <w:top w:val="none" w:sz="0" w:space="0" w:color="auto"/>
                <w:left w:val="none" w:sz="0" w:space="0" w:color="auto"/>
                <w:bottom w:val="none" w:sz="0" w:space="0" w:color="auto"/>
                <w:right w:val="none" w:sz="0" w:space="0" w:color="auto"/>
              </w:divBdr>
              <w:divsChild>
                <w:div w:id="205896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758164">
      <w:bodyDiv w:val="1"/>
      <w:marLeft w:val="0"/>
      <w:marRight w:val="0"/>
      <w:marTop w:val="0"/>
      <w:marBottom w:val="0"/>
      <w:divBdr>
        <w:top w:val="none" w:sz="0" w:space="0" w:color="auto"/>
        <w:left w:val="none" w:sz="0" w:space="0" w:color="auto"/>
        <w:bottom w:val="none" w:sz="0" w:space="0" w:color="auto"/>
        <w:right w:val="none" w:sz="0" w:space="0" w:color="auto"/>
      </w:divBdr>
      <w:divsChild>
        <w:div w:id="154801529">
          <w:marLeft w:val="0"/>
          <w:marRight w:val="0"/>
          <w:marTop w:val="0"/>
          <w:marBottom w:val="0"/>
          <w:divBdr>
            <w:top w:val="none" w:sz="0" w:space="0" w:color="auto"/>
            <w:left w:val="none" w:sz="0" w:space="0" w:color="auto"/>
            <w:bottom w:val="none" w:sz="0" w:space="0" w:color="auto"/>
            <w:right w:val="none" w:sz="0" w:space="0" w:color="auto"/>
          </w:divBdr>
          <w:divsChild>
            <w:div w:id="84233885">
              <w:marLeft w:val="0"/>
              <w:marRight w:val="0"/>
              <w:marTop w:val="0"/>
              <w:marBottom w:val="0"/>
              <w:divBdr>
                <w:top w:val="none" w:sz="0" w:space="0" w:color="auto"/>
                <w:left w:val="none" w:sz="0" w:space="0" w:color="auto"/>
                <w:bottom w:val="none" w:sz="0" w:space="0" w:color="auto"/>
                <w:right w:val="none" w:sz="0" w:space="0" w:color="auto"/>
              </w:divBdr>
              <w:divsChild>
                <w:div w:id="58237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260442">
      <w:bodyDiv w:val="1"/>
      <w:marLeft w:val="0"/>
      <w:marRight w:val="0"/>
      <w:marTop w:val="0"/>
      <w:marBottom w:val="0"/>
      <w:divBdr>
        <w:top w:val="none" w:sz="0" w:space="0" w:color="auto"/>
        <w:left w:val="none" w:sz="0" w:space="0" w:color="auto"/>
        <w:bottom w:val="none" w:sz="0" w:space="0" w:color="auto"/>
        <w:right w:val="none" w:sz="0" w:space="0" w:color="auto"/>
      </w:divBdr>
      <w:divsChild>
        <w:div w:id="797381749">
          <w:marLeft w:val="0"/>
          <w:marRight w:val="0"/>
          <w:marTop w:val="0"/>
          <w:marBottom w:val="0"/>
          <w:divBdr>
            <w:top w:val="none" w:sz="0" w:space="0" w:color="auto"/>
            <w:left w:val="none" w:sz="0" w:space="0" w:color="auto"/>
            <w:bottom w:val="none" w:sz="0" w:space="0" w:color="auto"/>
            <w:right w:val="none" w:sz="0" w:space="0" w:color="auto"/>
          </w:divBdr>
          <w:divsChild>
            <w:div w:id="1616793346">
              <w:marLeft w:val="0"/>
              <w:marRight w:val="0"/>
              <w:marTop w:val="0"/>
              <w:marBottom w:val="0"/>
              <w:divBdr>
                <w:top w:val="none" w:sz="0" w:space="0" w:color="auto"/>
                <w:left w:val="none" w:sz="0" w:space="0" w:color="auto"/>
                <w:bottom w:val="none" w:sz="0" w:space="0" w:color="auto"/>
                <w:right w:val="none" w:sz="0" w:space="0" w:color="auto"/>
              </w:divBdr>
              <w:divsChild>
                <w:div w:id="92052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469882">
      <w:bodyDiv w:val="1"/>
      <w:marLeft w:val="0"/>
      <w:marRight w:val="0"/>
      <w:marTop w:val="0"/>
      <w:marBottom w:val="0"/>
      <w:divBdr>
        <w:top w:val="none" w:sz="0" w:space="0" w:color="auto"/>
        <w:left w:val="none" w:sz="0" w:space="0" w:color="auto"/>
        <w:bottom w:val="none" w:sz="0" w:space="0" w:color="auto"/>
        <w:right w:val="none" w:sz="0" w:space="0" w:color="auto"/>
      </w:divBdr>
      <w:divsChild>
        <w:div w:id="19358605">
          <w:marLeft w:val="0"/>
          <w:marRight w:val="0"/>
          <w:marTop w:val="0"/>
          <w:marBottom w:val="0"/>
          <w:divBdr>
            <w:top w:val="none" w:sz="0" w:space="0" w:color="auto"/>
            <w:left w:val="none" w:sz="0" w:space="0" w:color="auto"/>
            <w:bottom w:val="none" w:sz="0" w:space="0" w:color="auto"/>
            <w:right w:val="none" w:sz="0" w:space="0" w:color="auto"/>
          </w:divBdr>
          <w:divsChild>
            <w:div w:id="950238584">
              <w:marLeft w:val="0"/>
              <w:marRight w:val="0"/>
              <w:marTop w:val="0"/>
              <w:marBottom w:val="0"/>
              <w:divBdr>
                <w:top w:val="none" w:sz="0" w:space="0" w:color="auto"/>
                <w:left w:val="none" w:sz="0" w:space="0" w:color="auto"/>
                <w:bottom w:val="none" w:sz="0" w:space="0" w:color="auto"/>
                <w:right w:val="none" w:sz="0" w:space="0" w:color="auto"/>
              </w:divBdr>
              <w:divsChild>
                <w:div w:id="149857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348939">
      <w:bodyDiv w:val="1"/>
      <w:marLeft w:val="0"/>
      <w:marRight w:val="0"/>
      <w:marTop w:val="0"/>
      <w:marBottom w:val="0"/>
      <w:divBdr>
        <w:top w:val="none" w:sz="0" w:space="0" w:color="auto"/>
        <w:left w:val="none" w:sz="0" w:space="0" w:color="auto"/>
        <w:bottom w:val="none" w:sz="0" w:space="0" w:color="auto"/>
        <w:right w:val="none" w:sz="0" w:space="0" w:color="auto"/>
      </w:divBdr>
      <w:divsChild>
        <w:div w:id="501241490">
          <w:marLeft w:val="0"/>
          <w:marRight w:val="0"/>
          <w:marTop w:val="0"/>
          <w:marBottom w:val="0"/>
          <w:divBdr>
            <w:top w:val="none" w:sz="0" w:space="0" w:color="auto"/>
            <w:left w:val="none" w:sz="0" w:space="0" w:color="auto"/>
            <w:bottom w:val="none" w:sz="0" w:space="0" w:color="auto"/>
            <w:right w:val="none" w:sz="0" w:space="0" w:color="auto"/>
          </w:divBdr>
          <w:divsChild>
            <w:div w:id="1864517171">
              <w:marLeft w:val="0"/>
              <w:marRight w:val="0"/>
              <w:marTop w:val="0"/>
              <w:marBottom w:val="0"/>
              <w:divBdr>
                <w:top w:val="none" w:sz="0" w:space="0" w:color="auto"/>
                <w:left w:val="none" w:sz="0" w:space="0" w:color="auto"/>
                <w:bottom w:val="none" w:sz="0" w:space="0" w:color="auto"/>
                <w:right w:val="none" w:sz="0" w:space="0" w:color="auto"/>
              </w:divBdr>
              <w:divsChild>
                <w:div w:id="80315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525544">
      <w:bodyDiv w:val="1"/>
      <w:marLeft w:val="0"/>
      <w:marRight w:val="0"/>
      <w:marTop w:val="0"/>
      <w:marBottom w:val="0"/>
      <w:divBdr>
        <w:top w:val="none" w:sz="0" w:space="0" w:color="auto"/>
        <w:left w:val="none" w:sz="0" w:space="0" w:color="auto"/>
        <w:bottom w:val="none" w:sz="0" w:space="0" w:color="auto"/>
        <w:right w:val="none" w:sz="0" w:space="0" w:color="auto"/>
      </w:divBdr>
      <w:divsChild>
        <w:div w:id="2015379262">
          <w:marLeft w:val="0"/>
          <w:marRight w:val="0"/>
          <w:marTop w:val="0"/>
          <w:marBottom w:val="0"/>
          <w:divBdr>
            <w:top w:val="none" w:sz="0" w:space="0" w:color="auto"/>
            <w:left w:val="none" w:sz="0" w:space="0" w:color="auto"/>
            <w:bottom w:val="none" w:sz="0" w:space="0" w:color="auto"/>
            <w:right w:val="none" w:sz="0" w:space="0" w:color="auto"/>
          </w:divBdr>
          <w:divsChild>
            <w:div w:id="105927118">
              <w:marLeft w:val="0"/>
              <w:marRight w:val="0"/>
              <w:marTop w:val="0"/>
              <w:marBottom w:val="0"/>
              <w:divBdr>
                <w:top w:val="none" w:sz="0" w:space="0" w:color="auto"/>
                <w:left w:val="none" w:sz="0" w:space="0" w:color="auto"/>
                <w:bottom w:val="none" w:sz="0" w:space="0" w:color="auto"/>
                <w:right w:val="none" w:sz="0" w:space="0" w:color="auto"/>
              </w:divBdr>
              <w:divsChild>
                <w:div w:id="136316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200422">
      <w:bodyDiv w:val="1"/>
      <w:marLeft w:val="0"/>
      <w:marRight w:val="0"/>
      <w:marTop w:val="0"/>
      <w:marBottom w:val="0"/>
      <w:divBdr>
        <w:top w:val="none" w:sz="0" w:space="0" w:color="auto"/>
        <w:left w:val="none" w:sz="0" w:space="0" w:color="auto"/>
        <w:bottom w:val="none" w:sz="0" w:space="0" w:color="auto"/>
        <w:right w:val="none" w:sz="0" w:space="0" w:color="auto"/>
      </w:divBdr>
      <w:divsChild>
        <w:div w:id="2108653055">
          <w:marLeft w:val="0"/>
          <w:marRight w:val="0"/>
          <w:marTop w:val="0"/>
          <w:marBottom w:val="0"/>
          <w:divBdr>
            <w:top w:val="none" w:sz="0" w:space="0" w:color="auto"/>
            <w:left w:val="none" w:sz="0" w:space="0" w:color="auto"/>
            <w:bottom w:val="none" w:sz="0" w:space="0" w:color="auto"/>
            <w:right w:val="none" w:sz="0" w:space="0" w:color="auto"/>
          </w:divBdr>
          <w:divsChild>
            <w:div w:id="826359182">
              <w:marLeft w:val="0"/>
              <w:marRight w:val="0"/>
              <w:marTop w:val="0"/>
              <w:marBottom w:val="0"/>
              <w:divBdr>
                <w:top w:val="none" w:sz="0" w:space="0" w:color="auto"/>
                <w:left w:val="none" w:sz="0" w:space="0" w:color="auto"/>
                <w:bottom w:val="none" w:sz="0" w:space="0" w:color="auto"/>
                <w:right w:val="none" w:sz="0" w:space="0" w:color="auto"/>
              </w:divBdr>
              <w:divsChild>
                <w:div w:id="188994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32404">
      <w:bodyDiv w:val="1"/>
      <w:marLeft w:val="0"/>
      <w:marRight w:val="0"/>
      <w:marTop w:val="0"/>
      <w:marBottom w:val="0"/>
      <w:divBdr>
        <w:top w:val="none" w:sz="0" w:space="0" w:color="auto"/>
        <w:left w:val="none" w:sz="0" w:space="0" w:color="auto"/>
        <w:bottom w:val="none" w:sz="0" w:space="0" w:color="auto"/>
        <w:right w:val="none" w:sz="0" w:space="0" w:color="auto"/>
      </w:divBdr>
      <w:divsChild>
        <w:div w:id="786971694">
          <w:marLeft w:val="0"/>
          <w:marRight w:val="0"/>
          <w:marTop w:val="0"/>
          <w:marBottom w:val="0"/>
          <w:divBdr>
            <w:top w:val="none" w:sz="0" w:space="0" w:color="auto"/>
            <w:left w:val="none" w:sz="0" w:space="0" w:color="auto"/>
            <w:bottom w:val="none" w:sz="0" w:space="0" w:color="auto"/>
            <w:right w:val="none" w:sz="0" w:space="0" w:color="auto"/>
          </w:divBdr>
          <w:divsChild>
            <w:div w:id="1427917003">
              <w:marLeft w:val="0"/>
              <w:marRight w:val="0"/>
              <w:marTop w:val="0"/>
              <w:marBottom w:val="0"/>
              <w:divBdr>
                <w:top w:val="none" w:sz="0" w:space="0" w:color="auto"/>
                <w:left w:val="none" w:sz="0" w:space="0" w:color="auto"/>
                <w:bottom w:val="none" w:sz="0" w:space="0" w:color="auto"/>
                <w:right w:val="none" w:sz="0" w:space="0" w:color="auto"/>
              </w:divBdr>
              <w:divsChild>
                <w:div w:id="6634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181749">
      <w:bodyDiv w:val="1"/>
      <w:marLeft w:val="0"/>
      <w:marRight w:val="0"/>
      <w:marTop w:val="0"/>
      <w:marBottom w:val="0"/>
      <w:divBdr>
        <w:top w:val="none" w:sz="0" w:space="0" w:color="auto"/>
        <w:left w:val="none" w:sz="0" w:space="0" w:color="auto"/>
        <w:bottom w:val="none" w:sz="0" w:space="0" w:color="auto"/>
        <w:right w:val="none" w:sz="0" w:space="0" w:color="auto"/>
      </w:divBdr>
      <w:divsChild>
        <w:div w:id="391587074">
          <w:marLeft w:val="0"/>
          <w:marRight w:val="0"/>
          <w:marTop w:val="0"/>
          <w:marBottom w:val="0"/>
          <w:divBdr>
            <w:top w:val="none" w:sz="0" w:space="0" w:color="auto"/>
            <w:left w:val="none" w:sz="0" w:space="0" w:color="auto"/>
            <w:bottom w:val="none" w:sz="0" w:space="0" w:color="auto"/>
            <w:right w:val="none" w:sz="0" w:space="0" w:color="auto"/>
          </w:divBdr>
          <w:divsChild>
            <w:div w:id="467673608">
              <w:marLeft w:val="0"/>
              <w:marRight w:val="0"/>
              <w:marTop w:val="0"/>
              <w:marBottom w:val="0"/>
              <w:divBdr>
                <w:top w:val="none" w:sz="0" w:space="0" w:color="auto"/>
                <w:left w:val="none" w:sz="0" w:space="0" w:color="auto"/>
                <w:bottom w:val="none" w:sz="0" w:space="0" w:color="auto"/>
                <w:right w:val="none" w:sz="0" w:space="0" w:color="auto"/>
              </w:divBdr>
              <w:divsChild>
                <w:div w:id="4078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91528">
      <w:bodyDiv w:val="1"/>
      <w:marLeft w:val="0"/>
      <w:marRight w:val="0"/>
      <w:marTop w:val="0"/>
      <w:marBottom w:val="0"/>
      <w:divBdr>
        <w:top w:val="none" w:sz="0" w:space="0" w:color="auto"/>
        <w:left w:val="none" w:sz="0" w:space="0" w:color="auto"/>
        <w:bottom w:val="none" w:sz="0" w:space="0" w:color="auto"/>
        <w:right w:val="none" w:sz="0" w:space="0" w:color="auto"/>
      </w:divBdr>
      <w:divsChild>
        <w:div w:id="94325224">
          <w:marLeft w:val="0"/>
          <w:marRight w:val="0"/>
          <w:marTop w:val="0"/>
          <w:marBottom w:val="0"/>
          <w:divBdr>
            <w:top w:val="none" w:sz="0" w:space="0" w:color="auto"/>
            <w:left w:val="none" w:sz="0" w:space="0" w:color="auto"/>
            <w:bottom w:val="none" w:sz="0" w:space="0" w:color="auto"/>
            <w:right w:val="none" w:sz="0" w:space="0" w:color="auto"/>
          </w:divBdr>
          <w:divsChild>
            <w:div w:id="1042439271">
              <w:marLeft w:val="0"/>
              <w:marRight w:val="0"/>
              <w:marTop w:val="0"/>
              <w:marBottom w:val="0"/>
              <w:divBdr>
                <w:top w:val="none" w:sz="0" w:space="0" w:color="auto"/>
                <w:left w:val="none" w:sz="0" w:space="0" w:color="auto"/>
                <w:bottom w:val="none" w:sz="0" w:space="0" w:color="auto"/>
                <w:right w:val="none" w:sz="0" w:space="0" w:color="auto"/>
              </w:divBdr>
              <w:divsChild>
                <w:div w:id="110835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572720">
      <w:bodyDiv w:val="1"/>
      <w:marLeft w:val="0"/>
      <w:marRight w:val="0"/>
      <w:marTop w:val="0"/>
      <w:marBottom w:val="0"/>
      <w:divBdr>
        <w:top w:val="none" w:sz="0" w:space="0" w:color="auto"/>
        <w:left w:val="none" w:sz="0" w:space="0" w:color="auto"/>
        <w:bottom w:val="none" w:sz="0" w:space="0" w:color="auto"/>
        <w:right w:val="none" w:sz="0" w:space="0" w:color="auto"/>
      </w:divBdr>
      <w:divsChild>
        <w:div w:id="479423188">
          <w:marLeft w:val="0"/>
          <w:marRight w:val="0"/>
          <w:marTop w:val="0"/>
          <w:marBottom w:val="0"/>
          <w:divBdr>
            <w:top w:val="none" w:sz="0" w:space="0" w:color="auto"/>
            <w:left w:val="none" w:sz="0" w:space="0" w:color="auto"/>
            <w:bottom w:val="none" w:sz="0" w:space="0" w:color="auto"/>
            <w:right w:val="none" w:sz="0" w:space="0" w:color="auto"/>
          </w:divBdr>
          <w:divsChild>
            <w:div w:id="815413593">
              <w:marLeft w:val="0"/>
              <w:marRight w:val="0"/>
              <w:marTop w:val="0"/>
              <w:marBottom w:val="0"/>
              <w:divBdr>
                <w:top w:val="none" w:sz="0" w:space="0" w:color="auto"/>
                <w:left w:val="none" w:sz="0" w:space="0" w:color="auto"/>
                <w:bottom w:val="none" w:sz="0" w:space="0" w:color="auto"/>
                <w:right w:val="none" w:sz="0" w:space="0" w:color="auto"/>
              </w:divBdr>
              <w:divsChild>
                <w:div w:id="159131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509">
      <w:bodyDiv w:val="1"/>
      <w:marLeft w:val="0"/>
      <w:marRight w:val="0"/>
      <w:marTop w:val="0"/>
      <w:marBottom w:val="0"/>
      <w:divBdr>
        <w:top w:val="none" w:sz="0" w:space="0" w:color="auto"/>
        <w:left w:val="none" w:sz="0" w:space="0" w:color="auto"/>
        <w:bottom w:val="none" w:sz="0" w:space="0" w:color="auto"/>
        <w:right w:val="none" w:sz="0" w:space="0" w:color="auto"/>
      </w:divBdr>
      <w:divsChild>
        <w:div w:id="564217610">
          <w:marLeft w:val="0"/>
          <w:marRight w:val="0"/>
          <w:marTop w:val="0"/>
          <w:marBottom w:val="0"/>
          <w:divBdr>
            <w:top w:val="none" w:sz="0" w:space="0" w:color="auto"/>
            <w:left w:val="none" w:sz="0" w:space="0" w:color="auto"/>
            <w:bottom w:val="none" w:sz="0" w:space="0" w:color="auto"/>
            <w:right w:val="none" w:sz="0" w:space="0" w:color="auto"/>
          </w:divBdr>
          <w:divsChild>
            <w:div w:id="152335846">
              <w:marLeft w:val="0"/>
              <w:marRight w:val="0"/>
              <w:marTop w:val="0"/>
              <w:marBottom w:val="0"/>
              <w:divBdr>
                <w:top w:val="none" w:sz="0" w:space="0" w:color="auto"/>
                <w:left w:val="none" w:sz="0" w:space="0" w:color="auto"/>
                <w:bottom w:val="none" w:sz="0" w:space="0" w:color="auto"/>
                <w:right w:val="none" w:sz="0" w:space="0" w:color="auto"/>
              </w:divBdr>
              <w:divsChild>
                <w:div w:id="17277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302155">
      <w:bodyDiv w:val="1"/>
      <w:marLeft w:val="0"/>
      <w:marRight w:val="0"/>
      <w:marTop w:val="0"/>
      <w:marBottom w:val="0"/>
      <w:divBdr>
        <w:top w:val="none" w:sz="0" w:space="0" w:color="auto"/>
        <w:left w:val="none" w:sz="0" w:space="0" w:color="auto"/>
        <w:bottom w:val="none" w:sz="0" w:space="0" w:color="auto"/>
        <w:right w:val="none" w:sz="0" w:space="0" w:color="auto"/>
      </w:divBdr>
      <w:divsChild>
        <w:div w:id="1609847983">
          <w:marLeft w:val="0"/>
          <w:marRight w:val="0"/>
          <w:marTop w:val="0"/>
          <w:marBottom w:val="0"/>
          <w:divBdr>
            <w:top w:val="none" w:sz="0" w:space="0" w:color="auto"/>
            <w:left w:val="none" w:sz="0" w:space="0" w:color="auto"/>
            <w:bottom w:val="none" w:sz="0" w:space="0" w:color="auto"/>
            <w:right w:val="none" w:sz="0" w:space="0" w:color="auto"/>
          </w:divBdr>
          <w:divsChild>
            <w:div w:id="760181267">
              <w:marLeft w:val="0"/>
              <w:marRight w:val="0"/>
              <w:marTop w:val="0"/>
              <w:marBottom w:val="0"/>
              <w:divBdr>
                <w:top w:val="none" w:sz="0" w:space="0" w:color="auto"/>
                <w:left w:val="none" w:sz="0" w:space="0" w:color="auto"/>
                <w:bottom w:val="none" w:sz="0" w:space="0" w:color="auto"/>
                <w:right w:val="none" w:sz="0" w:space="0" w:color="auto"/>
              </w:divBdr>
              <w:divsChild>
                <w:div w:id="5420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941233">
      <w:bodyDiv w:val="1"/>
      <w:marLeft w:val="0"/>
      <w:marRight w:val="0"/>
      <w:marTop w:val="0"/>
      <w:marBottom w:val="0"/>
      <w:divBdr>
        <w:top w:val="none" w:sz="0" w:space="0" w:color="auto"/>
        <w:left w:val="none" w:sz="0" w:space="0" w:color="auto"/>
        <w:bottom w:val="none" w:sz="0" w:space="0" w:color="auto"/>
        <w:right w:val="none" w:sz="0" w:space="0" w:color="auto"/>
      </w:divBdr>
      <w:divsChild>
        <w:div w:id="992609417">
          <w:marLeft w:val="0"/>
          <w:marRight w:val="0"/>
          <w:marTop w:val="0"/>
          <w:marBottom w:val="0"/>
          <w:divBdr>
            <w:top w:val="none" w:sz="0" w:space="0" w:color="auto"/>
            <w:left w:val="none" w:sz="0" w:space="0" w:color="auto"/>
            <w:bottom w:val="none" w:sz="0" w:space="0" w:color="auto"/>
            <w:right w:val="none" w:sz="0" w:space="0" w:color="auto"/>
          </w:divBdr>
          <w:divsChild>
            <w:div w:id="1932929929">
              <w:marLeft w:val="0"/>
              <w:marRight w:val="0"/>
              <w:marTop w:val="0"/>
              <w:marBottom w:val="0"/>
              <w:divBdr>
                <w:top w:val="none" w:sz="0" w:space="0" w:color="auto"/>
                <w:left w:val="none" w:sz="0" w:space="0" w:color="auto"/>
                <w:bottom w:val="none" w:sz="0" w:space="0" w:color="auto"/>
                <w:right w:val="none" w:sz="0" w:space="0" w:color="auto"/>
              </w:divBdr>
              <w:divsChild>
                <w:div w:id="44651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854974">
      <w:bodyDiv w:val="1"/>
      <w:marLeft w:val="0"/>
      <w:marRight w:val="0"/>
      <w:marTop w:val="0"/>
      <w:marBottom w:val="0"/>
      <w:divBdr>
        <w:top w:val="none" w:sz="0" w:space="0" w:color="auto"/>
        <w:left w:val="none" w:sz="0" w:space="0" w:color="auto"/>
        <w:bottom w:val="none" w:sz="0" w:space="0" w:color="auto"/>
        <w:right w:val="none" w:sz="0" w:space="0" w:color="auto"/>
      </w:divBdr>
      <w:divsChild>
        <w:div w:id="1583756224">
          <w:marLeft w:val="0"/>
          <w:marRight w:val="0"/>
          <w:marTop w:val="0"/>
          <w:marBottom w:val="0"/>
          <w:divBdr>
            <w:top w:val="none" w:sz="0" w:space="0" w:color="auto"/>
            <w:left w:val="none" w:sz="0" w:space="0" w:color="auto"/>
            <w:bottom w:val="none" w:sz="0" w:space="0" w:color="auto"/>
            <w:right w:val="none" w:sz="0" w:space="0" w:color="auto"/>
          </w:divBdr>
          <w:divsChild>
            <w:div w:id="1896887666">
              <w:marLeft w:val="0"/>
              <w:marRight w:val="0"/>
              <w:marTop w:val="0"/>
              <w:marBottom w:val="0"/>
              <w:divBdr>
                <w:top w:val="none" w:sz="0" w:space="0" w:color="auto"/>
                <w:left w:val="none" w:sz="0" w:space="0" w:color="auto"/>
                <w:bottom w:val="none" w:sz="0" w:space="0" w:color="auto"/>
                <w:right w:val="none" w:sz="0" w:space="0" w:color="auto"/>
              </w:divBdr>
              <w:divsChild>
                <w:div w:id="27282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959703">
      <w:bodyDiv w:val="1"/>
      <w:marLeft w:val="0"/>
      <w:marRight w:val="0"/>
      <w:marTop w:val="0"/>
      <w:marBottom w:val="0"/>
      <w:divBdr>
        <w:top w:val="none" w:sz="0" w:space="0" w:color="auto"/>
        <w:left w:val="none" w:sz="0" w:space="0" w:color="auto"/>
        <w:bottom w:val="none" w:sz="0" w:space="0" w:color="auto"/>
        <w:right w:val="none" w:sz="0" w:space="0" w:color="auto"/>
      </w:divBdr>
      <w:divsChild>
        <w:div w:id="1090080440">
          <w:marLeft w:val="0"/>
          <w:marRight w:val="0"/>
          <w:marTop w:val="0"/>
          <w:marBottom w:val="0"/>
          <w:divBdr>
            <w:top w:val="none" w:sz="0" w:space="0" w:color="auto"/>
            <w:left w:val="none" w:sz="0" w:space="0" w:color="auto"/>
            <w:bottom w:val="none" w:sz="0" w:space="0" w:color="auto"/>
            <w:right w:val="none" w:sz="0" w:space="0" w:color="auto"/>
          </w:divBdr>
          <w:divsChild>
            <w:div w:id="2086367135">
              <w:marLeft w:val="0"/>
              <w:marRight w:val="0"/>
              <w:marTop w:val="0"/>
              <w:marBottom w:val="0"/>
              <w:divBdr>
                <w:top w:val="none" w:sz="0" w:space="0" w:color="auto"/>
                <w:left w:val="none" w:sz="0" w:space="0" w:color="auto"/>
                <w:bottom w:val="none" w:sz="0" w:space="0" w:color="auto"/>
                <w:right w:val="none" w:sz="0" w:space="0" w:color="auto"/>
              </w:divBdr>
              <w:divsChild>
                <w:div w:id="66513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90804">
      <w:bodyDiv w:val="1"/>
      <w:marLeft w:val="0"/>
      <w:marRight w:val="0"/>
      <w:marTop w:val="0"/>
      <w:marBottom w:val="0"/>
      <w:divBdr>
        <w:top w:val="none" w:sz="0" w:space="0" w:color="auto"/>
        <w:left w:val="none" w:sz="0" w:space="0" w:color="auto"/>
        <w:bottom w:val="none" w:sz="0" w:space="0" w:color="auto"/>
        <w:right w:val="none" w:sz="0" w:space="0" w:color="auto"/>
      </w:divBdr>
      <w:divsChild>
        <w:div w:id="1721438793">
          <w:marLeft w:val="0"/>
          <w:marRight w:val="0"/>
          <w:marTop w:val="0"/>
          <w:marBottom w:val="0"/>
          <w:divBdr>
            <w:top w:val="none" w:sz="0" w:space="0" w:color="auto"/>
            <w:left w:val="none" w:sz="0" w:space="0" w:color="auto"/>
            <w:bottom w:val="none" w:sz="0" w:space="0" w:color="auto"/>
            <w:right w:val="none" w:sz="0" w:space="0" w:color="auto"/>
          </w:divBdr>
          <w:divsChild>
            <w:div w:id="1832521148">
              <w:marLeft w:val="0"/>
              <w:marRight w:val="0"/>
              <w:marTop w:val="0"/>
              <w:marBottom w:val="0"/>
              <w:divBdr>
                <w:top w:val="none" w:sz="0" w:space="0" w:color="auto"/>
                <w:left w:val="none" w:sz="0" w:space="0" w:color="auto"/>
                <w:bottom w:val="none" w:sz="0" w:space="0" w:color="auto"/>
                <w:right w:val="none" w:sz="0" w:space="0" w:color="auto"/>
              </w:divBdr>
              <w:divsChild>
                <w:div w:id="150038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67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599C030-9B07-424D-9FFE-51E04FA81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39865</Words>
  <Characters>227237</Characters>
  <Application>Microsoft Office Word</Application>
  <DocSecurity>0</DocSecurity>
  <Lines>1893</Lines>
  <Paragraphs>533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Lukacs, Matthew</dc:creator>
  <cp:keywords/>
  <dc:description/>
  <cp:lastModifiedBy>Lukacs, Matthew</cp:lastModifiedBy>
  <cp:revision>2</cp:revision>
  <dcterms:created xsi:type="dcterms:W3CDTF">2019-10-16T14:34:00Z</dcterms:created>
  <dcterms:modified xsi:type="dcterms:W3CDTF">2019-10-16T14:34:00Z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734509a7-99fc-380e-b5ab-05c1b1ff58d5</vt:lpwstr>
  </property>
  <property fmtid="{D5CDD505-2E9C-101B-9397-08002B2CF9AE}" pid="24" name="Mendeley Citation Style_1">
    <vt:lpwstr>http://www.zotero.org/styles/ieee</vt:lpwstr>
  </property>
</Properties>
</file>