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word/theme/theme1.xml" ContentType="application/vnd.openxmlformats-officedocument.theme+xml"/>
  <Override PartName="/word/settings.xml" ContentType="application/vnd.openxmlformats-officedocument.wordprocessingml.settings+xml"/>
  <Override PartName="/word/document.xml" ContentType="application/vnd.openxmlformats-officedocument.wordprocessingml.document.main+xml"/>
  <Override PartName="/word/_rels/document.xml.rels" ContentType="application/vnd.openxmlformats-package.relationships+xml"/>
  <Override PartName="/word/styles.xml" ContentType="application/vnd.openxmlformats-officedocument.wordprocessingml.styl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media/image2.jpeg" ContentType="image/jpeg"/>
  <Override PartName="/word/media/image1.jpeg" ContentType="image/jpeg"/>
  <Override PartName="/word/footer4.xml" ContentType="application/vnd.openxmlformats-officedocument.wordprocessingml.footer+xml"/>
  <Override PartName="/word/fontTable.xml" ContentType="application/vnd.openxmlformats-officedocument.wordprocessingml.fontTable+xml"/>
  <Override PartName="/word/comments.xml" ContentType="application/vnd.openxmlformats-officedocument.wordprocessingml.comments+xml"/>
  <Override PartName="/word/footer5.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480" w:before="0" w:after="0"/>
        <w:jc w:val="center"/>
        <w:rPr>
          <w:b/>
          <w:b/>
          <w:smallCaps/>
          <w:sz w:val="24"/>
          <w:szCs w:val="24"/>
        </w:rPr>
      </w:pPr>
      <w:r>
        <w:rPr>
          <w:b/>
          <w:smallCaps/>
          <w:sz w:val="24"/>
          <w:szCs w:val="24"/>
        </w:rPr>
        <w:t>cause-specific mortality in Eisenmenger syndrome in the current era</w:t>
      </w:r>
    </w:p>
    <w:p>
      <w:pPr>
        <w:pStyle w:val="Normal"/>
        <w:spacing w:lineRule="auto" w:line="480" w:before="0" w:after="0"/>
        <w:jc w:val="center"/>
        <w:rPr>
          <w:sz w:val="18"/>
          <w:szCs w:val="18"/>
        </w:rPr>
      </w:pPr>
      <w:r>
        <w:rPr>
          <w:sz w:val="18"/>
          <w:szCs w:val="18"/>
        </w:rPr>
      </w:r>
    </w:p>
    <w:p>
      <w:pPr>
        <w:pStyle w:val="Normal"/>
        <w:spacing w:lineRule="auto" w:line="360" w:before="0" w:after="0"/>
        <w:jc w:val="both"/>
        <w:rPr>
          <w:sz w:val="24"/>
          <w:szCs w:val="24"/>
        </w:rPr>
      </w:pPr>
      <w:r>
        <w:rPr>
          <w:sz w:val="24"/>
          <w:szCs w:val="24"/>
        </w:rPr>
        <w:t xml:space="preserve">Cristel M Sørensen Hjortshøj, Aleksander Kempny, Annette Schophuus Jensen, Keld Sørensen, Edit Nagy, Mikael Dellborg, Bengt Johansson, Virginija Rudiene, </w:t>
      </w:r>
      <w:r>
        <w:rPr>
          <w:szCs w:val="24"/>
        </w:rPr>
        <w:t>Gu Hong, Alexander Opotowsky, Werner Budts, Barbara J Mulder, Lidia Tomkiewicz-Pająk, Michele D’Alto, Katja Prokšelj, Gerhard-Paul Diller, Konstantinos Dimopoulos, Mette-Elise Estensen, Henrik Holmstrøm, Maila Turanlahti, Ulf Thilén</w:t>
      </w:r>
      <w:r>
        <w:rPr>
          <w:sz w:val="24"/>
          <w:szCs w:val="24"/>
        </w:rPr>
        <w:t>, Michael A. Gatzoulis, Lars Søndergaard.</w:t>
      </w:r>
    </w:p>
    <w:p>
      <w:pPr>
        <w:pStyle w:val="Normal"/>
        <w:spacing w:before="0" w:after="0"/>
        <w:jc w:val="both"/>
        <w:rPr/>
      </w:pPr>
      <w:r>
        <w:rPr/>
      </w:r>
    </w:p>
    <w:p>
      <w:pPr>
        <w:pStyle w:val="Normal"/>
        <w:spacing w:before="0" w:after="0"/>
        <w:jc w:val="both"/>
        <w:rPr/>
      </w:pPr>
      <w:r>
        <w:rPr/>
        <w:t>Affiliations:</w:t>
      </w:r>
    </w:p>
    <w:p>
      <w:pPr>
        <w:pStyle w:val="Normal"/>
        <w:spacing w:before="0" w:after="0"/>
        <w:jc w:val="both"/>
        <w:rPr/>
      </w:pPr>
      <w:r>
        <w:rPr>
          <w:b/>
          <w:szCs w:val="24"/>
        </w:rPr>
        <w:t>Department of Cardiology, Rigshospitalet, Copenhagen, Denmark</w:t>
      </w:r>
      <w:r>
        <w:rPr>
          <w:szCs w:val="24"/>
        </w:rPr>
        <w:t xml:space="preserve"> (C Sørensen Hjortshøj MD, A S Jensen MD PhD, L Søndergaard MD DMSc); </w:t>
      </w:r>
      <w:r>
        <w:rPr>
          <w:rFonts w:eastAsia="MS Mincho"/>
          <w:b/>
          <w:szCs w:val="24"/>
          <w:lang w:eastAsia="ja-JP"/>
        </w:rPr>
        <w:t>Adult Congenital Heart Centre and National Centre for Pulmonary Hypertension, National Heart and Lung Institute, Biomedical Research Unit, Royal Brompton Hospital, Imperial College, London, UK</w:t>
      </w:r>
      <w:r>
        <w:rPr>
          <w:szCs w:val="24"/>
        </w:rPr>
        <w:t xml:space="preserve"> (</w:t>
      </w:r>
      <w:r>
        <w:rPr/>
        <w:t>A Kempny MD, GP Diller MD PhD, K Dimopoulos MD MSc PhD FESC, MA Gatzoulis MD PhD</w:t>
      </w:r>
      <w:r>
        <w:rPr>
          <w:szCs w:val="24"/>
        </w:rPr>
        <w:t xml:space="preserve">); </w:t>
      </w:r>
      <w:r>
        <w:rPr>
          <w:b/>
          <w:szCs w:val="24"/>
        </w:rPr>
        <w:t xml:space="preserve">Department of Internal Medicine, Aalborg University Hospital, Farsoe, Denmark </w:t>
      </w:r>
      <w:r>
        <w:rPr>
          <w:szCs w:val="24"/>
        </w:rPr>
        <w:t xml:space="preserve">(K Sørensen MD); </w:t>
      </w:r>
      <w:r>
        <w:rPr>
          <w:b/>
          <w:szCs w:val="24"/>
        </w:rPr>
        <w:t>Department of Medicine, Karolinska Institutet</w:t>
      </w:r>
      <w:r>
        <w:rPr>
          <w:b/>
        </w:rPr>
        <w:t xml:space="preserve">, Stockholm, Sweden </w:t>
      </w:r>
      <w:r>
        <w:rPr/>
        <w:t xml:space="preserve">(E Nagy MD PhD); </w:t>
      </w:r>
      <w:r>
        <w:rPr>
          <w:b/>
          <w:szCs w:val="24"/>
        </w:rPr>
        <w:t>Department of Cardiology</w:t>
      </w:r>
      <w:r>
        <w:rPr>
          <w:b/>
        </w:rPr>
        <w:t xml:space="preserve">, Sahlgrenska Academy, University of Göteborg, Sweden </w:t>
      </w:r>
      <w:r>
        <w:rPr/>
        <w:t xml:space="preserve">(M Dellborg MD PhD); </w:t>
      </w:r>
      <w:r>
        <w:rPr>
          <w:b/>
          <w:szCs w:val="24"/>
        </w:rPr>
        <w:t>Department of Cardiology</w:t>
      </w:r>
      <w:r>
        <w:rPr>
          <w:b/>
        </w:rPr>
        <w:t>, Norrland University Hospital, Umeå, Sweden</w:t>
      </w:r>
      <w:r>
        <w:rPr/>
        <w:t xml:space="preserve"> (B Johansson MD, PhD) </w:t>
      </w:r>
      <w:r>
        <w:rPr>
          <w:b/>
        </w:rPr>
        <w:t xml:space="preserve">Department of Cardiology, Vilnius University Hospital, Vilnius, Lithuania </w:t>
      </w:r>
      <w:r>
        <w:rPr/>
        <w:t xml:space="preserve">(V Rudiene MD); </w:t>
      </w:r>
      <w:r>
        <w:rPr>
          <w:b/>
        </w:rPr>
        <w:t>Beijing Anzhen Hospital, Capital Medical University, Beijing, China</w:t>
      </w:r>
      <w:r>
        <w:rPr/>
        <w:t xml:space="preserve"> (G Hong MD PhD); </w:t>
      </w:r>
      <w:r>
        <w:rPr>
          <w:b/>
        </w:rPr>
        <w:t>Boston Adult Congenital Heart (BACH) and Pulmonary Hypertension Service, Boston Children's Hospital and Brigham and Women's Hospital, Harvard Medical School, Boston, USA</w:t>
      </w:r>
      <w:r>
        <w:rPr/>
        <w:t xml:space="preserve"> (A Opotowsky MD); </w:t>
      </w:r>
      <w:r>
        <w:rPr>
          <w:b/>
        </w:rPr>
        <w:t>Department of Cardiology, University Hospitals Leuven, Belgium</w:t>
      </w:r>
      <w:r>
        <w:rPr/>
        <w:t xml:space="preserve"> (W Budts MD); </w:t>
      </w:r>
      <w:r>
        <w:rPr>
          <w:b/>
        </w:rPr>
        <w:t>Department of Cardiology, Academic Medical Center, Amsterdam, Netherlands</w:t>
      </w:r>
      <w:r>
        <w:rPr/>
        <w:t xml:space="preserve"> (BJ Mulder MD PhD); </w:t>
      </w:r>
      <w:r>
        <w:rPr>
          <w:rStyle w:val="Strong"/>
          <w:lang w:val="de-DE"/>
        </w:rPr>
        <w:t xml:space="preserve">Department of Cardiac and Vascular Diseases, </w:t>
      </w:r>
      <w:r>
        <w:rPr>
          <w:rStyle w:val="Strong"/>
        </w:rPr>
        <w:t>Institute of Cardiology, Jagiellonian University Medical College, Cracow, Poland</w:t>
      </w:r>
      <w:r>
        <w:rPr/>
        <w:t xml:space="preserve"> (L Tomkiewicz-Pająk MD PhD); </w:t>
      </w:r>
      <w:r>
        <w:rPr>
          <w:b/>
        </w:rPr>
        <w:t>Department of Cardiology, Second University of Naples, Italy</w:t>
      </w:r>
      <w:r>
        <w:rPr/>
        <w:t xml:space="preserve"> (M D’Alto MD PhD); </w:t>
      </w:r>
      <w:r>
        <w:rPr>
          <w:b/>
        </w:rPr>
        <w:t>Department of Cardiology, University Medical Center Ljubljana, Slovenia</w:t>
      </w:r>
      <w:r>
        <w:rPr/>
        <w:t xml:space="preserve"> (K Prokšelj MD); </w:t>
      </w:r>
      <w:r>
        <w:rPr>
          <w:b/>
          <w:szCs w:val="24"/>
        </w:rPr>
        <w:t>Department of Cardiology</w:t>
      </w:r>
      <w:r>
        <w:rPr>
          <w:b/>
        </w:rPr>
        <w:t xml:space="preserve">, Rikshospitalet, Oslo, Norway </w:t>
      </w:r>
      <w:r>
        <w:rPr/>
        <w:t xml:space="preserve">(M-E Estensen MD PhD); </w:t>
      </w:r>
      <w:r>
        <w:rPr>
          <w:b/>
          <w:szCs w:val="24"/>
        </w:rPr>
        <w:t>Department of Paediatric Cardiology</w:t>
      </w:r>
      <w:r>
        <w:rPr>
          <w:b/>
        </w:rPr>
        <w:t xml:space="preserve">, Rikshospitalet, Oslo, Norway </w:t>
      </w:r>
      <w:r>
        <w:rPr/>
        <w:t xml:space="preserve">(H Holmstrøm MD DMSc); </w:t>
      </w:r>
      <w:r>
        <w:rPr>
          <w:b/>
          <w:szCs w:val="24"/>
        </w:rPr>
        <w:t>Pediatric cardiology</w:t>
      </w:r>
      <w:r>
        <w:rPr>
          <w:b/>
        </w:rPr>
        <w:t xml:space="preserve">, Hospital for Children and Adolescents, Helsinki University Central Hospital, Helsinki, Finland </w:t>
      </w:r>
      <w:r>
        <w:rPr/>
        <w:t xml:space="preserve">(M Turanlahti MD PhD); </w:t>
      </w:r>
      <w:r>
        <w:rPr>
          <w:b/>
        </w:rPr>
        <w:t xml:space="preserve">Department of Cardiology, Lund University Hospital, Lund, Sweden </w:t>
      </w:r>
      <w:r>
        <w:rPr/>
        <w:t>(U Thilén, MD PhD).</w:t>
      </w:r>
    </w:p>
    <w:p>
      <w:pPr>
        <w:pStyle w:val="Normal"/>
        <w:spacing w:before="0" w:after="0"/>
        <w:jc w:val="both"/>
        <w:rPr/>
      </w:pPr>
      <w:r>
        <w:rPr/>
      </w:r>
    </w:p>
    <w:p>
      <w:pPr>
        <w:pStyle w:val="Normal"/>
        <w:spacing w:lineRule="auto" w:line="360" w:before="0" w:after="0"/>
        <w:jc w:val="both"/>
        <w:rPr>
          <w:b/>
          <w:b/>
          <w:lang w:val="en-US"/>
        </w:rPr>
      </w:pPr>
      <w:r>
        <w:rPr>
          <w:b/>
        </w:rPr>
        <w:t>Acknowledgements</w:t>
      </w:r>
      <w:r>
        <w:rPr>
          <w:b/>
          <w:lang w:val="en-US"/>
        </w:rPr>
        <w:t>:</w:t>
      </w:r>
      <w:r>
        <w:rPr>
          <w:lang w:val="en-US"/>
        </w:rPr>
        <w:t xml:space="preserve"> </w:t>
      </w:r>
      <w:r>
        <w:rPr>
          <w:b/>
        </w:rPr>
        <w:t>T Kronvall</w:t>
      </w:r>
      <w:r>
        <w:rPr/>
        <w:t xml:space="preserve">, Department of Cardiology, Örebro University Hospital, Örebro, Sweden; </w:t>
      </w:r>
      <w:r>
        <w:rPr>
          <w:b/>
          <w:lang w:val="en-US"/>
        </w:rPr>
        <w:t>C Christersson</w:t>
      </w:r>
      <w:r>
        <w:rPr>
          <w:lang w:val="en-US"/>
        </w:rPr>
        <w:t xml:space="preserve">, Department of Cardiology, Akademiska University Hospital, Uppsala, Sweden; </w:t>
      </w:r>
      <w:r>
        <w:rPr>
          <w:b/>
          <w:lang w:val="en-US"/>
        </w:rPr>
        <w:t>A Trzebiatowska-Krzynska</w:t>
      </w:r>
      <w:r>
        <w:rPr>
          <w:lang w:val="en-US"/>
        </w:rPr>
        <w:t xml:space="preserve">, Department of Cardiology, Linköping University Hospital, Sweden; </w:t>
      </w:r>
      <w:r>
        <w:rPr>
          <w:b/>
          <w:lang w:val="en-US"/>
        </w:rPr>
        <w:t>T Omdal</w:t>
      </w:r>
      <w:r>
        <w:rPr>
          <w:lang w:val="en-US"/>
        </w:rPr>
        <w:t xml:space="preserve">, Department of Cardiology, Haukeland University Hospital, Bergen, Norway; </w:t>
      </w:r>
      <w:r>
        <w:rPr>
          <w:b/>
          <w:lang w:val="en-US"/>
        </w:rPr>
        <w:t>P Lötjönen</w:t>
      </w:r>
      <w:r>
        <w:rPr>
          <w:lang w:val="en-US"/>
        </w:rPr>
        <w:t xml:space="preserve">, </w:t>
      </w:r>
      <w:r>
        <w:rPr>
          <w:szCs w:val="24"/>
        </w:rPr>
        <w:t>Pediatric Cardiology</w:t>
      </w:r>
      <w:r>
        <w:rPr/>
        <w:t>, Hospital for Children and Adolescents, Helsinki University Central Hospital, Helsinki, Finland</w:t>
      </w:r>
      <w:r>
        <w:rPr>
          <w:lang w:val="en-US"/>
        </w:rPr>
        <w:t>;</w:t>
      </w:r>
      <w:r>
        <w:rPr>
          <w:b/>
        </w:rPr>
        <w:t xml:space="preserve"> W Li</w:t>
      </w:r>
      <w:r>
        <w:rPr/>
        <w:t>,</w:t>
      </w:r>
      <w:r>
        <w:rPr>
          <w:b/>
        </w:rPr>
        <w:t xml:space="preserve"> SJ Wort</w:t>
      </w:r>
      <w:r>
        <w:rPr/>
        <w:t xml:space="preserve">, Adult Congenital Heart Centre and National Centre for Pulmonary Hypertension, National Heart and Lung Institute, Biomedical Research Unit, Royal Brompton Hospital, Imperial College, London, UK; </w:t>
      </w:r>
      <w:r>
        <w:rPr>
          <w:b/>
        </w:rPr>
        <w:t xml:space="preserve"> </w:t>
      </w:r>
      <w:r>
        <w:rPr>
          <w:b/>
          <w:lang w:val="en-US"/>
        </w:rPr>
        <w:t>MJ Lantzberg</w:t>
      </w:r>
      <w:r>
        <w:rPr>
          <w:lang w:val="en-US"/>
        </w:rPr>
        <w:t xml:space="preserve">, </w:t>
      </w:r>
      <w:r>
        <w:rPr>
          <w:b/>
          <w:lang w:val="en-US"/>
        </w:rPr>
        <w:t>J Owumi</w:t>
      </w:r>
      <w:r>
        <w:rPr>
          <w:lang w:val="en-US"/>
        </w:rPr>
        <w:t xml:space="preserve"> </w:t>
      </w:r>
      <w:r>
        <w:rPr/>
        <w:t xml:space="preserve">Boston Adult Congenital Heart (BACH) and Pulmonary Hypertension Service, Boston Children's Hospital and Brigham and Women's Hospital, Harvard Medical School, Boston, USA; </w:t>
      </w:r>
      <w:r>
        <w:rPr>
          <w:b/>
        </w:rPr>
        <w:t>G Scognamiglio</w:t>
      </w:r>
      <w:r>
        <w:rPr/>
        <w:t xml:space="preserve">, Department of Cardiology, Second University of Naples, Italy; </w:t>
      </w:r>
      <w:r>
        <w:rPr>
          <w:b/>
        </w:rPr>
        <w:t>L Gumbiene</w:t>
      </w:r>
      <w:r>
        <w:rPr/>
        <w:t xml:space="preserve">, Department of Cardiology, Vilnius University Hospital, Vilnius, Lithuania; </w:t>
      </w:r>
      <w:r>
        <w:rPr>
          <w:b/>
        </w:rPr>
        <w:t>I Blok</w:t>
      </w:r>
      <w:r>
        <w:rPr/>
        <w:t>, Department of Cardiology, Academic Medical Center, Amsterdam, Netherlands</w:t>
      </w:r>
      <w:r>
        <w:rPr>
          <w:lang w:val="en-US"/>
        </w:rPr>
        <w:t xml:space="preserve">, </w:t>
      </w:r>
      <w:r>
        <w:rPr>
          <w:b/>
          <w:lang w:val="en-US"/>
        </w:rPr>
        <w:t>K</w:t>
      </w:r>
      <w:r>
        <w:rPr>
          <w:b/>
          <w:szCs w:val="24"/>
          <w:lang w:val="en-US"/>
        </w:rPr>
        <w:t xml:space="preserve"> Szostek</w:t>
      </w:r>
      <w:r>
        <w:rPr>
          <w:szCs w:val="24"/>
          <w:lang w:val="en-US"/>
        </w:rPr>
        <w:t xml:space="preserve">, </w:t>
      </w:r>
      <w:r>
        <w:rPr/>
        <w:t xml:space="preserve">AGH University of Science and Technology, Cracow, Poland. </w:t>
      </w:r>
    </w:p>
    <w:p>
      <w:pPr>
        <w:pStyle w:val="Normal"/>
        <w:spacing w:before="0" w:after="0"/>
        <w:jc w:val="both"/>
        <w:rPr/>
      </w:pPr>
      <w:r>
        <w:rPr/>
      </w:r>
    </w:p>
    <w:p>
      <w:pPr>
        <w:pStyle w:val="PlainText1"/>
        <w:spacing w:lineRule="auto" w:line="276"/>
        <w:rPr>
          <w:szCs w:val="22"/>
        </w:rPr>
      </w:pPr>
      <w:r>
        <w:rPr>
          <w:rFonts w:eastAsia="MS Mincho" w:cs="Times New Roman" w:ascii="Times New Roman" w:hAnsi="Times New Roman"/>
          <w:b/>
          <w:szCs w:val="22"/>
        </w:rPr>
        <w:t xml:space="preserve">Correspondence to: </w:t>
      </w:r>
      <w:r>
        <w:rPr>
          <w:rFonts w:eastAsia="MS Mincho" w:cs="Times New Roman" w:ascii="Times New Roman" w:hAnsi="Times New Roman"/>
          <w:szCs w:val="22"/>
        </w:rPr>
        <w:t>Dr Cristel Sørensen Hjortshøj</w:t>
      </w:r>
      <w:r>
        <w:rPr>
          <w:szCs w:val="22"/>
        </w:rPr>
        <w:t xml:space="preserve"> </w:t>
      </w:r>
    </w:p>
    <w:p>
      <w:pPr>
        <w:pStyle w:val="PlainText1"/>
        <w:spacing w:lineRule="auto" w:line="276"/>
        <w:rPr>
          <w:rFonts w:ascii="Times New Roman" w:hAnsi="Times New Roman" w:eastAsia="MS Mincho" w:cs="Times New Roman"/>
          <w:szCs w:val="22"/>
        </w:rPr>
      </w:pPr>
      <w:r>
        <w:rPr>
          <w:rFonts w:eastAsia="MS Mincho" w:cs="Times New Roman" w:ascii="Times New Roman" w:hAnsi="Times New Roman"/>
          <w:szCs w:val="22"/>
        </w:rPr>
        <w:t xml:space="preserve">Department of Cardiology 2013, Rigshospitalet, Blegdamsvej 9, 2100 Copenhagen, Denmark. </w:t>
      </w:r>
    </w:p>
    <w:p>
      <w:pPr>
        <w:pStyle w:val="PlainText1"/>
        <w:spacing w:lineRule="auto" w:line="276"/>
        <w:rPr/>
      </w:pPr>
      <w:r>
        <w:rPr>
          <w:rFonts w:eastAsia="MS Mincho" w:cs="Times New Roman" w:ascii="Times New Roman" w:hAnsi="Times New Roman"/>
          <w:szCs w:val="22"/>
        </w:rPr>
        <w:t xml:space="preserve">E-mail: </w:t>
      </w:r>
      <w:hyperlink r:id="rId2">
        <w:r>
          <w:rPr>
            <w:rStyle w:val="InternetLink"/>
            <w:rFonts w:eastAsia="MS Mincho" w:cs="Times New Roman" w:ascii="Times New Roman" w:hAnsi="Times New Roman"/>
            <w:szCs w:val="22"/>
          </w:rPr>
          <w:t>Cristel.maria.soerensen.hjortshoej@regionh.dk</w:t>
        </w:r>
      </w:hyperlink>
      <w:r>
        <w:rPr>
          <w:rFonts w:eastAsia="MS Mincho" w:cs="Times New Roman" w:ascii="Times New Roman" w:hAnsi="Times New Roman"/>
          <w:szCs w:val="22"/>
        </w:rPr>
        <w:t>, Phone: +45 35456888, Fax +45 35457705</w:t>
      </w:r>
    </w:p>
    <w:p>
      <w:pPr>
        <w:pStyle w:val="Normal"/>
        <w:spacing w:before="0" w:after="0"/>
        <w:jc w:val="both"/>
        <w:rPr/>
      </w:pPr>
      <w:r>
        <w:rPr/>
      </w:r>
    </w:p>
    <w:p>
      <w:pPr>
        <w:pStyle w:val="Normal"/>
        <w:spacing w:before="0" w:after="0"/>
        <w:rPr>
          <w:b/>
          <w:b/>
        </w:rPr>
      </w:pPr>
      <w:r>
        <w:rPr>
          <w:b/>
          <w:color w:val="000000"/>
          <w:shd w:fill="FFFFFF" w:val="clear"/>
          <w:lang w:val="en-US"/>
        </w:rPr>
        <w:t>Conflicts of Interest and Source of Funding</w:t>
      </w:r>
      <w:r>
        <w:rPr>
          <w:b/>
        </w:rPr>
        <w:t>:</w:t>
      </w:r>
    </w:p>
    <w:p>
      <w:pPr>
        <w:pStyle w:val="Normal"/>
        <w:spacing w:before="0" w:after="0"/>
        <w:rPr/>
      </w:pPr>
      <w:r>
        <w:rPr/>
        <w:t>Cristel S Hjortshøj received an educational grant from Actelion Pharmaceuticals.</w:t>
      </w:r>
    </w:p>
    <w:p>
      <w:pPr>
        <w:pStyle w:val="Normal"/>
        <w:spacing w:before="0" w:after="0"/>
        <w:rPr/>
      </w:pPr>
      <w:r>
        <w:rPr/>
        <w:t>Aleksander Kempny received an unrestricted educational research grant from Actelion Global.</w:t>
      </w:r>
    </w:p>
    <w:p>
      <w:pPr>
        <w:pStyle w:val="Normal"/>
        <w:spacing w:before="0" w:after="0"/>
        <w:rPr/>
      </w:pPr>
      <w:r>
        <w:rPr/>
        <w:t>Annette S Jensen received a research grant and speaker’s fees from Actelion Pharmaceuticals</w:t>
      </w:r>
    </w:p>
    <w:p>
      <w:pPr>
        <w:pStyle w:val="Normal"/>
        <w:spacing w:before="0" w:after="0"/>
        <w:rPr/>
      </w:pPr>
      <w:r>
        <w:rPr/>
        <w:t>and Pfizer.</w:t>
      </w:r>
    </w:p>
    <w:p>
      <w:pPr>
        <w:pStyle w:val="Normal"/>
        <w:spacing w:before="0" w:after="0"/>
        <w:rPr>
          <w:sz w:val="24"/>
          <w:szCs w:val="24"/>
        </w:rPr>
      </w:pPr>
      <w:r>
        <w:rPr>
          <w:sz w:val="24"/>
          <w:szCs w:val="24"/>
        </w:rPr>
        <w:t>Keld Sørensen</w:t>
      </w:r>
      <w:r>
        <w:rPr>
          <w:lang w:val="en-US"/>
        </w:rPr>
        <w:t xml:space="preserve"> </w:t>
      </w:r>
      <w:r>
        <w:rPr/>
        <w:t>reports no relationships that could be construed as a conflict of interest.</w:t>
      </w:r>
    </w:p>
    <w:p>
      <w:pPr>
        <w:pStyle w:val="Normal"/>
        <w:spacing w:before="0" w:after="0"/>
        <w:rPr>
          <w:szCs w:val="24"/>
          <w:lang w:val="en-US"/>
        </w:rPr>
      </w:pPr>
      <w:r>
        <w:rPr>
          <w:sz w:val="24"/>
          <w:szCs w:val="24"/>
        </w:rPr>
        <w:t>Edit Nagy</w:t>
      </w:r>
      <w:r>
        <w:rPr>
          <w:lang w:val="en-US"/>
        </w:rPr>
        <w:t xml:space="preserve"> </w:t>
      </w:r>
      <w:r>
        <w:rPr/>
        <w:t>reports no relationships that could be construed as a conflict of interest.</w:t>
      </w:r>
    </w:p>
    <w:p>
      <w:pPr>
        <w:pStyle w:val="Normal"/>
        <w:spacing w:before="0" w:after="0"/>
        <w:rPr>
          <w:sz w:val="24"/>
          <w:szCs w:val="24"/>
        </w:rPr>
      </w:pPr>
      <w:r>
        <w:rPr>
          <w:sz w:val="24"/>
          <w:szCs w:val="24"/>
        </w:rPr>
        <w:t>Mikael Dellborg</w:t>
      </w:r>
      <w:r>
        <w:rPr>
          <w:lang w:val="en-US"/>
        </w:rPr>
        <w:t xml:space="preserve"> </w:t>
      </w:r>
      <w:r>
        <w:rPr/>
        <w:t>reports no relationships that could be construed as a conflict of interest.</w:t>
      </w:r>
    </w:p>
    <w:p>
      <w:pPr>
        <w:pStyle w:val="Normal"/>
        <w:spacing w:before="0" w:after="0"/>
        <w:rPr>
          <w:sz w:val="24"/>
          <w:szCs w:val="24"/>
        </w:rPr>
      </w:pPr>
      <w:r>
        <w:rPr>
          <w:sz w:val="24"/>
          <w:szCs w:val="24"/>
        </w:rPr>
        <w:t>Bengt Johansson</w:t>
      </w:r>
      <w:r>
        <w:rPr>
          <w:lang w:val="en-US"/>
        </w:rPr>
        <w:t xml:space="preserve"> </w:t>
      </w:r>
      <w:r>
        <w:rPr>
          <w:szCs w:val="24"/>
          <w:lang w:val="en-US"/>
        </w:rPr>
        <w:t xml:space="preserve">received a </w:t>
      </w:r>
      <w:r>
        <w:rPr>
          <w:color w:val="000000"/>
          <w:shd w:fill="FFFFFF" w:val="clear"/>
        </w:rPr>
        <w:t>speaker fee from Actelion Pharmaceuticals</w:t>
      </w:r>
    </w:p>
    <w:p>
      <w:pPr>
        <w:pStyle w:val="Normal"/>
        <w:spacing w:before="0" w:after="0"/>
        <w:rPr>
          <w:sz w:val="24"/>
          <w:szCs w:val="24"/>
        </w:rPr>
      </w:pPr>
      <w:r>
        <w:rPr>
          <w:sz w:val="24"/>
          <w:szCs w:val="24"/>
        </w:rPr>
        <w:t>Virginija Rudiene</w:t>
      </w:r>
      <w:r>
        <w:rPr>
          <w:lang w:val="en-US"/>
        </w:rPr>
        <w:t xml:space="preserve"> </w:t>
      </w:r>
      <w:r>
        <w:rPr/>
        <w:t>reports no relationships that could be construed as a conflict of interest.</w:t>
      </w:r>
    </w:p>
    <w:p>
      <w:pPr>
        <w:pStyle w:val="Normal"/>
        <w:spacing w:before="0" w:after="0"/>
        <w:rPr>
          <w:lang w:val="en-US"/>
        </w:rPr>
      </w:pPr>
      <w:r>
        <w:rPr>
          <w:szCs w:val="24"/>
        </w:rPr>
        <w:t>Gu Hong</w:t>
      </w:r>
      <w:r>
        <w:rPr>
          <w:highlight w:val="yellow"/>
          <w:lang w:val="en-US"/>
        </w:rPr>
        <w:t>…………</w:t>
      </w:r>
    </w:p>
    <w:p>
      <w:pPr>
        <w:pStyle w:val="Normal"/>
        <w:spacing w:before="0" w:after="0"/>
        <w:rPr>
          <w:szCs w:val="24"/>
        </w:rPr>
      </w:pPr>
      <w:r>
        <w:rPr>
          <w:lang w:val="en-US"/>
        </w:rPr>
        <w:t>Alexander Opotowsky received a research grant from Actelion Pharmaceuticals and Roche Diagnostics.</w:t>
      </w:r>
    </w:p>
    <w:p>
      <w:pPr>
        <w:pStyle w:val="Normal"/>
        <w:spacing w:before="0" w:after="0"/>
        <w:rPr>
          <w:szCs w:val="24"/>
        </w:rPr>
      </w:pPr>
      <w:r>
        <w:rPr>
          <w:szCs w:val="24"/>
        </w:rPr>
        <w:t>Werner Budts</w:t>
      </w:r>
      <w:r>
        <w:rPr>
          <w:lang w:val="en-US"/>
        </w:rPr>
        <w:t xml:space="preserve"> received a research grant and speaker’s fee from Actelion Pharmaceuticals.</w:t>
      </w:r>
    </w:p>
    <w:p>
      <w:pPr>
        <w:pStyle w:val="Normal"/>
        <w:spacing w:before="0" w:after="0"/>
        <w:rPr>
          <w:szCs w:val="24"/>
          <w:lang w:val="en-US"/>
        </w:rPr>
      </w:pPr>
      <w:r>
        <w:rPr>
          <w:szCs w:val="24"/>
          <w:lang w:val="en-US"/>
        </w:rPr>
        <w:t>Barbara J Mulder</w:t>
      </w:r>
      <w:r>
        <w:rPr>
          <w:lang w:val="en-US"/>
        </w:rPr>
        <w:t xml:space="preserve"> </w:t>
      </w:r>
      <w:r>
        <w:rPr/>
        <w:t>reports no relationships that could be construed as a conflict of interest.</w:t>
      </w:r>
    </w:p>
    <w:p>
      <w:pPr>
        <w:pStyle w:val="Normal"/>
        <w:spacing w:before="0" w:after="0"/>
        <w:rPr>
          <w:szCs w:val="24"/>
          <w:lang w:val="en-US"/>
        </w:rPr>
      </w:pPr>
      <w:r>
        <w:rPr>
          <w:szCs w:val="24"/>
          <w:lang w:val="en-US"/>
        </w:rPr>
        <w:t>Lidia Tomkiewicz-Pająk</w:t>
      </w:r>
      <w:r>
        <w:rPr>
          <w:lang w:val="en-US"/>
        </w:rPr>
        <w:t xml:space="preserve"> </w:t>
      </w:r>
      <w:r>
        <w:rPr/>
        <w:t>reports no relationships that could be construed as a conflict of interest.</w:t>
      </w:r>
    </w:p>
    <w:p>
      <w:pPr>
        <w:pStyle w:val="Normal"/>
        <w:spacing w:before="0" w:after="0"/>
        <w:rPr>
          <w:szCs w:val="24"/>
          <w:lang w:val="en-US"/>
        </w:rPr>
      </w:pPr>
      <w:r>
        <w:rPr>
          <w:szCs w:val="24"/>
          <w:lang w:val="en-US"/>
        </w:rPr>
        <w:t>Michele D’Alto</w:t>
      </w:r>
      <w:r>
        <w:rPr>
          <w:lang w:val="en-US"/>
        </w:rPr>
        <w:t xml:space="preserve"> served on the advisory board of Actelion Pharmaceuticals, Bayer, United Therapeutics and GlaxoSmithKline.</w:t>
      </w:r>
    </w:p>
    <w:p>
      <w:pPr>
        <w:pStyle w:val="Normal"/>
        <w:spacing w:before="0" w:after="0"/>
        <w:rPr>
          <w:szCs w:val="24"/>
          <w:lang w:val="en-US"/>
        </w:rPr>
      </w:pPr>
      <w:r>
        <w:rPr>
          <w:szCs w:val="24"/>
          <w:lang w:val="en-US"/>
        </w:rPr>
        <w:t>Katja Prokšelj</w:t>
      </w:r>
      <w:r>
        <w:rPr>
          <w:lang w:val="en-US"/>
        </w:rPr>
        <w:t xml:space="preserve"> </w:t>
      </w:r>
      <w:r>
        <w:rPr/>
        <w:t>reports no relationships that could be construed as a conflict of interest.</w:t>
      </w:r>
    </w:p>
    <w:p>
      <w:pPr>
        <w:pStyle w:val="Normal"/>
        <w:spacing w:before="0" w:after="0"/>
        <w:rPr>
          <w:szCs w:val="24"/>
          <w:lang w:val="en-US"/>
        </w:rPr>
      </w:pPr>
      <w:r>
        <w:rPr>
          <w:szCs w:val="24"/>
          <w:lang w:val="en-US"/>
        </w:rPr>
        <w:t xml:space="preserve">Gerhard-Paul Diller received </w:t>
      </w:r>
      <w:r>
        <w:rPr>
          <w:color w:val="000000"/>
          <w:shd w:fill="FFFFFF" w:val="clear"/>
        </w:rPr>
        <w:t>research grant and speaker fee from Actelion Pharmaceuticals</w:t>
      </w:r>
    </w:p>
    <w:p>
      <w:pPr>
        <w:pStyle w:val="Normal"/>
        <w:spacing w:before="0" w:after="0"/>
        <w:rPr>
          <w:szCs w:val="24"/>
          <w:lang w:val="en-US"/>
        </w:rPr>
      </w:pPr>
      <w:r>
        <w:rPr>
          <w:szCs w:val="24"/>
          <w:lang w:val="en-US"/>
        </w:rPr>
        <w:t>Konstantinos Dimopoulos</w:t>
      </w:r>
      <w:r>
        <w:rPr>
          <w:lang w:val="en-US"/>
        </w:rPr>
        <w:t xml:space="preserve"> acted as a consultant and received unrestricted educational grants from Actelion Pharmaceuticals, GlaxoSmithKline, Bayer and Pfizer.</w:t>
      </w:r>
    </w:p>
    <w:p>
      <w:pPr>
        <w:pStyle w:val="Normal"/>
        <w:spacing w:before="0" w:after="0"/>
        <w:rPr>
          <w:szCs w:val="24"/>
          <w:lang w:val="en-US"/>
        </w:rPr>
      </w:pPr>
      <w:r>
        <w:rPr>
          <w:szCs w:val="24"/>
          <w:lang w:val="en-US"/>
        </w:rPr>
        <w:t>Mette-Elise Estensen</w:t>
      </w:r>
      <w:r>
        <w:rPr>
          <w:lang w:val="en-US"/>
        </w:rPr>
        <w:t xml:space="preserve"> </w:t>
      </w:r>
      <w:r>
        <w:rPr/>
        <w:t>reports no relationships that could be construed as a conflict of interest.</w:t>
      </w:r>
    </w:p>
    <w:p>
      <w:pPr>
        <w:pStyle w:val="Normal"/>
        <w:spacing w:before="0" w:after="0"/>
        <w:rPr>
          <w:szCs w:val="24"/>
          <w:lang w:val="en-US"/>
        </w:rPr>
      </w:pPr>
      <w:r>
        <w:rPr>
          <w:szCs w:val="24"/>
          <w:lang w:val="en-US"/>
        </w:rPr>
        <w:t>Henrik Holmstrøm</w:t>
      </w:r>
      <w:r>
        <w:rPr>
          <w:lang w:val="en-US"/>
        </w:rPr>
        <w:t xml:space="preserve"> </w:t>
      </w:r>
      <w:r>
        <w:rPr/>
        <w:t>reports no relationships that could be construed as a conflict of interest.</w:t>
      </w:r>
    </w:p>
    <w:p>
      <w:pPr>
        <w:pStyle w:val="Normal"/>
        <w:spacing w:before="0" w:after="0"/>
        <w:rPr>
          <w:szCs w:val="24"/>
        </w:rPr>
      </w:pPr>
      <w:r>
        <w:rPr>
          <w:szCs w:val="24"/>
        </w:rPr>
        <w:t>Maila Turanlahti</w:t>
      </w:r>
      <w:r>
        <w:rPr>
          <w:lang w:val="en-US"/>
        </w:rPr>
        <w:t xml:space="preserve"> </w:t>
      </w:r>
      <w:r>
        <w:rPr/>
        <w:t>reports no relationships that could be construed as a conflict of interest.</w:t>
      </w:r>
    </w:p>
    <w:p>
      <w:pPr>
        <w:pStyle w:val="PlainText1"/>
        <w:spacing w:lineRule="auto" w:line="276"/>
        <w:rPr>
          <w:rFonts w:ascii="Times New Roman" w:hAnsi="Times New Roman" w:eastAsia="Calibri" w:cs="Times New Roman" w:eastAsiaTheme="minorHAnsi"/>
          <w:sz w:val="22"/>
          <w:szCs w:val="24"/>
          <w:lang w:eastAsia="en-US"/>
        </w:rPr>
      </w:pPr>
      <w:r>
        <w:rPr>
          <w:rFonts w:eastAsia="Calibri" w:cs="Times New Roman" w:ascii="Times New Roman" w:hAnsi="Times New Roman" w:eastAsiaTheme="minorHAnsi"/>
          <w:sz w:val="22"/>
          <w:szCs w:val="24"/>
          <w:lang w:eastAsia="en-US"/>
        </w:rPr>
        <w:t>Ulf Thilén received fees for lectures and being member of advisory board from Actelion Pharmaceuticals.</w:t>
      </w:r>
    </w:p>
    <w:p>
      <w:pPr>
        <w:pStyle w:val="PlainText1"/>
        <w:spacing w:lineRule="auto" w:line="276"/>
        <w:rPr>
          <w:rFonts w:ascii="Times New Roman" w:hAnsi="Times New Roman" w:cs="Times New Roman"/>
          <w:sz w:val="22"/>
          <w:szCs w:val="22"/>
          <w:lang w:val="en-US"/>
        </w:rPr>
      </w:pPr>
      <w:r>
        <w:rPr>
          <w:rFonts w:cs="Times New Roman" w:ascii="Times New Roman" w:hAnsi="Times New Roman"/>
          <w:sz w:val="22"/>
          <w:szCs w:val="22"/>
        </w:rPr>
        <w:t>Michael A. Gatzoulis</w:t>
      </w:r>
      <w:r>
        <w:rPr>
          <w:rFonts w:cs="Times New Roman" w:ascii="Times New Roman" w:hAnsi="Times New Roman"/>
          <w:sz w:val="22"/>
          <w:szCs w:val="22"/>
          <w:highlight w:val="yellow"/>
          <w:lang w:val="en-US"/>
        </w:rPr>
        <w:t>…………</w:t>
      </w:r>
    </w:p>
    <w:p>
      <w:pPr>
        <w:pStyle w:val="Normal"/>
        <w:spacing w:before="0" w:after="0"/>
        <w:rPr/>
      </w:pPr>
      <w:r>
        <w:rPr/>
        <w:t>Lars Søndergaard received research grant, as well as fee for lectures and being member of advisory board from Actelion pharmaceuticals.</w:t>
      </w:r>
    </w:p>
    <w:p>
      <w:pPr>
        <w:pStyle w:val="PlainText1"/>
        <w:spacing w:lineRule="auto" w:line="276"/>
        <w:rPr>
          <w:rFonts w:ascii="Times New Roman" w:hAnsi="Times New Roman" w:eastAsia="" w:cs="Times New Roman" w:eastAsiaTheme="majorEastAsia"/>
          <w:b/>
          <w:b/>
          <w:bCs/>
          <w:sz w:val="22"/>
          <w:szCs w:val="22"/>
          <w:lang w:val="en-US"/>
        </w:rPr>
      </w:pPr>
      <w:r>
        <w:rPr>
          <w:rFonts w:eastAsia="" w:cs="Times New Roman" w:eastAsiaTheme="majorEastAsia" w:ascii="Times New Roman" w:hAnsi="Times New Roman"/>
          <w:b/>
          <w:bCs/>
          <w:sz w:val="22"/>
          <w:szCs w:val="22"/>
          <w:lang w:val="en-US"/>
        </w:rPr>
      </w:r>
    </w:p>
    <w:p>
      <w:pPr>
        <w:pStyle w:val="Normal"/>
        <w:rPr/>
      </w:pPr>
      <w:r>
        <w:rPr/>
      </w:r>
      <w:r>
        <w:br w:type="page"/>
      </w:r>
    </w:p>
    <w:p>
      <w:pPr>
        <w:pStyle w:val="Normal"/>
        <w:rPr/>
      </w:pPr>
      <w:r>
        <w:rPr/>
        <w:t>Word count: 251</w:t>
      </w:r>
    </w:p>
    <w:p>
      <w:pPr>
        <w:pStyle w:val="Heading1"/>
        <w:rPr/>
      </w:pPr>
      <w:r>
        <w:rPr/>
        <w:t>Abstract</w:t>
      </w:r>
    </w:p>
    <w:p>
      <w:pPr>
        <w:pStyle w:val="Normal"/>
        <w:rPr/>
      </w:pPr>
      <w:r>
        <w:rPr/>
      </w:r>
    </w:p>
    <w:p>
      <w:pPr>
        <w:pStyle w:val="Normal"/>
        <w:spacing w:lineRule="auto" w:line="480"/>
        <w:jc w:val="both"/>
        <w:rPr>
          <w:b/>
          <w:b/>
        </w:rPr>
      </w:pPr>
      <w:r>
        <w:rPr>
          <w:b/>
        </w:rPr>
        <w:t xml:space="preserve">Background </w:t>
      </w:r>
    </w:p>
    <w:p>
      <w:pPr>
        <w:pStyle w:val="Normal"/>
        <w:spacing w:lineRule="auto" w:line="480"/>
        <w:jc w:val="both"/>
        <w:rPr/>
      </w:pPr>
      <w:r>
        <w:rPr/>
        <w:t xml:space="preserve">Eisenmenger syndrome (ES) is associated with considerable morbidity and mortality. Management strategies have changed dramatically during the 2000’s matched with the emphasis of follow-up at specialist centres. The aim of the this study was to evaluate whether cause-specific mortality in ES has changed during the study period, thus examined cause-specific mortality before (“early”) and after (“late”) 2006. </w:t>
      </w:r>
    </w:p>
    <w:p>
      <w:pPr>
        <w:pStyle w:val="Normal"/>
        <w:spacing w:lineRule="auto" w:line="480"/>
        <w:jc w:val="both"/>
        <w:rPr>
          <w:b/>
          <w:b/>
        </w:rPr>
      </w:pPr>
      <w:r>
        <w:rPr>
          <w:b/>
        </w:rPr>
        <w:t xml:space="preserve">Methods and Results </w:t>
      </w:r>
    </w:p>
    <w:p>
      <w:pPr>
        <w:pStyle w:val="Normal"/>
        <w:spacing w:lineRule="auto" w:line="480"/>
        <w:jc w:val="both"/>
        <w:rPr/>
      </w:pPr>
      <w:r>
        <w:rPr/>
        <w:t>The study included 1,546 patients (mean age 38.7 ± 15.4 years), 36% male, from 13 countries in the period 1977-2015. Over a median follow-up of 6.1 years [IQR 2.1-21.5 years] there were 558 deaths; cause-specific mortality was identified in 410 (74%) of the cases. Leading causes of death were heart failure (34%), infection (26%), sudden cardiac death (10%), thromboembolism (8%),haemorrhage (7%), and peri-procedural (7%). T</w:t>
      </w:r>
      <w:r>
        <w:rPr>
          <w:lang w:val="en-US"/>
        </w:rPr>
        <w:t xml:space="preserve">he proportion of patients dying from heart failure increased in the late era (p=0.032), whereas death from thromboembolic events, and cardiac or non-cardiac procedures decreased (p=0.014, p=0.014, p=0.004, respectively). </w:t>
      </w:r>
      <w:r>
        <w:rPr/>
        <w:t xml:space="preserve">There was an increase in longevity in the late compared to the early era (age at death 36.9 ± 18.8 versus 45.2 ± 16.2 years, p&lt;0.001). </w:t>
      </w:r>
    </w:p>
    <w:p>
      <w:pPr>
        <w:pStyle w:val="Normal"/>
        <w:spacing w:lineRule="auto" w:line="480" w:before="0" w:after="0"/>
        <w:jc w:val="both"/>
        <w:rPr>
          <w:b/>
          <w:b/>
        </w:rPr>
      </w:pPr>
      <w:r>
        <w:rPr>
          <w:b/>
        </w:rPr>
        <w:t xml:space="preserve">Conclusions </w:t>
      </w:r>
    </w:p>
    <w:p>
      <w:pPr>
        <w:pStyle w:val="Normal"/>
        <w:spacing w:lineRule="auto" w:line="480" w:before="0" w:after="0"/>
        <w:jc w:val="both"/>
        <w:rPr/>
      </w:pPr>
      <w:r>
        <w:rPr/>
        <w:t xml:space="preserve">Despite changes in care and treatment for ES, all-cause mortality and cardiac mortality remain high. However, there seems to be a shift towards death at an older age from chronic rather than acute cardiac causes, primarily heart failure, while peri-procedural deaths and deaths due to haemoptysis have become less common in the current era. Therefore, preventing and managing heart failure is becoming even more important in ES. </w:t>
      </w:r>
      <w:r>
        <w:br w:type="page"/>
      </w:r>
    </w:p>
    <w:p>
      <w:pPr>
        <w:pStyle w:val="Normal"/>
        <w:spacing w:lineRule="auto" w:line="240" w:before="0" w:after="0"/>
        <w:rPr>
          <w:sz w:val="20"/>
          <w:szCs w:val="20"/>
        </w:rPr>
      </w:pPr>
      <w:r>
        <w:rPr>
          <w:sz w:val="20"/>
          <w:szCs w:val="20"/>
        </w:rPr>
        <w:t>Word count, text: 2.751</w:t>
      </w:r>
    </w:p>
    <w:p>
      <w:pPr>
        <w:pStyle w:val="Normal"/>
        <w:spacing w:lineRule="auto" w:line="240" w:before="0" w:after="0"/>
        <w:rPr/>
      </w:pPr>
      <w:r>
        <w:rPr>
          <w:sz w:val="20"/>
          <w:szCs w:val="20"/>
        </w:rPr>
        <w:t>Word count, incl. references, legends etc.: 4.461</w:t>
      </w:r>
    </w:p>
    <w:p>
      <w:pPr>
        <w:pStyle w:val="Normal"/>
        <w:rPr>
          <w:rFonts w:eastAsia="" w:eastAsiaTheme="majorEastAsia"/>
          <w:b/>
          <w:b/>
          <w:bCs/>
        </w:rPr>
      </w:pPr>
      <w:r>
        <w:rPr>
          <w:rFonts w:eastAsia="" w:eastAsiaTheme="majorEastAsia"/>
          <w:b/>
          <w:bCs/>
        </w:rPr>
      </w:r>
      <w:r>
        <w:br w:type="page"/>
      </w:r>
    </w:p>
    <w:p>
      <w:pPr>
        <w:pStyle w:val="Heading1"/>
        <w:rPr/>
      </w:pPr>
      <w:r>
        <w:rPr/>
        <w:t>Introduction</w:t>
      </w:r>
    </w:p>
    <w:p>
      <w:pPr>
        <w:pStyle w:val="Normal"/>
        <w:spacing w:lineRule="auto" w:line="480" w:before="0" w:after="0"/>
        <w:rPr/>
      </w:pPr>
      <w:r>
        <w:rPr>
          <w:rFonts w:cs="Arial"/>
        </w:rPr>
        <w:t xml:space="preserve">    </w:t>
      </w:r>
      <w:r>
        <w:rPr>
          <w:rFonts w:cs="Arial"/>
        </w:rPr>
        <w:t xml:space="preserve">In 1897, Victor Eisenmenger described a young adult with cyanosis and dyspnoea due to a large ventricular septum defect (VSD) who died of a massive haemoptysis </w:t>
      </w:r>
      <w:r>
        <w:fldChar w:fldCharType="begin"/>
      </w:r>
      <w:r>
        <w:instrText>ADDIN ZOTERO_ITEM CSL_CITATION {"citationID":"8RQBGbU4","properties":{"formattedCitation":"(1)","plainCitation":"(1)"},"citationItems":[{"id":1412,"uris":["http://zotero.org/users/1067890/items/FBDSPFUK"],"uri":["http://zotero.org/users/1067890/items/FBDSPFUK"],"itemData":{"id":1412,"type":"article-journal","title":"Die angeborenens Defect der Kammerschieidewand des Hertzen","container-title":"Z Klin Med Suppl","page":"1-28","volume":"1897","issue":"32","author":[{"family":"Eisenmenger V","given":""}]}}],"schema":"https://github.com/citation-style-language/schema/raw/master/csl-citation.json"}</w:instrText>
      </w:r>
      <w:r>
        <w:fldChar w:fldCharType="separate"/>
      </w:r>
      <w:bookmarkStart w:id="0" w:name="__Fieldmark__625_1910830454"/>
      <w:r>
        <w:rPr>
          <w:rFonts w:cs="Arial"/>
        </w:rPr>
        <w:t>(1)</w:t>
      </w:r>
      <w:r>
        <w:rPr>
          <w:rFonts w:cs="Arial"/>
        </w:rPr>
      </w:r>
      <w:r>
        <w:fldChar w:fldCharType="end"/>
      </w:r>
      <w:bookmarkEnd w:id="0"/>
      <w:r>
        <w:rPr>
          <w:rFonts w:cs="Arial"/>
        </w:rPr>
        <w:t>. Sixty-one years later, in his landmark papers, Paul Wood described the mode of death of</w:t>
      </w:r>
      <w:r>
        <w:rPr/>
        <w:t xml:space="preserve"> 53 patients with Eisenmenger syndrome (ES) </w:t>
      </w:r>
      <w:r>
        <w:fldChar w:fldCharType="begin"/>
      </w:r>
      <w:r>
        <w:instrText>ADDIN ZOTERO_ITEM CSL_CITATION {"citationID":"2wZTqSKo","properties":{"unsorted":true,"formattedCitation":"(2,3)","plainCitation":"(2,3)"},"citationItems":[{"id":1441,"uris":["http://zotero.org/users/1067890/items/NUCWGETV"],"uri":["http://zotero.org/users/1067890/items/NUCWGETV"],"itemData":{"id":1441,"type":"article-journal","title":"The Eisenmenger Syndrome","container-title":"Br Med J","page":"701-709","volume":"2","issue":"5098","source":"www.bmj.com.ep.fjernadgang.kb.dk","DOI":"10.1136/bmj.2.5098.701","ISSN":"0007-1447, 1468-5833","note":"PMID: 13572874","journalAbbreviation":"Br Med J","language":"en","author":[{"family":"Wood","given":"Paul"}],"issued":{"date-parts":[["1958",9,20]]},"PMID":"13572874"}},{"id":5,"uris":["http://zotero.org/users/1067890/items/27TQKM9Z"],"uri":["http://zotero.org/users/1067890/items/27TQKM9Z"],"itemData":{"id":5,"type":"article-journal","title":"The Eisenmenger Syndrome","container-title":"British Medical Journal","page":"755-762","volume":"2","issue":"5099","source":"PubMed Central","abstract":"Images\nnull","ISSN":"0007-1447","note":"PMID: 13572894\nPMCID: PMC2026272","journalAbbreviation":"Br Med J","author":[{"family":"Wood","given":"Paul"}],"issued":{"date-parts":[["1958",9,27]]},"PMID":"13572894","PMCID":"PMC2026272"}}],"schema":"https://github.com/citation-style-language/schema/raw/master/csl-citation.json"}</w:instrText>
      </w:r>
      <w:r>
        <w:fldChar w:fldCharType="separate"/>
      </w:r>
      <w:bookmarkStart w:id="1" w:name="__Fieldmark__650_1910830454"/>
      <w:r>
        <w:rPr/>
        <w:t>(2,3)</w:t>
      </w:r>
      <w:r>
        <w:rPr/>
      </w:r>
      <w:r>
        <w:fldChar w:fldCharType="end"/>
      </w:r>
      <w:bookmarkEnd w:id="1"/>
      <w:r>
        <w:rPr/>
        <w:t>. Haemoptysis was the leading cause of death, accounting for 29% of cases, but attempted surgical repair of the defect and congestive heart failure were also common causes.</w:t>
      </w:r>
      <w:r>
        <w:rPr>
          <w:sz w:val="24"/>
          <w:szCs w:val="24"/>
          <w:lang w:val="en-US" w:eastAsia="da-DK"/>
        </w:rPr>
        <w:t xml:space="preserve"> </w:t>
      </w:r>
      <w:r>
        <w:rPr/>
        <w:t>The mean age at death was 33 and 36 years for post-tricuspid and pre-tricuspid valve defects, respectively.</w:t>
      </w:r>
    </w:p>
    <w:p>
      <w:pPr>
        <w:pStyle w:val="Normal"/>
        <w:spacing w:lineRule="auto" w:line="480" w:before="0" w:after="0"/>
        <w:jc w:val="both"/>
        <w:rPr/>
      </w:pPr>
      <w:r>
        <w:rPr/>
        <w:t xml:space="preserve">    </w:t>
      </w:r>
      <w:r>
        <w:rPr/>
        <w:t xml:space="preserve">Forty years later, in 1998, Daliento et al. found that little had changed in the overall prognosis of ES compared to Wood’s observations, raising the question on whether improvements in clinical understanding had any appreciable effect on the care and outcome of this population </w:t>
      </w:r>
      <w:r>
        <w:fldChar w:fldCharType="begin"/>
      </w:r>
      <w:r>
        <w:instrText>ADDIN ZOTERO_ITEM CSL_CITATION {"citationID":"5ceohc23e","properties":{"formattedCitation":"(4)","plainCitation":"(4)"},"citationItems":[{"id":969,"uris":["http://zotero.org/users/1067890/items/BHZHMGRW"],"uri":["http://zotero.org/users/1067890/items/BHZHMGRW"],"itemData":{"id":969,"type":"article-journal","title":"Eisenmenger syndrome. Factors relating to deterioration and death","container-title":"European Heart Journal","page":"1845-1855","volume":"19","issue":"12","source":"eurheartj.oxfordjournals.org","abstract":"AimsTo assess the natural history, risk factors for death and deterioration of patients with Eisenmenger Syndrome.MethodsThe clinical course of 188 patients from three different cardiac centres specialized in adult congenital heart defects, followed for a median period of 31 years, was retrospectively analysed. According to the diagnosis, 64 males and 124 females, mean age at last follow-up 33·02±12·8 years, were divided into two groups: simple (128) and complex (60) congenital heart disease. Events analysed were: time variation of Ability Index, pulmonary and cerebral complications, non-cardiac surgery, urate metabolism and renal function, arrhythmias, pregnancy and contraception, medical therapy and transplantation, death from all causes and sudden death.ResultsEighty-four percent of the overall population showed a satisfactory Ability Index (1 and 2) at the first attendance (median age 25 years). Patients with complex heart disease and Eisenmenger reaction had earlier clinical deterioration (18·6±11·3 vs 26·7±12·2) and shorter survival (25·8±7·9 vs 32·5±14·6 years). Thirty-eight (20·2%) patients had at least one episode of haemoptysis between 20 and 40 years of age but it did not modify overall survival; 25 (13·2%) had pulmonary thromboembolism at a mean age of 35·2±13·4 years. Fifteen (7·9%) had a stroke and 7 (3·7%) a cerebral abscess at a mean age of 31·4±15·7 and 24·1±4·9 years, respectively. Cerebral complications influenced the quality of life but did not modify survival. Patients who had venesection showed a 2·04 times greater hazard ratio for haemoptysis. Venesection did not reduce cerebral complications and in 20% caused anaemia and iron deficiency. Other non-cardiac surgery with general anaesthesia carried risks (23·5% of deaths). Significant maternal mortality (27%) in relation to pregnancy occurred with constant deterioration in physical status, high incidence of spontaneous abortions (35·8%) and cardiac abnormalities in offspring (20%). Sixty-one patients died during follow-up, mainly by sudden death (29·5%), heart failure (22·9%) and from haemoptysis (11·4%). Eight patients had heart and lung transplantation and five died 1 week to 4 years after transplant. Deterioration in Ability Index (worsening symptoms), age, complex defects, blood creatinine level, right ventricular dysfunction and non-cardiac surgery were variables which affected the prognosis adversely with uni- and multivariate analysis.Conclusionspatients with Eisenmenger syndrome can survive to the seventh decade with informed medical care and protection from special risks","DOI":"10.1053/euhj.1998.1046","ISSN":"0195-668X, 1522-9645","note":"PMID: 9886728","language":"en","author":[{"family":"Daliento","given":"L."},{"family":"Somerville","given":"J."},{"family":"Presbitero","given":"P."},{"family":"Menti","given":"L."},{"family":"Brach-Prever","given":"S."},{"family":"Rizzoli","given":"G."},{"family":"Stone","given":"S."}],"issued":{"date-parts":[["1998",12,1]]},"PMID":"9886728"}}],"schema":"https://github.com/citation-style-language/schema/raw/master/csl-citation.json"}</w:instrText>
      </w:r>
      <w:r>
        <w:fldChar w:fldCharType="separate"/>
      </w:r>
      <w:bookmarkStart w:id="2" w:name="__Fieldmark__748_1910830454"/>
      <w:r>
        <w:rPr/>
        <w:t>(4)</w:t>
      </w:r>
      <w:r>
        <w:rPr/>
      </w:r>
      <w:r>
        <w:fldChar w:fldCharType="end"/>
      </w:r>
      <w:bookmarkEnd w:id="2"/>
      <w:r>
        <w:rPr/>
        <w:t xml:space="preserve">. However, the cause-specific mortality in these two reports differed substantially, as congestive heart failure was now the most frequent cause of death, accounting for 23% of all deaths, followed by haemorrhage (mainly haemoptysis), sudden cardiac and perioperative death. Several others have examined cause-specific mortality in patients with ES, mainly in single-centre studies with limited numbers of deaths and varying definitions and classifications of mortality </w:t>
      </w:r>
      <w:r>
        <w:fldChar w:fldCharType="begin"/>
      </w:r>
      <w:r>
        <w:instrText>ADDIN ZOTERO_ITEM CSL_CITATION {"citationID":"CLIGfEnd","properties":{"unsorted":true,"formattedCitation":"{\\rtf (2\\uc0\\u8211{}12)}","plainCitation":"(2–12)"},"citationItems":[{"id":1441,"uris":["http://zotero.org/users/1067890/items/NUCWGETV"],"uri":["http://zotero.org/users/1067890/items/NUCWGETV"],"itemData":{"id":1441,"type":"article-journal","title":"The Eisenmenger Syndrome","container-title":"Br Med J","page":"701-709","volume":"2","issue":"5098","source":"www.bmj.com.ep.fjernadgang.kb.dk","DOI":"10.1136/bmj.2.5098.701","ISSN":"0007-1447, 1468-5833","note":"PMID: 13572874","journalAbbreviation":"Br Med J","language":"en","author":[{"family":"Wood","given":"Paul"}],"issued":{"date-parts":[["1958",9,20]]},"PMID":"13572874"}},{"id":5,"uris":["http://zotero.org/users/1067890/items/27TQKM9Z"],"uri":["http://zotero.org/users/1067890/items/27TQKM9Z"],"itemData":{"id":5,"type":"article-journal","title":"The Eisenmenger Syndrome","container-title":"British Medical Journal","page":"755-762","volume":"2","issue":"5099","source":"PubMed Central","abstract":"Images\nnull","ISSN":"0007-1447","note":"PMID: 13572894\nPMCID: PMC2026272","journalAbbreviation":"Br Med J","author":[{"family":"Wood","given":"Paul"}],"issued":{"date-parts":[["1958",9,27]]},"PMID":"13572894","PMCID":"PMC2026272"}},{"id":969,"uris":["http://zotero.org/users/1067890/items/BHZHMGRW"],"uri":["http://zotero.org/users/1067890/items/BHZHMGRW"],"itemData":{"id":969,"type":"article-journal","title":"Eisenmenger syndrome. Factors relating to deterioration and death","container-title":"European Heart Journal","page":"1845-1855","volume":"19","issue":"12","source":"eurheartj.oxfordjournals.org","abstract":"AimsTo assess the natural history, risk factors for death and deterioration of patients with Eisenmenger Syndrome.MethodsThe clinical course of 188 patients from three different cardiac centres specialized in adult congenital heart defects, followed for a median period of 31 years, was retrospectively analysed. According to the diagnosis, 64 males and 124 females, mean age at last follow-up 33·02±12·8 years, were divided into two groups: simple (128) and complex (60) congenital heart disease. Events analysed were: time variation of Ability Index, pulmonary and cerebral complications, non-cardiac surgery, urate metabolism and renal function, arrhythmias, pregnancy and contraception, medical therapy and transplantation, death from all causes and sudden death.ResultsEighty-four percent of the overall population showed a satisfactory Ability Index (1 and 2) at the first attendance (median age 25 years). Patients with complex heart disease and Eisenmenger reaction had earlier clinical deterioration (18·6±11·3 vs 26·7±12·2) and shorter survival (25·8±7·9 vs 32·5±14·6 years). Thirty-eight (20·2%) patients had at least one episode of haemoptysis between 20 and 40 years of age but it did not modify overall survival; 25 (13·2%) had pulmonary thromboembolism at a mean age of 35·2±13·4 years. Fifteen (7·9%) had a stroke and 7 (3·7%) a cerebral abscess at a mean age of 31·4±15·7 and 24·1±4·9 years, respectively. Cerebral complications influenced the quality of life but did not modify survival. Patients who had venesection showed a 2·04 times greater hazard ratio for haemoptysis. Venesection did not reduce cerebral complications and in 20% caused anaemia and iron deficiency. Other non-cardiac surgery with general anaesthesia carried risks (23·5% of deaths). Significant maternal mortality (27%) in relation to pregnancy occurred with constant deterioration in physical status, high incidence of spontaneous abortions (35·8%) and cardiac abnormalities in offspring (20%). Sixty-one patients died during follow-up, mainly by sudden death (29·5%), heart failure (22·9%) and from haemoptysis (11·4%). Eight patients had heart and lung transplantation and five died 1 week to 4 years after transplant. Deterioration in Ability Index (worsening symptoms), age, complex defects, blood creatinine level, right ventricular dysfunction and non-cardiac surgery were variables which affected the prognosis adversely with uni- and multivariate analysis.Conclusionspatients with Eisenmenger syndrome can survive to the seventh decade with informed medical care and protection from special risks","DOI":"10.1053/euhj.1998.1046","ISSN":"0195-668X, 1522-9645","note":"PMID: 9886728","language":"en","author":[{"family":"Daliento","given":"L."},{"family":"Somerville","given":"J."},{"family":"Presbitero","given":"P."},{"family":"Menti","given":"L."},{"family":"Brach-Prever","given":"S."},{"family":"Rizzoli","given":"G."},{"family":"Stone","given":"S."}],"issued":{"date-parts":[["1998",12,1]]},"PMID":"9886728"}},{"id":1145,"uris":["http://zotero.org/users/1067890/items/AKGRHTGX"],"uri":["http://zotero.org/users/1067890/items/AKGRHTGX"],"itemData":{"id":1145,"type":"article-journal","title":"Fate of the patient with the eisenmenger syndrome","container-title":"The American Journal of Cardiology","page":"658-669","volume":"28","issue":"6","source":"ScienceDirect","abstract":"The presence of the Eisenmenger syndrome renders any underlying shunting defect inoperable. However, little attention has been paid to the later events in the natural history of patients with this syndrome. The clinical course, features and fate of 57 such patients ranging from 21 months to 58 years of age are reviewed. Seventeen died of direct cardiac causes, 10 suddenly, and most commonly with ventricular septal defect. Heart failure, often a later event, developed in 22 patients; it was not severely disabling, was usually readily controlled, but was responsible for 5 deaths. Arrhythmias were not clinically significant. Pregnancy was well tolerated in a small number of patients. Pulmonary infarction was infrequent. Hyperuricemia was common in adults, but gouty arthritis occurred in only 2 male patients. Although all had functional limitations, many were able to lead active lives with little risk of death or other complications before the third decade of life.","DOI":"10.1016/0002-9149(71)90054-3","ISSN":"0002-9149","journalAbbreviation":"The American Journal of Cardiology","author":[{"family":"Young","given":"Dennison"},{"family":"Mark","given":"Herbert"}],"issued":{"date-parts":[["1971",12]]}}},{"id":131,"uris":["http://zotero.org/users/1067890/items/GI3KFRE8"],"uri":["http://zotero.org/users/1067890/items/GI3KFRE8"],"itemData":{"id":131,"type":"article-journal","title":"Prognosis for patients with Eisenmenger syndrome of various aetiology","container-title":"International Journal of Cardiology","page":"199-207","volume":"45","issue":"3","source":"ScienceDirect","abstract":"The objective of this study was to determine the long-term survival pattern and variables affecting long-term survival and complications occurring during follow-up of patients with Eisenmenger syndrome. A retrospective study of patients diagnosed with Eisenmenger syndrome were followed up. A tertiary care centre was used and it provided superspeciality services in various disciplines. The subjects included 201 patients with Eisenmenger syndrome — diagnosed by a combination of echocardiography and a peripheral arterial oxygen saturation study and/or cardiac catheterisation with or without angiocardiography — worked up and followed up for variable duration over a period of 16 years from 1976 to 1992. One hundred nine patients were females and 92 were males — age of presentation varied from 3 months to 62 years (mean ± standard deviation 19.23 ± 12.62 years). A total of 12 different anatomic lesions were seen — the most common three being ventricular septal defect (33.33%), atrail septal defect (29.85%), and patent ductus arteriosus (14.23%). History, physical examination, chest skiagram and electrocardiogram established only the presence of pulmonary arterial hypertension except where differential cyanosis indicating ductus was discernible or the degree of splitting of second heart sound provided some clue to the level of shunt. Contrast echocardiography, completed in 25.4% established the level of shunt in all patients. In others the diagnosis was confirmed by cardiac catheterisation. Twenty patients died during a mean follow-up period of 54.6 ± 54.47 months. Sudden cardiac deaths (30%), congestive heart failure (25%) and haemoptysis (15%) were the most predominant causes of death. Only one patient died during puerperium. The acturial survival for the entire patient population at 5 years, 10 years and 15 years was 86.95%, 79.64% and 76.98%, respectively. Level of shunt (atrial, ventricular or aortopulmonary) did not influence the survival (P &amp;gt; 0.5). Of all the variables tested in a univariate analysis, history of syncope at presentation (P &amp;lt; 0.005), elevated mean right atrial pressure (8 mmHg or above) (P &amp;lt; 0.05) and systemic arterial desaturation below 85% (P &amp;lt; 0.05) were found to be important indicators of a poor prognosis. Eisenmenger syndrome is compatible with a fair intermediate term survival. History of syncope, elevated right sided filling pressure and systemic arterial oxygen saturation less than 85% indicated a poorer outcome.","DOI":"10.1016/0167-5273(94)90166-X","ISSN":"0167-5273","journalAbbreviation":"International Journal of Cardiology","author":[{"family":"Saha","given":"Arabinda"},{"family":"Balakrishnan","given":"K. G."},{"family":"Jaiswal","given":"Pramod K."},{"family":"Venkitachalam","given":"C. G."},{"family":"Tharakan","given":"Jaganmohan"},{"family":"Titus","given":"Thomas"},{"family":"Kutty","given":"Raman"}],"issued":{"date-parts":[["1994",7]]}}},{"id":1363,"uris":["http://zotero.org/users/1067890/items/T466T8BX"],"uri":["http://zotero.org/users/1067890/items/T466T8BX"],"itemData":{"id":1363,"type":"article-journal","title":"Determinants of survival and length of survival in adults with Eisenmenger syndrome","container-title":"The American Journal of Cardiology","page":"677-681","volume":"84","issue":"6","source":"ScienceDirect","abstract":"A retrospective study of adults with Eisenmenger syndrome assessed at a tertiary referral center was performed to identify clinical characteristics and establish prognostic determinants. Mortality and cause of death are reported with baseline clinical data correlated with mortality to identify predictors of death. Clinical events during follow-up, including heart failure, atrial arrhythmia, hemoptysis, and syncope were also reviewed. A total of 109 adults with Eisenmenger syndrome (mean ± SD age 29 ±11 years, 43% men) were followed for a median of 6.3 years. Sixty-six patients (61%) had simple cardiac anatomy (13 atrial septal defect, 43 ventricular septal defect, 10 patent ductus arteriosus). The remainder (43 patients) had complex cardiac anatomy (including atrioventricular septal defect, truncus arteriosus, univentricular heart, and transposition of the great arteries). There were 33 deaths and 9 transplantations during follow-up. Median survival was 53 years. Multivariate Cox regression analysis identified age at presentation (hazard ratio [HR] 0.90), supraventricular arrhythmia (HR 3.44), precordial electrocardiogram voltage (HR 1.61/mV increase), and poor New York Heart Association functional class (HR 2.60) as independent predictors of mortality. There is a large variation in the life expectancy for adults with Eisenmenger syndrome. Baseline characteristics associated with increased mortality include younger age at presentation (associated with complex anatomy), functional class, supraventricular arrhythmia, and an electrocardiogram index for right ventricular hypertrophy.","DOI":"10.1016/S0002-9149(99)00415-4","ISSN":"0002-9149","journalAbbreviation":"The American Journal of Cardiology","author":[{"family":"Cantor","given":"Warren J"},{"family":"Harrison","given":"David A"},{"family":"Moussadji","given":"Jack S"},{"family":"Connelly","given":"Michael S"},{"family":"Webb","given":"Gary D"},{"family":"Liu","given":"Peter"},{"family":"McLaughlin","given":"Peter R"},{"family":"Siu","given":"Samuel C"}],"issued":{"date-parts":[["1999",9,15]]}}},{"id":263,"uris":["http://zotero.org/users/1067890/items/TEJGMTZS"],"uri":["http://zotero.org/users/1067890/items/TEJGMTZS"],"itemData":{"id":263,"type":"article-journal","title":"Eisenmenger syndrome in adults: Ventricular septal defect, truncus arteriosus, univentricular heart","container-title":"Journal of the American College of Cardiology","page":"223-232","volume":"34","issue":"1","source":"ScienceDirect","abstract":"OBJECTIVES\n\nMorbidity and mortality patterns were characterized in adults with the Eisenmenger syndrome when two ventricles with a ventricular septal defect (VSD) joined two great arteries or one great artery, or when one ventricle joined two great arteries.\n\nBACKGROUND\n\nAlthough afterload in these disorders differs, clinical differences have not been defined.\n\nMETHODS\n\nSeventy-seven patients were studied. Group A comprised 47 patients with VSD, aged 23 to 69 years (mean 39.5 ± 10.2), follow-up 5 to 18 years (mean 7.2 ± 4.9); group B, 14 patients with truncus arteriosus, aged 27 to 50 years (mean 33.7 ± 7.3), follow-up 6 to 18 years (mean 7.7 ± 5.1), and group C, 16 patients with univentricular heart, aged 18 to 44 years (mean 30.6 ± 8.4), follow-up 5 to 15 years (mean 4.4 ± 4.2). Echocardiography established the diagnoses and anatomic and hemodynamic features. Data were compiled on tachyarrhythmias, pregnancy, infective endocarditis, noncardiac surgery and the multisystem disorders of cyanotic adults.\n\nRESULTS\n\nThirty-five percent of the patients died. Sixty-three percent of deaths were sudden, and resulted from intrapulmonary hemorrhage, rupture of either the pulmonary trunk, ascending aorta or a bronchial artery, or vasospastic cerebral infarction, or the cause was unestablished. There were no documented tachyarrhythmic sudden deaths.\n\nCONCLUSIONS\n\nMedical management of coexisting cardiac disease, multisystem systemic disorders, noncardiac surgery and pregnancy has reduced morbidity. Increased longevity exposed patients to proximal pulmonary arterial aneurysms, thromboses and calcification; to truncal valve stenosis and regurgitation; to semilunar and atrioventricular valve regurgitation, and to major risks of nontachyarrhythmic sudden death.","DOI":"10.1016/S0735-1097(99)00153-9","ISSN":"0735-1097","shortTitle":"Eisenmenger syndrome in adults","journalAbbreviation":"Journal of the American College of Cardiology","author":[{"family":"Niwa","given":"Koichiro"},{"family":"Perloff","given":"Joseph K"},{"family":"Kaplan","given":"Samuel"},{"family":"Child","given":"John S"},{"family":"Miner","given":"Pamela D"}],"issued":{"date-parts":[["1999",7]]}}},{"id":247,"uris":["http://zotero.org/users/1067890/items/S425N4DB"],"uri":["http://zotero.org/users/1067890/items/S425N4DB"],"itemData":{"id":247,"type":"article-journal","title":"Mode of death in adults with congenital heart disease","container-title":"The American Journal of Cardiology","page":"1111-1116","volume":"86","issue":"10","source":"ScienceDirect","abstract":"An increasing number of patients with congenital heart disease (CHD) are entering adulthood. Although prior studies have focused on the causes of death in the pediatric population, the modes of death for adults with CHD have not been well defined. In a cross-sectional study performed on a population of 2,609 consecutive adults assessed at a CHD specialty clinic, there were adequate information available in 197 of 199 deceased patients. Mean age at death was 37 ± 15 years. Mortality was highest in patients with congenitally corrected transposition of the great arteries (26%), tricuspid atresia (25%), and univentricular connection (23%). Youngest mean age at death was observed in patients with tricuspid atresia (27 ± 5 years), complete transposition of the great arteries (27 ± 7 years), pulmonary atresia (27 ± 6 years), and aortic coarctation (29 ± 6 years). Sudden death (26%) was the most common cause of death followed by progressive heart failure (21%) and perioperative death (18%). Postmortem examinations were performed in 77 of 197 deceased patients (39%) and provided incremental data on the mechanism of death in 22% of autopsies. Thus, the 3 major causes of death in the growing population of adults with CHD are sudden, perioperative, and progressive heart failure.","DOI":"10.1016/S0002-9149(00)01169-3","ISSN":"0002-9149","journalAbbreviation":"The American Journal of Cardiology","author":[{"family":"Oechslin","given":"Erwin N"},{"family":"Harrison","given":"David A"},{"family":"Connelly","given":"Michael S"},{"family":"Webb","given":"Gary D"},{"family":"Siu","given":"Samuel C"}],"issued":{"date-parts":[["2000",11,15]]}}},{"id":312,"uris":["http://zotero.org/users/1067890/items/WQDN292U"],"uri":["http://zotero.org/users/1067890/items/WQDN292U"],"itemData":{"id":312,"type":"article-journal","title":"Presentation, survival prospects, and predictors of death in Eisenmenger syndrome: a combined retrospective and case–control study","container-title":"European heart journal","page":"1737–1742","volume":"27","issue":"14","source":"Google Scholar","shortTitle":"Presentation, survival prospects, and predictors of death in Eisenmenger syndrome","author":[{"family":"Diller","given":"G. P."},{"family":"Dimopoulos","given":"K."},{"family":"Broberg","given":"C. S."},{"family":"Kaya","given":"M. G."},{"family":"Naghotra","given":"U. S."},{"family":"Uebing","given":"A."},{"family":"Harries","given":"C."},{"family":"Goktekin","given":"O."},{"family":"Gibbs","given":"J. S. R."},{"family":"Gatzoulis","given":"M. A."}],"issued":{"date-parts":[["2006"]]}}},{"id":1168,"uris":["http://zotero.org/users/1067890/items/UTNIK8NQ"],"uri":["http://zotero.org/users/1067890/items/UTNIK8NQ"],"itemData":{"id":1168,"type":"article-journal","title":"Survival Prospects and Circumstances of Death in Contemporary Adult Congenital Heart Disease Patients Under Follow-Up at a Large Tertiary Centre","container-title":"Circulation","page":"CIRCULATIONAHA.115.017202","source":"circ.ahajournals.org","abstract":"Background—Adult congenital heart disease (ACHD) patients have ongoing morbidity and reduced long-term survival. Recently, the importance of specialized follow-up at tertiary ACHD centres has been highlighted. We aimed to assess survival prospects and clarify causes of death in a large cohort of patients at a single, tertiary centre.\nMethods and Results—We included 6,969 adult patients (age 29.9±15.4 years) under follow-up at our institution between 1991 and 2013. Causes of death were ascertained from official death certificates. Survival was compared with the expected survival in the general age and gender matched population and standardized mortality rates were calculated. Over a median follow-up time of 9.1 years (IQR 5.2-14.5), 524 patients died. Leading causes of death were chronic heart failure (42%), pneumonia (10%), sudden-cardiac death (7%), cancer (6%) and haemorrhage (5%), while perioperative mortality was comparatively low. Isolated simple defects exhibited mortality rates similar to those in the general population, while patients with Eisenmenger syndrome, complex congenital heart disease and Fontan physiology had much poorer long-term survival (P&lt;0.0001 for all). The probability of cardiac death decreased with increasing patient's age, whereas the proportion of patients dying from non-cardiac causes, such as cancer, increased.\nConclusions—ACHD patients continue to be afflicted by increased mortality compared to the general population as they grow older. Highest mortality rates were observed amongst patients with complex ACHD, Fontan physiology and Eisenmenger syndrome. Our data provide an overview over causes of mortality and especially the spectrum of non-cardiac causes of death in contemporary ACHD patients.","DOI":"10.1161/CIRCULATIONAHA.115.017202","ISSN":"0009-7322, 1524-4539","journalAbbreviation":"Circulation","language":"en","author":[{"family":"Diller","given":"Gerhard-Paul"},{"family":"Kempny","given":"Aleksander"},{"family":"Alonso-Gonzalez","given":"Rafael"},{"family":"Swan","given":"Lorna"},{"family":"Uebing","given":"Anselm"},{"family":"Li","given":"Wei"},{"family":"Babu-Narayan","given":"Sonya"},{"family":"Wort","given":"Stephen J."},{"family":"Dimopoulos","given":"Konstantinos"},{"family":"Gatzoulis","given":"Michael A."}],"issued":{"date-parts":[["2015",9,14]]}}},{"id":1448,"uris":["http://zotero.org/users/1067890/items/V7QPDUWR"],"uri":["http://zotero.org/users/1067890/items/V7QPDUWR"],"itemData":{"id":1448,"type":"article-journal","title":"Current therapy and outcome of Eisenmenger syndrome: data of the German National Register for congenital heart defects","container-title":"European Heart Journal","page":"ehv743","source":"eurheartj.oxfordjournals.org.ep.fjernadgang.kb.dk","abstract":"Aims We aimed to assess the contemporary outcome of Eisenmenger syndrome (ES), delineate the use of disease targeting therapies (DTT) in these patients and to investigate the effect of treatment on outcome in the community.Methods and results Patients with ES were systematically identified from the German National Register for Congenital Heart Defects. Data on underlying diagnosis, medical therapy, and survival were collected. The impact of DTT on survival was assessed using time-dependant Cox analysis. Overall, 153 ES patients were included (mean age 34.0 ± 13.3 years, 46% females). Of these, 88 (57.5%) were treated with at least one DTT (76.1% Bosentan, 20.5% Sildenafil) while 17.6% were on dual DTT. In addition, 24.8% of patients received digoxin, 10.5% angiotensin-converting enzyme-inhibitors/angiotensin receptor blockers, and 17.6% β-blockers. Moreover, 17.6% of patients were treated with oral anticoagulants, while 23.5% of patients received Aspirin. The survival rate at 1, 5, and 10 years of follow-up was only 92, 75, and 57% in the entire cohort, and was even worse in treatment naive ES patients (survival rate 86, 60, and 34% at 1, 5, and 10 years). Use of DTT was independently associated with a better survival (hazard ratio 0.42, P= 0.015).Conclusion This study illustrates the alarmingly poor survival prospects of Eisenmenger patients by community-based data even in the current era with advanced DTT and in a country with a wealthy health system. Treatment naive ES patients had especially high mortality rates approaching 60–70% at 10 years of follow-up. Treatment with DTT was associated with better survival.","DOI":"10.1093/eurheartj/ehv743","ISSN":"0195-668X, 1522-9645","note":"PMID: 26843280","shortTitle":"Current therapy and outcome of Eisenmenger syndrome","language":"en","author":[{"family":"Diller","given":"Gerhard-Paul"},{"family":"Körten","given":"Marc-André"},{"family":"Bauer","given":"Ulrike M. M."},{"family":"Miera","given":"Oliver"},{"family":"Tutarel","given":"Oktay"},{"family":"Kaemmerer","given":"Harald"},{"family":"Berger","given":"Felix"},{"family":"Baumgartner","given":"Helmut"}],"issued":{"date-parts":[["2016",2,2]]},"PMID":"26843280"}}],"schema":"https://github.com/citation-style-language/schema/raw/master/csl-citation.json"}</w:instrText>
      </w:r>
      <w:r>
        <w:fldChar w:fldCharType="separate"/>
      </w:r>
      <w:bookmarkStart w:id="3" w:name="__Fieldmark__822_1910830454"/>
      <w:r>
        <w:rPr/>
      </w:r>
      <w:r>
        <w:rPr>
          <w:szCs w:val="24"/>
        </w:rPr>
        <w:t>(2–12)</w:t>
      </w:r>
      <w:r>
        <w:rPr/>
      </w:r>
      <w:r>
        <w:fldChar w:fldCharType="end"/>
      </w:r>
      <w:bookmarkEnd w:id="3"/>
      <w:r>
        <w:rPr/>
        <w:t xml:space="preserve">.    </w:t>
      </w:r>
    </w:p>
    <w:p>
      <w:pPr>
        <w:pStyle w:val="Normal"/>
        <w:spacing w:lineRule="auto" w:line="480" w:before="0" w:after="0"/>
        <w:jc w:val="both"/>
        <w:rPr/>
      </w:pPr>
      <w:r>
        <w:rPr>
          <w:lang w:val="en-US"/>
        </w:rPr>
        <w:t xml:space="preserve">    </w:t>
      </w:r>
      <w:r>
        <w:rPr/>
        <w:t>This long-term study on a large, multicentre cohort of patients with ES aimed to determine cause-specific mortality and examine whether the cause of death has changed during the study period as a result of recent advances in the management of patients with ES.</w:t>
      </w:r>
    </w:p>
    <w:p>
      <w:pPr>
        <w:pStyle w:val="Heading1"/>
        <w:rPr/>
      </w:pPr>
      <w:r>
        <w:rPr/>
        <w:t>Methods</w:t>
      </w:r>
    </w:p>
    <w:p>
      <w:pPr>
        <w:pStyle w:val="Normal"/>
        <w:spacing w:lineRule="auto" w:line="480" w:before="0" w:after="0"/>
        <w:jc w:val="both"/>
        <w:rPr/>
      </w:pPr>
      <w:r>
        <w:rPr/>
        <w:t xml:space="preserve">    </w:t>
      </w:r>
      <w:r>
        <w:rPr/>
        <w:t xml:space="preserve">A retrospective, multicentre study was performed examining the medical records of all patients with ES. ES was defined as pulmonary arterial hypertension in the presence of a large non-restrictive intracardiac or extracardiac communication accompanied by cyanosis (peripheral oxygen saturation &lt; 92% at rest and/or &lt; 87% during exercise). Hemodynamically, Eisenmenger syndrome (ES) was defined as PVR ≥12 Wood Units (WU) </w:t>
      </w:r>
      <w:r>
        <w:rPr>
          <w:i/>
        </w:rPr>
        <w:t>or</w:t>
      </w:r>
      <w:r>
        <w:rPr/>
        <w:t xml:space="preserve"> to a pulmonary-to-systemic resistance ratio equal to or greater than 1 </w:t>
      </w:r>
      <w:r>
        <w:fldChar w:fldCharType="begin"/>
      </w:r>
      <w:r>
        <w:instrText>ADDIN ZOTERO_ITEM CSL_CITATION {"citationID":"kbbTJqD4","properties":{"formattedCitation":"{\\rtf (2,3,13\\uc0\\u8211{}15)}","plainCitation":"(2,3,13–15)"},"citationItems":[{"id":5,"uris":["http://zotero.org/users/1067890/items/27TQKM9Z"],"uri":["http://zotero.org/users/1067890/items/27TQKM9Z"],"itemData":{"id":5,"type":"article-journal","title":"The Eisenmenger Syndrome","container-title":"British Medical Journal","page":"755-762","volume":"2","issue":"5099","source":"PubMed Central","abstract":"Images\nnull","ISSN":"0007-1447","note":"PMID: 13572894\nPMCID: PMC2026272","journalAbbreviation":"Br Med J","author":[{"family":"Wood","given":"Paul"}],"issued":{"date-parts":[["1958",9,27]]},"PMID":"13572894","PMCID":"PMC2026272"}},{"id":1441,"uris":["http://zotero.org/users/1067890/items/NUCWGETV"],"uri":["http://zotero.org/users/1067890/items/NUCWGETV"],"itemData":{"id":1441,"type":"article-journal","title":"The Eisenmenger Syndrome","container-title":"Br Med J","page":"701-709","volume":"2","issue":"5098","source":"www.bmj.com.ep.fjernadgang.kb.dk","DOI":"10.1136/bmj.2.5098.701","ISSN":"0007-1447, 1468-5833","note":"PMID: 13572874","journalAbbreviation":"Br Med J","language":"en","author":[{"family":"Wood","given":"Paul"}],"issued":{"date-parts":[["1958",9,20]]},"PMID":"13572874"}},{"id":8,"uris":["http://zotero.org/users/1067890/items/2T2QT66I"],"uri":["http://zotero.org/users/1067890/items/2T2QT66I"],"itemData":{"id":8,"type":"article-journal","title":"Pulmonary Vascular Disease in Adults With Congenital Heart Disease","container-title":"Circulation","page":"1039-1050","volume":"115","issue":"8","source":"circ.ahajournals.org.ep.fjernadgang.kb.dk","abstract":"Pulmonary arterial hypertension of variable degree is commonly associated with adult congenital heart disease. Depending on size and location of the underlying cardiac defect as well as on repair status, pulmonary arterial hypertension may present with or without reversed shunting and associated cyanosis (ie, Eisenmenger syndrome). We review available data on etiology, clinical presentation, prognosis, and management strategies of pulmonary arterial hypertension in adult patients with congenital heart disease. In addition, we discuss the numerous complications associated with Eisenmenger syndrome, representing a multisystem disorder. Finally, we present general management strategies and emerging disease-targeting therapies.","DOI":"10.1161/CIRCULATIONAHA.105.592386","ISSN":"0009-7322, 1524-4539","journalAbbreviation":"Circulation","language":"en","author":[{"family":"Diller","given":"Gerhard-Paul"},{"family":"Gatzoulis","given":"Michael A."}],"issued":{"date-parts":[["2007",2,27]]}}},{"id":129,"uris":["http://zotero.org/users/1067890/items/G2KWCDF3"],"uri":["http://zotero.org/users/1067890/items/G2KWCDF3"],"itemData":{"id":129,"type":"article-journal","title":"ESC Guidelines for the management of grown-up congenital heart disease (new version 2010): The Task Force on the Management of Grown-up Congenital Heart Disease of the European Society of Cardiology (ESC)","container-title":"European Heart Journal","page":"2915-2957","volume":"31","issue":"23","source":"CrossRef","DOI":"10.1093/eurheartj/ehq249","ISSN":"0195-668X, 1522-9645","shortTitle":"ESC Guidelines for the management of grown-up congenital heart disease (new version 2010)","author":[{"family":"Baumgartner","given":"H."},{"family":"Bonhoeffer","given":"P."},{"family":"De Groot","given":"N. M. S."},{"family":"Haan","given":"F.","non-dropping-particle":"de"},{"family":"Deanfield","given":"J. E."},{"family":"Galie","given":"N."},{"family":"Gatzoulis","given":"M. A."},{"family":"Gohlke-Baerwolf","given":"C."},{"family":"Kaemmerer","given":"H."},{"family":"Kilner","given":"P."},{"family":"Meijboom","given":"F."},{"family":"Mulder","given":"B. J. M."},{"family":"Oechslin","given":"E."},{"family":"Oliver","given":"J. M."},{"family":"Serraf","given":"A."},{"family":"Szatmari","given":"A."},{"family":"Thaulow","given":"E."},{"family":"Vouhe","given":"P. R."},{"family":"Walma","given":"E."},{"literal":"ESC Committee for Practice Guidelines (CPG)"},{"family":"Vahanian","given":"A."},{"family":"Auricchio","given":"A."},{"family":"Bax","given":"J."},{"family":"Ceconi","given":"C."},{"family":"Dean","given":"V."},{"family":"Filippatos","given":"G."},{"family":"Funck-Brentano","given":"C."},{"family":"Hobbs","given":"R."},{"family":"Kearney","given":"P."},{"family":"McDonagh","given":"T."},{"family":"Popescu","given":"B. A."},{"family":"Reiner","given":"Z."},{"family":"Sechtem","given":"U."},{"family":"Sirnes","given":"P. A."},{"family":"Tendera","given":"M."},{"family":"Vardas","given":"P."},{"family":"Widimsky","given":"P."},{"literal":"Document Reviewers"},{"family":"McDonagh","given":"T."},{"family":"Swan","given":"L."},{"family":"Andreotti","given":"F."},{"family":"Beghetti","given":"M."},{"family":"Borggrefe","given":"M."},{"family":"Bozio","given":"A."},{"family":"Brecker","given":"S."},{"family":"Budts","given":"W."},{"family":"Hess","given":"J."},{"family":"Hirsch","given":"R."},{"family":"Jondeau","given":"G."},{"family":"Kokkonen","given":"J."},{"family":"Kozelj","given":"M."},{"family":"Kucukoglu","given":"S."},{"family":"Laan","given":"M."},{"family":"Lionis","given":"C."},{"family":"Metreveli","given":"I."},{"family":"Moons","given":"P."},{"family":"Pieper","given":"P. G."},{"family":"Pilossoff","given":"V."},{"family":"Popelova","given":"J."},{"family":"Price","given":"S."},{"family":"Roos-Hesselink","given":"J."},{"family":"Uva","given":"M. S."},{"family":"Tornos","given":"P."},{"family":"Trindade","given":"P. T."},{"family":"Ukkonen","given":"H."},{"family":"Walker","given":"H."},{"family":"Webb","given":"G. D."},{"family":"Westby","given":"J."}],"issued":{"date-parts":[["2010",8,27]]}}},{"id":1321,"uris":["http://zotero.org/users/1067890/items/ICM6HWNG"],"uri":["http://zotero.org/users/1067890/items/ICM6HWNG"],"itemData":{"id":1321,"type":"article-journal","title":"2015 ESC/ERS Guidelines for the diagnosis and treatment of pulmonary hypertension","container-title":"European Heart Journal","page":"ehv317","source":"eurheartj.oxfordjournals.org","DOI":"10.1093/eurheartj/ehv317","ISSN":"0195-668X, 1522-9645","note":"PMID: 26320113","language":"en","author":[{"family":"Galiè","given":"Nazzareno"},{"family":"Vachiery","given":"Jean-Luc"},{"family":"Gibbs","given":"Simon"},{"family":"Lang","given":"Irene"},{"family":"Torbicki","given":"Adam"},{"family":"Simonneau","given":"Gérald"},{"family":"Peacock","given":"Andrew"},{"family":"Noordegraaf","given":"Anton Vonk"},{"family":"Beghetti","given":"Maurice"},{"family":"Ghofrani","given":"Ardeschir"},{"family":"Sanchez","given":"Miguel Angel Gomez"},{"family":"Hansmann","given":"Georg"},{"family":"Klepetko","given":"Walter"},{"family":"Lancellotti","given":"Patrizio"},{"family":"Matucci","given":"Marco"},{"family":"McDonagh","given":"Theresa"},{"family":"Pierard","given":"Luc A."},{"family":"Trindade","given":"Pedro T."},{"family":"Zompatori","given":"Maurizio"},{"family":"Hoeper","given":"Marius"}],"issued":{"date-parts":[["2015",8,29]]},"PMID":"26320113"}}],"schema":"https://github.com/citation-style-language/schema/raw/master/csl-citation.json"}</w:instrText>
      </w:r>
      <w:r>
        <w:fldChar w:fldCharType="separate"/>
      </w:r>
      <w:bookmarkStart w:id="4" w:name="__Fieldmark__912_1910830454"/>
      <w:r>
        <w:rPr/>
        <w:t>(2,3,13–15)</w:t>
      </w:r>
      <w:r>
        <w:rPr/>
      </w:r>
      <w:r>
        <w:fldChar w:fldCharType="end"/>
      </w:r>
      <w:bookmarkEnd w:id="4"/>
      <w:r>
        <w:rPr/>
        <w:t xml:space="preserve">. Centres from 13 countries worldwide provided data on patients with ES under active follow-up at any time between 1977 and 2015. Date and cause of death was ascertained from the medical records and/or national mortality databases. Patients who received heart-lung or lung-transplantation were excluded from further analysis 30 days post transplantation. </w:t>
      </w:r>
    </w:p>
    <w:p>
      <w:pPr>
        <w:pStyle w:val="Normal"/>
        <w:spacing w:lineRule="auto" w:line="480" w:before="0" w:after="0"/>
        <w:jc w:val="both"/>
        <w:rPr/>
      </w:pPr>
      <w:r>
        <w:rPr/>
        <w:t xml:space="preserve">    </w:t>
      </w:r>
      <w:r>
        <w:rPr/>
        <w:t xml:space="preserve">Patients were grouped by cardiac diagnosis into simple pre-tricuspid (atrial septal defects (ASD)), simple post-tricuspid (ventricular septal defect (VSD), patent ductus arteriosus (PDA), and aorto-pulmonary window), and complex lesions (atrio-ventricular septal defect (AVSD), univentricular hearts, transposition of the great arteries, and truncus arteriosus) </w:t>
      </w:r>
      <w:r>
        <w:fldChar w:fldCharType="begin"/>
      </w:r>
      <w:r>
        <w:instrText>ADDIN ZOTERO_ITEM CSL_CITATION {"citationID":"vzmK8tnW","properties":{"formattedCitation":"(13)","plainCitation":"(13)"},"citationItems":[{"id":8,"uris":["http://zotero.org/users/1067890/items/2T2QT66I"],"uri":["http://zotero.org/users/1067890/items/2T2QT66I"],"itemData":{"id":8,"type":"article-journal","title":"Pulmonary Vascular Disease in Adults With Congenital Heart Disease","container-title":"Circulation","page":"1039-1050","volume":"115","issue":"8","source":"circ.ahajournals.org.ep.fjernadgang.kb.dk","abstract":"Pulmonary arterial hypertension of variable degree is commonly associated with adult congenital heart disease. Depending on size and location of the underlying cardiac defect as well as on repair status, pulmonary arterial hypertension may present with or without reversed shunting and associated cyanosis (ie, Eisenmenger syndrome). We review available data on etiology, clinical presentation, prognosis, and management strategies of pulmonary arterial hypertension in adult patients with congenital heart disease. In addition, we discuss the numerous complications associated with Eisenmenger syndrome, representing a multisystem disorder. Finally, we present general management strategies and emerging disease-targeting therapies.","DOI":"10.1161/CIRCULATIONAHA.105.592386","ISSN":"0009-7322, 1524-4539","journalAbbreviation":"Circulation","language":"en","author":[{"family":"Diller","given":"Gerhard-Paul"},{"family":"Gatzoulis","given":"Michael A."}],"issued":{"date-parts":[["2007",2,27]]}}}],"schema":"https://github.com/citation-style-language/schema/raw/master/csl-citation.json"}</w:instrText>
      </w:r>
      <w:r>
        <w:fldChar w:fldCharType="separate"/>
      </w:r>
      <w:bookmarkStart w:id="5" w:name="__Fieldmark__987_1910830454"/>
      <w:r>
        <w:rPr/>
        <w:t>(13)</w:t>
      </w:r>
      <w:r>
        <w:rPr/>
      </w:r>
      <w:r>
        <w:fldChar w:fldCharType="end"/>
      </w:r>
      <w:bookmarkEnd w:id="5"/>
      <w:r>
        <w:rPr/>
        <w:t xml:space="preserve">. Those with combined lesions were assigned to the lesion of highest complexity according to Allan et al </w:t>
      </w:r>
      <w:r>
        <w:fldChar w:fldCharType="begin"/>
      </w:r>
      <w:r>
        <w:instrText>ADDIN ZOTERO_ITEM CSL_CITATION {"citationID":"2ed8nkupes","properties":{"formattedCitation":"(16)","plainCitation":"(16)"},"citationItems":[{"id":1350,"uris":["http://zotero.org/users/1067890/items/M4IDMFHV"],"uri":["http://zotero.org/users/1067890/items/M4IDMFHV"],"itemData":{"id":1350,"type":"article-journal","title":"Spectrum of congenital heart disease detected echocardiographically in prenatal life.","container-title":"British Heart Journal","page":"523-526","volume":"54","issue":"5","source":"heart.bmj.com","abstract":"The spectrum of congenital heart disease seen in a series of 72 fetal anomalies detected echocardiographically differed from that seen in infancy. This reflects the selection of patients for referral for fetal echocardiography and the high rate of natural fetal loss that occurs when severe cardiac defects are present.","DOI":"10.1136/hrt.54.5.523","ISSN":", 1468-201X","note":"PMID: 4052293","journalAbbreviation":"Br Heart J","language":"en","author":[{"family":"Allan","given":"L. D."},{"family":"Crawford","given":"D. C."},{"family":"Anderson","given":"R. H."},{"family":"Tynan","given":"M."}],"issued":{"date-parts":[["1985",11,1]]},"PMID":"4052293"}}],"schema":"https://github.com/citation-style-language/schema/raw/master/csl-citation.json"}</w:instrText>
      </w:r>
      <w:r>
        <w:fldChar w:fldCharType="separate"/>
      </w:r>
      <w:bookmarkStart w:id="6" w:name="__Fieldmark__1000_1910830454"/>
      <w:r>
        <w:rPr/>
        <w:t>(16)</w:t>
      </w:r>
      <w:r>
        <w:rPr/>
      </w:r>
      <w:r>
        <w:fldChar w:fldCharType="end"/>
      </w:r>
      <w:bookmarkEnd w:id="6"/>
      <w:r>
        <w:rPr/>
        <w:t xml:space="preserve">. </w:t>
      </w:r>
    </w:p>
    <w:p>
      <w:pPr>
        <w:pStyle w:val="Normal"/>
        <w:spacing w:lineRule="auto" w:line="480" w:before="0" w:after="0"/>
        <w:jc w:val="both"/>
        <w:rPr/>
      </w:pPr>
      <w:r>
        <w:rPr/>
        <w:t xml:space="preserve">     </w:t>
      </w:r>
      <w:r>
        <w:rPr/>
        <w:t xml:space="preserve">Cause-specific mortality was defined as the disease or condition directly leading to death, as per World  Health Organisation guidance </w:t>
      </w:r>
      <w:r>
        <w:fldChar w:fldCharType="begin"/>
      </w:r>
      <w:r>
        <w:instrText>ADDIN ZOTERO_ITEM CSL_CITATION {"citationID":"2haeoibc86","properties":{"formattedCitation":"(17)","plainCitation":"(17)"},"citationItems":[{"id":1484,"uris":["http://zotero.org/users/1067890/items/9GEKZ7TG"],"uri":["http://zotero.org/users/1067890/items/9GEKZ7TG"],"itemData":{"id":1484,"type":"book","title":"ICD-10: International statistical classification of diseases and related health problems.","publisher":"World Health Organization","publisher-place":"Geneva","source":"Open WorldCat","event-place":"Geneva","ISBN":"978-92-4-154834-2","shortTitle":"ICD-10","language":"English","issued":{"date-parts":[["2011"]]}},"locator":"-"}],"schema":"https://github.com/citation-style-language/schema/raw/master/csl-citation.json"}</w:instrText>
      </w:r>
      <w:r>
        <w:fldChar w:fldCharType="separate"/>
      </w:r>
      <w:bookmarkStart w:id="7" w:name="__Fieldmark__1023_1910830454"/>
      <w:r>
        <w:rPr/>
        <w:t>(17)</w:t>
      </w:r>
      <w:r>
        <w:rPr/>
      </w:r>
      <w:r>
        <w:fldChar w:fldCharType="end"/>
      </w:r>
      <w:bookmarkEnd w:id="7"/>
      <w:r>
        <w:rPr/>
        <w:t xml:space="preserve">. Antecedent causes were not considered. In cases where the cause-specific mortality was uncertain, the case was reviewed with a co-investigator and consensus was reached. Patients with insufficient data on cause-specific mortality were excluded from the analysis. </w:t>
      </w:r>
    </w:p>
    <w:p>
      <w:pPr>
        <w:pStyle w:val="Normal"/>
        <w:spacing w:lineRule="auto" w:line="480" w:before="0" w:after="0"/>
        <w:jc w:val="both"/>
        <w:rPr/>
      </w:pPr>
      <w:r>
        <w:rPr/>
        <w:t xml:space="preserve">    </w:t>
      </w:r>
      <w:commentRangeStart w:id="0"/>
      <w:r>
        <w:rPr/>
        <w:t xml:space="preserve">The study period was subdivided into two eras, based on the gradual change in treatment and follow-up strategies during the last 10 years </w:t>
      </w:r>
      <w:r>
        <w:fldChar w:fldCharType="begin"/>
      </w:r>
      <w:r>
        <w:instrText>ADDIN ZOTERO_ITEM CSL_CITATION {"citationID":"1ujn62ro6r","properties":{"formattedCitation":"(14,15,18,19)","plainCitation":"(14,15,18,19)"},"citationItems":[{"id":1567,"uris":["http://zotero.org/users/1067890/items/TFC3BPNX"],"uri":["http://zotero.org/users/1067890/items/TFC3BPNX"],"itemData":{"id":1567,"type":"article-journal","title":"Management of Grown Up Congenital Heart Disease","container-title":"European Heart Journal","page":"1035-1084","volume":"24","issue":"11","source":"eurheartj.oxfordjournals.org","DOI":"10.1016/S0195-668X(03)00131-3","ISSN":"0195-668X, 1522-9645","note":"PMID: 12868424","language":"en","author":[{"family":"Deanfield","given":"John"},{"family":"Thaulow","given":"Erik"},{"family":"Warnes","given":"Carol"},{"family":"Webb","given":"Gary"},{"family":"Kolbel","given":"Frantizek"},{"family":"Hoffman","given":"Andreas"},{"family":"Sorenson","given":"Keld"},{"family":"Kaemmerer","given":"Harald"},{"family":"Thilen","given":"Ulf"},{"family":"Bink-Boelkens","given":"Margreet"},{"family":"Iserin","given":"Laurence"},{"family":"Daliento","given":"Luciano"},{"family":"Silove","given":"Eric"},{"family":"Redington","given":"Andrew"},{"family":"Vouhe","given":"Pascal"},{"family":"Priori","given":"Silvia"},{"family":"Alonso","given":"Maria Angeles"},{"family":"Blanc","given":"Jean-Jacques"},{"family":"Budaj","given":"Andrzej"},{"family":"Cowie","given":"Martin"},{"family":"Deckers","given":"Jaap"},{"family":"Burgos","given":"Enrique Fernandez"},{"family":"Lekakis","given":"John"},{"family":"Lindahl","given":"Bertil"},{"family":"Mazzotta","given":"Gianfranco"},{"family":"Morais","given":"Joao"},{"family":"Oto","given":"Ali"},{"family":"Smiseth","given":"Otto"},{"family":"Trappe","given":"Hans Joachim"},{"family":"Deckers","given":"Jaap"},{"family":"Klein","given":"Werner"},{"family":"Alonso","given":"Maria Angeles"},{"family":"Blömstrom-Lundqvist","given":"Carina"},{"family":"Backer","given":"Guy","dropping-particle":"de"},{"family":"Hradec","given":"Jaromir"},{"family":"Mazzotta","given":"Gianfranco"},{"family":"Parkhomenko","given":"Alexander"},{"family":"Presbitero","given":"Patrizia"},{"family":"Torbicki","given":"Adam"}],"issued":{"date-parts":[["2003",6,1]]},"PMID":"12868424"}},{"id":129,"uris":["http://zotero.org/users/1067890/items/G2KWCDF3"],"uri":["http://zotero.org/users/1067890/items/G2KWCDF3"],"itemData":{"id":129,"type":"article-journal","title":"ESC Guidelines for the management of grown-up congenital heart disease (new version 2010): The Task Force on the Management of Grown-up Congenital Heart Disease of the European Society of Cardiology (ESC)","container-title":"European Heart Journal","page":"2915-2957","volume":"31","issue":"23","source":"CrossRef","DOI":"10.1093/eurheartj/ehq249","ISSN":"0195-668X, 1522-9645","shortTitle":"ESC Guidelines for the management of grown-up congenital heart disease (new version 2010)","author":[{"family":"Baumgartner","given":"H."},{"family":"Bonhoeffer","given":"P."},{"family":"De Groot","given":"N. M. S."},{"family":"Haan","given":"F.","non-dropping-particle":"de"},{"family":"Deanfield","given":"J. E."},{"family":"Galie","given":"N."},{"family":"Gatzoulis","given":"M. A."},{"family":"Gohlke-Baerwolf","given":"C."},{"family":"Kaemmerer","given":"H."},{"family":"Kilner","given":"P."},{"family":"Meijboom","given":"F."},{"family":"Mulder","given":"B. J. M."},{"family":"Oechslin","given":"E."},{"family":"Oliver","given":"J. M."},{"family":"Serraf","given":"A."},{"family":"Szatmari","given":"A."},{"family":"Thaulow","given":"E."},{"family":"Vouhe","given":"P. R."},{"family":"Walma","given":"E."},{"literal":"ESC Committee for Practice Guidelines (CPG)"},{"family":"Vahanian","given":"A."},{"family":"Auricchio","given":"A."},{"family":"Bax","given":"J."},{"family":"Ceconi","given":"C."},{"family":"Dean","given":"V."},{"family":"Filippatos","given":"G."},{"family":"Funck-Brentano","given":"C."},{"family":"Hobbs","given":"R."},{"family":"Kearney","given":"P."},{"family":"McDonagh","given":"T."},{"family":"Popescu","given":"B. A."},{"family":"Reiner","given":"Z."},{"family":"Sechtem","given":"U."},{"family":"Sirnes","given":"P. A."},{"family":"Tendera","given":"M."},{"family":"Vardas","given":"P."},{"family":"Widimsky","given":"P."},{"literal":"Document Reviewers"},{"family":"McDonagh","given":"T."},{"family":"Swan","given":"L."},{"family":"Andreotti","given":"F."},{"family":"Beghetti","given":"M."},{"family":"Borggrefe","given":"M."},{"family":"Bozio","given":"A."},{"family":"Brecker","given":"S."},{"family":"Budts","given":"W."},{"family":"Hess","given":"J."},{"family":"Hirsch","given":"R."},{"family":"Jondeau","given":"G."},{"family":"Kokkonen","given":"J."},{"family":"Kozelj","given":"M."},{"family":"Kucukoglu","given":"S."},{"family":"Laan","given":"M."},{"family":"Lionis","given":"C."},{"family":"Metreveli","given":"I."},{"family":"Moons","given":"P."},{"family":"Pieper","given":"P. G."},{"family":"Pilossoff","given":"V."},{"family":"Popelova","given":"J."},{"family":"Price","given":"S."},{"family":"Roos-Hesselink","given":"J."},{"family":"Uva","given":"M. S."},{"family":"Tornos","given":"P."},{"family":"Trindade","given":"P. T."},{"family":"Ukkonen","given":"H."},{"family":"Walker","given":"H."},{"family":"Webb","given":"G. D."},{"family":"Westby","given":"J."}],"issued":{"date-parts":[["2010",8,27]]}}},{"id":1321,"uris":["http://zotero.org/users/1067890/items/ICM6HWNG"],"uri":["http://zotero.org/users/1067890/items/ICM6HWNG"],"itemData":{"id":1321,"type":"article-journal","title":"2015 ESC/ERS Guidelines for the diagnosis and treatment of pulmonary hypertension","container-title":"European Heart Journal","page":"ehv317","source":"eurheartj.oxfordjournals.org","DOI":"10.1093/eurheartj/ehv317","ISSN":"0195-668X, 1522-9645","note":"PMID: 26320113","language":"en","author":[{"family":"Galiè","given":"Nazzareno"},{"family":"Vachiery","given":"Jean-Luc"},{"family":"Gibbs","given":"Simon"},{"family":"Lang","given":"Irene"},{"family":"Torbicki","given":"Adam"},{"family":"Simonneau","given":"Gérald"},{"family":"Peacock","given":"Andrew"},{"family":"Noordegraaf","given":"Anton Vonk"},{"family":"Beghetti","given":"Maurice"},{"family":"Ghofrani","given":"Ardeschir"},{"family":"Sanchez","given":"Miguel Angel Gomez"},{"family":"Hansmann","given":"Georg"},{"family":"Klepetko","given":"Walter"},{"family":"Lancellotti","given":"Patrizio"},{"family":"Matucci","given":"Marco"},{"family":"McDonagh","given":"Theresa"},{"family":"Pierard","given":"Luc A."},{"family":"Trindade","given":"Pedro T."},{"family":"Zompatori","given":"Maurizio"},{"family":"Hoeper","given":"Marius"}],"issued":{"date-parts":[["2015",8,29]]},"PMID":"26320113"}},{"id":194,"uris":["http://zotero.org/users/1067890/items/M33JT4NP"],"uri":["http://zotero.org/users/1067890/items/M33JT4NP"],"itemData":{"id":194,"type":"article-journal","title":"Guidelines for the diagnosis and treatment of pulmonary hypertension The Task Force for the Diagnosis and Treatment of Pulmonary Hypertension of the European Society of Cardiology (ESC) and the European Respiratory Society (ERS), endorsed by the International Society of Heart and Lung Transplantation (ISHLT)","container-title":"European Heart Journal","page":"2493-2537","volume":"30","issue":"20","source":"eurheartj.oxfordjournals.org.ep.fjernadgang.kb.dk","DOI":"10.1093/eurheartj/ehp297","ISSN":"0195-668X, 1522-9645","note":"PMID: 19713419","journalAbbreviation":"Eur Heart J","language":"en","author":[{"family":"Galiè","given":"Nazzareno"},{"family":"Hoeper","given":"Marius M."},{"family":"Humbert","given":"Marc"},{"family":"Torbicki","given":"Adam"},{"family":"Vachiery","given":"Jean-Luc"},{"family":"Barbera","given":"Joan Albert"},{"family":"Beghetti","given":"Maurice"},{"family":"Corris","given":"Paul"},{"family":"Gaine","given":"Sean"},{"family":"Gibbs","given":"J. Simon"},{"family":"Gomez-Sanchez","given":"Miguel Angel"},{"family":"Jondeau","given":"Guillaume"},{"family":"Klepetko","given":"Walter"},{"family":"Opitz","given":"Christian"},{"family":"Peacock","given":"Andrew"},{"family":"Rubin","given":"Lewis"},{"family":"Zellweger","given":"Michael"},{"family":"Simonneau","given":"Gerald"},{"family":"Vahanian","given":"Alec"},{"family":"Auricchio","given":"Angelo"},{"family":"Bax","given":"Jeroen"},{"family":"Ceconi","given":"Claudio"},{"family":"Dean","given":"Veronica"},{"family":"Filippatos","given":"Gerasimos"},{"family":"Funck-Brentano","given":"Christian"},{"family":"Hobbs","given":"Richard"},{"family":"Kearney","given":"Peter"},{"family":"McDonagh","given":"Theresa"},{"family":"McGregor","given":"Keith"},{"family":"Popescu","given":"Bogdan A."},{"family":"Reiner","given":"Zeljko"},{"family":"Sechtem","given":"Udo"},{"family":"Sirnes","given":"Per Anton"},{"family":"Tendera","given":"Michal"},{"family":"Vardas","given":"Panos"},{"family":"Widimsky","given":"Petr"},{"family":"Sechtem","given":"Udo"},{"family":"Attar","given":"Nawwar Al"},{"family":"Andreotti","given":"Felicita"},{"family":"Aschermann","given":"Michael"},{"family":"Asteggiano","given":"Riccardo"},{"family":"Benza","given":"Ray"},{"family":"Berger","given":"Rolf"},{"family":"Bonnet","given":"Damien"},{"family":"Delcroix","given":"Marion"},{"family":"Howard","given":"Luke"},{"family":"Kitsiou","given":"Anastasia N."},{"family":"Lang","given":"Irene"},{"family":"Maggioni","given":"Aldo"},{"family":"Nielsen-Kudsk","given":"Jens Erik"},{"family":"Park","given":"Myung"},{"family":"Perrone-Filardi","given":"Pasquale"},{"family":"Price","given":"Suzanna"},{"family":"Domenech","given":"Maria Teresa Subirana"},{"family":"Vonk-Noordegraaf","given":"Anton"},{"family":"Zamorano","given":"Jose Luis"}],"issued":{"date-parts":[["2009",10,1]]},"PMID":"19713419"}}],"schema":"https://github.com/citation-style-language/schema/raw/master/csl-citation.json"}</w:instrText>
      </w:r>
      <w:r>
        <w:fldChar w:fldCharType="separate"/>
      </w:r>
      <w:bookmarkStart w:id="8" w:name="__Fieldmark__1063_1910830454"/>
      <w:r>
        <w:rPr/>
        <w:t>(14,15,18,19)</w:t>
      </w:r>
      <w:r>
        <w:rPr/>
      </w:r>
      <w:r>
        <w:fldChar w:fldCharType="end"/>
      </w:r>
      <w:bookmarkEnd w:id="8"/>
      <w:r>
        <w:rPr/>
        <w:t xml:space="preserve">. The early era spanned from enrolment into the study up to 30th June 2006; this was the date of the publication of the BREATHE-5 trial </w:t>
      </w:r>
      <w:r>
        <w:fldChar w:fldCharType="begin"/>
      </w:r>
      <w:r>
        <w:instrText>ADDIN ZOTERO_ITEM CSL_CITATION {"citationID":"2pd1mg34m2","properties":{"formattedCitation":"(20)","plainCitation":"(20)"},"citationItems":[{"id":104,"uris":["http://zotero.org/users/1067890/items/D5M9WJPU"],"uri":["http://zotero.org/users/1067890/items/D5M9WJPU"],"itemData":{"id":104,"type":"article-journal","title":"Bosentan therapy in patients with Eisenmenger syndrome  - a multicenter, double-blind, randomized, placebo-controlled study BREATHE-5","container-title":"Circulation","page":"48–54","volume":"114","issue":"1","source":"Google Scholar","author":[{"family":"Galiè","given":"N."},{"family":"Beghetti","given":"M."},{"family":"Gatzoulis","given":"M. A."},{"family":"Granton","given":"J."},{"family":"Berger","given":"R. M. F."},{"family":"Lauer","given":"A."},{"family":"Chiossi","given":"E."},{"family":"Landzberg","given":"M."}],"issued":{"date-parts":[["2006"]]}}}],"schema":"https://github.com/citation-style-language/schema/raw/master/csl-citation.json"}</w:instrText>
      </w:r>
      <w:r>
        <w:fldChar w:fldCharType="separate"/>
      </w:r>
      <w:bookmarkStart w:id="9" w:name="__Fieldmark__1093_1910830454"/>
      <w:r>
        <w:rPr/>
        <w:t>(20)</w:t>
      </w:r>
      <w:r>
        <w:rPr/>
      </w:r>
      <w:r>
        <w:fldChar w:fldCharType="end"/>
      </w:r>
      <w:bookmarkEnd w:id="9"/>
      <w:r>
        <w:rPr/>
        <w:t xml:space="preserve"> leading to gradual introduction of AT to patients with ES, which was one of the most important changes in the management of these patients. The late era spanned from 1st July 2006 to death or the end of follow-up in September 2015. Overall and cause-specific mortality was compared between the two eras and also to that of historic cohorts. </w:t>
      </w:r>
      <w:commentRangeEnd w:id="0"/>
      <w:r>
        <w:commentReference w:id="0"/>
      </w:r>
      <w:r>
        <w:rPr/>
      </w:r>
    </w:p>
    <w:p>
      <w:pPr>
        <w:pStyle w:val="Normal"/>
        <w:spacing w:lineRule="auto" w:line="480" w:before="0" w:after="0"/>
        <w:jc w:val="both"/>
        <w:rPr/>
      </w:pPr>
      <w:r>
        <w:rPr/>
        <w:t xml:space="preserve">    </w:t>
      </w:r>
      <w:r>
        <w:rPr/>
        <w:t xml:space="preserve">As this was a retrospective study based on existing patient data; individual informed consent was not required. The study was registered and approved by all participating institutions. Data were anonymized when shared across borders. </w:t>
      </w:r>
    </w:p>
    <w:p>
      <w:pPr>
        <w:pStyle w:val="Heading2"/>
        <w:jc w:val="both"/>
        <w:rPr/>
      </w:pPr>
      <w:r>
        <w:rPr/>
        <w:t>Statistical Analysis</w:t>
      </w:r>
    </w:p>
    <w:p>
      <w:pPr>
        <w:pStyle w:val="Normal"/>
        <w:spacing w:lineRule="auto" w:line="480" w:before="0" w:after="0"/>
        <w:jc w:val="both"/>
        <w:rPr/>
      </w:pPr>
      <w:r>
        <w:rPr/>
        <w:t xml:space="preserve">    </w:t>
      </w:r>
      <w:r>
        <w:rPr/>
        <w:t xml:space="preserve">Continuous variables are presented as mean ± standard deviation (SD) if normally distributed, or median and interquartile range (IQR) in squared brackets otherwise. Categorical variables are presented as frequencies and percentages. Associations between categories were evaluated by the </w:t>
      </w:r>
      <w:r>
        <w:rPr>
          <w:i/>
        </w:rPr>
        <w:t>x</w:t>
      </w:r>
      <w:r>
        <w:rPr>
          <w:i/>
          <w:vertAlign w:val="superscript"/>
        </w:rPr>
        <w:t xml:space="preserve">2 </w:t>
      </w:r>
      <w:r>
        <w:rPr/>
        <w:t xml:space="preserve">test or Fisher’s exact test, whenever appropriate. Student’s </w:t>
      </w:r>
      <w:r>
        <w:rPr>
          <w:i/>
        </w:rPr>
        <w:t>t</w:t>
      </w:r>
      <w:r>
        <w:rPr/>
        <w:t xml:space="preserve"> test or Mann Whitney U Test was used for continuous variables. One-way ANOVA was used to compare means in more than two groups, the Kruskal-Wallis test to compare medians and Bonferroni correction was applied for multiple comparisons. All statistical analyses were performed with SPSS 22 (IBM, Armonk, NY, USA) and the null hypothesis was rejected on p-values &lt; 0.05.  </w:t>
      </w:r>
    </w:p>
    <w:p>
      <w:pPr>
        <w:pStyle w:val="Heading1"/>
        <w:rPr/>
      </w:pPr>
      <w:r>
        <w:rPr/>
        <w:t>Results</w:t>
      </w:r>
    </w:p>
    <w:p>
      <w:pPr>
        <w:pStyle w:val="Normal"/>
        <w:spacing w:lineRule="auto" w:line="480" w:before="0" w:after="0"/>
        <w:jc w:val="both"/>
        <w:rPr/>
      </w:pPr>
      <w:r>
        <w:rPr/>
        <w:t xml:space="preserve">    </w:t>
      </w:r>
      <w:r>
        <w:rPr/>
        <w:t>A total of 1,546 patients (64% female) with ES from 13 countries worldwide were included. During a median follow-up of 6.1 years [IQR 2.1-21.5 years], corresponding to 19,534 patient-years, 558 (36%) patients died, giving an average mortality rate of 2.9% per patient-year</w:t>
      </w:r>
      <w:r>
        <w:rPr>
          <w:lang w:val="en-US"/>
        </w:rPr>
        <w:t xml:space="preserve">. </w:t>
      </w:r>
      <w:r>
        <w:rPr/>
        <w:t xml:space="preserve">Patient demographics are provided in </w:t>
      </w:r>
      <w:r>
        <w:rPr/>
        <w:fldChar w:fldCharType="begin"/>
      </w:r>
      <w:r>
        <w:instrText> REF _Ref439165610 \h </w:instrText>
      </w:r>
      <w:r>
        <w:fldChar w:fldCharType="separate"/>
      </w:r>
      <w:r>
        <w:t>Table 1</w:t>
      </w:r>
      <w:r>
        <w:fldChar w:fldCharType="end"/>
      </w:r>
      <w:r>
        <w:rPr/>
        <w:t xml:space="preserve">. </w:t>
      </w:r>
    </w:p>
    <w:p>
      <w:pPr>
        <w:pStyle w:val="Normal"/>
        <w:spacing w:lineRule="auto" w:line="480" w:before="0" w:after="0"/>
        <w:jc w:val="both"/>
        <w:rPr/>
      </w:pPr>
      <w:r>
        <w:rPr/>
        <w:t xml:space="preserve">    </w:t>
      </w:r>
      <w:r>
        <w:rPr/>
        <w:t>Mean age at death or end of follow-up in patients with a simple pre-tricuspid valve lesion was 51.5±17.8 years, simple post-tricuspid valve lesion 39.8±14.7 years, and complex lesions 33.0±12.6 years (p&lt;0.001 over the three groups). Mean age at death or end of follow-up in patients with Down syndrome was significantly younger in patients with Down syndrome than in non-Down syndrome (34.0 ± 12.1 versus 41.0 ± 16.4, p&lt;0.001).</w:t>
      </w:r>
    </w:p>
    <w:p>
      <w:pPr>
        <w:pStyle w:val="Heading2"/>
        <w:jc w:val="both"/>
        <w:rPr/>
      </w:pPr>
      <w:r>
        <w:rPr/>
        <w:t>Cause-specific mortality</w:t>
      </w:r>
    </w:p>
    <w:p>
      <w:pPr>
        <w:pStyle w:val="Normal"/>
        <w:spacing w:lineRule="auto" w:line="480" w:before="0" w:after="0"/>
        <w:jc w:val="both"/>
        <w:rPr/>
      </w:pPr>
      <w:r>
        <w:rPr/>
        <w:t xml:space="preserve">    </w:t>
      </w:r>
      <w:r>
        <w:rPr/>
        <w:t>Of the 558 deaths during the follow up, 261 (47%) occurred after 30 June 2006, thus, in the late era. The cause of death was known in 411 patients (74%), whereas cause-specific mortality was not conclusive from the available data in remaining cases. The cases with unknown cause of death were equally distributed between the early and late era (</w:t>
      </w:r>
      <w:r>
        <w:rPr/>
        <w:fldChar w:fldCharType="begin"/>
      </w:r>
      <w:r>
        <w:instrText> REF _Ref444504631 \h </w:instrText>
      </w:r>
      <w:r>
        <w:fldChar w:fldCharType="separate"/>
      </w:r>
      <w:r>
        <w:t>Table 2</w:t>
      </w:r>
      <w:r>
        <w:fldChar w:fldCharType="end"/>
      </w:r>
      <w:r>
        <w:rPr/>
        <w:t xml:space="preserve">). </w:t>
      </w:r>
    </w:p>
    <w:p>
      <w:pPr>
        <w:pStyle w:val="Normal"/>
        <w:spacing w:lineRule="auto" w:line="480"/>
        <w:jc w:val="both"/>
        <w:rPr/>
      </w:pPr>
      <w:r>
        <w:rPr/>
        <w:t xml:space="preserve">    </w:t>
      </w:r>
      <w:r>
        <w:rPr/>
        <w:t>In this cohort, the leading cause of death was heart failure (34%), followed by infection and sudden cardiac death, Table 2. Infections were dominated by pneumonia (61%), sepsis (21%) and cerebral abscesses (8%), whereas only two patients died due to endocarditis (0.5%). Death due to thromboembolism and haemorrhage ranked 4</w:t>
      </w:r>
      <w:r>
        <w:rPr>
          <w:vertAlign w:val="superscript"/>
        </w:rPr>
        <w:t>th</w:t>
      </w:r>
      <w:r>
        <w:rPr/>
        <w:t xml:space="preserve"> and 5</w:t>
      </w:r>
      <w:r>
        <w:rPr>
          <w:vertAlign w:val="superscript"/>
        </w:rPr>
        <w:t>th</w:t>
      </w:r>
      <w:r>
        <w:rPr/>
        <w:t>, respectively, but haemoptysis accounted for only 3% of the total number of deaths. There were two autopsy-verified, fatal cases of rupture of the main pulmonary artery. Twenty-seven patients (7%) died peri-procedurally; 52% of these patients died in relation to non-cardiac surgery, the remaining in relation to cardiac surgery (19%), transplantation (19%), or catheter based cardiac interventions (11%). The vast majority of these perioperative deaths (89%) occurred in the early era. There was no data showing the total number of surgeries in the cohort, hence, we could not estimate surgical mortality. Other specific causes of death, including pregnancy (0.3%), trauma (0.7%) and cancer (3%), were uncommon.</w:t>
      </w:r>
    </w:p>
    <w:p>
      <w:pPr>
        <w:pStyle w:val="Normal"/>
        <w:spacing w:lineRule="auto" w:line="480"/>
        <w:jc w:val="both"/>
        <w:rPr/>
      </w:pPr>
      <w:r>
        <w:rPr/>
        <w:t xml:space="preserve">    </w:t>
      </w:r>
      <w:r>
        <w:rPr/>
        <w:t>The distribution of cause-specific mortality differed between the early and late era (</w:t>
      </w:r>
      <w:r>
        <w:rPr/>
        <w:fldChar w:fldCharType="begin"/>
      </w:r>
      <w:r>
        <w:instrText> REF _Ref444504631 \h </w:instrText>
      </w:r>
      <w:r>
        <w:fldChar w:fldCharType="separate"/>
      </w:r>
      <w:r>
        <w:t>Table 2</w:t>
      </w:r>
      <w:r>
        <w:fldChar w:fldCharType="end"/>
      </w:r>
      <w:r>
        <w:rPr/>
        <w:t>).</w:t>
      </w:r>
      <w:r>
        <w:rPr>
          <w:lang w:val="en-US"/>
        </w:rPr>
        <w:t xml:space="preserve"> The proportion of patients dying from heart failure increased (p=0.032), whereas the proportion dying from thromboembolism (p=0.014), cardiac (p=0.014) and non-cardiac (p=0.004) peri-procedural deaths decreased. </w:t>
      </w:r>
      <w:r>
        <w:rPr/>
        <w:t xml:space="preserve">There was no overall difference in cause-specific mortality between age groups (&lt;20, 20-40, 40-60, &gt;60 years) (p=0.12).However peri-procedural deaths were more frequent in younger (age &lt; 20 years) compared to older patients (15% versus 5%, p=0.011, </w:t>
      </w:r>
      <w:r>
        <w:rPr/>
        <w:fldChar w:fldCharType="begin"/>
      </w:r>
      <w:r>
        <w:instrText> REF _Ref444257654 \h </w:instrText>
      </w:r>
      <w:r>
        <w:fldChar w:fldCharType="separate"/>
      </w:r>
      <w:r>
        <w:t>Figure 1</w:t>
      </w:r>
      <w:r>
        <w:fldChar w:fldCharType="end"/>
      </w:r>
      <w:r>
        <w:rPr/>
        <w:t xml:space="preserve">). Results were consistent even after adjusting for Down syndrome and simple pre-tricuspid valve </w:t>
      </w:r>
      <w:commentRangeStart w:id="1"/>
      <w:r>
        <w:rPr/>
        <w:t>defects</w:t>
      </w:r>
      <w:r>
        <w:rPr/>
      </w:r>
      <w:commentRangeEnd w:id="1"/>
      <w:r>
        <w:commentReference w:id="1"/>
      </w:r>
      <w:r>
        <w:rPr/>
        <w:t xml:space="preserve">. Similarly, there was no overall variation between the three different shunt types (p=0.25). However, there was a significantly higher proportion of deaths due to infection in patients with a simple pre-tricuspid shunt compared to post-tricuspid shunts (p=0.023), who also died more often from </w:t>
      </w:r>
      <w:commentRangeStart w:id="2"/>
      <w:r>
        <w:rPr/>
        <w:t xml:space="preserve">other causes </w:t>
      </w:r>
      <w:r>
        <w:rPr/>
      </w:r>
      <w:commentRangeEnd w:id="2"/>
      <w:r>
        <w:commentReference w:id="2"/>
      </w:r>
      <w:r>
        <w:rPr/>
        <w:t xml:space="preserve">compared to patients with complex lesions (p=0.028). </w:t>
      </w:r>
    </w:p>
    <w:p>
      <w:pPr>
        <w:pStyle w:val="Normal"/>
        <w:spacing w:lineRule="auto" w:line="480"/>
        <w:rPr/>
      </w:pPr>
      <w:r>
        <w:rPr/>
        <w:t xml:space="preserve">    </w:t>
      </w:r>
      <w:r>
        <w:rPr/>
        <w:t xml:space="preserve">Mean age at death was 40.1 ± 18.1 years with no significant variation between the participating countries. Patients from the early era died significantly younger compared to patients in the late era (36.9 ± 18.8 versus 45.2 ± 16.2 years, p&lt;0.001, Table 1). However, age at death in both eras was older than 33 years, which is comparable to that reported by Wood </w:t>
      </w:r>
      <w:r>
        <w:fldChar w:fldCharType="begin"/>
      </w:r>
      <w:r>
        <w:instrText>ADDIN ZOTERO_ITEM CSL_CITATION {"citationID":"2pg10obph","properties":{"formattedCitation":"(3)","plainCitation":"(3)"},"citationItems":[{"id":5,"uris":["http://zotero.org/users/1067890/items/27TQKM9Z"],"uri":["http://zotero.org/users/1067890/items/27TQKM9Z"],"itemData":{"id":5,"type":"article-journal","title":"The Eisenmenger Syndrome","container-title":"British Medical Journal","page":"755-762","volume":"2","issue":"5099","source":"PubMed Central","abstract":"Images\nnull","ISSN":"0007-1447","note":"PMID: 13572894\nPMCID: PMC2026272","journalAbbreviation":"Br Med J","author":[{"family":"Wood","given":"Paul"}],"issued":{"date-parts":[["1958",9,27]]},"PMID":"13572894","PMCID":"PMC2026272"}}],"schema":"https://github.com/citation-style-language/schema/raw/master/csl-citation.json"}</w:instrText>
      </w:r>
      <w:r>
        <w:fldChar w:fldCharType="separate"/>
      </w:r>
      <w:bookmarkStart w:id="10" w:name="__Fieldmark__1702_1910830454"/>
      <w:r>
        <w:rPr/>
        <w:t>(3)</w:t>
      </w:r>
      <w:r>
        <w:rPr/>
      </w:r>
      <w:r>
        <w:fldChar w:fldCharType="end"/>
      </w:r>
      <w:bookmarkEnd w:id="10"/>
      <w:r>
        <w:rPr/>
        <w:t xml:space="preserve"> and Daliento et al (32.5 ± 14.6 and 25.8 ± 7.9 years in simple and complex lesions, respectively)</w:t>
      </w:r>
      <w:r>
        <w:fldChar w:fldCharType="begin"/>
      </w:r>
      <w:r>
        <w:instrText>ADDIN ZOTERO_ITEM CSL_CITATION {"citationID":"2i156nmc7n","properties":{"formattedCitation":"(4)","plainCitation":"(4)"},"citationItems":[{"id":969,"uris":["http://zotero.org/users/1067890/items/BHZHMGRW"],"uri":["http://zotero.org/users/1067890/items/BHZHMGRW"],"itemData":{"id":969,"type":"article-journal","title":"Eisenmenger syndrome. Factors relating to deterioration and death","container-title":"European Heart Journal","page":"1845-1855","volume":"19","issue":"12","source":"eurheartj.oxfordjournals.org","abstract":"AimsTo assess the natural history, risk factors for death and deterioration of patients with Eisenmenger Syndrome.MethodsThe clinical course of 188 patients from three different cardiac centres specialized in adult congenital heart defects, followed for a median period of 31 years, was retrospectively analysed. According to the diagnosis, 64 males and 124 females, mean age at last follow-up 33·02±12·8 years, were divided into two groups: simple (128) and complex (60) congenital heart disease. Events analysed were: time variation of Ability Index, pulmonary and cerebral complications, non-cardiac surgery, urate metabolism and renal function, arrhythmias, pregnancy and contraception, medical therapy and transplantation, death from all causes and sudden death.ResultsEighty-four percent of the overall population showed a satisfactory Ability Index (1 and 2) at the first attendance (median age 25 years). Patients with complex heart disease and Eisenmenger reaction had earlier clinical deterioration (18·6±11·3 vs 26·7±12·2) and shorter survival (25·8±7·9 vs 32·5±14·6 years). Thirty-eight (20·2%) patients had at least one episode of haemoptysis between 20 and 40 years of age but it did not modify overall survival; 25 (13·2%) had pulmonary thromboembolism at a mean age of 35·2±13·4 years. Fifteen (7·9%) had a stroke and 7 (3·7%) a cerebral abscess at a mean age of 31·4±15·7 and 24·1±4·9 years, respectively. Cerebral complications influenced the quality of life but did not modify survival. Patients who had venesection showed a 2·04 times greater hazard ratio for haemoptysis. Venesection did not reduce cerebral complications and in 20% caused anaemia and iron deficiency. Other non-cardiac surgery with general anaesthesia carried risks (23·5% of deaths). Significant maternal mortality (27%) in relation to pregnancy occurred with constant deterioration in physical status, high incidence of spontaneous abortions (35·8%) and cardiac abnormalities in offspring (20%). Sixty-one patients died during follow-up, mainly by sudden death (29·5%), heart failure (22·9%) and from haemoptysis (11·4%). Eight patients had heart and lung transplantation and five died 1 week to 4 years after transplant. Deterioration in Ability Index (worsening symptoms), age, complex defects, blood creatinine level, right ventricular dysfunction and non-cardiac surgery were variables which affected the prognosis adversely with uni- and multivariate analysis.Conclusionspatients with Eisenmenger syndrome can survive to the seventh decade with informed medical care and protection from special risks","DOI":"10.1053/euhj.1998.1046","ISSN":"0195-668X, 1522-9645","note":"PMID: 9886728","language":"en","author":[{"family":"Daliento","given":"L."},{"family":"Somerville","given":"J."},{"family":"Presbitero","given":"P."},{"family":"Menti","given":"L."},{"family":"Brach-Prever","given":"S."},{"family":"Rizzoli","given":"G."},{"family":"Stone","given":"S."}],"issued":{"date-parts":[["1998",12,1]]},"PMID":"9886728"}}],"schema":"https://github.com/citation-style-language/schema/raw/master/csl-citation.json"}</w:instrText>
      </w:r>
      <w:r>
        <w:fldChar w:fldCharType="separate"/>
      </w:r>
      <w:bookmarkStart w:id="11" w:name="__Fieldmark__1717_1910830454"/>
      <w:r>
        <w:rPr/>
        <w:t>(4)</w:t>
      </w:r>
      <w:r>
        <w:rPr/>
      </w:r>
      <w:r>
        <w:fldChar w:fldCharType="end"/>
      </w:r>
      <w:bookmarkEnd w:id="11"/>
      <w:r>
        <w:rPr/>
        <w:t xml:space="preserve">. Cause-specific mortality in the Wood and Daliento series and the early and late era of our present cohort are presented graphically in </w:t>
      </w:r>
      <w:r>
        <w:rPr/>
        <w:fldChar w:fldCharType="begin"/>
      </w:r>
      <w:r>
        <w:instrText> REF _Ref448495657 \h </w:instrText>
      </w:r>
      <w:r>
        <w:fldChar w:fldCharType="separate"/>
      </w:r>
      <w:r>
        <w:t>Figure 2</w:t>
      </w:r>
      <w:r>
        <w:fldChar w:fldCharType="end"/>
      </w:r>
      <w:r>
        <w:rPr/>
        <w:t>.</w:t>
      </w:r>
    </w:p>
    <w:p>
      <w:pPr>
        <w:pStyle w:val="Heading1"/>
        <w:rPr/>
      </w:pPr>
      <w:r>
        <w:rPr/>
        <w:t xml:space="preserve">  </w:t>
      </w:r>
      <w:r>
        <w:rPr/>
        <w:t>Discussion</w:t>
      </w:r>
    </w:p>
    <w:p>
      <w:pPr>
        <w:pStyle w:val="Normal"/>
        <w:spacing w:lineRule="auto" w:line="480" w:before="0" w:after="0"/>
        <w:jc w:val="both"/>
        <w:rPr/>
      </w:pPr>
      <w:r>
        <w:rPr/>
        <w:t xml:space="preserve">    </w:t>
      </w:r>
      <w:r>
        <w:rPr/>
        <w:t xml:space="preserve">This multicentre study reports, a change in cause-specific mortality after the implementation of major changes in the care and treatment strategy for patients with ES. Furthermore, this study, including 1,546 patients with Eisenmenger syndrome with 558 deaths, is by far the largest study of this group of patients to date. The main findings are that there has been a considerable shift in cause-specific mortality from the early to the late era along with longer life-expectancy. Deaths due to heart failure now dominate in contrast to previously haemorrhagic events and peri-procedural mortality. In contrast to prior reports, there were few deaths due to haemoptysis throughout the study period </w:t>
      </w:r>
      <w:r>
        <w:fldChar w:fldCharType="begin"/>
      </w:r>
      <w:r>
        <w:instrText>ADDIN ZOTERO_ITEM CSL_CITATION {"citationID":"7erkr5474","properties":{"formattedCitation":"(3,4)","plainCitation":"(3,4)"},"citationItems":[{"id":5,"uris":["http://zotero.org/users/1067890/items/27TQKM9Z"],"uri":["http://zotero.org/users/1067890/items/27TQKM9Z"],"itemData":{"id":5,"type":"article-journal","title":"The Eisenmenger Syndrome","container-title":"British Medical Journal","page":"755-762","volume":"2","issue":"5099","source":"PubMed Central","abstract":"Images\nnull","ISSN":"0007-1447","note":"PMID: 13572894\nPMCID: PMC2026272","journalAbbreviation":"Br Med J","author":[{"family":"Wood","given":"Paul"}],"issued":{"date-parts":[["1958",9,27]]},"PMID":"13572894","PMCID":"PMC2026272"}},{"id":969,"uris":["http://zotero.org/users/1067890/items/BHZHMGRW"],"uri":["http://zotero.org/users/1067890/items/BHZHMGRW"],"itemData":{"id":969,"type":"article-journal","title":"Eisenmenger syndrome. Factors relating to deterioration and death","container-title":"European Heart Journal","page":"1845-1855","volume":"19","issue":"12","source":"eurheartj.oxfordjournals.org","abstract":"AimsTo assess the natural history, risk factors for death and deterioration of patients with Eisenmenger Syndrome.MethodsThe clinical course of 188 patients from three different cardiac centres specialized in adult congenital heart defects, followed for a median period of 31 years, was retrospectively analysed. According to the diagnosis, 64 males and 124 females, mean age at last follow-up 33·02±12·8 years, were divided into two groups: simple (128) and complex (60) congenital heart disease. Events analysed were: time variation of Ability Index, pulmonary and cerebral complications, non-cardiac surgery, urate metabolism and renal function, arrhythmias, pregnancy and contraception, medical therapy and transplantation, death from all causes and sudden death.ResultsEighty-four percent of the overall population showed a satisfactory Ability Index (1 and 2) at the first attendance (median age 25 years). Patients with complex heart disease and Eisenmenger reaction had earlier clinical deterioration (18·6±11·3 vs 26·7±12·2) and shorter survival (25·8±7·9 vs 32·5±14·6 years). Thirty-eight (20·2%) patients had at least one episode of haemoptysis between 20 and 40 years of age but it did not modify overall survival; 25 (13·2%) had pulmonary thromboembolism at a mean age of 35·2±13·4 years. Fifteen (7·9%) had a stroke and 7 (3·7%) a cerebral abscess at a mean age of 31·4±15·7 and 24·1±4·9 years, respectively. Cerebral complications influenced the quality of life but did not modify survival. Patients who had venesection showed a 2·04 times greater hazard ratio for haemoptysis. Venesection did not reduce cerebral complications and in 20% caused anaemia and iron deficiency. Other non-cardiac surgery with general anaesthesia carried risks (23·5% of deaths). Significant maternal mortality (27%) in relation to pregnancy occurred with constant deterioration in physical status, high incidence of spontaneous abortions (35·8%) and cardiac abnormalities in offspring (20%). Sixty-one patients died during follow-up, mainly by sudden death (29·5%), heart failure (22·9%) and from haemoptysis (11·4%). Eight patients had heart and lung transplantation and five died 1 week to 4 years after transplant. Deterioration in Ability Index (worsening symptoms), age, complex defects, blood creatinine level, right ventricular dysfunction and non-cardiac surgery were variables which affected the prognosis adversely with uni- and multivariate analysis.Conclusionspatients with Eisenmenger syndrome can survive to the seventh decade with informed medical care and protection from special risks","DOI":"10.1053/euhj.1998.1046","ISSN":"0195-668X, 1522-9645","note":"PMID: 9886728","language":"en","author":[{"family":"Daliento","given":"L."},{"family":"Somerville","given":"J."},{"family":"Presbitero","given":"P."},{"family":"Menti","given":"L."},{"family":"Brach-Prever","given":"S."},{"family":"Rizzoli","given":"G."},{"family":"Stone","given":"S."}],"issued":{"date-parts":[["1998",12,1]]},"PMID":"9886728"}}],"schema":"https://github.com/citation-style-language/schema/raw/master/csl-citation.json"}</w:instrText>
      </w:r>
      <w:r>
        <w:fldChar w:fldCharType="separate"/>
      </w:r>
      <w:bookmarkStart w:id="12" w:name="__Fieldmark__1787_1910830454"/>
      <w:r>
        <w:rPr/>
        <w:t>(3,4)</w:t>
      </w:r>
      <w:r>
        <w:rPr/>
      </w:r>
      <w:r>
        <w:fldChar w:fldCharType="end"/>
      </w:r>
      <w:bookmarkEnd w:id="12"/>
      <w:r>
        <w:rPr/>
        <w:t xml:space="preserve"> but  other causes of death, including cancer, are becoming more prevalent.  </w:t>
      </w:r>
    </w:p>
    <w:p>
      <w:pPr>
        <w:pStyle w:val="Normal"/>
        <w:spacing w:lineRule="auto" w:line="480" w:before="0" w:after="0"/>
        <w:jc w:val="both"/>
        <w:rPr/>
      </w:pPr>
      <w:r>
        <w:rPr/>
        <w:t xml:space="preserve">. Heart failure has always been a common cause of death in ES, accounting a for 7-23% in previous reports </w:t>
      </w:r>
      <w:r>
        <w:fldChar w:fldCharType="begin"/>
      </w:r>
      <w:r>
        <w:instrText>ADDIN ZOTERO_ITEM CSL_CITATION {"citationID":"kuOR8tla","properties":{"formattedCitation":"{\\rtf (3\\uc0\\u8211{}7,21,22)}","plainCitation":"(3–7,21,22)"},"citationItems":[{"id":1363,"uris":["http://zotero.org/users/1067890/items/T466T8BX"],"uri":["http://zotero.org/users/1067890/items/T466T8BX"],"itemData":{"id":1363,"type":"article-journal","title":"Determinants of survival and length of survival in adults with Eisenmenger syndrome","container-title":"The American Journal of Cardiology","page":"677-681","volume":"84","issue":"6","source":"ScienceDirect","abstract":"A retrospective study of adults with Eisenmenger syndrome assessed at a tertiary referral center was performed to identify clinical characteristics and establish prognostic determinants. Mortality and cause of death are reported with baseline clinical data correlated with mortality to identify predictors of death. Clinical events during follow-up, including heart failure, atrial arrhythmia, hemoptysis, and syncope were also reviewed. A total of 109 adults with Eisenmenger syndrome (mean ± SD age 29 ±11 years, 43% men) were followed for a median of 6.3 years. Sixty-six patients (61%) had simple cardiac anatomy (13 atrial septal defect, 43 ventricular septal defect, 10 patent ductus arteriosus). The remainder (43 patients) had complex cardiac anatomy (including atrioventricular septal defect, truncus arteriosus, univentricular heart, and transposition of the great arteries). There were 33 deaths and 9 transplantations during follow-up. Median survival was 53 years. Multivariate Cox regression analysis identified age at presentation (hazard ratio [HR] 0.90), supraventricular arrhythmia (HR 3.44), precordial electrocardiogram voltage (HR 1.61/mV increase), and poor New York Heart Association functional class (HR 2.60) as independent predictors of mortality. There is a large variation in the life expectancy for adults with Eisenmenger syndrome. Baseline characteristics associated with increased mortality include younger age at presentation (associated with complex anatomy), functional class, supraventricular arrhythmia, and an electrocardiogram index for right ventricular hypertrophy.","DOI":"10.1016/S0002-9149(99)00415-4","ISSN":"0002-9149","journalAbbreviation":"The American Journal of Cardiology","author":[{"family":"Cantor","given":"Warren J"},{"family":"Harrison","given":"David A"},{"family":"Moussadji","given":"Jack S"},{"family":"Connelly","given":"Michael S"},{"family":"Webb","given":"Gary D"},{"family":"Liu","given":"Peter"},{"family":"McLaughlin","given":"Peter R"},{"family":"Siu","given":"Samuel C"}],"issued":{"date-parts":[["1999",9,15]]}}},{"id":969,"uris":["http://zotero.org/users/1067890/items/BHZHMGRW"],"uri":["http://zotero.org/users/1067890/items/BHZHMGRW"],"itemData":{"id":969,"type":"article-journal","title":"Eisenmenger syndrome. Factors relating to deterioration and death","container-title":"European Heart Journal","page":"1845-1855","volume":"19","issue":"12","source":"eurheartj.oxfordjournals.org","abstract":"AimsTo assess the natural history, risk factors for death and deterioration of patients with Eisenmenger Syndrome.MethodsThe clinical course of 188 patients from three different cardiac centres specialized in adult congenital heart defects, followed for a median period of 31 years, was retrospectively analysed. According to the diagnosis, 64 males and 124 females, mean age at last follow-up 33·02±12·8 years, were divided into two groups: simple (128) and complex (60) congenital heart disease. Events analysed were: time variation of Ability Index, pulmonary and cerebral complications, non-cardiac surgery, urate metabolism and renal function, arrhythmias, pregnancy and contraception, medical therapy and transplantation, death from all causes and sudden death.ResultsEighty-four percent of the overall population showed a satisfactory Ability Index (1 and 2) at the first attendance (median age 25 years). Patients with complex heart disease and Eisenmenger reaction had earlier clinical deterioration (18·6±11·3 vs 26·7±12·2) and shorter survival (25·8±7·9 vs 32·5±14·6 years). Thirty-eight (20·2%) patients had at least one episode of haemoptysis between 20 and 40 years of age but it did not modify overall survival; 25 (13·2%) had pulmonary thromboembolism at a mean age of 35·2±13·4 years. Fifteen (7·9%) had a stroke and 7 (3·7%) a cerebral abscess at a mean age of 31·4±15·7 and 24·1±4·9 years, respectively. Cerebral complications influenced the quality of life but did not modify survival. Patients who had venesection showed a 2·04 times greater hazard ratio for haemoptysis. Venesection did not reduce cerebral complications and in 20% caused anaemia and iron deficiency. Other non-cardiac surgery with general anaesthesia carried risks (23·5% of deaths). Significant maternal mortality (27%) in relation to pregnancy occurred with constant deterioration in physical status, high incidence of spontaneous abortions (35·8%) and cardiac abnormalities in offspring (20%). Sixty-one patients died during follow-up, mainly by sudden death (29·5%), heart failure (22·9%) and from haemoptysis (11·4%). Eight patients had heart and lung transplantation and five died 1 week to 4 years after transplant. Deterioration in Ability Index (worsening symptoms), age, complex defects, blood creatinine level, right ventricular dysfunction and non-cardiac surgery were variables which affected the prognosis adversely with uni- and multivariate analysis.Conclusionspatients with Eisenmenger syndrome can survive to the seventh decade with informed medical care and protection from special risks","DOI":"10.1053/euhj.1998.1046","ISSN":"0195-668X, 1522-9645","note":"PMID: 9886728","language":"en","author":[{"family":"Daliento","given":"L."},{"family":"Somerville","given":"J."},{"family":"Presbitero","given":"P."},{"family":"Menti","given":"L."},{"family":"Brach-Prever","given":"S."},{"family":"Rizzoli","given":"G."},{"family":"Stone","given":"S."}],"issued":{"date-parts":[["1998",12,1]]},"PMID":"9886728"}},{"id":131,"uris":["http://zotero.org/users/1067890/items/GI3KFRE8"],"uri":["http://zotero.org/users/1067890/items/GI3KFRE8"],"itemData":{"id":131,"type":"article-journal","title":"Prognosis for patients with Eisenmenger syndrome of various aetiology","container-title":"International Journal of Cardiology","page":"199-207","volume":"45","issue":"3","source":"ScienceDirect","abstract":"The objective of this study was to determine the long-term survival pattern and variables affecting long-term survival and complications occurring during follow-up of patients with Eisenmenger syndrome. A retrospective study of patients diagnosed with Eisenmenger syndrome were followed up. A tertiary care centre was used and it provided superspeciality services in various disciplines. The subjects included 201 patients with Eisenmenger syndrome — diagnosed by a combination of echocardiography and a peripheral arterial oxygen saturation study and/or cardiac catheterisation with or without angiocardiography — worked up and followed up for variable duration over a period of 16 years from 1976 to 1992. One hundred nine patients were females and 92 were males — age of presentation varied from 3 months to 62 years (mean ± standard deviation 19.23 ± 12.62 years). A total of 12 different anatomic lesions were seen — the most common three being ventricular septal defect (33.33%), atrail septal defect (29.85%), and patent ductus arteriosus (14.23%). History, physical examination, chest skiagram and electrocardiogram established only the presence of pulmonary arterial hypertension except where differential cyanosis indicating ductus was discernible or the degree of splitting of second heart sound provided some clue to the level of shunt. Contrast echocardiography, completed in 25.4% established the level of shunt in all patients. In others the diagnosis was confirmed by cardiac catheterisation. Twenty patients died during a mean follow-up period of 54.6 ± 54.47 months. Sudden cardiac deaths (30%), congestive heart failure (25%) and haemoptysis (15%) were the most predominant causes of death. Only one patient died during puerperium. The acturial survival for the entire patient population at 5 years, 10 years and 15 years was 86.95%, 79.64% and 76.98%, respectively. Level of shunt (atrial, ventricular or aortopulmonary) did not influence the survival (P &amp;gt; 0.5). Of all the variables tested in a univariate analysis, history of syncope at presentation (P &amp;lt; 0.005), elevated mean right atrial pressure (8 mmHg or above) (P &amp;lt; 0.05) and systemic arterial desaturation below 85% (P &amp;lt; 0.05) were found to be important indicators of a poor prognosis. Eisenmenger syndrome is compatible with a fair intermediate term survival. History of syncope, elevated right sided filling pressure and systemic arterial oxygen saturation less than 85% indicated a poorer outcome.","DOI":"10.1016/0167-5273(94)90166-X","ISSN":"0167-5273","journalAbbreviation":"International Journal of Cardiology","author":[{"family":"Saha","given":"Arabinda"},{"family":"Balakrishnan","given":"K. G."},{"family":"Jaiswal","given":"Pramod K."},{"family":"Venkitachalam","given":"C. G."},{"family":"Tharakan","given":"Jaganmohan"},{"family":"Titus","given":"Thomas"},{"family":"Kutty","given":"Raman"}],"issued":{"date-parts":[["1994",7]]}}},{"id":1145,"uris":["http://zotero.org/users/1067890/items/AKGRHTGX"],"uri":["http://zotero.org/users/1067890/items/AKGRHTGX"],"itemData":{"id":1145,"type":"article-journal","title":"Fate of the patient with the eisenmenger syndrome","container-title":"The American Journal of Cardiology","page":"658-669","volume":"28","issue":"6","source":"ScienceDirect","abstract":"The presence of the Eisenmenger syndrome renders any underlying shunting defect inoperable. However, little attention has been paid to the later events in the natural history of patients with this syndrome. The clinical course, features and fate of 57 such patients ranging from 21 months to 58 years of age are reviewed. Seventeen died of direct cardiac causes, 10 suddenly, and most commonly with ventricular septal defect. Heart failure, often a later event, developed in 22 patients; it was not severely disabling, was usually readily controlled, but was responsible for 5 deaths. Arrhythmias were not clinically significant. Pregnancy was well tolerated in a small number of patients. Pulmonary infarction was infrequent. Hyperuricemia was common in adults, but gouty arthritis occurred in only 2 male patients. Although all had functional limitations, many were able to lead active lives with little risk of death or other complications before the third decade of life.","DOI":"10.1016/0002-9149(71)90054-3","ISSN":"0002-9149","journalAbbreviation":"The American Journal of Cardiology","author":[{"family":"Young","given":"Dennison"},{"family":"Mark","given":"Herbert"}],"issued":{"date-parts":[["1971",12]]}}},{"id":5,"uris":["http://zotero.org/users/1067890/items/27TQKM9Z"],"uri":["http://zotero.org/users/1067890/items/27TQKM9Z"],"itemData":{"id":5,"type":"article-journal","title":"The Eisenmenger Syndrome","container-title":"British Medical Journal","page":"755-762","volume":"2","issue":"5099","source":"PubMed Central","abstract":"Images\nnull","ISSN":"0007-1447","note":"PMID: 13572894\nPMCID: PMC2026272","journalAbbreviation":"Br Med J","author":[{"family":"Wood","given":"Paul"}],"issued":{"date-parts":[["1958",9,27]]},"PMID":"13572894","PMCID":"PMC2026272"}},{"id":1494,"uris":["http://zotero.org/users/1067890/items/ZDBW8UGU"],"uri":["http://zotero.org/users/1067890/items/ZDBW8UGU"],"itemData":{"id":1494,"type":"article-journal","title":"[Outcome of patients with Eisenmenger syndrome. Apropos of 62 cases followed-up for an average of 16 years]","container-title":"Archives Des Maladies Du Coeur Et Des Vaisseaux","page":"521-526","volume":"85","issue":"5","source":"PubMed","abstract":"In an era when heart-lung transplantation offers a therapeutic option for patients with Eisenmenger's syndrome, it is important to assess the natural history of this condition. With this objective the authors studied 62 patients followed-up by the same cardiologist. The average follow-up period was 16 years, but 22 patients were followed up for over 20 years. The average age at death was 29 years. It differed significantly for genetically normal patients (31 years for 21 fatalities) compared with a population of trisomics (21 years for 6 fatalities). Half the patient population lived for over 30 years. Fourteen of the 27 deaths occurred during the third decade and only 4 before the age of 20. The probability of surviving 10 more years for a 20 years old genetically normal patient was 56%. The causes of death in the 19 cases in which it could be established were: 5 sudden deaths, 4 right heart failures, 3 massive haemoptyses, 3 pulmonary emboli, 2 pneumonias and 2 peroperative deaths. The functional disability was nearly always minimal or mild, enabling the patient to work: 24 of the 45 non-trisomic patients had full-time jobs. Pregnancy was a poor prognosis factor and could be lethal (2 deaths due to pulmonary embolism in the post-partum period). A heart-lung transplantation would only seem to be justified in patients with severe symptoms, polycythaemia, irreversible right heart failure and/or haemoptysis.","ISSN":"0003-9683","note":"PMID: 1388347","journalAbbreviation":"Arch Mal Coeur Vaiss","language":"fre","author":[{"family":"Corone","given":"S."},{"family":"Davido","given":"A."},{"family":"Lang","given":"T."},{"family":"Corone","given":"P."}],"issued":{"date-parts":[["1992",5]]},"PMID":"1388347"}},{"id":1504,"uris":["http://zotero.org/users/1067890/items/RX4KTFVS"],"uri":["http://zotero.org/users/1067890/items/RX4KTFVS"],"itemData":{"id":1504,"type":"article-journal","title":"The eisenmenger syndrome: A clinical and physiologic reappraisal","container-title":"The American Journal of Cardiology","page":"679-692","volume":"28","issue":"6","source":"ScienceDirect","abstract":"Ninety-one cases of congenital heart disease with bidirectional or reversed central shunt and high total pulmonary vascular resistance are presented. The clinical examination including history, physical examination, electrocardiogram and chest roentgenogram is of little help in determining the site of the shunt. Cardiac catheterization aids in localizing the lesion, but a second defect may be present even though 1 defect has been clearly demonstrated. Careful follow-up examinations are therefore necessary, and postoperative catheterizations mandatory. Routine use of tolazoline hydrochloride is indicated to assess reactivity of the pulmonary vascular bed, and no physiologic study is considered complete without this procedure.\n\nManagement is predicated on the reactivity of the pulmonary vascular bed, and it is stressed that the term Eisenmenger syndrome does not necessarily connote inoperability. Surgery, either correction of the defect or pulmonary arterial banding, is indicated in the patient whose level of total pulmonary resistance falls to normal or near normal with tolazoline. Supportive medical management is provided for patients with fixed pulmonary vascular changes.","DOI":"10.1016/0002-9149(71)90057-9","ISSN":"0002-9149","shortTitle":"The eisenmenger syndrome","journalAbbreviation":"The American Journal of Cardiology","author":[{"family":"Brammell","given":"H. L."},{"family":"Vogel","given":"John H. K."},{"family":"Pryor","given":"Ray"},{"family":"Blount Jr.","given":"S. Gilbert"}],"issued":{"date-parts":[["1971",12]]}}}],"schema":"https://github.com/citation-style-language/schema/raw/master/csl-citation.json"}</w:instrText>
      </w:r>
      <w:r>
        <w:fldChar w:fldCharType="separate"/>
      </w:r>
      <w:bookmarkStart w:id="13" w:name="__Fieldmark__1856_1910830454"/>
      <w:r>
        <w:rPr/>
      </w:r>
      <w:r>
        <w:rPr>
          <w:szCs w:val="24"/>
        </w:rPr>
        <w:t>(3–7,21,22)</w:t>
      </w:r>
      <w:r>
        <w:rPr/>
      </w:r>
      <w:r>
        <w:fldChar w:fldCharType="end"/>
      </w:r>
      <w:bookmarkEnd w:id="13"/>
      <w:r>
        <w:rPr/>
        <w:t xml:space="preserve">, even though the clinical presentation of heart failure is often atypical in ES, manifesting as low cardiac output and increased cyanosis, as opposed to the pulmonary and peripheral oedema seen in traditional heart failure. The proportion of deaths attributable to heart failure, has risen further to 40% in the late era, </w:t>
      </w:r>
      <w:commentRangeStart w:id="3"/>
      <w:r>
        <w:rPr/>
        <w:t>with an obvious trend towards an increasing burden of heart failure deaths over the study period</w:t>
      </w:r>
      <w:r>
        <w:rPr/>
      </w:r>
      <w:commentRangeEnd w:id="3"/>
      <w:r>
        <w:commentReference w:id="3"/>
      </w:r>
      <w:r>
        <w:rPr/>
        <w:t xml:space="preserve">. This may be explained in part by the increased longevity of ES patients in the current era, which is likely associated with progressive right ventricular impairment and multiorgan failure. </w:t>
      </w:r>
      <w:commentRangeStart w:id="4"/>
      <w:r>
        <w:rPr/>
        <w:t xml:space="preserve">A slightly higher rate (40-45%) of deaths due to heart failure has been reported in smaller contemporary studies </w:t>
      </w:r>
      <w:r>
        <w:fldChar w:fldCharType="begin"/>
      </w:r>
      <w:r>
        <w:instrText>ADDIN ZOTERO_ITEM CSL_CITATION {"citationID":"ikSyTgxR","properties":{"formattedCitation":"{\\rtf (10\\uc0\\u8211{}12)}","plainCitation":"(10–12)"},"citationItems":[{"id":312,"uris":["http://zotero.org/users/1067890/items/WQDN292U"],"uri":["http://zotero.org/users/1067890/items/WQDN292U"],"itemData":{"id":312,"type":"article-journal","title":"Presentation, survival prospects, and predictors of death in Eisenmenger syndrome: a combined retrospective and case–control study","container-title":"European heart journal","page":"1737–1742","volume":"27","issue":"14","source":"Google Scholar","shortTitle":"Presentation, survival prospects, and predictors of death in Eisenmenger syndrome","author":[{"family":"Diller","given":"G. P."},{"family":"Dimopoulos","given":"K."},{"family":"Broberg","given":"C. S."},{"family":"Kaya","given":"M. G."},{"family":"Naghotra","given":"U. S."},{"family":"Uebing","given":"A."},{"family":"Harries","given":"C."},{"family":"Goktekin","given":"O."},{"family":"Gibbs","given":"J. S. R."},{"family":"Gatzoulis","given":"M. A."}],"issued":{"date-parts":[["2006"]]}}},{"id":1168,"uris":["http://zotero.org/users/1067890/items/UTNIK8NQ"],"uri":["http://zotero.org/users/1067890/items/UTNIK8NQ"],"itemData":{"id":1168,"type":"article-journal","title":"Survival Prospects and Circumstances of Death in Contemporary Adult Congenital Heart Disease Patients Under Follow-Up at a Large Tertiary Centre","container-title":"Circulation","page":"CIRCULATIONAHA.115.017202","source":"circ.ahajournals.org","abstract":"Background—Adult congenital heart disease (ACHD) patients have ongoing morbidity and reduced long-term survival. Recently, the importance of specialized follow-up at tertiary ACHD centres has been highlighted. We aimed to assess survival prospects and clarify causes of death in a large cohort of patients at a single, tertiary centre.\nMethods and Results—We included 6,969 adult patients (age 29.9±15.4 years) under follow-up at our institution between 1991 and 2013. Causes of death were ascertained from official death certificates. Survival was compared with the expected survival in the general age and gender matched population and standardized mortality rates were calculated. Over a median follow-up time of 9.1 years (IQR 5.2-14.5), 524 patients died. Leading causes of death were chronic heart failure (42%), pneumonia (10%), sudden-cardiac death (7%), cancer (6%) and haemorrhage (5%), while perioperative mortality was comparatively low. Isolated simple defects exhibited mortality rates similar to those in the general population, while patients with Eisenmenger syndrome, complex congenital heart disease and Fontan physiology had much poorer long-term survival (P&lt;0.0001 for all). The probability of cardiac death decreased with increasing patient's age, whereas the proportion of patients dying from non-cardiac causes, such as cancer, increased.\nConclusions—ACHD patients continue to be afflicted by increased mortality compared to the general population as they grow older. Highest mortality rates were observed amongst patients with complex ACHD, Fontan physiology and Eisenmenger syndrome. Our data provide an overview over causes of mortality and especially the spectrum of non-cardiac causes of death in contemporary ACHD patients.","DOI":"10.1161/CIRCULATIONAHA.115.017202","ISSN":"0009-7322, 1524-4539","journalAbbreviation":"Circulation","language":"en","author":[{"family":"Diller","given":"Gerhard-Paul"},{"family":"Kempny","given":"Aleksander"},{"family":"Alonso-Gonzalez","given":"Rafael"},{"family":"Swan","given":"Lorna"},{"family":"Uebing","given":"Anselm"},{"family":"Li","given":"Wei"},{"family":"Babu-Narayan","given":"Sonya"},{"family":"Wort","given":"Stephen J."},{"family":"Dimopoulos","given":"Konstantinos"},{"family":"Gatzoulis","given":"Michael A."}],"issued":{"date-parts":[["2015",9,14]]}}},{"id":1448,"uris":["http://zotero.org/users/1067890/items/V7QPDUWR"],"uri":["http://zotero.org/users/1067890/items/V7QPDUWR"],"itemData":{"id":1448,"type":"article-journal","title":"Current therapy and outcome of Eisenmenger syndrome: data of the German National Register for congenital heart defects","container-title":"European Heart Journal","page":"ehv743","source":"eurheartj.oxfordjournals.org.ep.fjernadgang.kb.dk","abstract":"Aims We aimed to assess the contemporary outcome of Eisenmenger syndrome (ES), delineate the use of disease targeting therapies (DTT) in these patients and to investigate the effect of treatment on outcome in the community.Methods and results Patients with ES were systematically identified from the German National Register for Congenital Heart Defects. Data on underlying diagnosis, medical therapy, and survival were collected. The impact of DTT on survival was assessed using time-dependant Cox analysis. Overall, 153 ES patients were included (mean age 34.0 ± 13.3 years, 46% females). Of these, 88 (57.5%) were treated with at least one DTT (76.1% Bosentan, 20.5% Sildenafil) while 17.6% were on dual DTT. In addition, 24.8% of patients received digoxin, 10.5% angiotensin-converting enzyme-inhibitors/angiotensin receptor blockers, and 17.6% β-blockers. Moreover, 17.6% of patients were treated with oral anticoagulants, while 23.5% of patients received Aspirin. The survival rate at 1, 5, and 10 years of follow-up was only 92, 75, and 57% in the entire cohort, and was even worse in treatment naive ES patients (survival rate 86, 60, and 34% at 1, 5, and 10 years). Use of DTT was independently associated with a better survival (hazard ratio 0.42, P= 0.015).Conclusion This study illustrates the alarmingly poor survival prospects of Eisenmenger patients by community-based data even in the current era with advanced DTT and in a country with a wealthy health system. Treatment naive ES patients had especially high mortality rates approaching 60–70% at 10 years of follow-up. Treatment with DTT was associated with better survival.","DOI":"10.1093/eurheartj/ehv743","ISSN":"0195-668X, 1522-9645","note":"PMID: 26843280","shortTitle":"Current therapy and outcome of Eisenmenger syndrome","language":"en","author":[{"family":"Diller","given":"Gerhard-Paul"},{"family":"Körten","given":"Marc-André"},{"family":"Bauer","given":"Ulrike M. M."},{"family":"Miera","given":"Oliver"},{"family":"Tutarel","given":"Oktay"},{"family":"Kaemmerer","given":"Harald"},{"family":"Berger","given":"Felix"},{"family":"Baumgartner","given":"Helmut"}],"issued":{"date-parts":[["2016",2,2]]},"PMID":"26843280"}}],"schema":"https://github.com/citation-style-language/schema/raw/master/csl-citation.json"}</w:instrText>
      </w:r>
      <w:r>
        <w:fldChar w:fldCharType="separate"/>
      </w:r>
      <w:bookmarkStart w:id="14" w:name="__Fieldmark__1943_1910830454"/>
      <w:r>
        <w:rPr/>
      </w:r>
      <w:r>
        <w:rPr>
          <w:szCs w:val="24"/>
        </w:rPr>
        <w:t>(10–12)</w:t>
      </w:r>
      <w:r>
        <w:rPr/>
      </w:r>
      <w:r>
        <w:fldChar w:fldCharType="end"/>
      </w:r>
      <w:bookmarkEnd w:id="14"/>
      <w:r>
        <w:rPr/>
        <w:t xml:space="preserve">. </w:t>
      </w:r>
      <w:commentRangeEnd w:id="4"/>
      <w:r>
        <w:commentReference w:id="4"/>
      </w:r>
      <w:r>
        <w:rPr/>
      </w:r>
    </w:p>
    <w:p>
      <w:pPr>
        <w:pStyle w:val="Normal"/>
        <w:spacing w:lineRule="auto" w:line="480" w:before="0" w:after="0"/>
        <w:jc w:val="both"/>
        <w:rPr/>
      </w:pPr>
      <w:r>
        <w:rPr/>
        <w:t xml:space="preserve">    </w:t>
      </w:r>
      <w:r>
        <w:rPr/>
        <w:t xml:space="preserve">Beyond the increase in heart-failure related deaths, the increased longevity of ES patients has resulted in an increase in cancer and infection-related deaths in later era compared to the previous era, or compared to the series by Wood and Daliento. This phenomenon was more prominent in patients with simple pre-tricuspid valve defects, which is the group with the highest average age. This finding has important clinical implications for the care of ES </w:t>
      </w:r>
      <w:commentRangeStart w:id="5"/>
      <w:r>
        <w:rPr/>
        <w:t>patients</w:t>
      </w:r>
      <w:r>
        <w:rPr/>
      </w:r>
      <w:commentRangeEnd w:id="5"/>
      <w:r>
        <w:commentReference w:id="5"/>
      </w:r>
      <w:r>
        <w:rPr/>
        <w:t>. …</w:t>
      </w:r>
    </w:p>
    <w:p>
      <w:pPr>
        <w:pStyle w:val="Normal"/>
        <w:spacing w:lineRule="auto" w:line="480" w:before="0" w:after="0"/>
        <w:jc w:val="both"/>
        <w:rPr/>
      </w:pPr>
      <w:r>
        <w:rPr/>
        <w:t xml:space="preserve">other comorbidities in adults with CHD </w:t>
      </w:r>
      <w:r>
        <w:fldChar w:fldCharType="begin"/>
      </w:r>
      <w:r>
        <w:instrText>ADDIN ZOTERO_ITEM CSL_CITATION {"citationID":"cv9tp0as","properties":{"formattedCitation":"(11)","plainCitation":"(11)"},"citationItems":[{"id":1168,"uris":["http://zotero.org/users/1067890/items/UTNIK8NQ"],"uri":["http://zotero.org/users/1067890/items/UTNIK8NQ"],"itemData":{"id":1168,"type":"article-journal","title":"Survival Prospects and Circumstances of Death in Contemporary Adult Congenital Heart Disease Patients Under Follow-Up at a Large Tertiary Centre","container-title":"Circulation","page":"CIRCULATIONAHA.115.017202","source":"circ.ahajournals.org","abstract":"Background—Adult congenital heart disease (ACHD) patients have ongoing morbidity and reduced long-term survival. Recently, the importance of specialized follow-up at tertiary ACHD centres has been highlighted. We aimed to assess survival prospects and clarify causes of death in a large cohort of patients at a single, tertiary centre.\nMethods and Results—We included 6,969 adult patients (age 29.9±15.4 years) under follow-up at our institution between 1991 and 2013. Causes of death were ascertained from official death certificates. Survival was compared with the expected survival in the general age and gender matched population and standardized mortality rates were calculated. Over a median follow-up time of 9.1 years (IQR 5.2-14.5), 524 patients died. Leading causes of death were chronic heart failure (42%), pneumonia (10%), sudden-cardiac death (7%), cancer (6%) and haemorrhage (5%), while perioperative mortality was comparatively low. Isolated simple defects exhibited mortality rates similar to those in the general population, while patients with Eisenmenger syndrome, complex congenital heart disease and Fontan physiology had much poorer long-term survival (P&lt;0.0001 for all). The probability of cardiac death decreased with increasing patient's age, whereas the proportion of patients dying from non-cardiac causes, such as cancer, increased.\nConclusions—ACHD patients continue to be afflicted by increased mortality compared to the general population as they grow older. Highest mortality rates were observed amongst patients with complex ACHD, Fontan physiology and Eisenmenger syndrome. Our data provide an overview over causes of mortality and especially the spectrum of non-cardiac causes of death in contemporary ACHD patients.","DOI":"10.1161/CIRCULATIONAHA.115.017202","ISSN":"0009-7322, 1524-4539","journalAbbreviation":"Circulation","language":"en","author":[{"family":"Diller","given":"Gerhard-Paul"},{"family":"Kempny","given":"Aleksander"},{"family":"Alonso-Gonzalez","given":"Rafael"},{"family":"Swan","given":"Lorna"},{"family":"Uebing","given":"Anselm"},{"family":"Li","given":"Wei"},{"family":"Babu-Narayan","given":"Sonya"},{"family":"Wort","given":"Stephen J."},{"family":"Dimopoulos","given":"Konstantinos"},{"family":"Gatzoulis","given":"Michael A."}],"issued":{"date-parts":[["2015",9,14]]}}}],"schema":"https://github.com/citation-style-language/schema/raw/master/csl-citation.json"}</w:instrText>
      </w:r>
      <w:r>
        <w:fldChar w:fldCharType="separate"/>
      </w:r>
      <w:bookmarkStart w:id="15" w:name="__Fieldmark__2042_1910830454"/>
      <w:r>
        <w:rPr/>
        <w:t>(11)</w:t>
      </w:r>
      <w:r>
        <w:rPr/>
      </w:r>
      <w:r>
        <w:fldChar w:fldCharType="end"/>
      </w:r>
      <w:bookmarkEnd w:id="15"/>
      <w:r>
        <w:rPr/>
        <w:t xml:space="preserve"> are pertinent even in this particular population.  </w:t>
      </w:r>
    </w:p>
    <w:p>
      <w:pPr>
        <w:pStyle w:val="Normal"/>
        <w:spacing w:lineRule="auto" w:line="480" w:before="0" w:after="0"/>
        <w:jc w:val="both"/>
        <w:rPr/>
      </w:pPr>
      <w:r>
        <w:rPr/>
        <w:t xml:space="preserve">    </w:t>
      </w:r>
      <w:r>
        <w:rPr/>
        <w:t xml:space="preserve">Haemoptysis previously thought to be a major cause of death among patients with ES was a relative uncommon cause of death in our series. Haemoptysis is nevertheless a frequent clinical event in ES; according to Daliento et al. 20% of the patients experience at least one episode of haemoptysis, yet they did not find that having experienced haemoptysis affected long-term survival, despite haemoptysis being the cause of death in 11% of patients in their cohort </w:t>
      </w:r>
      <w:r>
        <w:fldChar w:fldCharType="begin"/>
      </w:r>
      <w:r>
        <w:instrText>ADDIN ZOTERO_ITEM CSL_CITATION {"citationID":"1y2LfZFZ","properties":{"formattedCitation":"(4)","plainCitation":"(4)"},"citationItems":[{"id":969,"uris":["http://zotero.org/users/1067890/items/BHZHMGRW"],"uri":["http://zotero.org/users/1067890/items/BHZHMGRW"],"itemData":{"id":969,"type":"article-journal","title":"Eisenmenger syndrome. Factors relating to deterioration and death","container-title":"European Heart Journal","page":"1845-1855","volume":"19","issue":"12","source":"eurheartj.oxfordjournals.org","abstract":"AimsTo assess the natural history, risk factors for death and deterioration of patients with Eisenmenger Syndrome.MethodsThe clinical course of 188 patients from three different cardiac centres specialized in adult congenital heart defects, followed for a median period of 31 years, was retrospectively analysed. According to the diagnosis, 64 males and 124 females, mean age at last follow-up 33·02±12·8 years, were divided into two groups: simple (128) and complex (60) congenital heart disease. Events analysed were: time variation of Ability Index, pulmonary and cerebral complications, non-cardiac surgery, urate metabolism and renal function, arrhythmias, pregnancy and contraception, medical therapy and transplantation, death from all causes and sudden death.ResultsEighty-four percent of the overall population showed a satisfactory Ability Index (1 and 2) at the first attendance (median age 25 years). Patients with complex heart disease and Eisenmenger reaction had earlier clinical deterioration (18·6±11·3 vs 26·7±12·2) and shorter survival (25·8±7·9 vs 32·5±14·6 years). Thirty-eight (20·2%) patients had at least one episode of haemoptysis between 20 and 40 years of age but it did not modify overall survival; 25 (13·2%) had pulmonary thromboembolism at a mean age of 35·2±13·4 years. Fifteen (7·9%) had a stroke and 7 (3·7%) a cerebral abscess at a mean age of 31·4±15·7 and 24·1±4·9 years, respectively. Cerebral complications influenced the quality of life but did not modify survival. Patients who had venesection showed a 2·04 times greater hazard ratio for haemoptysis. Venesection did not reduce cerebral complications and in 20% caused anaemia and iron deficiency. Other non-cardiac surgery with general anaesthesia carried risks (23·5% of deaths). Significant maternal mortality (27%) in relation to pregnancy occurred with constant deterioration in physical status, high incidence of spontaneous abortions (35·8%) and cardiac abnormalities in offspring (20%). Sixty-one patients died during follow-up, mainly by sudden death (29·5%), heart failure (22·9%) and from haemoptysis (11·4%). Eight patients had heart and lung transplantation and five died 1 week to 4 years after transplant. Deterioration in Ability Index (worsening symptoms), age, complex defects, blood creatinine level, right ventricular dysfunction and non-cardiac surgery were variables which affected the prognosis adversely with uni- and multivariate analysis.Conclusionspatients with Eisenmenger syndrome can survive to the seventh decade with informed medical care and protection from special risks","DOI":"10.1053/euhj.1998.1046","ISSN":"0195-668X, 1522-9645","note":"PMID: 9886728","language":"en","author":[{"family":"Daliento","given":"L."},{"family":"Somerville","given":"J."},{"family":"Presbitero","given":"P."},{"family":"Menti","given":"L."},{"family":"Brach-Prever","given":"S."},{"family":"Rizzoli","given":"G."},{"family":"Stone","given":"S."}],"issued":{"date-parts":[["1998",12,1]]},"PMID":"9886728"}}],"schema":"https://github.com/citation-style-language/schema/raw/master/csl-citation.json"}</w:instrText>
      </w:r>
      <w:r>
        <w:fldChar w:fldCharType="separate"/>
      </w:r>
      <w:bookmarkStart w:id="16" w:name="__Fieldmark__2086_1910830454"/>
      <w:r>
        <w:rPr/>
        <w:t>(4)</w:t>
      </w:r>
      <w:r>
        <w:rPr/>
      </w:r>
      <w:r>
        <w:fldChar w:fldCharType="end"/>
      </w:r>
      <w:bookmarkEnd w:id="16"/>
      <w:r>
        <w:rPr/>
        <w:t xml:space="preserve">. Overall, the proportion of deaths due to haemorrhage decreased throughout this study and compared to historic data the current 6% is low. As patients with cyanotic congenital heart disease are hypocoagulable, recent arguments in support of routine anticoagulation in ES may be weakened by this finding </w:t>
      </w:r>
      <w:r>
        <w:fldChar w:fldCharType="begin"/>
      </w:r>
      <w:r>
        <w:instrText>ADDIN ZOTERO_ITEM CSL_CITATION {"citationID":"lfXg6bUf","properties":{"formattedCitation":"{\\rtf (14,23\\uc0\\u8211{}26)}","plainCitation":"(14,23–26)"},"citationItems":[{"id":127,"uris":["http://zotero.org/users/1067890/items/FWKVBQ9F"],"uri":["http://zotero.org/users/1067890/items/FWKVBQ9F"],"itemData":{"id":127,"type":"article-journal","title":"Fibrinogen function is impaired in whole blood from patients with cyanotic congenital heart disease","container-title":"International Journal of Cardiology","page":"2210-2214","volume":"167","issue":"5","source":"ScienceDirect","abstract":"Background\nPatients with cyanotic congenital heart disease (CCHD) have haemostatic abnormities associated with bleeding and thrombo-embolic events. The haemostatic abnormalities are not fully understood, but recent studies indicate that elevated haematocrit and fibrinogen function may be of importance.\n\nThe aim of this study was to characterise the haemostatic profile and examine the potential role of haematocrit on clot formation and strength in CCHD patients. Furthermore to examine whether CCHD patients with history of haemoptysis have diminished fibrinogen function compared to those without haemoptysis.\nMethods\nIn a prospective study 75 adult CCHD patients had haematocrit, platelet count, and plasma fibrinogen concentration examined. Furthermore thrombelastography(TEG) as well as TEG Functional Fibrinogen(TEG FF) assay evaluating fibrinogen function(FLEV) was performed. Data were compared with historical data regarding previous haemoptysis in CCHD patients.\nResults\nHaematocrit was 57 ± 8% and platelet counts in the lower normal range. TEG revealed a hypocoagulable condition with impaired clot formation. TEG values were correlated to haematocrit, indicating that elevated haematocrit causes impaired clot formation and strength. Despite high levels of plasma fibrinogen, TEG FF demonstrated that FLEV was diminished and negatively correlated to haematocrit. Furthermore CCHD patients with previous history of haemoptysis had significantly lower FLEV compared to CCHD patients without haemoptysis.\nConclusion\nPatients with CCHD are hypocoagulable mainly due to impaired fibrinogen function. Despite a low platelet count, platelet function does not seem to be severely affected in CCHD patients. Haemostasis, and especially fibrinogen function, is negatively affected by elevated haematocrit, and fibrinogen function is diminished in CCHD patients with haemoptysis.","DOI":"10.1016/j.ijcard.2012.06.019","ISSN":"0167-5273","journalAbbreviation":"International Journal of Cardiology","author":[{"family":"Jensen","given":"A. S."},{"family":"Johansson","given":"P. I."},{"family":"Bochsen","given":"L."},{"family":"Idorn","given":"L."},{"family":"Sorensen","given":"K. E."},{"family":"Thilén","given":"U."},{"family":"Nagy","given":"E."},{"family":"Furenäs","given":"E."},{"family":"Søndergaard","given":"L."}],"issued":{"date-parts":[["2013",9,1]]}}},{"id":233,"uris":["http://zotero.org/users/1067890/items/QQE6SAC8"],"uri":["http://zotero.org/users/1067890/items/QQE6SAC8"],"itemData":{"id":233,"type":"article-journal","title":"The haematocrit – an important factor causing impaired haemostasis in patients with cyanotic congenital heart disease","container-title":"International Journal of Cardiology","page":"1317-1321","volume":"167","issue":"4","source":"ScienceDirect","abstract":"Background\nPatients with cyanotic congenital heart disease(CCHD) have haemostatic abnormalities, which result in an increased risk of bleeding. The cause is unknown, but recent studies have indicated that an elevated haematocrit, which is present in cyanotic patients, could be an important factor.\n\nThe aim of this study was to characterize the haemostatic profile, examine how changes in haematocrit affect the haemostatic profile, and whether a haematocrit reduction could terminate bleeding in CCHD patients.\nMethods\nThis was a prospective, multicenter study. The haemostatic profile consisting of haematocrit, platelet count and thrombelastography(TEG) was characterized in ninety-eight CCHD patients. To evaluate the influence of haematocrit on the haemostatic profile, 21 of the patients underwent phlebotomy and 16 patients received treatment with an iron supplement. Furthermore ten patients with haemoptysis underwent phlebotomy. The haemostatic profile was reevaluated after interventions.\nResults\nTEG revealed that patients with CCHD and elevated haematocrit were hypocoagulable due to reduced clot formation and strength. Furthermore a positive correlation between elevated haematocrit and hypocoagulability was present. Interventions such as phlebotomy and treatment with supplemental iron causing significant haematocrit changes confirmed the correlation between haematocrit and the haemostatic profile. Finally a haematocrit reduction by phlebotomy successfully terminated haemoptysis in ten CCHD patients.\nConclusion\nPatients with CCHD and elevated haematocrit are hypocoagulable. The hypocoagulable haemostatic profile is positively correlated to increasing haematocrit. An intervention, which increases or decreases haematocrit, changes the haemostatic profile. A haematocrit reduction seems to improve the haemostatic profile, and may thereby terminate bleeding. However, these results warrant further studies.","DOI":"10.1016/j.ijcard.2012.03.181","ISSN":"0167-5273","journalAbbreviation":"International Journal of Cardiology","author":[{"family":"Jensen","given":"A. S."},{"family":"Johansson","given":"P. I."},{"family":"Idorn","given":"L."},{"family":"Sorensen","given":"K. E."},{"family":"Thilén","given":"U."},{"family":"Nagy","given":"E."},{"family":"Furenäs","given":"E."},{"family":"Søndergaard","given":"L."}],"issued":{"date-parts":[["2013",8,20]]}}},{"id":281,"uris":["http://zotero.org/users/1067890/items/UCUP8WET"],"uri":["http://zotero.org/users/1067890/items/UCUP8WET"],"itemData":{"id":281,"type":"article-journal","title":"Anticoagulation in adults with congenital heart disease: The who, the when and the how?","container-title":"Heart","page":"heartjnl-2014-305576","source":"heart.bmj.com.ep.fjernadgang.kb.dk","abstract":"Adults with congenital heart disease are a growing population. One of the major challenges in the care of these patients is to prevent thromboembolic episodes. Despite relative young age and no typical cardiovascular risk factors, this cohort has a high prevalence of thrombotic events. It is difficult to use treatment algorithms from the general adult population with acquired heart disease in this heterogeneous population due to special conditions such as myocardial scarring after previous surgery, atypical atrial flutter, prothrombotic conditions and the presence of interatrial shunts. Furthermore, there is a lack of scientific evidence regarding how to prevent thromboembolic events with anticoagulation in adults with congenital heart disease. The aim of this paper is to review the current literature pertaining to anticoagulation in adults with congenital heart disease and hence enable recommendations for which patients are likely to benefit from which anticoagulation treatments, when they should be considered and how these would be carried out.","DOI":"10.1136/heartjnl-2014-305576","ISSN":", 1468-201X","note":"PMID: 25281599","shortTitle":"Anticoagulation in adults with congenital heart disease","journalAbbreviation":"Heart","language":"en","author":[{"family":"Jensen","given":"A. S."},{"family":"Idorn","given":"L."},{"family":"Norager","given":"B."},{"family":"Vejlstrup","given":"N."},{"family":"Sondergaard","given":"L."}],"issued":{"date-parts":[["2014",10,3]]},"PMID":"25281599"}},{"id":129,"uris":["http://zotero.org/users/1067890/items/G2KWCDF3"],"uri":["http://zotero.org/users/1067890/items/G2KWCDF3"],"itemData":{"id":129,"type":"article-journal","title":"ESC Guidelines for the management of grown-up congenital heart disease (new version 2010): The Task Force on the Management of Grown-up Congenital Heart Disease of the European Society of Cardiology (ESC)","container-title":"European Heart Journal","page":"2915-2957","volume":"31","issue":"23","source":"CrossRef","DOI":"10.1093/eurheartj/ehq249","ISSN":"0195-668X, 1522-9645","shortTitle":"ESC Guidelines for the management of grown-up congenital heart disease (new version 2010)","author":[{"family":"Baumgartner","given":"H."},{"family":"Bonhoeffer","given":"P."},{"family":"De Groot","given":"N. M. S."},{"family":"Haan","given":"F.","non-dropping-particle":"de"},{"family":"Deanfield","given":"J. E."},{"family":"Galie","given":"N."},{"family":"Gatzoulis","given":"M. A."},{"family":"Gohlke-Baerwolf","given":"C."},{"family":"Kaemmerer","given":"H."},{"family":"Kilner","given":"P."},{"family":"Meijboom","given":"F."},{"family":"Mulder","given":"B. J. M."},{"family":"Oechslin","given":"E."},{"family":"Oliver","given":"J. M."},{"family":"Serraf","given":"A."},{"family":"Szatmari","given":"A."},{"family":"Thaulow","given":"E."},{"family":"Vouhe","given":"P. R."},{"family":"Walma","given":"E."},{"literal":"ESC Committee for Practice Guidelines (CPG)"},{"family":"Vahanian","given":"A."},{"family":"Auricchio","given":"A."},{"family":"Bax","given":"J."},{"family":"Ceconi","given":"C."},{"family":"Dean","given":"V."},{"family":"Filippatos","given":"G."},{"family":"Funck-Brentano","given":"C."},{"family":"Hobbs","given":"R."},{"family":"Kearney","given":"P."},{"family":"McDonagh","given":"T."},{"family":"Popescu","given":"B. A."},{"family":"Reiner","given":"Z."},{"family":"Sechtem","given":"U."},{"family":"Sirnes","given":"P. A."},{"family":"Tendera","given":"M."},{"family":"Vardas","given":"P."},{"family":"Widimsky","given":"P."},{"literal":"Document Reviewers"},{"family":"McDonagh","given":"T."},{"family":"Swan","given":"L."},{"family":"Andreotti","given":"F."},{"family":"Beghetti","given":"M."},{"family":"Borggrefe","given":"M."},{"family":"Bozio","given":"A."},{"family":"Brecker","given":"S."},{"family":"Budts","given":"W."},{"family":"Hess","given":"J."},{"family":"Hirsch","given":"R."},{"family":"Jondeau","given":"G."},{"family":"Kokkonen","given":"J."},{"family":"Kozelj","given":"M."},{"family":"Kucukoglu","given":"S."},{"family":"Laan","given":"M."},{"family":"Lionis","given":"C."},{"family":"Metreveli","given":"I."},{"family":"Moons","given":"P."},{"family":"Pieper","given":"P. G."},{"family":"Pilossoff","given":"V."},{"family":"Popelova","given":"J."},{"family":"Price","given":"S."},{"family":"Roos-Hesselink","given":"J."},{"family":"Uva","given":"M. S."},{"family":"Tornos","given":"P."},{"family":"Trindade","given":"P. T."},{"family":"Ukkonen","given":"H."},{"family":"Walker","given":"H."},{"family":"Webb","given":"G. D."},{"family":"Westby","given":"J."}],"issued":{"date-parts":[["2010",8,27]]}}},{"id":948,"uris":["http://zotero.org/users/1067890/items/39BINUXI"],"uri":["http://zotero.org/users/1067890/items/39BINUXI"],"itemData":{"id":948,"type":"article-journal","title":"ACC/AHA 2008 Guidelines for the Management of Adults With Congenital Heart Disease: A Report of the American College of Cardiology/American Heart Association Task Force on Practice Guidelines (Writing Committee to Develop Guidelines on the Management of Adults With Congenital Heart Disease): Developed in Collaboration With the American Society of Echocardiography, Heart Rhythm Society, International Society for Adult Congenital Heart Disease, Society for Cardiovascular Angiography and Interventions, and Society of Thoracic Surgeons","container-title":"Circulation","page":"e714-e833","volume":"118","issue":"23","source":"CrossRef","DOI":"10.1161/CIRCULATIONAHA.108.190690","ISSN":"0009-7322, 1524-4539","shortTitle":"ACC/AHA 2008 Guidelines for the Management of Adults With Congenital Heart Disease","language":"en","author":[{"family":"Warnes","given":"C. A."},{"family":"Williams","given":"R. G."},{"family":"Bashore","given":"T. M."},{"family":"Child","given":"J. S."},{"family":"Connolly","given":"H. M."},{"family":"Dearani","given":"J. A."},{"family":"Nido","given":"P.","non-dropping-particle":"del"},{"family":"Fasules","given":"J. W."},{"family":"Graham","given":"T. P."},{"family":"Hijazi","given":"Z. M."},{"family":"Hunt","given":"S. A."},{"family":"King","given":"M. E."},{"family":"Landzberg","given":"M. J."},{"family":"Miner","given":"P. D."},{"family":"Radford","given":"M. J."},{"family":"Walsh","given":"E. P."},{"family":"Webb","given":"G. D."}],"issued":{"date-parts":[["2008",12,2]]}}}],"schema":"https://github.com/citation-style-language/schema/raw/master/csl-citation.json"}</w:instrText>
      </w:r>
      <w:r>
        <w:fldChar w:fldCharType="separate"/>
      </w:r>
      <w:bookmarkStart w:id="17" w:name="__Fieldmark__2124_1910830454"/>
      <w:commentRangeStart w:id="6"/>
      <w:r>
        <w:rPr/>
      </w:r>
      <w:r>
        <w:rPr>
          <w:szCs w:val="24"/>
        </w:rPr>
        <w:t>(14,23–26)</w:t>
      </w:r>
      <w:r>
        <w:rPr/>
      </w:r>
      <w:r>
        <w:fldChar w:fldCharType="end"/>
      </w:r>
      <w:bookmarkEnd w:id="17"/>
      <w:r>
        <w:rPr/>
      </w:r>
      <w:commentRangeEnd w:id="6"/>
      <w:r>
        <w:commentReference w:id="6"/>
      </w:r>
      <w:r>
        <w:rPr/>
        <w:t xml:space="preserve">.     Thromboembolism related mortality also decreased significantly over time. Whether this is explained by increased awareness of the pitfalls of routinely phlebotomy, including iron deficiency and thrombogenecity </w:t>
      </w:r>
      <w:r>
        <w:fldChar w:fldCharType="begin"/>
      </w:r>
      <w:r>
        <w:instrText>ADDIN ZOTERO_ITEM CSL_CITATION {"citationID":"EdxcTniv","properties":{"formattedCitation":"(27,28)","plainCitation":"(27,28)"},"citationItems":[{"id":706,"uris":["http://zotero.org/users/1067890/items/PGIIGEEX"],"uri":["http://zotero.org/users/1067890/items/PGIIGEEX"],"itemData":{"id":706,"type":"article-journal","title":"Prevalence of cerebral and pulmonary thrombosis in patients with cyanotic congenital heart disease","container-title":"Heart","source":"CrossRef","URL":"http://heart.bmj.com/cgi/doi/10.1136/heartjnl-2015-307657","DOI":"10.1136/heartjnl-2015-307657","ISSN":"1355-6037","language":"en","author":[{"family":"Jensen","given":"A. S."},{"family":"Idorn","given":"L."},{"family":"Thomsen","given":"C."},{"family":"Recke","given":"P.","non-dropping-particle":"von der"},{"family":"Mortensen","given":"J."},{"family":"Sorensen","given":"K. E."},{"family":"Thilen","given":"U."},{"family":"Nagy","given":"E."},{"family":"Kofoed","given":"K. F."},{"family":"Ostrowski","given":"S. R."},{"family":"Sondergaard","given":"L."}],"issued":{"date-parts":[["2015",6,5]]},"accessed":{"date-parts":[["2015",7,8]]}}},{"id":185,"uris":["http://zotero.org/users/1067890/items/KHZKHMKQ"],"uri":["http://zotero.org/users/1067890/items/KHZKHMKQ"],"itemData":{"id":185,"type":"article-journal","title":"Iron deficiency is associated with adverse outcome in Eisenmenger patients","container-title":"European Heart Journal","page":"2790-2799","volume":"32","issue":"22","source":"CrossRef","DOI":"10.1093/eurheartj/ehr130","ISSN":"0195-668X, 1522-9645","author":[{"family":"Van De Bruaene","given":"A."},{"family":"Delcroix","given":"M."},{"family":"Pasquet","given":"A."},{"family":"De Backer","given":"J."},{"family":"De Pauw","given":"M."},{"family":"Naeije","given":"R."},{"family":"Vachiery","given":"J.-L."},{"family":"Paelinck","given":"B."},{"family":"Morissens","given":"M."},{"family":"Budts","given":"W."}],"issued":{"date-parts":[["2011",5,23]]}}}],"schema":"https://github.com/citation-style-language/schema/raw/master/csl-citation.json"}</w:instrText>
      </w:r>
      <w:r>
        <w:fldChar w:fldCharType="separate"/>
      </w:r>
      <w:bookmarkStart w:id="18" w:name="__Fieldmark__2155_1910830454"/>
      <w:r>
        <w:rPr/>
        <w:t>(27,28)</w:t>
      </w:r>
      <w:r>
        <w:rPr/>
      </w:r>
      <w:r>
        <w:fldChar w:fldCharType="end"/>
      </w:r>
      <w:bookmarkEnd w:id="18"/>
      <w:r>
        <w:rPr/>
        <w:t xml:space="preserve">, better patient selection for anticoagulation and monitoring of thrombo-prophylaxis, or for other reasons, remains </w:t>
      </w:r>
      <w:commentRangeStart w:id="7"/>
      <w:r>
        <w:rPr/>
        <w:t>speculative</w:t>
      </w:r>
      <w:r>
        <w:rPr/>
      </w:r>
      <w:commentRangeEnd w:id="7"/>
      <w:r>
        <w:commentReference w:id="7"/>
      </w:r>
      <w:r>
        <w:rPr/>
        <w:t xml:space="preserve">. </w:t>
      </w:r>
    </w:p>
    <w:p>
      <w:pPr>
        <w:pStyle w:val="Normal"/>
        <w:spacing w:lineRule="auto" w:line="480" w:before="0" w:after="0"/>
        <w:jc w:val="both"/>
        <w:rPr/>
      </w:pPr>
      <w:r>
        <w:rPr/>
        <w:t xml:space="preserve">    </w:t>
      </w:r>
      <w:r>
        <w:rPr/>
        <w:t xml:space="preserve">Peri-procedural deaths, both cardiac and non-cardiac procedures, have declined since the historic cohorts accounting for up to 26% of the deaths as reported by Wood. Better identification of the risk profile of individual patients, avoidance of non-essential surgical procedures, greater surgical and anaesthesiological expertise, as well as converging care to tertiary centres, may have led to this </w:t>
      </w:r>
      <w:commentRangeStart w:id="8"/>
      <w:r>
        <w:rPr/>
        <w:t>change</w:t>
      </w:r>
      <w:r>
        <w:rPr/>
      </w:r>
      <w:commentRangeEnd w:id="8"/>
      <w:r>
        <w:commentReference w:id="8"/>
      </w:r>
      <w:r>
        <w:rPr/>
        <w:t xml:space="preserve">. </w:t>
      </w:r>
    </w:p>
    <w:p>
      <w:pPr>
        <w:pStyle w:val="Normal"/>
        <w:spacing w:lineRule="auto" w:line="480" w:before="0" w:after="0"/>
        <w:jc w:val="both"/>
        <w:rPr/>
      </w:pPr>
      <w:commentRangeStart w:id="9"/>
      <w:r>
        <w:rPr/>
        <w:t xml:space="preserve">    </w:t>
      </w:r>
      <w:r>
        <w:rPr/>
        <w:t xml:space="preserve">In this large cohort of patients we were able to reliably establish the cause of death in 74% of the patients. There is, however, no reason to believe that the causes for the remaining deaths should not be equally distributed within the majority of the causes discussed. Peri-operative causes and major external haemorrhage, however, seems unlikely in the group with unknown cause of death, just as SCD and thromboembolism may be overrepresented. Irrespective, the trends observed in </w:t>
      </w:r>
      <w:r>
        <w:rPr/>
        <w:fldChar w:fldCharType="begin"/>
      </w:r>
      <w:r>
        <w:instrText> REF _Ref448495657 \h </w:instrText>
      </w:r>
      <w:r>
        <w:fldChar w:fldCharType="separate"/>
      </w:r>
      <w:r>
        <w:t>Figure 2</w:t>
      </w:r>
      <w:r>
        <w:fldChar w:fldCharType="end"/>
      </w:r>
      <w:r>
        <w:rPr/>
        <w:t xml:space="preserve"> </w:t>
      </w:r>
      <w:commentRangeStart w:id="10"/>
      <w:r>
        <w:rPr/>
        <w:t xml:space="preserve">would remain </w:t>
      </w:r>
      <w:r>
        <w:rPr/>
      </w:r>
      <w:commentRangeEnd w:id="10"/>
      <w:r>
        <w:commentReference w:id="10"/>
      </w:r>
      <w:r>
        <w:rPr/>
        <w:t xml:space="preserve">unchanged. However, further discussion about precise distributions among remaining causes such as heart failure, infection, SCD, thromboembolic and other causes would be hypothetical. </w:t>
      </w:r>
      <w:commentRangeEnd w:id="9"/>
      <w:r>
        <w:commentReference w:id="9"/>
      </w:r>
      <w:r>
        <w:rPr/>
      </w:r>
    </w:p>
    <w:p>
      <w:pPr>
        <w:pStyle w:val="Normal"/>
        <w:spacing w:lineRule="auto" w:line="480" w:before="0" w:after="0"/>
        <w:jc w:val="both"/>
        <w:rPr/>
      </w:pPr>
      <w:r>
        <w:rPr/>
        <w:t xml:space="preserve">    </w:t>
      </w:r>
      <w:r>
        <w:rPr/>
        <w:t xml:space="preserve">This study showed a trend of prolonged life-expectancy from the early to the late era. However, this observation is biased as the incidence of new cases is decreasing, thus the patients in the late era represent mainly the survivors of the early era. Thus, a trend of increased life-expectancy was seen, but from the available data, we cannot unaffectedly validate this observation. Moreover, the available data does not either allow a deeper understanding of the reasons for the observed changes in cause-specific mortality. Previous studies have shown benefits of advanced therapies on hemodynamics, functional class, and exercise capacity, with evidence, albeit retrospective, of improved survival </w:t>
      </w:r>
      <w:r>
        <w:fldChar w:fldCharType="begin"/>
      </w:r>
      <w:r>
        <w:instrText>ADDIN ZOTERO_ITEM CSL_CITATION {"citationID":"vrLjpgUi","properties":{"formattedCitation":"(12,20,29,30)","plainCitation":"(12,20,29,30)"},"citationItems":[{"id":104,"uris":["http://zotero.org/users/1067890/items/D5M9WJPU"],"uri":["http://zotero.org/users/1067890/items/D5M9WJPU"],"itemData":{"id":104,"type":"article-journal","title":"Bosentan therapy in patients with Eisenmenger syndrome  - a multicenter, double-blind, randomized, placebo-controlled study BREATHE-5","container-title":"Circulation","page":"48–54","volume":"114","issue":"1","source":"Google Scholar","author":[{"family":"Galiè","given":"N."},{"family":"Beghetti","given":"M."},{"family":"Gatzoulis","given":"M. A."},{"family":"Granton","given":"J."},{"family":"Berger","given":"R. M. F."},{"family":"Lauer","given":"A."},{"family":"Chiossi","given":"E."},{"family":"Landzberg","given":"M."}],"issued":{"date-parts":[["2006"]]}}},{"id":105,"uris":["http://zotero.org/users/1067890/items/D7G6474Q"],"uri":["http://zotero.org/users/1067890/items/D7G6474Q"],"itemData":{"id":105,"type":"article-journal","title":"Longer-term bosentan therapy improves functional capacity in Eisenmenger syndrome: results of the BREATHE-5 open-label extension study","container-title":"International journal of cardiology","page":"27–32","volume":"127","issue":"1","source":"Google Scholar","shortTitle":"Longer-term bosentan therapy improves functional capacity in Eisenmenger syndrome","author":[{"family":"Gatzoulis","given":"M. A."},{"family":"Beghetti","given":"M."},{"family":"Galiè","given":"N."},{"family":"Granton","given":"J."},{"family":"Berger","given":"R. M. F."},{"family":"Lauer","given":"A."},{"family":"Chiossi","given":"E."},{"family":"Landzberg","given":"M."}],"issued":{"date-parts":[["2008"]]}}},{"id":285,"uris":["http://zotero.org/users/1067890/items/UIV4DC5Z"],"uri":["http://zotero.org/users/1067890/items/UIV4DC5Z"],"itemData":{"id":285,"type":"article-journal","title":"Improved survival among patients with Eisenmenger syndrome receiving advanced therapy for pulmonary arterial hypertension","container-title":"Circulation","page":"20–25","volume":"121","issue":"1","source":"Google Scholar","author":[{"family":"Dimopoulos","given":"K."},{"family":"Inuzuka","given":"R."},{"family":"Goletto","given":"S."},{"family":"Giannakoulas","given":"G."},{"family":"Swan","given":"L."},{"family":"Wort","given":"S. J."},{"family":"Gatzoulis","given":"M. A."}],"issued":{"date-parts":[["2010"]]}}},{"id":1448,"uris":["http://zotero.org/users/1067890/items/V7QPDUWR"],"uri":["http://zotero.org/users/1067890/items/V7QPDUWR"],"itemData":{"id":1448,"type":"article-journal","title":"Current therapy and outcome of Eisenmenger syndrome: data of the German National Register for congenital heart defects","container-title":"European Heart Journal","page":"ehv743","source":"eurheartj.oxfordjournals.org.ep.fjernadgang.kb.dk","abstract":"Aims We aimed to assess the contemporary outcome of Eisenmenger syndrome (ES), delineate the use of disease targeting therapies (DTT) in these patients and to investigate the effect of treatment on outcome in the community.Methods and results Patients with ES were systematically identified from the German National Register for Congenital Heart Defects. Data on underlying diagnosis, medical therapy, and survival were collected. The impact of DTT on survival was assessed using time-dependant Cox analysis. Overall, 153 ES patients were included (mean age 34.0 ± 13.3 years, 46% females). Of these, 88 (57.5%) were treated with at least one DTT (76.1% Bosentan, 20.5% Sildenafil) while 17.6% were on dual DTT. In addition, 24.8% of patients received digoxin, 10.5% angiotensin-converting enzyme-inhibitors/angiotensin receptor blockers, and 17.6% β-blockers. Moreover, 17.6% of patients were treated with oral anticoagulants, while 23.5% of patients received Aspirin. The survival rate at 1, 5, and 10 years of follow-up was only 92, 75, and 57% in the entire cohort, and was even worse in treatment naive ES patients (survival rate 86, 60, and 34% at 1, 5, and 10 years). Use of DTT was independently associated with a better survival (hazard ratio 0.42, P= 0.015).Conclusion This study illustrates the alarmingly poor survival prospects of Eisenmenger patients by community-based data even in the current era with advanced DTT and in a country with a wealthy health system. Treatment naive ES patients had especially high mortality rates approaching 60–70% at 10 years of follow-up. Treatment with DTT was associated with better survival.","DOI":"10.1093/eurheartj/ehv743","ISSN":"0195-668X, 1522-9645","note":"PMID: 26843280","shortTitle":"Current therapy and outcome of Eisenmenger syndrome","language":"en","author":[{"family":"Diller","given":"Gerhard-Paul"},{"family":"Körten","given":"Marc-André"},{"family":"Bauer","given":"Ulrike M. M."},{"family":"Miera","given":"Oliver"},{"family":"Tutarel","given":"Oktay"},{"family":"Kaemmerer","given":"Harald"},{"family":"Berger","given":"Felix"},{"family":"Baumgartner","given":"Helmut"}],"issued":{"date-parts":[["2016",2,2]]},"PMID":"26843280"}}],"schema":"https://github.com/citation-style-language/schema/raw/master/csl-citation.json"}</w:instrText>
      </w:r>
      <w:r>
        <w:fldChar w:fldCharType="separate"/>
      </w:r>
      <w:bookmarkStart w:id="19" w:name="__Fieldmark__2308_1910830454"/>
      <w:r>
        <w:rPr/>
        <w:t>(12,20,29,30)</w:t>
      </w:r>
      <w:r>
        <w:rPr/>
      </w:r>
      <w:r>
        <w:fldChar w:fldCharType="end"/>
      </w:r>
      <w:bookmarkEnd w:id="19"/>
      <w:r>
        <w:rPr/>
        <w:t xml:space="preserve">. Although we have shown, herewith, a shift in cause-specific mortality coincident with the current era of advanced therapy for PAH, evaluating survival and predictors of death was not the scope of this study. Yet, along with the greater access to oral advanced therapy targeting pulmonary vascular disease, renewed management strategies, although not globally aligned, have also been implemented and increasing numbers of patients with ES are now followed at tertiary centres with regular outpatient visits </w:t>
      </w:r>
      <w:r>
        <w:fldChar w:fldCharType="begin"/>
      </w:r>
      <w:r>
        <w:instrText>ADDIN ZOTERO_ITEM CSL_CITATION {"citationID":"HmHkY7iS","properties":{"formattedCitation":"(12,31)","plainCitation":"(12,31)"},"citationItems":[{"id":1197,"uris":["http://zotero.org/users/1067890/items/R4PV6E5G"],"uri":["http://zotero.org/users/1067890/items/R4PV6E5G"],"itemData":{"id":1197,"type":"article-journal","title":"Specialized Adult Congenital Heart Disease Care The Impact of Policy on Mortality","container-title":"Circulation","page":"1804-1812","volume":"129","issue":"18","source":"circ.ahajournals.org","abstract":"Background—Clinical guidelines recommend specialized care for adult congenital heart disease (ACHD) patients. In reality, few patients receive such dedicated care. We sought to examine the impact of specialized care on ACHD patient mortality.\nMethods and Results—We examined referral rates to specialized ACHD centers and ACHD patient mortality rates between 1990 and 2005 in the population-based Quebec Congenital Heart Disease database (n=71 467). This period covers several years before and after the publication of guidelines endorsing specialized care for ACHD patients. A time-series design, based on Joinpoint and Poisson regression analyses, was used to assess the changes in annual referral and patient mortality rates. The association between specialized ACHD care and all-cause mortality was assessed in both case–control and cohort studies. The time-series analysis demonstrated a significant increase in referral rates to specialized ACHD centers in 1997 (rate ratio, +7.4%; 95% confidence interval [CI], +6.6% to +8.2%). In parallel, a significant reduction in expected ACHD patient mortality was observed after year 2000 (rate ratio, −5.0%;95% CI, −10.8% to −0.8%). In exploratory post hoc cohort and case–control analyses, specialized ACHD care was independently associated with reduced mortality (hazard ratio, 0.78; 95% CI, 0.65–0.94) and a reduced odds of death (adjusted odds ratio, 0.82; 95% CI, 0.08–0.97), respectively. This effect was predominantly driven by patients with severe congenital heart disease (hazard ratio, 0.38; 95% CI, 0.22–0.67).\nConclusions—A significant increase in referrals to specialized ACHD centers followed the introduction of the clinical guidelines. Moreover, referral to specialized ACHD care was independently associated with a significant mortality reduction. Our findings support a model of specialized care for all ACHD patients.","DOI":"10.1161/CIRCULATIONAHA.113.005817","ISSN":"0009-7322, 1524-4539","note":"PMID: 24589851","journalAbbreviation":"Circulation","language":"en","author":[{"family":"Mylotte","given":"Darren"},{"family":"Pilote","given":"Louise"},{"family":"Ionescu-Ittu","given":"Raluca"},{"family":"Abrahamowicz","given":"Michal"},{"family":"Khairy","given":"Paul"},{"family":"Therrien","given":"Judith"},{"family":"Mackie","given":"Andrew S."},{"family":"Marelli","given":"Ariane"}],"issued":{"date-parts":[["2014",5,6]]},"PMID":"24589851"}},{"id":1448,"uris":["http://zotero.org/users/1067890/items/V7QPDUWR"],"uri":["http://zotero.org/users/1067890/items/V7QPDUWR"],"itemData":{"id":1448,"type":"article-journal","title":"Current therapy and outcome of Eisenmenger syndrome: data of the German National Register for congenital heart defects","container-title":"European Heart Journal","page":"ehv743","source":"eurheartj.oxfordjournals.org.ep.fjernadgang.kb.dk","abstract":"Aims We aimed to assess the contemporary outcome of Eisenmenger syndrome (ES), delineate the use of disease targeting therapies (DTT) in these patients and to investigate the effect of treatment on outcome in the community.Methods and results Patients with ES were systematically identified from the German National Register for Congenital Heart Defects. Data on underlying diagnosis, medical therapy, and survival were collected. The impact of DTT on survival was assessed using time-dependant Cox analysis. Overall, 153 ES patients were included (mean age 34.0 ± 13.3 years, 46% females). Of these, 88 (57.5%) were treated with at least one DTT (76.1% Bosentan, 20.5% Sildenafil) while 17.6% were on dual DTT. In addition, 24.8% of patients received digoxin, 10.5% angiotensin-converting enzyme-inhibitors/angiotensin receptor blockers, and 17.6% β-blockers. Moreover, 17.6% of patients were treated with oral anticoagulants, while 23.5% of patients received Aspirin. The survival rate at 1, 5, and 10 years of follow-up was only 92, 75, and 57% in the entire cohort, and was even worse in treatment naive ES patients (survival rate 86, 60, and 34% at 1, 5, and 10 years). Use of DTT was independently associated with a better survival (hazard ratio 0.42, P= 0.015).Conclusion This study illustrates the alarmingly poor survival prospects of Eisenmenger patients by community-based data even in the current era with advanced DTT and in a country with a wealthy health system. Treatment naive ES patients had especially high mortality rates approaching 60–70% at 10 years of follow-up. Treatment with DTT was associated with better survival.","DOI":"10.1093/eurheartj/ehv743","ISSN":"0195-668X, 1522-9645","note":"PMID: 26843280","shortTitle":"Current therapy and outcome of Eisenmenger syndrome","language":"en","author":[{"family":"Diller","given":"Gerhard-Paul"},{"family":"Körten","given":"Marc-André"},{"family":"Bauer","given":"Ulrike M. M."},{"family":"Miera","given":"Oliver"},{"family":"Tutarel","given":"Oktay"},{"family":"Kaemmerer","given":"Harald"},{"family":"Berger","given":"Felix"},{"family":"Baumgartner","given":"Helmut"}],"issued":{"date-parts":[["2016",2,2]]},"PMID":"26843280"}}],"schema":"https://github.com/citation-style-language/schema/raw/master/csl-citation.json"}</w:instrText>
      </w:r>
      <w:r>
        <w:fldChar w:fldCharType="separate"/>
      </w:r>
      <w:bookmarkStart w:id="20" w:name="__Fieldmark__2366_1910830454"/>
      <w:r>
        <w:rPr/>
        <w:t>(12,31)</w:t>
      </w:r>
      <w:r>
        <w:rPr/>
      </w:r>
      <w:r>
        <w:fldChar w:fldCharType="end"/>
      </w:r>
      <w:bookmarkEnd w:id="20"/>
      <w:r>
        <w:rPr/>
        <w:t xml:space="preserve">. Abolition of routine phlebotomies with the converse approach, focus on identification and treatment of iron deficiency, are good examples of the dramatic change in management of ES </w:t>
      </w:r>
      <w:r>
        <w:fldChar w:fldCharType="begin"/>
      </w:r>
      <w:r>
        <w:instrText>ADDIN ZOTERO_ITEM CSL_CITATION {"citationID":"5f0e4kDv","properties":{"formattedCitation":"(32,33)","plainCitation":"(32,33)"},"citationItems":[{"id":1422,"uris":["http://zotero.org/users/1067890/items/8G7CA7ZJ"],"uri":["http://zotero.org/users/1067890/items/8G7CA7ZJ"],"itemData":{"id":1422,"type":"article-journal","title":"Clinical update: cyanotic adult congenital heart disease","container-title":"The Lancet","page":"1530-1532","volume":"370","issue":"9598","source":"ScienceDirect","DOI":"10.1016/S0140-6736(07)61647-X","ISSN":"0140-6736","shortTitle":"Clinical update","journalAbbreviation":"The Lancet","author":[{"family":"Spence","given":"Mark S"},{"family":"Balaratnam","given":"Michelle S"},{"family":"Gatzoulis","given":"Michael A"}],"issued":{"date-parts":[["2007",11,9]]}}},{"id":1563,"uris":["http://zotero.org/users/1067890/items/AB352SSM"],"uri":["http://zotero.org/users/1067890/items/AB352SSM"],"itemData":{"id":1563,"type":"article-journal","title":"Blood Viscosity and its Relationship to Iron Deficiency, Symptoms, and Exercise Capacity in Adults With Cyanotic Congenital Heart Disease","container-title":"Journal of the American College of Cardiology","page":"356-365","volume":"48","issue":"2","source":"ScienceDirect","abstract":"Objectives\nThis study sought to determine the relationship between blood viscosity and iron deficiency and their impact on symptoms and exercise function in adults with cyanotic congenital heart disease.\nBackground\nIron deficiency is believed to raise whole blood viscosity in cyanotic congenital heart disease, although available data are inconsistent.\nMethods\nThirty-nine cyanotic adults were prospectively assessed for iron deficiency (transferrin saturation ≤5%), hyperviscosity symptoms, and exercise capacity. Same-day measurement of whole blood viscosity and hematocrit (Hct) adjusted viscosity (cells resuspended in autologous plasma to Hct of 45%) was performed at shear rates ranging from 0.277 s−1 to 128.5 s−1.\nResults\nViscosity did not differ between patients with iron deficiency (n = 14) and those without (n = 25). Whole blood viscosity correlated with Hct (r = 0.63, p &amp;lt; 0.001 at low shear and r = 0.84, p &amp;lt; 0.001 at high shear) but not with red blood cell size or iron indices. Hyperviscosity symptoms were independent of iron indices but directly correlated with increased Hct-adjusted viscosity (r = 0.41, p = 0.01). Exercise capacity did not differ in iron-deficient patients. However, peak oxygen consumption was higher in those with Hct ≥ 65% (12.6 ± 3.4 ml/kg/m2 vs. 9.8 ± 2.6 ml/kg/m2, mean ± SD, p = 0.036) despite higher whole blood viscosity in these same individuals (p &amp;lt; 0.01 for all shear rates).\nConclusions\nIron deficiency is common in cyanotic adults but does not alter viscosity. Hyperviscosity symptoms are associated with a higher Hct-adjusted viscosity independent of cell size or iron stores. Higher Hct is associated with better exercise capacity. Further work to understand the origin of hyperviscosity symptoms is warranted.","DOI":"10.1016/j.jacc.2006.03.040","ISSN":"0735-1097","journalAbbreviation":"Journal of the American College of Cardiology","author":[{"family":"Broberg","given":"Craig S."},{"family":"Bax","given":"Bridget E."},{"family":"Okonko","given":"Darlington O."},{"family":"Rampling","given":"Michael W."},{"family":"Bayne","given":"Stephanie"},{"family":"Harries","given":"Carl"},{"family":"Davidson","given":"Simon J."},{"family":"Uebing","given":"Anselm"},{"family":"Khan","given":"Arif Anis"},{"family":"Thein","given":"Swee"},{"family":"Gibbs","given":"J. Simon R."},{"family":"Burman","given":"John"},{"family":"Gatzoulis","given":"Michael A."}],"issued":{"date-parts":[["2006",7,18]]}}}],"schema":"https://github.com/citation-style-language/schema/raw/master/csl-citation.json"}</w:instrText>
      </w:r>
      <w:r>
        <w:fldChar w:fldCharType="separate"/>
      </w:r>
      <w:bookmarkStart w:id="21" w:name="__Fieldmark__2383_1910830454"/>
      <w:r>
        <w:rPr/>
        <w:t>(32,33)</w:t>
      </w:r>
      <w:r>
        <w:rPr/>
      </w:r>
      <w:r>
        <w:fldChar w:fldCharType="end"/>
      </w:r>
      <w:bookmarkEnd w:id="21"/>
      <w:r>
        <w:rPr/>
        <w:t xml:space="preserve">. Thus, advanced therapy in conjunction with closer tertiary follow-up, avoidance of unnecessary risks including surgery and pregnancy, increased knowledge about perioperative management and evaluation, awareness of iron deficiency etc., may all underlie the observed changes in age at death and cause-specific mortality. </w:t>
      </w:r>
    </w:p>
    <w:p>
      <w:pPr>
        <w:pStyle w:val="Normal"/>
        <w:spacing w:lineRule="auto" w:line="480" w:before="0" w:after="0"/>
        <w:jc w:val="both"/>
        <w:rPr>
          <w:lang w:val="en-US"/>
        </w:rPr>
      </w:pPr>
      <w:r>
        <w:rPr>
          <w:lang w:val="en-US"/>
        </w:rPr>
      </w:r>
    </w:p>
    <w:p>
      <w:pPr>
        <w:pStyle w:val="Heading2"/>
        <w:jc w:val="both"/>
        <w:rPr/>
      </w:pPr>
      <w:r>
        <w:rPr/>
        <w:t>Limitations of the study</w:t>
      </w:r>
    </w:p>
    <w:p>
      <w:pPr>
        <w:pStyle w:val="Normal"/>
        <w:spacing w:lineRule="auto" w:line="480" w:before="0" w:after="0"/>
        <w:jc w:val="both"/>
        <w:rPr/>
      </w:pPr>
      <w:r>
        <w:rPr/>
        <w:t xml:space="preserve">   </w:t>
      </w:r>
      <w:r>
        <w:rPr/>
        <w:t xml:space="preserve">This study has limitations due to the nature of it design; retrospectively collecting data from several centres worldwide that may be applying different treatment and follow-up strategies. This patient cohort is not representative of ES in the community or at secondary centres, as the vast majority of patients (90%) were followed at a tertiary centre. Secondly, data from public registries were utilized for a subset of the study sample, and diagnostic misclassifications cannot be excluded. All diagnoses were, however, verified by reviewing medical files before the patient entered the study in order to ameliorate this risk. As in all retrospective studies in cause-specific mortality, the validity of the cause of death is indeed dependent on the reporting physician. During the study period of 38 years, the classification and investigations of the cause of death may have changed and the use of autopsies has become much less frequent, which may present a bias. Occasionally, there was limited access to data from patients dying early in the study period and this may introduce important bias, even though for this to affect the results of our study,  would require differential missing data by era in terms of the cause of death. Thirdly, the discrepancy between the primary cause of death and antecedent causes is not always explicit. However, all unclear causes were discussed between investigators and adjudicated by consensus. Finally, there was a high proportion of unknown causes of death, which may in part be explained by the fairly restricted interpretation of cause-specific mortality in this study. However, similar rates of unknown causes of death have been reported in previous studies </w:t>
      </w:r>
      <w:r>
        <w:fldChar w:fldCharType="begin"/>
      </w:r>
      <w:r>
        <w:instrText>ADDIN ZOTERO_ITEM CSL_CITATION {"citationID":"2oiu1j32ri","properties":{"formattedCitation":"(3,8)","plainCitation":"(3,8)"},"citationItems":[{"id":5,"uris":["http://zotero.org/users/1067890/items/27TQKM9Z"],"uri":["http://zotero.org/users/1067890/items/27TQKM9Z"],"itemData":{"id":5,"type":"article-journal","title":"The Eisenmenger Syndrome","container-title":"British Medical Journal","page":"755-762","volume":"2","issue":"5099","source":"PubMed Central","abstract":"Images\nnull","ISSN":"0007-1447","note":"PMID: 13572894\nPMCID: PMC2026272","journalAbbreviation":"Br Med J","author":[{"family":"Wood","given":"Paul"}],"issued":{"date-parts":[["1958",9,27]]},"PMID":"13572894","PMCID":"PMC2026272"}},{"id":263,"uris":["http://zotero.org/users/1067890/items/TEJGMTZS"],"uri":["http://zotero.org/users/1067890/items/TEJGMTZS"],"itemData":{"id":263,"type":"article-journal","title":"Eisenmenger syndrome in adults: Ventricular septal defect, truncus arteriosus, univentricular heart","container-title":"Journal of the American College of Cardiology","page":"223-232","volume":"34","issue":"1","source":"ScienceDirect","abstract":"OBJECTIVES\n\nMorbidity and mortality patterns were characterized in adults with the Eisenmenger syndrome when two ventricles with a ventricular septal defect (VSD) joined two great arteries or one great artery, or when one ventricle joined two great arteries.\n\nBACKGROUND\n\nAlthough afterload in these disorders differs, clinical differences have not been defined.\n\nMETHODS\n\nSeventy-seven patients were studied. Group A comprised 47 patients with VSD, aged 23 to 69 years (mean 39.5 ± 10.2), follow-up 5 to 18 years (mean 7.2 ± 4.9); group B, 14 patients with truncus arteriosus, aged 27 to 50 years (mean 33.7 ± 7.3), follow-up 6 to 18 years (mean 7.7 ± 5.1), and group C, 16 patients with univentricular heart, aged 18 to 44 years (mean 30.6 ± 8.4), follow-up 5 to 15 years (mean 4.4 ± 4.2). Echocardiography established the diagnoses and anatomic and hemodynamic features. Data were compiled on tachyarrhythmias, pregnancy, infective endocarditis, noncardiac surgery and the multisystem disorders of cyanotic adults.\n\nRESULTS\n\nThirty-five percent of the patients died. Sixty-three percent of deaths were sudden, and resulted from intrapulmonary hemorrhage, rupture of either the pulmonary trunk, ascending aorta or a bronchial artery, or vasospastic cerebral infarction, or the cause was unestablished. There were no documented tachyarrhythmic sudden deaths.\n\nCONCLUSIONS\n\nMedical management of coexisting cardiac disease, multisystem systemic disorders, noncardiac surgery and pregnancy has reduced morbidity. Increased longevity exposed patients to proximal pulmonary arterial aneurysms, thromboses and calcification; to truncal valve stenosis and regurgitation; to semilunar and atrioventricular valve regurgitation, and to major risks of nontachyarrhythmic sudden death.","DOI":"10.1016/S0735-1097(99)00153-9","ISSN":"0735-1097","shortTitle":"Eisenmenger syndrome in adults","journalAbbreviation":"Journal of the American College of Cardiology","author":[{"family":"Niwa","given":"Koichiro"},{"family":"Perloff","given":"Joseph K"},{"family":"Kaplan","given":"Samuel"},{"family":"Child","given":"John S"},{"family":"Miner","given":"Pamela D"}],"issued":{"date-parts":[["1999",7]]}}}],"schema":"https://github.com/citation-style-language/schema/raw/master/csl-citation.json"}</w:instrText>
      </w:r>
      <w:r>
        <w:fldChar w:fldCharType="separate"/>
      </w:r>
      <w:bookmarkStart w:id="22" w:name="__Fieldmark__2547_1910830454"/>
      <w:r>
        <w:rPr/>
        <w:t>(3,8)</w:t>
      </w:r>
      <w:r>
        <w:rPr/>
      </w:r>
      <w:r>
        <w:fldChar w:fldCharType="end"/>
      </w:r>
      <w:bookmarkEnd w:id="22"/>
      <w:r>
        <w:rPr/>
        <w:t xml:space="preserve">. </w:t>
      </w:r>
    </w:p>
    <w:p>
      <w:pPr>
        <w:pStyle w:val="Normal"/>
        <w:spacing w:lineRule="auto" w:line="480" w:before="0" w:after="0"/>
        <w:jc w:val="both"/>
        <w:rPr/>
      </w:pPr>
      <w:r>
        <w:rPr/>
        <w:t xml:space="preserve">    </w:t>
      </w:r>
      <w:r>
        <w:rPr/>
        <w:t>Future, prospective studies with longer period of observation may validate our results and shed additional light on the potential impact of improved core pathways on mortality and outcome in ES.</w:t>
      </w:r>
    </w:p>
    <w:p>
      <w:pPr>
        <w:pStyle w:val="Normal"/>
        <w:spacing w:lineRule="auto" w:line="480" w:before="0" w:after="0"/>
        <w:jc w:val="both"/>
        <w:rPr/>
      </w:pPr>
      <w:r>
        <w:rPr/>
      </w:r>
    </w:p>
    <w:p>
      <w:pPr>
        <w:pStyle w:val="Heading2"/>
        <w:jc w:val="both"/>
        <w:rPr/>
      </w:pPr>
      <w:r>
        <w:rPr/>
        <w:t>Conclusions</w:t>
      </w:r>
    </w:p>
    <w:p>
      <w:pPr>
        <w:pStyle w:val="Normal"/>
        <w:spacing w:lineRule="auto" w:line="480" w:before="0" w:after="0"/>
        <w:jc w:val="both"/>
        <w:rPr/>
      </w:pPr>
      <w:r>
        <w:rPr/>
        <w:t xml:space="preserve">    </w:t>
      </w:r>
      <w:r>
        <w:rPr/>
        <w:t xml:space="preserve">This study shows that despite changes in care and treatment for ES, all-cause mortality and cardiac mortality remains high. However, there seems to be a shift towards mortality at an older age and from acute to chronic cardiac causes, primarily heart failure. Peri-procedural death and death due to haemoptysis have become less common in the current era. Therefore, preventing and optimally managing heart failure is becoming ever more important in patients with ES. </w:t>
      </w:r>
    </w:p>
    <w:p>
      <w:pPr>
        <w:pStyle w:val="Normal"/>
        <w:spacing w:lineRule="auto" w:line="480" w:before="0" w:after="0"/>
        <w:jc w:val="both"/>
        <w:rPr>
          <w:rFonts w:eastAsia="" w:eastAsiaTheme="majorEastAsia"/>
          <w:b/>
          <w:b/>
          <w:bCs/>
          <w:sz w:val="24"/>
          <w:szCs w:val="24"/>
        </w:rPr>
      </w:pPr>
      <w:r>
        <w:rPr>
          <w:rFonts w:eastAsia="" w:eastAsiaTheme="majorEastAsia"/>
          <w:b/>
          <w:bCs/>
          <w:sz w:val="24"/>
          <w:szCs w:val="24"/>
        </w:rPr>
      </w:r>
      <w:r>
        <w:br w:type="page"/>
      </w:r>
    </w:p>
    <w:p>
      <w:pPr>
        <w:pStyle w:val="Heading1"/>
        <w:spacing w:lineRule="auto" w:line="276"/>
        <w:rPr>
          <w:lang w:val="da-DK"/>
        </w:rPr>
      </w:pPr>
      <w:r>
        <w:rPr>
          <w:lang w:val="da-DK"/>
        </w:rPr>
        <w:t>References</w:t>
      </w:r>
    </w:p>
    <w:p>
      <w:pPr>
        <w:pStyle w:val="Bibliography"/>
        <w:rPr/>
      </w:pPr>
      <w:r>
        <w:fldChar w:fldCharType="begin"/>
      </w:r>
      <w:r>
        <w:instrText>ADDIN ZOTERO_BIBL {"custom":[]} CSL_BIBLIOGRAPHY</w:instrText>
      </w:r>
      <w:r>
        <w:fldChar w:fldCharType="separate"/>
      </w:r>
      <w:bookmarkStart w:id="23" w:name="__Fieldmark__2611_1910830454"/>
      <w:r>
        <w:rPr/>
      </w:r>
      <w:r>
        <w:rPr>
          <w:lang w:val="da-DK"/>
        </w:rPr>
        <w:t xml:space="preserve">1. </w:t>
        <w:tab/>
        <w:t xml:space="preserve">Eisenmenger V. Die angeborenens Defect der Kammerschieidewand des Hertzen. </w:t>
      </w:r>
      <w:r>
        <w:rPr>
          <w:lang w:val="sv-SE"/>
        </w:rPr>
        <w:t xml:space="preserve">Z Klin Med Suppl. 1897(32):1–28. </w:t>
      </w:r>
      <w:bookmarkEnd w:id="23"/>
      <w:r>
        <w:rPr>
          <w:lang w:val="sv-SE"/>
        </w:rPr>
      </w:r>
      <w:r>
        <w:fldChar w:fldCharType="end"/>
      </w:r>
    </w:p>
    <w:p>
      <w:pPr>
        <w:pStyle w:val="Bibliography"/>
        <w:rPr>
          <w:lang w:val="sv-SE"/>
        </w:rPr>
      </w:pPr>
      <w:r>
        <w:rPr>
          <w:lang w:val="sv-SE"/>
        </w:rPr>
        <w:t xml:space="preserve">2. </w:t>
        <w:tab/>
        <w:t xml:space="preserve">Wood P. The Eisenmenger Syndrome. Br Med J. 1958 Sep 20;2(5098):701–9. </w:t>
      </w:r>
    </w:p>
    <w:p>
      <w:pPr>
        <w:pStyle w:val="Bibliography"/>
        <w:rPr>
          <w:lang w:val="sv-SE"/>
        </w:rPr>
      </w:pPr>
      <w:r>
        <w:rPr>
          <w:lang w:val="sv-SE"/>
        </w:rPr>
        <w:t xml:space="preserve">3. </w:t>
        <w:tab/>
        <w:t xml:space="preserve">Wood P. The Eisenmenger Syndrome. Br Med J. 1958 Sep 27;2(5099):755–62. </w:t>
      </w:r>
    </w:p>
    <w:p>
      <w:pPr>
        <w:pStyle w:val="Bibliography"/>
        <w:rPr/>
      </w:pPr>
      <w:r>
        <w:rPr>
          <w:lang w:val="sv-SE"/>
        </w:rPr>
        <w:t xml:space="preserve">4. </w:t>
        <w:tab/>
        <w:t xml:space="preserve">Daliento L, Somerville J, Presbitero P, Menti L, Brach-Prever S, Rizzoli G, et al. </w:t>
      </w:r>
      <w:r>
        <w:rPr/>
        <w:t xml:space="preserve">Eisenmenger syndrome. Factors relating to deterioration and death. Eur Heart J. 1998 Dec 1;19(12):1845–55. </w:t>
      </w:r>
    </w:p>
    <w:p>
      <w:pPr>
        <w:pStyle w:val="Bibliography"/>
        <w:rPr/>
      </w:pPr>
      <w:r>
        <w:rPr/>
        <w:t xml:space="preserve">5. </w:t>
        <w:tab/>
        <w:t xml:space="preserve">Young D, Mark H. Fate of the patient with the eisenmenger syndrome. Am J Cardiol. 1971 Dec;28(6):658–69. </w:t>
      </w:r>
    </w:p>
    <w:p>
      <w:pPr>
        <w:pStyle w:val="Bibliography"/>
        <w:rPr/>
      </w:pPr>
      <w:r>
        <w:rPr/>
        <w:t xml:space="preserve">6. </w:t>
        <w:tab/>
        <w:t xml:space="preserve">Saha A, Balakrishnan KG, Jaiswal PK, Venkitachalam CG, Tharakan J, Titus T, et al. Prognosis for patients with Eisenmenger syndrome of various aetiology. Int J Cardiol. 1994 Jul;45(3):199–207. </w:t>
      </w:r>
    </w:p>
    <w:p>
      <w:pPr>
        <w:pStyle w:val="Bibliography"/>
        <w:rPr/>
      </w:pPr>
      <w:r>
        <w:rPr/>
        <w:t xml:space="preserve">7. </w:t>
        <w:tab/>
        <w:t xml:space="preserve">Cantor WJ, Harrison DA, Moussadji JS, Connelly MS, Webb GD, Liu P, et al. Determinants of survival and length of survival in adults with Eisenmenger syndrome. Am J Cardiol. 1999 Sep 15;84(6):677–81. </w:t>
      </w:r>
    </w:p>
    <w:p>
      <w:pPr>
        <w:pStyle w:val="Bibliography"/>
        <w:rPr/>
      </w:pPr>
      <w:r>
        <w:rPr/>
        <w:t xml:space="preserve">8. </w:t>
        <w:tab/>
        <w:t xml:space="preserve">Niwa K, Perloff JK, Kaplan S, Child JS, Miner PD. Eisenmenger syndrome in adults: Ventricular septal defect, truncus arteriosus, univentricular heart. J Am Coll Cardiol. 1999 Jul;34(1):223–32. </w:t>
      </w:r>
    </w:p>
    <w:p>
      <w:pPr>
        <w:pStyle w:val="Bibliography"/>
        <w:rPr/>
      </w:pPr>
      <w:r>
        <w:rPr/>
        <w:t xml:space="preserve">9. </w:t>
        <w:tab/>
        <w:t xml:space="preserve">Oechslin EN, Harrison DA, Connelly MS, Webb GD, Siu SC. Mode of death in adults with congenital heart disease. Am J Cardiol. 2000 Nov 15;86(10):1111–6. </w:t>
      </w:r>
    </w:p>
    <w:p>
      <w:pPr>
        <w:pStyle w:val="Bibliography"/>
        <w:rPr/>
      </w:pPr>
      <w:r>
        <w:rPr/>
        <w:t xml:space="preserve">10. </w:t>
        <w:tab/>
        <w:t xml:space="preserve">Diller GP, Dimopoulos K, Broberg CS, Kaya MG, Naghotra US, Uebing A, et al. Presentation, survival prospects, and predictors of death in Eisenmenger syndrome: a combined retrospective and case–control study. Eur Heart J. 2006;27(14):1737–42. </w:t>
      </w:r>
    </w:p>
    <w:p>
      <w:pPr>
        <w:pStyle w:val="Bibliography"/>
        <w:rPr/>
      </w:pPr>
      <w:r>
        <w:rPr/>
        <w:t xml:space="preserve">11. </w:t>
        <w:tab/>
        <w:t xml:space="preserve">Diller G-P, Kempny A, Alonso-Gonzalez R, Swan L, Uebing A, Li W, et al. Survival Prospects and Circumstances of Death in Contemporary Adult Congenital Heart Disease Patients Under Follow-Up at a Large Tertiary Centre. Circulation. 2015 Sep 14;CIRCULATIONAHA.115.017202. </w:t>
      </w:r>
    </w:p>
    <w:p>
      <w:pPr>
        <w:pStyle w:val="Bibliography"/>
        <w:rPr/>
      </w:pPr>
      <w:r>
        <w:rPr/>
        <w:t xml:space="preserve">12. </w:t>
        <w:tab/>
        <w:t xml:space="preserve">Diller G-P, Körten M-A, Bauer UMM, Miera O, Tutarel O, Kaemmerer H, et al. Current therapy and outcome of Eisenmenger syndrome: data of the German National Register for congenital heart defects. Eur Heart J. 2016 Feb 2;ehv743. </w:t>
      </w:r>
    </w:p>
    <w:p>
      <w:pPr>
        <w:pStyle w:val="Bibliography"/>
        <w:rPr>
          <w:lang w:val="da-DK"/>
        </w:rPr>
      </w:pPr>
      <w:r>
        <w:rPr/>
        <w:t xml:space="preserve">13. </w:t>
        <w:tab/>
        <w:t xml:space="preserve">Diller G-P, Gatzoulis MA. Pulmonary Vascular Disease in Adults With Congenital Heart Disease. </w:t>
      </w:r>
      <w:r>
        <w:rPr>
          <w:lang w:val="da-DK"/>
        </w:rPr>
        <w:t xml:space="preserve">Circulation. 2007 Feb 27;115(8):1039–50. </w:t>
      </w:r>
    </w:p>
    <w:p>
      <w:pPr>
        <w:pStyle w:val="Bibliography"/>
        <w:rPr/>
      </w:pPr>
      <w:r>
        <w:rPr>
          <w:lang w:val="da-DK"/>
        </w:rPr>
        <w:t xml:space="preserve">14. </w:t>
        <w:tab/>
        <w:t xml:space="preserve">Baumgartner H, Bonhoeffer P, De Groot NMS, de Haan F, Deanfield JE, Galie N, et al. </w:t>
      </w:r>
      <w:r>
        <w:rPr/>
        <w:t xml:space="preserve">ESC Guidelines for the management of grown-up congenital heart disease (new version 2010): The Task Force on the Management of Grown-up Congenital Heart Disease of the European Society of Cardiology (ESC). Eur Heart J. 2010 Aug 27;31(23):2915–57. </w:t>
      </w:r>
    </w:p>
    <w:p>
      <w:pPr>
        <w:pStyle w:val="Bibliography"/>
        <w:rPr/>
      </w:pPr>
      <w:r>
        <w:rPr/>
        <w:t xml:space="preserve">15. </w:t>
        <w:tab/>
        <w:t xml:space="preserve">Galiè N, Vachiery J-L, Gibbs S, Lang I, Torbicki A, Simonneau G, et al. 2015 ESC/ERS Guidelines for the diagnosis and treatment of pulmonary hypertension. Eur Heart J. 2015 Aug 29;ehv317. </w:t>
      </w:r>
    </w:p>
    <w:p>
      <w:pPr>
        <w:pStyle w:val="Bibliography"/>
        <w:rPr/>
      </w:pPr>
      <w:r>
        <w:rPr/>
        <w:t xml:space="preserve">16. </w:t>
        <w:tab/>
        <w:t xml:space="preserve">Allan LD, Crawford DC, Anderson RH, Tynan M. Spectrum of congenital heart disease detected echocardiographically in prenatal life. Br Heart J. 1985 Nov 1;54(5):523–6. </w:t>
      </w:r>
    </w:p>
    <w:p>
      <w:pPr>
        <w:pStyle w:val="Bibliography"/>
        <w:rPr/>
      </w:pPr>
      <w:r>
        <w:rPr/>
        <w:t xml:space="preserve">17. </w:t>
        <w:tab/>
        <w:t xml:space="preserve">ICD-10: International statistical classification of diseases and related health problems. Geneva: World Health Organization; 2011. </w:t>
      </w:r>
    </w:p>
    <w:p>
      <w:pPr>
        <w:pStyle w:val="Bibliography"/>
        <w:rPr/>
      </w:pPr>
      <w:r>
        <w:rPr/>
        <w:t xml:space="preserve">18. </w:t>
        <w:tab/>
        <w:t xml:space="preserve">Deanfield J, Thaulow E, Warnes C, Webb G, Kolbel F, Hoffman A, et al. Management of Grown Up Congenital Heart Disease. Eur Heart J. 2003 Jun 1;24(11):1035–84. </w:t>
      </w:r>
    </w:p>
    <w:p>
      <w:pPr>
        <w:pStyle w:val="Bibliography"/>
        <w:rPr/>
      </w:pPr>
      <w:r>
        <w:rPr/>
        <w:t xml:space="preserve">19. </w:t>
        <w:tab/>
        <w:t xml:space="preserve">Galiè N, Hoeper MM, Humbert M, Torbicki A, Vachiery J-L, Barbera JA, et al. Guidelines for the diagnosis and treatment of pulmonary hypertension The Task Force for the Diagnosis and Treatment of Pulmonary Hypertension of the European Society of Cardiology (ESC) and the European Respiratory Society (ERS), endorsed by the International Society of Heart and Lung Transplantation (ISHLT). Eur Heart J. 2009 Oct 1;30(20):2493–537. </w:t>
      </w:r>
    </w:p>
    <w:p>
      <w:pPr>
        <w:pStyle w:val="Bibliography"/>
        <w:rPr/>
      </w:pPr>
      <w:r>
        <w:rPr/>
        <w:t xml:space="preserve">20. </w:t>
        <w:tab/>
        <w:t xml:space="preserve">Galiè N, Beghetti M, Gatzoulis MA, Granton J, Berger RMF, Lauer A, et al. Bosentan therapy in patients with Eisenmenger syndrome  - a multicenter, double-blind, randomized, placebo-controlled study BREATHE-5. Circulation. 2006;114(1):48–54. </w:t>
      </w:r>
    </w:p>
    <w:p>
      <w:pPr>
        <w:pStyle w:val="Bibliography"/>
        <w:rPr/>
      </w:pPr>
      <w:r>
        <w:rPr/>
        <w:t xml:space="preserve">21. </w:t>
        <w:tab/>
        <w:t xml:space="preserve">Corone S, Davido A, Lang T, Corone P. [Outcome of patients with Eisenmenger syndrome. Apropos of 62 cases followed-up for an average of 16 years]. Arch Mal Coeur Vaiss. 1992 May;85(5):521–6. </w:t>
      </w:r>
    </w:p>
    <w:p>
      <w:pPr>
        <w:pStyle w:val="Bibliography"/>
        <w:rPr/>
      </w:pPr>
      <w:r>
        <w:rPr/>
        <w:t xml:space="preserve">22. </w:t>
        <w:tab/>
        <w:t xml:space="preserve">Brammell HL, Vogel JHK, Pryor R, Blount Jr. SG. The eisenmenger syndrome: A clinical and physiologic reappraisal. Am J Cardiol. 1971 Dec;28(6):679–92. </w:t>
      </w:r>
    </w:p>
    <w:p>
      <w:pPr>
        <w:pStyle w:val="Bibliography"/>
        <w:rPr/>
      </w:pPr>
      <w:r>
        <w:rPr/>
        <w:t xml:space="preserve">23. </w:t>
        <w:tab/>
        <w:t xml:space="preserve">Jensen AS, Johansson PI, Bochsen L, Idorn L, Sorensen KE, Thilén U, et al. Fibrinogen function is impaired in whole blood from patients with cyanotic congenital heart disease. Int J Cardiol. 2013 Sep 1;167(5):2210–4. </w:t>
      </w:r>
    </w:p>
    <w:p>
      <w:pPr>
        <w:pStyle w:val="Bibliography"/>
        <w:rPr/>
      </w:pPr>
      <w:r>
        <w:rPr/>
        <w:t xml:space="preserve">24. </w:t>
        <w:tab/>
        <w:t xml:space="preserve">Jensen AS, Johansson PI, Idorn L, Sorensen KE, Thilén U, Nagy E, et al. The haematocrit – an important factor causing impaired haemostasis in patients with cyanotic congenital heart disease. Int J Cardiol. 2013 Aug 20;167(4):1317–21. </w:t>
      </w:r>
    </w:p>
    <w:p>
      <w:pPr>
        <w:pStyle w:val="Bibliography"/>
        <w:rPr/>
      </w:pPr>
      <w:r>
        <w:rPr/>
        <w:t xml:space="preserve">25. </w:t>
        <w:tab/>
        <w:t xml:space="preserve">Jensen AS, Idorn L, Norager B, Vejlstrup N, Sondergaard L. Anticoagulation in adults with congenital heart disease: The who, the when and the how? Heart. 2014 Oct 3;heartjnl – 2014–305576. </w:t>
      </w:r>
    </w:p>
    <w:p>
      <w:pPr>
        <w:pStyle w:val="Bibliography"/>
        <w:rPr>
          <w:lang w:val="da-DK"/>
        </w:rPr>
      </w:pPr>
      <w:r>
        <w:rPr/>
        <w:t xml:space="preserve">26. </w:t>
        <w:tab/>
        <w:t xml:space="preserve">Warnes CA, Williams RG, Bashore TM, Child JS, Connolly HM, Dearani JA, et al. ACC/AHA 2008 Guidelines for the Management of Adults With Congenital Heart Disease: A Report of the American College of Cardiology/American Heart Association Task Force on Practice Guidelines (Writing Committee to Develop Guidelines on the Management of Adults With Congenital Heart Disease): Developed in Collaboration With the American Society of Echocardiography, Heart Rhythm Society, International Society for Adult Congenital Heart Disease, Society for Cardiovascular Angiography and Interventions, and Society of Thoracic Surgeons. </w:t>
      </w:r>
      <w:r>
        <w:rPr>
          <w:lang w:val="da-DK"/>
        </w:rPr>
        <w:t xml:space="preserve">Circulation. 2008 Dec 2;118(23):e714–833. </w:t>
      </w:r>
    </w:p>
    <w:p>
      <w:pPr>
        <w:pStyle w:val="Bibliography"/>
        <w:rPr/>
      </w:pPr>
      <w:r>
        <w:rPr>
          <w:lang w:val="da-DK"/>
        </w:rPr>
        <w:t xml:space="preserve">27. </w:t>
        <w:tab/>
        <w:t xml:space="preserve">Jensen AS, Idorn L, Thomsen C, von der Recke P, Mortensen J, Sorensen KE, et al. </w:t>
      </w:r>
      <w:r>
        <w:rPr/>
        <w:t>Prevalence of cerebral and pulmonary thrombosis in patients with cyanotic congenital heart disease. Heart [Internet]. 2015 Jun 5 [cited 2015 Jul 8]; Available from: http://heart.bmj.com/cgi/doi/10.1136/heartjnl-2015-307657</w:t>
      </w:r>
    </w:p>
    <w:p>
      <w:pPr>
        <w:pStyle w:val="Bibliography"/>
        <w:rPr/>
      </w:pPr>
      <w:r>
        <w:rPr>
          <w:lang w:val="da-DK"/>
        </w:rPr>
        <w:t xml:space="preserve">28. </w:t>
        <w:tab/>
        <w:t xml:space="preserve">Van De Bruaene A, Delcroix M, Pasquet A, De Backer J, De Pauw M, Naeije R, et al. </w:t>
      </w:r>
      <w:r>
        <w:rPr/>
        <w:t xml:space="preserve">Iron deficiency is associated with adverse outcome in Eisenmenger patients. Eur Heart J. 2011 May 23;32(22):2790–9. </w:t>
      </w:r>
    </w:p>
    <w:p>
      <w:pPr>
        <w:pStyle w:val="Bibliography"/>
        <w:rPr/>
      </w:pPr>
      <w:r>
        <w:rPr/>
        <w:t xml:space="preserve">29. </w:t>
        <w:tab/>
        <w:t xml:space="preserve">Gatzoulis MA, Beghetti M, Galiè N, Granton J, Berger RMF, Lauer A, et al. Longer-term bosentan therapy improves functional capacity in Eisenmenger syndrome: results of the BREATHE-5 open-label extension study. Int J Cardiol. 2008;127(1):27–32. </w:t>
      </w:r>
    </w:p>
    <w:p>
      <w:pPr>
        <w:pStyle w:val="Bibliography"/>
        <w:rPr/>
      </w:pPr>
      <w:r>
        <w:rPr/>
        <w:t xml:space="preserve">30. </w:t>
        <w:tab/>
        <w:t xml:space="preserve">Dimopoulos K, Inuzuka R, Goletto S, Giannakoulas G, Swan L, Wort SJ, et al. Improved survival among patients with Eisenmenger syndrome receiving advanced therapy for pulmonary arterial hypertension. Circulation. 2010;121(1):20–5. </w:t>
      </w:r>
    </w:p>
    <w:p>
      <w:pPr>
        <w:pStyle w:val="Bibliography"/>
        <w:rPr/>
      </w:pPr>
      <w:r>
        <w:rPr/>
        <w:t xml:space="preserve">31. </w:t>
        <w:tab/>
        <w:t xml:space="preserve">Mylotte D, Pilote L, Ionescu-Ittu R, Abrahamowicz M, Khairy P, Therrien J, et al. Specialized Adult Congenital Heart Disease Care The Impact of Policy on Mortality. Circulation. 2014 May 6;129(18):1804–12. </w:t>
      </w:r>
    </w:p>
    <w:p>
      <w:pPr>
        <w:pStyle w:val="Bibliography"/>
        <w:rPr/>
      </w:pPr>
      <w:r>
        <w:rPr/>
        <w:t xml:space="preserve">32. </w:t>
        <w:tab/>
        <w:t xml:space="preserve">Spence MS, Balaratnam MS, Gatzoulis MA. Clinical update: cyanotic adult congenital heart disease. The Lancet. 2007 Nov 9;370(9598):1530–2. </w:t>
      </w:r>
    </w:p>
    <w:p>
      <w:pPr>
        <w:pStyle w:val="Bibliography"/>
        <w:rPr/>
      </w:pPr>
      <w:r>
        <w:rPr/>
        <w:t xml:space="preserve">33. </w:t>
        <w:tab/>
        <w:t xml:space="preserve">Broberg CS, Bax BE, Okonko DO, Rampling MW, Bayne S, Harries C, et al. Blood Viscosity and its Relationship to Iron Deficiency, Symptoms, and Exercise Capacity in Adults With Cyanotic Congenital Heart Disease. J Am Coll Cardiol. 2006 Jul 18;48(2):356–65. </w:t>
      </w:r>
    </w:p>
    <w:p>
      <w:pPr>
        <w:pStyle w:val="Normal"/>
        <w:spacing w:before="0" w:after="0"/>
        <w:rPr/>
      </w:pPr>
      <w:bookmarkStart w:id="24" w:name="tempo"/>
      <w:bookmarkStart w:id="25" w:name="tempo"/>
      <w:bookmarkEnd w:id="25"/>
      <w:r>
        <w:rPr/>
      </w:r>
    </w:p>
    <w:p>
      <w:pPr>
        <w:sectPr>
          <w:footerReference w:type="default" r:id="rId3"/>
          <w:type w:val="nextPage"/>
          <w:pgSz w:w="11906" w:h="16838"/>
          <w:pgMar w:left="1134" w:right="1134" w:header="0" w:top="1701" w:footer="708" w:bottom="1701" w:gutter="0"/>
          <w:pgNumType w:fmt="decimal"/>
          <w:formProt w:val="false"/>
          <w:textDirection w:val="lrTb"/>
          <w:docGrid w:type="default" w:linePitch="360" w:charSpace="4294965247"/>
        </w:sectPr>
        <w:pStyle w:val="Normal"/>
        <w:spacing w:lineRule="auto" w:line="480" w:before="0" w:after="0"/>
        <w:rPr>
          <w:lang w:val="en-US"/>
        </w:rPr>
      </w:pPr>
      <w:r>
        <w:rPr>
          <w:lang w:val="en-US"/>
        </w:rPr>
      </w:r>
    </w:p>
    <w:p>
      <w:pPr>
        <w:pStyle w:val="Caption1"/>
        <w:rPr/>
      </w:pPr>
      <w:bookmarkStart w:id="26" w:name="_Ref438025756"/>
      <w:bookmarkStart w:id="27" w:name="_Ref439165610"/>
      <w:bookmarkEnd w:id="26"/>
      <w:r>
        <w:rPr>
          <w:b w:val="false"/>
          <w:color w:val="00000A"/>
          <w:sz w:val="22"/>
          <w:szCs w:val="22"/>
        </w:rPr>
        <w:t xml:space="preserve">Table </w:t>
      </w:r>
      <w:r>
        <w:rPr>
          <w:b w:val="false"/>
          <w:color w:val="00000A"/>
          <w:sz w:val="22"/>
          <w:szCs w:val="22"/>
        </w:rPr>
        <w:fldChar w:fldCharType="begin"/>
      </w:r>
      <w:r>
        <w:instrText> SEQ Table \* ARABIC </w:instrText>
      </w:r>
      <w:r>
        <w:fldChar w:fldCharType="separate"/>
      </w:r>
      <w:r>
        <w:t>1</w:t>
      </w:r>
      <w:r>
        <w:fldChar w:fldCharType="end"/>
      </w:r>
      <w:bookmarkEnd w:id="27"/>
      <w:r>
        <w:rPr>
          <w:b w:val="false"/>
          <w:color w:val="00000A"/>
          <w:sz w:val="22"/>
          <w:szCs w:val="22"/>
          <w:lang w:val="en-US"/>
        </w:rPr>
        <w:t xml:space="preserve">. </w:t>
      </w:r>
      <w:r>
        <w:rPr>
          <w:b w:val="false"/>
          <w:color w:val="00000A"/>
          <w:sz w:val="22"/>
          <w:szCs w:val="22"/>
        </w:rPr>
        <w:t>Demographics for the total cohort and for deceased patients.</w:t>
      </w:r>
    </w:p>
    <w:tbl>
      <w:tblPr>
        <w:tblStyle w:val="LightShading"/>
        <w:tblW w:w="15631" w:type="dxa"/>
        <w:jc w:val="left"/>
        <w:tblInd w:w="-1065" w:type="dxa"/>
        <w:tblCellMar>
          <w:top w:w="0" w:type="dxa"/>
          <w:left w:w="108" w:type="dxa"/>
          <w:bottom w:w="0" w:type="dxa"/>
          <w:right w:w="108" w:type="dxa"/>
        </w:tblCellMar>
        <w:tblLook w:val="04a0"/>
      </w:tblPr>
      <w:tblGrid>
        <w:gridCol w:w="3119"/>
        <w:gridCol w:w="1559"/>
        <w:gridCol w:w="1597"/>
        <w:gridCol w:w="1559"/>
        <w:gridCol w:w="1417"/>
        <w:gridCol w:w="2"/>
        <w:gridCol w:w="1699"/>
        <w:gridCol w:w="1559"/>
        <w:gridCol w:w="1558"/>
        <w:gridCol w:w="1560"/>
      </w:tblGrid>
      <w:tr>
        <w:trPr>
          <w:trHeight w:val="382" w:hRule="atLeast"/>
          <w:cnfStyle w:val="100000000000"/>
        </w:trPr>
        <w:tc>
          <w:tcPr>
            <w:tcW w:w="3119" w:type="dxa"/>
            <w:cnfStyle w:val="001000000000"/>
            <w:tcBorders>
              <w:bottom w:val="nil"/>
              <w:insideH w:val="nil"/>
            </w:tcBorders>
            <w:shd w:color="auto" w:fill="auto" w:val="clear"/>
          </w:tcPr>
          <w:p>
            <w:pPr>
              <w:pStyle w:val="Normal"/>
              <w:spacing w:lineRule="auto" w:line="276" w:before="0" w:after="0"/>
              <w:rPr>
                <w:b/>
                <w:b/>
                <w:bCs/>
                <w:color w:val="000000" w:themeColor="text1" w:themeShade="bf"/>
              </w:rPr>
            </w:pPr>
            <w:r>
              <w:rPr>
                <w:b/>
                <w:bCs/>
                <w:color w:val="000000" w:themeColor="text1" w:themeShade="bf"/>
              </w:rPr>
            </w:r>
          </w:p>
        </w:tc>
        <w:tc>
          <w:tcPr>
            <w:tcW w:w="6134" w:type="dxa"/>
            <w:gridSpan w:val="5"/>
            <w:tcBorders>
              <w:bottom w:val="nil"/>
              <w:insideH w:val="nil"/>
            </w:tcBorders>
            <w:shd w:color="auto" w:fill="auto" w:val="clear"/>
          </w:tcPr>
          <w:p>
            <w:pPr>
              <w:pStyle w:val="Normal"/>
              <w:spacing w:lineRule="auto" w:line="276" w:before="0" w:after="0"/>
              <w:jc w:val="center"/>
              <w:cnfStyle w:val="100000000000"/>
              <w:rPr>
                <w:bCs w:val="false"/>
                <w:lang w:val="da-DK" w:eastAsia="da-DK"/>
              </w:rPr>
            </w:pPr>
            <w:r>
              <mc:AlternateContent>
                <mc:Choice Requires="wps">
                  <w:drawing>
                    <wp:anchor behindDoc="1" distT="0" distB="0" distL="114300" distR="114300" simplePos="0" locked="0" layoutInCell="1" allowOverlap="1" relativeHeight="2">
                      <wp:simplePos x="0" y="0"/>
                      <wp:positionH relativeFrom="column">
                        <wp:posOffset>56515</wp:posOffset>
                      </wp:positionH>
                      <wp:positionV relativeFrom="paragraph">
                        <wp:posOffset>168275</wp:posOffset>
                      </wp:positionV>
                      <wp:extent cx="2129790" cy="1270"/>
                      <wp:effectExtent l="0" t="0" r="0" b="0"/>
                      <wp:wrapNone/>
                      <wp:docPr id="1" name="Lige forbindelse 1"/>
                      <a:graphic xmlns:a="http://schemas.openxmlformats.org/drawingml/2006/main">
                        <a:graphicData uri="http://schemas.microsoft.com/office/word/2010/wordprocessingShape">
                          <wps:wsp>
                            <wps:cNvSpPr/>
                            <wps:spPr>
                              <a:xfrm>
                                <a:off x="0" y="0"/>
                                <a:ext cx="3034080" cy="0"/>
                              </a:xfrm>
                              <a:prstGeom prst="line">
                                <a:avLst/>
                              </a:prstGeom>
                              <a:ln>
                                <a:solidFill>
                                  <a:srgbClr val="000000"/>
                                </a:solidFill>
                                <a:custDash/>
                              </a:ln>
                            </wps:spPr>
                            <wps:style>
                              <a:lnRef idx="0"/>
                              <a:fillRef idx="0"/>
                              <a:effectRef idx="0"/>
                              <a:fontRef idx="minor"/>
                            </wps:style>
                            <wps:bodyPr/>
                          </wps:wsp>
                        </a:graphicData>
                      </a:graphic>
                    </wp:anchor>
                  </w:drawing>
                </mc:Choice>
                <mc:Fallback>
                  <w:pict>
                    <v:line id="shape_0" from="4.45pt,13.25pt" to="243.3pt,13.25pt" ID="Lige forbindelse 1" stroked="t" style="position:absolute">
                      <v:stroke color="black" dashstyle="dash" joinstyle="round" endcap="flat"/>
                      <v:fill o:detectmouseclick="t" on="false"/>
                    </v:line>
                  </w:pict>
                </mc:Fallback>
              </mc:AlternateContent>
            </w:r>
            <w:r>
              <w:rPr>
                <w:b/>
                <w:bCs w:val="false"/>
                <w:color w:val="000000" w:themeColor="text1" w:themeShade="bf"/>
              </w:rPr>
              <w:t>A</w:t>
            </w:r>
            <w:r>
              <w:rPr>
                <w:b/>
                <w:bCs w:val="false"/>
                <w:color w:val="000000" w:themeColor="text1" w:themeShade="bf"/>
              </w:rPr>
              <w:t>ll patients</w:t>
            </w:r>
          </w:p>
        </w:tc>
        <w:tc>
          <w:tcPr>
            <w:tcW w:w="6376" w:type="dxa"/>
            <w:gridSpan w:val="4"/>
            <w:tcBorders>
              <w:bottom w:val="nil"/>
              <w:insideH w:val="nil"/>
            </w:tcBorders>
            <w:shd w:color="auto" w:fill="auto" w:val="clear"/>
          </w:tcPr>
          <w:p>
            <w:pPr>
              <w:pStyle w:val="Normal"/>
              <w:spacing w:lineRule="auto" w:line="276" w:before="0" w:after="0"/>
              <w:jc w:val="center"/>
              <w:cnfStyle w:val="100000000000"/>
              <w:rPr>
                <w:bCs w:val="false"/>
              </w:rPr>
            </w:pPr>
            <w:r>
              <mc:AlternateContent>
                <mc:Choice Requires="wps">
                  <w:drawing>
                    <wp:anchor behindDoc="1" distT="0" distB="0" distL="114300" distR="114300" simplePos="0" locked="0" layoutInCell="1" allowOverlap="1" relativeHeight="3">
                      <wp:simplePos x="0" y="0"/>
                      <wp:positionH relativeFrom="column">
                        <wp:posOffset>3810</wp:posOffset>
                      </wp:positionH>
                      <wp:positionV relativeFrom="paragraph">
                        <wp:posOffset>167640</wp:posOffset>
                      </wp:positionV>
                      <wp:extent cx="2305050" cy="1270"/>
                      <wp:effectExtent l="0" t="0" r="0" b="0"/>
                      <wp:wrapNone/>
                      <wp:docPr id="2" name="Lige forbindelse 5"/>
                      <a:graphic xmlns:a="http://schemas.openxmlformats.org/drawingml/2006/main">
                        <a:graphicData uri="http://schemas.microsoft.com/office/word/2010/wordprocessingShape">
                          <wps:wsp>
                            <wps:cNvSpPr/>
                            <wps:spPr>
                              <a:xfrm>
                                <a:off x="0" y="0"/>
                                <a:ext cx="3283560" cy="0"/>
                              </a:xfrm>
                              <a:prstGeom prst="line">
                                <a:avLst/>
                              </a:prstGeom>
                              <a:ln>
                                <a:solidFill>
                                  <a:srgbClr val="000000"/>
                                </a:solidFill>
                                <a:custDash/>
                              </a:ln>
                            </wps:spPr>
                            <wps:style>
                              <a:lnRef idx="0"/>
                              <a:fillRef idx="0"/>
                              <a:effectRef idx="0"/>
                              <a:fontRef idx="minor"/>
                            </wps:style>
                            <wps:bodyPr/>
                          </wps:wsp>
                        </a:graphicData>
                      </a:graphic>
                    </wp:anchor>
                  </w:drawing>
                </mc:Choice>
                <mc:Fallback>
                  <w:pict>
                    <v:line id="shape_0" from="0.3pt,13.2pt" to="258.8pt,13.2pt" ID="Lige forbindelse 5" stroked="t" style="position:absolute">
                      <v:stroke color="black" dashstyle="dash" joinstyle="round" endcap="flat"/>
                      <v:fill o:detectmouseclick="t" on="false"/>
                    </v:line>
                  </w:pict>
                </mc:Fallback>
              </mc:AlternateContent>
            </w:r>
            <w:r>
              <w:rPr>
                <w:b/>
                <w:bCs w:val="false"/>
                <w:color w:val="000000" w:themeColor="text1" w:themeShade="bf"/>
              </w:rPr>
              <w:t>D</w:t>
            </w:r>
            <w:r>
              <w:rPr>
                <w:b/>
                <w:bCs w:val="false"/>
                <w:color w:val="000000" w:themeColor="text1" w:themeShade="bf"/>
              </w:rPr>
              <w:t>eceased patients</w:t>
            </w:r>
          </w:p>
        </w:tc>
      </w:tr>
      <w:tr>
        <w:trPr>
          <w:cnfStyle w:val="000000100000"/>
        </w:trPr>
        <w:tc>
          <w:tcPr>
            <w:tcW w:w="3119" w:type="dxa"/>
            <w:cnfStyle w:val="001000000000"/>
            <w:tcBorders>
              <w:top w:val="nil"/>
              <w:bottom w:val="single" w:sz="4" w:space="0" w:color="00000A"/>
              <w:insideH w:val="single" w:sz="4" w:space="0" w:color="00000A"/>
            </w:tcBorders>
            <w:shd w:color="auto" w:fill="auto" w:val="clear"/>
          </w:tcPr>
          <w:p>
            <w:pPr>
              <w:pStyle w:val="Normal"/>
              <w:spacing w:lineRule="auto" w:line="276" w:before="0" w:after="0"/>
              <w:rPr>
                <w:b/>
                <w:b/>
                <w:bCs/>
                <w:color w:val="000000" w:themeColor="text1" w:themeShade="bf"/>
              </w:rPr>
            </w:pPr>
            <w:r>
              <w:rPr>
                <w:b/>
                <w:bCs/>
                <w:color w:val="000000" w:themeColor="text1" w:themeShade="bf"/>
              </w:rPr>
            </w:r>
          </w:p>
        </w:tc>
        <w:tc>
          <w:tcPr>
            <w:tcW w:w="1559" w:type="dxa"/>
            <w:tcBorders>
              <w:top w:val="nil"/>
              <w:bottom w:val="single" w:sz="4" w:space="0" w:color="00000A"/>
              <w:insideH w:val="single" w:sz="4" w:space="0" w:color="00000A"/>
            </w:tcBorders>
            <w:shd w:color="auto" w:fill="auto" w:val="clear"/>
          </w:tcPr>
          <w:p>
            <w:pPr>
              <w:pStyle w:val="Normal"/>
              <w:spacing w:lineRule="auto" w:line="276" w:before="0" w:after="0"/>
              <w:jc w:val="right"/>
              <w:cnfStyle w:val="000000100000"/>
              <w:rPr>
                <w:b/>
                <w:b/>
                <w:bCs/>
              </w:rPr>
            </w:pPr>
            <w:r>
              <w:rPr>
                <w:b/>
                <w:bCs/>
                <w:color w:val="000000" w:themeColor="text1" w:themeShade="bf"/>
              </w:rPr>
              <w:t>All</w:t>
            </w:r>
          </w:p>
          <w:p>
            <w:pPr>
              <w:pStyle w:val="Normal"/>
              <w:spacing w:lineRule="auto" w:line="276" w:before="0" w:after="0"/>
              <w:jc w:val="right"/>
              <w:cnfStyle w:val="000000100000"/>
              <w:rPr>
                <w:bCs/>
              </w:rPr>
            </w:pPr>
            <w:r>
              <w:rPr>
                <w:bCs/>
                <w:color w:val="000000" w:themeColor="text1" w:themeShade="bf"/>
              </w:rPr>
              <w:t>n (%)</w:t>
            </w:r>
          </w:p>
        </w:tc>
        <w:tc>
          <w:tcPr>
            <w:tcW w:w="1597" w:type="dxa"/>
            <w:tcBorders>
              <w:top w:val="nil"/>
              <w:bottom w:val="single" w:sz="4" w:space="0" w:color="00000A"/>
              <w:insideH w:val="single" w:sz="4" w:space="0" w:color="00000A"/>
            </w:tcBorders>
            <w:shd w:color="auto" w:fill="auto" w:val="clear"/>
          </w:tcPr>
          <w:p>
            <w:pPr>
              <w:pStyle w:val="Normal"/>
              <w:spacing w:lineRule="auto" w:line="276" w:before="0" w:after="0"/>
              <w:jc w:val="right"/>
              <w:cnfStyle w:val="000000100000"/>
              <w:rPr>
                <w:b/>
                <w:b/>
                <w:bCs/>
              </w:rPr>
            </w:pPr>
            <w:r>
              <w:rPr>
                <w:b/>
                <w:bCs/>
                <w:color w:val="000000" w:themeColor="text1" w:themeShade="bf"/>
              </w:rPr>
              <w:t>Early era</w:t>
            </w:r>
          </w:p>
          <w:p>
            <w:pPr>
              <w:pStyle w:val="Normal"/>
              <w:spacing w:lineRule="auto" w:line="276" w:before="0" w:after="0"/>
              <w:jc w:val="right"/>
              <w:cnfStyle w:val="000000100000"/>
              <w:rPr>
                <w:bCs/>
              </w:rPr>
            </w:pPr>
            <w:r>
              <w:rPr>
                <w:bCs/>
                <w:color w:val="000000" w:themeColor="text1" w:themeShade="bf"/>
              </w:rPr>
              <w:t>n (%)</w:t>
            </w:r>
          </w:p>
        </w:tc>
        <w:tc>
          <w:tcPr>
            <w:tcW w:w="1559" w:type="dxa"/>
            <w:tcBorders>
              <w:top w:val="nil"/>
              <w:bottom w:val="single" w:sz="4" w:space="0" w:color="00000A"/>
              <w:insideH w:val="single" w:sz="4" w:space="0" w:color="00000A"/>
            </w:tcBorders>
            <w:shd w:color="auto" w:fill="auto" w:val="clear"/>
          </w:tcPr>
          <w:p>
            <w:pPr>
              <w:pStyle w:val="Normal"/>
              <w:spacing w:lineRule="auto" w:line="276" w:before="0" w:after="0"/>
              <w:jc w:val="right"/>
              <w:cnfStyle w:val="000000100000"/>
              <w:rPr>
                <w:b/>
                <w:b/>
                <w:bCs/>
              </w:rPr>
            </w:pPr>
            <w:r>
              <w:rPr>
                <w:b/>
                <w:bCs/>
                <w:color w:val="000000" w:themeColor="text1" w:themeShade="bf"/>
              </w:rPr>
              <w:t>Late era</w:t>
            </w:r>
          </w:p>
          <w:p>
            <w:pPr>
              <w:pStyle w:val="Normal"/>
              <w:spacing w:lineRule="auto" w:line="276" w:before="0" w:after="0"/>
              <w:jc w:val="right"/>
              <w:cnfStyle w:val="000000100000"/>
              <w:rPr>
                <w:bCs/>
              </w:rPr>
            </w:pPr>
            <w:r>
              <w:rPr>
                <w:bCs/>
                <w:color w:val="000000" w:themeColor="text1" w:themeShade="bf"/>
              </w:rPr>
              <w:t xml:space="preserve"> </w:t>
            </w:r>
            <w:r>
              <w:rPr>
                <w:bCs/>
                <w:color w:val="000000" w:themeColor="text1" w:themeShade="bf"/>
              </w:rPr>
              <w:t>n (%)</w:t>
            </w:r>
          </w:p>
        </w:tc>
        <w:tc>
          <w:tcPr>
            <w:tcW w:w="1417" w:type="dxa"/>
            <w:tcBorders>
              <w:top w:val="nil"/>
              <w:bottom w:val="single" w:sz="4" w:space="0" w:color="00000A"/>
              <w:insideH w:val="single" w:sz="4" w:space="0" w:color="00000A"/>
            </w:tcBorders>
            <w:shd w:color="auto" w:fill="auto" w:val="clear"/>
          </w:tcPr>
          <w:p>
            <w:pPr>
              <w:pStyle w:val="Normal"/>
              <w:spacing w:lineRule="auto" w:line="276" w:before="0" w:after="0"/>
              <w:jc w:val="right"/>
              <w:cnfStyle w:val="000000100000"/>
              <w:rPr>
                <w:b/>
                <w:b/>
                <w:bCs/>
              </w:rPr>
            </w:pPr>
            <w:r>
              <w:rPr>
                <w:b/>
                <w:bCs/>
                <w:color w:val="000000" w:themeColor="text1" w:themeShade="bf"/>
              </w:rPr>
              <w:t>P-value</w:t>
            </w:r>
          </w:p>
          <w:p>
            <w:pPr>
              <w:pStyle w:val="Normal"/>
              <w:spacing w:lineRule="auto" w:line="276" w:before="0" w:after="0"/>
              <w:jc w:val="right"/>
              <w:cnfStyle w:val="000000100000"/>
              <w:rPr>
                <w:b/>
                <w:b/>
                <w:bCs/>
              </w:rPr>
            </w:pPr>
            <w:r>
              <w:rPr>
                <w:bCs/>
                <w:color w:val="000000" w:themeColor="text1" w:themeShade="bf"/>
              </w:rPr>
              <w:t>Early vs. late</w:t>
            </w:r>
          </w:p>
        </w:tc>
        <w:tc>
          <w:tcPr>
            <w:tcW w:w="1701" w:type="dxa"/>
            <w:gridSpan w:val="2"/>
            <w:tcBorders>
              <w:top w:val="nil"/>
              <w:bottom w:val="single" w:sz="4" w:space="0" w:color="00000A"/>
              <w:insideH w:val="single" w:sz="4" w:space="0" w:color="00000A"/>
            </w:tcBorders>
            <w:shd w:color="auto" w:fill="auto" w:val="clear"/>
          </w:tcPr>
          <w:p>
            <w:pPr>
              <w:pStyle w:val="Normal"/>
              <w:spacing w:lineRule="auto" w:line="276" w:before="0" w:after="0"/>
              <w:jc w:val="right"/>
              <w:cnfStyle w:val="000000100000"/>
              <w:rPr>
                <w:b/>
                <w:b/>
              </w:rPr>
            </w:pPr>
            <w:r>
              <w:rPr>
                <w:b/>
                <w:bCs/>
                <w:color w:val="000000" w:themeColor="text1" w:themeShade="bf"/>
              </w:rPr>
              <w:t>All</w:t>
            </w:r>
            <w:r>
              <w:rPr>
                <w:b/>
                <w:color w:val="000000" w:themeColor="text1" w:themeShade="bf"/>
              </w:rPr>
              <w:t xml:space="preserve"> deceased</w:t>
            </w:r>
          </w:p>
          <w:p>
            <w:pPr>
              <w:pStyle w:val="Normal"/>
              <w:spacing w:lineRule="auto" w:line="276" w:before="0" w:after="0"/>
              <w:jc w:val="right"/>
              <w:cnfStyle w:val="000000100000"/>
              <w:rPr>
                <w:bCs/>
              </w:rPr>
            </w:pPr>
            <w:r>
              <w:rPr>
                <w:bCs/>
                <w:color w:val="000000" w:themeColor="text1" w:themeShade="bf"/>
              </w:rPr>
              <w:t xml:space="preserve">n (%) </w:t>
            </w:r>
            <w:r>
              <w:rPr>
                <w:color w:val="000000" w:themeColor="text1" w:themeShade="bf"/>
              </w:rPr>
              <w:t xml:space="preserve">                            </w:t>
            </w:r>
          </w:p>
        </w:tc>
        <w:tc>
          <w:tcPr>
            <w:tcW w:w="1559" w:type="dxa"/>
            <w:tcBorders>
              <w:top w:val="nil"/>
              <w:bottom w:val="single" w:sz="4" w:space="0" w:color="00000A"/>
              <w:insideH w:val="single" w:sz="4" w:space="0" w:color="00000A"/>
            </w:tcBorders>
            <w:shd w:color="auto" w:fill="auto" w:val="clear"/>
          </w:tcPr>
          <w:p>
            <w:pPr>
              <w:pStyle w:val="Normal"/>
              <w:spacing w:lineRule="auto" w:line="276" w:before="0" w:after="0"/>
              <w:jc w:val="right"/>
              <w:cnfStyle w:val="000000100000"/>
              <w:rPr>
                <w:b/>
                <w:b/>
                <w:bCs/>
              </w:rPr>
            </w:pPr>
            <w:r>
              <w:rPr>
                <w:b/>
                <w:bCs/>
                <w:color w:val="000000" w:themeColor="text1" w:themeShade="bf"/>
              </w:rPr>
              <w:t xml:space="preserve">Early era </w:t>
            </w:r>
          </w:p>
          <w:p>
            <w:pPr>
              <w:pStyle w:val="Normal"/>
              <w:spacing w:lineRule="auto" w:line="276" w:before="0" w:after="0"/>
              <w:jc w:val="right"/>
              <w:cnfStyle w:val="000000100000"/>
              <w:rPr>
                <w:bCs/>
              </w:rPr>
            </w:pPr>
            <w:r>
              <w:rPr>
                <w:bCs/>
                <w:color w:val="000000" w:themeColor="text1" w:themeShade="bf"/>
              </w:rPr>
              <w:t xml:space="preserve">n (%) </w:t>
            </w:r>
            <w:r>
              <w:rPr>
                <w:color w:val="000000" w:themeColor="text1" w:themeShade="bf"/>
              </w:rPr>
              <w:t xml:space="preserve">                  </w:t>
            </w:r>
            <w:r>
              <w:rPr>
                <w:bCs/>
                <w:color w:val="000000" w:themeColor="text1" w:themeShade="bf"/>
              </w:rPr>
              <w:t xml:space="preserve">      </w:t>
            </w:r>
          </w:p>
        </w:tc>
        <w:tc>
          <w:tcPr>
            <w:tcW w:w="1558" w:type="dxa"/>
            <w:tcBorders>
              <w:top w:val="nil"/>
              <w:bottom w:val="single" w:sz="4" w:space="0" w:color="00000A"/>
              <w:insideH w:val="single" w:sz="4" w:space="0" w:color="00000A"/>
            </w:tcBorders>
            <w:shd w:color="auto" w:fill="auto" w:val="clear"/>
          </w:tcPr>
          <w:p>
            <w:pPr>
              <w:pStyle w:val="Normal"/>
              <w:spacing w:lineRule="auto" w:line="276" w:before="0" w:after="0"/>
              <w:jc w:val="right"/>
              <w:cnfStyle w:val="000000100000"/>
              <w:rPr>
                <w:b/>
                <w:b/>
                <w:bCs/>
              </w:rPr>
            </w:pPr>
            <w:r>
              <w:rPr>
                <w:b/>
                <w:bCs/>
                <w:color w:val="000000" w:themeColor="text1" w:themeShade="bf"/>
              </w:rPr>
              <w:t>Late era</w:t>
            </w:r>
          </w:p>
          <w:p>
            <w:pPr>
              <w:pStyle w:val="Normal"/>
              <w:spacing w:lineRule="auto" w:line="276" w:before="0" w:after="0"/>
              <w:jc w:val="right"/>
              <w:cnfStyle w:val="000000100000"/>
              <w:rPr>
                <w:bCs/>
              </w:rPr>
            </w:pPr>
            <w:r>
              <w:rPr>
                <w:bCs/>
                <w:color w:val="000000" w:themeColor="text1" w:themeShade="bf"/>
              </w:rPr>
              <w:t xml:space="preserve">n (%) </w:t>
            </w:r>
            <w:r>
              <w:rPr>
                <w:color w:val="000000" w:themeColor="text1" w:themeShade="bf"/>
              </w:rPr>
              <w:t xml:space="preserve">                  </w:t>
            </w:r>
            <w:r>
              <w:rPr>
                <w:bCs/>
                <w:color w:val="000000" w:themeColor="text1" w:themeShade="bf"/>
              </w:rPr>
              <w:t xml:space="preserve">           </w:t>
            </w:r>
          </w:p>
        </w:tc>
        <w:tc>
          <w:tcPr>
            <w:tcW w:w="1560" w:type="dxa"/>
            <w:tcBorders>
              <w:top w:val="nil"/>
              <w:bottom w:val="single" w:sz="4" w:space="0" w:color="00000A"/>
              <w:insideH w:val="single" w:sz="4" w:space="0" w:color="00000A"/>
            </w:tcBorders>
            <w:shd w:color="auto" w:fill="auto" w:val="clear"/>
          </w:tcPr>
          <w:p>
            <w:pPr>
              <w:pStyle w:val="Normal"/>
              <w:spacing w:lineRule="auto" w:line="276" w:before="0" w:after="0"/>
              <w:jc w:val="right"/>
              <w:cnfStyle w:val="000000100000"/>
              <w:rPr>
                <w:b/>
                <w:b/>
              </w:rPr>
            </w:pPr>
            <w:r>
              <w:rPr>
                <w:b/>
                <w:bCs/>
                <w:color w:val="000000" w:themeColor="text1" w:themeShade="bf"/>
              </w:rPr>
              <w:t>P-value</w:t>
            </w:r>
          </w:p>
          <w:p>
            <w:pPr>
              <w:pStyle w:val="Normal"/>
              <w:spacing w:lineRule="auto" w:line="276" w:before="0" w:after="0"/>
              <w:jc w:val="right"/>
              <w:cnfStyle w:val="000000100000"/>
              <w:rPr>
                <w:bCs/>
              </w:rPr>
            </w:pPr>
            <w:r>
              <w:rPr>
                <w:bCs/>
                <w:color w:val="000000" w:themeColor="text1" w:themeShade="bf"/>
              </w:rPr>
              <w:t>Early vs. late</w:t>
            </w:r>
          </w:p>
        </w:tc>
      </w:tr>
      <w:tr>
        <w:trPr/>
        <w:tc>
          <w:tcPr>
            <w:tcW w:w="3119" w:type="dxa"/>
            <w:cnfStyle w:val="001000000000"/>
            <w:tcBorders>
              <w:top w:val="single" w:sz="4" w:space="0" w:color="00000A"/>
              <w:bottom w:val="nil"/>
              <w:insideH w:val="nil"/>
            </w:tcBorders>
            <w:shd w:color="auto" w:fill="auto" w:val="clear"/>
          </w:tcPr>
          <w:p>
            <w:pPr>
              <w:pStyle w:val="Normal"/>
              <w:spacing w:lineRule="auto" w:line="276" w:before="0" w:after="0"/>
              <w:rPr>
                <w:b w:val="false"/>
                <w:b w:val="false"/>
                <w:bCs w:val="false"/>
              </w:rPr>
            </w:pPr>
            <w:r>
              <w:rPr>
                <w:b w:val="false"/>
                <w:bCs w:val="false"/>
                <w:color w:val="000000" w:themeColor="text1" w:themeShade="bf"/>
              </w:rPr>
              <w:t>Number of patients</w:t>
            </w:r>
          </w:p>
        </w:tc>
        <w:tc>
          <w:tcPr>
            <w:tcW w:w="1559" w:type="dxa"/>
            <w:tcBorders>
              <w:top w:val="single" w:sz="4" w:space="0" w:color="00000A"/>
              <w:bottom w:val="nil"/>
              <w:insideH w:val="nil"/>
            </w:tcBorders>
            <w:shd w:color="auto" w:fill="auto" w:val="clear"/>
          </w:tcPr>
          <w:p>
            <w:pPr>
              <w:pStyle w:val="Normal"/>
              <w:spacing w:lineRule="auto" w:line="276" w:before="0" w:after="0"/>
              <w:jc w:val="right"/>
              <w:cnfStyle w:val="000000000000"/>
              <w:rPr>
                <w:bCs/>
              </w:rPr>
            </w:pPr>
            <w:r>
              <w:rPr>
                <w:bCs/>
                <w:color w:val="000000" w:themeColor="text1" w:themeShade="bf"/>
              </w:rPr>
              <w:t>1,546</w:t>
            </w:r>
          </w:p>
        </w:tc>
        <w:tc>
          <w:tcPr>
            <w:tcW w:w="1597" w:type="dxa"/>
            <w:tcBorders>
              <w:top w:val="single" w:sz="4" w:space="0" w:color="00000A"/>
              <w:bottom w:val="nil"/>
              <w:insideH w:val="nil"/>
            </w:tcBorders>
            <w:shd w:color="auto" w:fill="auto" w:val="clear"/>
          </w:tcPr>
          <w:p>
            <w:pPr>
              <w:pStyle w:val="Normal"/>
              <w:spacing w:lineRule="auto" w:line="276" w:before="0" w:after="0"/>
              <w:jc w:val="right"/>
              <w:cnfStyle w:val="000000000000"/>
              <w:rPr>
                <w:bCs/>
              </w:rPr>
            </w:pPr>
            <w:r>
              <w:rPr>
                <w:bCs/>
                <w:color w:val="000000" w:themeColor="text1" w:themeShade="bf"/>
              </w:rPr>
              <w:t>857</w:t>
            </w:r>
          </w:p>
        </w:tc>
        <w:tc>
          <w:tcPr>
            <w:tcW w:w="1559" w:type="dxa"/>
            <w:tcBorders>
              <w:top w:val="single" w:sz="4" w:space="0" w:color="00000A"/>
              <w:bottom w:val="nil"/>
              <w:insideH w:val="nil"/>
            </w:tcBorders>
            <w:shd w:color="auto" w:fill="auto" w:val="clear"/>
          </w:tcPr>
          <w:p>
            <w:pPr>
              <w:pStyle w:val="Normal"/>
              <w:spacing w:lineRule="auto" w:line="276" w:before="0" w:after="0"/>
              <w:jc w:val="right"/>
              <w:cnfStyle w:val="000000000000"/>
              <w:rPr>
                <w:bCs/>
              </w:rPr>
            </w:pPr>
            <w:r>
              <w:rPr>
                <w:bCs/>
                <w:color w:val="000000" w:themeColor="text1" w:themeShade="bf"/>
              </w:rPr>
              <w:t>1222</w:t>
            </w:r>
          </w:p>
        </w:tc>
        <w:tc>
          <w:tcPr>
            <w:tcW w:w="1417" w:type="dxa"/>
            <w:tcBorders>
              <w:top w:val="single" w:sz="4" w:space="0" w:color="00000A"/>
              <w:bottom w:val="nil"/>
              <w:insideH w:val="nil"/>
            </w:tcBorders>
            <w:shd w:color="auto" w:fill="auto" w:val="clear"/>
          </w:tcPr>
          <w:p>
            <w:pPr>
              <w:pStyle w:val="Normal"/>
              <w:spacing w:lineRule="auto" w:line="276" w:before="0" w:after="0"/>
              <w:jc w:val="right"/>
              <w:cnfStyle w:val="000000000000"/>
              <w:rPr>
                <w:bCs/>
                <w:color w:val="000000" w:themeColor="text1" w:themeShade="bf"/>
              </w:rPr>
            </w:pPr>
            <w:r>
              <w:rPr>
                <w:bCs/>
                <w:color w:val="000000" w:themeColor="text1" w:themeShade="bf"/>
              </w:rPr>
            </w:r>
          </w:p>
        </w:tc>
        <w:tc>
          <w:tcPr>
            <w:tcW w:w="1701" w:type="dxa"/>
            <w:gridSpan w:val="2"/>
            <w:tcBorders>
              <w:top w:val="single" w:sz="4" w:space="0" w:color="00000A"/>
              <w:bottom w:val="nil"/>
              <w:insideH w:val="nil"/>
            </w:tcBorders>
            <w:shd w:color="auto" w:fill="auto" w:val="clear"/>
          </w:tcPr>
          <w:p>
            <w:pPr>
              <w:pStyle w:val="Normal"/>
              <w:spacing w:lineRule="auto" w:line="276" w:before="0" w:after="0"/>
              <w:jc w:val="right"/>
              <w:cnfStyle w:val="000000000000"/>
              <w:rPr>
                <w:bCs/>
              </w:rPr>
            </w:pPr>
            <w:r>
              <w:rPr>
                <w:bCs/>
                <w:color w:val="000000" w:themeColor="text1" w:themeShade="bf"/>
              </w:rPr>
              <w:t xml:space="preserve">558 </w:t>
            </w:r>
          </w:p>
        </w:tc>
        <w:tc>
          <w:tcPr>
            <w:tcW w:w="1559" w:type="dxa"/>
            <w:tcBorders>
              <w:top w:val="single" w:sz="4" w:space="0" w:color="00000A"/>
              <w:bottom w:val="nil"/>
              <w:insideH w:val="nil"/>
            </w:tcBorders>
            <w:shd w:color="auto" w:fill="auto" w:val="clear"/>
          </w:tcPr>
          <w:p>
            <w:pPr>
              <w:pStyle w:val="Normal"/>
              <w:spacing w:lineRule="auto" w:line="276" w:before="0" w:after="0"/>
              <w:jc w:val="right"/>
              <w:cnfStyle w:val="000000000000"/>
              <w:rPr>
                <w:bCs/>
              </w:rPr>
            </w:pPr>
            <w:r>
              <w:rPr>
                <w:bCs/>
                <w:color w:val="000000" w:themeColor="text1" w:themeShade="bf"/>
              </w:rPr>
              <w:t>297</w:t>
            </w:r>
          </w:p>
        </w:tc>
        <w:tc>
          <w:tcPr>
            <w:tcW w:w="1558" w:type="dxa"/>
            <w:tcBorders>
              <w:top w:val="single" w:sz="4" w:space="0" w:color="00000A"/>
              <w:bottom w:val="nil"/>
              <w:insideH w:val="nil"/>
            </w:tcBorders>
            <w:shd w:color="auto" w:fill="auto" w:val="clear"/>
          </w:tcPr>
          <w:p>
            <w:pPr>
              <w:pStyle w:val="Normal"/>
              <w:spacing w:lineRule="auto" w:line="276" w:before="0" w:after="0"/>
              <w:jc w:val="right"/>
              <w:cnfStyle w:val="000000000000"/>
              <w:rPr>
                <w:bCs/>
              </w:rPr>
            </w:pPr>
            <w:r>
              <w:rPr>
                <w:bCs/>
                <w:color w:val="000000" w:themeColor="text1" w:themeShade="bf"/>
              </w:rPr>
              <w:t>261</w:t>
            </w:r>
          </w:p>
        </w:tc>
        <w:tc>
          <w:tcPr>
            <w:tcW w:w="1560" w:type="dxa"/>
            <w:tcBorders>
              <w:top w:val="single" w:sz="4" w:space="0" w:color="00000A"/>
              <w:bottom w:val="nil"/>
              <w:insideH w:val="nil"/>
            </w:tcBorders>
            <w:shd w:color="auto" w:fill="auto" w:val="clear"/>
          </w:tcPr>
          <w:p>
            <w:pPr>
              <w:pStyle w:val="Normal"/>
              <w:spacing w:lineRule="auto" w:line="276" w:before="0" w:after="0"/>
              <w:jc w:val="center"/>
              <w:cnfStyle w:val="000000000000"/>
              <w:rPr>
                <w:bCs/>
                <w:color w:val="000000" w:themeColor="text1" w:themeShade="bf"/>
              </w:rPr>
            </w:pPr>
            <w:r>
              <w:rPr>
                <w:bCs/>
                <w:color w:val="000000" w:themeColor="text1" w:themeShade="bf"/>
              </w:rPr>
            </w:r>
          </w:p>
        </w:tc>
      </w:tr>
      <w:tr>
        <w:trPr>
          <w:cnfStyle w:val="000000100000"/>
        </w:trPr>
        <w:tc>
          <w:tcPr>
            <w:tcW w:w="3119" w:type="dxa"/>
            <w:cnfStyle w:val="001000000000"/>
            <w:tcBorders>
              <w:top w:val="nil"/>
              <w:bottom w:val="nil"/>
              <w:insideH w:val="nil"/>
            </w:tcBorders>
            <w:shd w:color="auto" w:fill="auto" w:val="clear"/>
          </w:tcPr>
          <w:p>
            <w:pPr>
              <w:pStyle w:val="Normal"/>
              <w:spacing w:lineRule="auto" w:line="276" w:before="0" w:after="0"/>
              <w:rPr>
                <w:b w:val="false"/>
                <w:b w:val="false"/>
                <w:bCs w:val="false"/>
              </w:rPr>
            </w:pPr>
            <w:r>
              <w:rPr>
                <w:b w:val="false"/>
                <w:bCs w:val="false"/>
                <w:color w:val="000000" w:themeColor="text1" w:themeShade="bf"/>
              </w:rPr>
              <w:t>Male</w:t>
            </w:r>
          </w:p>
        </w:tc>
        <w:tc>
          <w:tcPr>
            <w:tcW w:w="1559" w:type="dxa"/>
            <w:tcBorders>
              <w:top w:val="nil"/>
              <w:bottom w:val="nil"/>
              <w:insideH w:val="nil"/>
            </w:tcBorders>
            <w:shd w:color="auto" w:fill="auto" w:val="clear"/>
          </w:tcPr>
          <w:p>
            <w:pPr>
              <w:pStyle w:val="Normal"/>
              <w:spacing w:lineRule="auto" w:line="276" w:before="0" w:after="0"/>
              <w:jc w:val="right"/>
              <w:cnfStyle w:val="000000100000"/>
              <w:rPr>
                <w:bCs/>
              </w:rPr>
            </w:pPr>
            <w:r>
              <w:rPr>
                <w:bCs/>
                <w:color w:val="000000" w:themeColor="text1" w:themeShade="bf"/>
              </w:rPr>
              <w:t>553 (35.7)</w:t>
            </w:r>
          </w:p>
        </w:tc>
        <w:tc>
          <w:tcPr>
            <w:tcW w:w="1597" w:type="dxa"/>
            <w:tcBorders>
              <w:top w:val="nil"/>
              <w:bottom w:val="nil"/>
              <w:insideH w:val="nil"/>
            </w:tcBorders>
            <w:shd w:color="auto" w:fill="auto" w:val="clear"/>
          </w:tcPr>
          <w:p>
            <w:pPr>
              <w:pStyle w:val="Normal"/>
              <w:spacing w:lineRule="auto" w:line="276" w:before="0" w:after="0"/>
              <w:jc w:val="right"/>
              <w:cnfStyle w:val="000000100000"/>
              <w:rPr>
                <w:bCs/>
              </w:rPr>
            </w:pPr>
            <w:r>
              <w:rPr>
                <w:bCs/>
                <w:color w:val="000000" w:themeColor="text1" w:themeShade="bf"/>
              </w:rPr>
              <w:t>319 (37.2)</w:t>
            </w:r>
          </w:p>
        </w:tc>
        <w:tc>
          <w:tcPr>
            <w:tcW w:w="1559" w:type="dxa"/>
            <w:tcBorders>
              <w:top w:val="nil"/>
              <w:bottom w:val="nil"/>
              <w:insideH w:val="nil"/>
            </w:tcBorders>
            <w:shd w:color="auto" w:fill="auto" w:val="clear"/>
          </w:tcPr>
          <w:p>
            <w:pPr>
              <w:pStyle w:val="Normal"/>
              <w:spacing w:lineRule="auto" w:line="276" w:before="0" w:after="0"/>
              <w:jc w:val="right"/>
              <w:cnfStyle w:val="000000100000"/>
              <w:rPr>
                <w:bCs/>
              </w:rPr>
            </w:pPr>
            <w:r>
              <w:rPr>
                <w:bCs/>
                <w:color w:val="000000" w:themeColor="text1" w:themeShade="bf"/>
              </w:rPr>
              <w:t>427 (34.9)</w:t>
            </w:r>
          </w:p>
        </w:tc>
        <w:tc>
          <w:tcPr>
            <w:tcW w:w="1417" w:type="dxa"/>
            <w:tcBorders>
              <w:top w:val="nil"/>
              <w:bottom w:val="nil"/>
              <w:insideH w:val="nil"/>
            </w:tcBorders>
            <w:shd w:color="auto" w:fill="auto" w:val="clear"/>
          </w:tcPr>
          <w:p>
            <w:pPr>
              <w:pStyle w:val="Normal"/>
              <w:spacing w:lineRule="auto" w:line="276" w:before="0" w:after="0"/>
              <w:jc w:val="right"/>
              <w:cnfStyle w:val="000000100000"/>
              <w:rPr>
                <w:bCs/>
              </w:rPr>
            </w:pPr>
            <w:r>
              <w:rPr>
                <w:bCs/>
                <w:color w:val="000000" w:themeColor="text1" w:themeShade="bf"/>
              </w:rPr>
              <w:t>0.286</w:t>
            </w:r>
          </w:p>
        </w:tc>
        <w:tc>
          <w:tcPr>
            <w:tcW w:w="1701" w:type="dxa"/>
            <w:gridSpan w:val="2"/>
            <w:tcBorders>
              <w:top w:val="nil"/>
              <w:bottom w:val="nil"/>
              <w:insideH w:val="nil"/>
            </w:tcBorders>
            <w:shd w:color="auto" w:fill="auto" w:val="clear"/>
          </w:tcPr>
          <w:p>
            <w:pPr>
              <w:pStyle w:val="Normal"/>
              <w:spacing w:lineRule="auto" w:line="276" w:before="0" w:after="0"/>
              <w:jc w:val="right"/>
              <w:cnfStyle w:val="000000100000"/>
              <w:rPr>
                <w:bCs/>
              </w:rPr>
            </w:pPr>
            <w:r>
              <w:rPr>
                <w:bCs/>
                <w:color w:val="000000" w:themeColor="text1" w:themeShade="bf"/>
              </w:rPr>
              <w:t>205 (36.5)</w:t>
            </w:r>
          </w:p>
        </w:tc>
        <w:tc>
          <w:tcPr>
            <w:tcW w:w="1559" w:type="dxa"/>
            <w:tcBorders>
              <w:top w:val="nil"/>
              <w:bottom w:val="nil"/>
              <w:insideH w:val="nil"/>
            </w:tcBorders>
            <w:shd w:color="auto" w:fill="auto" w:val="clear"/>
          </w:tcPr>
          <w:p>
            <w:pPr>
              <w:pStyle w:val="Normal"/>
              <w:spacing w:lineRule="auto" w:line="276" w:before="0" w:after="0"/>
              <w:jc w:val="right"/>
              <w:cnfStyle w:val="000000100000"/>
              <w:rPr>
                <w:bCs/>
              </w:rPr>
            </w:pPr>
            <w:r>
              <w:rPr>
                <w:bCs/>
                <w:color w:val="000000" w:themeColor="text1" w:themeShade="bf"/>
              </w:rPr>
              <w:t>113 (38.0)</w:t>
            </w:r>
          </w:p>
        </w:tc>
        <w:tc>
          <w:tcPr>
            <w:tcW w:w="1558" w:type="dxa"/>
            <w:tcBorders>
              <w:top w:val="nil"/>
              <w:bottom w:val="nil"/>
              <w:insideH w:val="nil"/>
            </w:tcBorders>
            <w:shd w:color="auto" w:fill="auto" w:val="clear"/>
          </w:tcPr>
          <w:p>
            <w:pPr>
              <w:pStyle w:val="Normal"/>
              <w:spacing w:lineRule="auto" w:line="276" w:before="0" w:after="0"/>
              <w:jc w:val="right"/>
              <w:cnfStyle w:val="000000100000"/>
              <w:rPr>
                <w:bCs/>
              </w:rPr>
            </w:pPr>
            <w:r>
              <w:rPr>
                <w:bCs/>
                <w:color w:val="000000" w:themeColor="text1" w:themeShade="bf"/>
              </w:rPr>
              <w:t>92 (35.2)</w:t>
            </w:r>
          </w:p>
        </w:tc>
        <w:tc>
          <w:tcPr>
            <w:tcW w:w="1560" w:type="dxa"/>
            <w:tcBorders>
              <w:top w:val="nil"/>
              <w:bottom w:val="nil"/>
              <w:insideH w:val="nil"/>
            </w:tcBorders>
            <w:shd w:color="auto" w:fill="auto" w:val="clear"/>
          </w:tcPr>
          <w:p>
            <w:pPr>
              <w:pStyle w:val="Normal"/>
              <w:spacing w:lineRule="auto" w:line="276" w:before="0" w:after="0"/>
              <w:jc w:val="right"/>
              <w:cnfStyle w:val="000000100000"/>
              <w:rPr>
                <w:bCs/>
              </w:rPr>
            </w:pPr>
            <w:r>
              <w:rPr>
                <w:bCs/>
                <w:color w:val="000000" w:themeColor="text1" w:themeShade="bf"/>
              </w:rPr>
              <w:t>0.494</w:t>
            </w:r>
          </w:p>
        </w:tc>
      </w:tr>
      <w:tr>
        <w:trPr/>
        <w:tc>
          <w:tcPr>
            <w:tcW w:w="3119" w:type="dxa"/>
            <w:cnfStyle w:val="001000000000"/>
            <w:tcBorders>
              <w:top w:val="nil"/>
              <w:bottom w:val="nil"/>
              <w:insideH w:val="nil"/>
            </w:tcBorders>
            <w:shd w:color="auto" w:fill="auto" w:val="clear"/>
          </w:tcPr>
          <w:p>
            <w:pPr>
              <w:pStyle w:val="Normal"/>
              <w:spacing w:lineRule="auto" w:line="276" w:before="0" w:after="0"/>
              <w:rPr>
                <w:b w:val="false"/>
                <w:b w:val="false"/>
                <w:bCs w:val="false"/>
              </w:rPr>
            </w:pPr>
            <w:r>
              <w:rPr>
                <w:b w:val="false"/>
                <w:bCs w:val="false"/>
                <w:color w:val="000000" w:themeColor="text1" w:themeShade="bf"/>
              </w:rPr>
              <w:t>Down syndrome</w:t>
            </w:r>
          </w:p>
        </w:tc>
        <w:tc>
          <w:tcPr>
            <w:tcW w:w="1559" w:type="dxa"/>
            <w:tcBorders>
              <w:top w:val="nil"/>
              <w:bottom w:val="nil"/>
              <w:insideH w:val="nil"/>
            </w:tcBorders>
            <w:shd w:color="auto" w:fill="auto" w:val="clear"/>
          </w:tcPr>
          <w:p>
            <w:pPr>
              <w:pStyle w:val="Normal"/>
              <w:spacing w:lineRule="auto" w:line="276" w:before="0" w:after="0"/>
              <w:jc w:val="right"/>
              <w:cnfStyle w:val="000000000000"/>
              <w:rPr>
                <w:bCs/>
              </w:rPr>
            </w:pPr>
            <w:r>
              <w:rPr>
                <w:bCs/>
                <w:color w:val="000000" w:themeColor="text1" w:themeShade="bf"/>
              </w:rPr>
              <w:t>505 (32.7)</w:t>
            </w:r>
          </w:p>
        </w:tc>
        <w:tc>
          <w:tcPr>
            <w:tcW w:w="1597" w:type="dxa"/>
            <w:tcBorders>
              <w:top w:val="nil"/>
              <w:bottom w:val="nil"/>
              <w:insideH w:val="nil"/>
            </w:tcBorders>
            <w:shd w:color="auto" w:fill="auto" w:val="clear"/>
          </w:tcPr>
          <w:p>
            <w:pPr>
              <w:pStyle w:val="Normal"/>
              <w:spacing w:lineRule="auto" w:line="276" w:before="0" w:after="0"/>
              <w:jc w:val="right"/>
              <w:cnfStyle w:val="000000000000"/>
              <w:rPr>
                <w:bCs/>
              </w:rPr>
            </w:pPr>
            <w:r>
              <w:rPr>
                <w:bCs/>
                <w:color w:val="000000" w:themeColor="text1" w:themeShade="bf"/>
              </w:rPr>
              <w:t>334 (39.0)</w:t>
            </w:r>
          </w:p>
        </w:tc>
        <w:tc>
          <w:tcPr>
            <w:tcW w:w="1559" w:type="dxa"/>
            <w:tcBorders>
              <w:top w:val="nil"/>
              <w:bottom w:val="nil"/>
              <w:insideH w:val="nil"/>
            </w:tcBorders>
            <w:shd w:color="auto" w:fill="auto" w:val="clear"/>
          </w:tcPr>
          <w:p>
            <w:pPr>
              <w:pStyle w:val="Normal"/>
              <w:spacing w:lineRule="auto" w:line="276" w:before="0" w:after="0"/>
              <w:jc w:val="right"/>
              <w:cnfStyle w:val="000000000000"/>
              <w:rPr>
                <w:bCs/>
              </w:rPr>
            </w:pPr>
            <w:r>
              <w:rPr>
                <w:bCs/>
                <w:color w:val="000000" w:themeColor="text1" w:themeShade="bf"/>
              </w:rPr>
              <w:t>402 (32.9)</w:t>
            </w:r>
          </w:p>
        </w:tc>
        <w:tc>
          <w:tcPr>
            <w:tcW w:w="1417" w:type="dxa"/>
            <w:tcBorders>
              <w:top w:val="nil"/>
              <w:bottom w:val="nil"/>
              <w:insideH w:val="nil"/>
            </w:tcBorders>
            <w:shd w:color="auto" w:fill="auto" w:val="clear"/>
          </w:tcPr>
          <w:p>
            <w:pPr>
              <w:pStyle w:val="Normal"/>
              <w:spacing w:lineRule="auto" w:line="276" w:before="0" w:after="0"/>
              <w:jc w:val="right"/>
              <w:cnfStyle w:val="000000000000"/>
              <w:rPr>
                <w:bCs/>
              </w:rPr>
            </w:pPr>
            <w:r>
              <w:rPr>
                <w:bCs/>
                <w:color w:val="000000" w:themeColor="text1" w:themeShade="bf"/>
              </w:rPr>
              <w:t>0.004*</w:t>
            </w:r>
          </w:p>
        </w:tc>
        <w:tc>
          <w:tcPr>
            <w:tcW w:w="1701" w:type="dxa"/>
            <w:gridSpan w:val="2"/>
            <w:tcBorders>
              <w:top w:val="nil"/>
              <w:bottom w:val="nil"/>
              <w:insideH w:val="nil"/>
            </w:tcBorders>
            <w:shd w:color="auto" w:fill="auto" w:val="clear"/>
          </w:tcPr>
          <w:p>
            <w:pPr>
              <w:pStyle w:val="Normal"/>
              <w:spacing w:lineRule="auto" w:line="276" w:before="0" w:after="0"/>
              <w:jc w:val="right"/>
              <w:cnfStyle w:val="000000000000"/>
              <w:rPr>
                <w:bCs/>
              </w:rPr>
            </w:pPr>
            <w:r>
              <w:rPr>
                <w:bCs/>
                <w:color w:val="000000" w:themeColor="text1" w:themeShade="bf"/>
              </w:rPr>
              <w:t>205 (36.7)</w:t>
            </w:r>
          </w:p>
        </w:tc>
        <w:tc>
          <w:tcPr>
            <w:tcW w:w="1559" w:type="dxa"/>
            <w:tcBorders>
              <w:top w:val="nil"/>
              <w:bottom w:val="nil"/>
              <w:insideH w:val="nil"/>
            </w:tcBorders>
            <w:shd w:color="auto" w:fill="auto" w:val="clear"/>
          </w:tcPr>
          <w:p>
            <w:pPr>
              <w:pStyle w:val="Normal"/>
              <w:spacing w:lineRule="auto" w:line="276" w:before="0" w:after="0"/>
              <w:jc w:val="right"/>
              <w:cnfStyle w:val="000000000000"/>
              <w:rPr>
                <w:bCs/>
              </w:rPr>
            </w:pPr>
            <w:r>
              <w:rPr>
                <w:bCs/>
                <w:color w:val="000000" w:themeColor="text1" w:themeShade="bf"/>
              </w:rPr>
              <w:t>102 (34.3)</w:t>
            </w:r>
          </w:p>
        </w:tc>
        <w:tc>
          <w:tcPr>
            <w:tcW w:w="1558" w:type="dxa"/>
            <w:tcBorders>
              <w:top w:val="nil"/>
              <w:bottom w:val="nil"/>
              <w:insideH w:val="nil"/>
            </w:tcBorders>
            <w:shd w:color="auto" w:fill="auto" w:val="clear"/>
          </w:tcPr>
          <w:p>
            <w:pPr>
              <w:pStyle w:val="Normal"/>
              <w:spacing w:lineRule="auto" w:line="276" w:before="0" w:after="0"/>
              <w:jc w:val="right"/>
              <w:cnfStyle w:val="000000000000"/>
              <w:rPr>
                <w:bCs/>
              </w:rPr>
            </w:pPr>
            <w:r>
              <w:rPr>
                <w:bCs/>
                <w:color w:val="000000" w:themeColor="text1" w:themeShade="bf"/>
              </w:rPr>
              <w:t>103 (39.5)</w:t>
            </w:r>
          </w:p>
        </w:tc>
        <w:tc>
          <w:tcPr>
            <w:tcW w:w="1560" w:type="dxa"/>
            <w:tcBorders>
              <w:top w:val="nil"/>
              <w:bottom w:val="nil"/>
              <w:insideH w:val="nil"/>
            </w:tcBorders>
            <w:shd w:color="auto" w:fill="auto" w:val="clear"/>
          </w:tcPr>
          <w:p>
            <w:pPr>
              <w:pStyle w:val="Normal"/>
              <w:spacing w:lineRule="auto" w:line="276" w:before="0" w:after="0"/>
              <w:jc w:val="right"/>
              <w:cnfStyle w:val="000000000000"/>
              <w:rPr>
                <w:bCs/>
              </w:rPr>
            </w:pPr>
            <w:r>
              <w:rPr>
                <w:bCs/>
                <w:color w:val="000000" w:themeColor="text1" w:themeShade="bf"/>
              </w:rPr>
              <w:t>0.211</w:t>
            </w:r>
          </w:p>
        </w:tc>
      </w:tr>
      <w:tr>
        <w:trPr>
          <w:cnfStyle w:val="000000100000"/>
        </w:trPr>
        <w:tc>
          <w:tcPr>
            <w:tcW w:w="3119" w:type="dxa"/>
            <w:cnfStyle w:val="001000000000"/>
            <w:tcBorders>
              <w:top w:val="nil"/>
              <w:bottom w:val="nil"/>
              <w:insideH w:val="nil"/>
            </w:tcBorders>
            <w:shd w:color="auto" w:fill="auto" w:val="clear"/>
          </w:tcPr>
          <w:p>
            <w:pPr>
              <w:pStyle w:val="Normal"/>
              <w:spacing w:lineRule="auto" w:line="276" w:before="0" w:after="0"/>
              <w:rPr>
                <w:b w:val="false"/>
                <w:b w:val="false"/>
                <w:lang w:val="en-US"/>
              </w:rPr>
            </w:pPr>
            <w:r>
              <w:rPr>
                <w:b w:val="false"/>
                <w:bCs/>
                <w:color w:val="000000" w:themeColor="text1" w:themeShade="bf"/>
                <w:lang w:val="en-US"/>
              </w:rPr>
              <w:t>Shunt location</w:t>
            </w:r>
          </w:p>
          <w:p>
            <w:pPr>
              <w:pStyle w:val="Normal"/>
              <w:spacing w:lineRule="auto" w:line="276" w:before="0" w:after="0"/>
              <w:rPr>
                <w:b w:val="false"/>
                <w:b w:val="false"/>
                <w:lang w:val="en-US"/>
              </w:rPr>
            </w:pPr>
            <w:r>
              <w:rPr>
                <w:b w:val="false"/>
                <w:bCs/>
                <w:color w:val="000000" w:themeColor="text1" w:themeShade="bf"/>
                <w:lang w:val="en-US"/>
              </w:rPr>
              <w:t>Simple pre-tricuspid valve</w:t>
            </w:r>
          </w:p>
          <w:p>
            <w:pPr>
              <w:pStyle w:val="Normal"/>
              <w:spacing w:lineRule="auto" w:line="276" w:before="0" w:after="0"/>
              <w:rPr>
                <w:b w:val="false"/>
                <w:b w:val="false"/>
                <w:lang w:val="en-US"/>
              </w:rPr>
            </w:pPr>
            <w:r>
              <w:rPr>
                <w:b w:val="false"/>
                <w:bCs/>
                <w:color w:val="000000" w:themeColor="text1" w:themeShade="bf"/>
                <w:lang w:val="en-US"/>
              </w:rPr>
              <w:t>Simple post-tricuspid valve</w:t>
            </w:r>
          </w:p>
          <w:p>
            <w:pPr>
              <w:pStyle w:val="Normal"/>
              <w:tabs>
                <w:tab w:val="center" w:pos="1860" w:leader="none"/>
              </w:tabs>
              <w:spacing w:lineRule="auto" w:line="276" w:before="0" w:after="0"/>
              <w:rPr>
                <w:b w:val="false"/>
                <w:b w:val="false"/>
                <w:bCs w:val="false"/>
              </w:rPr>
            </w:pPr>
            <w:r>
              <w:rPr>
                <w:b w:val="false"/>
                <w:bCs/>
                <w:color w:val="000000" w:themeColor="text1" w:themeShade="bf"/>
                <w:lang w:val="en-US"/>
              </w:rPr>
              <w:t>Complex</w:t>
              <w:tab/>
            </w:r>
          </w:p>
        </w:tc>
        <w:tc>
          <w:tcPr>
            <w:tcW w:w="1559" w:type="dxa"/>
            <w:tcBorders>
              <w:top w:val="nil"/>
              <w:bottom w:val="nil"/>
              <w:insideH w:val="nil"/>
            </w:tcBorders>
            <w:shd w:color="auto" w:fill="auto" w:val="clear"/>
          </w:tcPr>
          <w:p>
            <w:pPr>
              <w:pStyle w:val="Normal"/>
              <w:spacing w:lineRule="auto" w:line="276" w:before="0" w:after="0"/>
              <w:jc w:val="right"/>
              <w:cnfStyle w:val="000000100000"/>
              <w:rPr>
                <w:bCs/>
                <w:color w:val="000000" w:themeColor="text1" w:themeShade="bf"/>
              </w:rPr>
            </w:pPr>
            <w:r>
              <w:rPr>
                <w:bCs/>
                <w:color w:val="000000" w:themeColor="text1" w:themeShade="bf"/>
              </w:rPr>
            </w:r>
          </w:p>
          <w:p>
            <w:pPr>
              <w:pStyle w:val="Normal"/>
              <w:spacing w:lineRule="auto" w:line="276" w:before="0" w:after="0"/>
              <w:jc w:val="right"/>
              <w:cnfStyle w:val="000000100000"/>
              <w:rPr>
                <w:bCs/>
              </w:rPr>
            </w:pPr>
            <w:r>
              <w:rPr>
                <w:bCs/>
                <w:color w:val="000000" w:themeColor="text1" w:themeShade="bf"/>
              </w:rPr>
              <w:t>182 (11.7)</w:t>
            </w:r>
          </w:p>
          <w:p>
            <w:pPr>
              <w:pStyle w:val="Normal"/>
              <w:spacing w:lineRule="auto" w:line="276" w:before="0" w:after="0"/>
              <w:jc w:val="right"/>
              <w:cnfStyle w:val="000000100000"/>
              <w:rPr>
                <w:bCs/>
              </w:rPr>
            </w:pPr>
            <w:r>
              <w:rPr>
                <w:bCs/>
                <w:color w:val="000000" w:themeColor="text1" w:themeShade="bf"/>
              </w:rPr>
              <w:t>803 (52.0)</w:t>
            </w:r>
          </w:p>
          <w:p>
            <w:pPr>
              <w:pStyle w:val="Normal"/>
              <w:spacing w:lineRule="auto" w:line="276" w:before="0" w:after="0"/>
              <w:jc w:val="right"/>
              <w:cnfStyle w:val="000000100000"/>
              <w:rPr>
                <w:bCs/>
              </w:rPr>
            </w:pPr>
            <w:r>
              <w:rPr>
                <w:bCs/>
                <w:color w:val="000000" w:themeColor="text1" w:themeShade="bf"/>
              </w:rPr>
              <w:t>561 (36.3)</w:t>
            </w:r>
          </w:p>
        </w:tc>
        <w:tc>
          <w:tcPr>
            <w:tcW w:w="1597" w:type="dxa"/>
            <w:tcBorders>
              <w:top w:val="nil"/>
              <w:bottom w:val="nil"/>
              <w:insideH w:val="nil"/>
            </w:tcBorders>
            <w:shd w:color="auto" w:fill="auto" w:val="clear"/>
          </w:tcPr>
          <w:p>
            <w:pPr>
              <w:pStyle w:val="Normal"/>
              <w:spacing w:lineRule="auto" w:line="276" w:before="0" w:after="0"/>
              <w:jc w:val="right"/>
              <w:cnfStyle w:val="000000100000"/>
              <w:rPr>
                <w:bCs/>
                <w:color w:val="000000" w:themeColor="text1" w:themeShade="bf"/>
              </w:rPr>
            </w:pPr>
            <w:r>
              <w:rPr>
                <w:bCs/>
                <w:color w:val="000000" w:themeColor="text1" w:themeShade="bf"/>
              </w:rPr>
            </w:r>
          </w:p>
          <w:p>
            <w:pPr>
              <w:pStyle w:val="Normal"/>
              <w:spacing w:lineRule="auto" w:line="276" w:before="0" w:after="0"/>
              <w:jc w:val="right"/>
              <w:cnfStyle w:val="000000100000"/>
              <w:rPr>
                <w:bCs/>
              </w:rPr>
            </w:pPr>
            <w:r>
              <w:rPr>
                <w:bCs/>
                <w:color w:val="000000" w:themeColor="text1" w:themeShade="bf"/>
              </w:rPr>
              <w:t>85 (9.9)</w:t>
            </w:r>
          </w:p>
          <w:p>
            <w:pPr>
              <w:pStyle w:val="Normal"/>
              <w:spacing w:lineRule="auto" w:line="276" w:before="0" w:after="0"/>
              <w:jc w:val="right"/>
              <w:cnfStyle w:val="000000100000"/>
              <w:rPr>
                <w:bCs/>
              </w:rPr>
            </w:pPr>
            <w:r>
              <w:rPr>
                <w:bCs/>
                <w:color w:val="000000" w:themeColor="text1" w:themeShade="bf"/>
              </w:rPr>
              <w:t>411 (48.0)</w:t>
            </w:r>
          </w:p>
          <w:p>
            <w:pPr>
              <w:pStyle w:val="Normal"/>
              <w:spacing w:lineRule="auto" w:line="276" w:before="0" w:after="0"/>
              <w:jc w:val="right"/>
              <w:cnfStyle w:val="000000100000"/>
              <w:rPr>
                <w:bCs/>
              </w:rPr>
            </w:pPr>
            <w:r>
              <w:rPr>
                <w:bCs/>
                <w:color w:val="000000" w:themeColor="text1" w:themeShade="bf"/>
              </w:rPr>
              <w:t>361 (42.1)</w:t>
            </w:r>
          </w:p>
        </w:tc>
        <w:tc>
          <w:tcPr>
            <w:tcW w:w="1559" w:type="dxa"/>
            <w:tcBorders>
              <w:top w:val="nil"/>
              <w:bottom w:val="nil"/>
              <w:insideH w:val="nil"/>
            </w:tcBorders>
            <w:shd w:color="auto" w:fill="auto" w:val="clear"/>
          </w:tcPr>
          <w:p>
            <w:pPr>
              <w:pStyle w:val="Normal"/>
              <w:spacing w:lineRule="auto" w:line="276" w:before="0" w:after="0"/>
              <w:jc w:val="right"/>
              <w:cnfStyle w:val="000000100000"/>
              <w:rPr>
                <w:bCs/>
                <w:color w:val="000000" w:themeColor="text1" w:themeShade="bf"/>
              </w:rPr>
            </w:pPr>
            <w:r>
              <w:rPr>
                <w:bCs/>
                <w:color w:val="000000" w:themeColor="text1" w:themeShade="bf"/>
              </w:rPr>
            </w:r>
          </w:p>
          <w:p>
            <w:pPr>
              <w:pStyle w:val="Normal"/>
              <w:spacing w:lineRule="auto" w:line="276" w:before="0" w:after="0"/>
              <w:jc w:val="right"/>
              <w:cnfStyle w:val="000000100000"/>
              <w:rPr>
                <w:bCs/>
              </w:rPr>
            </w:pPr>
            <w:r>
              <w:rPr>
                <w:bCs/>
                <w:color w:val="000000" w:themeColor="text1" w:themeShade="bf"/>
              </w:rPr>
              <w:t>134 (11.1)</w:t>
            </w:r>
          </w:p>
          <w:p>
            <w:pPr>
              <w:pStyle w:val="Normal"/>
              <w:spacing w:lineRule="auto" w:line="276" w:before="0" w:after="0"/>
              <w:jc w:val="right"/>
              <w:cnfStyle w:val="000000100000"/>
              <w:rPr>
                <w:bCs/>
              </w:rPr>
            </w:pPr>
            <w:r>
              <w:rPr>
                <w:bCs/>
                <w:color w:val="000000" w:themeColor="text1" w:themeShade="bf"/>
              </w:rPr>
              <w:t>657 (53.8)</w:t>
            </w:r>
          </w:p>
          <w:p>
            <w:pPr>
              <w:pStyle w:val="Normal"/>
              <w:spacing w:lineRule="auto" w:line="276" w:before="0" w:after="0"/>
              <w:jc w:val="right"/>
              <w:cnfStyle w:val="000000100000"/>
              <w:rPr>
                <w:bCs/>
              </w:rPr>
            </w:pPr>
            <w:r>
              <w:rPr>
                <w:bCs/>
                <w:color w:val="000000" w:themeColor="text1" w:themeShade="bf"/>
              </w:rPr>
              <w:t>428 (35.1)</w:t>
            </w:r>
          </w:p>
        </w:tc>
        <w:tc>
          <w:tcPr>
            <w:tcW w:w="1417" w:type="dxa"/>
            <w:tcBorders>
              <w:top w:val="nil"/>
              <w:bottom w:val="nil"/>
              <w:insideH w:val="nil"/>
            </w:tcBorders>
            <w:shd w:color="auto" w:fill="auto" w:val="clear"/>
          </w:tcPr>
          <w:p>
            <w:pPr>
              <w:pStyle w:val="Normal"/>
              <w:spacing w:lineRule="auto" w:line="276" w:before="0" w:after="0"/>
              <w:jc w:val="right"/>
              <w:cnfStyle w:val="000000100000"/>
              <w:rPr>
                <w:bCs/>
                <w:color w:val="000000" w:themeColor="text1" w:themeShade="bf"/>
              </w:rPr>
            </w:pPr>
            <w:r>
              <w:rPr>
                <w:bCs/>
                <w:color w:val="000000" w:themeColor="text1" w:themeShade="bf"/>
              </w:rPr>
            </w:r>
          </w:p>
          <w:p>
            <w:pPr>
              <w:pStyle w:val="Normal"/>
              <w:spacing w:lineRule="auto" w:line="276" w:before="0" w:after="0"/>
              <w:jc w:val="right"/>
              <w:cnfStyle w:val="000000100000"/>
              <w:rPr>
                <w:bCs/>
              </w:rPr>
            </w:pPr>
            <w:r>
              <w:rPr>
                <w:bCs/>
                <w:color w:val="000000" w:themeColor="text1" w:themeShade="bf"/>
              </w:rPr>
              <w:t>0.378</w:t>
            </w:r>
          </w:p>
          <w:p>
            <w:pPr>
              <w:pStyle w:val="Normal"/>
              <w:spacing w:lineRule="auto" w:line="276" w:before="0" w:after="0"/>
              <w:jc w:val="right"/>
              <w:cnfStyle w:val="000000100000"/>
              <w:rPr>
                <w:bCs/>
              </w:rPr>
            </w:pPr>
            <w:r>
              <w:rPr>
                <w:bCs/>
                <w:color w:val="000000" w:themeColor="text1" w:themeShade="bf"/>
              </w:rPr>
              <w:t>0.009*</w:t>
            </w:r>
          </w:p>
          <w:p>
            <w:pPr>
              <w:pStyle w:val="Normal"/>
              <w:spacing w:lineRule="auto" w:line="276" w:before="0" w:after="0"/>
              <w:jc w:val="right"/>
              <w:cnfStyle w:val="000000100000"/>
              <w:rPr>
                <w:bCs/>
              </w:rPr>
            </w:pPr>
            <w:r>
              <w:rPr>
                <w:bCs/>
                <w:color w:val="000000" w:themeColor="text1" w:themeShade="bf"/>
              </w:rPr>
              <w:t>&lt;0.001*</w:t>
            </w:r>
          </w:p>
        </w:tc>
        <w:tc>
          <w:tcPr>
            <w:tcW w:w="1701" w:type="dxa"/>
            <w:gridSpan w:val="2"/>
            <w:tcBorders>
              <w:top w:val="nil"/>
              <w:bottom w:val="nil"/>
              <w:insideH w:val="nil"/>
            </w:tcBorders>
            <w:shd w:color="auto" w:fill="auto" w:val="clear"/>
          </w:tcPr>
          <w:p>
            <w:pPr>
              <w:pStyle w:val="Normal"/>
              <w:spacing w:lineRule="auto" w:line="276" w:before="0" w:after="0"/>
              <w:jc w:val="right"/>
              <w:cnfStyle w:val="000000100000"/>
              <w:rPr>
                <w:bCs/>
                <w:color w:val="000000" w:themeColor="text1" w:themeShade="bf"/>
              </w:rPr>
            </w:pPr>
            <w:r>
              <w:rPr>
                <w:bCs/>
                <w:color w:val="000000" w:themeColor="text1" w:themeShade="bf"/>
              </w:rPr>
            </w:r>
          </w:p>
          <w:p>
            <w:pPr>
              <w:pStyle w:val="Normal"/>
              <w:spacing w:lineRule="auto" w:line="276" w:before="0" w:after="0"/>
              <w:jc w:val="right"/>
              <w:cnfStyle w:val="000000100000"/>
              <w:rPr>
                <w:bCs/>
              </w:rPr>
            </w:pPr>
            <w:r>
              <w:rPr>
                <w:bCs/>
                <w:color w:val="000000" w:themeColor="text1" w:themeShade="bf"/>
              </w:rPr>
              <w:t>86 (15.4)</w:t>
            </w:r>
          </w:p>
          <w:p>
            <w:pPr>
              <w:pStyle w:val="Normal"/>
              <w:spacing w:lineRule="auto" w:line="276" w:before="0" w:after="0"/>
              <w:jc w:val="right"/>
              <w:cnfStyle w:val="000000100000"/>
              <w:rPr>
                <w:bCs/>
              </w:rPr>
            </w:pPr>
            <w:r>
              <w:rPr>
                <w:bCs/>
                <w:color w:val="000000" w:themeColor="text1" w:themeShade="bf"/>
              </w:rPr>
              <w:t>235 (42.1)</w:t>
            </w:r>
          </w:p>
          <w:p>
            <w:pPr>
              <w:pStyle w:val="Normal"/>
              <w:spacing w:lineRule="auto" w:line="276" w:before="0" w:after="0"/>
              <w:jc w:val="right"/>
              <w:cnfStyle w:val="000000100000"/>
              <w:rPr>
                <w:bCs/>
              </w:rPr>
            </w:pPr>
            <w:r>
              <w:rPr>
                <w:bCs/>
                <w:color w:val="000000" w:themeColor="text1" w:themeShade="bf"/>
              </w:rPr>
              <w:t>236 (42.5)</w:t>
            </w:r>
          </w:p>
        </w:tc>
        <w:tc>
          <w:tcPr>
            <w:tcW w:w="1559" w:type="dxa"/>
            <w:tcBorders>
              <w:top w:val="nil"/>
              <w:bottom w:val="nil"/>
              <w:insideH w:val="nil"/>
            </w:tcBorders>
            <w:shd w:color="auto" w:fill="auto" w:val="clear"/>
          </w:tcPr>
          <w:p>
            <w:pPr>
              <w:pStyle w:val="Normal"/>
              <w:spacing w:lineRule="auto" w:line="276" w:before="0" w:after="0"/>
              <w:jc w:val="right"/>
              <w:cnfStyle w:val="000000100000"/>
              <w:rPr>
                <w:bCs/>
                <w:color w:val="000000" w:themeColor="text1" w:themeShade="bf"/>
              </w:rPr>
            </w:pPr>
            <w:r>
              <w:rPr>
                <w:bCs/>
                <w:color w:val="000000" w:themeColor="text1" w:themeShade="bf"/>
              </w:rPr>
            </w:r>
          </w:p>
          <w:p>
            <w:pPr>
              <w:pStyle w:val="Normal"/>
              <w:spacing w:lineRule="auto" w:line="276" w:before="0" w:after="0"/>
              <w:jc w:val="right"/>
              <w:cnfStyle w:val="000000100000"/>
              <w:rPr>
                <w:bCs/>
              </w:rPr>
            </w:pPr>
            <w:r>
              <w:rPr>
                <w:bCs/>
                <w:color w:val="000000" w:themeColor="text1" w:themeShade="bf"/>
              </w:rPr>
              <w:t>43 (14.5)</w:t>
            </w:r>
          </w:p>
          <w:p>
            <w:pPr>
              <w:pStyle w:val="Normal"/>
              <w:spacing w:lineRule="auto" w:line="276" w:before="0" w:after="0"/>
              <w:jc w:val="right"/>
              <w:cnfStyle w:val="000000100000"/>
              <w:rPr>
                <w:bCs/>
              </w:rPr>
            </w:pPr>
            <w:r>
              <w:rPr>
                <w:bCs/>
                <w:color w:val="000000" w:themeColor="text1" w:themeShade="bf"/>
              </w:rPr>
              <w:t>126 (42.4)</w:t>
            </w:r>
          </w:p>
          <w:p>
            <w:pPr>
              <w:pStyle w:val="Normal"/>
              <w:spacing w:lineRule="auto" w:line="276" w:before="0" w:after="0"/>
              <w:jc w:val="right"/>
              <w:cnfStyle w:val="000000100000"/>
              <w:rPr>
                <w:bCs/>
              </w:rPr>
            </w:pPr>
            <w:r>
              <w:rPr>
                <w:bCs/>
                <w:color w:val="000000" w:themeColor="text1" w:themeShade="bf"/>
              </w:rPr>
              <w:t>128 (43.1)</w:t>
            </w:r>
          </w:p>
        </w:tc>
        <w:tc>
          <w:tcPr>
            <w:tcW w:w="1558" w:type="dxa"/>
            <w:tcBorders>
              <w:top w:val="nil"/>
              <w:bottom w:val="nil"/>
              <w:insideH w:val="nil"/>
            </w:tcBorders>
            <w:shd w:color="auto" w:fill="auto" w:val="clear"/>
          </w:tcPr>
          <w:p>
            <w:pPr>
              <w:pStyle w:val="Normal"/>
              <w:spacing w:lineRule="auto" w:line="276" w:before="0" w:after="0"/>
              <w:jc w:val="right"/>
              <w:cnfStyle w:val="000000100000"/>
              <w:rPr>
                <w:bCs/>
                <w:color w:val="000000" w:themeColor="text1" w:themeShade="bf"/>
              </w:rPr>
            </w:pPr>
            <w:r>
              <w:rPr>
                <w:bCs/>
                <w:color w:val="000000" w:themeColor="text1" w:themeShade="bf"/>
              </w:rPr>
            </w:r>
          </w:p>
          <w:p>
            <w:pPr>
              <w:pStyle w:val="Normal"/>
              <w:spacing w:lineRule="auto" w:line="276" w:before="0" w:after="0"/>
              <w:jc w:val="right"/>
              <w:cnfStyle w:val="000000100000"/>
              <w:rPr>
                <w:bCs/>
              </w:rPr>
            </w:pPr>
            <w:r>
              <w:rPr>
                <w:bCs/>
                <w:color w:val="000000" w:themeColor="text1" w:themeShade="bf"/>
              </w:rPr>
              <w:t>43 (16.4)</w:t>
            </w:r>
          </w:p>
          <w:p>
            <w:pPr>
              <w:pStyle w:val="Normal"/>
              <w:spacing w:lineRule="auto" w:line="276" w:before="0" w:after="0"/>
              <w:jc w:val="right"/>
              <w:cnfStyle w:val="000000100000"/>
              <w:rPr>
                <w:bCs/>
              </w:rPr>
            </w:pPr>
            <w:r>
              <w:rPr>
                <w:bCs/>
                <w:color w:val="000000" w:themeColor="text1" w:themeShade="bf"/>
              </w:rPr>
              <w:t>109 (41.8)</w:t>
            </w:r>
          </w:p>
          <w:p>
            <w:pPr>
              <w:pStyle w:val="Normal"/>
              <w:spacing w:lineRule="auto" w:line="276" w:before="0" w:after="0"/>
              <w:jc w:val="right"/>
              <w:cnfStyle w:val="000000100000"/>
              <w:rPr>
                <w:bCs/>
              </w:rPr>
            </w:pPr>
            <w:r>
              <w:rPr>
                <w:bCs/>
                <w:color w:val="000000" w:themeColor="text1" w:themeShade="bf"/>
              </w:rPr>
              <w:t>109 (41.8)</w:t>
            </w:r>
          </w:p>
        </w:tc>
        <w:tc>
          <w:tcPr>
            <w:tcW w:w="1560" w:type="dxa"/>
            <w:tcBorders>
              <w:top w:val="nil"/>
              <w:bottom w:val="nil"/>
              <w:insideH w:val="nil"/>
            </w:tcBorders>
            <w:shd w:color="auto" w:fill="auto" w:val="clear"/>
          </w:tcPr>
          <w:p>
            <w:pPr>
              <w:pStyle w:val="Normal"/>
              <w:spacing w:lineRule="auto" w:line="276" w:before="0" w:after="0"/>
              <w:jc w:val="right"/>
              <w:cnfStyle w:val="000000100000"/>
              <w:rPr>
                <w:bCs/>
                <w:color w:val="000000" w:themeColor="text1" w:themeShade="bf"/>
              </w:rPr>
            </w:pPr>
            <w:r>
              <w:rPr>
                <w:bCs/>
                <w:color w:val="000000" w:themeColor="text1" w:themeShade="bf"/>
              </w:rPr>
            </w:r>
          </w:p>
          <w:p>
            <w:pPr>
              <w:pStyle w:val="Normal"/>
              <w:spacing w:lineRule="auto" w:line="276" w:before="0" w:after="0"/>
              <w:jc w:val="right"/>
              <w:cnfStyle w:val="000000100000"/>
              <w:rPr>
                <w:bCs/>
              </w:rPr>
            </w:pPr>
            <w:r>
              <w:rPr>
                <w:bCs/>
                <w:color w:val="000000" w:themeColor="text1" w:themeShade="bf"/>
              </w:rPr>
              <w:t>0.514</w:t>
            </w:r>
          </w:p>
          <w:p>
            <w:pPr>
              <w:pStyle w:val="Normal"/>
              <w:spacing w:lineRule="auto" w:line="276" w:before="0" w:after="0"/>
              <w:jc w:val="right"/>
              <w:cnfStyle w:val="000000100000"/>
              <w:rPr>
                <w:bCs/>
              </w:rPr>
            </w:pPr>
            <w:r>
              <w:rPr>
                <w:bCs/>
                <w:color w:val="000000" w:themeColor="text1" w:themeShade="bf"/>
              </w:rPr>
              <w:t>0.874</w:t>
            </w:r>
          </w:p>
          <w:p>
            <w:pPr>
              <w:pStyle w:val="Normal"/>
              <w:spacing w:lineRule="auto" w:line="276" w:before="0" w:after="0"/>
              <w:jc w:val="right"/>
              <w:cnfStyle w:val="000000100000"/>
              <w:rPr>
                <w:bCs/>
              </w:rPr>
            </w:pPr>
            <w:r>
              <w:rPr>
                <w:bCs/>
                <w:color w:val="000000" w:themeColor="text1" w:themeShade="bf"/>
              </w:rPr>
              <w:t>0.750</w:t>
            </w:r>
          </w:p>
        </w:tc>
      </w:tr>
      <w:tr>
        <w:trPr/>
        <w:tc>
          <w:tcPr>
            <w:tcW w:w="3119" w:type="dxa"/>
            <w:cnfStyle w:val="001000000000"/>
            <w:tcBorders>
              <w:top w:val="nil"/>
              <w:bottom w:val="nil"/>
              <w:insideH w:val="nil"/>
            </w:tcBorders>
            <w:shd w:color="auto" w:fill="auto" w:val="clear"/>
          </w:tcPr>
          <w:p>
            <w:pPr>
              <w:pStyle w:val="Normal"/>
              <w:spacing w:lineRule="auto" w:line="276" w:before="0" w:after="0"/>
              <w:rPr>
                <w:b w:val="false"/>
                <w:b w:val="false"/>
                <w:lang w:val="en-US"/>
              </w:rPr>
            </w:pPr>
            <w:r>
              <w:rPr>
                <w:b w:val="false"/>
                <w:bCs/>
                <w:color w:val="000000" w:themeColor="text1" w:themeShade="bf"/>
                <w:lang w:val="en-US"/>
              </w:rPr>
              <w:t>Median follow-up, years</w:t>
            </w:r>
          </w:p>
        </w:tc>
        <w:tc>
          <w:tcPr>
            <w:tcW w:w="1559" w:type="dxa"/>
            <w:tcBorders>
              <w:top w:val="nil"/>
              <w:bottom w:val="nil"/>
              <w:insideH w:val="nil"/>
            </w:tcBorders>
            <w:shd w:color="auto" w:fill="auto" w:val="clear"/>
          </w:tcPr>
          <w:p>
            <w:pPr>
              <w:pStyle w:val="Normal"/>
              <w:spacing w:lineRule="auto" w:line="276" w:before="0" w:after="0"/>
              <w:jc w:val="right"/>
              <w:cnfStyle w:val="000000000000"/>
              <w:rPr>
                <w:lang w:val="en-US"/>
              </w:rPr>
            </w:pPr>
            <w:r>
              <w:rPr>
                <w:color w:val="000000" w:themeColor="text1" w:themeShade="bf"/>
                <w:lang w:val="en-US"/>
              </w:rPr>
              <w:t>6.1 [2.1-21.5]</w:t>
            </w:r>
          </w:p>
        </w:tc>
        <w:tc>
          <w:tcPr>
            <w:tcW w:w="1597" w:type="dxa"/>
            <w:tcBorders>
              <w:top w:val="nil"/>
              <w:bottom w:val="nil"/>
              <w:insideH w:val="nil"/>
            </w:tcBorders>
            <w:shd w:color="auto" w:fill="auto" w:val="clear"/>
          </w:tcPr>
          <w:p>
            <w:pPr>
              <w:pStyle w:val="Normal"/>
              <w:spacing w:lineRule="auto" w:line="276" w:before="0" w:after="0"/>
              <w:jc w:val="right"/>
              <w:cnfStyle w:val="000000000000"/>
              <w:rPr>
                <w:bCs/>
              </w:rPr>
            </w:pPr>
            <w:r>
              <w:rPr>
                <w:bCs/>
                <w:color w:val="000000" w:themeColor="text1" w:themeShade="bf"/>
              </w:rPr>
              <w:t>18.6</w:t>
            </w:r>
            <w:r>
              <w:rPr>
                <w:color w:val="000000" w:themeColor="text1" w:themeShade="bf"/>
                <w:lang w:val="en-US"/>
              </w:rPr>
              <w:t xml:space="preserve"> [8.6-31.5]</w:t>
            </w:r>
            <w:r>
              <w:rPr>
                <w:bCs/>
                <w:color w:val="000000" w:themeColor="text1" w:themeShade="bf"/>
              </w:rPr>
              <w:t xml:space="preserve"> </w:t>
            </w:r>
          </w:p>
        </w:tc>
        <w:tc>
          <w:tcPr>
            <w:tcW w:w="1559" w:type="dxa"/>
            <w:tcBorders>
              <w:top w:val="nil"/>
              <w:bottom w:val="nil"/>
              <w:insideH w:val="nil"/>
            </w:tcBorders>
            <w:shd w:color="auto" w:fill="auto" w:val="clear"/>
          </w:tcPr>
          <w:p>
            <w:pPr>
              <w:pStyle w:val="Normal"/>
              <w:spacing w:lineRule="auto" w:line="276" w:before="0" w:after="0"/>
              <w:jc w:val="right"/>
              <w:cnfStyle w:val="000000000000"/>
              <w:rPr>
                <w:bCs/>
              </w:rPr>
            </w:pPr>
            <w:r>
              <w:rPr>
                <w:bCs/>
                <w:color w:val="000000" w:themeColor="text1" w:themeShade="bf"/>
              </w:rPr>
              <w:t xml:space="preserve">5.0 </w:t>
            </w:r>
            <w:r>
              <w:rPr>
                <w:color w:val="000000" w:themeColor="text1" w:themeShade="bf"/>
                <w:lang w:val="en-US"/>
              </w:rPr>
              <w:t>[2.0-18.1]</w:t>
            </w:r>
          </w:p>
        </w:tc>
        <w:tc>
          <w:tcPr>
            <w:tcW w:w="1417" w:type="dxa"/>
            <w:tcBorders>
              <w:top w:val="nil"/>
              <w:bottom w:val="nil"/>
              <w:insideH w:val="nil"/>
            </w:tcBorders>
            <w:shd w:color="auto" w:fill="auto" w:val="clear"/>
          </w:tcPr>
          <w:p>
            <w:pPr>
              <w:pStyle w:val="Normal"/>
              <w:spacing w:lineRule="auto" w:line="276" w:before="0" w:after="0"/>
              <w:jc w:val="right"/>
              <w:cnfStyle w:val="000000000000"/>
              <w:rPr>
                <w:bCs/>
              </w:rPr>
            </w:pPr>
            <w:r>
              <w:rPr>
                <w:bCs/>
                <w:color w:val="000000" w:themeColor="text1" w:themeShade="bf"/>
              </w:rPr>
              <w:t>&lt;0.001*</w:t>
            </w:r>
          </w:p>
        </w:tc>
        <w:tc>
          <w:tcPr>
            <w:tcW w:w="1701" w:type="dxa"/>
            <w:gridSpan w:val="2"/>
            <w:tcBorders>
              <w:top w:val="nil"/>
              <w:bottom w:val="nil"/>
              <w:insideH w:val="nil"/>
            </w:tcBorders>
            <w:shd w:color="auto" w:fill="auto" w:val="clear"/>
          </w:tcPr>
          <w:p>
            <w:pPr>
              <w:pStyle w:val="Normal"/>
              <w:spacing w:lineRule="auto" w:line="276" w:before="0" w:after="0"/>
              <w:jc w:val="right"/>
              <w:cnfStyle w:val="000000000000"/>
              <w:rPr>
                <w:bCs/>
              </w:rPr>
            </w:pPr>
            <w:r>
              <w:rPr>
                <w:bCs/>
                <w:color w:val="000000" w:themeColor="text1" w:themeShade="bf"/>
              </w:rPr>
              <w:t>13.5</w:t>
            </w:r>
            <w:r>
              <w:rPr>
                <w:color w:val="000000" w:themeColor="text1" w:themeShade="bf"/>
                <w:lang w:val="en-US"/>
              </w:rPr>
              <w:t>[4.0-28.2]</w:t>
            </w:r>
          </w:p>
        </w:tc>
        <w:tc>
          <w:tcPr>
            <w:tcW w:w="1559" w:type="dxa"/>
            <w:tcBorders>
              <w:top w:val="nil"/>
              <w:bottom w:val="nil"/>
              <w:insideH w:val="nil"/>
            </w:tcBorders>
            <w:shd w:color="auto" w:fill="auto" w:val="clear"/>
          </w:tcPr>
          <w:p>
            <w:pPr>
              <w:pStyle w:val="Normal"/>
              <w:spacing w:lineRule="auto" w:line="276" w:before="0" w:after="0"/>
              <w:jc w:val="right"/>
              <w:cnfStyle w:val="000000000000"/>
              <w:rPr>
                <w:bCs/>
              </w:rPr>
            </w:pPr>
            <w:r>
              <w:rPr>
                <w:bCs/>
                <w:color w:val="000000" w:themeColor="text1" w:themeShade="bf"/>
              </w:rPr>
              <w:t>16.3</w:t>
            </w:r>
            <w:r>
              <w:rPr>
                <w:color w:val="000000" w:themeColor="text1" w:themeShade="bf"/>
                <w:lang w:val="en-US"/>
              </w:rPr>
              <w:t>[5.5-28.6]</w:t>
            </w:r>
          </w:p>
        </w:tc>
        <w:tc>
          <w:tcPr>
            <w:tcW w:w="1558" w:type="dxa"/>
            <w:tcBorders>
              <w:top w:val="nil"/>
              <w:bottom w:val="nil"/>
              <w:insideH w:val="nil"/>
            </w:tcBorders>
            <w:shd w:color="auto" w:fill="auto" w:val="clear"/>
          </w:tcPr>
          <w:p>
            <w:pPr>
              <w:pStyle w:val="Normal"/>
              <w:spacing w:lineRule="auto" w:line="276" w:before="0" w:after="0"/>
              <w:jc w:val="right"/>
              <w:cnfStyle w:val="000000000000"/>
              <w:rPr>
                <w:bCs/>
              </w:rPr>
            </w:pPr>
            <w:r>
              <w:rPr>
                <w:bCs/>
                <w:color w:val="000000" w:themeColor="text1" w:themeShade="bf"/>
              </w:rPr>
              <w:t>7.7</w:t>
            </w:r>
            <w:r>
              <w:rPr>
                <w:color w:val="000000" w:themeColor="text1" w:themeShade="bf"/>
                <w:lang w:val="en-US"/>
              </w:rPr>
              <w:t>[2.3-27.3]</w:t>
            </w:r>
          </w:p>
        </w:tc>
        <w:tc>
          <w:tcPr>
            <w:tcW w:w="1560" w:type="dxa"/>
            <w:tcBorders>
              <w:top w:val="nil"/>
              <w:bottom w:val="nil"/>
              <w:insideH w:val="nil"/>
            </w:tcBorders>
            <w:shd w:color="auto" w:fill="auto" w:val="clear"/>
          </w:tcPr>
          <w:p>
            <w:pPr>
              <w:pStyle w:val="Normal"/>
              <w:spacing w:lineRule="auto" w:line="276" w:before="0" w:after="0"/>
              <w:jc w:val="right"/>
              <w:cnfStyle w:val="000000000000"/>
              <w:rPr>
                <w:bCs/>
              </w:rPr>
            </w:pPr>
            <w:r>
              <w:rPr>
                <w:bCs/>
                <w:color w:val="000000" w:themeColor="text1" w:themeShade="bf"/>
              </w:rPr>
              <w:t>&lt;0.001*</w:t>
            </w:r>
          </w:p>
        </w:tc>
      </w:tr>
      <w:tr>
        <w:trPr>
          <w:cnfStyle w:val="000000100000"/>
        </w:trPr>
        <w:tc>
          <w:tcPr>
            <w:tcW w:w="3119" w:type="dxa"/>
            <w:cnfStyle w:val="001000000000"/>
            <w:tcBorders>
              <w:top w:val="nil"/>
            </w:tcBorders>
            <w:shd w:color="auto" w:fill="auto" w:val="clear"/>
          </w:tcPr>
          <w:p>
            <w:pPr>
              <w:pStyle w:val="Normal"/>
              <w:spacing w:lineRule="auto" w:line="276" w:before="0" w:after="0"/>
              <w:rPr>
                <w:b w:val="false"/>
                <w:b w:val="false"/>
                <w:lang w:val="en-US"/>
              </w:rPr>
            </w:pPr>
            <w:r>
              <w:rPr>
                <w:b w:val="false"/>
                <w:bCs/>
                <w:color w:val="000000" w:themeColor="text1" w:themeShade="bf"/>
                <w:lang w:val="en-US"/>
              </w:rPr>
              <w:t xml:space="preserve">Age at last visit/death, years </w:t>
            </w:r>
          </w:p>
          <w:p>
            <w:pPr>
              <w:pStyle w:val="Normal"/>
              <w:spacing w:lineRule="auto" w:line="276" w:before="0" w:after="0"/>
              <w:rPr>
                <w:b w:val="false"/>
                <w:b w:val="false"/>
                <w:lang w:val="en-US"/>
              </w:rPr>
            </w:pPr>
            <w:r>
              <w:rPr>
                <w:b w:val="false"/>
                <w:bCs/>
                <w:color w:val="000000" w:themeColor="text1" w:themeShade="bf"/>
                <w:lang w:val="en-US"/>
              </w:rPr>
              <w:t>Age at death, years</w:t>
            </w:r>
          </w:p>
        </w:tc>
        <w:tc>
          <w:tcPr>
            <w:tcW w:w="1559" w:type="dxa"/>
            <w:tcBorders>
              <w:top w:val="nil"/>
            </w:tcBorders>
            <w:shd w:color="auto" w:fill="auto" w:val="clear"/>
          </w:tcPr>
          <w:p>
            <w:pPr>
              <w:pStyle w:val="Normal"/>
              <w:spacing w:lineRule="auto" w:line="276" w:before="0" w:after="0"/>
              <w:jc w:val="right"/>
              <w:cnfStyle w:val="000000100000"/>
              <w:rPr>
                <w:bCs/>
              </w:rPr>
            </w:pPr>
            <w:r>
              <w:rPr>
                <w:color w:val="000000" w:themeColor="text1" w:themeShade="bf"/>
                <w:lang w:val="en-US"/>
              </w:rPr>
              <w:t>38.7 ± 15.4</w:t>
            </w:r>
          </w:p>
        </w:tc>
        <w:tc>
          <w:tcPr>
            <w:tcW w:w="1597" w:type="dxa"/>
            <w:tcBorders>
              <w:top w:val="nil"/>
            </w:tcBorders>
            <w:shd w:color="auto" w:fill="auto" w:val="clear"/>
          </w:tcPr>
          <w:p>
            <w:pPr>
              <w:pStyle w:val="Normal"/>
              <w:spacing w:lineRule="auto" w:line="276" w:before="0" w:after="0"/>
              <w:jc w:val="right"/>
              <w:cnfStyle w:val="000000100000"/>
              <w:rPr>
                <w:bCs/>
              </w:rPr>
            </w:pPr>
            <w:r>
              <w:rPr>
                <w:bCs/>
                <w:color w:val="000000" w:themeColor="text1" w:themeShade="bf"/>
              </w:rPr>
              <w:t xml:space="preserve">39.8 </w:t>
            </w:r>
            <w:r>
              <w:rPr>
                <w:color w:val="000000" w:themeColor="text1" w:themeShade="bf"/>
                <w:lang w:val="en-US"/>
              </w:rPr>
              <w:t>± 16.3</w:t>
            </w:r>
          </w:p>
        </w:tc>
        <w:tc>
          <w:tcPr>
            <w:tcW w:w="1559" w:type="dxa"/>
            <w:tcBorders>
              <w:top w:val="nil"/>
            </w:tcBorders>
            <w:shd w:color="auto" w:fill="auto" w:val="clear"/>
          </w:tcPr>
          <w:p>
            <w:pPr>
              <w:pStyle w:val="Normal"/>
              <w:spacing w:lineRule="auto" w:line="276" w:before="0" w:after="0"/>
              <w:jc w:val="right"/>
              <w:cnfStyle w:val="000000100000"/>
              <w:rPr>
                <w:bCs/>
              </w:rPr>
            </w:pPr>
            <w:r>
              <w:rPr>
                <w:bCs/>
                <w:color w:val="000000" w:themeColor="text1" w:themeShade="bf"/>
              </w:rPr>
              <w:t xml:space="preserve">39.2 </w:t>
            </w:r>
            <w:r>
              <w:rPr>
                <w:color w:val="000000" w:themeColor="text1" w:themeShade="bf"/>
                <w:lang w:val="en-US"/>
              </w:rPr>
              <w:t>± 14.5</w:t>
            </w:r>
            <w:r>
              <w:rPr>
                <w:bCs/>
                <w:color w:val="000000" w:themeColor="text1" w:themeShade="bf"/>
              </w:rPr>
              <w:t xml:space="preserve"> </w:t>
            </w:r>
          </w:p>
        </w:tc>
        <w:tc>
          <w:tcPr>
            <w:tcW w:w="1417" w:type="dxa"/>
            <w:tcBorders>
              <w:top w:val="nil"/>
            </w:tcBorders>
            <w:shd w:color="auto" w:fill="auto" w:val="clear"/>
          </w:tcPr>
          <w:p>
            <w:pPr>
              <w:pStyle w:val="Normal"/>
              <w:spacing w:lineRule="auto" w:line="276" w:before="0" w:after="0"/>
              <w:jc w:val="right"/>
              <w:cnfStyle w:val="000000100000"/>
              <w:rPr>
                <w:bCs/>
              </w:rPr>
            </w:pPr>
            <w:r>
              <w:rPr>
                <w:bCs/>
                <w:color w:val="000000" w:themeColor="text1" w:themeShade="bf"/>
              </w:rPr>
              <w:t>0.376</w:t>
            </w:r>
          </w:p>
        </w:tc>
        <w:tc>
          <w:tcPr>
            <w:tcW w:w="1701" w:type="dxa"/>
            <w:gridSpan w:val="2"/>
            <w:tcBorders>
              <w:top w:val="nil"/>
            </w:tcBorders>
            <w:shd w:color="auto" w:fill="auto" w:val="clear"/>
          </w:tcPr>
          <w:p>
            <w:pPr>
              <w:pStyle w:val="Normal"/>
              <w:spacing w:lineRule="auto" w:line="276" w:before="0" w:after="0"/>
              <w:jc w:val="right"/>
              <w:cnfStyle w:val="000000100000"/>
              <w:rPr>
                <w:bCs/>
                <w:color w:val="000000" w:themeColor="text1" w:themeShade="bf"/>
              </w:rPr>
            </w:pPr>
            <w:r>
              <w:rPr>
                <w:bCs/>
                <w:color w:val="000000" w:themeColor="text1" w:themeShade="bf"/>
              </w:rPr>
            </w:r>
          </w:p>
          <w:p>
            <w:pPr>
              <w:pStyle w:val="Normal"/>
              <w:spacing w:lineRule="auto" w:line="276" w:before="0" w:after="0"/>
              <w:jc w:val="right"/>
              <w:cnfStyle w:val="000000100000"/>
              <w:rPr>
                <w:bCs/>
              </w:rPr>
            </w:pPr>
            <w:r>
              <w:rPr>
                <w:bCs/>
                <w:color w:val="000000" w:themeColor="text1" w:themeShade="bf"/>
              </w:rPr>
              <w:t xml:space="preserve">40.8 </w:t>
            </w:r>
            <w:r>
              <w:rPr>
                <w:color w:val="000000" w:themeColor="text1" w:themeShade="bf"/>
                <w:lang w:val="en-US"/>
              </w:rPr>
              <w:t>± 18.1</w:t>
            </w:r>
          </w:p>
        </w:tc>
        <w:tc>
          <w:tcPr>
            <w:tcW w:w="1559" w:type="dxa"/>
            <w:tcBorders>
              <w:top w:val="nil"/>
            </w:tcBorders>
            <w:shd w:color="auto" w:fill="auto" w:val="clear"/>
          </w:tcPr>
          <w:p>
            <w:pPr>
              <w:pStyle w:val="Normal"/>
              <w:spacing w:lineRule="auto" w:line="276" w:before="0" w:after="0"/>
              <w:jc w:val="right"/>
              <w:cnfStyle w:val="000000100000"/>
              <w:rPr>
                <w:bCs/>
                <w:color w:val="000000" w:themeColor="text1" w:themeShade="bf"/>
              </w:rPr>
            </w:pPr>
            <w:r>
              <w:rPr>
                <w:bCs/>
                <w:color w:val="000000" w:themeColor="text1" w:themeShade="bf"/>
              </w:rPr>
            </w:r>
          </w:p>
          <w:p>
            <w:pPr>
              <w:pStyle w:val="Normal"/>
              <w:spacing w:lineRule="auto" w:line="276" w:before="0" w:after="0"/>
              <w:jc w:val="right"/>
              <w:cnfStyle w:val="000000100000"/>
              <w:rPr>
                <w:bCs/>
              </w:rPr>
            </w:pPr>
            <w:r>
              <w:rPr>
                <w:bCs/>
                <w:color w:val="000000" w:themeColor="text1" w:themeShade="bf"/>
              </w:rPr>
              <w:t>36.9 ± 18.8</w:t>
            </w:r>
          </w:p>
        </w:tc>
        <w:tc>
          <w:tcPr>
            <w:tcW w:w="1558" w:type="dxa"/>
            <w:tcBorders>
              <w:top w:val="nil"/>
            </w:tcBorders>
            <w:shd w:color="auto" w:fill="auto" w:val="clear"/>
          </w:tcPr>
          <w:p>
            <w:pPr>
              <w:pStyle w:val="Normal"/>
              <w:spacing w:lineRule="auto" w:line="276" w:before="0" w:after="0"/>
              <w:jc w:val="right"/>
              <w:cnfStyle w:val="000000100000"/>
              <w:rPr>
                <w:bCs/>
                <w:color w:val="000000" w:themeColor="text1" w:themeShade="bf"/>
              </w:rPr>
            </w:pPr>
            <w:r>
              <w:rPr>
                <w:bCs/>
                <w:color w:val="000000" w:themeColor="text1" w:themeShade="bf"/>
              </w:rPr>
            </w:r>
          </w:p>
          <w:p>
            <w:pPr>
              <w:pStyle w:val="Normal"/>
              <w:spacing w:lineRule="auto" w:line="276" w:before="0" w:after="0"/>
              <w:jc w:val="right"/>
              <w:cnfStyle w:val="000000100000"/>
              <w:rPr>
                <w:bCs/>
              </w:rPr>
            </w:pPr>
            <w:r>
              <w:rPr>
                <w:bCs/>
                <w:color w:val="000000" w:themeColor="text1" w:themeShade="bf"/>
              </w:rPr>
              <w:t>45.2 ± 16.2</w:t>
            </w:r>
          </w:p>
        </w:tc>
        <w:tc>
          <w:tcPr>
            <w:tcW w:w="1560" w:type="dxa"/>
            <w:tcBorders>
              <w:top w:val="nil"/>
            </w:tcBorders>
            <w:shd w:color="auto" w:fill="auto" w:val="clear"/>
          </w:tcPr>
          <w:p>
            <w:pPr>
              <w:pStyle w:val="Normal"/>
              <w:spacing w:lineRule="auto" w:line="276" w:before="0" w:after="0"/>
              <w:jc w:val="right"/>
              <w:cnfStyle w:val="000000100000"/>
              <w:rPr>
                <w:bCs/>
                <w:color w:val="000000" w:themeColor="text1" w:themeShade="bf"/>
              </w:rPr>
            </w:pPr>
            <w:r>
              <w:rPr>
                <w:bCs/>
                <w:color w:val="000000" w:themeColor="text1" w:themeShade="bf"/>
              </w:rPr>
            </w:r>
          </w:p>
          <w:p>
            <w:pPr>
              <w:pStyle w:val="Normal"/>
              <w:spacing w:lineRule="auto" w:line="276" w:before="0" w:after="0"/>
              <w:jc w:val="right"/>
              <w:cnfStyle w:val="000000100000"/>
              <w:rPr>
                <w:bCs/>
              </w:rPr>
            </w:pPr>
            <w:r>
              <w:rPr>
                <w:bCs/>
                <w:color w:val="000000" w:themeColor="text1" w:themeShade="bf"/>
              </w:rPr>
              <w:t>&lt;0.001*</w:t>
            </w:r>
          </w:p>
        </w:tc>
      </w:tr>
    </w:tbl>
    <w:p>
      <w:pPr>
        <w:pStyle w:val="Normal"/>
        <w:spacing w:before="0" w:after="0"/>
        <w:rPr>
          <w:lang w:val="en-US"/>
        </w:rPr>
      </w:pPr>
      <w:r>
        <w:rPr>
          <w:lang w:val="en-US"/>
        </w:rPr>
        <w:t>*Indicates statistical significance</w:t>
      </w:r>
    </w:p>
    <w:p>
      <w:pPr>
        <w:sectPr>
          <w:footerReference w:type="default" r:id="rId4"/>
          <w:type w:val="nextPage"/>
          <w:pgSz w:orient="landscape" w:w="16838" w:h="11906"/>
          <w:pgMar w:left="1701" w:right="1701" w:header="0" w:top="1134" w:footer="709" w:bottom="1134" w:gutter="0"/>
          <w:pgNumType w:fmt="decimal"/>
          <w:formProt w:val="false"/>
          <w:textDirection w:val="lrTb"/>
          <w:docGrid w:type="default" w:linePitch="360" w:charSpace="4294965247"/>
        </w:sectPr>
        <w:pStyle w:val="Normal"/>
        <w:spacing w:before="0" w:after="0"/>
        <w:rPr>
          <w:bCs/>
        </w:rPr>
      </w:pPr>
      <w:r>
        <w:rPr>
          <w:bCs/>
        </w:rPr>
        <w:t>N: number, SD: Standard deviation</w:t>
      </w:r>
    </w:p>
    <w:p>
      <w:pPr>
        <w:pStyle w:val="Normal"/>
        <w:rPr/>
      </w:pPr>
      <w:bookmarkStart w:id="28" w:name="_Ref438025756"/>
      <w:bookmarkStart w:id="29" w:name="_Ref444504631"/>
      <w:bookmarkStart w:id="30" w:name="_Ref443995036"/>
      <w:bookmarkStart w:id="31" w:name="_Ref443306889"/>
      <w:bookmarkEnd w:id="28"/>
      <w:r>
        <w:rPr/>
        <w:t xml:space="preserve">Table </w:t>
      </w:r>
      <w:r>
        <w:rPr/>
        <w:fldChar w:fldCharType="begin"/>
      </w:r>
      <w:r>
        <w:instrText> SEQ Table \* ARABIC </w:instrText>
      </w:r>
      <w:r>
        <w:fldChar w:fldCharType="separate"/>
      </w:r>
      <w:r>
        <w:t>2</w:t>
      </w:r>
      <w:r>
        <w:fldChar w:fldCharType="end"/>
      </w:r>
      <w:bookmarkEnd w:id="29"/>
      <w:bookmarkEnd w:id="30"/>
      <w:bookmarkEnd w:id="31"/>
      <w:r>
        <w:rPr>
          <w:lang w:val="en-US"/>
        </w:rPr>
        <w:t>. Cause-specific mortality rates in the early and late era.</w:t>
      </w:r>
      <w:r>
        <w:rPr/>
        <w:t xml:space="preserve"> </w:t>
      </w:r>
    </w:p>
    <w:tbl>
      <w:tblPr>
        <w:tblStyle w:val="LightShading"/>
        <w:tblW w:w="10881" w:type="dxa"/>
        <w:jc w:val="left"/>
        <w:tblInd w:w="0" w:type="dxa"/>
        <w:tblCellMar>
          <w:top w:w="0" w:type="dxa"/>
          <w:left w:w="108" w:type="dxa"/>
          <w:bottom w:w="0" w:type="dxa"/>
          <w:right w:w="108" w:type="dxa"/>
        </w:tblCellMar>
        <w:tblLook w:val="04a0"/>
      </w:tblPr>
      <w:tblGrid>
        <w:gridCol w:w="4077"/>
        <w:gridCol w:w="1843"/>
        <w:gridCol w:w="1843"/>
        <w:gridCol w:w="1843"/>
        <w:gridCol w:w="1275"/>
      </w:tblGrid>
      <w:tr>
        <w:trPr>
          <w:cnfStyle w:val="100000000000"/>
        </w:trPr>
        <w:tc>
          <w:tcPr>
            <w:tcW w:w="4077" w:type="dxa"/>
            <w:cnfStyle w:val="001000000000"/>
            <w:tcBorders>
              <w:bottom w:val="single" w:sz="4" w:space="0" w:color="00000A"/>
              <w:insideH w:val="single" w:sz="4" w:space="0" w:color="00000A"/>
            </w:tcBorders>
            <w:shd w:color="auto" w:fill="auto" w:val="clear"/>
          </w:tcPr>
          <w:p>
            <w:pPr>
              <w:pStyle w:val="Normal"/>
              <w:spacing w:lineRule="auto" w:line="276" w:before="0" w:after="0"/>
              <w:rPr>
                <w:b/>
                <w:b/>
                <w:bCs/>
                <w:color w:val="000000" w:themeColor="text1" w:themeShade="bf"/>
              </w:rPr>
            </w:pPr>
            <w:r>
              <w:rPr>
                <w:b/>
                <w:bCs/>
                <w:color w:val="000000" w:themeColor="text1" w:themeShade="bf"/>
              </w:rPr>
              <w:t>Cause of death</w:t>
            </w:r>
          </w:p>
        </w:tc>
        <w:tc>
          <w:tcPr>
            <w:tcW w:w="1843" w:type="dxa"/>
            <w:tcBorders>
              <w:right w:val="dotted" w:sz="4" w:space="0" w:color="00000A"/>
              <w:insideV w:val="dotted" w:sz="4" w:space="0" w:color="00000A"/>
            </w:tcBorders>
            <w:shd w:color="auto" w:fill="auto" w:val="clear"/>
          </w:tcPr>
          <w:p>
            <w:pPr>
              <w:pStyle w:val="Normal"/>
              <w:spacing w:lineRule="auto" w:line="276" w:before="0" w:after="0"/>
              <w:cnfStyle w:val="100000000000"/>
              <w:rPr>
                <w:b/>
                <w:b/>
                <w:bCs/>
                <w:color w:val="000000" w:themeColor="text1" w:themeShade="bf"/>
              </w:rPr>
            </w:pPr>
            <w:r>
              <w:rPr>
                <w:b/>
                <w:bCs/>
                <w:color w:val="000000" w:themeColor="text1" w:themeShade="bf"/>
              </w:rPr>
              <w:t>All deceased</w:t>
            </w:r>
          </w:p>
          <w:p>
            <w:pPr>
              <w:pStyle w:val="Normal"/>
              <w:spacing w:lineRule="auto" w:line="276" w:before="0" w:after="0"/>
              <w:cnfStyle w:val="100000000000"/>
              <w:rPr>
                <w:b w:val="false"/>
                <w:b w:val="false"/>
              </w:rPr>
            </w:pPr>
            <w:r>
              <w:rPr>
                <w:b/>
                <w:bCs/>
                <w:color w:val="000000" w:themeColor="text1" w:themeShade="bf"/>
              </w:rPr>
              <w:t xml:space="preserve">N </w:t>
            </w:r>
          </w:p>
          <w:p>
            <w:pPr>
              <w:pStyle w:val="Normal"/>
              <w:spacing w:lineRule="auto" w:line="276" w:before="0" w:after="0"/>
              <w:cnfStyle w:val="100000000000"/>
              <w:rPr>
                <w:b w:val="false"/>
                <w:b w:val="false"/>
              </w:rPr>
            </w:pPr>
            <w:r>
              <w:rPr>
                <w:b/>
                <w:bCs/>
                <w:color w:val="000000" w:themeColor="text1" w:themeShade="bf"/>
              </w:rPr>
              <w:t xml:space="preserve">(% all cases) </w:t>
            </w:r>
          </w:p>
          <w:p>
            <w:pPr>
              <w:pStyle w:val="Normal"/>
              <w:spacing w:lineRule="auto" w:line="276" w:before="0" w:after="0"/>
              <w:cnfStyle w:val="100000000000"/>
              <w:rPr>
                <w:i/>
                <w:i/>
              </w:rPr>
            </w:pPr>
            <w:r>
              <w:rPr>
                <w:b/>
                <w:bCs/>
                <w:i/>
                <w:color w:val="000000" w:themeColor="text1" w:themeShade="bf"/>
              </w:rPr>
              <w:t>(% known causes of death)</w:t>
            </w:r>
          </w:p>
        </w:tc>
        <w:tc>
          <w:tcPr>
            <w:tcW w:w="1843" w:type="dxa"/>
            <w:tcBorders>
              <w:left w:val="dotted" w:sz="4" w:space="0" w:color="00000A"/>
            </w:tcBorders>
            <w:shd w:color="auto" w:fill="auto" w:val="clear"/>
            <w:tcMar>
              <w:left w:w="103" w:type="dxa"/>
            </w:tcMar>
          </w:tcPr>
          <w:p>
            <w:pPr>
              <w:pStyle w:val="Normal"/>
              <w:spacing w:lineRule="auto" w:line="276" w:before="0" w:after="0"/>
              <w:cnfStyle w:val="100000000000"/>
              <w:rPr>
                <w:b/>
                <w:b/>
                <w:bCs/>
                <w:color w:val="000000" w:themeColor="text1" w:themeShade="bf"/>
              </w:rPr>
            </w:pPr>
            <w:r>
              <w:rPr>
                <w:b/>
                <w:bCs/>
                <w:color w:val="000000" w:themeColor="text1" w:themeShade="bf"/>
              </w:rPr>
              <w:t>Early Era</w:t>
            </w:r>
          </w:p>
          <w:p>
            <w:pPr>
              <w:pStyle w:val="Normal"/>
              <w:spacing w:lineRule="auto" w:line="276" w:before="0" w:after="0"/>
              <w:cnfStyle w:val="100000000000"/>
              <w:rPr>
                <w:b w:val="false"/>
                <w:b w:val="false"/>
              </w:rPr>
            </w:pPr>
            <w:r>
              <w:rPr>
                <w:b/>
                <w:bCs/>
                <w:color w:val="000000" w:themeColor="text1" w:themeShade="bf"/>
              </w:rPr>
              <w:t xml:space="preserve">N </w:t>
            </w:r>
          </w:p>
          <w:p>
            <w:pPr>
              <w:pStyle w:val="Normal"/>
              <w:spacing w:lineRule="auto" w:line="276" w:before="0" w:after="0"/>
              <w:cnfStyle w:val="100000000000"/>
              <w:rPr>
                <w:b w:val="false"/>
                <w:b w:val="false"/>
              </w:rPr>
            </w:pPr>
            <w:r>
              <w:rPr>
                <w:b/>
                <w:bCs/>
                <w:color w:val="000000" w:themeColor="text1" w:themeShade="bf"/>
              </w:rPr>
              <w:t xml:space="preserve">(% all cases) </w:t>
            </w:r>
          </w:p>
          <w:p>
            <w:pPr>
              <w:pStyle w:val="Normal"/>
              <w:spacing w:lineRule="auto" w:line="276" w:before="0" w:after="0"/>
              <w:cnfStyle w:val="100000000000"/>
              <w:rPr>
                <w:i/>
                <w:i/>
              </w:rPr>
            </w:pPr>
            <w:r>
              <w:rPr>
                <w:b/>
                <w:bCs/>
                <w:i/>
                <w:color w:val="000000" w:themeColor="text1" w:themeShade="bf"/>
              </w:rPr>
              <w:t>(% known causes of death)</w:t>
            </w:r>
          </w:p>
        </w:tc>
        <w:tc>
          <w:tcPr>
            <w:tcW w:w="1843" w:type="dxa"/>
            <w:tcBorders/>
            <w:shd w:color="auto" w:fill="auto" w:val="clear"/>
          </w:tcPr>
          <w:p>
            <w:pPr>
              <w:pStyle w:val="Normal"/>
              <w:spacing w:lineRule="auto" w:line="276" w:before="0" w:after="0"/>
              <w:cnfStyle w:val="100000000000"/>
              <w:rPr>
                <w:b/>
                <w:b/>
                <w:bCs/>
                <w:color w:val="000000" w:themeColor="text1" w:themeShade="bf"/>
              </w:rPr>
            </w:pPr>
            <w:r>
              <w:rPr>
                <w:b/>
                <w:bCs/>
                <w:color w:val="000000" w:themeColor="text1" w:themeShade="bf"/>
              </w:rPr>
              <w:t>Late Era</w:t>
            </w:r>
          </w:p>
          <w:p>
            <w:pPr>
              <w:pStyle w:val="Normal"/>
              <w:spacing w:lineRule="auto" w:line="276" w:before="0" w:after="0"/>
              <w:cnfStyle w:val="100000000000"/>
              <w:rPr>
                <w:b w:val="false"/>
                <w:b w:val="false"/>
              </w:rPr>
            </w:pPr>
            <w:r>
              <w:rPr>
                <w:b/>
                <w:bCs/>
                <w:color w:val="000000" w:themeColor="text1" w:themeShade="bf"/>
              </w:rPr>
              <w:t xml:space="preserve">N </w:t>
            </w:r>
          </w:p>
          <w:p>
            <w:pPr>
              <w:pStyle w:val="Normal"/>
              <w:spacing w:lineRule="auto" w:line="276" w:before="0" w:after="0"/>
              <w:cnfStyle w:val="100000000000"/>
              <w:rPr>
                <w:b w:val="false"/>
                <w:b w:val="false"/>
              </w:rPr>
            </w:pPr>
            <w:r>
              <w:rPr>
                <w:b/>
                <w:bCs/>
                <w:color w:val="000000" w:themeColor="text1" w:themeShade="bf"/>
              </w:rPr>
              <w:t xml:space="preserve">(% all cases) </w:t>
            </w:r>
          </w:p>
          <w:p>
            <w:pPr>
              <w:pStyle w:val="Normal"/>
              <w:spacing w:lineRule="auto" w:line="276" w:before="0" w:after="0"/>
              <w:cnfStyle w:val="100000000000"/>
              <w:rPr>
                <w:i/>
                <w:i/>
              </w:rPr>
            </w:pPr>
            <w:r>
              <w:rPr>
                <w:b/>
                <w:bCs/>
                <w:i/>
                <w:color w:val="000000" w:themeColor="text1" w:themeShade="bf"/>
              </w:rPr>
              <w:t>(% known causes of death)</w:t>
            </w:r>
          </w:p>
        </w:tc>
        <w:tc>
          <w:tcPr>
            <w:tcW w:w="1275" w:type="dxa"/>
            <w:tcBorders/>
            <w:shd w:color="auto" w:fill="auto" w:val="clear"/>
          </w:tcPr>
          <w:p>
            <w:pPr>
              <w:pStyle w:val="Normal"/>
              <w:spacing w:lineRule="auto" w:line="276" w:before="0" w:after="0"/>
              <w:cnfStyle w:val="100000000000"/>
              <w:rPr>
                <w:b/>
                <w:b/>
                <w:bCs/>
                <w:color w:val="000000" w:themeColor="text1" w:themeShade="bf"/>
              </w:rPr>
            </w:pPr>
            <w:r>
              <w:rPr>
                <w:b/>
                <w:bCs/>
                <w:color w:val="000000" w:themeColor="text1" w:themeShade="bf"/>
              </w:rPr>
              <w:t>P-value</w:t>
            </w:r>
          </w:p>
          <w:p>
            <w:pPr>
              <w:pStyle w:val="Normal"/>
              <w:spacing w:lineRule="auto" w:line="276" w:before="0" w:after="0"/>
              <w:cnfStyle w:val="100000000000"/>
              <w:rPr>
                <w:b w:val="false"/>
                <w:b w:val="false"/>
              </w:rPr>
            </w:pPr>
            <w:r>
              <w:rPr>
                <w:b/>
                <w:bCs/>
                <w:color w:val="000000" w:themeColor="text1" w:themeShade="bf"/>
              </w:rPr>
              <w:t>Early vs. late</w:t>
            </w:r>
          </w:p>
        </w:tc>
      </w:tr>
      <w:tr>
        <w:trPr>
          <w:cnfStyle w:val="000000100000"/>
        </w:trPr>
        <w:tc>
          <w:tcPr>
            <w:tcW w:w="4077" w:type="dxa"/>
            <w:cnfStyle w:val="001000000000"/>
            <w:tcBorders>
              <w:top w:val="single" w:sz="4" w:space="0" w:color="00000A"/>
              <w:bottom w:val="single" w:sz="4" w:space="0" w:color="00000A"/>
              <w:insideH w:val="single" w:sz="4" w:space="0" w:color="00000A"/>
            </w:tcBorders>
            <w:shd w:color="auto" w:fill="auto" w:val="clear"/>
          </w:tcPr>
          <w:p>
            <w:pPr>
              <w:pStyle w:val="Normal"/>
              <w:spacing w:lineRule="auto" w:line="276" w:before="0" w:after="0"/>
              <w:rPr>
                <w:b/>
                <w:b/>
                <w:bCs/>
                <w:color w:val="000000" w:themeColor="text1" w:themeShade="bf"/>
              </w:rPr>
            </w:pPr>
            <w:r>
              <w:rPr>
                <w:b/>
                <w:bCs/>
                <w:color w:val="000000" w:themeColor="text1" w:themeShade="bf"/>
              </w:rPr>
              <w:t>Cause-specific mortality</w:t>
            </w:r>
          </w:p>
          <w:p>
            <w:pPr>
              <w:pStyle w:val="Normal"/>
              <w:spacing w:lineRule="auto" w:line="276" w:before="0" w:after="0"/>
              <w:rPr>
                <w:b/>
                <w:b/>
                <w:bCs/>
                <w:color w:val="000000" w:themeColor="text1" w:themeShade="bf"/>
              </w:rPr>
            </w:pPr>
            <w:r>
              <w:rPr>
                <w:b/>
                <w:bCs/>
                <w:color w:val="000000" w:themeColor="text1" w:themeShade="bf"/>
              </w:rPr>
              <w:t>Heart failure</w:t>
            </w:r>
          </w:p>
          <w:p>
            <w:pPr>
              <w:pStyle w:val="Normal"/>
              <w:spacing w:lineRule="auto" w:line="276" w:before="0" w:after="0"/>
              <w:rPr>
                <w:b/>
                <w:b/>
                <w:bCs/>
                <w:color w:val="000000" w:themeColor="text1" w:themeShade="bf"/>
              </w:rPr>
            </w:pPr>
            <w:r>
              <w:rPr>
                <w:b/>
                <w:bCs/>
                <w:color w:val="000000" w:themeColor="text1" w:themeShade="bf"/>
              </w:rPr>
              <w:t>Infection</w:t>
            </w:r>
          </w:p>
          <w:p>
            <w:pPr>
              <w:pStyle w:val="Normal"/>
              <w:spacing w:lineRule="auto" w:line="276" w:before="0" w:after="0"/>
              <w:rPr>
                <w:b/>
                <w:b/>
                <w:bCs/>
                <w:color w:val="000000" w:themeColor="text1" w:themeShade="bf"/>
              </w:rPr>
            </w:pPr>
            <w:r>
              <w:rPr>
                <w:b/>
                <w:bCs/>
                <w:color w:val="000000" w:themeColor="text1" w:themeShade="bf"/>
              </w:rPr>
              <w:t>Sudden cardiac death/Arrhythmia</w:t>
            </w:r>
          </w:p>
          <w:p>
            <w:pPr>
              <w:pStyle w:val="Normal"/>
              <w:spacing w:lineRule="auto" w:line="276" w:before="0" w:after="0"/>
              <w:rPr>
                <w:b/>
                <w:b/>
                <w:bCs/>
                <w:color w:val="000000" w:themeColor="text1" w:themeShade="bf"/>
              </w:rPr>
            </w:pPr>
            <w:r>
              <w:rPr>
                <w:b/>
                <w:bCs/>
                <w:color w:val="000000" w:themeColor="text1" w:themeShade="bf"/>
              </w:rPr>
              <w:t>Thromboembolism</w:t>
            </w:r>
          </w:p>
          <w:p>
            <w:pPr>
              <w:pStyle w:val="Normal"/>
              <w:spacing w:lineRule="auto" w:line="276" w:before="0" w:after="0"/>
              <w:rPr>
                <w:b/>
                <w:b/>
                <w:bCs/>
                <w:color w:val="000000" w:themeColor="text1" w:themeShade="bf"/>
              </w:rPr>
            </w:pPr>
            <w:r>
              <w:rPr>
                <w:b/>
                <w:bCs/>
                <w:color w:val="000000" w:themeColor="text1" w:themeShade="bf"/>
              </w:rPr>
              <w:t>Haemorrhage</w:t>
            </w:r>
          </w:p>
          <w:p>
            <w:pPr>
              <w:pStyle w:val="Normal"/>
              <w:spacing w:lineRule="auto" w:line="276" w:before="0" w:after="0"/>
              <w:rPr>
                <w:b/>
                <w:b/>
                <w:bCs/>
                <w:color w:val="000000" w:themeColor="text1" w:themeShade="bf"/>
              </w:rPr>
            </w:pPr>
            <w:r>
              <w:rPr>
                <w:b/>
                <w:bCs/>
                <w:color w:val="000000" w:themeColor="text1" w:themeShade="bf"/>
              </w:rPr>
              <w:t>Non-cardiac peri-procedural</w:t>
            </w:r>
          </w:p>
          <w:p>
            <w:pPr>
              <w:pStyle w:val="Normal"/>
              <w:spacing w:lineRule="auto" w:line="276" w:before="0" w:after="0"/>
              <w:rPr>
                <w:b/>
                <w:b/>
                <w:bCs/>
                <w:color w:val="000000" w:themeColor="text1" w:themeShade="bf"/>
              </w:rPr>
            </w:pPr>
            <w:r>
              <w:rPr>
                <w:b/>
                <w:bCs/>
                <w:color w:val="000000" w:themeColor="text1" w:themeShade="bf"/>
              </w:rPr>
              <w:t>Cardiac peri-procedural</w:t>
            </w:r>
          </w:p>
          <w:p>
            <w:pPr>
              <w:pStyle w:val="Normal"/>
              <w:spacing w:lineRule="auto" w:line="276" w:before="0" w:after="0"/>
              <w:rPr>
                <w:b/>
                <w:b/>
                <w:bCs/>
                <w:color w:val="000000" w:themeColor="text1" w:themeShade="bf"/>
              </w:rPr>
            </w:pPr>
            <w:r>
              <w:rPr>
                <w:b/>
                <w:bCs/>
                <w:color w:val="000000" w:themeColor="text1" w:themeShade="bf"/>
              </w:rPr>
              <w:t>Other</w:t>
            </w:r>
          </w:p>
          <w:p>
            <w:pPr>
              <w:pStyle w:val="Normal"/>
              <w:spacing w:lineRule="auto" w:line="276" w:before="0" w:after="0"/>
              <w:rPr>
                <w:b w:val="false"/>
                <w:b w:val="false"/>
              </w:rPr>
            </w:pPr>
            <w:r>
              <w:rPr>
                <w:b/>
                <w:bCs/>
                <w:color w:val="000000" w:themeColor="text1" w:themeShade="bf"/>
              </w:rPr>
              <w:t>Unknown</w:t>
            </w:r>
          </w:p>
        </w:tc>
        <w:tc>
          <w:tcPr>
            <w:tcW w:w="1843" w:type="dxa"/>
            <w:tcBorders>
              <w:bottom w:val="single" w:sz="4" w:space="0" w:color="00000A"/>
              <w:right w:val="dotted" w:sz="4" w:space="0" w:color="00000A"/>
              <w:insideH w:val="single" w:sz="4" w:space="0" w:color="00000A"/>
              <w:insideV w:val="dotted" w:sz="4" w:space="0" w:color="00000A"/>
            </w:tcBorders>
            <w:shd w:color="auto" w:fill="auto" w:val="clear"/>
          </w:tcPr>
          <w:p>
            <w:pPr>
              <w:pStyle w:val="Normal"/>
              <w:spacing w:lineRule="auto" w:line="276" w:before="0" w:after="0"/>
              <w:jc w:val="right"/>
              <w:cnfStyle w:val="000000100000"/>
              <w:rPr>
                <w:color w:val="000000" w:themeColor="text1" w:themeShade="bf"/>
              </w:rPr>
            </w:pPr>
            <w:r>
              <w:rPr>
                <w:color w:val="000000" w:themeColor="text1" w:themeShade="bf"/>
              </w:rPr>
            </w:r>
          </w:p>
          <w:p>
            <w:pPr>
              <w:pStyle w:val="Normal"/>
              <w:spacing w:lineRule="auto" w:line="276" w:before="0" w:after="0"/>
              <w:jc w:val="right"/>
              <w:cnfStyle w:val="000000100000"/>
              <w:rPr>
                <w:color w:val="000000" w:themeColor="text1" w:themeShade="bf"/>
              </w:rPr>
            </w:pPr>
            <w:r>
              <w:rPr>
                <w:color w:val="000000" w:themeColor="text1" w:themeShade="bf"/>
              </w:rPr>
              <w:t xml:space="preserve">141 (25.3) </w:t>
            </w:r>
            <w:r>
              <w:rPr>
                <w:i/>
                <w:color w:val="000000" w:themeColor="text1" w:themeShade="bf"/>
              </w:rPr>
              <w:t>(34.4)</w:t>
            </w:r>
          </w:p>
          <w:p>
            <w:pPr>
              <w:pStyle w:val="Normal"/>
              <w:spacing w:lineRule="auto" w:line="276" w:before="0" w:after="0"/>
              <w:jc w:val="right"/>
              <w:cnfStyle w:val="000000100000"/>
              <w:rPr>
                <w:color w:val="000000" w:themeColor="text1" w:themeShade="bf"/>
              </w:rPr>
            </w:pPr>
            <w:r>
              <w:rPr>
                <w:color w:val="000000" w:themeColor="text1" w:themeShade="bf"/>
              </w:rPr>
              <w:t xml:space="preserve">108 (19.2) </w:t>
            </w:r>
            <w:r>
              <w:rPr>
                <w:i/>
                <w:color w:val="000000" w:themeColor="text1" w:themeShade="bf"/>
              </w:rPr>
              <w:t>(26.1)</w:t>
            </w:r>
          </w:p>
          <w:p>
            <w:pPr>
              <w:pStyle w:val="Normal"/>
              <w:spacing w:lineRule="auto" w:line="276" w:before="0" w:after="0"/>
              <w:jc w:val="right"/>
              <w:cnfStyle w:val="000000100000"/>
              <w:rPr>
                <w:color w:val="000000" w:themeColor="text1" w:themeShade="bf"/>
              </w:rPr>
            </w:pPr>
            <w:r>
              <w:rPr>
                <w:color w:val="000000" w:themeColor="text1" w:themeShade="bf"/>
              </w:rPr>
              <w:t xml:space="preserve">41   (7.3) </w:t>
            </w:r>
            <w:r>
              <w:rPr>
                <w:i/>
                <w:color w:val="000000" w:themeColor="text1" w:themeShade="bf"/>
              </w:rPr>
              <w:t>(10.0)</w:t>
            </w:r>
          </w:p>
          <w:p>
            <w:pPr>
              <w:pStyle w:val="Normal"/>
              <w:spacing w:lineRule="auto" w:line="276" w:before="0" w:after="0"/>
              <w:jc w:val="right"/>
              <w:cnfStyle w:val="000000100000"/>
              <w:rPr>
                <w:color w:val="000000" w:themeColor="text1" w:themeShade="bf"/>
              </w:rPr>
            </w:pPr>
            <w:r>
              <w:rPr>
                <w:color w:val="000000" w:themeColor="text1" w:themeShade="bf"/>
              </w:rPr>
              <w:t xml:space="preserve">34   (6.1)   </w:t>
            </w:r>
            <w:r>
              <w:rPr>
                <w:i/>
                <w:color w:val="000000" w:themeColor="text1" w:themeShade="bf"/>
              </w:rPr>
              <w:t>(8.3)</w:t>
            </w:r>
          </w:p>
          <w:p>
            <w:pPr>
              <w:pStyle w:val="Normal"/>
              <w:spacing w:lineRule="auto" w:line="276" w:before="0" w:after="0"/>
              <w:jc w:val="right"/>
              <w:cnfStyle w:val="000000100000"/>
              <w:rPr>
                <w:color w:val="000000" w:themeColor="text1" w:themeShade="bf"/>
              </w:rPr>
            </w:pPr>
            <w:r>
              <w:rPr>
                <w:color w:val="000000" w:themeColor="text1" w:themeShade="bf"/>
              </w:rPr>
              <w:t xml:space="preserve">30   (5.4)   </w:t>
            </w:r>
            <w:r>
              <w:rPr>
                <w:i/>
                <w:color w:val="000000" w:themeColor="text1" w:themeShade="bf"/>
              </w:rPr>
              <w:t>(7.3)</w:t>
            </w:r>
          </w:p>
          <w:p>
            <w:pPr>
              <w:pStyle w:val="Normal"/>
              <w:spacing w:lineRule="auto" w:line="276" w:before="0" w:after="0"/>
              <w:jc w:val="right"/>
              <w:cnfStyle w:val="000000100000"/>
              <w:rPr>
                <w:color w:val="000000" w:themeColor="text1" w:themeShade="bf"/>
              </w:rPr>
            </w:pPr>
            <w:r>
              <w:rPr>
                <w:color w:val="000000" w:themeColor="text1" w:themeShade="bf"/>
              </w:rPr>
              <w:t xml:space="preserve">14   (2.5)   </w:t>
            </w:r>
            <w:r>
              <w:rPr>
                <w:i/>
                <w:color w:val="000000" w:themeColor="text1" w:themeShade="bf"/>
              </w:rPr>
              <w:t>(3.4)</w:t>
            </w:r>
          </w:p>
          <w:p>
            <w:pPr>
              <w:pStyle w:val="Normal"/>
              <w:spacing w:lineRule="auto" w:line="276" w:before="0" w:after="0"/>
              <w:jc w:val="right"/>
              <w:cnfStyle w:val="000000100000"/>
              <w:rPr>
                <w:color w:val="000000" w:themeColor="text1" w:themeShade="bf"/>
              </w:rPr>
            </w:pPr>
            <w:r>
              <w:rPr>
                <w:color w:val="000000" w:themeColor="text1" w:themeShade="bf"/>
              </w:rPr>
              <w:t xml:space="preserve">13   (2.3)  </w:t>
            </w:r>
            <w:r>
              <w:rPr>
                <w:i/>
                <w:color w:val="000000" w:themeColor="text1" w:themeShade="bf"/>
              </w:rPr>
              <w:t>(3.2 )</w:t>
            </w:r>
          </w:p>
          <w:p>
            <w:pPr>
              <w:pStyle w:val="Normal"/>
              <w:spacing w:lineRule="auto" w:line="276" w:before="0" w:after="0"/>
              <w:jc w:val="right"/>
              <w:cnfStyle w:val="000000100000"/>
              <w:rPr>
                <w:color w:val="000000" w:themeColor="text1" w:themeShade="bf"/>
              </w:rPr>
            </w:pPr>
            <w:r>
              <w:rPr>
                <w:color w:val="000000" w:themeColor="text1" w:themeShade="bf"/>
              </w:rPr>
              <w:t xml:space="preserve">30   (5.4)   </w:t>
            </w:r>
            <w:r>
              <w:rPr>
                <w:i/>
                <w:color w:val="000000" w:themeColor="text1" w:themeShade="bf"/>
              </w:rPr>
              <w:t>(7.3)</w:t>
            </w:r>
          </w:p>
          <w:p>
            <w:pPr>
              <w:pStyle w:val="Normal"/>
              <w:spacing w:lineRule="auto" w:line="276" w:before="0" w:after="0"/>
              <w:cnfStyle w:val="000000100000"/>
              <w:rPr>
                <w:color w:val="000000" w:themeColor="text1" w:themeShade="bf"/>
              </w:rPr>
            </w:pPr>
            <w:r>
              <w:rPr>
                <w:color w:val="000000" w:themeColor="text1" w:themeShade="bf"/>
              </w:rPr>
              <w:t xml:space="preserve">  </w:t>
            </w:r>
            <w:r>
              <w:rPr>
                <w:color w:val="000000" w:themeColor="text1" w:themeShade="bf"/>
              </w:rPr>
              <w:t xml:space="preserve">147 (26.5)        </w:t>
            </w:r>
          </w:p>
        </w:tc>
        <w:tc>
          <w:tcPr>
            <w:tcW w:w="1843" w:type="dxa"/>
            <w:tcBorders>
              <w:top w:val="nil"/>
              <w:left w:val="dotted" w:sz="4" w:space="0" w:color="00000A"/>
            </w:tcBorders>
            <w:shd w:color="auto" w:fill="auto" w:val="clear"/>
            <w:tcMar>
              <w:left w:w="103" w:type="dxa"/>
            </w:tcMar>
          </w:tcPr>
          <w:p>
            <w:pPr>
              <w:pStyle w:val="Normal"/>
              <w:spacing w:lineRule="auto" w:line="276" w:before="0" w:after="0"/>
              <w:jc w:val="right"/>
              <w:cnfStyle w:val="000000100000"/>
              <w:rPr>
                <w:color w:val="000000" w:themeColor="text1" w:themeShade="bf"/>
              </w:rPr>
            </w:pPr>
            <w:r>
              <w:rPr>
                <w:color w:val="000000" w:themeColor="text1" w:themeShade="bf"/>
              </w:rPr>
            </w:r>
          </w:p>
          <w:p>
            <w:pPr>
              <w:pStyle w:val="Normal"/>
              <w:spacing w:lineRule="auto" w:line="276" w:before="0" w:after="0"/>
              <w:jc w:val="right"/>
              <w:cnfStyle w:val="000000100000"/>
              <w:rPr>
                <w:i/>
                <w:i/>
                <w:lang w:val="en-US"/>
              </w:rPr>
            </w:pPr>
            <w:r>
              <w:rPr>
                <w:color w:val="000000" w:themeColor="text1" w:themeShade="bf"/>
                <w:lang w:val="en-US"/>
              </w:rPr>
              <w:t xml:space="preserve">65 (21.9) </w:t>
            </w:r>
            <w:r>
              <w:rPr>
                <w:i/>
                <w:color w:val="000000" w:themeColor="text1" w:themeShade="bf"/>
                <w:lang w:val="en-US"/>
              </w:rPr>
              <w:t>(29.7)</w:t>
            </w:r>
          </w:p>
          <w:p>
            <w:pPr>
              <w:pStyle w:val="Normal"/>
              <w:spacing w:lineRule="auto" w:line="276" w:before="0" w:after="0"/>
              <w:jc w:val="right"/>
              <w:cnfStyle w:val="000000100000"/>
              <w:rPr>
                <w:i/>
                <w:i/>
                <w:lang w:val="en-US"/>
              </w:rPr>
            </w:pPr>
            <w:r>
              <w:rPr>
                <w:color w:val="000000" w:themeColor="text1" w:themeShade="bf"/>
                <w:lang w:val="en-US"/>
              </w:rPr>
              <w:t xml:space="preserve">54 (18.2) </w:t>
            </w:r>
            <w:r>
              <w:rPr>
                <w:i/>
                <w:color w:val="000000" w:themeColor="text1" w:themeShade="bf"/>
                <w:lang w:val="en-US"/>
              </w:rPr>
              <w:t>(24.7)</w:t>
            </w:r>
          </w:p>
          <w:p>
            <w:pPr>
              <w:pStyle w:val="Normal"/>
              <w:spacing w:lineRule="auto" w:line="276" w:before="0" w:after="0"/>
              <w:jc w:val="right"/>
              <w:cnfStyle w:val="000000100000"/>
              <w:rPr>
                <w:i/>
                <w:i/>
                <w:lang w:val="en-US"/>
              </w:rPr>
            </w:pPr>
            <w:r>
              <w:rPr>
                <w:color w:val="000000" w:themeColor="text1" w:themeShade="bf"/>
                <w:lang w:val="en-US"/>
              </w:rPr>
              <w:t xml:space="preserve">21   (7.1)   </w:t>
            </w:r>
            <w:r>
              <w:rPr>
                <w:i/>
                <w:color w:val="000000" w:themeColor="text1" w:themeShade="bf"/>
                <w:lang w:val="en-US"/>
              </w:rPr>
              <w:t>(9.6)</w:t>
            </w:r>
          </w:p>
          <w:p>
            <w:pPr>
              <w:pStyle w:val="Normal"/>
              <w:spacing w:lineRule="auto" w:line="276" w:before="0" w:after="0"/>
              <w:jc w:val="right"/>
              <w:cnfStyle w:val="000000100000"/>
              <w:rPr>
                <w:i/>
                <w:i/>
                <w:lang w:val="en-US"/>
              </w:rPr>
            </w:pPr>
            <w:r>
              <w:rPr>
                <w:color w:val="000000" w:themeColor="text1" w:themeShade="bf"/>
                <w:lang w:val="en-US"/>
              </w:rPr>
              <w:t xml:space="preserve">25   (8.4) </w:t>
            </w:r>
            <w:r>
              <w:rPr>
                <w:i/>
                <w:color w:val="000000" w:themeColor="text1" w:themeShade="bf"/>
                <w:lang w:val="en-US"/>
              </w:rPr>
              <w:t>(11.4)</w:t>
            </w:r>
          </w:p>
          <w:p>
            <w:pPr>
              <w:pStyle w:val="Normal"/>
              <w:spacing w:lineRule="auto" w:line="276" w:before="0" w:after="0"/>
              <w:jc w:val="right"/>
              <w:cnfStyle w:val="000000100000"/>
              <w:rPr>
                <w:i/>
                <w:i/>
                <w:lang w:val="en-US"/>
              </w:rPr>
            </w:pPr>
            <w:r>
              <w:rPr>
                <w:color w:val="000000" w:themeColor="text1" w:themeShade="bf"/>
                <w:lang w:val="en-US"/>
              </w:rPr>
              <w:t xml:space="preserve">19   (6.4)   </w:t>
            </w:r>
            <w:r>
              <w:rPr>
                <w:i/>
                <w:color w:val="000000" w:themeColor="text1" w:themeShade="bf"/>
                <w:lang w:val="en-US"/>
              </w:rPr>
              <w:t>(8.7)</w:t>
            </w:r>
          </w:p>
          <w:p>
            <w:pPr>
              <w:pStyle w:val="Normal"/>
              <w:spacing w:lineRule="auto" w:line="276" w:before="0" w:after="0"/>
              <w:jc w:val="right"/>
              <w:cnfStyle w:val="000000100000"/>
              <w:rPr>
                <w:i/>
                <w:i/>
                <w:lang w:val="en-US"/>
              </w:rPr>
            </w:pPr>
            <w:r>
              <w:rPr>
                <w:color w:val="000000" w:themeColor="text1" w:themeShade="bf"/>
                <w:lang w:val="en-US"/>
              </w:rPr>
              <w:t xml:space="preserve">12   (4.0)   </w:t>
            </w:r>
            <w:r>
              <w:rPr>
                <w:i/>
                <w:color w:val="000000" w:themeColor="text1" w:themeShade="bf"/>
                <w:lang w:val="en-US"/>
              </w:rPr>
              <w:t>(5.5)</w:t>
            </w:r>
          </w:p>
          <w:p>
            <w:pPr>
              <w:pStyle w:val="Normal"/>
              <w:spacing w:lineRule="auto" w:line="276" w:before="0" w:after="0"/>
              <w:jc w:val="right"/>
              <w:cnfStyle w:val="000000100000"/>
              <w:rPr>
                <w:i/>
                <w:i/>
                <w:lang w:val="en-US"/>
              </w:rPr>
            </w:pPr>
            <w:r>
              <w:rPr>
                <w:color w:val="000000" w:themeColor="text1" w:themeShade="bf"/>
                <w:lang w:val="en-US"/>
              </w:rPr>
              <w:t xml:space="preserve">12   (4.0)   </w:t>
            </w:r>
            <w:r>
              <w:rPr>
                <w:i/>
                <w:color w:val="000000" w:themeColor="text1" w:themeShade="bf"/>
                <w:lang w:val="en-US"/>
              </w:rPr>
              <w:t>(5.5)</w:t>
            </w:r>
          </w:p>
          <w:p>
            <w:pPr>
              <w:pStyle w:val="Normal"/>
              <w:spacing w:lineRule="auto" w:line="276" w:before="0" w:after="0"/>
              <w:jc w:val="right"/>
              <w:cnfStyle w:val="000000100000"/>
              <w:rPr>
                <w:color w:val="000000" w:themeColor="text1" w:themeShade="bf"/>
              </w:rPr>
            </w:pPr>
            <w:r>
              <w:rPr>
                <w:color w:val="000000" w:themeColor="text1" w:themeShade="bf"/>
                <w:lang w:val="en-US"/>
              </w:rPr>
              <w:t xml:space="preserve">11   (3.7)   </w:t>
            </w:r>
            <w:r>
              <w:rPr>
                <w:i/>
                <w:color w:val="000000" w:themeColor="text1" w:themeShade="bf"/>
                <w:lang w:val="en-US"/>
              </w:rPr>
              <w:t>(5.0)</w:t>
            </w:r>
          </w:p>
          <w:p>
            <w:pPr>
              <w:pStyle w:val="Normal"/>
              <w:spacing w:lineRule="auto" w:line="276" w:before="0" w:after="0"/>
              <w:cnfStyle w:val="000000100000"/>
              <w:rPr>
                <w:color w:val="000000" w:themeColor="text1" w:themeShade="bf"/>
              </w:rPr>
            </w:pPr>
            <w:r>
              <w:rPr>
                <w:color w:val="000000" w:themeColor="text1" w:themeShade="bf"/>
                <w:lang w:val="en-US"/>
              </w:rPr>
              <w:t xml:space="preserve">    </w:t>
            </w:r>
            <w:r>
              <w:rPr>
                <w:color w:val="000000" w:themeColor="text1" w:themeShade="bf"/>
                <w:lang w:val="en-US"/>
              </w:rPr>
              <w:t xml:space="preserve">78 (26.3)    </w:t>
            </w:r>
          </w:p>
        </w:tc>
        <w:tc>
          <w:tcPr>
            <w:tcW w:w="1843" w:type="dxa"/>
            <w:tcBorders>
              <w:top w:val="nil"/>
            </w:tcBorders>
            <w:shd w:color="auto" w:fill="auto" w:val="clear"/>
          </w:tcPr>
          <w:p>
            <w:pPr>
              <w:pStyle w:val="Normal"/>
              <w:spacing w:lineRule="auto" w:line="276" w:before="0" w:after="0"/>
              <w:jc w:val="right"/>
              <w:cnfStyle w:val="000000100000"/>
              <w:rPr>
                <w:color w:val="000000" w:themeColor="text1" w:themeShade="bf"/>
              </w:rPr>
            </w:pPr>
            <w:r>
              <w:rPr>
                <w:color w:val="000000" w:themeColor="text1" w:themeShade="bf"/>
              </w:rPr>
            </w:r>
          </w:p>
          <w:p>
            <w:pPr>
              <w:pStyle w:val="Normal"/>
              <w:spacing w:lineRule="auto" w:line="276" w:before="0" w:after="0"/>
              <w:jc w:val="right"/>
              <w:cnfStyle w:val="000000100000"/>
              <w:rPr>
                <w:i/>
                <w:i/>
                <w:lang w:val="en-US"/>
              </w:rPr>
            </w:pPr>
            <w:r>
              <w:rPr>
                <w:color w:val="000000" w:themeColor="text1" w:themeShade="bf"/>
                <w:lang w:val="en-US"/>
              </w:rPr>
              <w:t xml:space="preserve">76 (29.1) </w:t>
            </w:r>
            <w:r>
              <w:rPr>
                <w:i/>
                <w:color w:val="000000" w:themeColor="text1" w:themeShade="bf"/>
                <w:lang w:val="en-US"/>
              </w:rPr>
              <w:t>(39.6)</w:t>
            </w:r>
          </w:p>
          <w:p>
            <w:pPr>
              <w:pStyle w:val="Normal"/>
              <w:spacing w:lineRule="auto" w:line="276" w:before="0" w:after="0"/>
              <w:jc w:val="right"/>
              <w:cnfStyle w:val="000000100000"/>
              <w:rPr>
                <w:lang w:val="en-US"/>
              </w:rPr>
            </w:pPr>
            <w:r>
              <w:rPr>
                <w:color w:val="000000" w:themeColor="text1" w:themeShade="bf"/>
                <w:lang w:val="en-US"/>
              </w:rPr>
              <w:t xml:space="preserve">54 (20.7) </w:t>
            </w:r>
            <w:r>
              <w:rPr>
                <w:i/>
                <w:color w:val="000000" w:themeColor="text1" w:themeShade="bf"/>
                <w:lang w:val="en-US"/>
              </w:rPr>
              <w:t>(28.1)</w:t>
            </w:r>
          </w:p>
          <w:p>
            <w:pPr>
              <w:pStyle w:val="Normal"/>
              <w:spacing w:lineRule="auto" w:line="276" w:before="0" w:after="0"/>
              <w:jc w:val="right"/>
              <w:cnfStyle w:val="000000100000"/>
              <w:rPr>
                <w:lang w:val="en-US"/>
              </w:rPr>
            </w:pPr>
            <w:r>
              <w:rPr>
                <w:color w:val="000000" w:themeColor="text1" w:themeShade="bf"/>
                <w:lang w:val="en-US"/>
              </w:rPr>
              <w:t xml:space="preserve">20   (7.7) </w:t>
            </w:r>
            <w:r>
              <w:rPr>
                <w:i/>
                <w:color w:val="000000" w:themeColor="text1" w:themeShade="bf"/>
                <w:lang w:val="en-US"/>
              </w:rPr>
              <w:t>(10.5)</w:t>
            </w:r>
          </w:p>
          <w:p>
            <w:pPr>
              <w:pStyle w:val="Normal"/>
              <w:spacing w:lineRule="auto" w:line="276" w:before="0" w:after="0"/>
              <w:jc w:val="right"/>
              <w:cnfStyle w:val="000000100000"/>
              <w:rPr>
                <w:lang w:val="en-US"/>
              </w:rPr>
            </w:pPr>
            <w:r>
              <w:rPr>
                <w:color w:val="000000" w:themeColor="text1" w:themeShade="bf"/>
                <w:lang w:val="en-US"/>
              </w:rPr>
              <w:t xml:space="preserve">9   (3.4)   </w:t>
            </w:r>
            <w:r>
              <w:rPr>
                <w:i/>
                <w:color w:val="000000" w:themeColor="text1" w:themeShade="bf"/>
                <w:lang w:val="en-US"/>
              </w:rPr>
              <w:t>(4.7)</w:t>
            </w:r>
          </w:p>
          <w:p>
            <w:pPr>
              <w:pStyle w:val="Normal"/>
              <w:spacing w:lineRule="auto" w:line="276" w:before="0" w:after="0"/>
              <w:jc w:val="right"/>
              <w:cnfStyle w:val="000000100000"/>
              <w:rPr>
                <w:lang w:val="en-US"/>
              </w:rPr>
            </w:pPr>
            <w:r>
              <w:rPr>
                <w:color w:val="000000" w:themeColor="text1" w:themeShade="bf"/>
                <w:lang w:val="en-US"/>
              </w:rPr>
              <w:t xml:space="preserve">11   (4.2)   </w:t>
            </w:r>
            <w:r>
              <w:rPr>
                <w:i/>
                <w:color w:val="000000" w:themeColor="text1" w:themeShade="bf"/>
                <w:lang w:val="en-US"/>
              </w:rPr>
              <w:t>(5.8)</w:t>
            </w:r>
          </w:p>
          <w:p>
            <w:pPr>
              <w:pStyle w:val="Normal"/>
              <w:spacing w:lineRule="auto" w:line="276" w:before="0" w:after="0"/>
              <w:jc w:val="right"/>
              <w:cnfStyle w:val="000000100000"/>
              <w:rPr>
                <w:i/>
                <w:i/>
                <w:lang w:val="en-US"/>
              </w:rPr>
            </w:pPr>
            <w:r>
              <w:rPr>
                <w:color w:val="000000" w:themeColor="text1" w:themeShade="bf"/>
                <w:lang w:val="en-US"/>
              </w:rPr>
              <w:t xml:space="preserve">2   (0.8)   </w:t>
            </w:r>
            <w:r>
              <w:rPr>
                <w:i/>
                <w:color w:val="000000" w:themeColor="text1" w:themeShade="bf"/>
                <w:lang w:val="en-US"/>
              </w:rPr>
              <w:t>(1.0)</w:t>
            </w:r>
          </w:p>
          <w:p>
            <w:pPr>
              <w:pStyle w:val="Normal"/>
              <w:spacing w:lineRule="auto" w:line="276" w:before="0" w:after="0"/>
              <w:jc w:val="right"/>
              <w:cnfStyle w:val="000000100000"/>
              <w:rPr>
                <w:i/>
                <w:i/>
                <w:lang w:val="en-US"/>
              </w:rPr>
            </w:pPr>
            <w:r>
              <w:rPr>
                <w:color w:val="000000" w:themeColor="text1" w:themeShade="bf"/>
                <w:lang w:val="en-US"/>
              </w:rPr>
              <w:t xml:space="preserve">1   (0.4)   </w:t>
            </w:r>
            <w:r>
              <w:rPr>
                <w:i/>
                <w:color w:val="000000" w:themeColor="text1" w:themeShade="bf"/>
                <w:lang w:val="en-US"/>
              </w:rPr>
              <w:t>(0.5)</w:t>
            </w:r>
          </w:p>
          <w:p>
            <w:pPr>
              <w:pStyle w:val="Normal"/>
              <w:spacing w:lineRule="auto" w:line="276" w:before="0" w:after="0"/>
              <w:jc w:val="right"/>
              <w:cnfStyle w:val="000000100000"/>
              <w:rPr>
                <w:i/>
                <w:i/>
                <w:lang w:val="en-US"/>
              </w:rPr>
            </w:pPr>
            <w:r>
              <w:rPr>
                <w:color w:val="000000" w:themeColor="text1" w:themeShade="bf"/>
                <w:lang w:val="en-US"/>
              </w:rPr>
              <w:t xml:space="preserve">19   (7.3)   </w:t>
            </w:r>
            <w:r>
              <w:rPr>
                <w:i/>
                <w:color w:val="000000" w:themeColor="text1" w:themeShade="bf"/>
                <w:lang w:val="en-US"/>
              </w:rPr>
              <w:t>(9.9)</w:t>
            </w:r>
          </w:p>
          <w:p>
            <w:pPr>
              <w:pStyle w:val="Normal"/>
              <w:spacing w:lineRule="auto" w:line="276" w:before="0" w:after="0"/>
              <w:cnfStyle w:val="000000100000"/>
              <w:rPr>
                <w:i/>
                <w:i/>
                <w:lang w:val="en-US"/>
              </w:rPr>
            </w:pPr>
            <w:r>
              <w:rPr>
                <w:color w:val="000000" w:themeColor="text1" w:themeShade="bf"/>
                <w:lang w:val="en-US"/>
              </w:rPr>
              <w:t xml:space="preserve">    </w:t>
            </w:r>
            <w:r>
              <w:rPr>
                <w:color w:val="000000" w:themeColor="text1" w:themeShade="bf"/>
                <w:lang w:val="en-US"/>
              </w:rPr>
              <w:t xml:space="preserve">69 (26.8)   </w:t>
            </w:r>
          </w:p>
        </w:tc>
        <w:tc>
          <w:tcPr>
            <w:tcW w:w="1275" w:type="dxa"/>
            <w:tcBorders>
              <w:top w:val="nil"/>
            </w:tcBorders>
            <w:shd w:color="auto" w:fill="auto" w:val="clear"/>
          </w:tcPr>
          <w:p>
            <w:pPr>
              <w:pStyle w:val="Normal"/>
              <w:spacing w:lineRule="auto" w:line="276" w:before="0" w:after="0"/>
              <w:cnfStyle w:val="000000100000"/>
              <w:rPr>
                <w:color w:val="000000" w:themeColor="text1" w:themeShade="bf"/>
                <w:lang w:val="sv-SE"/>
              </w:rPr>
            </w:pPr>
            <w:r>
              <w:rPr>
                <w:color w:val="000000" w:themeColor="text1" w:themeShade="bf"/>
                <w:lang w:val="sv-SE"/>
              </w:rPr>
            </w:r>
          </w:p>
          <w:p>
            <w:pPr>
              <w:pStyle w:val="Normal"/>
              <w:spacing w:lineRule="auto" w:line="276" w:before="0" w:after="0"/>
              <w:jc w:val="both"/>
              <w:cnfStyle w:val="000000100000"/>
              <w:rPr>
                <w:lang w:val="sv-SE"/>
              </w:rPr>
            </w:pPr>
            <w:r>
              <w:rPr>
                <w:color w:val="000000" w:themeColor="text1" w:themeShade="bf"/>
                <w:lang w:val="sv-SE"/>
              </w:rPr>
              <w:t>0.032*</w:t>
            </w:r>
          </w:p>
          <w:p>
            <w:pPr>
              <w:pStyle w:val="Normal"/>
              <w:spacing w:lineRule="auto" w:line="276" w:before="0" w:after="0"/>
              <w:jc w:val="both"/>
              <w:cnfStyle w:val="000000100000"/>
              <w:rPr>
                <w:lang w:val="sv-SE"/>
              </w:rPr>
            </w:pPr>
            <w:r>
              <w:rPr>
                <w:color w:val="000000" w:themeColor="text1" w:themeShade="bf"/>
                <w:lang w:val="sv-SE"/>
              </w:rPr>
              <w:t>0.477</w:t>
            </w:r>
          </w:p>
          <w:p>
            <w:pPr>
              <w:pStyle w:val="Normal"/>
              <w:spacing w:lineRule="auto" w:line="276" w:before="0" w:after="0"/>
              <w:jc w:val="both"/>
              <w:cnfStyle w:val="000000100000"/>
              <w:rPr>
                <w:lang w:val="sv-SE"/>
              </w:rPr>
            </w:pPr>
            <w:r>
              <w:rPr>
                <w:color w:val="000000" w:themeColor="text1" w:themeShade="bf"/>
                <w:lang w:val="sv-SE"/>
              </w:rPr>
              <w:t>0.766</w:t>
            </w:r>
          </w:p>
          <w:p>
            <w:pPr>
              <w:pStyle w:val="Normal"/>
              <w:spacing w:lineRule="auto" w:line="276" w:before="0" w:after="0"/>
              <w:jc w:val="both"/>
              <w:cnfStyle w:val="000000100000"/>
              <w:rPr>
                <w:lang w:val="sv-SE"/>
              </w:rPr>
            </w:pPr>
            <w:r>
              <w:rPr>
                <w:color w:val="000000" w:themeColor="text1" w:themeShade="bf"/>
                <w:lang w:val="sv-SE"/>
              </w:rPr>
              <w:t>0.014*</w:t>
            </w:r>
          </w:p>
          <w:p>
            <w:pPr>
              <w:pStyle w:val="Normal"/>
              <w:spacing w:lineRule="auto" w:line="276" w:before="0" w:after="0"/>
              <w:jc w:val="both"/>
              <w:cnfStyle w:val="000000100000"/>
              <w:rPr>
                <w:lang w:val="en-US"/>
              </w:rPr>
            </w:pPr>
            <w:r>
              <w:rPr>
                <w:color w:val="000000" w:themeColor="text1" w:themeShade="bf"/>
                <w:lang w:val="en-US"/>
              </w:rPr>
              <w:t xml:space="preserve">0.258 </w:t>
            </w:r>
          </w:p>
          <w:p>
            <w:pPr>
              <w:pStyle w:val="Normal"/>
              <w:spacing w:lineRule="auto" w:line="276" w:before="0" w:after="0"/>
              <w:jc w:val="both"/>
              <w:cnfStyle w:val="000000100000"/>
              <w:rPr>
                <w:lang w:val="en-US"/>
              </w:rPr>
            </w:pPr>
            <w:r>
              <w:rPr>
                <w:color w:val="000000" w:themeColor="text1" w:themeShade="bf"/>
                <w:lang w:val="en-US"/>
              </w:rPr>
              <w:t>0.014*</w:t>
            </w:r>
          </w:p>
          <w:p>
            <w:pPr>
              <w:pStyle w:val="Normal"/>
              <w:spacing w:lineRule="auto" w:line="276" w:before="0" w:after="0"/>
              <w:jc w:val="both"/>
              <w:cnfStyle w:val="000000100000"/>
              <w:rPr>
                <w:lang w:val="en-US"/>
              </w:rPr>
            </w:pPr>
            <w:r>
              <w:rPr>
                <w:color w:val="000000" w:themeColor="text1" w:themeShade="bf"/>
                <w:lang w:val="en-US"/>
              </w:rPr>
              <w:t>0.004*</w:t>
            </w:r>
          </w:p>
          <w:p>
            <w:pPr>
              <w:pStyle w:val="Normal"/>
              <w:spacing w:lineRule="auto" w:line="276" w:before="0" w:after="0"/>
              <w:jc w:val="both"/>
              <w:cnfStyle w:val="000000100000"/>
              <w:rPr>
                <w:lang w:val="en-US"/>
              </w:rPr>
            </w:pPr>
            <w:r>
              <w:rPr>
                <w:color w:val="000000" w:themeColor="text1" w:themeShade="bf"/>
                <w:lang w:val="en-US"/>
              </w:rPr>
              <w:t>0.056</w:t>
            </w:r>
          </w:p>
          <w:p>
            <w:pPr>
              <w:pStyle w:val="Normal"/>
              <w:spacing w:lineRule="auto" w:line="276" w:before="0" w:after="0"/>
              <w:jc w:val="both"/>
              <w:cnfStyle w:val="000000100000"/>
              <w:rPr>
                <w:lang w:val="en-US"/>
              </w:rPr>
            </w:pPr>
            <w:r>
              <w:rPr>
                <w:color w:val="000000" w:themeColor="text1" w:themeShade="bf"/>
                <w:lang w:val="en-US"/>
              </w:rPr>
              <w:t>0.882</w:t>
            </w:r>
          </w:p>
        </w:tc>
      </w:tr>
    </w:tbl>
    <w:p>
      <w:pPr>
        <w:pStyle w:val="Normal"/>
        <w:spacing w:before="0" w:after="0"/>
        <w:rPr>
          <w:lang w:val="en-US"/>
        </w:rPr>
      </w:pPr>
      <w:bookmarkStart w:id="32" w:name="_Ref440538263"/>
      <w:r>
        <w:rPr>
          <w:lang w:val="en-US"/>
        </w:rPr>
        <w:t>Values are expressed as number and percent. *Indicates statistical significance</w:t>
      </w:r>
    </w:p>
    <w:p>
      <w:pPr>
        <w:pStyle w:val="Normal"/>
        <w:spacing w:lineRule="auto" w:line="240" w:before="0" w:after="0"/>
        <w:rPr>
          <w:lang w:val="en-US"/>
        </w:rPr>
      </w:pPr>
      <w:r>
        <w:rPr>
          <w:lang w:val="en-US"/>
        </w:rPr>
        <w:t>N: Number, % all causes: Percent of all deceased causes, % known causes: Percent of all known causes of death.</w:t>
      </w:r>
    </w:p>
    <w:p>
      <w:pPr>
        <w:sectPr>
          <w:footerReference w:type="default" r:id="rId5"/>
          <w:type w:val="nextPage"/>
          <w:pgSz w:orient="landscape" w:w="16838" w:h="11906"/>
          <w:pgMar w:left="1701" w:right="1701" w:header="0" w:top="1134" w:footer="709" w:bottom="1134" w:gutter="0"/>
          <w:pgNumType w:fmt="decimal"/>
          <w:formProt w:val="false"/>
          <w:textDirection w:val="lrTb"/>
          <w:docGrid w:type="default" w:linePitch="360" w:charSpace="4294965247"/>
        </w:sectPr>
        <w:pStyle w:val="Normal"/>
        <w:spacing w:lineRule="auto" w:line="240" w:before="0" w:after="0"/>
        <w:rPr>
          <w:i/>
          <w:i/>
          <w:lang w:val="en-US"/>
        </w:rPr>
      </w:pPr>
      <w:r>
        <w:rPr>
          <w:i/>
          <w:lang w:val="en-US"/>
        </w:rPr>
      </w:r>
    </w:p>
    <w:p>
      <w:pPr>
        <w:pStyle w:val="Normal"/>
        <w:spacing w:lineRule="auto" w:line="240" w:before="0" w:after="0"/>
        <w:rPr/>
      </w:pPr>
      <w:bookmarkStart w:id="33" w:name="_Ref444257654"/>
      <w:r>
        <w:rPr/>
        <w:t xml:space="preserve">Figure </w:t>
      </w:r>
      <w:r>
        <w:rPr/>
        <w:fldChar w:fldCharType="begin"/>
      </w:r>
      <w:r>
        <w:instrText> SEQ Figure \* ARABIC </w:instrText>
      </w:r>
      <w:r>
        <w:fldChar w:fldCharType="separate"/>
      </w:r>
      <w:r>
        <w:t>1</w:t>
      </w:r>
      <w:r>
        <w:fldChar w:fldCharType="end"/>
      </w:r>
      <w:bookmarkEnd w:id="33"/>
      <w:bookmarkEnd w:id="32"/>
      <w:r>
        <w:rPr/>
        <w:t xml:space="preserve">. Cause-specific mortality A) by age, and B) shunt type. </w:t>
      </w:r>
    </w:p>
    <w:p>
      <w:pPr>
        <w:pStyle w:val="Normal"/>
        <w:spacing w:lineRule="auto" w:line="240" w:before="0" w:after="0"/>
        <w:rPr/>
      </w:pPr>
      <w:r>
        <w:rPr/>
      </w:r>
    </w:p>
    <w:p>
      <w:pPr>
        <w:pStyle w:val="Normal"/>
        <w:spacing w:lineRule="auto" w:line="240" w:before="0" w:after="0"/>
        <w:rPr/>
      </w:pPr>
      <w:r>
        <w:rPr/>
        <w:t>A)</w:t>
        <w:tab/>
        <w:tab/>
        <w:tab/>
        <w:tab/>
        <w:t xml:space="preserve">             B)</w:t>
      </w:r>
    </w:p>
    <w:p>
      <w:pPr>
        <w:pStyle w:val="Normal"/>
        <w:spacing w:lineRule="auto" w:line="240" w:before="0" w:after="0"/>
        <w:rPr>
          <w:lang w:val="en-US" w:eastAsia="da-DK"/>
        </w:rPr>
      </w:pPr>
      <w:r>
        <w:rPr>
          <w:lang w:val="en-US" w:eastAsia="da-DK"/>
        </w:rPr>
        <w:drawing>
          <wp:anchor behindDoc="0" distT="0" distB="1905" distL="114300" distR="116205" simplePos="0" locked="0" layoutInCell="1" allowOverlap="1" relativeHeight="4">
            <wp:simplePos x="0" y="0"/>
            <wp:positionH relativeFrom="column">
              <wp:posOffset>-914400</wp:posOffset>
            </wp:positionH>
            <wp:positionV relativeFrom="paragraph">
              <wp:posOffset>74930</wp:posOffset>
            </wp:positionV>
            <wp:extent cx="10132695" cy="3750945"/>
            <wp:effectExtent l="0" t="0" r="0" b="0"/>
            <wp:wrapTopAndBottom/>
            <wp:docPr id="3" name="Billed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lede 2" descr=""/>
                    <pic:cNvPicPr>
                      <a:picLocks noChangeAspect="1" noChangeArrowheads="1"/>
                    </pic:cNvPicPr>
                  </pic:nvPicPr>
                  <pic:blipFill>
                    <a:blip r:embed="rId6"/>
                    <a:stretch>
                      <a:fillRect/>
                    </a:stretch>
                  </pic:blipFill>
                  <pic:spPr bwMode="auto">
                    <a:xfrm>
                      <a:off x="0" y="0"/>
                      <a:ext cx="10132695" cy="3750945"/>
                    </a:xfrm>
                    <a:prstGeom prst="rect">
                      <a:avLst/>
                    </a:prstGeom>
                  </pic:spPr>
                </pic:pic>
              </a:graphicData>
            </a:graphic>
          </wp:anchor>
        </w:drawing>
      </w:r>
    </w:p>
    <w:p>
      <w:pPr>
        <w:pStyle w:val="Normal"/>
        <w:spacing w:lineRule="auto" w:line="240" w:before="0" w:after="0"/>
        <w:rPr>
          <w:lang w:val="en-US"/>
        </w:rPr>
      </w:pPr>
      <w:r>
        <w:rPr>
          <w:lang w:val="en-US"/>
        </w:rPr>
        <w:t xml:space="preserve">Peri-procedural deaths are most frequent in the youngest patients, but equally distributed among the shunt types. Thromboembolic mortality is highest in the oldest patients, but otherwise constant. Cause-specific mortality from other causes increases with age, but decreases with the complexity of the lesion. </w:t>
      </w:r>
    </w:p>
    <w:p>
      <w:pPr>
        <w:sectPr>
          <w:footerReference w:type="default" r:id="rId7"/>
          <w:type w:val="nextPage"/>
          <w:pgSz w:orient="landscape" w:w="16838" w:h="11906"/>
          <w:pgMar w:left="1701" w:right="1701" w:header="0" w:top="1134" w:footer="709" w:bottom="1134" w:gutter="0"/>
          <w:pgNumType w:fmt="decimal"/>
          <w:formProt w:val="false"/>
          <w:textDirection w:val="lrTb"/>
          <w:docGrid w:type="default" w:linePitch="360" w:charSpace="4294965247"/>
        </w:sectPr>
        <w:pStyle w:val="Normal"/>
        <w:spacing w:before="0" w:after="0"/>
        <w:rPr>
          <w:lang w:val="en-US"/>
        </w:rPr>
      </w:pPr>
      <w:r>
        <w:rPr>
          <w:lang w:val="en-US"/>
        </w:rPr>
      </w:r>
    </w:p>
    <w:p>
      <w:pPr>
        <w:pStyle w:val="Normal"/>
        <w:rPr/>
      </w:pPr>
      <w:bookmarkStart w:id="34" w:name="_Ref448495657"/>
      <w:bookmarkStart w:id="35" w:name="_Ref445995915"/>
      <w:r>
        <w:rPr/>
        <w:t xml:space="preserve">Figure </w:t>
      </w:r>
      <w:r>
        <w:rPr/>
        <w:fldChar w:fldCharType="begin"/>
      </w:r>
      <w:r>
        <w:instrText> SEQ Figure \* ARABIC </w:instrText>
      </w:r>
      <w:r>
        <w:fldChar w:fldCharType="separate"/>
      </w:r>
      <w:r>
        <w:t>2</w:t>
      </w:r>
      <w:r>
        <w:fldChar w:fldCharType="end"/>
      </w:r>
      <w:bookmarkEnd w:id="34"/>
      <w:bookmarkEnd w:id="35"/>
      <w:r>
        <w:rPr/>
        <w:t>. Cause-specific mortality: Historic data, early and late era as A) percent of all known causes and B) ranked by frequency.</w:t>
      </w:r>
    </w:p>
    <w:p>
      <w:pPr>
        <w:pStyle w:val="Normal"/>
        <w:rPr/>
      </w:pPr>
      <w:r>
        <w:rPr/>
        <w:t>A)</w:t>
      </w:r>
    </w:p>
    <w:p>
      <w:pPr>
        <w:pStyle w:val="Normal"/>
        <w:rPr/>
      </w:pPr>
      <w:r>
        <w:rPr/>
        <w:drawing>
          <wp:inline distT="0" distB="0" distL="0" distR="0">
            <wp:extent cx="6120130" cy="3777615"/>
            <wp:effectExtent l="0" t="0" r="0" b="0"/>
            <wp:docPr id="4" name="Billed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lede 3" descr=""/>
                    <pic:cNvPicPr>
                      <a:picLocks noChangeAspect="1" noChangeArrowheads="1"/>
                    </pic:cNvPicPr>
                  </pic:nvPicPr>
                  <pic:blipFill>
                    <a:blip r:embed="rId8"/>
                    <a:stretch>
                      <a:fillRect/>
                    </a:stretch>
                  </pic:blipFill>
                  <pic:spPr bwMode="auto">
                    <a:xfrm>
                      <a:off x="0" y="0"/>
                      <a:ext cx="6120130" cy="3777615"/>
                    </a:xfrm>
                    <a:prstGeom prst="rect">
                      <a:avLst/>
                    </a:prstGeom>
                  </pic:spPr>
                </pic:pic>
              </a:graphicData>
            </a:graphic>
          </wp:inline>
        </w:drawing>
      </w:r>
    </w:p>
    <w:p>
      <w:pPr>
        <w:pStyle w:val="Normal"/>
        <w:rPr/>
      </w:pPr>
      <w:r>
        <w:rPr/>
        <w:t>B)</w:t>
      </w:r>
    </w:p>
    <w:p>
      <w:pPr>
        <w:pStyle w:val="Normal"/>
        <w:spacing w:lineRule="auto" w:line="240" w:before="0" w:after="0"/>
        <w:rPr>
          <w:sz w:val="24"/>
          <w:szCs w:val="24"/>
        </w:rPr>
      </w:pPr>
      <w:r>
        <w:rPr>
          <w:sz w:val="24"/>
          <w:szCs w:val="24"/>
        </w:rPr>
      </w:r>
      <w:r>
        <mc:AlternateContent>
          <mc:Choice Requires="wps">
            <w:drawing>
              <wp:anchor behindDoc="0" distT="0" distB="0" distL="89535" distR="89535" simplePos="0" locked="0" layoutInCell="1" allowOverlap="1" relativeHeight="6">
                <wp:simplePos x="0" y="0"/>
                <wp:positionH relativeFrom="margin">
                  <wp:align>center</wp:align>
                </wp:positionH>
                <wp:positionV relativeFrom="paragraph">
                  <wp:posOffset>31115</wp:posOffset>
                </wp:positionV>
                <wp:extent cx="5355590" cy="1957070"/>
                <wp:effectExtent l="0" t="0" r="0" b="0"/>
                <wp:wrapSquare wrapText="bothSides"/>
                <wp:docPr id="5" name="Frame1"/>
                <a:graphic xmlns:a="http://schemas.openxmlformats.org/drawingml/2006/main">
                  <a:graphicData uri="http://schemas.microsoft.com/office/word/2010/wordprocessingShape">
                    <wps:wsp>
                      <wps:cNvSpPr txBox="1"/>
                      <wps:spPr>
                        <a:xfrm>
                          <a:off x="0" y="0"/>
                          <a:ext cx="5355590" cy="1957070"/>
                        </a:xfrm>
                        <a:prstGeom prst="rect"/>
                      </wps:spPr>
                      <wps:txbx>
                        <w:txbxContent>
                          <w:tbl>
                            <w:tblPr>
                              <w:tblpPr w:bottomFromText="0" w:horzAnchor="margin" w:leftFromText="141" w:rightFromText="141" w:tblpX="0" w:tblpXSpec="center" w:tblpY="49" w:topFromText="0" w:vertAnchor="text"/>
                              <w:tblW w:w="8434" w:type="dxa"/>
                              <w:jc w:val="center"/>
                              <w:tblInd w:w="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0" w:type="dxa"/>
                                <w:left w:w="65" w:type="dxa"/>
                                <w:bottom w:w="0" w:type="dxa"/>
                                <w:right w:w="70" w:type="dxa"/>
                              </w:tblCellMar>
                              <w:tblLook w:val="04a0"/>
                            </w:tblPr>
                            <w:tblGrid>
                              <w:gridCol w:w="607"/>
                              <w:gridCol w:w="1873"/>
                              <w:gridCol w:w="1984"/>
                              <w:gridCol w:w="1985"/>
                              <w:gridCol w:w="1985"/>
                            </w:tblGrid>
                            <w:tr>
                              <w:trPr>
                                <w:trHeight w:val="372" w:hRule="atLeast"/>
                              </w:trPr>
                              <w:tc>
                                <w:tcPr>
                                  <w:tcW w:w="607" w:type="dxa"/>
                                  <w:tcBorders>
                                    <w:top w:val="single" w:sz="4" w:space="0" w:color="808080"/>
                                    <w:left w:val="single" w:sz="4" w:space="0" w:color="808080"/>
                                    <w:bottom w:val="single" w:sz="4" w:space="0" w:color="808080"/>
                                    <w:right w:val="single" w:sz="4" w:space="0" w:color="808080"/>
                                    <w:insideH w:val="single" w:sz="4" w:space="0" w:color="808080"/>
                                    <w:insideV w:val="single" w:sz="4" w:space="0" w:color="808080"/>
                                  </w:tcBorders>
                                  <w:shd w:color="auto" w:fill="auto" w:val="clear"/>
                                  <w:tcMar>
                                    <w:left w:w="65" w:type="dxa"/>
                                  </w:tcMar>
                                  <w:vAlign w:val="center"/>
                                </w:tcPr>
                                <w:p>
                                  <w:pPr>
                                    <w:pStyle w:val="Normal"/>
                                    <w:spacing w:lineRule="auto" w:line="240" w:before="0" w:after="0"/>
                                    <w:jc w:val="center"/>
                                    <w:rPr/>
                                  </w:pPr>
                                  <w:bookmarkStart w:id="36" w:name="__UnoMark__3707_1910830454"/>
                                  <w:bookmarkEnd w:id="36"/>
                                  <w:r>
                                    <w:rPr>
                                      <w:rFonts w:eastAsia="Times New Roman"/>
                                      <w:b/>
                                      <w:bCs/>
                                      <w:color w:val="000000"/>
                                      <w:sz w:val="20"/>
                                      <w:szCs w:val="20"/>
                                      <w:lang w:eastAsia="da-DK"/>
                                    </w:rPr>
                                    <w:t>Rank</w:t>
                                  </w:r>
                                </w:p>
                              </w:tc>
                              <w:tc>
                                <w:tcPr>
                                  <w:tcW w:w="1873" w:type="dxa"/>
                                  <w:tcBorders>
                                    <w:top w:val="single" w:sz="4" w:space="0" w:color="808080"/>
                                    <w:bottom w:val="single" w:sz="4" w:space="0" w:color="808080"/>
                                    <w:insideH w:val="single" w:sz="4" w:space="0" w:color="808080"/>
                                  </w:tcBorders>
                                  <w:shd w:color="auto" w:fill="auto" w:val="clear"/>
                                  <w:vAlign w:val="center"/>
                                </w:tcPr>
                                <w:p>
                                  <w:pPr>
                                    <w:pStyle w:val="Normal"/>
                                    <w:spacing w:lineRule="auto" w:line="240" w:before="0" w:after="0"/>
                                    <w:jc w:val="center"/>
                                    <w:rPr/>
                                  </w:pPr>
                                  <w:bookmarkStart w:id="37" w:name="__UnoMark__3708_1910830454"/>
                                  <w:bookmarkEnd w:id="37"/>
                                  <w:r>
                                    <w:rPr>
                                      <w:rFonts w:eastAsia="Times New Roman"/>
                                      <w:b/>
                                      <w:bCs/>
                                      <w:color w:val="000000"/>
                                      <w:sz w:val="20"/>
                                      <w:szCs w:val="20"/>
                                      <w:lang w:eastAsia="da-DK"/>
                                    </w:rPr>
                                    <w:t xml:space="preserve">Wood </w:t>
                                  </w:r>
                                  <w:r>
                                    <w:fldChar w:fldCharType="begin"/>
                                  </w:r>
                                  <w:r>
                                    <w:instrText>ADDIN ZOTERO_ITEM CSL_CITATION {"citationID":"cj35s7dk1","properties":{"formattedCitation":"(2)","plainCitation":"(2)"},"citationItems":[{"id":1441,"uris":["http://zotero.org/users/1067890/items/NUCWGETV"],"uri":["http://zotero.org/users/1067890/items/NUCWGETV"],"itemData":{"id":1441,"type":"article-journal","title":"The Eisenmenger Syndrome","container-title":"Br Med J","page":"701-709","volume":"2","issue":"5098","source":"www.bmj.com.ep.fjernadgang.kb.dk","DOI":"10.1136/bmj.2.5098.701","ISSN":"0007-1447, 1468-5833","note":"PMID: 13572874","journalAbbreviation":"Br Med J","language":"en","author":[{"family":"Wood","given":"Paul"}],"issued":{"date-parts":[["1958",9,20]]},"PMID":"13572874"}}],"schema":"https://github.com/citation-style-language/schema/raw/master/csl-citation.json"}</w:instrText>
                                  </w:r>
                                  <w:r>
                                    <w:fldChar w:fldCharType="separate"/>
                                  </w:r>
                                  <w:bookmarkStart w:id="38" w:name="__Fieldmark__3709_1910830454"/>
                                  <w:r>
                                    <w:rPr>
                                      <w:rFonts w:eastAsia="Times New Roman"/>
                                      <w:b/>
                                      <w:bCs/>
                                      <w:color w:val="000000"/>
                                      <w:sz w:val="20"/>
                                      <w:szCs w:val="20"/>
                                      <w:lang w:eastAsia="da-DK"/>
                                    </w:rPr>
                                  </w:r>
                                  <w:r>
                                    <w:fldChar w:fldCharType="begin"/>
                                  </w:r>
                                  <w:r>
                                    <w:instrText>ADDIN ZOTERO_ITEM CSL_CITATION {"citationID":"cj35s7dk1","properties":{"formattedCitation":"(2)","plainCitation":"(2)"},"citationItems":[{"id":1441,"uris":["http://zotero.org/users/1067890/items/NUCWGETV"],"uri":["http://zotero.org/users/1067890/items/NUCWGETV"],"itemData":{"id":1441,"type":"article-journal","title":"The Eisenmenger Syndrome","container-title":"Br Med J","page":"701-709","volume":"2","issue":"5098","source":"www.bmj.com.ep.fjernadgang.kb.dk","DOI":"10.1136/bmj.2.5098.701","ISSN":"0007-1447, 1468-5833","note":"PMID: 13572874","journalAbbreviation":"Br Med J","language":"en","author":[{"family":"Wood","given":"Paul"}],"issued":{"date-parts":[["1958",9,20]]},"PMID":"13572874"}}],"schema":"https://github.com/citation-style-language/schema/raw/master/csl-citation.json"}</w:instrText>
                                  </w:r>
                                  <w:r>
                                    <w:fldChar w:fldCharType="separate"/>
                                  </w:r>
                                  <w:r>
                                    <w:rPr>
                                      <w:rFonts w:eastAsia="Times New Roman"/>
                                      <w:b/>
                                      <w:bCs/>
                                      <w:color w:val="000000"/>
                                      <w:sz w:val="20"/>
                                      <w:szCs w:val="20"/>
                                      <w:lang w:eastAsia="da-DK"/>
                                    </w:rPr>
                                    <w:t>(2)</w:t>
                                  </w:r>
                                  <w:r>
                                    <w:rPr>
                                      <w:rFonts w:eastAsia="Times New Roman"/>
                                      <w:b/>
                                      <w:bCs/>
                                      <w:color w:val="000000"/>
                                      <w:sz w:val="20"/>
                                      <w:szCs w:val="20"/>
                                      <w:lang w:eastAsia="da-DK"/>
                                    </w:rPr>
                                  </w:r>
                                  <w:r>
                                    <w:fldChar w:fldCharType="end"/>
                                  </w:r>
                                  <w:bookmarkEnd w:id="38"/>
                                  <w:r>
                                    <w:rPr>
                                      <w:rFonts w:eastAsia="Times New Roman"/>
                                      <w:b/>
                                      <w:bCs/>
                                      <w:color w:val="000000"/>
                                      <w:sz w:val="20"/>
                                      <w:szCs w:val="20"/>
                                      <w:lang w:eastAsia="da-DK"/>
                                    </w:rPr>
                                  </w:r>
                                  <w:r>
                                    <w:fldChar w:fldCharType="end"/>
                                  </w:r>
                                </w:p>
                                <w:p>
                                  <w:pPr>
                                    <w:pStyle w:val="Normal"/>
                                    <w:spacing w:lineRule="auto" w:line="240" w:before="0" w:after="0"/>
                                    <w:jc w:val="center"/>
                                    <w:rPr/>
                                  </w:pPr>
                                  <w:bookmarkStart w:id="39" w:name="__UnoMark__3710_1910830454"/>
                                  <w:bookmarkEnd w:id="39"/>
                                  <w:r>
                                    <w:rPr>
                                      <w:rFonts w:eastAsia="Times New Roman"/>
                                      <w:color w:val="000000"/>
                                      <w:sz w:val="20"/>
                                      <w:szCs w:val="20"/>
                                      <w:lang w:eastAsia="da-DK"/>
                                    </w:rPr>
                                    <w:t>(1958)</w:t>
                                  </w:r>
                                </w:p>
                              </w:tc>
                              <w:tc>
                                <w:tcPr>
                                  <w:tcW w:w="1984" w:type="dxa"/>
                                  <w:tcBorders>
                                    <w:top w:val="single" w:sz="4" w:space="0" w:color="808080"/>
                                    <w:left w:val="single" w:sz="4" w:space="0" w:color="808080"/>
                                    <w:bottom w:val="single" w:sz="4" w:space="0" w:color="808080"/>
                                    <w:right w:val="single" w:sz="4" w:space="0" w:color="808080"/>
                                    <w:insideH w:val="single" w:sz="4" w:space="0" w:color="808080"/>
                                    <w:insideV w:val="single" w:sz="4" w:space="0" w:color="808080"/>
                                  </w:tcBorders>
                                  <w:shd w:color="auto" w:fill="auto" w:val="clear"/>
                                  <w:tcMar>
                                    <w:left w:w="65" w:type="dxa"/>
                                  </w:tcMar>
                                  <w:vAlign w:val="center"/>
                                </w:tcPr>
                                <w:p>
                                  <w:pPr>
                                    <w:pStyle w:val="Normal"/>
                                    <w:spacing w:lineRule="auto" w:line="240" w:before="0" w:after="0"/>
                                    <w:jc w:val="center"/>
                                    <w:rPr/>
                                  </w:pPr>
                                  <w:bookmarkStart w:id="40" w:name="__UnoMark__3711_1910830454"/>
                                  <w:bookmarkEnd w:id="40"/>
                                  <w:r>
                                    <w:rPr>
                                      <w:rFonts w:eastAsia="Times New Roman"/>
                                      <w:b/>
                                      <w:bCs/>
                                      <w:color w:val="000000"/>
                                      <w:sz w:val="20"/>
                                      <w:szCs w:val="20"/>
                                      <w:lang w:eastAsia="da-DK"/>
                                    </w:rPr>
                                    <w:t xml:space="preserve">Daliento </w:t>
                                  </w:r>
                                  <w:r>
                                    <w:fldChar w:fldCharType="begin"/>
                                  </w:r>
                                  <w:r>
                                    <w:instrText>ADDIN ZOTERO_ITEM CSL_CITATION {"citationID":"nc36n7gf2","properties":{"formattedCitation":"(4)","plainCitation":"(4)"},"citationItems":[{"id":969,"uris":["http://zotero.org/users/1067890/items/BHZHMGRW"],"uri":["http://zotero.org/users/1067890/items/BHZHMGRW"],"itemData":{"id":969,"type":"article-journal","title":"Eisenmenger syndrome. Factors relating to deterioration and death","container-title":"European Heart Journal","page":"1845-1855","volume":"19","issue":"12","source":"eurheartj.oxfordjournals.org","abstract":"AimsTo assess the natural history, risk factors for death and deterioration of patients with Eisenmenger Syndrome.MethodsThe clinical course of 188 patients from three different cardiac centres specialized in adult congenital heart defects, followed for a median period of 31 years, was retrospectively analysed. According to the diagnosis, 64 males and 124 females, mean age at last follow-up 33·02±12·8 years, were divided into two groups: simple (128) and complex (60) congenital heart disease. Events analysed were: time variation of Ability Index, pulmonary and cerebral complications, non-cardiac surgery, urate metabolism and renal function, arrhythmias, pregnancy and contraception, medical therapy and transplantation, death from all causes and sudden death.ResultsEighty-four percent of the overall population showed a satisfactory Ability Index (1 and 2) at the first attendance (median age 25 years). Patients with complex heart disease and Eisenmenger reaction had earlier clinical deterioration (18·6±11·3 vs 26·7±12·2) and shorter survival (25·8±7·9 vs 32·5±14·6 years). Thirty-eight (20·2%) patients had at least one episode of haemoptysis between 20 and 40 years of age but it did not modify overall survival; 25 (13·2%) had pulmonary thromboembolism at a mean age of 35·2±13·4 years. Fifteen (7·9%) had a stroke and 7 (3·7%) a cerebral abscess at a mean age of 31·4±15·7 and 24·1±4·9 years, respectively. Cerebral complications influenced the quality of life but did not modify survival. Patients who had venesection showed a 2·04 times greater hazard ratio for haemoptysis. Venesection did not reduce cerebral complications and in 20% caused anaemia and iron deficiency. Other non-cardiac surgery with general anaesthesia carried risks (23·5% of deaths). Significant maternal mortality (27%) in relation to pregnancy occurred with constant deterioration in physical status, high incidence of spontaneous abortions (35·8%) and cardiac abnormalities in offspring (20%). Sixty-one patients died during follow-up, mainly by sudden death (29·5%), heart failure (22·9%) and from haemoptysis (11·4%). Eight patients had heart and lung transplantation and five died 1 week to 4 years after transplant. Deterioration in Ability Index (worsening symptoms), age, complex defects, blood creatinine level, right ventricular dysfunction and non-cardiac surgery were variables which affected the prognosis adversely with uni- and multivariate analysis.Conclusionspatients with Eisenmenger syndrome can survive to the seventh decade with informed medical care and protection from special risks","DOI":"10.1053/euhj.1998.1046","ISSN":"0195-668X, 1522-9645","note":"PMID: 9886728","language":"en","author":[{"family":"Daliento","given":"L."},{"family":"Somerville","given":"J."},{"family":"Presbitero","given":"P."},{"family":"Menti","given":"L."},{"family":"Brach-Prever","given":"S."},{"family":"Rizzoli","given":"G."},{"family":"Stone","given":"S."}],"issued":{"date-parts":[["1998",12,1]]},"PMID":"9886728"}}],"schema":"https://github.com/citation-style-language/schema/raw/master/csl-citation.json"}</w:instrText>
                                  </w:r>
                                  <w:r>
                                    <w:fldChar w:fldCharType="separate"/>
                                  </w:r>
                                  <w:bookmarkStart w:id="41" w:name="__Fieldmark__3712_1910830454"/>
                                  <w:r>
                                    <w:rPr>
                                      <w:rFonts w:eastAsia="Times New Roman"/>
                                      <w:b/>
                                      <w:bCs/>
                                      <w:color w:val="000000"/>
                                      <w:sz w:val="20"/>
                                      <w:szCs w:val="20"/>
                                      <w:lang w:eastAsia="da-DK"/>
                                    </w:rPr>
                                  </w:r>
                                  <w:r>
                                    <w:fldChar w:fldCharType="begin"/>
                                  </w:r>
                                  <w:r>
                                    <w:instrText>ADDIN ZOTERO_ITEM CSL_CITATION {"citationID":"nc36n7gf2","properties":{"formattedCitation":"(4)","plainCitation":"(4)"},"citationItems":[{"id":969,"uris":["http://zotero.org/users/1067890/items/BHZHMGRW"],"uri":["http://zotero.org/users/1067890/items/BHZHMGRW"],"itemData":{"id":969,"type":"article-journal","title":"Eisenmenger syndrome. Factors relating to deterioration and death","container-title":"European Heart Journal","page":"1845-1855","volume":"19","issue":"12","source":"eurheartj.oxfordjournals.org","abstract":"AimsTo assess the natural history, risk factors for death and deterioration of patients with Eisenmenger Syndrome.MethodsThe clinical course of 188 patients from three different cardiac centres specialized in adult congenital heart defects, followed for a median period of 31 years, was retrospectively analysed. According to the diagnosis, 64 males and 124 females, mean age at last follow-up 33·02±12·8 years, were divided into two groups: simple (128) and complex (60) congenital heart disease. Events analysed were: time variation of Ability Index, pulmonary and cerebral complications, non-cardiac surgery, urate metabolism and renal function, arrhythmias, pregnancy and contraception, medical therapy and transplantation, death from all causes and sudden death.ResultsEighty-four percent of the overall population showed a satisfactory Ability Index (1 and 2) at the first attendance (median age 25 years). Patients with complex heart disease and Eisenmenger reaction had earlier clinical deterioration (18·6±11·3 vs 26·7±12·2) and shorter survival (25·8±7·9 vs 32·5±14·6 years). Thirty-eight (20·2%) patients had at least one episode of haemoptysis between 20 and 40 years of age but it did not modify overall survival; 25 (13·2%) had pulmonary thromboembolism at a mean age of 35·2±13·4 years. Fifteen (7·9%) had a stroke and 7 (3·7%) a cerebral abscess at a mean age of 31·4±15·7 and 24·1±4·9 years, respectively. Cerebral complications influenced the quality of life but did not modify survival. Patients who had venesection showed a 2·04 times greater hazard ratio for haemoptysis. Venesection did not reduce cerebral complications and in 20% caused anaemia and iron deficiency. Other non-cardiac surgery with general anaesthesia carried risks (23·5% of deaths). Significant maternal mortality (27%) in relation to pregnancy occurred with constant deterioration in physical status, high incidence of spontaneous abortions (35·8%) and cardiac abnormalities in offspring (20%). Sixty-one patients died during follow-up, mainly by sudden death (29·5%), heart failure (22·9%) and from haemoptysis (11·4%). Eight patients had heart and lung transplantation and five died 1 week to 4 years after transplant. Deterioration in Ability Index (worsening symptoms), age, complex defects, blood creatinine level, right ventricular dysfunction and non-cardiac surgery were variables which affected the prognosis adversely with uni- and multivariate analysis.Conclusionspatients with Eisenmenger syndrome can survive to the seventh decade with informed medical care and protection from special risks","DOI":"10.1053/euhj.1998.1046","ISSN":"0195-668X, 1522-9645","note":"PMID: 9886728","language":"en","author":[{"family":"Daliento","given":"L."},{"family":"Somerville","given":"J."},{"family":"Presbitero","given":"P."},{"family":"Menti","given":"L."},{"family":"Brach-Prever","given":"S."},{"family":"Rizzoli","given":"G."},{"family":"Stone","given":"S."}],"issued":{"date-parts":[["1998",12,1]]},"PMID":"9886728"}}],"schema":"https://github.com/citation-style-language/schema/raw/master/csl-citation.json"}</w:instrText>
                                  </w:r>
                                  <w:r>
                                    <w:fldChar w:fldCharType="separate"/>
                                  </w:r>
                                  <w:r>
                                    <w:rPr>
                                      <w:rFonts w:eastAsia="Times New Roman"/>
                                      <w:b/>
                                      <w:bCs/>
                                      <w:color w:val="000000"/>
                                      <w:sz w:val="20"/>
                                      <w:szCs w:val="20"/>
                                      <w:lang w:eastAsia="da-DK"/>
                                    </w:rPr>
                                    <w:t>(4)</w:t>
                                  </w:r>
                                  <w:r>
                                    <w:rPr>
                                      <w:rFonts w:eastAsia="Times New Roman"/>
                                      <w:b/>
                                      <w:bCs/>
                                      <w:color w:val="000000"/>
                                      <w:sz w:val="20"/>
                                      <w:szCs w:val="20"/>
                                      <w:lang w:eastAsia="da-DK"/>
                                    </w:rPr>
                                  </w:r>
                                  <w:r>
                                    <w:fldChar w:fldCharType="end"/>
                                  </w:r>
                                  <w:bookmarkEnd w:id="41"/>
                                  <w:r>
                                    <w:rPr>
                                      <w:rFonts w:eastAsia="Times New Roman"/>
                                      <w:b/>
                                      <w:bCs/>
                                      <w:color w:val="000000"/>
                                      <w:sz w:val="20"/>
                                      <w:szCs w:val="20"/>
                                      <w:lang w:eastAsia="da-DK"/>
                                    </w:rPr>
                                  </w:r>
                                  <w:r>
                                    <w:fldChar w:fldCharType="end"/>
                                  </w:r>
                                </w:p>
                                <w:p>
                                  <w:pPr>
                                    <w:pStyle w:val="Normal"/>
                                    <w:spacing w:lineRule="auto" w:line="240" w:before="0" w:after="0"/>
                                    <w:jc w:val="center"/>
                                    <w:rPr/>
                                  </w:pPr>
                                  <w:bookmarkStart w:id="42" w:name="__UnoMark__3713_1910830454"/>
                                  <w:bookmarkEnd w:id="42"/>
                                  <w:r>
                                    <w:rPr>
                                      <w:rFonts w:eastAsia="Times New Roman"/>
                                      <w:color w:val="000000"/>
                                      <w:sz w:val="20"/>
                                      <w:szCs w:val="20"/>
                                      <w:lang w:eastAsia="da-DK"/>
                                    </w:rPr>
                                    <w:t>(1998)</w:t>
                                  </w:r>
                                </w:p>
                              </w:tc>
                              <w:tc>
                                <w:tcPr>
                                  <w:tcW w:w="1985" w:type="dxa"/>
                                  <w:tcBorders>
                                    <w:top w:val="single" w:sz="4" w:space="0" w:color="808080"/>
                                    <w:bottom w:val="single" w:sz="4" w:space="0" w:color="808080"/>
                                    <w:insideH w:val="single" w:sz="4" w:space="0" w:color="808080"/>
                                  </w:tcBorders>
                                  <w:shd w:color="auto" w:fill="auto" w:val="clear"/>
                                  <w:vAlign w:val="center"/>
                                </w:tcPr>
                                <w:p>
                                  <w:pPr>
                                    <w:pStyle w:val="Normal"/>
                                    <w:spacing w:lineRule="auto" w:line="240" w:before="0" w:after="0"/>
                                    <w:jc w:val="center"/>
                                    <w:rPr/>
                                  </w:pPr>
                                  <w:bookmarkStart w:id="43" w:name="__UnoMark__3714_1910830454"/>
                                  <w:bookmarkEnd w:id="43"/>
                                  <w:r>
                                    <w:rPr>
                                      <w:rFonts w:eastAsia="Times New Roman"/>
                                      <w:b/>
                                      <w:bCs/>
                                      <w:color w:val="000000"/>
                                      <w:sz w:val="20"/>
                                      <w:szCs w:val="20"/>
                                      <w:lang w:val="da-DK" w:eastAsia="da-DK"/>
                                    </w:rPr>
                                    <w:t>Early Era</w:t>
                                  </w:r>
                                  <w:r>
                                    <w:rPr>
                                      <w:rFonts w:eastAsia="Times New Roman"/>
                                      <w:color w:val="000000"/>
                                      <w:sz w:val="20"/>
                                      <w:szCs w:val="20"/>
                                      <w:lang w:val="da-DK" w:eastAsia="da-DK"/>
                                    </w:rPr>
                                    <w:t xml:space="preserve"> </w:t>
                                  </w:r>
                                </w:p>
                                <w:p>
                                  <w:pPr>
                                    <w:pStyle w:val="Normal"/>
                                    <w:spacing w:lineRule="auto" w:line="240" w:before="0" w:after="0"/>
                                    <w:jc w:val="center"/>
                                    <w:rPr/>
                                  </w:pPr>
                                  <w:bookmarkStart w:id="44" w:name="__UnoMark__3715_1910830454"/>
                                  <w:bookmarkEnd w:id="44"/>
                                  <w:r>
                                    <w:rPr>
                                      <w:rFonts w:eastAsia="Times New Roman"/>
                                      <w:color w:val="000000"/>
                                      <w:sz w:val="20"/>
                                      <w:szCs w:val="20"/>
                                      <w:lang w:val="da-DK" w:eastAsia="da-DK"/>
                                    </w:rPr>
                                    <w:t>(&lt;Jul2006)</w:t>
                                  </w:r>
                                </w:p>
                              </w:tc>
                              <w:tc>
                                <w:tcPr>
                                  <w:tcW w:w="1985" w:type="dxa"/>
                                  <w:tcBorders>
                                    <w:top w:val="single" w:sz="4" w:space="0" w:color="808080"/>
                                    <w:left w:val="single" w:sz="4" w:space="0" w:color="808080"/>
                                    <w:bottom w:val="single" w:sz="4" w:space="0" w:color="808080"/>
                                    <w:right w:val="single" w:sz="4" w:space="0" w:color="808080"/>
                                    <w:insideH w:val="single" w:sz="4" w:space="0" w:color="808080"/>
                                    <w:insideV w:val="single" w:sz="4" w:space="0" w:color="808080"/>
                                  </w:tcBorders>
                                  <w:shd w:color="auto" w:fill="auto" w:val="clear"/>
                                  <w:tcMar>
                                    <w:left w:w="65" w:type="dxa"/>
                                  </w:tcMar>
                                  <w:vAlign w:val="center"/>
                                </w:tcPr>
                                <w:p>
                                  <w:pPr>
                                    <w:pStyle w:val="Normal"/>
                                    <w:spacing w:lineRule="auto" w:line="240" w:before="0" w:after="0"/>
                                    <w:jc w:val="center"/>
                                    <w:rPr/>
                                  </w:pPr>
                                  <w:bookmarkStart w:id="45" w:name="__UnoMark__3716_1910830454"/>
                                  <w:bookmarkEnd w:id="45"/>
                                  <w:r>
                                    <w:rPr>
                                      <w:rFonts w:eastAsia="Times New Roman"/>
                                      <w:b/>
                                      <w:bCs/>
                                      <w:color w:val="000000"/>
                                      <w:sz w:val="20"/>
                                      <w:szCs w:val="20"/>
                                      <w:lang w:val="da-DK" w:eastAsia="da-DK"/>
                                    </w:rPr>
                                    <w:t>Late Era</w:t>
                                  </w:r>
                                  <w:r>
                                    <w:rPr>
                                      <w:rFonts w:eastAsia="Times New Roman"/>
                                      <w:color w:val="000000"/>
                                      <w:sz w:val="20"/>
                                      <w:szCs w:val="20"/>
                                      <w:lang w:val="da-DK" w:eastAsia="da-DK"/>
                                    </w:rPr>
                                    <w:t xml:space="preserve"> </w:t>
                                  </w:r>
                                </w:p>
                                <w:p>
                                  <w:pPr>
                                    <w:pStyle w:val="Normal"/>
                                    <w:spacing w:lineRule="auto" w:line="240" w:before="0" w:after="0"/>
                                    <w:jc w:val="center"/>
                                    <w:rPr/>
                                  </w:pPr>
                                  <w:bookmarkStart w:id="46" w:name="__UnoMark__3717_1910830454"/>
                                  <w:bookmarkEnd w:id="46"/>
                                  <w:r>
                                    <w:rPr>
                                      <w:rFonts w:eastAsia="Times New Roman"/>
                                      <w:color w:val="000000"/>
                                      <w:sz w:val="20"/>
                                      <w:szCs w:val="20"/>
                                      <w:lang w:val="da-DK" w:eastAsia="da-DK"/>
                                    </w:rPr>
                                    <w:t>(≥Jul2006)</w:t>
                                  </w:r>
                                </w:p>
                              </w:tc>
                            </w:tr>
                            <w:tr>
                              <w:trPr>
                                <w:trHeight w:val="372" w:hRule="atLeast"/>
                              </w:trPr>
                              <w:tc>
                                <w:tcPr>
                                  <w:tcW w:w="607" w:type="dxa"/>
                                  <w:tcBorders>
                                    <w:left w:val="single" w:sz="4" w:space="0" w:color="808080"/>
                                    <w:right w:val="single" w:sz="4" w:space="0" w:color="808080"/>
                                    <w:insideV w:val="single" w:sz="4" w:space="0" w:color="808080"/>
                                  </w:tcBorders>
                                  <w:shd w:color="auto" w:fill="auto" w:val="clear"/>
                                  <w:tcMar>
                                    <w:left w:w="65" w:type="dxa"/>
                                  </w:tcMar>
                                  <w:vAlign w:val="center"/>
                                </w:tcPr>
                                <w:p>
                                  <w:pPr>
                                    <w:pStyle w:val="Normal"/>
                                    <w:spacing w:lineRule="auto" w:line="240" w:before="0" w:after="0"/>
                                    <w:jc w:val="center"/>
                                    <w:rPr/>
                                  </w:pPr>
                                  <w:bookmarkStart w:id="47" w:name="__UnoMark__3718_1910830454"/>
                                  <w:bookmarkStart w:id="48" w:name="__UnoMark__3719_1910830454"/>
                                  <w:bookmarkEnd w:id="47"/>
                                  <w:bookmarkEnd w:id="48"/>
                                  <w:r>
                                    <w:rPr>
                                      <w:rFonts w:eastAsia="Times New Roman"/>
                                      <w:b/>
                                      <w:bCs/>
                                      <w:color w:val="000000"/>
                                      <w:sz w:val="20"/>
                                      <w:szCs w:val="20"/>
                                      <w:lang w:eastAsia="da-DK"/>
                                    </w:rPr>
                                    <w:t>1</w:t>
                                  </w:r>
                                </w:p>
                              </w:tc>
                              <w:tc>
                                <w:tcPr>
                                  <w:tcW w:w="1873" w:type="dxa"/>
                                  <w:tcBorders/>
                                  <w:shd w:color="000000" w:fill="FF3B3B" w:val="clear"/>
                                  <w:vAlign w:val="center"/>
                                </w:tcPr>
                                <w:p>
                                  <w:pPr>
                                    <w:pStyle w:val="Normal"/>
                                    <w:spacing w:lineRule="auto" w:line="240" w:before="0" w:after="0"/>
                                    <w:rPr/>
                                  </w:pPr>
                                  <w:bookmarkStart w:id="49" w:name="__UnoMark__3720_1910830454"/>
                                  <w:bookmarkStart w:id="50" w:name="__UnoMark__3721_1910830454"/>
                                  <w:bookmarkEnd w:id="49"/>
                                  <w:bookmarkEnd w:id="50"/>
                                  <w:r>
                                    <w:rPr>
                                      <w:rFonts w:eastAsia="Times New Roman"/>
                                      <w:color w:val="000000"/>
                                      <w:sz w:val="20"/>
                                      <w:szCs w:val="20"/>
                                      <w:lang w:eastAsia="da-DK"/>
                                    </w:rPr>
                                    <w:t xml:space="preserve">Haemorrhage </w:t>
                                  </w:r>
                                </w:p>
                              </w:tc>
                              <w:tc>
                                <w:tcPr>
                                  <w:tcW w:w="1984" w:type="dxa"/>
                                  <w:tcBorders>
                                    <w:left w:val="single" w:sz="4" w:space="0" w:color="808080"/>
                                    <w:right w:val="single" w:sz="4" w:space="0" w:color="808080"/>
                                    <w:insideV w:val="single" w:sz="4" w:space="0" w:color="808080"/>
                                  </w:tcBorders>
                                  <w:shd w:color="000000" w:fill="FF3B3B" w:val="clear"/>
                                  <w:tcMar>
                                    <w:left w:w="65" w:type="dxa"/>
                                  </w:tcMar>
                                  <w:vAlign w:val="center"/>
                                </w:tcPr>
                                <w:p>
                                  <w:pPr>
                                    <w:pStyle w:val="Normal"/>
                                    <w:spacing w:lineRule="auto" w:line="240" w:before="0" w:after="0"/>
                                    <w:rPr/>
                                  </w:pPr>
                                  <w:bookmarkStart w:id="51" w:name="__UnoMark__3722_1910830454"/>
                                  <w:bookmarkStart w:id="52" w:name="__UnoMark__3723_1910830454"/>
                                  <w:bookmarkEnd w:id="51"/>
                                  <w:bookmarkEnd w:id="52"/>
                                  <w:r>
                                    <w:rPr>
                                      <w:rFonts w:eastAsia="Times New Roman"/>
                                      <w:color w:val="000000"/>
                                      <w:sz w:val="20"/>
                                      <w:szCs w:val="20"/>
                                      <w:lang w:eastAsia="da-DK"/>
                                    </w:rPr>
                                    <w:t xml:space="preserve">Haemorrhage </w:t>
                                  </w:r>
                                </w:p>
                              </w:tc>
                              <w:tc>
                                <w:tcPr>
                                  <w:tcW w:w="1985" w:type="dxa"/>
                                  <w:tcBorders/>
                                  <w:shd w:color="000000" w:fill="FF7D7D" w:val="clear"/>
                                  <w:vAlign w:val="center"/>
                                </w:tcPr>
                                <w:p>
                                  <w:pPr>
                                    <w:pStyle w:val="Normal"/>
                                    <w:spacing w:lineRule="auto" w:line="240" w:before="0" w:after="0"/>
                                    <w:rPr/>
                                  </w:pPr>
                                  <w:bookmarkStart w:id="53" w:name="__UnoMark__3724_1910830454"/>
                                  <w:bookmarkStart w:id="54" w:name="__UnoMark__3725_1910830454"/>
                                  <w:bookmarkEnd w:id="53"/>
                                  <w:bookmarkEnd w:id="54"/>
                                  <w:r>
                                    <w:rPr>
                                      <w:rFonts w:eastAsia="Times New Roman"/>
                                      <w:color w:val="000000"/>
                                      <w:sz w:val="20"/>
                                      <w:szCs w:val="20"/>
                                      <w:lang w:eastAsia="da-DK"/>
                                    </w:rPr>
                                    <w:t>Heart failure</w:t>
                                  </w:r>
                                </w:p>
                              </w:tc>
                              <w:tc>
                                <w:tcPr>
                                  <w:tcW w:w="1985" w:type="dxa"/>
                                  <w:tcBorders>
                                    <w:left w:val="single" w:sz="4" w:space="0" w:color="808080"/>
                                    <w:right w:val="single" w:sz="4" w:space="0" w:color="808080"/>
                                    <w:insideV w:val="single" w:sz="4" w:space="0" w:color="808080"/>
                                  </w:tcBorders>
                                  <w:shd w:color="000000" w:fill="FF7D7D" w:val="clear"/>
                                  <w:tcMar>
                                    <w:left w:w="65" w:type="dxa"/>
                                  </w:tcMar>
                                  <w:vAlign w:val="center"/>
                                </w:tcPr>
                                <w:p>
                                  <w:pPr>
                                    <w:pStyle w:val="Normal"/>
                                    <w:spacing w:lineRule="auto" w:line="240" w:before="0" w:after="0"/>
                                    <w:rPr/>
                                  </w:pPr>
                                  <w:bookmarkStart w:id="55" w:name="__UnoMark__3726_1910830454"/>
                                  <w:bookmarkStart w:id="56" w:name="__UnoMark__3727_1910830454"/>
                                  <w:bookmarkEnd w:id="55"/>
                                  <w:bookmarkEnd w:id="56"/>
                                  <w:r>
                                    <w:rPr>
                                      <w:rFonts w:eastAsia="Times New Roman"/>
                                      <w:color w:val="000000"/>
                                      <w:sz w:val="20"/>
                                      <w:szCs w:val="20"/>
                                      <w:lang w:eastAsia="da-DK"/>
                                    </w:rPr>
                                    <w:t>Heart failure</w:t>
                                  </w:r>
                                </w:p>
                              </w:tc>
                            </w:tr>
                            <w:tr>
                              <w:trPr>
                                <w:trHeight w:val="372" w:hRule="atLeast"/>
                              </w:trPr>
                              <w:tc>
                                <w:tcPr>
                                  <w:tcW w:w="607" w:type="dxa"/>
                                  <w:tcBorders>
                                    <w:left w:val="single" w:sz="4" w:space="0" w:color="808080"/>
                                    <w:right w:val="single" w:sz="4" w:space="0" w:color="808080"/>
                                    <w:insideV w:val="single" w:sz="4" w:space="0" w:color="808080"/>
                                  </w:tcBorders>
                                  <w:shd w:color="auto" w:fill="auto" w:val="clear"/>
                                  <w:tcMar>
                                    <w:left w:w="65" w:type="dxa"/>
                                  </w:tcMar>
                                  <w:vAlign w:val="center"/>
                                </w:tcPr>
                                <w:p>
                                  <w:pPr>
                                    <w:pStyle w:val="Normal"/>
                                    <w:spacing w:lineRule="auto" w:line="240" w:before="0" w:after="0"/>
                                    <w:jc w:val="center"/>
                                    <w:rPr/>
                                  </w:pPr>
                                  <w:bookmarkStart w:id="57" w:name="__UnoMark__3728_1910830454"/>
                                  <w:bookmarkStart w:id="58" w:name="__UnoMark__3729_1910830454"/>
                                  <w:bookmarkEnd w:id="57"/>
                                  <w:bookmarkEnd w:id="58"/>
                                  <w:r>
                                    <w:rPr>
                                      <w:rFonts w:eastAsia="Times New Roman"/>
                                      <w:b/>
                                      <w:bCs/>
                                      <w:color w:val="000000"/>
                                      <w:sz w:val="20"/>
                                      <w:szCs w:val="20"/>
                                      <w:lang w:eastAsia="da-DK"/>
                                    </w:rPr>
                                    <w:t>2</w:t>
                                  </w:r>
                                </w:p>
                              </w:tc>
                              <w:tc>
                                <w:tcPr>
                                  <w:tcW w:w="1873" w:type="dxa"/>
                                  <w:tcBorders/>
                                  <w:shd w:color="000000" w:fill="9BC2E6" w:val="clear"/>
                                  <w:vAlign w:val="center"/>
                                </w:tcPr>
                                <w:p>
                                  <w:pPr>
                                    <w:pStyle w:val="Normal"/>
                                    <w:spacing w:lineRule="auto" w:line="240" w:before="0" w:after="0"/>
                                    <w:rPr/>
                                  </w:pPr>
                                  <w:bookmarkStart w:id="59" w:name="__UnoMark__3730_1910830454"/>
                                  <w:bookmarkStart w:id="60" w:name="__UnoMark__3731_1910830454"/>
                                  <w:bookmarkEnd w:id="59"/>
                                  <w:bookmarkEnd w:id="60"/>
                                  <w:r>
                                    <w:rPr>
                                      <w:rFonts w:eastAsia="Times New Roman"/>
                                      <w:color w:val="000000"/>
                                      <w:sz w:val="20"/>
                                      <w:szCs w:val="20"/>
                                      <w:lang w:eastAsia="da-DK"/>
                                    </w:rPr>
                                    <w:t xml:space="preserve">Peri-procedural </w:t>
                                  </w:r>
                                </w:p>
                              </w:tc>
                              <w:tc>
                                <w:tcPr>
                                  <w:tcW w:w="1984" w:type="dxa"/>
                                  <w:tcBorders>
                                    <w:left w:val="single" w:sz="4" w:space="0" w:color="808080"/>
                                    <w:right w:val="single" w:sz="4" w:space="0" w:color="808080"/>
                                    <w:insideV w:val="single" w:sz="4" w:space="0" w:color="808080"/>
                                  </w:tcBorders>
                                  <w:shd w:color="000000" w:fill="FF7D7D" w:val="clear"/>
                                  <w:tcMar>
                                    <w:left w:w="65" w:type="dxa"/>
                                  </w:tcMar>
                                  <w:vAlign w:val="center"/>
                                </w:tcPr>
                                <w:p>
                                  <w:pPr>
                                    <w:pStyle w:val="Normal"/>
                                    <w:spacing w:lineRule="auto" w:line="240" w:before="0" w:after="0"/>
                                    <w:rPr/>
                                  </w:pPr>
                                  <w:bookmarkStart w:id="61" w:name="__UnoMark__3732_1910830454"/>
                                  <w:bookmarkStart w:id="62" w:name="__UnoMark__3733_1910830454"/>
                                  <w:bookmarkEnd w:id="61"/>
                                  <w:bookmarkEnd w:id="62"/>
                                  <w:r>
                                    <w:rPr>
                                      <w:rFonts w:eastAsia="Times New Roman"/>
                                      <w:color w:val="000000"/>
                                      <w:sz w:val="20"/>
                                      <w:szCs w:val="20"/>
                                      <w:lang w:eastAsia="da-DK"/>
                                    </w:rPr>
                                    <w:t>Heart failure</w:t>
                                  </w:r>
                                </w:p>
                              </w:tc>
                              <w:tc>
                                <w:tcPr>
                                  <w:tcW w:w="1985" w:type="dxa"/>
                                  <w:tcBorders/>
                                  <w:shd w:color="000000" w:fill="FFD966" w:val="clear"/>
                                  <w:vAlign w:val="center"/>
                                </w:tcPr>
                                <w:p>
                                  <w:pPr>
                                    <w:pStyle w:val="Normal"/>
                                    <w:spacing w:lineRule="auto" w:line="240" w:before="0" w:after="0"/>
                                    <w:rPr/>
                                  </w:pPr>
                                  <w:bookmarkStart w:id="63" w:name="__UnoMark__3734_1910830454"/>
                                  <w:bookmarkStart w:id="64" w:name="__UnoMark__3735_1910830454"/>
                                  <w:bookmarkEnd w:id="63"/>
                                  <w:bookmarkEnd w:id="64"/>
                                  <w:r>
                                    <w:rPr>
                                      <w:rFonts w:eastAsia="Times New Roman"/>
                                      <w:color w:val="000000"/>
                                      <w:sz w:val="20"/>
                                      <w:szCs w:val="20"/>
                                      <w:lang w:eastAsia="da-DK"/>
                                    </w:rPr>
                                    <w:t xml:space="preserve">Infection </w:t>
                                  </w:r>
                                </w:p>
                              </w:tc>
                              <w:tc>
                                <w:tcPr>
                                  <w:tcW w:w="1985" w:type="dxa"/>
                                  <w:tcBorders>
                                    <w:left w:val="single" w:sz="4" w:space="0" w:color="808080"/>
                                    <w:right w:val="single" w:sz="4" w:space="0" w:color="808080"/>
                                    <w:insideV w:val="single" w:sz="4" w:space="0" w:color="808080"/>
                                  </w:tcBorders>
                                  <w:shd w:color="000000" w:fill="FFD966" w:val="clear"/>
                                  <w:tcMar>
                                    <w:left w:w="65" w:type="dxa"/>
                                  </w:tcMar>
                                  <w:vAlign w:val="center"/>
                                </w:tcPr>
                                <w:p>
                                  <w:pPr>
                                    <w:pStyle w:val="Normal"/>
                                    <w:spacing w:lineRule="auto" w:line="240" w:before="0" w:after="0"/>
                                    <w:rPr/>
                                  </w:pPr>
                                  <w:bookmarkStart w:id="65" w:name="__UnoMark__3736_1910830454"/>
                                  <w:bookmarkStart w:id="66" w:name="__UnoMark__3737_1910830454"/>
                                  <w:bookmarkEnd w:id="65"/>
                                  <w:bookmarkEnd w:id="66"/>
                                  <w:r>
                                    <w:rPr>
                                      <w:rFonts w:eastAsia="Times New Roman"/>
                                      <w:color w:val="000000"/>
                                      <w:sz w:val="20"/>
                                      <w:szCs w:val="20"/>
                                      <w:lang w:eastAsia="da-DK"/>
                                    </w:rPr>
                                    <w:t xml:space="preserve">Infection </w:t>
                                  </w:r>
                                </w:p>
                              </w:tc>
                            </w:tr>
                            <w:tr>
                              <w:trPr>
                                <w:trHeight w:val="372" w:hRule="atLeast"/>
                              </w:trPr>
                              <w:tc>
                                <w:tcPr>
                                  <w:tcW w:w="607" w:type="dxa"/>
                                  <w:tcBorders>
                                    <w:left w:val="single" w:sz="4" w:space="0" w:color="808080"/>
                                    <w:right w:val="single" w:sz="4" w:space="0" w:color="808080"/>
                                    <w:insideV w:val="single" w:sz="4" w:space="0" w:color="808080"/>
                                  </w:tcBorders>
                                  <w:shd w:color="auto" w:fill="auto" w:val="clear"/>
                                  <w:tcMar>
                                    <w:left w:w="65" w:type="dxa"/>
                                  </w:tcMar>
                                  <w:vAlign w:val="center"/>
                                </w:tcPr>
                                <w:p>
                                  <w:pPr>
                                    <w:pStyle w:val="Normal"/>
                                    <w:spacing w:lineRule="auto" w:line="240" w:before="0" w:after="0"/>
                                    <w:jc w:val="center"/>
                                    <w:rPr/>
                                  </w:pPr>
                                  <w:bookmarkStart w:id="67" w:name="__UnoMark__3738_1910830454"/>
                                  <w:bookmarkStart w:id="68" w:name="__UnoMark__3739_1910830454"/>
                                  <w:bookmarkEnd w:id="67"/>
                                  <w:bookmarkEnd w:id="68"/>
                                  <w:r>
                                    <w:rPr>
                                      <w:rFonts w:eastAsia="Times New Roman"/>
                                      <w:b/>
                                      <w:bCs/>
                                      <w:color w:val="000000"/>
                                      <w:sz w:val="20"/>
                                      <w:szCs w:val="20"/>
                                      <w:lang w:eastAsia="da-DK"/>
                                    </w:rPr>
                                    <w:t>3</w:t>
                                  </w:r>
                                </w:p>
                              </w:tc>
                              <w:tc>
                                <w:tcPr>
                                  <w:tcW w:w="1873" w:type="dxa"/>
                                  <w:tcBorders/>
                                  <w:shd w:color="000000" w:fill="FF7D7D" w:val="clear"/>
                                  <w:vAlign w:val="center"/>
                                </w:tcPr>
                                <w:p>
                                  <w:pPr>
                                    <w:pStyle w:val="Normal"/>
                                    <w:spacing w:lineRule="auto" w:line="240" w:before="0" w:after="0"/>
                                    <w:rPr/>
                                  </w:pPr>
                                  <w:bookmarkStart w:id="69" w:name="__UnoMark__3740_1910830454"/>
                                  <w:bookmarkStart w:id="70" w:name="__UnoMark__3741_1910830454"/>
                                  <w:bookmarkEnd w:id="69"/>
                                  <w:bookmarkEnd w:id="70"/>
                                  <w:r>
                                    <w:rPr>
                                      <w:rFonts w:eastAsia="Times New Roman"/>
                                      <w:color w:val="000000"/>
                                      <w:sz w:val="20"/>
                                      <w:szCs w:val="20"/>
                                      <w:lang w:eastAsia="da-DK"/>
                                    </w:rPr>
                                    <w:t>Heart failure</w:t>
                                  </w:r>
                                </w:p>
                              </w:tc>
                              <w:tc>
                                <w:tcPr>
                                  <w:tcW w:w="1984" w:type="dxa"/>
                                  <w:tcBorders>
                                    <w:left w:val="single" w:sz="4" w:space="0" w:color="808080"/>
                                    <w:right w:val="single" w:sz="4" w:space="0" w:color="808080"/>
                                    <w:insideV w:val="single" w:sz="4" w:space="0" w:color="808080"/>
                                  </w:tcBorders>
                                  <w:shd w:color="000000" w:fill="A6A6A6" w:val="clear"/>
                                  <w:tcMar>
                                    <w:left w:w="65" w:type="dxa"/>
                                  </w:tcMar>
                                  <w:vAlign w:val="center"/>
                                </w:tcPr>
                                <w:p>
                                  <w:pPr>
                                    <w:pStyle w:val="Normal"/>
                                    <w:spacing w:lineRule="auto" w:line="240" w:before="0" w:after="0"/>
                                    <w:rPr/>
                                  </w:pPr>
                                  <w:bookmarkStart w:id="71" w:name="__UnoMark__3742_1910830454"/>
                                  <w:bookmarkStart w:id="72" w:name="__UnoMark__3743_1910830454"/>
                                  <w:bookmarkEnd w:id="71"/>
                                  <w:bookmarkEnd w:id="72"/>
                                  <w:r>
                                    <w:rPr>
                                      <w:rFonts w:eastAsia="Times New Roman"/>
                                      <w:color w:val="000000"/>
                                      <w:sz w:val="20"/>
                                      <w:szCs w:val="20"/>
                                      <w:lang w:eastAsia="da-DK"/>
                                    </w:rPr>
                                    <w:t xml:space="preserve">Other </w:t>
                                  </w:r>
                                </w:p>
                              </w:tc>
                              <w:tc>
                                <w:tcPr>
                                  <w:tcW w:w="1985" w:type="dxa"/>
                                  <w:tcBorders/>
                                  <w:shd w:color="000000" w:fill="75B44A" w:val="clear"/>
                                  <w:vAlign w:val="center"/>
                                </w:tcPr>
                                <w:p>
                                  <w:pPr>
                                    <w:pStyle w:val="Normal"/>
                                    <w:spacing w:lineRule="auto" w:line="240" w:before="0" w:after="0"/>
                                    <w:rPr/>
                                  </w:pPr>
                                  <w:bookmarkStart w:id="73" w:name="__UnoMark__3744_1910830454"/>
                                  <w:bookmarkStart w:id="74" w:name="__UnoMark__3745_1910830454"/>
                                  <w:bookmarkEnd w:id="73"/>
                                  <w:bookmarkEnd w:id="74"/>
                                  <w:r>
                                    <w:rPr>
                                      <w:rFonts w:eastAsia="Times New Roman"/>
                                      <w:color w:val="000000"/>
                                      <w:sz w:val="20"/>
                                      <w:szCs w:val="20"/>
                                      <w:lang w:eastAsia="da-DK"/>
                                    </w:rPr>
                                    <w:t>Thromboembolism</w:t>
                                  </w:r>
                                </w:p>
                              </w:tc>
                              <w:tc>
                                <w:tcPr>
                                  <w:tcW w:w="1985" w:type="dxa"/>
                                  <w:tcBorders>
                                    <w:left w:val="single" w:sz="4" w:space="0" w:color="808080"/>
                                    <w:right w:val="single" w:sz="4" w:space="0" w:color="808080"/>
                                    <w:insideV w:val="single" w:sz="4" w:space="0" w:color="808080"/>
                                  </w:tcBorders>
                                  <w:shd w:color="000000" w:fill="FFB9B9" w:val="clear"/>
                                  <w:tcMar>
                                    <w:left w:w="65" w:type="dxa"/>
                                  </w:tcMar>
                                  <w:vAlign w:val="center"/>
                                </w:tcPr>
                                <w:p>
                                  <w:pPr>
                                    <w:pStyle w:val="Normal"/>
                                    <w:spacing w:lineRule="auto" w:line="240" w:before="0" w:after="0"/>
                                    <w:rPr/>
                                  </w:pPr>
                                  <w:bookmarkStart w:id="75" w:name="__UnoMark__3746_1910830454"/>
                                  <w:bookmarkStart w:id="76" w:name="__UnoMark__3747_1910830454"/>
                                  <w:bookmarkEnd w:id="75"/>
                                  <w:bookmarkEnd w:id="76"/>
                                  <w:r>
                                    <w:rPr>
                                      <w:rFonts w:eastAsia="Times New Roman"/>
                                      <w:color w:val="000000"/>
                                      <w:sz w:val="20"/>
                                      <w:szCs w:val="20"/>
                                      <w:lang w:eastAsia="da-DK"/>
                                    </w:rPr>
                                    <w:t xml:space="preserve">Sudden cardiac death  </w:t>
                                  </w:r>
                                </w:p>
                              </w:tc>
                            </w:tr>
                            <w:tr>
                              <w:trPr>
                                <w:trHeight w:val="372" w:hRule="atLeast"/>
                              </w:trPr>
                              <w:tc>
                                <w:tcPr>
                                  <w:tcW w:w="607" w:type="dxa"/>
                                  <w:tcBorders>
                                    <w:left w:val="single" w:sz="4" w:space="0" w:color="808080"/>
                                    <w:right w:val="single" w:sz="4" w:space="0" w:color="808080"/>
                                    <w:insideV w:val="single" w:sz="4" w:space="0" w:color="808080"/>
                                  </w:tcBorders>
                                  <w:shd w:color="auto" w:fill="auto" w:val="clear"/>
                                  <w:tcMar>
                                    <w:left w:w="65" w:type="dxa"/>
                                  </w:tcMar>
                                  <w:vAlign w:val="center"/>
                                </w:tcPr>
                                <w:p>
                                  <w:pPr>
                                    <w:pStyle w:val="Normal"/>
                                    <w:spacing w:lineRule="auto" w:line="240" w:before="0" w:after="0"/>
                                    <w:jc w:val="center"/>
                                    <w:rPr/>
                                  </w:pPr>
                                  <w:bookmarkStart w:id="77" w:name="__UnoMark__3748_1910830454"/>
                                  <w:bookmarkStart w:id="78" w:name="__UnoMark__3749_1910830454"/>
                                  <w:bookmarkEnd w:id="77"/>
                                  <w:bookmarkEnd w:id="78"/>
                                  <w:r>
                                    <w:rPr>
                                      <w:rFonts w:eastAsia="Times New Roman"/>
                                      <w:b/>
                                      <w:bCs/>
                                      <w:color w:val="000000"/>
                                      <w:sz w:val="20"/>
                                      <w:szCs w:val="20"/>
                                      <w:lang w:eastAsia="da-DK"/>
                                    </w:rPr>
                                    <w:t>4</w:t>
                                  </w:r>
                                </w:p>
                              </w:tc>
                              <w:tc>
                                <w:tcPr>
                                  <w:tcW w:w="1873" w:type="dxa"/>
                                  <w:tcBorders/>
                                  <w:shd w:color="000000" w:fill="FFB9B9" w:val="clear"/>
                                  <w:vAlign w:val="center"/>
                                </w:tcPr>
                                <w:p>
                                  <w:pPr>
                                    <w:pStyle w:val="Normal"/>
                                    <w:spacing w:lineRule="auto" w:line="240" w:before="0" w:after="0"/>
                                    <w:rPr/>
                                  </w:pPr>
                                  <w:bookmarkStart w:id="79" w:name="__UnoMark__3750_1910830454"/>
                                  <w:bookmarkStart w:id="80" w:name="__UnoMark__3751_1910830454"/>
                                  <w:bookmarkEnd w:id="79"/>
                                  <w:bookmarkEnd w:id="80"/>
                                  <w:r>
                                    <w:rPr>
                                      <w:rFonts w:eastAsia="Times New Roman"/>
                                      <w:color w:val="000000"/>
                                      <w:sz w:val="20"/>
                                      <w:szCs w:val="20"/>
                                      <w:lang w:eastAsia="da-DK"/>
                                    </w:rPr>
                                    <w:t>Sudden cardiac death</w:t>
                                  </w:r>
                                </w:p>
                              </w:tc>
                              <w:tc>
                                <w:tcPr>
                                  <w:tcW w:w="1984" w:type="dxa"/>
                                  <w:tcBorders>
                                    <w:left w:val="single" w:sz="4" w:space="0" w:color="808080"/>
                                    <w:right w:val="single" w:sz="4" w:space="0" w:color="808080"/>
                                    <w:insideV w:val="single" w:sz="4" w:space="0" w:color="808080"/>
                                  </w:tcBorders>
                                  <w:shd w:color="000000" w:fill="9BC2E6" w:val="clear"/>
                                  <w:tcMar>
                                    <w:left w:w="65" w:type="dxa"/>
                                  </w:tcMar>
                                  <w:vAlign w:val="center"/>
                                </w:tcPr>
                                <w:p>
                                  <w:pPr>
                                    <w:pStyle w:val="Normal"/>
                                    <w:spacing w:lineRule="auto" w:line="240" w:before="0" w:after="0"/>
                                    <w:rPr/>
                                  </w:pPr>
                                  <w:bookmarkStart w:id="81" w:name="__UnoMark__3752_1910830454"/>
                                  <w:bookmarkStart w:id="82" w:name="__UnoMark__3753_1910830454"/>
                                  <w:bookmarkEnd w:id="81"/>
                                  <w:bookmarkEnd w:id="82"/>
                                  <w:r>
                                    <w:rPr>
                                      <w:rFonts w:eastAsia="Times New Roman"/>
                                      <w:color w:val="000000"/>
                                      <w:sz w:val="20"/>
                                      <w:szCs w:val="20"/>
                                      <w:lang w:eastAsia="da-DK"/>
                                    </w:rPr>
                                    <w:t xml:space="preserve">Peri-procedural </w:t>
                                  </w:r>
                                </w:p>
                              </w:tc>
                              <w:tc>
                                <w:tcPr>
                                  <w:tcW w:w="1985" w:type="dxa"/>
                                  <w:tcBorders/>
                                  <w:shd w:color="000000" w:fill="9BC2E6" w:val="clear"/>
                                  <w:vAlign w:val="center"/>
                                </w:tcPr>
                                <w:p>
                                  <w:pPr>
                                    <w:pStyle w:val="Normal"/>
                                    <w:spacing w:lineRule="auto" w:line="240" w:before="0" w:after="0"/>
                                    <w:rPr/>
                                  </w:pPr>
                                  <w:bookmarkStart w:id="83" w:name="__UnoMark__3754_1910830454"/>
                                  <w:bookmarkStart w:id="84" w:name="__UnoMark__3755_1910830454"/>
                                  <w:bookmarkEnd w:id="83"/>
                                  <w:bookmarkEnd w:id="84"/>
                                  <w:r>
                                    <w:rPr>
                                      <w:rFonts w:eastAsia="Times New Roman"/>
                                      <w:color w:val="000000"/>
                                      <w:sz w:val="20"/>
                                      <w:szCs w:val="20"/>
                                      <w:lang w:eastAsia="da-DK"/>
                                    </w:rPr>
                                    <w:t xml:space="preserve">Peri-procedural </w:t>
                                  </w:r>
                                </w:p>
                              </w:tc>
                              <w:tc>
                                <w:tcPr>
                                  <w:tcW w:w="1985" w:type="dxa"/>
                                  <w:tcBorders>
                                    <w:left w:val="single" w:sz="4" w:space="0" w:color="808080"/>
                                    <w:right w:val="single" w:sz="4" w:space="0" w:color="808080"/>
                                    <w:insideV w:val="single" w:sz="4" w:space="0" w:color="808080"/>
                                  </w:tcBorders>
                                  <w:shd w:color="000000" w:fill="A6A6A6" w:val="clear"/>
                                  <w:tcMar>
                                    <w:left w:w="65" w:type="dxa"/>
                                  </w:tcMar>
                                  <w:vAlign w:val="center"/>
                                </w:tcPr>
                                <w:p>
                                  <w:pPr>
                                    <w:pStyle w:val="Normal"/>
                                    <w:spacing w:lineRule="auto" w:line="240" w:before="0" w:after="0"/>
                                    <w:rPr/>
                                  </w:pPr>
                                  <w:bookmarkStart w:id="85" w:name="__UnoMark__3756_1910830454"/>
                                  <w:bookmarkStart w:id="86" w:name="__UnoMark__3757_1910830454"/>
                                  <w:bookmarkEnd w:id="85"/>
                                  <w:bookmarkEnd w:id="86"/>
                                  <w:r>
                                    <w:rPr>
                                      <w:rFonts w:eastAsia="Times New Roman"/>
                                      <w:color w:val="000000"/>
                                      <w:sz w:val="20"/>
                                      <w:szCs w:val="20"/>
                                      <w:lang w:eastAsia="da-DK"/>
                                    </w:rPr>
                                    <w:t xml:space="preserve">Other </w:t>
                                  </w:r>
                                </w:p>
                              </w:tc>
                            </w:tr>
                            <w:tr>
                              <w:trPr>
                                <w:trHeight w:val="372" w:hRule="atLeast"/>
                              </w:trPr>
                              <w:tc>
                                <w:tcPr>
                                  <w:tcW w:w="607" w:type="dxa"/>
                                  <w:tcBorders>
                                    <w:left w:val="single" w:sz="4" w:space="0" w:color="808080"/>
                                    <w:right w:val="single" w:sz="4" w:space="0" w:color="808080"/>
                                    <w:insideV w:val="single" w:sz="4" w:space="0" w:color="808080"/>
                                  </w:tcBorders>
                                  <w:shd w:color="auto" w:fill="auto" w:val="clear"/>
                                  <w:tcMar>
                                    <w:left w:w="65" w:type="dxa"/>
                                  </w:tcMar>
                                  <w:vAlign w:val="center"/>
                                </w:tcPr>
                                <w:p>
                                  <w:pPr>
                                    <w:pStyle w:val="Normal"/>
                                    <w:spacing w:lineRule="auto" w:line="240" w:before="0" w:after="0"/>
                                    <w:jc w:val="center"/>
                                    <w:rPr/>
                                  </w:pPr>
                                  <w:bookmarkStart w:id="87" w:name="__UnoMark__3758_1910830454"/>
                                  <w:bookmarkStart w:id="88" w:name="__UnoMark__3759_1910830454"/>
                                  <w:bookmarkEnd w:id="87"/>
                                  <w:bookmarkEnd w:id="88"/>
                                  <w:r>
                                    <w:rPr>
                                      <w:rFonts w:eastAsia="Times New Roman"/>
                                      <w:b/>
                                      <w:bCs/>
                                      <w:color w:val="000000"/>
                                      <w:sz w:val="20"/>
                                      <w:szCs w:val="20"/>
                                      <w:lang w:eastAsia="da-DK"/>
                                    </w:rPr>
                                    <w:t>5</w:t>
                                  </w:r>
                                </w:p>
                              </w:tc>
                              <w:tc>
                                <w:tcPr>
                                  <w:tcW w:w="1873" w:type="dxa"/>
                                  <w:tcBorders/>
                                  <w:shd w:color="000000" w:fill="A6A6A6" w:val="clear"/>
                                  <w:vAlign w:val="center"/>
                                </w:tcPr>
                                <w:p>
                                  <w:pPr>
                                    <w:pStyle w:val="Normal"/>
                                    <w:spacing w:lineRule="auto" w:line="240" w:before="0" w:after="0"/>
                                    <w:rPr/>
                                  </w:pPr>
                                  <w:bookmarkStart w:id="89" w:name="__UnoMark__3760_1910830454"/>
                                  <w:bookmarkStart w:id="90" w:name="__UnoMark__3761_1910830454"/>
                                  <w:bookmarkEnd w:id="89"/>
                                  <w:bookmarkEnd w:id="90"/>
                                  <w:r>
                                    <w:rPr>
                                      <w:rFonts w:eastAsia="Times New Roman"/>
                                      <w:color w:val="000000"/>
                                      <w:sz w:val="20"/>
                                      <w:szCs w:val="20"/>
                                      <w:lang w:eastAsia="da-DK"/>
                                    </w:rPr>
                                    <w:t xml:space="preserve">Other </w:t>
                                  </w:r>
                                </w:p>
                              </w:tc>
                              <w:tc>
                                <w:tcPr>
                                  <w:tcW w:w="1984" w:type="dxa"/>
                                  <w:tcBorders>
                                    <w:left w:val="single" w:sz="4" w:space="0" w:color="808080"/>
                                    <w:right w:val="single" w:sz="4" w:space="0" w:color="808080"/>
                                    <w:insideV w:val="single" w:sz="4" w:space="0" w:color="808080"/>
                                  </w:tcBorders>
                                  <w:shd w:color="000000" w:fill="FFB9B9" w:val="clear"/>
                                  <w:tcMar>
                                    <w:left w:w="65" w:type="dxa"/>
                                  </w:tcMar>
                                  <w:vAlign w:val="center"/>
                                </w:tcPr>
                                <w:p>
                                  <w:pPr>
                                    <w:pStyle w:val="Normal"/>
                                    <w:spacing w:lineRule="auto" w:line="240" w:before="0" w:after="0"/>
                                    <w:rPr/>
                                  </w:pPr>
                                  <w:bookmarkStart w:id="91" w:name="__UnoMark__3762_1910830454"/>
                                  <w:bookmarkStart w:id="92" w:name="__UnoMark__3763_1910830454"/>
                                  <w:bookmarkEnd w:id="91"/>
                                  <w:bookmarkEnd w:id="92"/>
                                  <w:r>
                                    <w:rPr>
                                      <w:rFonts w:eastAsia="Times New Roman"/>
                                      <w:color w:val="000000"/>
                                      <w:sz w:val="20"/>
                                      <w:szCs w:val="20"/>
                                      <w:lang w:eastAsia="da-DK"/>
                                    </w:rPr>
                                    <w:t xml:space="preserve">Sudden cardiac death  </w:t>
                                  </w:r>
                                </w:p>
                              </w:tc>
                              <w:tc>
                                <w:tcPr>
                                  <w:tcW w:w="1985" w:type="dxa"/>
                                  <w:tcBorders/>
                                  <w:shd w:color="000000" w:fill="FFB9B9" w:val="clear"/>
                                  <w:vAlign w:val="center"/>
                                </w:tcPr>
                                <w:p>
                                  <w:pPr>
                                    <w:pStyle w:val="Normal"/>
                                    <w:spacing w:lineRule="auto" w:line="240" w:before="0" w:after="0"/>
                                    <w:rPr/>
                                  </w:pPr>
                                  <w:bookmarkStart w:id="93" w:name="__UnoMark__3764_1910830454"/>
                                  <w:bookmarkStart w:id="94" w:name="__UnoMark__3765_1910830454"/>
                                  <w:bookmarkEnd w:id="93"/>
                                  <w:bookmarkEnd w:id="94"/>
                                  <w:r>
                                    <w:rPr>
                                      <w:rFonts w:eastAsia="Times New Roman"/>
                                      <w:color w:val="000000"/>
                                      <w:sz w:val="20"/>
                                      <w:szCs w:val="20"/>
                                      <w:lang w:eastAsia="da-DK"/>
                                    </w:rPr>
                                    <w:t>Sudden cardiac death</w:t>
                                  </w:r>
                                </w:p>
                              </w:tc>
                              <w:tc>
                                <w:tcPr>
                                  <w:tcW w:w="1985" w:type="dxa"/>
                                  <w:tcBorders>
                                    <w:left w:val="single" w:sz="4" w:space="0" w:color="808080"/>
                                    <w:right w:val="single" w:sz="4" w:space="0" w:color="808080"/>
                                    <w:insideV w:val="single" w:sz="4" w:space="0" w:color="808080"/>
                                  </w:tcBorders>
                                  <w:shd w:color="000000" w:fill="FF3B3B" w:val="clear"/>
                                  <w:tcMar>
                                    <w:left w:w="65" w:type="dxa"/>
                                  </w:tcMar>
                                  <w:vAlign w:val="center"/>
                                </w:tcPr>
                                <w:p>
                                  <w:pPr>
                                    <w:pStyle w:val="Normal"/>
                                    <w:spacing w:lineRule="auto" w:line="240" w:before="0" w:after="0"/>
                                    <w:rPr/>
                                  </w:pPr>
                                  <w:bookmarkStart w:id="95" w:name="__UnoMark__3766_1910830454"/>
                                  <w:bookmarkStart w:id="96" w:name="__UnoMark__3767_1910830454"/>
                                  <w:bookmarkEnd w:id="95"/>
                                  <w:bookmarkEnd w:id="96"/>
                                  <w:r>
                                    <w:rPr>
                                      <w:rFonts w:eastAsia="Times New Roman"/>
                                      <w:color w:val="000000"/>
                                      <w:sz w:val="20"/>
                                      <w:szCs w:val="20"/>
                                      <w:lang w:eastAsia="da-DK"/>
                                    </w:rPr>
                                    <w:t xml:space="preserve">Haemorrhage </w:t>
                                  </w:r>
                                </w:p>
                              </w:tc>
                            </w:tr>
                            <w:tr>
                              <w:trPr>
                                <w:trHeight w:val="372" w:hRule="atLeast"/>
                              </w:trPr>
                              <w:tc>
                                <w:tcPr>
                                  <w:tcW w:w="607" w:type="dxa"/>
                                  <w:tcBorders>
                                    <w:left w:val="single" w:sz="4" w:space="0" w:color="808080"/>
                                    <w:right w:val="single" w:sz="4" w:space="0" w:color="808080"/>
                                    <w:insideV w:val="single" w:sz="4" w:space="0" w:color="808080"/>
                                  </w:tcBorders>
                                  <w:shd w:color="auto" w:fill="auto" w:val="clear"/>
                                  <w:tcMar>
                                    <w:left w:w="65" w:type="dxa"/>
                                  </w:tcMar>
                                  <w:vAlign w:val="center"/>
                                </w:tcPr>
                                <w:p>
                                  <w:pPr>
                                    <w:pStyle w:val="Normal"/>
                                    <w:spacing w:lineRule="auto" w:line="240" w:before="0" w:after="0"/>
                                    <w:jc w:val="center"/>
                                    <w:rPr/>
                                  </w:pPr>
                                  <w:bookmarkStart w:id="97" w:name="__UnoMark__3768_1910830454"/>
                                  <w:bookmarkStart w:id="98" w:name="__UnoMark__3769_1910830454"/>
                                  <w:bookmarkEnd w:id="97"/>
                                  <w:bookmarkEnd w:id="98"/>
                                  <w:r>
                                    <w:rPr>
                                      <w:rFonts w:eastAsia="Times New Roman"/>
                                      <w:b/>
                                      <w:bCs/>
                                      <w:color w:val="000000"/>
                                      <w:sz w:val="20"/>
                                      <w:szCs w:val="20"/>
                                      <w:lang w:eastAsia="da-DK"/>
                                    </w:rPr>
                                    <w:t>6</w:t>
                                  </w:r>
                                </w:p>
                              </w:tc>
                              <w:tc>
                                <w:tcPr>
                                  <w:tcW w:w="1873" w:type="dxa"/>
                                  <w:tcBorders/>
                                  <w:shd w:color="000000" w:fill="FFD966" w:val="clear"/>
                                  <w:vAlign w:val="center"/>
                                </w:tcPr>
                                <w:p>
                                  <w:pPr>
                                    <w:pStyle w:val="Normal"/>
                                    <w:spacing w:lineRule="auto" w:line="240" w:before="0" w:after="0"/>
                                    <w:rPr/>
                                  </w:pPr>
                                  <w:bookmarkStart w:id="99" w:name="__UnoMark__3770_1910830454"/>
                                  <w:bookmarkStart w:id="100" w:name="__UnoMark__3771_1910830454"/>
                                  <w:bookmarkEnd w:id="99"/>
                                  <w:bookmarkEnd w:id="100"/>
                                  <w:r>
                                    <w:rPr>
                                      <w:rFonts w:eastAsia="Times New Roman"/>
                                      <w:color w:val="000000"/>
                                      <w:sz w:val="20"/>
                                      <w:szCs w:val="20"/>
                                      <w:lang w:eastAsia="da-DK"/>
                                    </w:rPr>
                                    <w:t xml:space="preserve">Infection </w:t>
                                  </w:r>
                                </w:p>
                              </w:tc>
                              <w:tc>
                                <w:tcPr>
                                  <w:tcW w:w="1984" w:type="dxa"/>
                                  <w:tcBorders>
                                    <w:left w:val="single" w:sz="4" w:space="0" w:color="808080"/>
                                    <w:right w:val="single" w:sz="4" w:space="0" w:color="808080"/>
                                    <w:insideV w:val="single" w:sz="4" w:space="0" w:color="808080"/>
                                  </w:tcBorders>
                                  <w:shd w:color="000000" w:fill="FFD966" w:val="clear"/>
                                  <w:tcMar>
                                    <w:left w:w="65" w:type="dxa"/>
                                  </w:tcMar>
                                  <w:vAlign w:val="center"/>
                                </w:tcPr>
                                <w:p>
                                  <w:pPr>
                                    <w:pStyle w:val="Normal"/>
                                    <w:spacing w:lineRule="auto" w:line="240" w:before="0" w:after="0"/>
                                    <w:rPr/>
                                  </w:pPr>
                                  <w:bookmarkStart w:id="101" w:name="__UnoMark__3772_1910830454"/>
                                  <w:bookmarkStart w:id="102" w:name="__UnoMark__3773_1910830454"/>
                                  <w:bookmarkEnd w:id="101"/>
                                  <w:bookmarkEnd w:id="102"/>
                                  <w:r>
                                    <w:rPr>
                                      <w:rFonts w:eastAsia="Times New Roman"/>
                                      <w:color w:val="000000"/>
                                      <w:sz w:val="20"/>
                                      <w:szCs w:val="20"/>
                                      <w:lang w:eastAsia="da-DK"/>
                                    </w:rPr>
                                    <w:t xml:space="preserve">Infection </w:t>
                                  </w:r>
                                </w:p>
                              </w:tc>
                              <w:tc>
                                <w:tcPr>
                                  <w:tcW w:w="1985" w:type="dxa"/>
                                  <w:tcBorders/>
                                  <w:shd w:color="000000" w:fill="FF3B3B" w:val="clear"/>
                                  <w:vAlign w:val="center"/>
                                </w:tcPr>
                                <w:p>
                                  <w:pPr>
                                    <w:pStyle w:val="Normal"/>
                                    <w:spacing w:lineRule="auto" w:line="240" w:before="0" w:after="0"/>
                                    <w:rPr/>
                                  </w:pPr>
                                  <w:bookmarkStart w:id="103" w:name="__UnoMark__3774_1910830454"/>
                                  <w:bookmarkStart w:id="104" w:name="__UnoMark__3775_1910830454"/>
                                  <w:bookmarkEnd w:id="103"/>
                                  <w:bookmarkEnd w:id="104"/>
                                  <w:r>
                                    <w:rPr>
                                      <w:rFonts w:eastAsia="Times New Roman"/>
                                      <w:color w:val="000000"/>
                                      <w:sz w:val="20"/>
                                      <w:szCs w:val="20"/>
                                      <w:lang w:eastAsia="da-DK"/>
                                    </w:rPr>
                                    <w:t>Haemorrhage</w:t>
                                  </w:r>
                                </w:p>
                              </w:tc>
                              <w:tc>
                                <w:tcPr>
                                  <w:tcW w:w="1985" w:type="dxa"/>
                                  <w:tcBorders>
                                    <w:left w:val="single" w:sz="4" w:space="0" w:color="808080"/>
                                    <w:right w:val="single" w:sz="4" w:space="0" w:color="808080"/>
                                    <w:insideV w:val="single" w:sz="4" w:space="0" w:color="808080"/>
                                  </w:tcBorders>
                                  <w:shd w:color="000000" w:fill="75B44A" w:val="clear"/>
                                  <w:tcMar>
                                    <w:left w:w="65" w:type="dxa"/>
                                  </w:tcMar>
                                  <w:vAlign w:val="center"/>
                                </w:tcPr>
                                <w:p>
                                  <w:pPr>
                                    <w:pStyle w:val="Normal"/>
                                    <w:spacing w:lineRule="auto" w:line="240" w:before="0" w:after="0"/>
                                    <w:rPr/>
                                  </w:pPr>
                                  <w:bookmarkStart w:id="105" w:name="__UnoMark__3776_1910830454"/>
                                  <w:bookmarkStart w:id="106" w:name="__UnoMark__3777_1910830454"/>
                                  <w:bookmarkEnd w:id="105"/>
                                  <w:bookmarkEnd w:id="106"/>
                                  <w:r>
                                    <w:rPr>
                                      <w:rFonts w:eastAsia="Times New Roman"/>
                                      <w:color w:val="000000"/>
                                      <w:sz w:val="20"/>
                                      <w:szCs w:val="20"/>
                                      <w:lang w:eastAsia="da-DK"/>
                                    </w:rPr>
                                    <w:t>Thromboembolism</w:t>
                                  </w:r>
                                </w:p>
                              </w:tc>
                            </w:tr>
                            <w:tr>
                              <w:trPr>
                                <w:trHeight w:val="372" w:hRule="atLeast"/>
                              </w:trPr>
                              <w:tc>
                                <w:tcPr>
                                  <w:tcW w:w="607" w:type="dxa"/>
                                  <w:tcBorders>
                                    <w:left w:val="single" w:sz="4" w:space="0" w:color="808080"/>
                                    <w:bottom w:val="single" w:sz="4" w:space="0" w:color="808080"/>
                                    <w:right w:val="single" w:sz="4" w:space="0" w:color="808080"/>
                                    <w:insideH w:val="single" w:sz="4" w:space="0" w:color="808080"/>
                                    <w:insideV w:val="single" w:sz="4" w:space="0" w:color="808080"/>
                                  </w:tcBorders>
                                  <w:shd w:color="auto" w:fill="auto" w:val="clear"/>
                                  <w:tcMar>
                                    <w:left w:w="65" w:type="dxa"/>
                                  </w:tcMar>
                                  <w:vAlign w:val="center"/>
                                </w:tcPr>
                                <w:p>
                                  <w:pPr>
                                    <w:pStyle w:val="Normal"/>
                                    <w:spacing w:lineRule="auto" w:line="240" w:before="0" w:after="0"/>
                                    <w:jc w:val="center"/>
                                    <w:rPr/>
                                  </w:pPr>
                                  <w:bookmarkStart w:id="107" w:name="__UnoMark__3778_1910830454"/>
                                  <w:bookmarkStart w:id="108" w:name="__UnoMark__3779_1910830454"/>
                                  <w:bookmarkEnd w:id="107"/>
                                  <w:bookmarkEnd w:id="108"/>
                                  <w:r>
                                    <w:rPr>
                                      <w:rFonts w:eastAsia="Times New Roman"/>
                                      <w:b/>
                                      <w:bCs/>
                                      <w:color w:val="000000"/>
                                      <w:sz w:val="20"/>
                                      <w:szCs w:val="20"/>
                                      <w:lang w:eastAsia="da-DK"/>
                                    </w:rPr>
                                    <w:t>7</w:t>
                                  </w:r>
                                </w:p>
                              </w:tc>
                              <w:tc>
                                <w:tcPr>
                                  <w:tcW w:w="1873" w:type="dxa"/>
                                  <w:tcBorders>
                                    <w:bottom w:val="single" w:sz="4" w:space="0" w:color="808080"/>
                                    <w:insideH w:val="single" w:sz="4" w:space="0" w:color="808080"/>
                                  </w:tcBorders>
                                  <w:shd w:color="auto" w:fill="auto" w:val="clear"/>
                                  <w:vAlign w:val="center"/>
                                </w:tcPr>
                                <w:p>
                                  <w:pPr>
                                    <w:pStyle w:val="Normal"/>
                                    <w:spacing w:lineRule="auto" w:line="240" w:before="0" w:after="0"/>
                                    <w:rPr>
                                      <w:rFonts w:eastAsia="Times New Roman"/>
                                      <w:color w:val="000000"/>
                                      <w:sz w:val="20"/>
                                      <w:szCs w:val="20"/>
                                      <w:lang w:eastAsia="da-DK"/>
                                    </w:rPr>
                                  </w:pPr>
                                  <w:bookmarkStart w:id="109" w:name="__UnoMark__3781_1910830454"/>
                                  <w:bookmarkStart w:id="110" w:name="__UnoMark__3780_1910830454"/>
                                  <w:bookmarkStart w:id="111" w:name="__UnoMark__3781_1910830454"/>
                                  <w:bookmarkStart w:id="112" w:name="__UnoMark__3780_1910830454"/>
                                  <w:bookmarkEnd w:id="111"/>
                                  <w:bookmarkEnd w:id="112"/>
                                  <w:r>
                                    <w:rPr>
                                      <w:rFonts w:eastAsia="Times New Roman"/>
                                      <w:color w:val="000000"/>
                                      <w:sz w:val="20"/>
                                      <w:szCs w:val="20"/>
                                      <w:lang w:eastAsia="da-DK"/>
                                    </w:rPr>
                                  </w:r>
                                </w:p>
                              </w:tc>
                              <w:tc>
                                <w:tcPr>
                                  <w:tcW w:w="1984" w:type="dxa"/>
                                  <w:tcBorders>
                                    <w:left w:val="single" w:sz="4" w:space="0" w:color="808080"/>
                                    <w:bottom w:val="single" w:sz="4" w:space="0" w:color="808080"/>
                                    <w:right w:val="single" w:sz="4" w:space="0" w:color="808080"/>
                                    <w:insideH w:val="single" w:sz="4" w:space="0" w:color="808080"/>
                                    <w:insideV w:val="single" w:sz="4" w:space="0" w:color="808080"/>
                                  </w:tcBorders>
                                  <w:shd w:color="auto" w:fill="auto" w:val="clear"/>
                                  <w:tcMar>
                                    <w:left w:w="65" w:type="dxa"/>
                                  </w:tcMar>
                                  <w:vAlign w:val="center"/>
                                </w:tcPr>
                                <w:p>
                                  <w:pPr>
                                    <w:pStyle w:val="Normal"/>
                                    <w:spacing w:lineRule="auto" w:line="240" w:before="0" w:after="0"/>
                                    <w:rPr>
                                      <w:rFonts w:eastAsia="Times New Roman"/>
                                      <w:color w:val="000000"/>
                                      <w:sz w:val="20"/>
                                      <w:szCs w:val="20"/>
                                      <w:lang w:eastAsia="da-DK"/>
                                    </w:rPr>
                                  </w:pPr>
                                  <w:bookmarkStart w:id="113" w:name="__UnoMark__3783_1910830454"/>
                                  <w:bookmarkStart w:id="114" w:name="__UnoMark__3782_1910830454"/>
                                  <w:bookmarkStart w:id="115" w:name="__UnoMark__3783_1910830454"/>
                                  <w:bookmarkStart w:id="116" w:name="__UnoMark__3782_1910830454"/>
                                  <w:bookmarkEnd w:id="115"/>
                                  <w:bookmarkEnd w:id="116"/>
                                  <w:r>
                                    <w:rPr>
                                      <w:rFonts w:eastAsia="Times New Roman"/>
                                      <w:color w:val="000000"/>
                                      <w:sz w:val="20"/>
                                      <w:szCs w:val="20"/>
                                      <w:lang w:eastAsia="da-DK"/>
                                    </w:rPr>
                                  </w:r>
                                </w:p>
                              </w:tc>
                              <w:tc>
                                <w:tcPr>
                                  <w:tcW w:w="1985" w:type="dxa"/>
                                  <w:tcBorders>
                                    <w:bottom w:val="single" w:sz="4" w:space="0" w:color="808080"/>
                                    <w:insideH w:val="single" w:sz="4" w:space="0" w:color="808080"/>
                                  </w:tcBorders>
                                  <w:shd w:color="000000" w:fill="A6A6A6" w:val="clear"/>
                                  <w:vAlign w:val="center"/>
                                </w:tcPr>
                                <w:p>
                                  <w:pPr>
                                    <w:pStyle w:val="Normal"/>
                                    <w:spacing w:lineRule="auto" w:line="240" w:before="0" w:after="0"/>
                                    <w:rPr/>
                                  </w:pPr>
                                  <w:bookmarkStart w:id="117" w:name="__UnoMark__3784_1910830454"/>
                                  <w:bookmarkStart w:id="118" w:name="__UnoMark__3785_1910830454"/>
                                  <w:bookmarkEnd w:id="117"/>
                                  <w:bookmarkEnd w:id="118"/>
                                  <w:r>
                                    <w:rPr>
                                      <w:rFonts w:eastAsia="Times New Roman"/>
                                      <w:color w:val="000000"/>
                                      <w:sz w:val="20"/>
                                      <w:szCs w:val="20"/>
                                      <w:lang w:eastAsia="da-DK"/>
                                    </w:rPr>
                                    <w:t xml:space="preserve">Other </w:t>
                                  </w:r>
                                </w:p>
                              </w:tc>
                              <w:tc>
                                <w:tcPr>
                                  <w:tcW w:w="1985" w:type="dxa"/>
                                  <w:tcBorders>
                                    <w:left w:val="single" w:sz="4" w:space="0" w:color="808080"/>
                                    <w:bottom w:val="single" w:sz="4" w:space="0" w:color="808080"/>
                                    <w:right w:val="single" w:sz="4" w:space="0" w:color="808080"/>
                                    <w:insideH w:val="single" w:sz="4" w:space="0" w:color="808080"/>
                                    <w:insideV w:val="single" w:sz="4" w:space="0" w:color="808080"/>
                                  </w:tcBorders>
                                  <w:shd w:color="000000" w:fill="9BC2E6" w:val="clear"/>
                                  <w:tcMar>
                                    <w:left w:w="65" w:type="dxa"/>
                                  </w:tcMar>
                                  <w:vAlign w:val="center"/>
                                </w:tcPr>
                                <w:p>
                                  <w:pPr>
                                    <w:pStyle w:val="Normal"/>
                                    <w:spacing w:lineRule="auto" w:line="240" w:before="0" w:after="0"/>
                                    <w:rPr/>
                                  </w:pPr>
                                  <w:bookmarkStart w:id="119" w:name="__UnoMark__3786_1910830454"/>
                                  <w:bookmarkEnd w:id="119"/>
                                  <w:r>
                                    <w:rPr>
                                      <w:rFonts w:eastAsia="Times New Roman"/>
                                      <w:color w:val="000000"/>
                                      <w:sz w:val="20"/>
                                      <w:szCs w:val="20"/>
                                      <w:lang w:eastAsia="da-DK"/>
                                    </w:rPr>
                                    <w:t xml:space="preserve">Peri-procedural </w:t>
                                  </w:r>
                                </w:p>
                              </w:tc>
                            </w:tr>
                          </w:tbl>
                        </w:txbxContent>
                      </wps:txbx>
                      <wps:bodyPr anchor="t" lIns="0" tIns="0" rIns="0" bIns="0">
                        <a:spAutoFit/>
                      </wps:bodyPr>
                    </wps:wsp>
                  </a:graphicData>
                </a:graphic>
              </wp:anchor>
            </w:drawing>
          </mc:Choice>
          <mc:Fallback>
            <w:pict>
              <v:rect style="position:absolute;rotation:0;width:421.7pt;height:154.1pt;mso-wrap-distance-left:7.05pt;mso-wrap-distance-right:7.05pt;mso-wrap-distance-top:0pt;mso-wrap-distance-bottom:0pt;margin-top:2.45pt;mso-position-vertical-relative:text;margin-left:30.1pt;mso-position-horizontal:center;mso-position-horizontal-relative:margin">
                <v:textbox inset="0in,0in,0in,0in">
                  <w:txbxContent>
                    <w:tbl>
                      <w:tblPr>
                        <w:tblpPr w:bottomFromText="0" w:horzAnchor="margin" w:leftFromText="141" w:rightFromText="141" w:tblpX="0" w:tblpXSpec="center" w:tblpY="49" w:topFromText="0" w:vertAnchor="text"/>
                        <w:tblW w:w="8434" w:type="dxa"/>
                        <w:jc w:val="center"/>
                        <w:tblInd w:w="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0" w:type="dxa"/>
                          <w:left w:w="65" w:type="dxa"/>
                          <w:bottom w:w="0" w:type="dxa"/>
                          <w:right w:w="70" w:type="dxa"/>
                        </w:tblCellMar>
                        <w:tblLook w:val="04a0"/>
                      </w:tblPr>
                      <w:tblGrid>
                        <w:gridCol w:w="607"/>
                        <w:gridCol w:w="1873"/>
                        <w:gridCol w:w="1984"/>
                        <w:gridCol w:w="1985"/>
                        <w:gridCol w:w="1985"/>
                      </w:tblGrid>
                      <w:tr>
                        <w:trPr>
                          <w:trHeight w:val="372" w:hRule="atLeast"/>
                        </w:trPr>
                        <w:tc>
                          <w:tcPr>
                            <w:tcW w:w="607" w:type="dxa"/>
                            <w:tcBorders>
                              <w:top w:val="single" w:sz="4" w:space="0" w:color="808080"/>
                              <w:left w:val="single" w:sz="4" w:space="0" w:color="808080"/>
                              <w:bottom w:val="single" w:sz="4" w:space="0" w:color="808080"/>
                              <w:right w:val="single" w:sz="4" w:space="0" w:color="808080"/>
                              <w:insideH w:val="single" w:sz="4" w:space="0" w:color="808080"/>
                              <w:insideV w:val="single" w:sz="4" w:space="0" w:color="808080"/>
                            </w:tcBorders>
                            <w:shd w:color="auto" w:fill="auto" w:val="clear"/>
                            <w:tcMar>
                              <w:left w:w="65" w:type="dxa"/>
                            </w:tcMar>
                            <w:vAlign w:val="center"/>
                          </w:tcPr>
                          <w:p>
                            <w:pPr>
                              <w:pStyle w:val="Normal"/>
                              <w:spacing w:lineRule="auto" w:line="240" w:before="0" w:after="0"/>
                              <w:jc w:val="center"/>
                              <w:rPr/>
                            </w:pPr>
                            <w:bookmarkStart w:id="120" w:name="__UnoMark__3707_1910830454"/>
                            <w:bookmarkEnd w:id="120"/>
                            <w:r>
                              <w:rPr>
                                <w:rFonts w:eastAsia="Times New Roman"/>
                                <w:b/>
                                <w:bCs/>
                                <w:color w:val="000000"/>
                                <w:sz w:val="20"/>
                                <w:szCs w:val="20"/>
                                <w:lang w:eastAsia="da-DK"/>
                              </w:rPr>
                              <w:t>Rank</w:t>
                            </w:r>
                          </w:p>
                        </w:tc>
                        <w:tc>
                          <w:tcPr>
                            <w:tcW w:w="1873" w:type="dxa"/>
                            <w:tcBorders>
                              <w:top w:val="single" w:sz="4" w:space="0" w:color="808080"/>
                              <w:bottom w:val="single" w:sz="4" w:space="0" w:color="808080"/>
                              <w:insideH w:val="single" w:sz="4" w:space="0" w:color="808080"/>
                            </w:tcBorders>
                            <w:shd w:color="auto" w:fill="auto" w:val="clear"/>
                            <w:vAlign w:val="center"/>
                          </w:tcPr>
                          <w:p>
                            <w:pPr>
                              <w:pStyle w:val="Normal"/>
                              <w:spacing w:lineRule="auto" w:line="240" w:before="0" w:after="0"/>
                              <w:jc w:val="center"/>
                              <w:rPr/>
                            </w:pPr>
                            <w:bookmarkStart w:id="121" w:name="__UnoMark__3708_1910830454"/>
                            <w:bookmarkEnd w:id="121"/>
                            <w:r>
                              <w:rPr>
                                <w:rFonts w:eastAsia="Times New Roman"/>
                                <w:b/>
                                <w:bCs/>
                                <w:color w:val="000000"/>
                                <w:sz w:val="20"/>
                                <w:szCs w:val="20"/>
                                <w:lang w:eastAsia="da-DK"/>
                              </w:rPr>
                              <w:t xml:space="preserve">Wood </w:t>
                            </w:r>
                            <w:r>
                              <w:fldChar w:fldCharType="begin"/>
                            </w:r>
                            <w:r>
                              <w:instrText>ADDIN ZOTERO_ITEM CSL_CITATION {"citationID":"cj35s7dk1","properties":{"formattedCitation":"(2)","plainCitation":"(2)"},"citationItems":[{"id":1441,"uris":["http://zotero.org/users/1067890/items/NUCWGETV"],"uri":["http://zotero.org/users/1067890/items/NUCWGETV"],"itemData":{"id":1441,"type":"article-journal","title":"The Eisenmenger Syndrome","container-title":"Br Med J","page":"701-709","volume":"2","issue":"5098","source":"www.bmj.com.ep.fjernadgang.kb.dk","DOI":"10.1136/bmj.2.5098.701","ISSN":"0007-1447, 1468-5833","note":"PMID: 13572874","journalAbbreviation":"Br Med J","language":"en","author":[{"family":"Wood","given":"Paul"}],"issued":{"date-parts":[["1958",9,20]]},"PMID":"13572874"}}],"schema":"https://github.com/citation-style-language/schema/raw/master/csl-citation.json"}</w:instrText>
                            </w:r>
                            <w:r>
                              <w:fldChar w:fldCharType="separate"/>
                            </w:r>
                            <w:bookmarkStart w:id="122" w:name="__Fieldmark__3709_1910830454"/>
                            <w:r>
                              <w:rPr>
                                <w:rFonts w:eastAsia="Times New Roman"/>
                                <w:b/>
                                <w:bCs/>
                                <w:color w:val="000000"/>
                                <w:sz w:val="20"/>
                                <w:szCs w:val="20"/>
                                <w:lang w:eastAsia="da-DK"/>
                              </w:rPr>
                            </w:r>
                            <w:r>
                              <w:fldChar w:fldCharType="begin"/>
                            </w:r>
                            <w:r>
                              <w:instrText>ADDIN ZOTERO_ITEM CSL_CITATION {"citationID":"cj35s7dk1","properties":{"formattedCitation":"(2)","plainCitation":"(2)"},"citationItems":[{"id":1441,"uris":["http://zotero.org/users/1067890/items/NUCWGETV"],"uri":["http://zotero.org/users/1067890/items/NUCWGETV"],"itemData":{"id":1441,"type":"article-journal","title":"The Eisenmenger Syndrome","container-title":"Br Med J","page":"701-709","volume":"2","issue":"5098","source":"www.bmj.com.ep.fjernadgang.kb.dk","DOI":"10.1136/bmj.2.5098.701","ISSN":"0007-1447, 1468-5833","note":"PMID: 13572874","journalAbbreviation":"Br Med J","language":"en","author":[{"family":"Wood","given":"Paul"}],"issued":{"date-parts":[["1958",9,20]]},"PMID":"13572874"}}],"schema":"https://github.com/citation-style-language/schema/raw/master/csl-citation.json"}</w:instrText>
                            </w:r>
                            <w:r>
                              <w:fldChar w:fldCharType="separate"/>
                            </w:r>
                            <w:r>
                              <w:rPr>
                                <w:rFonts w:eastAsia="Times New Roman"/>
                                <w:b/>
                                <w:bCs/>
                                <w:color w:val="000000"/>
                                <w:sz w:val="20"/>
                                <w:szCs w:val="20"/>
                                <w:lang w:eastAsia="da-DK"/>
                              </w:rPr>
                              <w:t>(2)</w:t>
                            </w:r>
                            <w:r>
                              <w:rPr>
                                <w:rFonts w:eastAsia="Times New Roman"/>
                                <w:b/>
                                <w:bCs/>
                                <w:color w:val="000000"/>
                                <w:sz w:val="20"/>
                                <w:szCs w:val="20"/>
                                <w:lang w:eastAsia="da-DK"/>
                              </w:rPr>
                            </w:r>
                            <w:r>
                              <w:fldChar w:fldCharType="end"/>
                            </w:r>
                            <w:bookmarkEnd w:id="122"/>
                            <w:r>
                              <w:rPr>
                                <w:rFonts w:eastAsia="Times New Roman"/>
                                <w:b/>
                                <w:bCs/>
                                <w:color w:val="000000"/>
                                <w:sz w:val="20"/>
                                <w:szCs w:val="20"/>
                                <w:lang w:eastAsia="da-DK"/>
                              </w:rPr>
                            </w:r>
                            <w:r>
                              <w:fldChar w:fldCharType="end"/>
                            </w:r>
                          </w:p>
                          <w:p>
                            <w:pPr>
                              <w:pStyle w:val="Normal"/>
                              <w:spacing w:lineRule="auto" w:line="240" w:before="0" w:after="0"/>
                              <w:jc w:val="center"/>
                              <w:rPr/>
                            </w:pPr>
                            <w:bookmarkStart w:id="123" w:name="__UnoMark__3710_1910830454"/>
                            <w:bookmarkEnd w:id="123"/>
                            <w:r>
                              <w:rPr>
                                <w:rFonts w:eastAsia="Times New Roman"/>
                                <w:color w:val="000000"/>
                                <w:sz w:val="20"/>
                                <w:szCs w:val="20"/>
                                <w:lang w:eastAsia="da-DK"/>
                              </w:rPr>
                              <w:t>(1958)</w:t>
                            </w:r>
                          </w:p>
                        </w:tc>
                        <w:tc>
                          <w:tcPr>
                            <w:tcW w:w="1984" w:type="dxa"/>
                            <w:tcBorders>
                              <w:top w:val="single" w:sz="4" w:space="0" w:color="808080"/>
                              <w:left w:val="single" w:sz="4" w:space="0" w:color="808080"/>
                              <w:bottom w:val="single" w:sz="4" w:space="0" w:color="808080"/>
                              <w:right w:val="single" w:sz="4" w:space="0" w:color="808080"/>
                              <w:insideH w:val="single" w:sz="4" w:space="0" w:color="808080"/>
                              <w:insideV w:val="single" w:sz="4" w:space="0" w:color="808080"/>
                            </w:tcBorders>
                            <w:shd w:color="auto" w:fill="auto" w:val="clear"/>
                            <w:tcMar>
                              <w:left w:w="65" w:type="dxa"/>
                            </w:tcMar>
                            <w:vAlign w:val="center"/>
                          </w:tcPr>
                          <w:p>
                            <w:pPr>
                              <w:pStyle w:val="Normal"/>
                              <w:spacing w:lineRule="auto" w:line="240" w:before="0" w:after="0"/>
                              <w:jc w:val="center"/>
                              <w:rPr/>
                            </w:pPr>
                            <w:bookmarkStart w:id="124" w:name="__UnoMark__3711_1910830454"/>
                            <w:bookmarkEnd w:id="124"/>
                            <w:r>
                              <w:rPr>
                                <w:rFonts w:eastAsia="Times New Roman"/>
                                <w:b/>
                                <w:bCs/>
                                <w:color w:val="000000"/>
                                <w:sz w:val="20"/>
                                <w:szCs w:val="20"/>
                                <w:lang w:eastAsia="da-DK"/>
                              </w:rPr>
                              <w:t xml:space="preserve">Daliento </w:t>
                            </w:r>
                            <w:r>
                              <w:fldChar w:fldCharType="begin"/>
                            </w:r>
                            <w:r>
                              <w:instrText>ADDIN ZOTERO_ITEM CSL_CITATION {"citationID":"nc36n7gf2","properties":{"formattedCitation":"(4)","plainCitation":"(4)"},"citationItems":[{"id":969,"uris":["http://zotero.org/users/1067890/items/BHZHMGRW"],"uri":["http://zotero.org/users/1067890/items/BHZHMGRW"],"itemData":{"id":969,"type":"article-journal","title":"Eisenmenger syndrome. Factors relating to deterioration and death","container-title":"European Heart Journal","page":"1845-1855","volume":"19","issue":"12","source":"eurheartj.oxfordjournals.org","abstract":"AimsTo assess the natural history, risk factors for death and deterioration of patients with Eisenmenger Syndrome.MethodsThe clinical course of 188 patients from three different cardiac centres specialized in adult congenital heart defects, followed for a median period of 31 years, was retrospectively analysed. According to the diagnosis, 64 males and 124 females, mean age at last follow-up 33·02±12·8 years, were divided into two groups: simple (128) and complex (60) congenital heart disease. Events analysed were: time variation of Ability Index, pulmonary and cerebral complications, non-cardiac surgery, urate metabolism and renal function, arrhythmias, pregnancy and contraception, medical therapy and transplantation, death from all causes and sudden death.ResultsEighty-four percent of the overall population showed a satisfactory Ability Index (1 and 2) at the first attendance (median age 25 years). Patients with complex heart disease and Eisenmenger reaction had earlier clinical deterioration (18·6±11·3 vs 26·7±12·2) and shorter survival (25·8±7·9 vs 32·5±14·6 years). Thirty-eight (20·2%) patients had at least one episode of haemoptysis between 20 and 40 years of age but it did not modify overall survival; 25 (13·2%) had pulmonary thromboembolism at a mean age of 35·2±13·4 years. Fifteen (7·9%) had a stroke and 7 (3·7%) a cerebral abscess at a mean age of 31·4±15·7 and 24·1±4·9 years, respectively. Cerebral complications influenced the quality of life but did not modify survival. Patients who had venesection showed a 2·04 times greater hazard ratio for haemoptysis. Venesection did not reduce cerebral complications and in 20% caused anaemia and iron deficiency. Other non-cardiac surgery with general anaesthesia carried risks (23·5% of deaths). Significant maternal mortality (27%) in relation to pregnancy occurred with constant deterioration in physical status, high incidence of spontaneous abortions (35·8%) and cardiac abnormalities in offspring (20%). Sixty-one patients died during follow-up, mainly by sudden death (29·5%), heart failure (22·9%) and from haemoptysis (11·4%). Eight patients had heart and lung transplantation and five died 1 week to 4 years after transplant. Deterioration in Ability Index (worsening symptoms), age, complex defects, blood creatinine level, right ventricular dysfunction and non-cardiac surgery were variables which affected the prognosis adversely with uni- and multivariate analysis.Conclusionspatients with Eisenmenger syndrome can survive to the seventh decade with informed medical care and protection from special risks","DOI":"10.1053/euhj.1998.1046","ISSN":"0195-668X, 1522-9645","note":"PMID: 9886728","language":"en","author":[{"family":"Daliento","given":"L."},{"family":"Somerville","given":"J."},{"family":"Presbitero","given":"P."},{"family":"Menti","given":"L."},{"family":"Brach-Prever","given":"S."},{"family":"Rizzoli","given":"G."},{"family":"Stone","given":"S."}],"issued":{"date-parts":[["1998",12,1]]},"PMID":"9886728"}}],"schema":"https://github.com/citation-style-language/schema/raw/master/csl-citation.json"}</w:instrText>
                            </w:r>
                            <w:r>
                              <w:fldChar w:fldCharType="separate"/>
                            </w:r>
                            <w:bookmarkStart w:id="125" w:name="__Fieldmark__3712_1910830454"/>
                            <w:r>
                              <w:rPr>
                                <w:rFonts w:eastAsia="Times New Roman"/>
                                <w:b/>
                                <w:bCs/>
                                <w:color w:val="000000"/>
                                <w:sz w:val="20"/>
                                <w:szCs w:val="20"/>
                                <w:lang w:eastAsia="da-DK"/>
                              </w:rPr>
                            </w:r>
                            <w:r>
                              <w:fldChar w:fldCharType="begin"/>
                            </w:r>
                            <w:r>
                              <w:instrText>ADDIN ZOTERO_ITEM CSL_CITATION {"citationID":"nc36n7gf2","properties":{"formattedCitation":"(4)","plainCitation":"(4)"},"citationItems":[{"id":969,"uris":["http://zotero.org/users/1067890/items/BHZHMGRW"],"uri":["http://zotero.org/users/1067890/items/BHZHMGRW"],"itemData":{"id":969,"type":"article-journal","title":"Eisenmenger syndrome. Factors relating to deterioration and death","container-title":"European Heart Journal","page":"1845-1855","volume":"19","issue":"12","source":"eurheartj.oxfordjournals.org","abstract":"AimsTo assess the natural history, risk factors for death and deterioration of patients with Eisenmenger Syndrome.MethodsThe clinical course of 188 patients from three different cardiac centres specialized in adult congenital heart defects, followed for a median period of 31 years, was retrospectively analysed. According to the diagnosis, 64 males and 124 females, mean age at last follow-up 33·02±12·8 years, were divided into two groups: simple (128) and complex (60) congenital heart disease. Events analysed were: time variation of Ability Index, pulmonary and cerebral complications, non-cardiac surgery, urate metabolism and renal function, arrhythmias, pregnancy and contraception, medical therapy and transplantation, death from all causes and sudden death.ResultsEighty-four percent of the overall population showed a satisfactory Ability Index (1 and 2) at the first attendance (median age 25 years). Patients with complex heart disease and Eisenmenger reaction had earlier clinical deterioration (18·6±11·3 vs 26·7±12·2) and shorter survival (25·8±7·9 vs 32·5±14·6 years). Thirty-eight (20·2%) patients had at least one episode of haemoptysis between 20 and 40 years of age but it did not modify overall survival; 25 (13·2%) had pulmonary thromboembolism at a mean age of 35·2±13·4 years. Fifteen (7·9%) had a stroke and 7 (3·7%) a cerebral abscess at a mean age of 31·4±15·7 and 24·1±4·9 years, respectively. Cerebral complications influenced the quality of life but did not modify survival. Patients who had venesection showed a 2·04 times greater hazard ratio for haemoptysis. Venesection did not reduce cerebral complications and in 20% caused anaemia and iron deficiency. Other non-cardiac surgery with general anaesthesia carried risks (23·5% of deaths). Significant maternal mortality (27%) in relation to pregnancy occurred with constant deterioration in physical status, high incidence of spontaneous abortions (35·8%) and cardiac abnormalities in offspring (20%). Sixty-one patients died during follow-up, mainly by sudden death (29·5%), heart failure (22·9%) and from haemoptysis (11·4%). Eight patients had heart and lung transplantation and five died 1 week to 4 years after transplant. Deterioration in Ability Index (worsening symptoms), age, complex defects, blood creatinine level, right ventricular dysfunction and non-cardiac surgery were variables which affected the prognosis adversely with uni- and multivariate analysis.Conclusionspatients with Eisenmenger syndrome can survive to the seventh decade with informed medical care and protection from special risks","DOI":"10.1053/euhj.1998.1046","ISSN":"0195-668X, 1522-9645","note":"PMID: 9886728","language":"en","author":[{"family":"Daliento","given":"L."},{"family":"Somerville","given":"J."},{"family":"Presbitero","given":"P."},{"family":"Menti","given":"L."},{"family":"Brach-Prever","given":"S."},{"family":"Rizzoli","given":"G."},{"family":"Stone","given":"S."}],"issued":{"date-parts":[["1998",12,1]]},"PMID":"9886728"}}],"schema":"https://github.com/citation-style-language/schema/raw/master/csl-citation.json"}</w:instrText>
                            </w:r>
                            <w:r>
                              <w:fldChar w:fldCharType="separate"/>
                            </w:r>
                            <w:r>
                              <w:rPr>
                                <w:rFonts w:eastAsia="Times New Roman"/>
                                <w:b/>
                                <w:bCs/>
                                <w:color w:val="000000"/>
                                <w:sz w:val="20"/>
                                <w:szCs w:val="20"/>
                                <w:lang w:eastAsia="da-DK"/>
                              </w:rPr>
                              <w:t>(4)</w:t>
                            </w:r>
                            <w:r>
                              <w:rPr>
                                <w:rFonts w:eastAsia="Times New Roman"/>
                                <w:b/>
                                <w:bCs/>
                                <w:color w:val="000000"/>
                                <w:sz w:val="20"/>
                                <w:szCs w:val="20"/>
                                <w:lang w:eastAsia="da-DK"/>
                              </w:rPr>
                            </w:r>
                            <w:r>
                              <w:fldChar w:fldCharType="end"/>
                            </w:r>
                            <w:bookmarkEnd w:id="125"/>
                            <w:r>
                              <w:rPr>
                                <w:rFonts w:eastAsia="Times New Roman"/>
                                <w:b/>
                                <w:bCs/>
                                <w:color w:val="000000"/>
                                <w:sz w:val="20"/>
                                <w:szCs w:val="20"/>
                                <w:lang w:eastAsia="da-DK"/>
                              </w:rPr>
                            </w:r>
                            <w:r>
                              <w:fldChar w:fldCharType="end"/>
                            </w:r>
                          </w:p>
                          <w:p>
                            <w:pPr>
                              <w:pStyle w:val="Normal"/>
                              <w:spacing w:lineRule="auto" w:line="240" w:before="0" w:after="0"/>
                              <w:jc w:val="center"/>
                              <w:rPr/>
                            </w:pPr>
                            <w:bookmarkStart w:id="126" w:name="__UnoMark__3713_1910830454"/>
                            <w:bookmarkEnd w:id="126"/>
                            <w:r>
                              <w:rPr>
                                <w:rFonts w:eastAsia="Times New Roman"/>
                                <w:color w:val="000000"/>
                                <w:sz w:val="20"/>
                                <w:szCs w:val="20"/>
                                <w:lang w:eastAsia="da-DK"/>
                              </w:rPr>
                              <w:t>(1998)</w:t>
                            </w:r>
                          </w:p>
                        </w:tc>
                        <w:tc>
                          <w:tcPr>
                            <w:tcW w:w="1985" w:type="dxa"/>
                            <w:tcBorders>
                              <w:top w:val="single" w:sz="4" w:space="0" w:color="808080"/>
                              <w:bottom w:val="single" w:sz="4" w:space="0" w:color="808080"/>
                              <w:insideH w:val="single" w:sz="4" w:space="0" w:color="808080"/>
                            </w:tcBorders>
                            <w:shd w:color="auto" w:fill="auto" w:val="clear"/>
                            <w:vAlign w:val="center"/>
                          </w:tcPr>
                          <w:p>
                            <w:pPr>
                              <w:pStyle w:val="Normal"/>
                              <w:spacing w:lineRule="auto" w:line="240" w:before="0" w:after="0"/>
                              <w:jc w:val="center"/>
                              <w:rPr/>
                            </w:pPr>
                            <w:bookmarkStart w:id="127" w:name="__UnoMark__3714_1910830454"/>
                            <w:bookmarkEnd w:id="127"/>
                            <w:r>
                              <w:rPr>
                                <w:rFonts w:eastAsia="Times New Roman"/>
                                <w:b/>
                                <w:bCs/>
                                <w:color w:val="000000"/>
                                <w:sz w:val="20"/>
                                <w:szCs w:val="20"/>
                                <w:lang w:val="da-DK" w:eastAsia="da-DK"/>
                              </w:rPr>
                              <w:t>Early Era</w:t>
                            </w:r>
                            <w:r>
                              <w:rPr>
                                <w:rFonts w:eastAsia="Times New Roman"/>
                                <w:color w:val="000000"/>
                                <w:sz w:val="20"/>
                                <w:szCs w:val="20"/>
                                <w:lang w:val="da-DK" w:eastAsia="da-DK"/>
                              </w:rPr>
                              <w:t xml:space="preserve"> </w:t>
                            </w:r>
                          </w:p>
                          <w:p>
                            <w:pPr>
                              <w:pStyle w:val="Normal"/>
                              <w:spacing w:lineRule="auto" w:line="240" w:before="0" w:after="0"/>
                              <w:jc w:val="center"/>
                              <w:rPr/>
                            </w:pPr>
                            <w:bookmarkStart w:id="128" w:name="__UnoMark__3715_1910830454"/>
                            <w:bookmarkEnd w:id="128"/>
                            <w:r>
                              <w:rPr>
                                <w:rFonts w:eastAsia="Times New Roman"/>
                                <w:color w:val="000000"/>
                                <w:sz w:val="20"/>
                                <w:szCs w:val="20"/>
                                <w:lang w:val="da-DK" w:eastAsia="da-DK"/>
                              </w:rPr>
                              <w:t>(&lt;Jul2006)</w:t>
                            </w:r>
                          </w:p>
                        </w:tc>
                        <w:tc>
                          <w:tcPr>
                            <w:tcW w:w="1985" w:type="dxa"/>
                            <w:tcBorders>
                              <w:top w:val="single" w:sz="4" w:space="0" w:color="808080"/>
                              <w:left w:val="single" w:sz="4" w:space="0" w:color="808080"/>
                              <w:bottom w:val="single" w:sz="4" w:space="0" w:color="808080"/>
                              <w:right w:val="single" w:sz="4" w:space="0" w:color="808080"/>
                              <w:insideH w:val="single" w:sz="4" w:space="0" w:color="808080"/>
                              <w:insideV w:val="single" w:sz="4" w:space="0" w:color="808080"/>
                            </w:tcBorders>
                            <w:shd w:color="auto" w:fill="auto" w:val="clear"/>
                            <w:tcMar>
                              <w:left w:w="65" w:type="dxa"/>
                            </w:tcMar>
                            <w:vAlign w:val="center"/>
                          </w:tcPr>
                          <w:p>
                            <w:pPr>
                              <w:pStyle w:val="Normal"/>
                              <w:spacing w:lineRule="auto" w:line="240" w:before="0" w:after="0"/>
                              <w:jc w:val="center"/>
                              <w:rPr/>
                            </w:pPr>
                            <w:bookmarkStart w:id="129" w:name="__UnoMark__3716_1910830454"/>
                            <w:bookmarkEnd w:id="129"/>
                            <w:r>
                              <w:rPr>
                                <w:rFonts w:eastAsia="Times New Roman"/>
                                <w:b/>
                                <w:bCs/>
                                <w:color w:val="000000"/>
                                <w:sz w:val="20"/>
                                <w:szCs w:val="20"/>
                                <w:lang w:val="da-DK" w:eastAsia="da-DK"/>
                              </w:rPr>
                              <w:t>Late Era</w:t>
                            </w:r>
                            <w:r>
                              <w:rPr>
                                <w:rFonts w:eastAsia="Times New Roman"/>
                                <w:color w:val="000000"/>
                                <w:sz w:val="20"/>
                                <w:szCs w:val="20"/>
                                <w:lang w:val="da-DK" w:eastAsia="da-DK"/>
                              </w:rPr>
                              <w:t xml:space="preserve"> </w:t>
                            </w:r>
                          </w:p>
                          <w:p>
                            <w:pPr>
                              <w:pStyle w:val="Normal"/>
                              <w:spacing w:lineRule="auto" w:line="240" w:before="0" w:after="0"/>
                              <w:jc w:val="center"/>
                              <w:rPr/>
                            </w:pPr>
                            <w:bookmarkStart w:id="130" w:name="__UnoMark__3717_1910830454"/>
                            <w:bookmarkEnd w:id="130"/>
                            <w:r>
                              <w:rPr>
                                <w:rFonts w:eastAsia="Times New Roman"/>
                                <w:color w:val="000000"/>
                                <w:sz w:val="20"/>
                                <w:szCs w:val="20"/>
                                <w:lang w:val="da-DK" w:eastAsia="da-DK"/>
                              </w:rPr>
                              <w:t>(≥Jul2006)</w:t>
                            </w:r>
                          </w:p>
                        </w:tc>
                      </w:tr>
                      <w:tr>
                        <w:trPr>
                          <w:trHeight w:val="372" w:hRule="atLeast"/>
                        </w:trPr>
                        <w:tc>
                          <w:tcPr>
                            <w:tcW w:w="607" w:type="dxa"/>
                            <w:tcBorders>
                              <w:left w:val="single" w:sz="4" w:space="0" w:color="808080"/>
                              <w:right w:val="single" w:sz="4" w:space="0" w:color="808080"/>
                              <w:insideV w:val="single" w:sz="4" w:space="0" w:color="808080"/>
                            </w:tcBorders>
                            <w:shd w:color="auto" w:fill="auto" w:val="clear"/>
                            <w:tcMar>
                              <w:left w:w="65" w:type="dxa"/>
                            </w:tcMar>
                            <w:vAlign w:val="center"/>
                          </w:tcPr>
                          <w:p>
                            <w:pPr>
                              <w:pStyle w:val="Normal"/>
                              <w:spacing w:lineRule="auto" w:line="240" w:before="0" w:after="0"/>
                              <w:jc w:val="center"/>
                              <w:rPr/>
                            </w:pPr>
                            <w:bookmarkStart w:id="131" w:name="__UnoMark__3718_1910830454"/>
                            <w:bookmarkStart w:id="132" w:name="__UnoMark__3719_1910830454"/>
                            <w:bookmarkEnd w:id="131"/>
                            <w:bookmarkEnd w:id="132"/>
                            <w:r>
                              <w:rPr>
                                <w:rFonts w:eastAsia="Times New Roman"/>
                                <w:b/>
                                <w:bCs/>
                                <w:color w:val="000000"/>
                                <w:sz w:val="20"/>
                                <w:szCs w:val="20"/>
                                <w:lang w:eastAsia="da-DK"/>
                              </w:rPr>
                              <w:t>1</w:t>
                            </w:r>
                          </w:p>
                        </w:tc>
                        <w:tc>
                          <w:tcPr>
                            <w:tcW w:w="1873" w:type="dxa"/>
                            <w:tcBorders/>
                            <w:shd w:color="000000" w:fill="FF3B3B" w:val="clear"/>
                            <w:vAlign w:val="center"/>
                          </w:tcPr>
                          <w:p>
                            <w:pPr>
                              <w:pStyle w:val="Normal"/>
                              <w:spacing w:lineRule="auto" w:line="240" w:before="0" w:after="0"/>
                              <w:rPr/>
                            </w:pPr>
                            <w:bookmarkStart w:id="133" w:name="__UnoMark__3720_1910830454"/>
                            <w:bookmarkStart w:id="134" w:name="__UnoMark__3721_1910830454"/>
                            <w:bookmarkEnd w:id="133"/>
                            <w:bookmarkEnd w:id="134"/>
                            <w:r>
                              <w:rPr>
                                <w:rFonts w:eastAsia="Times New Roman"/>
                                <w:color w:val="000000"/>
                                <w:sz w:val="20"/>
                                <w:szCs w:val="20"/>
                                <w:lang w:eastAsia="da-DK"/>
                              </w:rPr>
                              <w:t xml:space="preserve">Haemorrhage </w:t>
                            </w:r>
                          </w:p>
                        </w:tc>
                        <w:tc>
                          <w:tcPr>
                            <w:tcW w:w="1984" w:type="dxa"/>
                            <w:tcBorders>
                              <w:left w:val="single" w:sz="4" w:space="0" w:color="808080"/>
                              <w:right w:val="single" w:sz="4" w:space="0" w:color="808080"/>
                              <w:insideV w:val="single" w:sz="4" w:space="0" w:color="808080"/>
                            </w:tcBorders>
                            <w:shd w:color="000000" w:fill="FF3B3B" w:val="clear"/>
                            <w:tcMar>
                              <w:left w:w="65" w:type="dxa"/>
                            </w:tcMar>
                            <w:vAlign w:val="center"/>
                          </w:tcPr>
                          <w:p>
                            <w:pPr>
                              <w:pStyle w:val="Normal"/>
                              <w:spacing w:lineRule="auto" w:line="240" w:before="0" w:after="0"/>
                              <w:rPr/>
                            </w:pPr>
                            <w:bookmarkStart w:id="135" w:name="__UnoMark__3722_1910830454"/>
                            <w:bookmarkStart w:id="136" w:name="__UnoMark__3723_1910830454"/>
                            <w:bookmarkEnd w:id="135"/>
                            <w:bookmarkEnd w:id="136"/>
                            <w:r>
                              <w:rPr>
                                <w:rFonts w:eastAsia="Times New Roman"/>
                                <w:color w:val="000000"/>
                                <w:sz w:val="20"/>
                                <w:szCs w:val="20"/>
                                <w:lang w:eastAsia="da-DK"/>
                              </w:rPr>
                              <w:t xml:space="preserve">Haemorrhage </w:t>
                            </w:r>
                          </w:p>
                        </w:tc>
                        <w:tc>
                          <w:tcPr>
                            <w:tcW w:w="1985" w:type="dxa"/>
                            <w:tcBorders/>
                            <w:shd w:color="000000" w:fill="FF7D7D" w:val="clear"/>
                            <w:vAlign w:val="center"/>
                          </w:tcPr>
                          <w:p>
                            <w:pPr>
                              <w:pStyle w:val="Normal"/>
                              <w:spacing w:lineRule="auto" w:line="240" w:before="0" w:after="0"/>
                              <w:rPr/>
                            </w:pPr>
                            <w:bookmarkStart w:id="137" w:name="__UnoMark__3724_1910830454"/>
                            <w:bookmarkStart w:id="138" w:name="__UnoMark__3725_1910830454"/>
                            <w:bookmarkEnd w:id="137"/>
                            <w:bookmarkEnd w:id="138"/>
                            <w:r>
                              <w:rPr>
                                <w:rFonts w:eastAsia="Times New Roman"/>
                                <w:color w:val="000000"/>
                                <w:sz w:val="20"/>
                                <w:szCs w:val="20"/>
                                <w:lang w:eastAsia="da-DK"/>
                              </w:rPr>
                              <w:t>Heart failure</w:t>
                            </w:r>
                          </w:p>
                        </w:tc>
                        <w:tc>
                          <w:tcPr>
                            <w:tcW w:w="1985" w:type="dxa"/>
                            <w:tcBorders>
                              <w:left w:val="single" w:sz="4" w:space="0" w:color="808080"/>
                              <w:right w:val="single" w:sz="4" w:space="0" w:color="808080"/>
                              <w:insideV w:val="single" w:sz="4" w:space="0" w:color="808080"/>
                            </w:tcBorders>
                            <w:shd w:color="000000" w:fill="FF7D7D" w:val="clear"/>
                            <w:tcMar>
                              <w:left w:w="65" w:type="dxa"/>
                            </w:tcMar>
                            <w:vAlign w:val="center"/>
                          </w:tcPr>
                          <w:p>
                            <w:pPr>
                              <w:pStyle w:val="Normal"/>
                              <w:spacing w:lineRule="auto" w:line="240" w:before="0" w:after="0"/>
                              <w:rPr/>
                            </w:pPr>
                            <w:bookmarkStart w:id="139" w:name="__UnoMark__3726_1910830454"/>
                            <w:bookmarkStart w:id="140" w:name="__UnoMark__3727_1910830454"/>
                            <w:bookmarkEnd w:id="139"/>
                            <w:bookmarkEnd w:id="140"/>
                            <w:r>
                              <w:rPr>
                                <w:rFonts w:eastAsia="Times New Roman"/>
                                <w:color w:val="000000"/>
                                <w:sz w:val="20"/>
                                <w:szCs w:val="20"/>
                                <w:lang w:eastAsia="da-DK"/>
                              </w:rPr>
                              <w:t>Heart failure</w:t>
                            </w:r>
                          </w:p>
                        </w:tc>
                      </w:tr>
                      <w:tr>
                        <w:trPr>
                          <w:trHeight w:val="372" w:hRule="atLeast"/>
                        </w:trPr>
                        <w:tc>
                          <w:tcPr>
                            <w:tcW w:w="607" w:type="dxa"/>
                            <w:tcBorders>
                              <w:left w:val="single" w:sz="4" w:space="0" w:color="808080"/>
                              <w:right w:val="single" w:sz="4" w:space="0" w:color="808080"/>
                              <w:insideV w:val="single" w:sz="4" w:space="0" w:color="808080"/>
                            </w:tcBorders>
                            <w:shd w:color="auto" w:fill="auto" w:val="clear"/>
                            <w:tcMar>
                              <w:left w:w="65" w:type="dxa"/>
                            </w:tcMar>
                            <w:vAlign w:val="center"/>
                          </w:tcPr>
                          <w:p>
                            <w:pPr>
                              <w:pStyle w:val="Normal"/>
                              <w:spacing w:lineRule="auto" w:line="240" w:before="0" w:after="0"/>
                              <w:jc w:val="center"/>
                              <w:rPr/>
                            </w:pPr>
                            <w:bookmarkStart w:id="141" w:name="__UnoMark__3728_1910830454"/>
                            <w:bookmarkStart w:id="142" w:name="__UnoMark__3729_1910830454"/>
                            <w:bookmarkEnd w:id="141"/>
                            <w:bookmarkEnd w:id="142"/>
                            <w:r>
                              <w:rPr>
                                <w:rFonts w:eastAsia="Times New Roman"/>
                                <w:b/>
                                <w:bCs/>
                                <w:color w:val="000000"/>
                                <w:sz w:val="20"/>
                                <w:szCs w:val="20"/>
                                <w:lang w:eastAsia="da-DK"/>
                              </w:rPr>
                              <w:t>2</w:t>
                            </w:r>
                          </w:p>
                        </w:tc>
                        <w:tc>
                          <w:tcPr>
                            <w:tcW w:w="1873" w:type="dxa"/>
                            <w:tcBorders/>
                            <w:shd w:color="000000" w:fill="9BC2E6" w:val="clear"/>
                            <w:vAlign w:val="center"/>
                          </w:tcPr>
                          <w:p>
                            <w:pPr>
                              <w:pStyle w:val="Normal"/>
                              <w:spacing w:lineRule="auto" w:line="240" w:before="0" w:after="0"/>
                              <w:rPr/>
                            </w:pPr>
                            <w:bookmarkStart w:id="143" w:name="__UnoMark__3730_1910830454"/>
                            <w:bookmarkStart w:id="144" w:name="__UnoMark__3731_1910830454"/>
                            <w:bookmarkEnd w:id="143"/>
                            <w:bookmarkEnd w:id="144"/>
                            <w:r>
                              <w:rPr>
                                <w:rFonts w:eastAsia="Times New Roman"/>
                                <w:color w:val="000000"/>
                                <w:sz w:val="20"/>
                                <w:szCs w:val="20"/>
                                <w:lang w:eastAsia="da-DK"/>
                              </w:rPr>
                              <w:t xml:space="preserve">Peri-procedural </w:t>
                            </w:r>
                          </w:p>
                        </w:tc>
                        <w:tc>
                          <w:tcPr>
                            <w:tcW w:w="1984" w:type="dxa"/>
                            <w:tcBorders>
                              <w:left w:val="single" w:sz="4" w:space="0" w:color="808080"/>
                              <w:right w:val="single" w:sz="4" w:space="0" w:color="808080"/>
                              <w:insideV w:val="single" w:sz="4" w:space="0" w:color="808080"/>
                            </w:tcBorders>
                            <w:shd w:color="000000" w:fill="FF7D7D" w:val="clear"/>
                            <w:tcMar>
                              <w:left w:w="65" w:type="dxa"/>
                            </w:tcMar>
                            <w:vAlign w:val="center"/>
                          </w:tcPr>
                          <w:p>
                            <w:pPr>
                              <w:pStyle w:val="Normal"/>
                              <w:spacing w:lineRule="auto" w:line="240" w:before="0" w:after="0"/>
                              <w:rPr/>
                            </w:pPr>
                            <w:bookmarkStart w:id="145" w:name="__UnoMark__3732_1910830454"/>
                            <w:bookmarkStart w:id="146" w:name="__UnoMark__3733_1910830454"/>
                            <w:bookmarkEnd w:id="145"/>
                            <w:bookmarkEnd w:id="146"/>
                            <w:r>
                              <w:rPr>
                                <w:rFonts w:eastAsia="Times New Roman"/>
                                <w:color w:val="000000"/>
                                <w:sz w:val="20"/>
                                <w:szCs w:val="20"/>
                                <w:lang w:eastAsia="da-DK"/>
                              </w:rPr>
                              <w:t>Heart failure</w:t>
                            </w:r>
                          </w:p>
                        </w:tc>
                        <w:tc>
                          <w:tcPr>
                            <w:tcW w:w="1985" w:type="dxa"/>
                            <w:tcBorders/>
                            <w:shd w:color="000000" w:fill="FFD966" w:val="clear"/>
                            <w:vAlign w:val="center"/>
                          </w:tcPr>
                          <w:p>
                            <w:pPr>
                              <w:pStyle w:val="Normal"/>
                              <w:spacing w:lineRule="auto" w:line="240" w:before="0" w:after="0"/>
                              <w:rPr/>
                            </w:pPr>
                            <w:bookmarkStart w:id="147" w:name="__UnoMark__3734_1910830454"/>
                            <w:bookmarkStart w:id="148" w:name="__UnoMark__3735_1910830454"/>
                            <w:bookmarkEnd w:id="147"/>
                            <w:bookmarkEnd w:id="148"/>
                            <w:r>
                              <w:rPr>
                                <w:rFonts w:eastAsia="Times New Roman"/>
                                <w:color w:val="000000"/>
                                <w:sz w:val="20"/>
                                <w:szCs w:val="20"/>
                                <w:lang w:eastAsia="da-DK"/>
                              </w:rPr>
                              <w:t xml:space="preserve">Infection </w:t>
                            </w:r>
                          </w:p>
                        </w:tc>
                        <w:tc>
                          <w:tcPr>
                            <w:tcW w:w="1985" w:type="dxa"/>
                            <w:tcBorders>
                              <w:left w:val="single" w:sz="4" w:space="0" w:color="808080"/>
                              <w:right w:val="single" w:sz="4" w:space="0" w:color="808080"/>
                              <w:insideV w:val="single" w:sz="4" w:space="0" w:color="808080"/>
                            </w:tcBorders>
                            <w:shd w:color="000000" w:fill="FFD966" w:val="clear"/>
                            <w:tcMar>
                              <w:left w:w="65" w:type="dxa"/>
                            </w:tcMar>
                            <w:vAlign w:val="center"/>
                          </w:tcPr>
                          <w:p>
                            <w:pPr>
                              <w:pStyle w:val="Normal"/>
                              <w:spacing w:lineRule="auto" w:line="240" w:before="0" w:after="0"/>
                              <w:rPr/>
                            </w:pPr>
                            <w:bookmarkStart w:id="149" w:name="__UnoMark__3736_1910830454"/>
                            <w:bookmarkStart w:id="150" w:name="__UnoMark__3737_1910830454"/>
                            <w:bookmarkEnd w:id="149"/>
                            <w:bookmarkEnd w:id="150"/>
                            <w:r>
                              <w:rPr>
                                <w:rFonts w:eastAsia="Times New Roman"/>
                                <w:color w:val="000000"/>
                                <w:sz w:val="20"/>
                                <w:szCs w:val="20"/>
                                <w:lang w:eastAsia="da-DK"/>
                              </w:rPr>
                              <w:t xml:space="preserve">Infection </w:t>
                            </w:r>
                          </w:p>
                        </w:tc>
                      </w:tr>
                      <w:tr>
                        <w:trPr>
                          <w:trHeight w:val="372" w:hRule="atLeast"/>
                        </w:trPr>
                        <w:tc>
                          <w:tcPr>
                            <w:tcW w:w="607" w:type="dxa"/>
                            <w:tcBorders>
                              <w:left w:val="single" w:sz="4" w:space="0" w:color="808080"/>
                              <w:right w:val="single" w:sz="4" w:space="0" w:color="808080"/>
                              <w:insideV w:val="single" w:sz="4" w:space="0" w:color="808080"/>
                            </w:tcBorders>
                            <w:shd w:color="auto" w:fill="auto" w:val="clear"/>
                            <w:tcMar>
                              <w:left w:w="65" w:type="dxa"/>
                            </w:tcMar>
                            <w:vAlign w:val="center"/>
                          </w:tcPr>
                          <w:p>
                            <w:pPr>
                              <w:pStyle w:val="Normal"/>
                              <w:spacing w:lineRule="auto" w:line="240" w:before="0" w:after="0"/>
                              <w:jc w:val="center"/>
                              <w:rPr/>
                            </w:pPr>
                            <w:bookmarkStart w:id="151" w:name="__UnoMark__3738_1910830454"/>
                            <w:bookmarkStart w:id="152" w:name="__UnoMark__3739_1910830454"/>
                            <w:bookmarkEnd w:id="151"/>
                            <w:bookmarkEnd w:id="152"/>
                            <w:r>
                              <w:rPr>
                                <w:rFonts w:eastAsia="Times New Roman"/>
                                <w:b/>
                                <w:bCs/>
                                <w:color w:val="000000"/>
                                <w:sz w:val="20"/>
                                <w:szCs w:val="20"/>
                                <w:lang w:eastAsia="da-DK"/>
                              </w:rPr>
                              <w:t>3</w:t>
                            </w:r>
                          </w:p>
                        </w:tc>
                        <w:tc>
                          <w:tcPr>
                            <w:tcW w:w="1873" w:type="dxa"/>
                            <w:tcBorders/>
                            <w:shd w:color="000000" w:fill="FF7D7D" w:val="clear"/>
                            <w:vAlign w:val="center"/>
                          </w:tcPr>
                          <w:p>
                            <w:pPr>
                              <w:pStyle w:val="Normal"/>
                              <w:spacing w:lineRule="auto" w:line="240" w:before="0" w:after="0"/>
                              <w:rPr/>
                            </w:pPr>
                            <w:bookmarkStart w:id="153" w:name="__UnoMark__3740_1910830454"/>
                            <w:bookmarkStart w:id="154" w:name="__UnoMark__3741_1910830454"/>
                            <w:bookmarkEnd w:id="153"/>
                            <w:bookmarkEnd w:id="154"/>
                            <w:r>
                              <w:rPr>
                                <w:rFonts w:eastAsia="Times New Roman"/>
                                <w:color w:val="000000"/>
                                <w:sz w:val="20"/>
                                <w:szCs w:val="20"/>
                                <w:lang w:eastAsia="da-DK"/>
                              </w:rPr>
                              <w:t>Heart failure</w:t>
                            </w:r>
                          </w:p>
                        </w:tc>
                        <w:tc>
                          <w:tcPr>
                            <w:tcW w:w="1984" w:type="dxa"/>
                            <w:tcBorders>
                              <w:left w:val="single" w:sz="4" w:space="0" w:color="808080"/>
                              <w:right w:val="single" w:sz="4" w:space="0" w:color="808080"/>
                              <w:insideV w:val="single" w:sz="4" w:space="0" w:color="808080"/>
                            </w:tcBorders>
                            <w:shd w:color="000000" w:fill="A6A6A6" w:val="clear"/>
                            <w:tcMar>
                              <w:left w:w="65" w:type="dxa"/>
                            </w:tcMar>
                            <w:vAlign w:val="center"/>
                          </w:tcPr>
                          <w:p>
                            <w:pPr>
                              <w:pStyle w:val="Normal"/>
                              <w:spacing w:lineRule="auto" w:line="240" w:before="0" w:after="0"/>
                              <w:rPr/>
                            </w:pPr>
                            <w:bookmarkStart w:id="155" w:name="__UnoMark__3742_1910830454"/>
                            <w:bookmarkStart w:id="156" w:name="__UnoMark__3743_1910830454"/>
                            <w:bookmarkEnd w:id="155"/>
                            <w:bookmarkEnd w:id="156"/>
                            <w:r>
                              <w:rPr>
                                <w:rFonts w:eastAsia="Times New Roman"/>
                                <w:color w:val="000000"/>
                                <w:sz w:val="20"/>
                                <w:szCs w:val="20"/>
                                <w:lang w:eastAsia="da-DK"/>
                              </w:rPr>
                              <w:t xml:space="preserve">Other </w:t>
                            </w:r>
                          </w:p>
                        </w:tc>
                        <w:tc>
                          <w:tcPr>
                            <w:tcW w:w="1985" w:type="dxa"/>
                            <w:tcBorders/>
                            <w:shd w:color="000000" w:fill="75B44A" w:val="clear"/>
                            <w:vAlign w:val="center"/>
                          </w:tcPr>
                          <w:p>
                            <w:pPr>
                              <w:pStyle w:val="Normal"/>
                              <w:spacing w:lineRule="auto" w:line="240" w:before="0" w:after="0"/>
                              <w:rPr/>
                            </w:pPr>
                            <w:bookmarkStart w:id="157" w:name="__UnoMark__3744_1910830454"/>
                            <w:bookmarkStart w:id="158" w:name="__UnoMark__3745_1910830454"/>
                            <w:bookmarkEnd w:id="157"/>
                            <w:bookmarkEnd w:id="158"/>
                            <w:r>
                              <w:rPr>
                                <w:rFonts w:eastAsia="Times New Roman"/>
                                <w:color w:val="000000"/>
                                <w:sz w:val="20"/>
                                <w:szCs w:val="20"/>
                                <w:lang w:eastAsia="da-DK"/>
                              </w:rPr>
                              <w:t>Thromboembolism</w:t>
                            </w:r>
                          </w:p>
                        </w:tc>
                        <w:tc>
                          <w:tcPr>
                            <w:tcW w:w="1985" w:type="dxa"/>
                            <w:tcBorders>
                              <w:left w:val="single" w:sz="4" w:space="0" w:color="808080"/>
                              <w:right w:val="single" w:sz="4" w:space="0" w:color="808080"/>
                              <w:insideV w:val="single" w:sz="4" w:space="0" w:color="808080"/>
                            </w:tcBorders>
                            <w:shd w:color="000000" w:fill="FFB9B9" w:val="clear"/>
                            <w:tcMar>
                              <w:left w:w="65" w:type="dxa"/>
                            </w:tcMar>
                            <w:vAlign w:val="center"/>
                          </w:tcPr>
                          <w:p>
                            <w:pPr>
                              <w:pStyle w:val="Normal"/>
                              <w:spacing w:lineRule="auto" w:line="240" w:before="0" w:after="0"/>
                              <w:rPr/>
                            </w:pPr>
                            <w:bookmarkStart w:id="159" w:name="__UnoMark__3746_1910830454"/>
                            <w:bookmarkStart w:id="160" w:name="__UnoMark__3747_1910830454"/>
                            <w:bookmarkEnd w:id="159"/>
                            <w:bookmarkEnd w:id="160"/>
                            <w:r>
                              <w:rPr>
                                <w:rFonts w:eastAsia="Times New Roman"/>
                                <w:color w:val="000000"/>
                                <w:sz w:val="20"/>
                                <w:szCs w:val="20"/>
                                <w:lang w:eastAsia="da-DK"/>
                              </w:rPr>
                              <w:t xml:space="preserve">Sudden cardiac death  </w:t>
                            </w:r>
                          </w:p>
                        </w:tc>
                      </w:tr>
                      <w:tr>
                        <w:trPr>
                          <w:trHeight w:val="372" w:hRule="atLeast"/>
                        </w:trPr>
                        <w:tc>
                          <w:tcPr>
                            <w:tcW w:w="607" w:type="dxa"/>
                            <w:tcBorders>
                              <w:left w:val="single" w:sz="4" w:space="0" w:color="808080"/>
                              <w:right w:val="single" w:sz="4" w:space="0" w:color="808080"/>
                              <w:insideV w:val="single" w:sz="4" w:space="0" w:color="808080"/>
                            </w:tcBorders>
                            <w:shd w:color="auto" w:fill="auto" w:val="clear"/>
                            <w:tcMar>
                              <w:left w:w="65" w:type="dxa"/>
                            </w:tcMar>
                            <w:vAlign w:val="center"/>
                          </w:tcPr>
                          <w:p>
                            <w:pPr>
                              <w:pStyle w:val="Normal"/>
                              <w:spacing w:lineRule="auto" w:line="240" w:before="0" w:after="0"/>
                              <w:jc w:val="center"/>
                              <w:rPr/>
                            </w:pPr>
                            <w:bookmarkStart w:id="161" w:name="__UnoMark__3748_1910830454"/>
                            <w:bookmarkStart w:id="162" w:name="__UnoMark__3749_1910830454"/>
                            <w:bookmarkEnd w:id="161"/>
                            <w:bookmarkEnd w:id="162"/>
                            <w:r>
                              <w:rPr>
                                <w:rFonts w:eastAsia="Times New Roman"/>
                                <w:b/>
                                <w:bCs/>
                                <w:color w:val="000000"/>
                                <w:sz w:val="20"/>
                                <w:szCs w:val="20"/>
                                <w:lang w:eastAsia="da-DK"/>
                              </w:rPr>
                              <w:t>4</w:t>
                            </w:r>
                          </w:p>
                        </w:tc>
                        <w:tc>
                          <w:tcPr>
                            <w:tcW w:w="1873" w:type="dxa"/>
                            <w:tcBorders/>
                            <w:shd w:color="000000" w:fill="FFB9B9" w:val="clear"/>
                            <w:vAlign w:val="center"/>
                          </w:tcPr>
                          <w:p>
                            <w:pPr>
                              <w:pStyle w:val="Normal"/>
                              <w:spacing w:lineRule="auto" w:line="240" w:before="0" w:after="0"/>
                              <w:rPr/>
                            </w:pPr>
                            <w:bookmarkStart w:id="163" w:name="__UnoMark__3750_1910830454"/>
                            <w:bookmarkStart w:id="164" w:name="__UnoMark__3751_1910830454"/>
                            <w:bookmarkEnd w:id="163"/>
                            <w:bookmarkEnd w:id="164"/>
                            <w:r>
                              <w:rPr>
                                <w:rFonts w:eastAsia="Times New Roman"/>
                                <w:color w:val="000000"/>
                                <w:sz w:val="20"/>
                                <w:szCs w:val="20"/>
                                <w:lang w:eastAsia="da-DK"/>
                              </w:rPr>
                              <w:t>Sudden cardiac death</w:t>
                            </w:r>
                          </w:p>
                        </w:tc>
                        <w:tc>
                          <w:tcPr>
                            <w:tcW w:w="1984" w:type="dxa"/>
                            <w:tcBorders>
                              <w:left w:val="single" w:sz="4" w:space="0" w:color="808080"/>
                              <w:right w:val="single" w:sz="4" w:space="0" w:color="808080"/>
                              <w:insideV w:val="single" w:sz="4" w:space="0" w:color="808080"/>
                            </w:tcBorders>
                            <w:shd w:color="000000" w:fill="9BC2E6" w:val="clear"/>
                            <w:tcMar>
                              <w:left w:w="65" w:type="dxa"/>
                            </w:tcMar>
                            <w:vAlign w:val="center"/>
                          </w:tcPr>
                          <w:p>
                            <w:pPr>
                              <w:pStyle w:val="Normal"/>
                              <w:spacing w:lineRule="auto" w:line="240" w:before="0" w:after="0"/>
                              <w:rPr/>
                            </w:pPr>
                            <w:bookmarkStart w:id="165" w:name="__UnoMark__3752_1910830454"/>
                            <w:bookmarkStart w:id="166" w:name="__UnoMark__3753_1910830454"/>
                            <w:bookmarkEnd w:id="165"/>
                            <w:bookmarkEnd w:id="166"/>
                            <w:r>
                              <w:rPr>
                                <w:rFonts w:eastAsia="Times New Roman"/>
                                <w:color w:val="000000"/>
                                <w:sz w:val="20"/>
                                <w:szCs w:val="20"/>
                                <w:lang w:eastAsia="da-DK"/>
                              </w:rPr>
                              <w:t xml:space="preserve">Peri-procedural </w:t>
                            </w:r>
                          </w:p>
                        </w:tc>
                        <w:tc>
                          <w:tcPr>
                            <w:tcW w:w="1985" w:type="dxa"/>
                            <w:tcBorders/>
                            <w:shd w:color="000000" w:fill="9BC2E6" w:val="clear"/>
                            <w:vAlign w:val="center"/>
                          </w:tcPr>
                          <w:p>
                            <w:pPr>
                              <w:pStyle w:val="Normal"/>
                              <w:spacing w:lineRule="auto" w:line="240" w:before="0" w:after="0"/>
                              <w:rPr/>
                            </w:pPr>
                            <w:bookmarkStart w:id="167" w:name="__UnoMark__3754_1910830454"/>
                            <w:bookmarkStart w:id="168" w:name="__UnoMark__3755_1910830454"/>
                            <w:bookmarkEnd w:id="167"/>
                            <w:bookmarkEnd w:id="168"/>
                            <w:r>
                              <w:rPr>
                                <w:rFonts w:eastAsia="Times New Roman"/>
                                <w:color w:val="000000"/>
                                <w:sz w:val="20"/>
                                <w:szCs w:val="20"/>
                                <w:lang w:eastAsia="da-DK"/>
                              </w:rPr>
                              <w:t xml:space="preserve">Peri-procedural </w:t>
                            </w:r>
                          </w:p>
                        </w:tc>
                        <w:tc>
                          <w:tcPr>
                            <w:tcW w:w="1985" w:type="dxa"/>
                            <w:tcBorders>
                              <w:left w:val="single" w:sz="4" w:space="0" w:color="808080"/>
                              <w:right w:val="single" w:sz="4" w:space="0" w:color="808080"/>
                              <w:insideV w:val="single" w:sz="4" w:space="0" w:color="808080"/>
                            </w:tcBorders>
                            <w:shd w:color="000000" w:fill="A6A6A6" w:val="clear"/>
                            <w:tcMar>
                              <w:left w:w="65" w:type="dxa"/>
                            </w:tcMar>
                            <w:vAlign w:val="center"/>
                          </w:tcPr>
                          <w:p>
                            <w:pPr>
                              <w:pStyle w:val="Normal"/>
                              <w:spacing w:lineRule="auto" w:line="240" w:before="0" w:after="0"/>
                              <w:rPr/>
                            </w:pPr>
                            <w:bookmarkStart w:id="169" w:name="__UnoMark__3756_1910830454"/>
                            <w:bookmarkStart w:id="170" w:name="__UnoMark__3757_1910830454"/>
                            <w:bookmarkEnd w:id="169"/>
                            <w:bookmarkEnd w:id="170"/>
                            <w:r>
                              <w:rPr>
                                <w:rFonts w:eastAsia="Times New Roman"/>
                                <w:color w:val="000000"/>
                                <w:sz w:val="20"/>
                                <w:szCs w:val="20"/>
                                <w:lang w:eastAsia="da-DK"/>
                              </w:rPr>
                              <w:t xml:space="preserve">Other </w:t>
                            </w:r>
                          </w:p>
                        </w:tc>
                      </w:tr>
                      <w:tr>
                        <w:trPr>
                          <w:trHeight w:val="372" w:hRule="atLeast"/>
                        </w:trPr>
                        <w:tc>
                          <w:tcPr>
                            <w:tcW w:w="607" w:type="dxa"/>
                            <w:tcBorders>
                              <w:left w:val="single" w:sz="4" w:space="0" w:color="808080"/>
                              <w:right w:val="single" w:sz="4" w:space="0" w:color="808080"/>
                              <w:insideV w:val="single" w:sz="4" w:space="0" w:color="808080"/>
                            </w:tcBorders>
                            <w:shd w:color="auto" w:fill="auto" w:val="clear"/>
                            <w:tcMar>
                              <w:left w:w="65" w:type="dxa"/>
                            </w:tcMar>
                            <w:vAlign w:val="center"/>
                          </w:tcPr>
                          <w:p>
                            <w:pPr>
                              <w:pStyle w:val="Normal"/>
                              <w:spacing w:lineRule="auto" w:line="240" w:before="0" w:after="0"/>
                              <w:jc w:val="center"/>
                              <w:rPr/>
                            </w:pPr>
                            <w:bookmarkStart w:id="171" w:name="__UnoMark__3758_1910830454"/>
                            <w:bookmarkStart w:id="172" w:name="__UnoMark__3759_1910830454"/>
                            <w:bookmarkEnd w:id="171"/>
                            <w:bookmarkEnd w:id="172"/>
                            <w:r>
                              <w:rPr>
                                <w:rFonts w:eastAsia="Times New Roman"/>
                                <w:b/>
                                <w:bCs/>
                                <w:color w:val="000000"/>
                                <w:sz w:val="20"/>
                                <w:szCs w:val="20"/>
                                <w:lang w:eastAsia="da-DK"/>
                              </w:rPr>
                              <w:t>5</w:t>
                            </w:r>
                          </w:p>
                        </w:tc>
                        <w:tc>
                          <w:tcPr>
                            <w:tcW w:w="1873" w:type="dxa"/>
                            <w:tcBorders/>
                            <w:shd w:color="000000" w:fill="A6A6A6" w:val="clear"/>
                            <w:vAlign w:val="center"/>
                          </w:tcPr>
                          <w:p>
                            <w:pPr>
                              <w:pStyle w:val="Normal"/>
                              <w:spacing w:lineRule="auto" w:line="240" w:before="0" w:after="0"/>
                              <w:rPr/>
                            </w:pPr>
                            <w:bookmarkStart w:id="173" w:name="__UnoMark__3760_1910830454"/>
                            <w:bookmarkStart w:id="174" w:name="__UnoMark__3761_1910830454"/>
                            <w:bookmarkEnd w:id="173"/>
                            <w:bookmarkEnd w:id="174"/>
                            <w:r>
                              <w:rPr>
                                <w:rFonts w:eastAsia="Times New Roman"/>
                                <w:color w:val="000000"/>
                                <w:sz w:val="20"/>
                                <w:szCs w:val="20"/>
                                <w:lang w:eastAsia="da-DK"/>
                              </w:rPr>
                              <w:t xml:space="preserve">Other </w:t>
                            </w:r>
                          </w:p>
                        </w:tc>
                        <w:tc>
                          <w:tcPr>
                            <w:tcW w:w="1984" w:type="dxa"/>
                            <w:tcBorders>
                              <w:left w:val="single" w:sz="4" w:space="0" w:color="808080"/>
                              <w:right w:val="single" w:sz="4" w:space="0" w:color="808080"/>
                              <w:insideV w:val="single" w:sz="4" w:space="0" w:color="808080"/>
                            </w:tcBorders>
                            <w:shd w:color="000000" w:fill="FFB9B9" w:val="clear"/>
                            <w:tcMar>
                              <w:left w:w="65" w:type="dxa"/>
                            </w:tcMar>
                            <w:vAlign w:val="center"/>
                          </w:tcPr>
                          <w:p>
                            <w:pPr>
                              <w:pStyle w:val="Normal"/>
                              <w:spacing w:lineRule="auto" w:line="240" w:before="0" w:after="0"/>
                              <w:rPr/>
                            </w:pPr>
                            <w:bookmarkStart w:id="175" w:name="__UnoMark__3762_1910830454"/>
                            <w:bookmarkStart w:id="176" w:name="__UnoMark__3763_1910830454"/>
                            <w:bookmarkEnd w:id="175"/>
                            <w:bookmarkEnd w:id="176"/>
                            <w:r>
                              <w:rPr>
                                <w:rFonts w:eastAsia="Times New Roman"/>
                                <w:color w:val="000000"/>
                                <w:sz w:val="20"/>
                                <w:szCs w:val="20"/>
                                <w:lang w:eastAsia="da-DK"/>
                              </w:rPr>
                              <w:t xml:space="preserve">Sudden cardiac death  </w:t>
                            </w:r>
                          </w:p>
                        </w:tc>
                        <w:tc>
                          <w:tcPr>
                            <w:tcW w:w="1985" w:type="dxa"/>
                            <w:tcBorders/>
                            <w:shd w:color="000000" w:fill="FFB9B9" w:val="clear"/>
                            <w:vAlign w:val="center"/>
                          </w:tcPr>
                          <w:p>
                            <w:pPr>
                              <w:pStyle w:val="Normal"/>
                              <w:spacing w:lineRule="auto" w:line="240" w:before="0" w:after="0"/>
                              <w:rPr/>
                            </w:pPr>
                            <w:bookmarkStart w:id="177" w:name="__UnoMark__3764_1910830454"/>
                            <w:bookmarkStart w:id="178" w:name="__UnoMark__3765_1910830454"/>
                            <w:bookmarkEnd w:id="177"/>
                            <w:bookmarkEnd w:id="178"/>
                            <w:r>
                              <w:rPr>
                                <w:rFonts w:eastAsia="Times New Roman"/>
                                <w:color w:val="000000"/>
                                <w:sz w:val="20"/>
                                <w:szCs w:val="20"/>
                                <w:lang w:eastAsia="da-DK"/>
                              </w:rPr>
                              <w:t>Sudden cardiac death</w:t>
                            </w:r>
                          </w:p>
                        </w:tc>
                        <w:tc>
                          <w:tcPr>
                            <w:tcW w:w="1985" w:type="dxa"/>
                            <w:tcBorders>
                              <w:left w:val="single" w:sz="4" w:space="0" w:color="808080"/>
                              <w:right w:val="single" w:sz="4" w:space="0" w:color="808080"/>
                              <w:insideV w:val="single" w:sz="4" w:space="0" w:color="808080"/>
                            </w:tcBorders>
                            <w:shd w:color="000000" w:fill="FF3B3B" w:val="clear"/>
                            <w:tcMar>
                              <w:left w:w="65" w:type="dxa"/>
                            </w:tcMar>
                            <w:vAlign w:val="center"/>
                          </w:tcPr>
                          <w:p>
                            <w:pPr>
                              <w:pStyle w:val="Normal"/>
                              <w:spacing w:lineRule="auto" w:line="240" w:before="0" w:after="0"/>
                              <w:rPr/>
                            </w:pPr>
                            <w:bookmarkStart w:id="179" w:name="__UnoMark__3766_1910830454"/>
                            <w:bookmarkStart w:id="180" w:name="__UnoMark__3767_1910830454"/>
                            <w:bookmarkEnd w:id="179"/>
                            <w:bookmarkEnd w:id="180"/>
                            <w:r>
                              <w:rPr>
                                <w:rFonts w:eastAsia="Times New Roman"/>
                                <w:color w:val="000000"/>
                                <w:sz w:val="20"/>
                                <w:szCs w:val="20"/>
                                <w:lang w:eastAsia="da-DK"/>
                              </w:rPr>
                              <w:t xml:space="preserve">Haemorrhage </w:t>
                            </w:r>
                          </w:p>
                        </w:tc>
                      </w:tr>
                      <w:tr>
                        <w:trPr>
                          <w:trHeight w:val="372" w:hRule="atLeast"/>
                        </w:trPr>
                        <w:tc>
                          <w:tcPr>
                            <w:tcW w:w="607" w:type="dxa"/>
                            <w:tcBorders>
                              <w:left w:val="single" w:sz="4" w:space="0" w:color="808080"/>
                              <w:right w:val="single" w:sz="4" w:space="0" w:color="808080"/>
                              <w:insideV w:val="single" w:sz="4" w:space="0" w:color="808080"/>
                            </w:tcBorders>
                            <w:shd w:color="auto" w:fill="auto" w:val="clear"/>
                            <w:tcMar>
                              <w:left w:w="65" w:type="dxa"/>
                            </w:tcMar>
                            <w:vAlign w:val="center"/>
                          </w:tcPr>
                          <w:p>
                            <w:pPr>
                              <w:pStyle w:val="Normal"/>
                              <w:spacing w:lineRule="auto" w:line="240" w:before="0" w:after="0"/>
                              <w:jc w:val="center"/>
                              <w:rPr/>
                            </w:pPr>
                            <w:bookmarkStart w:id="181" w:name="__UnoMark__3768_1910830454"/>
                            <w:bookmarkStart w:id="182" w:name="__UnoMark__3769_1910830454"/>
                            <w:bookmarkEnd w:id="181"/>
                            <w:bookmarkEnd w:id="182"/>
                            <w:r>
                              <w:rPr>
                                <w:rFonts w:eastAsia="Times New Roman"/>
                                <w:b/>
                                <w:bCs/>
                                <w:color w:val="000000"/>
                                <w:sz w:val="20"/>
                                <w:szCs w:val="20"/>
                                <w:lang w:eastAsia="da-DK"/>
                              </w:rPr>
                              <w:t>6</w:t>
                            </w:r>
                          </w:p>
                        </w:tc>
                        <w:tc>
                          <w:tcPr>
                            <w:tcW w:w="1873" w:type="dxa"/>
                            <w:tcBorders/>
                            <w:shd w:color="000000" w:fill="FFD966" w:val="clear"/>
                            <w:vAlign w:val="center"/>
                          </w:tcPr>
                          <w:p>
                            <w:pPr>
                              <w:pStyle w:val="Normal"/>
                              <w:spacing w:lineRule="auto" w:line="240" w:before="0" w:after="0"/>
                              <w:rPr/>
                            </w:pPr>
                            <w:bookmarkStart w:id="183" w:name="__UnoMark__3770_1910830454"/>
                            <w:bookmarkStart w:id="184" w:name="__UnoMark__3771_1910830454"/>
                            <w:bookmarkEnd w:id="183"/>
                            <w:bookmarkEnd w:id="184"/>
                            <w:r>
                              <w:rPr>
                                <w:rFonts w:eastAsia="Times New Roman"/>
                                <w:color w:val="000000"/>
                                <w:sz w:val="20"/>
                                <w:szCs w:val="20"/>
                                <w:lang w:eastAsia="da-DK"/>
                              </w:rPr>
                              <w:t xml:space="preserve">Infection </w:t>
                            </w:r>
                          </w:p>
                        </w:tc>
                        <w:tc>
                          <w:tcPr>
                            <w:tcW w:w="1984" w:type="dxa"/>
                            <w:tcBorders>
                              <w:left w:val="single" w:sz="4" w:space="0" w:color="808080"/>
                              <w:right w:val="single" w:sz="4" w:space="0" w:color="808080"/>
                              <w:insideV w:val="single" w:sz="4" w:space="0" w:color="808080"/>
                            </w:tcBorders>
                            <w:shd w:color="000000" w:fill="FFD966" w:val="clear"/>
                            <w:tcMar>
                              <w:left w:w="65" w:type="dxa"/>
                            </w:tcMar>
                            <w:vAlign w:val="center"/>
                          </w:tcPr>
                          <w:p>
                            <w:pPr>
                              <w:pStyle w:val="Normal"/>
                              <w:spacing w:lineRule="auto" w:line="240" w:before="0" w:after="0"/>
                              <w:rPr/>
                            </w:pPr>
                            <w:bookmarkStart w:id="185" w:name="__UnoMark__3772_1910830454"/>
                            <w:bookmarkStart w:id="186" w:name="__UnoMark__3773_1910830454"/>
                            <w:bookmarkEnd w:id="185"/>
                            <w:bookmarkEnd w:id="186"/>
                            <w:r>
                              <w:rPr>
                                <w:rFonts w:eastAsia="Times New Roman"/>
                                <w:color w:val="000000"/>
                                <w:sz w:val="20"/>
                                <w:szCs w:val="20"/>
                                <w:lang w:eastAsia="da-DK"/>
                              </w:rPr>
                              <w:t xml:space="preserve">Infection </w:t>
                            </w:r>
                          </w:p>
                        </w:tc>
                        <w:tc>
                          <w:tcPr>
                            <w:tcW w:w="1985" w:type="dxa"/>
                            <w:tcBorders/>
                            <w:shd w:color="000000" w:fill="FF3B3B" w:val="clear"/>
                            <w:vAlign w:val="center"/>
                          </w:tcPr>
                          <w:p>
                            <w:pPr>
                              <w:pStyle w:val="Normal"/>
                              <w:spacing w:lineRule="auto" w:line="240" w:before="0" w:after="0"/>
                              <w:rPr/>
                            </w:pPr>
                            <w:bookmarkStart w:id="187" w:name="__UnoMark__3774_1910830454"/>
                            <w:bookmarkStart w:id="188" w:name="__UnoMark__3775_1910830454"/>
                            <w:bookmarkEnd w:id="187"/>
                            <w:bookmarkEnd w:id="188"/>
                            <w:r>
                              <w:rPr>
                                <w:rFonts w:eastAsia="Times New Roman"/>
                                <w:color w:val="000000"/>
                                <w:sz w:val="20"/>
                                <w:szCs w:val="20"/>
                                <w:lang w:eastAsia="da-DK"/>
                              </w:rPr>
                              <w:t>Haemorrhage</w:t>
                            </w:r>
                          </w:p>
                        </w:tc>
                        <w:tc>
                          <w:tcPr>
                            <w:tcW w:w="1985" w:type="dxa"/>
                            <w:tcBorders>
                              <w:left w:val="single" w:sz="4" w:space="0" w:color="808080"/>
                              <w:right w:val="single" w:sz="4" w:space="0" w:color="808080"/>
                              <w:insideV w:val="single" w:sz="4" w:space="0" w:color="808080"/>
                            </w:tcBorders>
                            <w:shd w:color="000000" w:fill="75B44A" w:val="clear"/>
                            <w:tcMar>
                              <w:left w:w="65" w:type="dxa"/>
                            </w:tcMar>
                            <w:vAlign w:val="center"/>
                          </w:tcPr>
                          <w:p>
                            <w:pPr>
                              <w:pStyle w:val="Normal"/>
                              <w:spacing w:lineRule="auto" w:line="240" w:before="0" w:after="0"/>
                              <w:rPr/>
                            </w:pPr>
                            <w:bookmarkStart w:id="189" w:name="__UnoMark__3776_1910830454"/>
                            <w:bookmarkStart w:id="190" w:name="__UnoMark__3777_1910830454"/>
                            <w:bookmarkEnd w:id="189"/>
                            <w:bookmarkEnd w:id="190"/>
                            <w:r>
                              <w:rPr>
                                <w:rFonts w:eastAsia="Times New Roman"/>
                                <w:color w:val="000000"/>
                                <w:sz w:val="20"/>
                                <w:szCs w:val="20"/>
                                <w:lang w:eastAsia="da-DK"/>
                              </w:rPr>
                              <w:t>Thromboembolism</w:t>
                            </w:r>
                          </w:p>
                        </w:tc>
                      </w:tr>
                      <w:tr>
                        <w:trPr>
                          <w:trHeight w:val="372" w:hRule="atLeast"/>
                        </w:trPr>
                        <w:tc>
                          <w:tcPr>
                            <w:tcW w:w="607" w:type="dxa"/>
                            <w:tcBorders>
                              <w:left w:val="single" w:sz="4" w:space="0" w:color="808080"/>
                              <w:bottom w:val="single" w:sz="4" w:space="0" w:color="808080"/>
                              <w:right w:val="single" w:sz="4" w:space="0" w:color="808080"/>
                              <w:insideH w:val="single" w:sz="4" w:space="0" w:color="808080"/>
                              <w:insideV w:val="single" w:sz="4" w:space="0" w:color="808080"/>
                            </w:tcBorders>
                            <w:shd w:color="auto" w:fill="auto" w:val="clear"/>
                            <w:tcMar>
                              <w:left w:w="65" w:type="dxa"/>
                            </w:tcMar>
                            <w:vAlign w:val="center"/>
                          </w:tcPr>
                          <w:p>
                            <w:pPr>
                              <w:pStyle w:val="Normal"/>
                              <w:spacing w:lineRule="auto" w:line="240" w:before="0" w:after="0"/>
                              <w:jc w:val="center"/>
                              <w:rPr/>
                            </w:pPr>
                            <w:bookmarkStart w:id="191" w:name="__UnoMark__3778_1910830454"/>
                            <w:bookmarkStart w:id="192" w:name="__UnoMark__3779_1910830454"/>
                            <w:bookmarkEnd w:id="191"/>
                            <w:bookmarkEnd w:id="192"/>
                            <w:r>
                              <w:rPr>
                                <w:rFonts w:eastAsia="Times New Roman"/>
                                <w:b/>
                                <w:bCs/>
                                <w:color w:val="000000"/>
                                <w:sz w:val="20"/>
                                <w:szCs w:val="20"/>
                                <w:lang w:eastAsia="da-DK"/>
                              </w:rPr>
                              <w:t>7</w:t>
                            </w:r>
                          </w:p>
                        </w:tc>
                        <w:tc>
                          <w:tcPr>
                            <w:tcW w:w="1873" w:type="dxa"/>
                            <w:tcBorders>
                              <w:bottom w:val="single" w:sz="4" w:space="0" w:color="808080"/>
                              <w:insideH w:val="single" w:sz="4" w:space="0" w:color="808080"/>
                            </w:tcBorders>
                            <w:shd w:color="auto" w:fill="auto" w:val="clear"/>
                            <w:vAlign w:val="center"/>
                          </w:tcPr>
                          <w:p>
                            <w:pPr>
                              <w:pStyle w:val="Normal"/>
                              <w:spacing w:lineRule="auto" w:line="240" w:before="0" w:after="0"/>
                              <w:rPr>
                                <w:rFonts w:eastAsia="Times New Roman"/>
                                <w:color w:val="000000"/>
                                <w:sz w:val="20"/>
                                <w:szCs w:val="20"/>
                                <w:lang w:eastAsia="da-DK"/>
                              </w:rPr>
                            </w:pPr>
                            <w:bookmarkStart w:id="193" w:name="__UnoMark__3781_1910830454"/>
                            <w:bookmarkStart w:id="194" w:name="__UnoMark__3780_1910830454"/>
                            <w:bookmarkStart w:id="195" w:name="__UnoMark__3781_1910830454"/>
                            <w:bookmarkStart w:id="196" w:name="__UnoMark__3780_1910830454"/>
                            <w:bookmarkEnd w:id="195"/>
                            <w:bookmarkEnd w:id="196"/>
                            <w:r>
                              <w:rPr>
                                <w:rFonts w:eastAsia="Times New Roman"/>
                                <w:color w:val="000000"/>
                                <w:sz w:val="20"/>
                                <w:szCs w:val="20"/>
                                <w:lang w:eastAsia="da-DK"/>
                              </w:rPr>
                            </w:r>
                          </w:p>
                        </w:tc>
                        <w:tc>
                          <w:tcPr>
                            <w:tcW w:w="1984" w:type="dxa"/>
                            <w:tcBorders>
                              <w:left w:val="single" w:sz="4" w:space="0" w:color="808080"/>
                              <w:bottom w:val="single" w:sz="4" w:space="0" w:color="808080"/>
                              <w:right w:val="single" w:sz="4" w:space="0" w:color="808080"/>
                              <w:insideH w:val="single" w:sz="4" w:space="0" w:color="808080"/>
                              <w:insideV w:val="single" w:sz="4" w:space="0" w:color="808080"/>
                            </w:tcBorders>
                            <w:shd w:color="auto" w:fill="auto" w:val="clear"/>
                            <w:tcMar>
                              <w:left w:w="65" w:type="dxa"/>
                            </w:tcMar>
                            <w:vAlign w:val="center"/>
                          </w:tcPr>
                          <w:p>
                            <w:pPr>
                              <w:pStyle w:val="Normal"/>
                              <w:spacing w:lineRule="auto" w:line="240" w:before="0" w:after="0"/>
                              <w:rPr>
                                <w:rFonts w:eastAsia="Times New Roman"/>
                                <w:color w:val="000000"/>
                                <w:sz w:val="20"/>
                                <w:szCs w:val="20"/>
                                <w:lang w:eastAsia="da-DK"/>
                              </w:rPr>
                            </w:pPr>
                            <w:bookmarkStart w:id="197" w:name="__UnoMark__3783_1910830454"/>
                            <w:bookmarkStart w:id="198" w:name="__UnoMark__3782_1910830454"/>
                            <w:bookmarkStart w:id="199" w:name="__UnoMark__3783_1910830454"/>
                            <w:bookmarkStart w:id="200" w:name="__UnoMark__3782_1910830454"/>
                            <w:bookmarkEnd w:id="199"/>
                            <w:bookmarkEnd w:id="200"/>
                            <w:r>
                              <w:rPr>
                                <w:rFonts w:eastAsia="Times New Roman"/>
                                <w:color w:val="000000"/>
                                <w:sz w:val="20"/>
                                <w:szCs w:val="20"/>
                                <w:lang w:eastAsia="da-DK"/>
                              </w:rPr>
                            </w:r>
                          </w:p>
                        </w:tc>
                        <w:tc>
                          <w:tcPr>
                            <w:tcW w:w="1985" w:type="dxa"/>
                            <w:tcBorders>
                              <w:bottom w:val="single" w:sz="4" w:space="0" w:color="808080"/>
                              <w:insideH w:val="single" w:sz="4" w:space="0" w:color="808080"/>
                            </w:tcBorders>
                            <w:shd w:color="000000" w:fill="A6A6A6" w:val="clear"/>
                            <w:vAlign w:val="center"/>
                          </w:tcPr>
                          <w:p>
                            <w:pPr>
                              <w:pStyle w:val="Normal"/>
                              <w:spacing w:lineRule="auto" w:line="240" w:before="0" w:after="0"/>
                              <w:rPr/>
                            </w:pPr>
                            <w:bookmarkStart w:id="201" w:name="__UnoMark__3784_1910830454"/>
                            <w:bookmarkStart w:id="202" w:name="__UnoMark__3785_1910830454"/>
                            <w:bookmarkEnd w:id="201"/>
                            <w:bookmarkEnd w:id="202"/>
                            <w:r>
                              <w:rPr>
                                <w:rFonts w:eastAsia="Times New Roman"/>
                                <w:color w:val="000000"/>
                                <w:sz w:val="20"/>
                                <w:szCs w:val="20"/>
                                <w:lang w:eastAsia="da-DK"/>
                              </w:rPr>
                              <w:t xml:space="preserve">Other </w:t>
                            </w:r>
                          </w:p>
                        </w:tc>
                        <w:tc>
                          <w:tcPr>
                            <w:tcW w:w="1985" w:type="dxa"/>
                            <w:tcBorders>
                              <w:left w:val="single" w:sz="4" w:space="0" w:color="808080"/>
                              <w:bottom w:val="single" w:sz="4" w:space="0" w:color="808080"/>
                              <w:right w:val="single" w:sz="4" w:space="0" w:color="808080"/>
                              <w:insideH w:val="single" w:sz="4" w:space="0" w:color="808080"/>
                              <w:insideV w:val="single" w:sz="4" w:space="0" w:color="808080"/>
                            </w:tcBorders>
                            <w:shd w:color="000000" w:fill="9BC2E6" w:val="clear"/>
                            <w:tcMar>
                              <w:left w:w="65" w:type="dxa"/>
                            </w:tcMar>
                            <w:vAlign w:val="center"/>
                          </w:tcPr>
                          <w:p>
                            <w:pPr>
                              <w:pStyle w:val="Normal"/>
                              <w:spacing w:lineRule="auto" w:line="240" w:before="0" w:after="0"/>
                              <w:rPr/>
                            </w:pPr>
                            <w:bookmarkStart w:id="203" w:name="__UnoMark__3786_1910830454"/>
                            <w:bookmarkEnd w:id="203"/>
                            <w:r>
                              <w:rPr>
                                <w:rFonts w:eastAsia="Times New Roman"/>
                                <w:color w:val="000000"/>
                                <w:sz w:val="20"/>
                                <w:szCs w:val="20"/>
                                <w:lang w:eastAsia="da-DK"/>
                              </w:rPr>
                              <w:t xml:space="preserve">Peri-procedural </w:t>
                            </w:r>
                          </w:p>
                        </w:tc>
                      </w:tr>
                    </w:tbl>
                  </w:txbxContent>
                </v:textbox>
                <w10:wrap type="square"/>
              </v:rect>
            </w:pict>
          </mc:Fallback>
        </mc:AlternateContent>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lang w:val="da-DK"/>
        </w:rPr>
      </w:pPr>
      <w:r>
        <w:rPr/>
      </w:r>
    </w:p>
    <w:sectPr>
      <w:footerReference w:type="default" r:id="rId9"/>
      <w:type w:val="nextPage"/>
      <w:pgSz w:w="11906" w:h="16838"/>
      <w:pgMar w:left="1134" w:right="1134" w:header="0" w:top="1701" w:footer="709" w:bottom="1701" w:gutter="0"/>
      <w:pgNumType w:fmt="decimal"/>
      <w:formProt w:val="false"/>
      <w:textDirection w:val="lrTb"/>
      <w:docGrid w:type="default" w:linePitch="360" w:charSpace="4294965247"/>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comment w:id="0" w:author="Kostas" w:date="2016-05-23T19:49:00Z" w:initials="KD">
    <w:p>
      <w:r>
        <w:rPr>
          <w:rFonts w:ascii="Liberation Serif" w:hAnsi="Liberation Serif" w:eastAsia="Tahoma" w:cs="Tahoma"/>
          <w:sz w:val="24"/>
          <w:szCs w:val="24"/>
          <w:lang w:val="en-US" w:eastAsia="en-US" w:bidi="en-US"/>
        </w:rPr>
        <w:t>I do not understand this. Mortality number of deaths divided by person years (pts exposed to the risk of death during a certain time period during which the deaths occurred). You are not defining the denominator and also say that the study period was divided into 2 eras: the erarly era was defined as death...!!. An era cannot be defined as death. Deaths can be divided into those that occurred in the early and late era.</w:t>
      </w:r>
    </w:p>
    <w:p>
      <w:r>
        <w:rPr>
          <w:rFonts w:ascii="Liberation Serif" w:hAnsi="Liberation Serif" w:eastAsia="Tahoma" w:cs="Tahoma"/>
          <w:sz w:val="24"/>
          <w:szCs w:val="24"/>
          <w:lang w:val="en-US" w:eastAsia="en-US" w:bidi="en-US"/>
        </w:rPr>
        <w:t>Even more appropriately, the follow-up period was divided into 2 eras: pre and post 2006. Then you calculate the total patient years before 2006 and after 2006, the number of deaths before and after and give mortality for the 2 eras, with 95% CI to see if they overlap and hence not significantly different. In a simplistic way you then do a chisq for cause of death to see if the distribution of causes has changed</w:t>
      </w:r>
    </w:p>
    <w:p>
      <w:r>
        <w:rPr>
          <w:rFonts w:ascii="Liberation Serif" w:hAnsi="Liberation Serif" w:eastAsia="Tahoma" w:cs="Tahoma"/>
          <w:sz w:val="24"/>
          <w:szCs w:val="24"/>
          <w:lang w:val="en-US" w:eastAsia="en-US" w:bidi="en-US"/>
        </w:rPr>
        <w:t xml:space="preserve">If you really want to compare mortality accounting for age and sex, you should standardise and compare SMRs </w:t>
      </w:r>
    </w:p>
    <w:p>
      <w:r>
        <w:rPr>
          <w:rFonts w:ascii="Liberation Serif" w:hAnsi="Liberation Serif" w:eastAsia="Tahoma" w:cs="Tahoma"/>
          <w:sz w:val="24"/>
          <w:szCs w:val="24"/>
          <w:lang w:val="en-US" w:eastAsia="en-US" w:bidi="en-US"/>
        </w:rPr>
        <w:t>Have you spoken to your statistician?</w:t>
      </w:r>
    </w:p>
    <w:p>
      <w:r>
        <w:rPr>
          <w:rFonts w:ascii="Liberation Serif" w:hAnsi="Liberation Serif" w:eastAsia="Tahoma" w:cs="Tahoma"/>
          <w:sz w:val="24"/>
          <w:szCs w:val="24"/>
          <w:lang w:val="en-US" w:eastAsia="en-US" w:bidi="en-US"/>
        </w:rPr>
      </w:r>
    </w:p>
    <w:p>
      <w:r>
        <w:rPr>
          <w:rFonts w:ascii="Liberation Serif" w:hAnsi="Liberation Serif" w:eastAsia="Tahoma" w:cs="Tahoma"/>
          <w:sz w:val="24"/>
          <w:szCs w:val="24"/>
          <w:lang w:val="en-US" w:eastAsia="en-US" w:bidi="en-US"/>
        </w:rPr>
        <w:t>Gerhard Diller has worked a lot on SMRs</w:t>
      </w:r>
    </w:p>
  </w:comment>
  <w:comment w:id="1" w:author="Kostas" w:date="2016-05-23T18:56:00Z" w:initials="KD">
    <w:p>
      <w:r>
        <w:rPr>
          <w:rFonts w:ascii="Liberation Serif" w:hAnsi="Liberation Serif" w:eastAsia="Tahoma" w:cs="Tahoma"/>
          <w:sz w:val="24"/>
          <w:szCs w:val="24"/>
          <w:lang w:val="en-US" w:eastAsia="en-US" w:bidi="en-US"/>
        </w:rPr>
        <w:t>Which tests did you use? YOu could be a bit more specific in the stats methods</w:t>
      </w:r>
    </w:p>
  </w:comment>
  <w:comment w:id="2" w:author="Kostas" w:date="2016-05-23T18:56:00Z" w:initials="KD">
    <w:p>
      <w:r>
        <w:rPr>
          <w:rFonts w:ascii="Liberation Serif" w:hAnsi="Liberation Serif" w:eastAsia="Tahoma" w:cs="Tahoma"/>
          <w:sz w:val="24"/>
          <w:szCs w:val="24"/>
          <w:lang w:val="en-US" w:eastAsia="en-US" w:bidi="en-US"/>
        </w:rPr>
        <w:t>other?</w:t>
      </w:r>
    </w:p>
  </w:comment>
  <w:comment w:id="3" w:author="Kostas" w:date="2016-05-23T18:56:00Z" w:initials="KD">
    <w:p>
      <w:r>
        <w:rPr>
          <w:rFonts w:ascii="Liberation Serif" w:hAnsi="Liberation Serif" w:eastAsia="Tahoma" w:cs="Tahoma"/>
          <w:sz w:val="24"/>
          <w:szCs w:val="24"/>
          <w:lang w:val="en-US" w:eastAsia="en-US" w:bidi="en-US"/>
        </w:rPr>
        <w:t>Not sure what this adds beyond the 40% increase</w:t>
      </w:r>
    </w:p>
  </w:comment>
  <w:comment w:id="4" w:author="Kostas" w:date="2016-05-23T18:56:00Z" w:initials="KD">
    <w:p>
      <w:r>
        <w:rPr>
          <w:rFonts w:ascii="Liberation Serif" w:hAnsi="Liberation Serif" w:eastAsia="Tahoma" w:cs="Tahoma"/>
          <w:sz w:val="24"/>
          <w:szCs w:val="24"/>
          <w:lang w:val="en-US" w:eastAsia="en-US" w:bidi="en-US"/>
        </w:rPr>
        <w:t>Not sure how helpful this is , I would just cite these papers look for a concluding phrase on HF in ES, of the difficulties in treating this and the need to delay its onset by systematic use of PAH therapies? First and last phrase of each praragraph in the Discussion are crucial and should provide a clear message relating to your results</w:t>
      </w:r>
    </w:p>
  </w:comment>
  <w:comment w:id="5" w:author="Kostas" w:date="2016-05-23T18:56:00Z" w:initials="KD">
    <w:p>
      <w:r>
        <w:rPr>
          <w:rFonts w:ascii="Liberation Serif" w:hAnsi="Liberation Serif" w:eastAsia="Tahoma" w:cs="Tahoma"/>
          <w:sz w:val="24"/>
          <w:szCs w:val="24"/>
          <w:lang w:val="en-US" w:eastAsia="en-US" w:bidi="en-US"/>
        </w:rPr>
        <w:t>I would add the concepts that:</w:t>
      </w:r>
    </w:p>
    <w:p>
      <w:r>
        <w:rPr>
          <w:rFonts w:ascii="Liberation Serif" w:hAnsi="Liberation Serif" w:eastAsia="Tahoma" w:cs="Tahoma"/>
          <w:sz w:val="24"/>
          <w:szCs w:val="24"/>
          <w:lang w:val="en-US" w:eastAsia="en-US" w:bidi="en-US"/>
        </w:rPr>
        <w:t>-It is important to suspect and diagnose malignancies early, in order to avoid major surgery under GA whenever possible</w:t>
      </w:r>
    </w:p>
    <w:p>
      <w:r>
        <w:rPr>
          <w:rFonts w:ascii="Liberation Serif" w:hAnsi="Liberation Serif" w:eastAsia="Tahoma" w:cs="Tahoma"/>
          <w:sz w:val="24"/>
          <w:szCs w:val="24"/>
          <w:lang w:val="en-US" w:eastAsia="en-US" w:bidi="en-US"/>
        </w:rPr>
        <w:t>-The prdisposition of ES to bleeding (hemoptysis or GI bleeds) makes the diagnosis of lung or GI malignancies difficult.</w:t>
      </w:r>
    </w:p>
    <w:p>
      <w:r>
        <w:rPr>
          <w:rFonts w:ascii="Liberation Serif" w:hAnsi="Liberation Serif" w:eastAsia="Tahoma" w:cs="Tahoma"/>
          <w:sz w:val="24"/>
          <w:szCs w:val="24"/>
          <w:lang w:val="en-US" w:eastAsia="en-US" w:bidi="en-US"/>
        </w:rPr>
        <w:t>- Signs such as loss of weight, asthenia, cachexia or anemia are difficult to use in ES</w:t>
      </w:r>
    </w:p>
  </w:comment>
  <w:comment w:id="6" w:author="Kostas" w:date="2016-05-23T18:56:00Z" w:initials="KD">
    <w:p>
      <w:r>
        <w:rPr>
          <w:rFonts w:ascii="Liberation Serif" w:hAnsi="Liberation Serif" w:eastAsia="Tahoma" w:cs="Tahoma"/>
          <w:sz w:val="24"/>
          <w:szCs w:val="24"/>
          <w:lang w:val="en-US" w:eastAsia="en-US" w:bidi="en-US"/>
        </w:rPr>
        <w:t>On the contrary, I would have said that in the current era, there has been a move away from routine anticoagulation,which may explain the low hemoptysis death rate</w:t>
      </w:r>
    </w:p>
  </w:comment>
  <w:comment w:id="7" w:author="Kostas" w:date="2016-05-23T18:56:00Z" w:initials="KD">
    <w:p>
      <w:r>
        <w:rPr>
          <w:rFonts w:ascii="Liberation Serif" w:hAnsi="Liberation Serif" w:eastAsia="Tahoma" w:cs="Tahoma"/>
          <w:sz w:val="24"/>
          <w:szCs w:val="24"/>
          <w:lang w:val="en-US" w:eastAsia="en-US" w:bidi="en-US"/>
        </w:rPr>
        <w:t>Plus move away from immobilisation and active encouragement of pts to remain fit.</w:t>
      </w:r>
    </w:p>
  </w:comment>
  <w:comment w:id="8" w:author="Kostas" w:date="2016-05-23T18:56:00Z" w:initials="KD">
    <w:p>
      <w:r>
        <w:rPr>
          <w:rFonts w:ascii="Liberation Serif" w:hAnsi="Liberation Serif" w:eastAsia="Tahoma" w:cs="Tahoma"/>
          <w:sz w:val="24"/>
          <w:szCs w:val="24"/>
          <w:lang w:val="en-US" w:eastAsia="en-US" w:bidi="en-US"/>
        </w:rPr>
        <w:t xml:space="preserve">However, as the ES population ages, it is inevitable that essential surgery will be required. Beyond the occurrence of malignancies, cholelithiasis, dental extractions in down paitents are common causes for GA. While this should always be performed in expert tertiary centres, risks remain substantial and periprocedural mortality is expected to remain stable or even increase in coming years. </w:t>
      </w:r>
    </w:p>
  </w:comment>
  <w:comment w:id="10" w:author="Kostas" w:date="2016-05-23T18:56:00Z" w:initials="KD">
    <w:p>
      <w:r>
        <w:rPr>
          <w:rFonts w:ascii="Liberation Serif" w:hAnsi="Liberation Serif" w:eastAsia="Tahoma" w:cs="Tahoma"/>
          <w:sz w:val="24"/>
          <w:szCs w:val="24"/>
          <w:lang w:val="en-US" w:eastAsia="en-US" w:bidi="en-US"/>
        </w:rPr>
        <w:t>??</w:t>
      </w:r>
    </w:p>
  </w:comment>
  <w:comment w:id="9" w:author="Kostas" w:date="2016-05-23T18:56:00Z" w:initials="KD">
    <w:p>
      <w:r>
        <w:rPr>
          <w:rFonts w:ascii="Liberation Serif" w:hAnsi="Liberation Serif" w:eastAsia="Tahoma" w:cs="Tahoma"/>
          <w:sz w:val="24"/>
          <w:szCs w:val="24"/>
          <w:lang w:val="en-US" w:eastAsia="en-US" w:bidi="en-US"/>
        </w:rPr>
        <w:t>This paragraph is a bit complicated and very speculative. I would not keep phrases stating "there is no reason to believe",  you have nothing to support this. I would take the oppoortunity to say that even though we do not know how these patients die, SCD has been decribed in ES and could be related to ventricular or even supraventricular arrhythmias in patients with advanced disease....add a couple of things about why arrhythmia happens and the need for early cardiovenrsion. Moreover, progressive PA dilatation is not uncommon and PA rupture or dissection has been described. Finally, in this fragile population, any trauma or  infection can have rapid devastating effects.</w:t>
      </w:r>
    </w:p>
  </w:comment>
</w:comment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Tahoma">
    <w:charset w:val="01"/>
    <w:family w:val="roman"/>
    <w:pitch w:val="variable"/>
  </w:font>
  <w:font w:name="OpenSymbol">
    <w:altName w:val="Arial Unicode MS"/>
    <w:charset w:val="02"/>
    <w:family w:val="auto"/>
    <w:pitch w:val="default"/>
  </w:font>
  <w:font w:name="Times New Roman">
    <w:charset w:val="01"/>
    <w:family w:val="roman"/>
    <w:pitch w:val="default"/>
  </w:font>
  <w:font w:name="Courier">
    <w:altName w:val="Courier New"/>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875488109"/>
    </w:sdtPr>
    <w:sdtContent>
      <w:p>
        <w:pPr>
          <w:pStyle w:val="Footer"/>
          <w:jc w:val="right"/>
          <w:rPr/>
        </w:pPr>
        <w:r>
          <w:rPr>
            <w:lang w:val="da-DK"/>
          </w:rPr>
          <w:fldChar w:fldCharType="begin"/>
        </w:r>
        <w:r>
          <w:instrText> PAGE </w:instrText>
        </w:r>
        <w:r>
          <w:fldChar w:fldCharType="separate"/>
        </w:r>
        <w:r>
          <w:t>2</w:t>
        </w:r>
        <w:r>
          <w:fldChar w:fldCharType="end"/>
        </w:r>
      </w:p>
      <w:p>
        <w:pPr>
          <w:pStyle w:val="Footer"/>
          <w:jc w:val="right"/>
          <w:rPr/>
        </w:pPr>
        <w:r>
          <w:rPr/>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540095202"/>
    </w:sdtPr>
    <w:sdtContent>
      <w:p>
        <w:pPr>
          <w:pStyle w:val="Footer"/>
          <w:jc w:val="right"/>
          <w:rPr/>
        </w:pPr>
        <w:r>
          <w:rPr>
            <w:lang w:val="da-DK"/>
          </w:rPr>
          <w:fldChar w:fldCharType="begin"/>
        </w:r>
        <w:r>
          <w:instrText> PAGE </w:instrText>
        </w:r>
        <w:r>
          <w:fldChar w:fldCharType="separate"/>
        </w:r>
        <w:r>
          <w:t>16</w:t>
        </w:r>
        <w:r>
          <w:fldChar w:fldCharType="end"/>
        </w:r>
      </w:p>
      <w:p>
        <w:pPr>
          <w:pStyle w:val="Footer"/>
          <w:jc w:val="right"/>
          <w:rPr/>
        </w:pPr>
        <w:r>
          <w:rPr/>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430464936"/>
    </w:sdtPr>
    <w:sdtContent>
      <w:p>
        <w:pPr>
          <w:pStyle w:val="Footer"/>
          <w:jc w:val="right"/>
          <w:rPr/>
        </w:pPr>
        <w:r>
          <w:rPr>
            <w:lang w:val="da-DK"/>
          </w:rPr>
          <w:fldChar w:fldCharType="begin"/>
        </w:r>
        <w:r>
          <w:instrText> PAGE </w:instrText>
        </w:r>
        <w:r>
          <w:fldChar w:fldCharType="separate"/>
        </w:r>
        <w:r>
          <w:t>17</w:t>
        </w:r>
        <w:r>
          <w:fldChar w:fldCharType="end"/>
        </w:r>
      </w:p>
      <w:p>
        <w:pPr>
          <w:pStyle w:val="Footer"/>
          <w:jc w:val="right"/>
          <w:rPr/>
        </w:pPr>
        <w:r>
          <w:rPr/>
        </w:r>
      </w:p>
    </w:sdtContent>
  </w:sdt>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345149020"/>
    </w:sdtPr>
    <w:sdtContent>
      <w:p>
        <w:pPr>
          <w:pStyle w:val="Footer"/>
          <w:jc w:val="right"/>
          <w:rPr/>
        </w:pPr>
        <w:r>
          <w:rPr>
            <w:lang w:val="da-DK"/>
          </w:rPr>
          <w:fldChar w:fldCharType="begin"/>
        </w:r>
        <w:r>
          <w:instrText> PAGE </w:instrText>
        </w:r>
        <w:r>
          <w:fldChar w:fldCharType="separate"/>
        </w:r>
        <w:r>
          <w:t>18</w:t>
        </w:r>
        <w:r>
          <w:fldChar w:fldCharType="end"/>
        </w:r>
      </w:p>
      <w:p>
        <w:pPr>
          <w:pStyle w:val="Footer"/>
          <w:jc w:val="right"/>
          <w:rPr/>
        </w:pPr>
        <w:r>
          <w:rPr/>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787398312"/>
    </w:sdtPr>
    <w:sdtContent>
      <w:p>
        <w:pPr>
          <w:pStyle w:val="Footer"/>
          <w:jc w:val="right"/>
          <w:rPr/>
        </w:pPr>
        <w:r>
          <w:rPr>
            <w:lang w:val="da-DK"/>
          </w:rPr>
          <w:fldChar w:fldCharType="begin"/>
        </w:r>
        <w:r>
          <w:instrText> PAGE </w:instrText>
        </w:r>
        <w:r>
          <w:fldChar w:fldCharType="separate"/>
        </w:r>
        <w:r>
          <w:t>19</w:t>
        </w:r>
        <w:r>
          <w:fldChar w:fldCharType="end"/>
        </w:r>
      </w:p>
      <w:p>
        <w:pPr>
          <w:pStyle w:val="Footer"/>
          <w:jc w:val="right"/>
          <w:rPr/>
        </w:pPr>
        <w:r>
          <w:rPr/>
        </w:r>
      </w:p>
    </w:sdtContent>
  </w:sdt>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5"/>
      <w:pStyle w:val="Heading3"/>
      <w:numFmt w:val="bullet"/>
      <w:lvlText w:val=""/>
      <w:lvlJc w:val="left"/>
      <w:pPr>
        <w:ind w:left="720" w:hanging="360"/>
      </w:pPr>
      <w:rPr>
        <w:rFonts w:ascii="Symbol" w:hAnsi="Symbol" w:cs="Symbol" w:hint="default"/>
        <w:rFonts w:cs="Times New Roman"/>
      </w:r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95"/>
  <w:trackRevisions/>
  <w:defaultTabStop w:val="1304"/>
  <w:autoHyphenation w:val="true"/>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da-DK"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c3870"/>
    <w:pPr>
      <w:widowControl/>
      <w:suppressAutoHyphens w:val="false"/>
      <w:bidi w:val="0"/>
      <w:spacing w:lineRule="auto" w:line="276" w:before="0" w:after="200"/>
      <w:jc w:val="left"/>
    </w:pPr>
    <w:rPr>
      <w:rFonts w:ascii="Times New Roman" w:hAnsi="Times New Roman" w:cs="Times New Roman" w:eastAsia="Calibri" w:eastAsiaTheme="minorHAnsi"/>
      <w:color w:val="auto"/>
      <w:sz w:val="22"/>
      <w:szCs w:val="22"/>
      <w:lang w:val="en-GB" w:eastAsia="en-US" w:bidi="ar-SA"/>
    </w:rPr>
  </w:style>
  <w:style w:type="paragraph" w:styleId="Heading1">
    <w:name w:val="Heading 1"/>
    <w:basedOn w:val="Normal"/>
    <w:next w:val="Normal"/>
    <w:link w:val="Heading1Char"/>
    <w:uiPriority w:val="9"/>
    <w:qFormat/>
    <w:rsid w:val="00b21f76"/>
    <w:pPr>
      <w:keepNext/>
      <w:keepLines/>
      <w:spacing w:lineRule="auto" w:line="480" w:before="480" w:after="0"/>
      <w:jc w:val="both"/>
      <w:outlineLvl w:val="0"/>
    </w:pPr>
    <w:rPr>
      <w:rFonts w:eastAsia="" w:eastAsiaTheme="majorEastAsia"/>
      <w:b/>
      <w:bCs/>
    </w:rPr>
  </w:style>
  <w:style w:type="paragraph" w:styleId="Heading2">
    <w:name w:val="Heading 2"/>
    <w:basedOn w:val="Normal"/>
    <w:next w:val="Normal"/>
    <w:link w:val="Heading2Char"/>
    <w:uiPriority w:val="9"/>
    <w:unhideWhenUsed/>
    <w:qFormat/>
    <w:rsid w:val="00b21f76"/>
    <w:pPr>
      <w:keepNext/>
      <w:keepLines/>
      <w:spacing w:lineRule="auto" w:line="480" w:before="200" w:after="0"/>
      <w:outlineLvl w:val="1"/>
    </w:pPr>
    <w:rPr>
      <w:rFonts w:eastAsia="" w:eastAsiaTheme="majorEastAsia"/>
      <w:bCs/>
      <w:i/>
    </w:rPr>
  </w:style>
  <w:style w:type="paragraph" w:styleId="Heading3">
    <w:name w:val="Heading 3"/>
    <w:basedOn w:val="Normal"/>
    <w:next w:val="Normal"/>
    <w:link w:val="Heading3Char"/>
    <w:uiPriority w:val="9"/>
    <w:unhideWhenUsed/>
    <w:qFormat/>
    <w:rsid w:val="005872e6"/>
    <w:pPr>
      <w:keepNext/>
      <w:keepLines/>
      <w:numPr>
        <w:ilvl w:val="0"/>
        <w:numId w:val="1"/>
      </w:numPr>
      <w:spacing w:before="200" w:after="0"/>
      <w:outlineLvl w:val="0"/>
      <w:outlineLvl w:val="0"/>
    </w:pPr>
    <w:rPr>
      <w:rFonts w:eastAsia="" w:eastAsiaTheme="majorEastAsia"/>
      <w:bCs/>
      <w:i/>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b21f76"/>
    <w:rPr>
      <w:rFonts w:ascii="Times New Roman" w:hAnsi="Times New Roman" w:eastAsia="" w:cs="Times New Roman" w:eastAsiaTheme="majorEastAsia"/>
      <w:b/>
      <w:bCs/>
      <w:lang w:val="en-GB"/>
    </w:rPr>
  </w:style>
  <w:style w:type="character" w:styleId="Heading2Char" w:customStyle="1">
    <w:name w:val="Heading 2 Char"/>
    <w:basedOn w:val="DefaultParagraphFont"/>
    <w:link w:val="Heading2"/>
    <w:uiPriority w:val="9"/>
    <w:qFormat/>
    <w:rsid w:val="00b21f76"/>
    <w:rPr>
      <w:rFonts w:ascii="Times New Roman" w:hAnsi="Times New Roman" w:eastAsia="" w:cs="Times New Roman" w:eastAsiaTheme="majorEastAsia"/>
      <w:bCs/>
      <w:i/>
      <w:lang w:val="en-GB"/>
    </w:rPr>
  </w:style>
  <w:style w:type="character" w:styleId="Emphasis">
    <w:name w:val="Emphasis"/>
    <w:basedOn w:val="DefaultParagraphFont"/>
    <w:uiPriority w:val="20"/>
    <w:qFormat/>
    <w:rsid w:val="002e7116"/>
    <w:rPr>
      <w:i/>
      <w:iCs/>
    </w:rPr>
  </w:style>
  <w:style w:type="character" w:styleId="InternetLink">
    <w:name w:val="Internet Link"/>
    <w:basedOn w:val="DefaultParagraphFont"/>
    <w:uiPriority w:val="99"/>
    <w:unhideWhenUsed/>
    <w:rsid w:val="00832517"/>
    <w:rPr>
      <w:color w:val="0000FF"/>
      <w:u w:val="single"/>
    </w:rPr>
  </w:style>
  <w:style w:type="character" w:styleId="Appleconvertedspace" w:customStyle="1">
    <w:name w:val="apple-converted-space"/>
    <w:basedOn w:val="DefaultParagraphFont"/>
    <w:qFormat/>
    <w:rsid w:val="00832517"/>
    <w:rPr/>
  </w:style>
  <w:style w:type="character" w:styleId="HeaderChar" w:customStyle="1">
    <w:name w:val="Header Char"/>
    <w:basedOn w:val="DefaultParagraphFont"/>
    <w:link w:val="Header"/>
    <w:uiPriority w:val="99"/>
    <w:qFormat/>
    <w:rsid w:val="00d2203b"/>
    <w:rPr>
      <w:rFonts w:ascii="Times New Roman" w:hAnsi="Times New Roman" w:cs="Times New Roman"/>
      <w:lang w:val="en-GB"/>
    </w:rPr>
  </w:style>
  <w:style w:type="character" w:styleId="FooterChar" w:customStyle="1">
    <w:name w:val="Footer Char"/>
    <w:basedOn w:val="DefaultParagraphFont"/>
    <w:link w:val="Footer"/>
    <w:uiPriority w:val="99"/>
    <w:qFormat/>
    <w:rsid w:val="00d2203b"/>
    <w:rPr>
      <w:rFonts w:ascii="Times New Roman" w:hAnsi="Times New Roman" w:cs="Times New Roman"/>
      <w:lang w:val="en-GB"/>
    </w:rPr>
  </w:style>
  <w:style w:type="character" w:styleId="Annotationreference">
    <w:name w:val="annotation reference"/>
    <w:basedOn w:val="DefaultParagraphFont"/>
    <w:uiPriority w:val="99"/>
    <w:semiHidden/>
    <w:unhideWhenUsed/>
    <w:qFormat/>
    <w:rsid w:val="00724de0"/>
    <w:rPr>
      <w:sz w:val="16"/>
      <w:szCs w:val="16"/>
    </w:rPr>
  </w:style>
  <w:style w:type="character" w:styleId="CommentTextChar" w:customStyle="1">
    <w:name w:val="Comment Text Char"/>
    <w:basedOn w:val="DefaultParagraphFont"/>
    <w:link w:val="CommentText"/>
    <w:uiPriority w:val="99"/>
    <w:semiHidden/>
    <w:qFormat/>
    <w:rsid w:val="00724de0"/>
    <w:rPr>
      <w:rFonts w:ascii="Times New Roman" w:hAnsi="Times New Roman" w:cs="Times New Roman"/>
      <w:sz w:val="20"/>
      <w:szCs w:val="20"/>
      <w:lang w:val="en-GB"/>
    </w:rPr>
  </w:style>
  <w:style w:type="character" w:styleId="CommentSubjectChar" w:customStyle="1">
    <w:name w:val="Comment Subject Char"/>
    <w:basedOn w:val="CommentTextChar"/>
    <w:link w:val="CommentSubject"/>
    <w:uiPriority w:val="99"/>
    <w:semiHidden/>
    <w:qFormat/>
    <w:rsid w:val="00724de0"/>
    <w:rPr>
      <w:rFonts w:ascii="Times New Roman" w:hAnsi="Times New Roman" w:cs="Times New Roman"/>
      <w:b/>
      <w:bCs/>
      <w:sz w:val="20"/>
      <w:szCs w:val="20"/>
      <w:lang w:val="en-GB"/>
    </w:rPr>
  </w:style>
  <w:style w:type="character" w:styleId="BalloonTextChar" w:customStyle="1">
    <w:name w:val="Balloon Text Char"/>
    <w:basedOn w:val="DefaultParagraphFont"/>
    <w:link w:val="BalloonText"/>
    <w:uiPriority w:val="99"/>
    <w:semiHidden/>
    <w:qFormat/>
    <w:rsid w:val="00724de0"/>
    <w:rPr>
      <w:rFonts w:ascii="Tahoma" w:hAnsi="Tahoma" w:cs="Tahoma"/>
      <w:sz w:val="16"/>
      <w:szCs w:val="16"/>
      <w:lang w:val="en-GB"/>
    </w:rPr>
  </w:style>
  <w:style w:type="character" w:styleId="Heading3Char" w:customStyle="1">
    <w:name w:val="Heading 3 Char"/>
    <w:basedOn w:val="DefaultParagraphFont"/>
    <w:link w:val="Heading3"/>
    <w:uiPriority w:val="9"/>
    <w:qFormat/>
    <w:rsid w:val="005872e6"/>
    <w:rPr>
      <w:rFonts w:ascii="Times New Roman" w:hAnsi="Times New Roman" w:eastAsia="" w:cs="Times New Roman" w:eastAsiaTheme="majorEastAsia"/>
      <w:bCs/>
      <w:i/>
      <w:lang w:val="en-GB"/>
    </w:rPr>
  </w:style>
  <w:style w:type="character" w:styleId="TitleChar" w:customStyle="1">
    <w:name w:val="Title Char"/>
    <w:basedOn w:val="DefaultParagraphFont"/>
    <w:link w:val="Title"/>
    <w:uiPriority w:val="10"/>
    <w:qFormat/>
    <w:rsid w:val="00282751"/>
    <w:rPr>
      <w:rFonts w:ascii="Times New Roman" w:hAnsi="Times New Roman" w:cs="Times New Roman"/>
      <w:sz w:val="24"/>
      <w:szCs w:val="24"/>
      <w:lang w:val="en-GB"/>
    </w:rPr>
  </w:style>
  <w:style w:type="character" w:styleId="PlaceholderText">
    <w:name w:val="Placeholder Text"/>
    <w:basedOn w:val="DefaultParagraphFont"/>
    <w:uiPriority w:val="99"/>
    <w:semiHidden/>
    <w:qFormat/>
    <w:rsid w:val="006f2342"/>
    <w:rPr>
      <w:color w:val="808080"/>
    </w:rPr>
  </w:style>
  <w:style w:type="character" w:styleId="FollowedHyperlink">
    <w:name w:val="FollowedHyperlink"/>
    <w:basedOn w:val="DefaultParagraphFont"/>
    <w:uiPriority w:val="99"/>
    <w:semiHidden/>
    <w:unhideWhenUsed/>
    <w:qFormat/>
    <w:rsid w:val="00a1225d"/>
    <w:rPr>
      <w:color w:val="800080" w:themeColor="followedHyperlink"/>
      <w:u w:val="single"/>
    </w:rPr>
  </w:style>
  <w:style w:type="character" w:styleId="Strong">
    <w:name w:val="Strong"/>
    <w:basedOn w:val="DefaultParagraphFont"/>
    <w:uiPriority w:val="22"/>
    <w:qFormat/>
    <w:rsid w:val="00276faa"/>
    <w:rPr>
      <w:b/>
      <w:bCs/>
    </w:rPr>
  </w:style>
  <w:style w:type="character" w:styleId="ListLabel1">
    <w:name w:val="ListLabel 1"/>
    <w:qFormat/>
    <w:rPr>
      <w:rFonts w:eastAsia="" w:cs="Times New Roman"/>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eastAsia="" w:cs="Times New Roman"/>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eastAsia="Calibri" w:cs="Times New Roman"/>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rFonts w:eastAsia="Calibri" w:cs="Times New Roman"/>
    </w:rPr>
  </w:style>
  <w:style w:type="character" w:styleId="ListLabel14">
    <w:name w:val="ListLabel 14"/>
    <w:qFormat/>
    <w:rPr>
      <w:rFonts w:cs="Courier New"/>
    </w:rPr>
  </w:style>
  <w:style w:type="character" w:styleId="ListLabel15">
    <w:name w:val="ListLabel 15"/>
    <w:qFormat/>
    <w:rPr>
      <w:rFonts w:cs="Courier New"/>
    </w:rPr>
  </w:style>
  <w:style w:type="character" w:styleId="ListLabel16">
    <w:name w:val="ListLabel 16"/>
    <w:qFormat/>
    <w:rPr>
      <w:rFonts w:cs="Courier New"/>
    </w:rPr>
  </w:style>
  <w:style w:type="character" w:styleId="ListLabel17">
    <w:name w:val="ListLabel 17"/>
    <w:qFormat/>
    <w:rPr>
      <w:rFonts w:eastAsia="Calibri" w:cs="Times New Roman"/>
    </w:rPr>
  </w:style>
  <w:style w:type="character" w:styleId="ListLabel18">
    <w:name w:val="ListLabel 18"/>
    <w:qFormat/>
    <w:rPr>
      <w:rFonts w:cs="Courier New"/>
    </w:rPr>
  </w:style>
  <w:style w:type="character" w:styleId="ListLabel19">
    <w:name w:val="ListLabel 19"/>
    <w:qFormat/>
    <w:rPr>
      <w:rFonts w:cs="Courier New"/>
    </w:rPr>
  </w:style>
  <w:style w:type="character" w:styleId="ListLabel20">
    <w:name w:val="ListLabel 20"/>
    <w:qFormat/>
    <w:rPr>
      <w:rFonts w:cs="Courier New"/>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spacing w:before="240" w:after="120"/>
    </w:pPr>
    <w:rPr>
      <w:rFonts w:ascii="Times New Roman" w:hAnsi="Times New Roman" w:eastAsia="Tahoma"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Bibliography">
    <w:name w:val="Bibliography"/>
    <w:basedOn w:val="Normal"/>
    <w:next w:val="Normal"/>
    <w:uiPriority w:val="37"/>
    <w:unhideWhenUsed/>
    <w:qFormat/>
    <w:rsid w:val="00687fb4"/>
    <w:pPr>
      <w:tabs>
        <w:tab w:val="left" w:pos="384" w:leader="none"/>
      </w:tabs>
      <w:spacing w:lineRule="auto" w:line="240" w:before="0" w:after="240"/>
      <w:ind w:left="384" w:hanging="384"/>
    </w:pPr>
    <w:rPr/>
  </w:style>
  <w:style w:type="paragraph" w:styleId="NormalWeb">
    <w:name w:val="Normal (Web)"/>
    <w:basedOn w:val="Normal"/>
    <w:uiPriority w:val="99"/>
    <w:semiHidden/>
    <w:unhideWhenUsed/>
    <w:qFormat/>
    <w:rsid w:val="00832517"/>
    <w:pPr>
      <w:spacing w:lineRule="auto" w:line="240" w:beforeAutospacing="1" w:afterAutospacing="1"/>
    </w:pPr>
    <w:rPr>
      <w:rFonts w:eastAsia="Times New Roman"/>
      <w:sz w:val="24"/>
      <w:szCs w:val="24"/>
      <w:lang w:val="da-DK" w:eastAsia="da-DK"/>
    </w:rPr>
  </w:style>
  <w:style w:type="paragraph" w:styleId="Header">
    <w:name w:val="Header"/>
    <w:basedOn w:val="Normal"/>
    <w:link w:val="HeaderChar"/>
    <w:uiPriority w:val="99"/>
    <w:unhideWhenUsed/>
    <w:rsid w:val="00d2203b"/>
    <w:pPr>
      <w:tabs>
        <w:tab w:val="center" w:pos="4819" w:leader="none"/>
        <w:tab w:val="right" w:pos="9638" w:leader="none"/>
      </w:tabs>
      <w:spacing w:lineRule="auto" w:line="240" w:before="0" w:after="0"/>
    </w:pPr>
    <w:rPr/>
  </w:style>
  <w:style w:type="paragraph" w:styleId="Footer">
    <w:name w:val="Footer"/>
    <w:basedOn w:val="Normal"/>
    <w:link w:val="FooterChar"/>
    <w:uiPriority w:val="99"/>
    <w:unhideWhenUsed/>
    <w:rsid w:val="00d2203b"/>
    <w:pPr>
      <w:tabs>
        <w:tab w:val="center" w:pos="4819" w:leader="none"/>
        <w:tab w:val="right" w:pos="9638" w:leader="none"/>
      </w:tabs>
      <w:spacing w:lineRule="auto" w:line="240" w:before="0" w:after="0"/>
    </w:pPr>
    <w:rPr/>
  </w:style>
  <w:style w:type="paragraph" w:styleId="Annotationtext">
    <w:name w:val="annotation text"/>
    <w:basedOn w:val="Normal"/>
    <w:link w:val="CommentTextChar"/>
    <w:uiPriority w:val="99"/>
    <w:semiHidden/>
    <w:unhideWhenUsed/>
    <w:qFormat/>
    <w:rsid w:val="00724de0"/>
    <w:pPr>
      <w:spacing w:lineRule="auto" w:line="240"/>
    </w:pPr>
    <w:rPr>
      <w:sz w:val="20"/>
      <w:szCs w:val="20"/>
    </w:rPr>
  </w:style>
  <w:style w:type="paragraph" w:styleId="Annotationsubject">
    <w:name w:val="annotation subject"/>
    <w:basedOn w:val="Annotationtext"/>
    <w:link w:val="CommentSubjectChar"/>
    <w:uiPriority w:val="99"/>
    <w:semiHidden/>
    <w:unhideWhenUsed/>
    <w:qFormat/>
    <w:rsid w:val="00724de0"/>
    <w:pPr/>
    <w:rPr>
      <w:b/>
      <w:bCs/>
    </w:rPr>
  </w:style>
  <w:style w:type="paragraph" w:styleId="BalloonText">
    <w:name w:val="Balloon Text"/>
    <w:basedOn w:val="Normal"/>
    <w:link w:val="BalloonTextChar"/>
    <w:uiPriority w:val="99"/>
    <w:semiHidden/>
    <w:unhideWhenUsed/>
    <w:qFormat/>
    <w:rsid w:val="00724de0"/>
    <w:pPr>
      <w:spacing w:lineRule="auto" w:line="240" w:before="0" w:after="0"/>
    </w:pPr>
    <w:rPr>
      <w:rFonts w:ascii="Tahoma" w:hAnsi="Tahoma" w:cs="Tahoma"/>
      <w:sz w:val="16"/>
      <w:szCs w:val="16"/>
    </w:rPr>
  </w:style>
  <w:style w:type="paragraph" w:styleId="PlainText1" w:customStyle="1">
    <w:name w:val="Plain Text1"/>
    <w:basedOn w:val="Normal"/>
    <w:qFormat/>
    <w:rsid w:val="00c35761"/>
    <w:pPr>
      <w:suppressAutoHyphens w:val="true"/>
      <w:overflowPunct w:val="true"/>
      <w:spacing w:lineRule="auto" w:line="240" w:before="0" w:after="0"/>
      <w:jc w:val="both"/>
      <w:textAlignment w:val="baseline"/>
    </w:pPr>
    <w:rPr>
      <w:rFonts w:ascii="Courier" w:hAnsi="Courier" w:eastAsia="MS ??" w:cs="Courier"/>
      <w:sz w:val="24"/>
      <w:szCs w:val="20"/>
      <w:lang w:eastAsia="zh-CN"/>
    </w:rPr>
  </w:style>
  <w:style w:type="paragraph" w:styleId="Title">
    <w:name w:val="Title"/>
    <w:basedOn w:val="Normal"/>
    <w:next w:val="Normal"/>
    <w:link w:val="TitleChar"/>
    <w:uiPriority w:val="10"/>
    <w:qFormat/>
    <w:rsid w:val="00282751"/>
    <w:pPr>
      <w:spacing w:lineRule="auto" w:line="240" w:before="0" w:after="0"/>
    </w:pPr>
    <w:rPr>
      <w:sz w:val="24"/>
      <w:szCs w:val="24"/>
    </w:rPr>
  </w:style>
  <w:style w:type="paragraph" w:styleId="Caption1">
    <w:name w:val="caption"/>
    <w:basedOn w:val="Normal"/>
    <w:next w:val="Normal"/>
    <w:uiPriority w:val="35"/>
    <w:unhideWhenUsed/>
    <w:qFormat/>
    <w:rsid w:val="00b808ad"/>
    <w:pPr>
      <w:spacing w:lineRule="auto" w:line="240"/>
    </w:pPr>
    <w:rPr>
      <w:b/>
      <w:bCs/>
      <w:color w:val="4F81BD" w:themeColor="accent1"/>
      <w:sz w:val="18"/>
      <w:szCs w:val="18"/>
    </w:rPr>
  </w:style>
  <w:style w:type="paragraph" w:styleId="ListParagraph">
    <w:name w:val="List Paragraph"/>
    <w:basedOn w:val="Normal"/>
    <w:uiPriority w:val="34"/>
    <w:qFormat/>
    <w:rsid w:val="00900390"/>
    <w:pPr>
      <w:spacing w:before="0" w:after="200"/>
      <w:ind w:left="720" w:hanging="0"/>
      <w:contextualSpacing/>
    </w:pPr>
    <w:rPr/>
  </w:style>
  <w:style w:type="paragraph" w:styleId="Revision">
    <w:name w:val="Revision"/>
    <w:uiPriority w:val="99"/>
    <w:semiHidden/>
    <w:qFormat/>
    <w:rsid w:val="00fc3eec"/>
    <w:pPr>
      <w:widowControl/>
      <w:bidi w:val="0"/>
      <w:spacing w:lineRule="auto" w:line="240" w:before="0" w:after="0"/>
      <w:jc w:val="left"/>
    </w:pPr>
    <w:rPr>
      <w:rFonts w:ascii="Times New Roman" w:hAnsi="Times New Roman" w:cs="Times New Roman" w:eastAsia="Calibri" w:eastAsiaTheme="minorHAnsi"/>
      <w:color w:val="auto"/>
      <w:sz w:val="22"/>
      <w:szCs w:val="22"/>
      <w:lang w:val="en-GB" w:eastAsia="en-US" w:bidi="ar-SA"/>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table" w:styleId="TableGrid">
    <w:name w:val="Table Grid"/>
    <w:basedOn w:val="TableNormal"/>
    <w:uiPriority w:val="59"/>
    <w:rsid w:val="00f932b6"/>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ee74f8"/>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ee74f8"/>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Cristel.maria.soerensen.hjortshoej@regionh.dk" TargetMode="Externa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image" Target="media/image1.jpeg"/><Relationship Id="rId7" Type="http://schemas.openxmlformats.org/officeDocument/2006/relationships/footer" Target="footer4.xml"/><Relationship Id="rId8" Type="http://schemas.openxmlformats.org/officeDocument/2006/relationships/image" Target="media/image2.jpeg"/><Relationship Id="rId9" Type="http://schemas.openxmlformats.org/officeDocument/2006/relationships/footer" Target="footer5.xml"/><Relationship Id="rId10" Type="http://schemas.openxmlformats.org/officeDocument/2006/relationships/comments" Target="comments.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89779E08-CB89-4703-BCBB-BBDB6495B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Application>LibreOffice/5.3.2.2$Linux_x86 LibreOffice_project/30m0$Build-2</Application>
  <Pages>19</Pages>
  <Words>5390</Words>
  <Characters>30373</Characters>
  <CharactersWithSpaces>35768</CharactersWithSpaces>
  <Paragraphs>322</Paragraphs>
  <Company>Region Hovedstaden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2016-05-23T18:41:00Z</dcterms:created>
  <dc:creator>Cristel Maria Sørensen Hjortshøj</dc:creator>
  <dc:description/>
  <dc:language>en-GB</dc:language>
  <cp:lastModifiedBy>KD </cp:lastModifiedBy>
  <cp:lastPrinted>2016-04-15T12:51:00Z</cp:lastPrinted>
  <dcterms:modified xsi:type="dcterms:W3CDTF">2017-04-28T09:16:25Z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Region Hovedstaden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y fmtid="{D5CDD505-2E9C-101B-9397-08002B2CF9AE}" pid="9" name="ZOTERO_PREF_1">
    <vt:lpwstr>&lt;data data-version="3" zotero-version="4.0.29.5"&gt;&lt;session id="ljjWRsNt"/&gt;&lt;style id="http://www.zotero.org/styles/vancouver" locale="en-GB" hasBibliography="1" bibliographyStyleHasBeenSet="1"/&gt;&lt;prefs&gt;&lt;pref name="fieldType" value="Field"/&gt;&lt;pref name="storeR</vt:lpwstr>
  </property>
  <property fmtid="{D5CDD505-2E9C-101B-9397-08002B2CF9AE}" pid="10" name="ZOTERO_PREF_2">
    <vt:lpwstr>eferences" value="true"/&gt;&lt;pref name="automaticJournalAbbreviations" value="true"/&gt;&lt;pref name="noteType" value=""/&gt;&lt;/prefs&gt;&lt;/data&gt;</vt:lpwstr>
  </property>
</Properties>
</file>