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5D0" w:rsidRDefault="00E975D0" w:rsidP="00E975D0">
      <w:pPr>
        <w:pStyle w:val="RSCH01PaperTitle"/>
        <w:spacing w:line="480" w:lineRule="auto"/>
        <w:jc w:val="both"/>
        <w:rPr>
          <w:b w:val="0"/>
          <w:sz w:val="44"/>
          <w:szCs w:val="44"/>
          <w:lang w:val="en-US"/>
        </w:rPr>
      </w:pPr>
      <w:bookmarkStart w:id="0" w:name="_GoBack"/>
      <w:bookmarkEnd w:id="0"/>
      <w:r>
        <w:rPr>
          <w:b w:val="0"/>
          <w:sz w:val="44"/>
          <w:szCs w:val="44"/>
          <w:lang w:val="en-US"/>
        </w:rPr>
        <w:t>Controllable heteroatom doping effects of Cr</w:t>
      </w:r>
      <w:r>
        <w:rPr>
          <w:b w:val="0"/>
          <w:sz w:val="44"/>
          <w:szCs w:val="44"/>
          <w:vertAlign w:val="subscript"/>
          <w:lang w:val="en-US"/>
        </w:rPr>
        <w:t>x</w:t>
      </w:r>
      <w:r>
        <w:rPr>
          <w:b w:val="0"/>
          <w:sz w:val="44"/>
          <w:szCs w:val="44"/>
          <w:lang w:val="en-US"/>
        </w:rPr>
        <w:t>Co</w:t>
      </w:r>
      <w:r>
        <w:rPr>
          <w:b w:val="0"/>
          <w:sz w:val="44"/>
          <w:szCs w:val="44"/>
          <w:vertAlign w:val="subscript"/>
          <w:lang w:val="en-US"/>
        </w:rPr>
        <w:t>2-x</w:t>
      </w:r>
      <w:r>
        <w:rPr>
          <w:b w:val="0"/>
          <w:sz w:val="44"/>
          <w:szCs w:val="44"/>
          <w:lang w:val="en-US"/>
        </w:rPr>
        <w:t>P Nanoparticles: A Robust Electrocatalyst for Overall Water Splitting in Alkaline Solutions</w:t>
      </w:r>
    </w:p>
    <w:p w:rsidR="00E975D0" w:rsidRDefault="00E975D0" w:rsidP="00E975D0">
      <w:pPr>
        <w:pStyle w:val="RSCH02PaperAuthorsandByline"/>
        <w:spacing w:line="480" w:lineRule="auto"/>
        <w:jc w:val="center"/>
        <w:rPr>
          <w:rFonts w:ascii="Times" w:hAnsi="Times" w:cs="Calibri"/>
          <w:i/>
          <w:sz w:val="24"/>
          <w:szCs w:val="24"/>
          <w:vertAlign w:val="superscript"/>
          <w:lang w:val="en-US"/>
        </w:rPr>
      </w:pPr>
      <w:r>
        <w:rPr>
          <w:rFonts w:ascii="Times" w:hAnsi="Times" w:cs="Calibri"/>
          <w:i/>
          <w:sz w:val="24"/>
          <w:szCs w:val="24"/>
          <w:lang w:val="en-US"/>
        </w:rPr>
        <w:t>Jun Wu</w:t>
      </w:r>
      <w:r>
        <w:rPr>
          <w:rFonts w:ascii="Times" w:hAnsi="Times" w:cs="Calibri"/>
          <w:i/>
          <w:sz w:val="24"/>
          <w:szCs w:val="24"/>
          <w:vertAlign w:val="superscript"/>
          <w:lang w:val="en-US"/>
        </w:rPr>
        <w:t>a</w:t>
      </w:r>
      <w:r>
        <w:rPr>
          <w:rFonts w:ascii="Times" w:hAnsi="Times" w:cs="Calibri"/>
          <w:i/>
          <w:sz w:val="24"/>
          <w:szCs w:val="24"/>
          <w:lang w:val="en-US"/>
        </w:rPr>
        <w:t>, Peng Li</w:t>
      </w:r>
      <w:r>
        <w:rPr>
          <w:rFonts w:ascii="Times" w:hAnsi="Times" w:cs="Calibri"/>
          <w:i/>
          <w:sz w:val="24"/>
          <w:szCs w:val="24"/>
          <w:vertAlign w:val="superscript"/>
          <w:lang w:val="en-US"/>
        </w:rPr>
        <w:t>b</w:t>
      </w:r>
      <w:r>
        <w:rPr>
          <w:rFonts w:ascii="Times" w:hAnsi="Times" w:cs="Calibri"/>
          <w:i/>
          <w:sz w:val="24"/>
          <w:szCs w:val="24"/>
          <w:lang w:val="en-US"/>
        </w:rPr>
        <w:t>, Andres Parra-Puerto</w:t>
      </w:r>
      <w:r>
        <w:rPr>
          <w:rFonts w:ascii="Times" w:hAnsi="Times" w:cs="Calibri"/>
          <w:i/>
          <w:sz w:val="24"/>
          <w:szCs w:val="24"/>
          <w:vertAlign w:val="superscript"/>
          <w:lang w:val="en-US"/>
        </w:rPr>
        <w:t>a</w:t>
      </w:r>
      <w:r>
        <w:rPr>
          <w:rFonts w:ascii="Times" w:hAnsi="Times" w:cs="Calibri"/>
          <w:i/>
          <w:sz w:val="24"/>
          <w:szCs w:val="24"/>
          <w:lang w:val="en-US"/>
        </w:rPr>
        <w:t xml:space="preserve">, </w:t>
      </w:r>
      <w:r>
        <w:rPr>
          <w:rFonts w:ascii="Times" w:hAnsi="Times" w:cs="Calibri"/>
          <w:i/>
          <w:sz w:val="24"/>
          <w:szCs w:val="24"/>
          <w:lang w:val="en-US" w:eastAsia="zh-CN"/>
        </w:rPr>
        <w:t>Shuang Wu</w:t>
      </w:r>
      <w:r>
        <w:rPr>
          <w:rFonts w:ascii="Times" w:hAnsi="Times" w:cs="Calibri"/>
          <w:i/>
          <w:sz w:val="24"/>
          <w:szCs w:val="24"/>
          <w:vertAlign w:val="superscript"/>
          <w:lang w:val="en-US" w:eastAsia="zh-CN"/>
        </w:rPr>
        <w:t>c</w:t>
      </w:r>
      <w:r>
        <w:rPr>
          <w:rFonts w:ascii="Times" w:hAnsi="Times" w:cs="Calibri"/>
          <w:i/>
          <w:sz w:val="24"/>
          <w:szCs w:val="24"/>
          <w:lang w:val="en-US" w:eastAsia="zh-CN"/>
        </w:rPr>
        <w:t>, X</w:t>
      </w:r>
      <w:r>
        <w:rPr>
          <w:rFonts w:ascii="Times" w:hAnsi="Times" w:cs="Calibri"/>
          <w:i/>
          <w:sz w:val="24"/>
          <w:szCs w:val="24"/>
          <w:lang w:val="en-US"/>
        </w:rPr>
        <w:t>iaoqian Lin</w:t>
      </w:r>
      <w:r>
        <w:rPr>
          <w:rFonts w:ascii="Times" w:hAnsi="Times" w:cs="Calibri"/>
          <w:i/>
          <w:sz w:val="24"/>
          <w:szCs w:val="24"/>
          <w:vertAlign w:val="superscript"/>
          <w:lang w:val="en-US"/>
        </w:rPr>
        <w:t>a</w:t>
      </w:r>
      <w:r>
        <w:rPr>
          <w:rFonts w:ascii="Times" w:hAnsi="Times" w:cs="Calibri"/>
          <w:i/>
          <w:sz w:val="24"/>
          <w:szCs w:val="24"/>
          <w:lang w:val="en-US"/>
        </w:rPr>
        <w:t>,</w:t>
      </w:r>
      <w:r>
        <w:rPr>
          <w:rFonts w:ascii="Times" w:hAnsi="Times" w:cs="Calibri"/>
          <w:i/>
          <w:sz w:val="24"/>
          <w:szCs w:val="24"/>
          <w:vertAlign w:val="superscript"/>
          <w:lang w:val="en-US"/>
        </w:rPr>
        <w:t xml:space="preserve"> </w:t>
      </w:r>
      <w:r>
        <w:rPr>
          <w:rFonts w:ascii="Times" w:hAnsi="Times" w:cs="Calibri"/>
          <w:i/>
          <w:sz w:val="24"/>
          <w:szCs w:val="24"/>
          <w:lang w:val="en-US"/>
        </w:rPr>
        <w:t>Denis Kramer</w:t>
      </w:r>
      <w:r>
        <w:rPr>
          <w:rFonts w:ascii="Times" w:hAnsi="Times" w:cs="Calibri"/>
          <w:i/>
          <w:sz w:val="24"/>
          <w:szCs w:val="24"/>
          <w:vertAlign w:val="superscript"/>
          <w:lang w:val="en-US"/>
        </w:rPr>
        <w:t>d</w:t>
      </w:r>
      <w:r>
        <w:rPr>
          <w:rFonts w:ascii="Times" w:hAnsi="Times" w:cs="Calibri"/>
          <w:i/>
          <w:sz w:val="24"/>
          <w:szCs w:val="24"/>
          <w:lang w:val="en-US"/>
        </w:rPr>
        <w:t>, Shengli Chen</w:t>
      </w:r>
      <w:r>
        <w:rPr>
          <w:rFonts w:ascii="Times" w:hAnsi="Times" w:cs="Calibri"/>
          <w:i/>
          <w:sz w:val="24"/>
          <w:szCs w:val="24"/>
          <w:vertAlign w:val="superscript"/>
          <w:lang w:val="en-US"/>
        </w:rPr>
        <w:t>b</w:t>
      </w:r>
      <w:r>
        <w:rPr>
          <w:rFonts w:ascii="Times" w:hAnsi="Times" w:cs="Calibri"/>
          <w:i/>
          <w:sz w:val="24"/>
          <w:szCs w:val="24"/>
          <w:lang w:val="en-US"/>
        </w:rPr>
        <w:t>, Anthony Kucernak</w:t>
      </w:r>
      <w:r>
        <w:rPr>
          <w:rFonts w:ascii="Times" w:hAnsi="Times" w:cs="Calibri"/>
          <w:i/>
          <w:sz w:val="24"/>
          <w:szCs w:val="24"/>
          <w:vertAlign w:val="superscript"/>
          <w:lang w:val="en-US"/>
        </w:rPr>
        <w:t>a</w:t>
      </w:r>
      <w:r>
        <w:rPr>
          <w:rFonts w:ascii="Times" w:hAnsi="Times" w:cs="Calibri"/>
          <w:i/>
          <w:sz w:val="24"/>
          <w:szCs w:val="24"/>
          <w:lang w:val="en-US"/>
        </w:rPr>
        <w:t>*</w:t>
      </w:r>
    </w:p>
    <w:p w:rsidR="00E975D0" w:rsidRDefault="00E975D0" w:rsidP="00E975D0">
      <w:pPr>
        <w:pStyle w:val="Title2"/>
        <w:jc w:val="center"/>
        <w:rPr>
          <w:rFonts w:ascii="Times" w:hAnsi="Times" w:cs="Calibri"/>
          <w:b w:val="0"/>
          <w:color w:val="000000"/>
        </w:rPr>
      </w:pPr>
      <w:r>
        <w:rPr>
          <w:rFonts w:ascii="Times" w:hAnsi="Times" w:cs="Calibri"/>
          <w:b w:val="0"/>
          <w:color w:val="000000"/>
          <w:vertAlign w:val="superscript"/>
          <w:lang w:eastAsia="zh-CN"/>
        </w:rPr>
        <w:t>a</w:t>
      </w:r>
      <w:r>
        <w:rPr>
          <w:rFonts w:ascii="Times" w:hAnsi="Times" w:cs="Calibri"/>
          <w:b w:val="0"/>
          <w:color w:val="000000"/>
          <w:lang w:eastAsia="zh-CN"/>
        </w:rPr>
        <w:t>I</w:t>
      </w:r>
      <w:r>
        <w:rPr>
          <w:rFonts w:ascii="Times" w:hAnsi="Times" w:cs="Calibri"/>
          <w:b w:val="0"/>
          <w:color w:val="000000"/>
        </w:rPr>
        <w:t>mperial College London, Department of Chemistry, London, SW7 2AZ, UK</w:t>
      </w:r>
    </w:p>
    <w:p w:rsidR="00E975D0" w:rsidRDefault="00E975D0" w:rsidP="00E975D0">
      <w:pPr>
        <w:pStyle w:val="Title2"/>
        <w:jc w:val="center"/>
        <w:rPr>
          <w:rFonts w:ascii="Times" w:hAnsi="Times" w:cs="Calibri"/>
          <w:b w:val="0"/>
          <w:color w:val="000000"/>
        </w:rPr>
      </w:pPr>
      <w:r>
        <w:rPr>
          <w:rFonts w:ascii="Times" w:hAnsi="Times" w:cs="Calibri"/>
          <w:b w:val="0"/>
          <w:color w:val="000000"/>
          <w:vertAlign w:val="superscript"/>
        </w:rPr>
        <w:t>b</w:t>
      </w:r>
      <w:r>
        <w:rPr>
          <w:rFonts w:ascii="Times" w:hAnsi="Times" w:cs="Calibri"/>
          <w:b w:val="0"/>
          <w:color w:val="000000"/>
        </w:rPr>
        <w:t>Wuhan University, College of Chemistry and Molecular Sciences, Wuhan, Hubei 430072, People’s Republic of China</w:t>
      </w:r>
    </w:p>
    <w:p w:rsidR="00E975D0" w:rsidRDefault="00E975D0" w:rsidP="00E975D0">
      <w:pPr>
        <w:pStyle w:val="Title2"/>
        <w:jc w:val="center"/>
        <w:rPr>
          <w:rFonts w:ascii="Times" w:hAnsi="Times" w:cs="Calibri"/>
          <w:b w:val="0"/>
          <w:color w:val="000000"/>
        </w:rPr>
      </w:pPr>
      <w:r>
        <w:rPr>
          <w:rFonts w:ascii="Times" w:hAnsi="Times" w:cs="Helvetica Neue"/>
          <w:b w:val="0"/>
          <w:vertAlign w:val="superscript"/>
          <w:lang w:eastAsia="zh-CN"/>
        </w:rPr>
        <w:t>c</w:t>
      </w:r>
      <w:r>
        <w:rPr>
          <w:rFonts w:ascii="Times" w:hAnsi="Times" w:cs="Helvetica Neue"/>
          <w:b w:val="0"/>
          <w:lang w:eastAsia="zh-CN"/>
        </w:rPr>
        <w:t>SINOPEC Shanghai Research Institute of Petrochemical Technology, Shanghai 201208, People’s Republic of China</w:t>
      </w:r>
    </w:p>
    <w:p w:rsidR="00E975D0" w:rsidRDefault="00E975D0" w:rsidP="00E975D0">
      <w:pPr>
        <w:pStyle w:val="Title2"/>
        <w:jc w:val="center"/>
        <w:rPr>
          <w:rFonts w:ascii="Times" w:hAnsi="Times" w:cs="Calibri"/>
          <w:b w:val="0"/>
          <w:color w:val="000000"/>
        </w:rPr>
      </w:pPr>
      <w:r>
        <w:rPr>
          <w:rFonts w:ascii="Times" w:hAnsi="Times" w:cs="Calibri"/>
          <w:b w:val="0"/>
          <w:color w:val="000000"/>
          <w:vertAlign w:val="superscript"/>
        </w:rPr>
        <w:t>d</w:t>
      </w:r>
      <w:r>
        <w:rPr>
          <w:rFonts w:ascii="Times" w:hAnsi="Times" w:cs="Calibri"/>
          <w:b w:val="0"/>
          <w:color w:val="000000"/>
        </w:rPr>
        <w:t>University of Southampton, Faculty of Engineer Physical Sciences, Southampton, SO17 1BJ, UK</w:t>
      </w:r>
    </w:p>
    <w:p w:rsidR="00E975D0" w:rsidRDefault="00E975D0" w:rsidP="00E975D0">
      <w:pPr>
        <w:pStyle w:val="RSCB01ARTAbstract"/>
        <w:spacing w:line="480" w:lineRule="auto"/>
        <w:jc w:val="left"/>
        <w:rPr>
          <w:rFonts w:ascii="Times New Roman" w:hAnsi="Times New Roman" w:cs="Times New Roman"/>
          <w:b/>
          <w:noProof w:val="0"/>
          <w:sz w:val="28"/>
          <w:szCs w:val="28"/>
          <w:lang w:val="en-US"/>
        </w:rPr>
      </w:pPr>
      <w:r>
        <w:rPr>
          <w:rFonts w:ascii="Times New Roman" w:hAnsi="Times New Roman" w:cs="Times New Roman"/>
          <w:b/>
          <w:noProof w:val="0"/>
          <w:sz w:val="28"/>
          <w:szCs w:val="28"/>
          <w:lang w:val="en-US"/>
        </w:rPr>
        <w:t>Abstract</w:t>
      </w:r>
    </w:p>
    <w:p w:rsidR="00E975D0" w:rsidRDefault="00E975D0" w:rsidP="004F3D78">
      <w:pPr>
        <w:spacing w:line="360" w:lineRule="auto"/>
        <w:rPr>
          <w:rFonts w:ascii="Times" w:eastAsia="DengXian" w:hAnsi="Times" w:cs="Calibri"/>
          <w:color w:val="000000"/>
          <w:sz w:val="24"/>
          <w:szCs w:val="24"/>
          <w:lang w:val="en-US"/>
        </w:rPr>
      </w:pPr>
      <w:r>
        <w:rPr>
          <w:rFonts w:ascii="Times" w:hAnsi="Times" w:cs="Calibri"/>
          <w:sz w:val="24"/>
          <w:szCs w:val="24"/>
          <w:lang w:val="en-US"/>
        </w:rPr>
        <w:t>The effect of doping Cr on the electrocatalytic activity of Co</w:t>
      </w:r>
      <w:r>
        <w:rPr>
          <w:rFonts w:ascii="Times" w:hAnsi="Times" w:cs="Calibri"/>
          <w:sz w:val="24"/>
          <w:szCs w:val="24"/>
          <w:vertAlign w:val="subscript"/>
          <w:lang w:val="en-US"/>
        </w:rPr>
        <w:t>2</w:t>
      </w:r>
      <w:r>
        <w:rPr>
          <w:rFonts w:ascii="Times" w:hAnsi="Times" w:cs="Calibri"/>
          <w:sz w:val="24"/>
          <w:szCs w:val="24"/>
          <w:lang w:val="en-US"/>
        </w:rPr>
        <w:t>P supported on carbon black (Cr</w:t>
      </w:r>
      <w:r>
        <w:rPr>
          <w:rFonts w:ascii="Times" w:hAnsi="Times" w:cs="Calibri"/>
          <w:sz w:val="24"/>
          <w:szCs w:val="24"/>
          <w:vertAlign w:val="subscript"/>
          <w:lang w:val="en-US"/>
        </w:rPr>
        <w:t>x</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2-x</w:t>
      </w:r>
      <w:r>
        <w:rPr>
          <w:rFonts w:ascii="Times" w:hAnsi="Times" w:cs="Calibri"/>
          <w:color w:val="000000" w:themeColor="text1"/>
          <w:sz w:val="24"/>
          <w:szCs w:val="24"/>
          <w:lang w:val="en-US"/>
        </w:rPr>
        <w:t>P/CB</w:t>
      </w:r>
      <w:r>
        <w:rPr>
          <w:rFonts w:ascii="Times" w:hAnsi="Times" w:cs="Calibri"/>
          <w:sz w:val="24"/>
          <w:szCs w:val="24"/>
          <w:lang w:val="en-US"/>
        </w:rPr>
        <w:t>) for the hydrogen evolution reaction (HER) and oxygen evolution reaction (OER) in alkaline solution was investigated. A beneficial improvement in the performance of Co</w:t>
      </w:r>
      <w:r>
        <w:rPr>
          <w:rFonts w:ascii="Times" w:hAnsi="Times" w:cs="Calibri"/>
          <w:sz w:val="24"/>
          <w:szCs w:val="24"/>
          <w:vertAlign w:val="subscript"/>
          <w:lang w:val="en-US"/>
        </w:rPr>
        <w:t>2</w:t>
      </w:r>
      <w:r>
        <w:rPr>
          <w:rFonts w:ascii="Times" w:hAnsi="Times" w:cs="Calibri"/>
          <w:sz w:val="24"/>
          <w:szCs w:val="24"/>
          <w:lang w:val="en-US"/>
        </w:rPr>
        <w:t>P towards HER and OER was discovered. For the HER at -200 mV overpotential the turnover frequency (</w:t>
      </w:r>
      <w:r>
        <w:rPr>
          <w:rFonts w:ascii="Times" w:hAnsi="Times" w:cs="Calibri"/>
          <w:color w:val="000000" w:themeColor="text1"/>
          <w:sz w:val="24"/>
          <w:szCs w:val="24"/>
          <w:lang w:val="en-US"/>
        </w:rPr>
        <w:t xml:space="preserve">TOF) increases almost six-fold from </w:t>
      </w:r>
      <w:r>
        <w:rPr>
          <w:rFonts w:ascii="Times" w:hAnsi="Times" w:cs="Calibri"/>
          <w:color w:val="000000" w:themeColor="text1"/>
          <w:sz w:val="24"/>
          <w:szCs w:val="24"/>
          <w:lang w:val="en-US" w:eastAsia="zh-CN"/>
        </w:rPr>
        <w:t>0.26 to 1.52 electrons site</w:t>
      </w:r>
      <w:r>
        <w:rPr>
          <w:rFonts w:ascii="Times" w:hAnsi="Times" w:cs="Calibri"/>
          <w:color w:val="000000" w:themeColor="text1"/>
          <w:sz w:val="24"/>
          <w:szCs w:val="24"/>
          <w:vertAlign w:val="subscript"/>
          <w:lang w:val="en-US" w:eastAsia="zh-CN"/>
        </w:rPr>
        <w:t>Co</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s</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when </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P/CB has a small amount of Cr added to form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P/CB</w:t>
      </w:r>
      <w:r>
        <w:rPr>
          <w:rFonts w:ascii="Times" w:hAnsi="Times" w:cs="Calibri"/>
          <w:color w:val="000000" w:themeColor="text1"/>
          <w:sz w:val="24"/>
          <w:szCs w:val="24"/>
          <w:lang w:val="en-US" w:eastAsia="zh-CN"/>
        </w:rPr>
        <w:t>. Similarly, we estimate an increase from 0.205 to 0.585 electrons site</w:t>
      </w:r>
      <w:r>
        <w:rPr>
          <w:rFonts w:ascii="Times" w:hAnsi="Times" w:cs="Calibri"/>
          <w:color w:val="000000" w:themeColor="text1"/>
          <w:sz w:val="24"/>
          <w:szCs w:val="24"/>
          <w:vertAlign w:val="subscript"/>
          <w:lang w:val="en-US" w:eastAsia="zh-CN"/>
        </w:rPr>
        <w:t>Co</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s</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for the OER at 1.6V for the same change in composition. </w:t>
      </w:r>
      <w:r>
        <w:rPr>
          <w:rFonts w:ascii="Times" w:hAnsi="Times" w:cs="Calibri"/>
          <w:sz w:val="24"/>
          <w:szCs w:val="24"/>
          <w:lang w:val="en-US"/>
        </w:rPr>
        <w:t>With 10at% Cr doping,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P/CB catalyst needed 226 mV overpotential to produce a cathodic current density of -</w:t>
      </w:r>
      <w:r>
        <w:rPr>
          <w:rFonts w:ascii="Times" w:eastAsia="DengXian" w:hAnsi="Times" w:cs="Calibri"/>
          <w:color w:val="000000"/>
          <w:sz w:val="24"/>
          <w:szCs w:val="24"/>
          <w:lang w:val="en-US"/>
        </w:rPr>
        <w:t xml:space="preserve">100 </w:t>
      </w:r>
      <m:oMath>
        <m:r>
          <m:rPr>
            <m:sty m:val="p"/>
          </m:rPr>
          <w:rPr>
            <w:rFonts w:ascii="Cambria Math" w:hAnsi="Cambria Math" w:cs="Calibri"/>
            <w:color w:val="000000" w:themeColor="text1"/>
            <w:sz w:val="24"/>
            <w:szCs w:val="24"/>
            <w:lang w:val="en-US"/>
          </w:rPr>
          <m:t xml:space="preserve">A </m:t>
        </m:r>
        <m:sSubSup>
          <m:sSubSupPr>
            <m:ctrlPr>
              <w:rPr>
                <w:rFonts w:ascii="Cambria Math" w:hAnsi="Cambria Math" w:cs="Calibri"/>
                <w:color w:val="000000" w:themeColor="text1"/>
                <w:sz w:val="24"/>
                <w:szCs w:val="24"/>
                <w:lang w:val="en-US"/>
              </w:rPr>
            </m:ctrlPr>
          </m:sSubSupPr>
          <m:e>
            <m:r>
              <m:rPr>
                <m:sty m:val="p"/>
              </m:rPr>
              <w:rPr>
                <w:rFonts w:ascii="Cambria Math" w:hAnsi="Cambria Math" w:cs="Calibri"/>
                <w:color w:val="000000" w:themeColor="text1"/>
                <w:sz w:val="24"/>
                <w:szCs w:val="24"/>
                <w:lang w:val="en-US"/>
              </w:rPr>
              <m:t>g</m:t>
            </m:r>
          </m:e>
          <m:sub>
            <m:r>
              <m:rPr>
                <m:sty m:val="p"/>
              </m:rPr>
              <w:rPr>
                <w:rFonts w:ascii="Cambria Math" w:hAnsi="Cambria Math" w:cs="Calibri"/>
                <w:color w:val="000000" w:themeColor="text1"/>
                <w:sz w:val="24"/>
                <w:szCs w:val="24"/>
                <w:lang w:val="en-US"/>
              </w:rPr>
              <m:t>Co</m:t>
            </m:r>
          </m:sub>
          <m:sup>
            <m:r>
              <m:rPr>
                <m:sty m:val="p"/>
              </m:rPr>
              <w:rPr>
                <w:rFonts w:ascii="Cambria Math" w:hAnsi="Cambria Math" w:cs="Calibri"/>
                <w:color w:val="000000" w:themeColor="text1"/>
                <w:sz w:val="24"/>
                <w:szCs w:val="24"/>
                <w:lang w:val="en-US"/>
              </w:rPr>
              <m:t>-1</m:t>
            </m:r>
          </m:sup>
        </m:sSubSup>
      </m:oMath>
      <w:r>
        <w:rPr>
          <w:rFonts w:ascii="Times" w:hAnsi="Times" w:cs="Calibri"/>
          <w:color w:val="000000" w:themeColor="text1"/>
          <w:sz w:val="24"/>
          <w:szCs w:val="24"/>
          <w:lang w:val="en-US"/>
        </w:rPr>
        <w:fldChar w:fldCharType="begin"/>
      </w:r>
      <w:r>
        <w:rPr>
          <w:rFonts w:ascii="Times" w:hAnsi="Times" w:cs="Calibri"/>
          <w:color w:val="000000" w:themeColor="text1"/>
          <w:sz w:val="24"/>
          <w:szCs w:val="24"/>
          <w:lang w:val="en-US"/>
        </w:rPr>
        <w:instrText xml:space="preserve"> QUOTE </w:instrText>
      </w:r>
      <m:oMath>
        <m:r>
          <m:rPr>
            <m:sty m:val="p"/>
          </m:rPr>
          <w:rPr>
            <w:rFonts w:ascii="Cambria Math" w:eastAsia="DengXian" w:hAnsi="Cambria Math" w:cs="Calibri"/>
            <w:color w:val="000000"/>
            <w:sz w:val="24"/>
            <w:szCs w:val="24"/>
            <w:lang w:val="en-US"/>
          </w:rPr>
          <m:t xml:space="preserve">A </m:t>
        </m:r>
        <m:sSubSup>
          <m:sSubSupPr>
            <m:ctrlPr>
              <w:rPr>
                <w:rFonts w:ascii="Cambria Math" w:eastAsia="DengXian" w:hAnsi="Cambria Math" w:cs="Calibri"/>
                <w:iCs/>
                <w:color w:val="000000"/>
                <w:sz w:val="24"/>
                <w:szCs w:val="24"/>
                <w:lang w:val="en-US"/>
              </w:rPr>
            </m:ctrlPr>
          </m:sSubSupPr>
          <m:e>
            <m:r>
              <m:rPr>
                <m:sty m:val="p"/>
              </m:rPr>
              <w:rPr>
                <w:rFonts w:ascii="Cambria Math" w:eastAsia="DengXian" w:hAnsi="Cambria Math" w:cs="Calibri"/>
                <w:color w:val="000000"/>
                <w:sz w:val="24"/>
                <w:szCs w:val="24"/>
                <w:lang w:val="en-US"/>
              </w:rPr>
              <m:t>g</m:t>
            </m:r>
          </m:e>
          <m:sub>
            <m:r>
              <m:rPr>
                <m:sty m:val="p"/>
              </m:rPr>
              <w:rPr>
                <w:rFonts w:ascii="Cambria Math" w:eastAsia="DengXian" w:hAnsi="Cambria Math" w:cs="Calibri"/>
                <w:color w:val="000000"/>
                <w:sz w:val="24"/>
                <w:szCs w:val="24"/>
                <w:lang w:val="en-US"/>
              </w:rPr>
              <m:t>metal</m:t>
            </m:r>
          </m:sub>
          <m:sup>
            <m:r>
              <m:rPr>
                <m:sty m:val="p"/>
              </m:rPr>
              <w:rPr>
                <w:rFonts w:ascii="Cambria Math" w:eastAsia="DengXian" w:hAnsi="Cambria Math" w:cs="Calibri"/>
                <w:color w:val="000000"/>
                <w:sz w:val="24"/>
                <w:szCs w:val="24"/>
                <w:lang w:val="en-US"/>
              </w:rPr>
              <m:t>-1</m:t>
            </m:r>
          </m:sup>
        </m:sSubSup>
      </m:oMath>
      <w:r>
        <w:rPr>
          <w:rFonts w:ascii="Times" w:hAnsi="Times" w:cs="Calibri"/>
          <w:color w:val="000000" w:themeColor="text1"/>
          <w:sz w:val="24"/>
          <w:szCs w:val="24"/>
          <w:lang w:val="en-US"/>
        </w:rPr>
        <w:instrText xml:space="preserve"> </w:instrText>
      </w:r>
      <w:r>
        <w:rPr>
          <w:rFonts w:ascii="Times" w:hAnsi="Times" w:cs="Calibri"/>
          <w:color w:val="000000" w:themeColor="text1"/>
          <w:sz w:val="24"/>
          <w:szCs w:val="24"/>
          <w:lang w:val="en-US"/>
        </w:rPr>
        <w:fldChar w:fldCharType="end"/>
      </w:r>
      <w:r>
        <w:rPr>
          <w:rFonts w:ascii="Times" w:eastAsia="DengXian" w:hAnsi="Times" w:cs="Calibri"/>
          <w:color w:val="000000"/>
          <w:sz w:val="24"/>
          <w:szCs w:val="24"/>
          <w:lang w:val="en-US"/>
        </w:rPr>
        <w:fldChar w:fldCharType="begin"/>
      </w:r>
      <w:r>
        <w:rPr>
          <w:rFonts w:ascii="Times" w:eastAsia="DengXian" w:hAnsi="Times" w:cs="Calibri"/>
          <w:color w:val="000000"/>
          <w:sz w:val="24"/>
          <w:szCs w:val="24"/>
          <w:lang w:val="en-US"/>
        </w:rPr>
        <w:instrText xml:space="preserve"> QUOTE A gmetal-1 </w:instrText>
      </w:r>
      <w:r>
        <w:rPr>
          <w:rFonts w:ascii="Times" w:eastAsia="DengXian" w:hAnsi="Times" w:cs="Calibri"/>
          <w:color w:val="000000"/>
          <w:sz w:val="24"/>
          <w:szCs w:val="24"/>
          <w:lang w:val="en-US"/>
        </w:rPr>
        <w:fldChar w:fldCharType="end"/>
      </w:r>
      <w:r>
        <w:rPr>
          <w:rFonts w:ascii="Times" w:eastAsia="DengXian" w:hAnsi="Times" w:cs="Calibri"/>
          <w:color w:val="000000"/>
          <w:sz w:val="24"/>
          <w:szCs w:val="24"/>
          <w:lang w:val="en-US"/>
        </w:rPr>
        <w:t xml:space="preserve"> </w:t>
      </w:r>
      <w:r>
        <w:rPr>
          <w:rFonts w:ascii="Times" w:hAnsi="Times" w:cs="Calibri"/>
          <w:sz w:val="24"/>
          <w:szCs w:val="24"/>
          <w:lang w:val="en-US"/>
        </w:rPr>
        <w:t xml:space="preserve">and 380 mV overpotential to produce an anodic current density of </w:t>
      </w:r>
      <w:r>
        <w:rPr>
          <w:rFonts w:ascii="Times" w:eastAsia="DengXian" w:hAnsi="Times" w:cs="Calibri"/>
          <w:color w:val="000000"/>
          <w:sz w:val="24"/>
          <w:szCs w:val="24"/>
          <w:lang w:val="en-US"/>
        </w:rPr>
        <w:t xml:space="preserve">100 </w:t>
      </w:r>
      <m:oMath>
        <m:r>
          <m:rPr>
            <m:sty m:val="p"/>
          </m:rPr>
          <w:rPr>
            <w:rFonts w:ascii="Cambria Math" w:hAnsi="Cambria Math" w:cs="Calibri"/>
            <w:color w:val="000000" w:themeColor="text1"/>
            <w:sz w:val="24"/>
            <w:szCs w:val="24"/>
            <w:lang w:val="en-US"/>
          </w:rPr>
          <m:t xml:space="preserve">A </m:t>
        </m:r>
        <m:sSubSup>
          <m:sSubSupPr>
            <m:ctrlPr>
              <w:rPr>
                <w:rFonts w:ascii="Cambria Math" w:hAnsi="Cambria Math" w:cs="Calibri"/>
                <w:color w:val="000000" w:themeColor="text1"/>
                <w:sz w:val="24"/>
                <w:szCs w:val="24"/>
                <w:lang w:val="en-US"/>
              </w:rPr>
            </m:ctrlPr>
          </m:sSubSupPr>
          <m:e>
            <m:r>
              <m:rPr>
                <m:sty m:val="p"/>
              </m:rPr>
              <w:rPr>
                <w:rFonts w:ascii="Cambria Math" w:hAnsi="Cambria Math" w:cs="Calibri"/>
                <w:color w:val="000000" w:themeColor="text1"/>
                <w:sz w:val="24"/>
                <w:szCs w:val="24"/>
                <w:lang w:val="en-US"/>
              </w:rPr>
              <m:t>g</m:t>
            </m:r>
          </m:e>
          <m:sub>
            <m:r>
              <m:rPr>
                <m:sty m:val="p"/>
              </m:rPr>
              <w:rPr>
                <w:rFonts w:ascii="Cambria Math" w:hAnsi="Cambria Math" w:cs="Calibri"/>
                <w:color w:val="000000" w:themeColor="text1"/>
                <w:sz w:val="24"/>
                <w:szCs w:val="24"/>
                <w:lang w:val="en-US"/>
              </w:rPr>
              <m:t>Co</m:t>
            </m:r>
          </m:sub>
          <m:sup>
            <m:r>
              <m:rPr>
                <m:sty m:val="p"/>
              </m:rPr>
              <w:rPr>
                <w:rFonts w:ascii="Cambria Math" w:hAnsi="Cambria Math" w:cs="Calibri"/>
                <w:color w:val="000000" w:themeColor="text1"/>
                <w:sz w:val="24"/>
                <w:szCs w:val="24"/>
                <w:lang w:val="en-US"/>
              </w:rPr>
              <m:t>-1</m:t>
            </m:r>
          </m:sup>
        </m:sSubSup>
      </m:oMath>
      <w:r>
        <w:rPr>
          <w:rFonts w:ascii="Times" w:hAnsi="Times" w:cs="Calibri"/>
          <w:color w:val="000000" w:themeColor="text1"/>
          <w:sz w:val="24"/>
          <w:szCs w:val="24"/>
          <w:lang w:val="en-US"/>
        </w:rPr>
        <w:fldChar w:fldCharType="begin"/>
      </w:r>
      <w:r>
        <w:rPr>
          <w:rFonts w:ascii="Times" w:hAnsi="Times" w:cs="Calibri"/>
          <w:color w:val="000000" w:themeColor="text1"/>
          <w:sz w:val="24"/>
          <w:szCs w:val="24"/>
          <w:lang w:val="en-US"/>
        </w:rPr>
        <w:instrText xml:space="preserve"> QUOTE </w:instrText>
      </w:r>
      <m:oMath>
        <m:r>
          <m:rPr>
            <m:sty m:val="p"/>
          </m:rPr>
          <w:rPr>
            <w:rFonts w:ascii="Cambria Math" w:eastAsia="DengXian" w:hAnsi="Cambria Math" w:cs="Calibri"/>
            <w:color w:val="000000"/>
            <w:sz w:val="24"/>
            <w:szCs w:val="24"/>
            <w:lang w:val="en-US"/>
          </w:rPr>
          <m:t xml:space="preserve">A </m:t>
        </m:r>
        <m:sSubSup>
          <m:sSubSupPr>
            <m:ctrlPr>
              <w:rPr>
                <w:rFonts w:ascii="Cambria Math" w:eastAsia="DengXian" w:hAnsi="Cambria Math" w:cs="Calibri"/>
                <w:iCs/>
                <w:color w:val="000000"/>
                <w:sz w:val="24"/>
                <w:szCs w:val="24"/>
                <w:lang w:val="en-US"/>
              </w:rPr>
            </m:ctrlPr>
          </m:sSubSupPr>
          <m:e>
            <m:r>
              <m:rPr>
                <m:sty m:val="p"/>
              </m:rPr>
              <w:rPr>
                <w:rFonts w:ascii="Cambria Math" w:eastAsia="DengXian" w:hAnsi="Cambria Math" w:cs="Calibri"/>
                <w:color w:val="000000"/>
                <w:sz w:val="24"/>
                <w:szCs w:val="24"/>
                <w:lang w:val="en-US"/>
              </w:rPr>
              <m:t>g</m:t>
            </m:r>
          </m:e>
          <m:sub>
            <m:r>
              <m:rPr>
                <m:sty m:val="p"/>
              </m:rPr>
              <w:rPr>
                <w:rFonts w:ascii="Cambria Math" w:eastAsia="DengXian" w:hAnsi="Cambria Math" w:cs="Calibri"/>
                <w:color w:val="000000"/>
                <w:sz w:val="24"/>
                <w:szCs w:val="24"/>
                <w:lang w:val="en-US"/>
              </w:rPr>
              <m:t>metal</m:t>
            </m:r>
          </m:sub>
          <m:sup>
            <m:r>
              <m:rPr>
                <m:sty m:val="p"/>
              </m:rPr>
              <w:rPr>
                <w:rFonts w:ascii="Cambria Math" w:eastAsia="DengXian" w:hAnsi="Cambria Math" w:cs="Calibri"/>
                <w:color w:val="000000"/>
                <w:sz w:val="24"/>
                <w:szCs w:val="24"/>
                <w:lang w:val="en-US"/>
              </w:rPr>
              <m:t>-1</m:t>
            </m:r>
          </m:sup>
        </m:sSubSup>
      </m:oMath>
      <w:r>
        <w:rPr>
          <w:rFonts w:ascii="Times" w:hAnsi="Times" w:cs="Calibri"/>
          <w:color w:val="000000" w:themeColor="text1"/>
          <w:sz w:val="24"/>
          <w:szCs w:val="24"/>
          <w:lang w:val="en-US"/>
        </w:rPr>
        <w:instrText xml:space="preserve"> </w:instrText>
      </w:r>
      <w:r>
        <w:rPr>
          <w:rFonts w:ascii="Times" w:hAnsi="Times" w:cs="Calibri"/>
          <w:color w:val="000000" w:themeColor="text1"/>
          <w:sz w:val="24"/>
          <w:szCs w:val="24"/>
          <w:lang w:val="en-US"/>
        </w:rPr>
        <w:fldChar w:fldCharType="end"/>
      </w:r>
      <w:r>
        <w:rPr>
          <w:rFonts w:ascii="Times" w:eastAsia="DengXian" w:hAnsi="Times" w:cs="Calibri"/>
          <w:color w:val="000000"/>
          <w:sz w:val="24"/>
          <w:szCs w:val="24"/>
          <w:lang w:val="en-US"/>
        </w:rPr>
        <w:fldChar w:fldCharType="begin"/>
      </w:r>
      <w:r>
        <w:rPr>
          <w:rFonts w:ascii="Times" w:eastAsia="DengXian" w:hAnsi="Times" w:cs="Calibri"/>
          <w:color w:val="000000"/>
          <w:sz w:val="24"/>
          <w:szCs w:val="24"/>
          <w:lang w:val="en-US"/>
        </w:rPr>
        <w:instrText xml:space="preserve"> QUOTE A gmetal-1 </w:instrText>
      </w:r>
      <w:r>
        <w:rPr>
          <w:rFonts w:ascii="Times" w:eastAsia="DengXian" w:hAnsi="Times" w:cs="Calibri"/>
          <w:color w:val="000000"/>
          <w:sz w:val="24"/>
          <w:szCs w:val="24"/>
          <w:lang w:val="en-US"/>
        </w:rPr>
        <w:fldChar w:fldCharType="end"/>
      </w:r>
      <w:r>
        <w:rPr>
          <w:rFonts w:ascii="Times" w:hAnsi="Times" w:cs="Calibri"/>
          <w:sz w:val="24"/>
          <w:szCs w:val="24"/>
          <w:lang w:val="en-US"/>
        </w:rPr>
        <w:t xml:space="preserve">. </w:t>
      </w:r>
      <w:r>
        <w:rPr>
          <w:rFonts w:ascii="Times" w:eastAsia="DengXian" w:hAnsi="Times" w:cs="Calibri"/>
          <w:color w:val="000000"/>
          <w:sz w:val="24"/>
          <w:szCs w:val="24"/>
          <w:lang w:val="en-US"/>
        </w:rPr>
        <w:t>Based on both experimental results and theoretical calculations, the activity improvement results from optimization of electronic properties of Co</w:t>
      </w:r>
      <w:r>
        <w:rPr>
          <w:rFonts w:ascii="Times" w:eastAsia="DengXian" w:hAnsi="Times" w:cs="Calibri"/>
          <w:color w:val="000000"/>
          <w:sz w:val="24"/>
          <w:szCs w:val="24"/>
          <w:vertAlign w:val="subscript"/>
          <w:lang w:val="en-US"/>
        </w:rPr>
        <w:t>2</w:t>
      </w:r>
      <w:r>
        <w:rPr>
          <w:rFonts w:ascii="Times" w:eastAsia="DengXian" w:hAnsi="Times" w:cs="Calibri"/>
          <w:color w:val="000000"/>
          <w:sz w:val="24"/>
          <w:szCs w:val="24"/>
          <w:lang w:val="en-US"/>
        </w:rPr>
        <w:t>P after Cr doping.</w:t>
      </w:r>
    </w:p>
    <w:p w:rsidR="00E975D0" w:rsidRDefault="00E975D0" w:rsidP="00E975D0">
      <w:pPr>
        <w:rPr>
          <w:rFonts w:ascii="Times" w:hAnsi="Times" w:cs="Calibri"/>
          <w:sz w:val="24"/>
          <w:szCs w:val="24"/>
          <w:lang w:val="en-US"/>
        </w:rPr>
      </w:pPr>
      <w:r>
        <w:rPr>
          <w:rFonts w:ascii="Times New Roman" w:hAnsi="Times New Roman" w:cs="Times New Roman"/>
          <w:b/>
          <w:sz w:val="24"/>
          <w:szCs w:val="24"/>
          <w:lang w:val="en-US"/>
        </w:rPr>
        <w:t xml:space="preserve">Key words: </w:t>
      </w:r>
      <w:r>
        <w:rPr>
          <w:rFonts w:ascii="Times" w:hAnsi="Times" w:cs="Calibri"/>
          <w:sz w:val="24"/>
          <w:szCs w:val="24"/>
          <w:lang w:val="en-US"/>
        </w:rPr>
        <w:t>Electrocatalysis, Heteroatom doping, Water splitting, Cobalt phosphide, Nanomaterials</w:t>
      </w:r>
    </w:p>
    <w:p w:rsidR="00E975D0" w:rsidRDefault="00E975D0" w:rsidP="00E975D0">
      <w:pPr>
        <w:pStyle w:val="RSCB02ArticleText"/>
        <w:spacing w:line="480" w:lineRule="auto"/>
        <w:rPr>
          <w:rFonts w:ascii="Times" w:hAnsi="Times" w:cs="Calibri"/>
          <w:b/>
          <w:sz w:val="28"/>
          <w:szCs w:val="28"/>
          <w:lang w:val="en-US"/>
        </w:rPr>
      </w:pPr>
      <w:r>
        <w:rPr>
          <w:rFonts w:ascii="Times" w:hAnsi="Times" w:cs="Calibri"/>
          <w:b/>
          <w:sz w:val="28"/>
          <w:szCs w:val="28"/>
          <w:lang w:val="en-US"/>
        </w:rPr>
        <w:lastRenderedPageBreak/>
        <w:t>Introduction</w:t>
      </w:r>
    </w:p>
    <w:p w:rsidR="00E975D0" w:rsidRDefault="00E975D0" w:rsidP="00E975D0">
      <w:pPr>
        <w:pStyle w:val="RSCB02ArticleText"/>
        <w:spacing w:line="480" w:lineRule="auto"/>
        <w:rPr>
          <w:rFonts w:ascii="Times" w:hAnsi="Times" w:cs="Calibri"/>
          <w:sz w:val="24"/>
          <w:szCs w:val="24"/>
          <w:lang w:val="en-US"/>
        </w:rPr>
      </w:pPr>
      <w:r>
        <w:rPr>
          <w:rFonts w:ascii="Times" w:hAnsi="Times" w:cs="Calibri"/>
          <w:sz w:val="24"/>
          <w:szCs w:val="24"/>
          <w:lang w:val="en-US"/>
        </w:rPr>
        <w:t xml:space="preserve">The development of alternative energy resources is a top priority for society. </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{"citationItems":[{"id":"ITEM-1","itemData":{"DOI":"10.1039/c4ee01760a","ISSN":"17545706","abstract":"Various classes of earth-abundant inorganic electrocatalysts for energy conversion are surveyed and their recent and ongoing development is discussed.Electrocatalysis plays a key role in the energy conversion processes central to several renewable energy technologies that have been developed to lessen our reliance on fossil fuels. However, the best electrocatalysts for these processes—which include the hydrogen evolution reaction (HER), the oxygen reduction reaction (ORR), and the redox reactions that enable regenerative liquid-junction photoelectrochemical solar cells—often contain scarce and expensive noble metals, substantially limiting the potential for these technologies to compete with fossil fuels. The considerable challenge is to develop robust electrocatalysts composed exclusively of low-cost, earth-abundant elements that exhibit activity comparable to that of the noble metals. In this review, we summarize recent progress in the development of such high-performance earth-abundant inorganic electrocatalysts (and nanostructures thereof), classifying these materials based on their elemental constituents. We then detail the most critical obstacles facing earth-abundant inorganic electrocatalysts and discuss various strategies for further improving their performance. Lastly, we offer our perspectives on the current directions of earth-abundant inorganic electrocatalyst development and suggest pathways toward achieving performance competitive with their noble metal-containing counterparts.","author":[{"dropping-particle":"","family":"Faber","given":"Matthew S.","non-dropping-particle":"","parse-names":false,"suffix":""},{"dropping-particle":"","family":"Jin","given":"Song","non-dropping-particle":"","parse-names":false,"suffix":""}],"container-title":"Energy and Environmental Science","id":"ITEM-1","issue":"11","issued":{"date-parts":[["2014"]]},"page":"3519-3542","publisher":"Royal Society of Chemistry","title":"Earth-abundant inorganic electrocatalysts and their nanostructures for energy conversion applications","type":"article-journal","volume":"7"},"uris":["http://www.mendeley.com/documents/?uuid=dd5c3841-111f-47f6-857c-eb903f52ca85","http://www.mendeley.com/documents/?uuid=d58f44a7-98b3-405c-9d79-9f9d510b761b"]}],"mendeley":{"formattedCitation":"&lt;sup&gt;1&lt;/sup&gt;","plainTextFormattedCitation":"1","previouslyFormattedCitation":"&lt;sup&gt;1&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1</w:t>
      </w:r>
      <w:r>
        <w:rPr>
          <w:rFonts w:ascii="Times" w:hAnsi="Times" w:cs="Calibri"/>
          <w:sz w:val="24"/>
          <w:szCs w:val="24"/>
          <w:lang w:val="en-US"/>
        </w:rPr>
        <w:fldChar w:fldCharType="end"/>
      </w:r>
      <w:r>
        <w:rPr>
          <w:rFonts w:ascii="Times" w:hAnsi="Times" w:cs="Calibri"/>
          <w:sz w:val="24"/>
          <w:szCs w:val="24"/>
          <w:lang w:val="en-US"/>
        </w:rPr>
        <w:t xml:space="preserve"> Hydrogen has been regarded as an ideal energy resource due to its high gravimetric energy density and green combustion product (i.e., water). However, the main way to obtain H</w:t>
      </w:r>
      <w:r>
        <w:rPr>
          <w:rFonts w:ascii="Times" w:hAnsi="Times" w:cs="Calibri"/>
          <w:sz w:val="24"/>
          <w:szCs w:val="24"/>
          <w:vertAlign w:val="subscript"/>
          <w:lang w:val="en-US"/>
        </w:rPr>
        <w:t>2</w:t>
      </w:r>
      <w:r>
        <w:rPr>
          <w:rFonts w:ascii="Times" w:hAnsi="Times" w:cs="Calibri"/>
          <w:sz w:val="24"/>
          <w:szCs w:val="24"/>
          <w:lang w:val="en-US"/>
        </w:rPr>
        <w:t>, currently, is through steam reforming of methane, which relies heavily on fossil fuels and generates large amounts of CO</w:t>
      </w:r>
      <w:r>
        <w:rPr>
          <w:rFonts w:ascii="Times" w:hAnsi="Times" w:cs="Calibri"/>
          <w:sz w:val="24"/>
          <w:szCs w:val="24"/>
          <w:vertAlign w:val="subscript"/>
          <w:lang w:val="en-US"/>
        </w:rPr>
        <w:t>2</w:t>
      </w:r>
      <w:r>
        <w:rPr>
          <w:rFonts w:ascii="Times" w:hAnsi="Times" w:cs="Calibri"/>
          <w:sz w:val="24"/>
          <w:szCs w:val="24"/>
          <w:lang w:val="en-US"/>
        </w:rPr>
        <w:t xml:space="preserve">. </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{"citationItems":[{"id":"ITEM-1","itemData":{"DOI":"10.1021/acsenergylett.8b00514","ISSN":"23808195","abstract":"© 2018 American Chemical Society. The evaluation of the stability of emerging earth-abundant metal phosphide electrocatalysts by solely electrochemical current-potential sweeps is often not conclusive. In this study, we investigate Co 2 P, to evaluate its stability under both acidic (0.5 M H 2 SO 4 ) and alkaline (1.0 M KOH) hydrogen evolution (HER) conditions. We found that the electrochemical surface area of Co 2 P only slightly increases in acidic conditions but almost doubled after electrolysis in alkaline electrolyte. The surface composition of the electrode remained almost unchanged in acid but was significantly altered in alkaline during current-potential sweeps. The analysis of the electrolytes after stability test shows almost stoichiometric composition of Co and P in acid but a preferential dissolution of P over Co could be observed in alkaline electrolyte. Applying comprehensive post-catalysis analysis of both electrode and electrolyte, we conclude that Co 2 P, prepared by thermal phosphidization, dissolves stoichiometrically in acid and degrades to hydroxides under alkaline stability testing.","author":[{"dropping-particle":"","family":"Zhang","given":"Yue","non-dropping-particle":"","parse-names":false,"suffix":""},{"dropping-particle":"","family":"Gao","given":"Lu","non-dropping-particle":"","parse-names":false,"suffix":""},{"dropping-particle":"","family":"Hensen","given":"Emiel J.M.","non-dropping-particle":"","parse-names":false,"suffix":""},{"dropping-particle":"","family":"Hofmann","given":"Jan P.","non-dropping-particle":"","parse-names":false,"suffix":""}],"container-title":"ACS Energy Letters","id":"ITEM-1","issue":"6","issued":{"date-parts":[["2018"]]},"page":"1360-1365","title":"Evaluating the Stability of Co2P Electrocatalysts in the Hydrogen Evolution Reaction for Both Acidic and Alkaline Electrolytes","type":"article-journal","volume":"3"},"uris":["http://www.mendeley.com/documents/?uuid=6aebe1f5-ca03-4bea-83b0-d0d63f7f05cb","http://www.mendeley.com/documents/?uuid=c1456ac3-9d10-4a42-9891-3ad082f42095"]}],"mendeley":{"formattedCitation":"&lt;sup&gt;2&lt;/sup&gt;","plainTextFormattedCitation":"2","previouslyFormattedCitation":"&lt;sup&gt;2&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2</w:t>
      </w:r>
      <w:r>
        <w:rPr>
          <w:rFonts w:ascii="Times" w:hAnsi="Times" w:cs="Calibri"/>
          <w:sz w:val="24"/>
          <w:szCs w:val="24"/>
          <w:lang w:val="en-US"/>
        </w:rPr>
        <w:fldChar w:fldCharType="end"/>
      </w:r>
      <w:r>
        <w:rPr>
          <w:rFonts w:ascii="Times" w:hAnsi="Times" w:cs="Calibri"/>
          <w:sz w:val="24"/>
          <w:szCs w:val="24"/>
          <w:lang w:val="en-US"/>
        </w:rPr>
        <w:t xml:space="preserve"> </w:t>
      </w:r>
      <w:r>
        <w:rPr>
          <w:rFonts w:ascii="Times" w:hAnsi="Times" w:cs="Calibri"/>
          <w:color w:val="000000" w:themeColor="text1"/>
          <w:sz w:val="24"/>
          <w:szCs w:val="24"/>
          <w:lang w:val="en-US"/>
        </w:rPr>
        <w:t>Water electrolysis, composed of the hydrogen evolution reaction (HER) on the cathode and the oxygen evolution reaction (OER) on the anode, is one of the most promising and renewable ways of H</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 xml:space="preserve"> production due to its advantage of carbon-free emissions provided the electricity used comes from a green source such as hydroelectricity, wind, solar </w:t>
      </w:r>
      <w:r>
        <w:rPr>
          <w:rFonts w:ascii="Times" w:hAnsi="Times" w:cs="Calibri"/>
          <w:color w:val="000000" w:themeColor="text1"/>
          <w:sz w:val="24"/>
          <w:szCs w:val="24"/>
          <w:lang w:val="en-US" w:eastAsia="zh-CN"/>
        </w:rPr>
        <w:t>and</w:t>
      </w:r>
      <w:r>
        <w:rPr>
          <w:rFonts w:ascii="Times" w:hAnsi="Times" w:cs="Calibri"/>
          <w:color w:val="000000" w:themeColor="text1"/>
          <w:sz w:val="24"/>
          <w:szCs w:val="24"/>
          <w:lang w:val="en-US"/>
        </w:rPr>
        <w:t xml:space="preserve"> geothermal. </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{"citationItems":[{"id":"ITEM-1","itemData":{"DOI":"10.1021/jacs.7b03507","ISSN":"15205126","abstract":"© 2017 American Chemical Society. Developing bifunctional efficient and durable non-noble electrocatalysts for oxygen evolution reaction (OER) and hydrogen evolution reaction (HER) is highly desirable and challenging for overall water splitting. Herein, Co-Mn carbonate hydroxide (CoMnCH) nanosheet arrays with controllable morphology and composition were developed on nickel foam (NF) as such a bifunctional electrocatalyst. It is discovered that Mn doping in CoCH can simultaneously modulate the nanosheet morphology to significantly increase the electrochemical active surface area for exposing more accessible active sites and tune the electronic structure of Co center to effectively boost its intrinsic activity. As a result, the optimized Co1Mn1CH/NF electrode exhibits unprecedented OER activity with an ultralow overpotential of 294 mV at 30 mA cm-2, compared with all reported metal carbonate hydroxides. Benefited from 3D open nanosheet array topographic structure with tight contact between nanosheets and NF, it is able to deliver a high and stable current density of 1000 mA cm-2at only an overpotential of 462 mV with no interference from high-flux oxygen evolution. Despite no reports about effective HER on metal carbonate hydroxides yet, the small overpotential of 180 mV at 10 mA cm-2for HER can be also achieved on Co1Mn1CH/NF by the dual modulation of Mn doping. This offers a two-electrode electrolyzer using bifunctional Co1Mn1CH/NF as both anode and cathode to perform stable overall water splitting with a cell voltage of only 1.68 V at 10 mA cm-2. These findings may open up opportunities to explore other multimetal carbonate hydroxides as practical bifunctional electrocatalysts for scale-up water electrolysis.","author":[{"dropping-particle":"","family":"Tang","given":"Tang","non-dropping-particle":"","parse-names":false,"suffix":""},{"dropping-particle":"","family":"Jiang","given":"Wen Jie","non-dropping-particle":"","parse-names":false,"suffix":""},{"dropping-particle":"","family":"Niu","given":"Shuai","non-dropping-particle":"","parse-names":false,"suffix":""},{"dropping-particle":"","family":"Liu","given":"Ning","non-dropping-particle":"","parse-names":false,"suffix":""},{"dropping-particle":"","family":"Luo","given":"Hao","non-dropping-particle":"","parse-names":false,"suffix":""},{"dropping-particle":"","family":"Chen","given":"Yu Yun","non-dropping-particle":"","parse-names":false,"suffix":""},{"dropping-particle":"","family":"Jin","given":"Shi Feng","non-dropping-particle":"","parse-names":false,"suffix":""},{"dropping-particle":"","family":"Gao","given":"Feng","non-dropping-particle":"","parse-names":false,"suffix":""},{"dropping-particle":"","family":"Wan","given":"Li Jun","non-dropping-particle":"","parse-names":false,"suffix":""},{"dropping-particle":"","family":"Hu","given":"Jin Song","non-dropping-particle":"","parse-names":false,"suffix":""}],"container-title":"Journal of the American Chemical Society","id":"ITEM-1","issue":"24","issued":{"date-parts":[["2017"]]},"page":"8320-8328","title":"Electronic and Morphological Dual Modulation of Cobalt Carbonate Hydroxides by Mn Doping toward Highly Efficient and Stable Bifunctional Electrocatalysts for Overall Water Splitting","type":"article-journal","volume":"139"},"uris":["http://www.mendeley.com/documents/?uuid=6ac530ed-b436-429b-800e-391cd43363d1","http://www.mendeley.com/documents/?uuid=0c5d61e8-737e-4da9-8110-879e79fbc43d"]}],"mendeley":{"formattedCitation":"&lt;sup&gt;3&lt;/sup&gt;","plainTextFormattedCitation":"3","previouslyFormattedCitation":"&lt;sup&gt;3&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3</w:t>
      </w:r>
      <w:r>
        <w:rPr>
          <w:rFonts w:ascii="Times" w:hAnsi="Times" w:cs="Calibri"/>
          <w:sz w:val="24"/>
          <w:szCs w:val="24"/>
          <w:lang w:val="en-US"/>
        </w:rPr>
        <w:fldChar w:fldCharType="end"/>
      </w:r>
      <w:r>
        <w:rPr>
          <w:rFonts w:ascii="Times" w:hAnsi="Times" w:cs="Calibri"/>
          <w:sz w:val="24"/>
          <w:szCs w:val="24"/>
          <w:lang w:val="en-US"/>
        </w:rPr>
        <w:t xml:space="preserve"> The </w:t>
      </w:r>
      <w:r>
        <w:rPr>
          <w:rFonts w:ascii="Times" w:eastAsia="DengXian" w:hAnsi="Times" w:cs="Calibri"/>
          <w:color w:val="000000"/>
          <w:sz w:val="24"/>
          <w:szCs w:val="24"/>
          <w:lang w:val="en-US"/>
        </w:rPr>
        <w:t>HER process in alkaline solution is usually considered to involve initially a water dissociation step and then the hydrogen intermediates are formed in the Volmer step (H</w:t>
      </w:r>
      <w:r>
        <w:rPr>
          <w:rFonts w:ascii="Times" w:eastAsia="DengXian" w:hAnsi="Times" w:cs="Calibri"/>
          <w:color w:val="000000"/>
          <w:sz w:val="24"/>
          <w:szCs w:val="24"/>
          <w:vertAlign w:val="subscript"/>
          <w:lang w:val="en-US"/>
        </w:rPr>
        <w:t>2</w:t>
      </w:r>
      <w:r>
        <w:rPr>
          <w:rFonts w:ascii="Times" w:eastAsia="DengXian" w:hAnsi="Times" w:cs="Calibri"/>
          <w:color w:val="000000"/>
          <w:sz w:val="24"/>
          <w:szCs w:val="24"/>
          <w:lang w:val="en-US"/>
        </w:rPr>
        <w:t>O + e</w:t>
      </w:r>
      <w:r>
        <w:rPr>
          <w:rFonts w:ascii="Times" w:eastAsia="DengXian" w:hAnsi="Times" w:cs="Calibri"/>
          <w:color w:val="000000"/>
          <w:sz w:val="24"/>
          <w:szCs w:val="24"/>
          <w:vertAlign w:val="superscript"/>
          <w:lang w:val="en-US"/>
        </w:rPr>
        <w:t xml:space="preserve">- </w:t>
      </w:r>
      <w:r>
        <w:rPr>
          <w:rFonts w:ascii="Times" w:eastAsia="DengXian" w:hAnsi="Times" w:cs="Calibri"/>
          <w:color w:val="000000"/>
          <w:sz w:val="24"/>
          <w:szCs w:val="24"/>
          <w:lang w:val="en-US"/>
        </w:rPr>
        <w:t xml:space="preserve">+ M </w:t>
      </w:r>
      <w:r>
        <w:rPr>
          <w:rFonts w:ascii="Cambria Math" w:eastAsia="DengXian" w:hAnsi="Cambria Math" w:cs="Cambria Math"/>
          <w:color w:val="000000"/>
          <w:sz w:val="24"/>
          <w:szCs w:val="24"/>
          <w:lang w:val="en-US"/>
        </w:rPr>
        <w:t>⇌</w:t>
      </w:r>
      <w:r>
        <w:rPr>
          <w:rFonts w:ascii="Times" w:eastAsia="DengXian" w:hAnsi="Times" w:cs="Calibri"/>
          <w:color w:val="000000"/>
          <w:sz w:val="24"/>
          <w:szCs w:val="24"/>
          <w:lang w:val="en-US"/>
        </w:rPr>
        <w:t xml:space="preserve"> M-H</w:t>
      </w:r>
      <w:r>
        <w:rPr>
          <w:rFonts w:ascii="Times" w:eastAsia="DengXian" w:hAnsi="Times" w:cs="Calibri"/>
          <w:color w:val="000000"/>
          <w:sz w:val="24"/>
          <w:szCs w:val="24"/>
          <w:vertAlign w:val="subscript"/>
          <w:lang w:val="en-US"/>
        </w:rPr>
        <w:t>ad</w:t>
      </w:r>
      <w:r>
        <w:rPr>
          <w:rFonts w:ascii="Times" w:eastAsia="DengXian" w:hAnsi="Times" w:cs="Calibri"/>
          <w:color w:val="000000"/>
          <w:sz w:val="24"/>
          <w:szCs w:val="24"/>
          <w:lang w:val="en-US"/>
        </w:rPr>
        <w:t xml:space="preserve"> + OH</w:t>
      </w:r>
      <w:r>
        <w:rPr>
          <w:rFonts w:ascii="Times" w:eastAsia="DengXian" w:hAnsi="Times" w:cs="Calibri"/>
          <w:color w:val="000000"/>
          <w:sz w:val="24"/>
          <w:szCs w:val="24"/>
          <w:vertAlign w:val="superscript"/>
          <w:lang w:val="en-US"/>
        </w:rPr>
        <w:t>-</w:t>
      </w:r>
      <w:r>
        <w:rPr>
          <w:rFonts w:ascii="Times" w:eastAsia="DengXian" w:hAnsi="Times" w:cs="Calibri"/>
          <w:color w:val="000000"/>
          <w:sz w:val="24"/>
          <w:szCs w:val="24"/>
          <w:lang w:val="en-US"/>
        </w:rPr>
        <w:t>), followed by either the Tafel step (2 M-H</w:t>
      </w:r>
      <w:r>
        <w:rPr>
          <w:rFonts w:ascii="Times" w:eastAsia="DengXian" w:hAnsi="Times" w:cs="Calibri"/>
          <w:color w:val="000000"/>
          <w:sz w:val="24"/>
          <w:szCs w:val="24"/>
          <w:vertAlign w:val="subscript"/>
          <w:lang w:val="en-US"/>
        </w:rPr>
        <w:t>ad</w:t>
      </w:r>
      <w:r>
        <w:rPr>
          <w:rFonts w:ascii="Times" w:eastAsia="DengXian" w:hAnsi="Times" w:cs="Calibri"/>
          <w:color w:val="000000"/>
          <w:sz w:val="24"/>
          <w:szCs w:val="24"/>
          <w:lang w:val="en-US"/>
        </w:rPr>
        <w:t xml:space="preserve"> </w:t>
      </w:r>
      <w:r>
        <w:rPr>
          <w:rFonts w:ascii="Cambria Math" w:eastAsia="DengXian" w:hAnsi="Cambria Math" w:cs="Cambria Math"/>
          <w:color w:val="000000"/>
          <w:sz w:val="24"/>
          <w:szCs w:val="24"/>
          <w:lang w:val="en-US"/>
        </w:rPr>
        <w:t>⇌</w:t>
      </w:r>
      <w:r>
        <w:rPr>
          <w:rFonts w:ascii="Times" w:eastAsia="DengXian" w:hAnsi="Times" w:cs="Calibri"/>
          <w:color w:val="000000"/>
          <w:sz w:val="24"/>
          <w:szCs w:val="24"/>
          <w:lang w:val="en-US"/>
        </w:rPr>
        <w:t xml:space="preserve"> H</w:t>
      </w:r>
      <w:r>
        <w:rPr>
          <w:rFonts w:ascii="Times" w:eastAsia="DengXian" w:hAnsi="Times" w:cs="Calibri"/>
          <w:color w:val="000000"/>
          <w:sz w:val="24"/>
          <w:szCs w:val="24"/>
          <w:vertAlign w:val="subscript"/>
          <w:lang w:val="en-US"/>
        </w:rPr>
        <w:t>2</w:t>
      </w:r>
      <w:r>
        <w:rPr>
          <w:rFonts w:ascii="Times" w:eastAsia="DengXian" w:hAnsi="Times" w:cs="Calibri"/>
          <w:color w:val="000000"/>
          <w:sz w:val="24"/>
          <w:szCs w:val="24"/>
          <w:lang w:val="en-US"/>
        </w:rPr>
        <w:t xml:space="preserve"> + 2M) or the Heyrovsky step (H</w:t>
      </w:r>
      <w:r>
        <w:rPr>
          <w:rFonts w:ascii="Times" w:eastAsia="DengXian" w:hAnsi="Times" w:cs="Calibri"/>
          <w:color w:val="000000"/>
          <w:sz w:val="24"/>
          <w:szCs w:val="24"/>
          <w:vertAlign w:val="subscript"/>
          <w:lang w:val="en-US"/>
        </w:rPr>
        <w:t>2</w:t>
      </w:r>
      <w:r>
        <w:rPr>
          <w:rFonts w:ascii="Times" w:eastAsia="DengXian" w:hAnsi="Times" w:cs="Calibri"/>
          <w:color w:val="000000"/>
          <w:sz w:val="24"/>
          <w:szCs w:val="24"/>
          <w:lang w:val="en-US"/>
        </w:rPr>
        <w:t>O + M-H</w:t>
      </w:r>
      <w:r>
        <w:rPr>
          <w:rFonts w:ascii="Times" w:eastAsia="DengXian" w:hAnsi="Times" w:cs="Calibri"/>
          <w:color w:val="000000"/>
          <w:sz w:val="24"/>
          <w:szCs w:val="24"/>
          <w:vertAlign w:val="subscript"/>
          <w:lang w:val="en-US"/>
        </w:rPr>
        <w:t>ad</w:t>
      </w:r>
      <w:r>
        <w:rPr>
          <w:rFonts w:ascii="Times" w:eastAsia="DengXian" w:hAnsi="Times" w:cs="Calibri"/>
          <w:color w:val="000000"/>
          <w:sz w:val="24"/>
          <w:szCs w:val="24"/>
          <w:lang w:val="en-US"/>
        </w:rPr>
        <w:t xml:space="preserve"> + e</w:t>
      </w:r>
      <w:r>
        <w:rPr>
          <w:rFonts w:ascii="Times" w:eastAsia="DengXian" w:hAnsi="Times" w:cs="Calibri"/>
          <w:color w:val="000000"/>
          <w:sz w:val="24"/>
          <w:szCs w:val="24"/>
          <w:vertAlign w:val="superscript"/>
          <w:lang w:val="en-US"/>
        </w:rPr>
        <w:t>-</w:t>
      </w:r>
      <w:r>
        <w:rPr>
          <w:rFonts w:ascii="Times" w:eastAsia="DengXian" w:hAnsi="Times" w:cs="Calibri"/>
          <w:color w:val="000000"/>
          <w:sz w:val="24"/>
          <w:szCs w:val="24"/>
          <w:lang w:val="en-US"/>
        </w:rPr>
        <w:t xml:space="preserve"> </w:t>
      </w:r>
      <w:r>
        <w:rPr>
          <w:rFonts w:ascii="Cambria Math" w:eastAsia="DengXian" w:hAnsi="Cambria Math" w:cs="Cambria Math"/>
          <w:color w:val="000000"/>
          <w:sz w:val="24"/>
          <w:szCs w:val="24"/>
          <w:lang w:val="en-US"/>
        </w:rPr>
        <w:t>⇌</w:t>
      </w:r>
      <w:r>
        <w:rPr>
          <w:rFonts w:ascii="Times" w:eastAsia="DengXian" w:hAnsi="Times" w:cs="Calibri"/>
          <w:color w:val="000000"/>
          <w:sz w:val="24"/>
          <w:szCs w:val="24"/>
          <w:lang w:val="en-US"/>
        </w:rPr>
        <w:t xml:space="preserve"> M +H</w:t>
      </w:r>
      <w:r>
        <w:rPr>
          <w:rFonts w:ascii="Times" w:eastAsia="DengXian" w:hAnsi="Times" w:cs="Calibri"/>
          <w:color w:val="000000"/>
          <w:sz w:val="24"/>
          <w:szCs w:val="24"/>
          <w:vertAlign w:val="subscript"/>
          <w:lang w:val="en-US"/>
        </w:rPr>
        <w:t>2</w:t>
      </w:r>
      <w:r>
        <w:rPr>
          <w:rFonts w:ascii="Times" w:eastAsia="DengXian" w:hAnsi="Times" w:cs="Calibri"/>
          <w:color w:val="000000"/>
          <w:sz w:val="24"/>
          <w:szCs w:val="24"/>
          <w:lang w:val="en-US"/>
        </w:rPr>
        <w:t xml:space="preserve"> + OH</w:t>
      </w:r>
      <w:r>
        <w:rPr>
          <w:rFonts w:ascii="Times" w:eastAsia="DengXian" w:hAnsi="Times" w:cs="Calibri"/>
          <w:color w:val="000000"/>
          <w:sz w:val="24"/>
          <w:szCs w:val="24"/>
          <w:vertAlign w:val="superscript"/>
          <w:lang w:val="en-US"/>
        </w:rPr>
        <w:t>-</w:t>
      </w:r>
      <w:r>
        <w:rPr>
          <w:rFonts w:ascii="Times" w:eastAsia="DengXian" w:hAnsi="Times" w:cs="Calibri"/>
          <w:color w:val="000000"/>
          <w:sz w:val="24"/>
          <w:szCs w:val="24"/>
          <w:lang w:val="en-US"/>
        </w:rPr>
        <w:t>). The only difference to the reaction pathway in acid is that the hydrogen intermediates are formed by the discharge of hydronium ions instead of water.</w:t>
      </w:r>
      <w:r>
        <w:rPr>
          <w:rFonts w:ascii="Times" w:eastAsia="DengXian" w:hAnsi="Times" w:cs="Calibri"/>
          <w:color w:val="000000"/>
          <w:sz w:val="24"/>
          <w:szCs w:val="24"/>
          <w:lang w:val="en-US"/>
        </w:rPr>
        <w:fldChar w:fldCharType="begin" w:fldLock="1"/>
      </w:r>
      <w:r>
        <w:rPr>
          <w:rFonts w:ascii="Times" w:eastAsia="DengXian" w:hAnsi="Times" w:cs="Calibri"/>
          <w:color w:val="000000"/>
          <w:sz w:val="24"/>
          <w:szCs w:val="24"/>
          <w:lang w:val="en-US"/>
        </w:rPr>
        <w:instrText>ADDIN CSL_CITATION {"citationItems":[{"id":"ITEM-1","itemData":{"DOI":"10.1038/nmat4481","ISSN":"14764660","abstract":"Three of the fundamental catalytic limitations that have plagued the electrochemical production of hydrogen for decades still remain: low efficiency, short lifetime of catalysts and a lack of low-cost materials. Here, we address these three challenges by establishing and exploring an intimate functional link between the reactivity and stability of crystalline (CoS2 and MoS2) and amorphous (CoSx and MoSx) hydrogen evolution catalysts. We propose that Co2+ and Mo4+ centres promote the initial discharge of water (alkaline solutions) or hydronium ions (acid solutions). We establish that although CoSx materials are more active than MoSx they are also less stable, suggesting that the active sites are defects formed after dissolution of Co and Mo cations. By combining the higher activity of CoSx building blocks with the higher stability of MoSx units into a compact and robust CoMoSx chalcogel structure, we are able to design a low-cost alternative to noble metal catalysts for efficient electrocatalytic production of hydrogen in both alkaline and acidic environments.","author":[{"dropping-particle":"","family":"Staszak-Jirkovský","given":"Jakub","non-dropping-particle":"","parse-names":false,"suffix":""},{"dropping-particle":"","family":"Malliakas","given":"Christos D.","non-dropping-particle":"","parse-names":false,"suffix":""},{"dropping-particle":"","family":"Lopes","given":"Pietro P.","non-dropping-particle":"","parse-names":false,"suffix":""},{"dropping-particle":"","family":"Danilovic","given":"Nemanja","non-dropping-particle":"","parse-names":false,"suffix":""},{"dropping-particle":"","family":"Kota","given":"Subrahmanyam S.","non-dropping-particle":"","parse-names":false,"suffix":""},{"dropping-particle":"","family":"Chang","given":"Kee Chul","non-dropping-particle":"","parse-names":false,"suffix":""},{"dropping-particle":"","family":"Genorio","given":"Bostjan","non-dropping-particle":"","parse-names":false,"suffix":""},{"dropping-particle":"","family":"Strmcnik","given":"Dusan","non-dropping-particle":"","parse-names":false,"suffix":""},{"dropping-particle":"","family":"Stamenkovic","given":"Vojislav R.","non-dropping-particle":"","parse-names":false,"suffix":""},{"dropping-particle":"","family":"Kanatzidis","given":"Mercouri G.","non-dropping-particle":"","parse-names":false,"suffix":""},{"dropping-particle":"","family":"Markovic","given":"Nenad M.","non-dropping-particle":"","parse-names":false,"suffix":""}],"container-title":"Nature Materials","id":"ITEM-1","issue":"2","issued":{"date-parts":[["2016"]]},"page":"197-203","title":"Design of active and stable Co-Mo-Sxchalcogels as pH-universal catalysts for the hydrogen evolution reaction","type":"article-journal","volume":"15"},"uris":["http://www.mendeley.com/documents/?uuid=0abf4d49-6685-4576-9717-301fa880964d"]}],"mendeley":{"formattedCitation":"&lt;sup&gt;4&lt;/sup&gt;","plainTextFormattedCitation":"4","previouslyFormattedCitation":"&lt;sup&gt;4&lt;/sup&gt;"},"properties":{"noteIndex":0},"schema":"https://github.com/citation-style-language/schema/raw/master/csl-citation.json"}</w:instrText>
      </w:r>
      <w:r>
        <w:rPr>
          <w:rFonts w:ascii="Times" w:eastAsia="DengXian" w:hAnsi="Times" w:cs="Calibri"/>
          <w:color w:val="000000"/>
          <w:sz w:val="24"/>
          <w:szCs w:val="24"/>
          <w:lang w:val="en-US"/>
        </w:rPr>
        <w:fldChar w:fldCharType="separate"/>
      </w:r>
      <w:r>
        <w:rPr>
          <w:rFonts w:ascii="Times" w:eastAsia="DengXian" w:hAnsi="Times" w:cs="Calibri"/>
          <w:noProof/>
          <w:color w:val="000000"/>
          <w:sz w:val="24"/>
          <w:szCs w:val="24"/>
          <w:vertAlign w:val="superscript"/>
          <w:lang w:val="en-US"/>
        </w:rPr>
        <w:t>4</w:t>
      </w:r>
      <w:r>
        <w:rPr>
          <w:rFonts w:ascii="Times" w:eastAsia="DengXian" w:hAnsi="Times" w:cs="Calibri"/>
          <w:color w:val="000000"/>
          <w:sz w:val="24"/>
          <w:szCs w:val="24"/>
          <w:lang w:val="en-US"/>
        </w:rPr>
        <w:fldChar w:fldCharType="end"/>
      </w:r>
      <w:r>
        <w:rPr>
          <w:rFonts w:ascii="Times" w:eastAsia="DengXian" w:hAnsi="Times" w:cs="Calibri"/>
          <w:color w:val="000000"/>
          <w:sz w:val="24"/>
          <w:szCs w:val="24"/>
          <w:lang w:val="en-US"/>
        </w:rPr>
        <w:t xml:space="preserve"> The OER process, with more reaction intermediates, such as </w:t>
      </w:r>
      <w:r>
        <w:rPr>
          <w:rFonts w:ascii="Times" w:hAnsi="Times" w:cs="Calibri"/>
          <w:sz w:val="24"/>
          <w:szCs w:val="24"/>
          <w:lang w:val="en-US"/>
        </w:rPr>
        <w:t>*</w:t>
      </w:r>
      <w:r>
        <w:rPr>
          <w:rFonts w:ascii="Times" w:eastAsia="DengXian" w:hAnsi="Times" w:cs="Calibri"/>
          <w:color w:val="000000"/>
          <w:sz w:val="24"/>
          <w:szCs w:val="24"/>
          <w:lang w:val="en-US"/>
        </w:rPr>
        <w:t xml:space="preserve">OH and </w:t>
      </w:r>
      <w:r>
        <w:rPr>
          <w:rFonts w:ascii="Times" w:hAnsi="Times" w:cs="Calibri"/>
          <w:sz w:val="24"/>
          <w:szCs w:val="24"/>
          <w:lang w:val="en-US"/>
        </w:rPr>
        <w:t>*</w:t>
      </w:r>
      <w:r>
        <w:rPr>
          <w:rFonts w:ascii="Times" w:eastAsia="DengXian" w:hAnsi="Times" w:cs="Calibri"/>
          <w:color w:val="000000"/>
          <w:sz w:val="24"/>
          <w:szCs w:val="24"/>
          <w:lang w:val="en-US"/>
        </w:rPr>
        <w:t>OOH, is kinetically more complex than the HER.</w:t>
      </w:r>
      <w:r>
        <w:rPr>
          <w:rFonts w:ascii="Times" w:eastAsia="DengXian" w:hAnsi="Times" w:cs="Calibri"/>
          <w:color w:val="000000"/>
          <w:sz w:val="24"/>
          <w:szCs w:val="24"/>
          <w:lang w:val="en-US"/>
        </w:rPr>
        <w:fldChar w:fldCharType="begin" w:fldLock="1"/>
      </w:r>
      <w:r>
        <w:rPr>
          <w:rFonts w:ascii="Times" w:eastAsia="DengXian" w:hAnsi="Times" w:cs="Calibri"/>
          <w:color w:val="000000"/>
          <w:sz w:val="24"/>
          <w:szCs w:val="24"/>
          <w:lang w:val="en-US"/>
        </w:rPr>
        <w:instrText>ADDIN CSL_CITATION {"citationItems":[{"id":"ITEM-1","itemData":{"DOI":"10.1039/c4cs00470a","ISSN":"14604744","abstract":"This review provides insights into theoretical and experimental electrochemistry toward a better understanding of a series of key energy conversion reactions. A fundamental change has been achieved in understanding surface electrochemistry due to the profound knowledge of the nature of electrocatalytic processes accumulated over the past several decades and to the recent technological advances in spectroscopy and high resolution imaging. Nowadays one can preferably design electrocatalysts based on the deep theoretical knowledge of electronic structures, via computer-guided engineering of the surface and (electro)chemical properties of materials, followed by the synthesis of practical materials with high performance for specific reactions. This review provides insights into both theoretical and experimental electrochemistry toward a better understanding of a series of key clean energy conversion reactions including oxygen reduction reaction (ORR), oxygen evolution reaction (OER), and hydrogen evolution reaction (HER). The emphasis of this review is on the origin of the electrocatalytic activity of nanostructured catalysts toward the aforementioned reactions by correlating the apparent electrode performance with their intrinsic electrochemical properties. Also, a rational design of electrocatalysts is proposed starting from the most fundamental aspects of the electronic structure engineering to a more practical level of nanotechnological fabrication. ","author":[{"dropping-particle":"","family":"Jiao","given":"Yan","non-dropping-particle":"","parse-names":false,"suffix":""},{"dropping-particle":"","family":"Zheng","given":"Yao","non-dropping-particle":"","parse-names":false,"suffix":""},{"dropping-particle":"","family":"Jaroniec","given":"Mietek","non-dropping-particle":"","parse-names":false,"suffix":""},{"dropping-particle":"","family":"Qiao","given":"Shi Zhang","non-dropping-particle":"","parse-names":false,"suffix":""}],"container-title":"Chemical Society Reviews","id":"ITEM-1","issue":"8","issued":{"date-parts":[["2015"]]},"page":"2060-2086","publisher":"Royal Society of Chemistry","title":"Design of electrocatalysts for oxygen- and hydrogen-involving energy conversion reactions","type":"article-journal","volume":"44"},"uris":["http://www.mendeley.com/documents/?uuid=a5e85669-3a55-45b1-9fd1-bddb3900d2fa"]}],"mendeley":{"formattedCitation":"&lt;sup&gt;5&lt;/sup&gt;","plainTextFormattedCitation":"5","previouslyFormattedCitation":"&lt;sup&gt;5&lt;/sup&gt;"},"properties":{"noteIndex":0},"schema":"https://github.com/citation-style-language/schema/raw/master/csl-citation.json"}</w:instrText>
      </w:r>
      <w:r>
        <w:rPr>
          <w:rFonts w:ascii="Times" w:eastAsia="DengXian" w:hAnsi="Times" w:cs="Calibri"/>
          <w:color w:val="000000"/>
          <w:sz w:val="24"/>
          <w:szCs w:val="24"/>
          <w:lang w:val="en-US"/>
        </w:rPr>
        <w:fldChar w:fldCharType="separate"/>
      </w:r>
      <w:r>
        <w:rPr>
          <w:rFonts w:ascii="Times" w:eastAsia="DengXian" w:hAnsi="Times" w:cs="Calibri"/>
          <w:noProof/>
          <w:color w:val="000000"/>
          <w:sz w:val="24"/>
          <w:szCs w:val="24"/>
          <w:vertAlign w:val="superscript"/>
          <w:lang w:val="en-US"/>
        </w:rPr>
        <w:t>5</w:t>
      </w:r>
      <w:r>
        <w:rPr>
          <w:rFonts w:ascii="Times" w:eastAsia="DengXian" w:hAnsi="Times" w:cs="Calibri"/>
          <w:color w:val="000000"/>
          <w:sz w:val="24"/>
          <w:szCs w:val="24"/>
          <w:lang w:val="en-US"/>
        </w:rPr>
        <w:fldChar w:fldCharType="end"/>
      </w:r>
      <w:r>
        <w:rPr>
          <w:rFonts w:ascii="Times" w:eastAsia="DengXian" w:hAnsi="Times" w:cs="Calibri"/>
          <w:color w:val="000000"/>
          <w:sz w:val="24"/>
          <w:szCs w:val="24"/>
          <w:lang w:val="en-US"/>
        </w:rPr>
        <w:t xml:space="preserve"> </w:t>
      </w:r>
      <w:r>
        <w:rPr>
          <w:rFonts w:ascii="Times" w:hAnsi="Times" w:cs="Calibri"/>
          <w:sz w:val="24"/>
          <w:szCs w:val="24"/>
          <w:lang w:val="en-US"/>
        </w:rPr>
        <w:t xml:space="preserve">The most active electrocatalysts for the hydrogen evolution reaction (HER) and oxygen evolution reaction (OER) so far are still the platinum group metals. However, their low abundances on earth and high costs may limit their large-scale application. </w:t>
      </w:r>
    </w:p>
    <w:p w:rsidR="00E975D0" w:rsidRDefault="00E975D0" w:rsidP="00E975D0">
      <w:pPr>
        <w:pStyle w:val="RSCB02ArticleText"/>
        <w:spacing w:line="480" w:lineRule="auto"/>
        <w:rPr>
          <w:rFonts w:ascii="Times" w:hAnsi="Times" w:cs="Calibri"/>
          <w:sz w:val="24"/>
          <w:szCs w:val="24"/>
          <w:lang w:val="en-US"/>
        </w:rPr>
      </w:pPr>
      <w:r>
        <w:rPr>
          <w:rFonts w:ascii="Times" w:hAnsi="Times" w:cs="Calibri"/>
          <w:sz w:val="24"/>
          <w:szCs w:val="24"/>
          <w:lang w:val="en-US"/>
        </w:rPr>
        <w:t xml:space="preserve">Recently, transition metal phosphides (TMPs) have been reported to have very good HER activities in acid solutions. </w:t>
      </w:r>
      <w:r>
        <w:rPr>
          <w:rFonts w:ascii="Times" w:hAnsi="Times" w:cs="Calibri"/>
          <w:sz w:val="24"/>
          <w:szCs w:val="24"/>
          <w:lang w:val="en-US"/>
        </w:rPr>
        <w:fldChar w:fldCharType="begin" w:fldLock="1"/>
      </w:r>
      <w:r>
        <w:rPr>
          <w:rFonts w:ascii="Times" w:hAnsi="Times" w:cs="Calibri"/>
          <w:sz w:val="24"/>
          <w:szCs w:val="24"/>
          <w:lang w:val="en-US"/>
        </w:rPr>
        <w:instrText xml:space="preserve">ADDIN CSL_CITATION {"citationItems":[{"id":"ITEM-1","itemData":{"DOI":"10.1039/C4TA03468F","ISBN":"1842-6573","ISSN":"2050-7488","PMID":"24173598","abstract":"Transition metal phosphides possess novel, structural, physical and chemical properties and are an emerging new class of materials for various catalytic applications. Electroplated or electrolessly plated nickel phosphide alloy materials with achievable phosphorus contents &lt;15 at% P are known to be more corrosion resistant than nickel alone, and have been investigated as hydrogen evolution catalysts in alkaline environments. However, there is significant interest in developing new inexpensive catalysts for solid polymer electrolyte electrolysers which require acid stable catalysts. In this paper, we show that by increasing the phosphorus content beyond the limit available using electroplating techniques (12 at% P), the nickel based phosphides Ni12P5 and Ni2P with higher levels of phosphorus (29 and 33 at% P) may be utilised for the hydrogen evolution reaction (HER) in acidic medium. Corrosion resistance in acid is directly correlated with phosphorus content – those materials with higher phosphorus content are more corrosion resistant. Hydrogen evolution activity in acid is also correlated with phosphorus content – Ni2P based catalysts appear to be more active for the hydrogen evolution reaction than Ni12P5. Electrochemical kinetic studies of the HER reveal high exchange current densities and little deviation in the Tafel slope especially in the lower overpotential regime for these nickel phosphide catalysts. The electrochemical impedance spectroscopy response of the respective system in acidic medium reveals the presence of two time constants associated with the HER.","author":[{"dropping-particle":"","family":"Kucernak","given":"Anthony R. J.","non-dropping-particle":"","parse-names":false,"suffix":""},{"dropping-particle":"","family":"Naranammalpuram Sundaram","given":"Venkata N.","non-dropping-particle":"","parse-names":false,"suffix":""}],"container-title":"J. Mater. Chem. A","id":"ITEM-1","issue":"41","issued":{"date-parts":[["2014"]]},"page":"17435-17445","publisher":"Royal Society of Chemistry","title":"Nickel phosphide: the effect of phosphorus content on hydrogen evolution activity and corrosion resistance in acidic medium","type":"article-journal","volume":"2"},"uris":["http://www.mendeley.com/documents/?uuid=76661b1c-ac52-453d-af82-57261438b43e"]},{"id":"ITEM-2","itemData":{"DOI":"10.1021/acsami.6b02023","ISSN":"19448252","abstract":"The enhancement of catalytic performance of cobalt phosphide-based catalysts for the hydrogen evolution reaction (HER) is still challenging. In this work, the doping effect of some transition metal (M = Fe, Ni, Cu) on the electrocatalytic performance of the M−Co 2 P/NCNTs (NCNTs, nitrogen-doped carbon nanotubes) hybrid catalysts for the HER was studied systematically. The M−Co 2 P/NCNTs hybrid catalysts were synthesized via a simple in situ thermal decomposition process. A series of techniques, including X-ray diffraction, X-ray photoelectron spectroscopy, inductively coupled plasma-optical emission spectrometry, transmission electron microscopy, and N 2 sorption were used to characterize the as-synthesized M−Co 2 P/NCNTs hybrid catalysts. Electrochemical measure-ments showed the catalytic performance according to the following order of Fe−Co 2 P/NCNTs &gt; Ni−Co 2 P/NCNTs &gt; Cu−Co 2 P/NCNTs, which can be ascribed to the difference of structure, morphology, and electronic property after doping. The doping of Fe atoms promote the growth of the [111] crystal plane, resulting in a large specific area and exposing more catalytic active sites. Meanwhile, the Fe </w:instrText>
      </w:r>
      <w:r>
        <w:rPr>
          <w:rFonts w:ascii="Times" w:hAnsi="Times" w:cs="Calibri" w:hint="eastAsia"/>
          <w:sz w:val="24"/>
          <w:szCs w:val="24"/>
          <w:lang w:val="en-US"/>
        </w:rPr>
        <w:instrText>δ</w:instrText>
      </w:r>
      <w:r>
        <w:rPr>
          <w:rFonts w:ascii="Times" w:hAnsi="Times" w:cs="Calibri"/>
          <w:sz w:val="24"/>
          <w:szCs w:val="24"/>
          <w:lang w:val="en-US"/>
        </w:rPr>
        <w:instrText>+ has the highest positive charge among all the M− Co 2 P/NCNTs hybrid catalysts after doping. All these changes can be used to contribute the highest electrocatalytic activity of the Fe−Co 2 P/NCNTs hybrid catalyst for HER. Furthermore, an optimal HER electrocatalytic activity was obtained by adjusting the doping ratio of Fe atoms. Our current research indicates that the doping of metal is also an important strategy to improve the electrocatalytic activity for the HER.","author":[{"dropping-particle":"","family":"Pan","given":"Yuan","non-dropping-particle":"","parse-names":false,"suffix":""},{"dropping-particle":"","family":"Liu","given":"Yunqi","non-dropping-particle":"","parse-names":false,"suffix":""},{"dropping-particle":"","family":"Lin","given":"Yan","non-dropping-particle":"","parse-names":false,"suffix":""},{"dropping-particle":"","family":"Liu","given":"Chenguang","non-dropping-particle":"","parse-names":false,"suffix":""}],"container-title":"ACS Applied Materials and Interfaces","id":"ITEM-2","issue":"22","issued":{"date-parts":[["2016"]]},"page":"13890-13901","title":"Metal Doping Effect of the M-Co2P/Nitrogen-Doped Carbon Nanotubes (M = Fe, Ni, Cu) Hydrogen Evolution Hybrid Catalysts","type":"article-journal","volume":"8"},"uris":["http://www.mendeley.com/documents/?uuid=161b778e-7387-400e-87b4-11cb77181ae9"]},{"id":"ITEM-3","itemData":{"DOI":"10.1039/c4cs00470a","ISSN":"14604744","abstract":"This review provides insights into theoretical and experimental electrochemistry toward a better understanding of a series of key energy conversion reactions. A fundamental change has been achieved in understanding surface electrochemistry due to the profound knowledge of the nature of electrocatalytic processes accumulated over the past several decades and to the recent technological advances in spectroscopy and high resolution imaging. Nowadays one can preferably design electrocatalysts based on the deep theoretical knowledge of electronic structures, via computer-guided engineering of the surface and (electro)chemical properties of materials, followed by the synthesis of practical materials with high performance for specific reactions. This review provides insights into both theoretical and experimental electrochemistry toward a better understanding of a series of key clean energy conversion reactions including oxygen reduction reaction (ORR), oxygen evolution reaction (OER), and hydrogen evolution reaction (HER). The emphasis of this review is on the origin of the electrocatalytic activity of nanostructured catalysts toward the aforementioned reactions by correlating the apparent electrode performance with their intrinsic electrochemical properties. Also, a rational design of electrocatalysts is proposed starting from the most fundamental aspects of the electronic structure engineering to a more practical level of nanotechnological fabrication. ","author":[{"dropping-particle":"","family":"Jiao","given":"Yan","non-dropping-particle":"","parse-names":false,"suffix":""},{"dropping-particle":"","family":"Zheng","given":"Yao","non-dropping-particle":"","parse-names":false,"suffix":""},{"dropping-particle":"","family":"Jaroniec","given":"Mietek","non-dropping-particle":"","parse-names":false,"suffix":""},{"dropping-particle":"","family":"Qiao","given":"Shi Zhang","non-dropping-particle":"","parse-names":false,"suffix":""}],"container-title":"Chemical Society Reviews","id":"ITEM-3","issue":"8","issued":{"date-parts":[["2015"]]},"page":"2060-2086","publisher":"Royal Society of Chemistry","title":"Design of electrocatalysts for oxygen- and hydrogen-involving energy conversion reactions","type":"article-journal","volume":"44"},"uris":["http://www.mendeley.com/documents/?uuid=a5e85669-3a55-45b1-9fd1-bddb3900d2fa"]},{"id":"ITEM-4","itemData":{"DOI":"10.1021/acs.chemmater.5b01284","ISSN":"15205002","abstract":"Metal phosphides have emerged as promising Earth-abundant alternatives to platinum for catalyzing the hydrogen evolution reaction (HER) in acidic aqueous solutions. Here, Co2P nanoparticles having a hollow, multifaceted, crystalline morphology have been evaluated as HER electrocatalysts at a mass loading of 1 mg cm?2 on Ti foil substrates. The Co2P/Ti electrodes required low overpotentials of ?95 and ?109 mV to produce operationally relevant cathodic current densities of ?10 and ?20 mA cm?2, respectively. These values establish Co2P nanoparticles as highly active Earth-abundant HER catalyst materials. Importantly, the Co2P nanoparticles are morphologically equivalent to previously reported CoP nanoparticle HER catalysts, allowing a direct side-by-side evaluation of their HER activities. Such comparisons of different metal phosphide HER catalysts with the same constituent elements and morphologies are important for identifying the key materials characteristics that lead to high activity.\\nMetal phosphides have emerged as promising Earth-abundant alternatives to platinum for catalyzing the hydrogen evolution reaction (HER) in acidic aqueous solutions. Here, Co2P nanoparticles having a hollow, multifaceted, crystalline morphology have been evaluated as HER electrocatalysts at a mass loading of 1 mg cm?2 on Ti foil substrates. The Co2P/Ti electrodes required low overpotentials of ?95 and ?109 mV to produce operationally relevant cathodic current densities of ?10 and ?20 mA cm?2, respectively. These values establish Co2P nanoparticles as highly active Earth-abundant HER catalyst materials. Importantly, the Co2P nanoparticles are morphologically equivalent to previously reported CoP nanoparticle HER catalysts, allowing a direct side-by-side evaluation of their HER activities. Such comparisons of different metal phosphide HER catalysts with the same constituent elements and morphologies are important for identifying the key materials characteristics that lead to high activity.","author":[{"dropping-particle":"","family":"Callejas","given":"Juan F.","non-dropping-particle":"","parse-names":false,"suffix":""},{"dropping-particle":"","family":"Read","given":"Carlos G.","non-dropping-particle":"","parse-names":false,"suffix":""},{"dropping-particle":"","family":"Popczun","given":"Eric J.","non-dropping-particle":"","parse-names":false,"suffix":""},{"dropping-particle":"","family":"McEnaney","given":"Joshua M.","non-dropping-particle":"","parse-names":false,"suffix":""},{"dropping-particle":"","family":"Schaak","given":"Raymond E.","non-dropping-particle":"","parse-names":false,"suffix":""}],"container-title":"Chemistry of Materials","id":"ITEM-4","issue":"10","issued":{"date-parts":[["2015"]]},"page":"3769-3774","title":"Nanostructured Co2P electrocatalyst for the hydrogen evolution reaction and direct comparison with morphologically equivalent CoP","type":"article-journal","volume":"27"},"uris":["http://www.mendeley.com/documents/?uuid=eca162c7-8c0c-41b8-9eef-baf69a5d5412"]},{"id":"ITEM-5","itemData":{"DOI":"10.1039/c5gc02462e","ISSN":"14639270","abstract":" Microwave-assisted synthesized metallic Co 2 P nanowires show highly-efficient electrocatalytic activity towards hydrogen and oxygen evolution reactions contrasted with the CoP nanowires.  A rapid microwave-assisted preparation of Co 2 P nanowires (NWs) is reported here, comparing with the CoP NWs. The characterizations and theoretical calculations indicate that Co 2 P exhibits metallic properties with improved conductivity. The electrocatalytic hydrogen and oxygen evolution activities are then measured and discussed in the paper, which show the advanced efficiency of Co 2 P NWs for the overall water-splitting. ","author":[{"dropping-particle":"","family":"Jin","given":"Zhaoyu","non-dropping-particle":"","parse-names":false,"suffix":""},{"dropping-particle":"","family":"Li","given":"Panpan","non-dropping-particle":"","parse-names":false,"suffix":""},{"dropping-particle":"","family":"Xiao","given":"Dan","non-dropping-particle":"","parse-names":false,"suffix":""}],"container-title":"Green Chemistry","id":"ITEM-5","issue":"6","issued":{"date-parts":[["2016"]]},"page":"1459-1464","publisher":"Royal Society of Chemistry","title":"Metallic Co2P ultrathin nanowires distinguished from CoP as robust electrocatalysts for overall water-splitting","type":"article-journal","volume":"18"},"uris":["http://www.mendeley.com/documents/?uuid=a1f3c94b-a542-49bc-88a3-86a23c9d2bae"]},{"id":"ITEM-6","itemData":{"DOI":"10.1039/c7ta00592j","ISSN":"20507496","abstract":"Carbon framework wrapped cobalt phosphide on carbon cloth (Co 2 P@C/CC) was synthesized via one-step CVD as a flexible electrocatalyst for the HER. Here, we develop a novel method to successfully prepare a nanohybrid catalyst of carbon framework wrapped cobalt phosphide on carbon cloth (Co 2 P@C/CC) as a flexible electrocatalyst for the HER. Relative to reported phosphides phosphatized using hypophosphite, the resulting Co 2 P@C/CC was prepared using a Co 3 (PO 4 ) 2 precursor via one-step chemical vapor deposition (CVD) reduction, thus obtaining highly purified Co 2 P. This moderate method paves a versatile path to designing earth-abundant alternatives for the HER.","author":[{"dropping-particle":"","family":"Ye","given":"Cui","non-dropping-particle":"","parse-names":false,"suffix":""},{"dropping-particle":"","family":"Wang","given":"Min Qiang","non-dropping-particle":"","parse-names":false,"suffix":""},{"dropping-particle":"","family":"Chen","given":"Guo","non-dropping-particle":"","parse-names":false,"suffix":""},{"dropping-particle":"","family":"Deng","given":"Yang Hui","non-dropping-particle":"","parse-names":false,"suffix":""},{"dropping-particle":"","family":"Li","given":"Ling Jie","non-dropping-particle":"","parse-names":false,"suffix":""},{"dropping-particle":"","family":"Luo","given":"Hong Qun","non-dropping-particle":"","parse-names":false,"suffix":""},{"dropping-particle":"","family":"Li","given":"Nian Bing","non-dropping-particle":"","parse-names":false,"suffix":""}],"container-title":"Journal of Materials Chemistry A","id":"ITEM-6","issue":"17","issued":{"date-parts":[["2017"]]},"page":"7791-7795","title":"One-step CVD synthesis of carbon framework wrapped Co2P as a flexible electrocatalyst for efficient hydrogen evolution","type":"article-journal","volume":"5"},"uris":["http://www.mendeley.com/documents/?uuid=860e9838-cd3b-4e72-b09c-346cd8240c26"]}],"mendeley":{"formattedCitation":"&lt;sup&gt;5–10&lt;/sup&gt;","plainTextFormattedCitation":"5–10","previouslyFormattedCitation":"&lt;sup&gt;5–10&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5–10</w:t>
      </w:r>
      <w:r>
        <w:rPr>
          <w:rFonts w:ascii="Times" w:hAnsi="Times" w:cs="Calibri"/>
          <w:sz w:val="24"/>
          <w:szCs w:val="24"/>
          <w:lang w:val="en-US"/>
        </w:rPr>
        <w:fldChar w:fldCharType="end"/>
      </w:r>
      <w:r>
        <w:rPr>
          <w:rFonts w:ascii="Times" w:hAnsi="Times" w:cs="Calibri"/>
          <w:sz w:val="24"/>
          <w:szCs w:val="24"/>
          <w:lang w:val="en-US"/>
        </w:rPr>
        <w:t xml:space="preserve"> The successful incorporation of phosphorus can significantly increase the corrosion resistance of metal phosphides compared to pure metals. Besides, the charge transfer </w:t>
      </w:r>
      <w:r>
        <w:rPr>
          <w:rFonts w:ascii="Times" w:hAnsi="Times" w:cs="Calibri"/>
          <w:sz w:val="24"/>
          <w:szCs w:val="24"/>
          <w:lang w:val="en-US" w:eastAsia="zh-CN"/>
        </w:rPr>
        <w:t>between transition metals and phosphorus could also generate more favorable active sites for the adsorption of reaction intermediates.</w:t>
      </w:r>
      <w:r>
        <w:rPr>
          <w:rFonts w:ascii="Times" w:hAnsi="Times" w:cs="Calibri"/>
          <w:sz w:val="24"/>
          <w:szCs w:val="24"/>
          <w:lang w:val="en-US" w:eastAsia="zh-CN"/>
        </w:rPr>
        <w:fldChar w:fldCharType="begin" w:fldLock="1"/>
      </w:r>
      <w:r>
        <w:rPr>
          <w:rFonts w:ascii="Times" w:hAnsi="Times" w:cs="Calibri"/>
          <w:sz w:val="24"/>
          <w:szCs w:val="24"/>
          <w:lang w:val="en-US" w:eastAsia="zh-CN"/>
        </w:rPr>
        <w:instrText>ADDIN CSL_CITATION {"citationItems":[{"id":"ITEM-1","itemData":{"DOI":"10.1021/ja503372r","ISSN":"15205126","abstract":"In this Communication, we report the topotactic fabrication of self-supported nanoporous cobalt phosphide nanowire arrays on carbon cloth (CoP/CC) via low-temperature phosphidation of the corresponding Co(OH)F/CC precursor. The CoP/CC, as a robust integrated 3D hydrogen-evolving cathode, shows a low onset overpotential of 38 mV and a small Tafel slope of 51 mV dec−1, and it maintains its catalytic activity for at least 80 000 s in acidic media. It needs overpotentials (</w:instrText>
      </w:r>
      <w:r>
        <w:rPr>
          <w:rFonts w:ascii="Times" w:hAnsi="Times" w:cs="Calibri" w:hint="eastAsia"/>
          <w:sz w:val="24"/>
          <w:szCs w:val="24"/>
          <w:lang w:val="en-US" w:eastAsia="zh-CN"/>
        </w:rPr>
        <w:instrText>η</w:instrText>
      </w:r>
      <w:r>
        <w:rPr>
          <w:rFonts w:ascii="Times" w:hAnsi="Times" w:cs="Calibri"/>
          <w:sz w:val="24"/>
          <w:szCs w:val="24"/>
          <w:lang w:val="en-US" w:eastAsia="zh-CN"/>
        </w:rPr>
        <w:instrText>) of 67, 100, and 204 mV to attain current densities of 10, 20, and 100 mA cm−2, respectively. Additionally, this electrode offers excellent catalytic performance and durability under neutral and basic conditions. D","author":[{"dropping-particle":"","family":"Tian","given":"Jingqi","non-dropping-particle":"","parse-names":false,"suffix":""},{"dropping-particle":"","family":"Liu","given":"Qian","non-dropping-particle":"","parse-names":false,"suffix":""},{"dropping-particle":"","family":"Asiri","given":"Abdullah M.","non-dropping-particle":"","parse-names":false,"suffix":""},{"dropping-particle":"","family":"Sun","given":"Xuping","non-dropping-particle":"","parse-names":false,"suffix":""}],"container-title":"Journal of the American Chemical Society","id":"ITEM-1","issue":"21","issued":{"date-parts":[["2014"]]},"page":"7587-7590","title":"Self-supported nanoporous cobalt phosphide nanowire arrays: An efficient 3D hydrogen-evolving cathode over the wide range of pH 0-14","type":"article-journal","volume":"136"},"uris":["http://www.mendeley.com/documents/?uuid=ffcd075e-fc94-45e6-b3ff-b9954af0644f"]},{"id":"ITEM-2","itemData":{"DOI":"10.1002/cssc.201701705","ISSN":"1864564X","abstract":"A highly efficient and pH-universal hydrogen evolution reaction (HER) electrocatalyst with a sandwich-architecture constructed using zero-dimensional N- and P-dual-doped core-shell Co2P@C nanoparticles embedded into a 3D porous carbon sandwich (Co2P@N,P-C/CG) was synthesized through a facile two-step hydrothermal carbonization and pyrolysis method. The interfacial electron transfer rate and the number of active sites increased owing to the synergistic effect between the N,P-dual-doped Co2P@C core-shell and sandwich-nanostructured substrates. The presence of a high surface area and large pore sizes improved the mass-transfer dynamics. This nanohybrid showed remarkable electrocatalytic activity toward the HER in a wide pH range with good stability. The computational study and experiments revealed that the carbon atoms close to the N and P dopants on the shell of Co2P@N,P-C were effective active sites for HER catalysis and that both Co2P and the N,P dopants gave rise to an optimized binding free energy of H on the active sites.","author":[{"dropping-particle":"","family":"Yang","given":"Yuanyuan","non-dropping-particle":"","parse-names":false,"suffix":""},{"dropping-particle":"","family":"Liang","given":"Xiongyi","non-dropping-particle":"","parse-names":false,"suffix":""},{"dropping-particle":"","family":"Li","given":"Feng","non-dropping-particle":"","parse-names":false,"suffix":""},{"dropping-particle":"","family":"Li","given":"Shuwen","non-dropping-particle":"","parse-names":false,"suffix":""},{"dropping-particle":"","family":"Li","given":"Xinzhe","non-dropping-particle":"","parse-names":false,"suffix":""},{"dropping-particle":"","family":"Ng","given":"Siu Pang","non-dropping-particle":"","parse-names":false,"suffix":""},{"dropping-particle":"","family":"Wu","given":"Chi Man Lawrence","non-dropping-particle":"","parse-names":false,"suffix":""},{"dropping-particle":"","family":"Li","given":"Rong","non-dropping-particle":"","parse-names":false,"suffix":""}],"container-title":"ChemSusChem","id":"ITEM-2","issue":"2","issued":{"date-parts":[["2018"]]},"page":"376-388","title":"Encapsulating Co2P@C Core–Shell Nanoparticles in a Porous Carbon Sandwich as Dual-Doped Electrocatalyst for Hydrogen Evolution","type":"article-journal","volume":"11"},"uris":["http://www.mendeley.com/documents/?uuid=0dff1f23-6a8c-4029-ae31-5adf324731ad"]}],"mendeley":{"formattedCitation":"&lt;sup&gt;11,12&lt;/sup&gt;","plainTextFormattedCitation":"11,12","previouslyFormattedCitation":"&lt;sup&gt;11,12&lt;/sup&gt;"},"properties":{"noteIndex":0},"schema":"https://github.com/citation-style-language/schema/raw/master/csl-citation.json"}</w:instrText>
      </w:r>
      <w:r>
        <w:rPr>
          <w:rFonts w:ascii="Times" w:hAnsi="Times" w:cs="Calibri"/>
          <w:sz w:val="24"/>
          <w:szCs w:val="24"/>
          <w:lang w:val="en-US" w:eastAsia="zh-CN"/>
        </w:rPr>
        <w:fldChar w:fldCharType="separate"/>
      </w:r>
      <w:r>
        <w:rPr>
          <w:rFonts w:ascii="Times" w:hAnsi="Times" w:cs="Calibri"/>
          <w:noProof/>
          <w:sz w:val="24"/>
          <w:szCs w:val="24"/>
          <w:vertAlign w:val="superscript"/>
          <w:lang w:val="en-US" w:eastAsia="zh-CN"/>
        </w:rPr>
        <w:t>11,12</w:t>
      </w:r>
      <w:r>
        <w:rPr>
          <w:rFonts w:ascii="Times" w:hAnsi="Times" w:cs="Calibri"/>
          <w:sz w:val="24"/>
          <w:szCs w:val="24"/>
          <w:lang w:val="en-US" w:eastAsia="zh-CN"/>
        </w:rPr>
        <w:fldChar w:fldCharType="end"/>
      </w:r>
      <w:r>
        <w:rPr>
          <w:rFonts w:ascii="Times" w:hAnsi="Times" w:cs="Calibri"/>
          <w:sz w:val="24"/>
          <w:szCs w:val="24"/>
          <w:lang w:val="en-US" w:eastAsia="zh-CN"/>
        </w:rPr>
        <w:t xml:space="preserve"> However, the electrochemical performance of most transition metal phosphides is still limited by the fact that firstly, although these materials are good catalysts for the adsorption of the H intermediates, they are generally </w:t>
      </w:r>
      <w:r>
        <w:rPr>
          <w:rFonts w:ascii="Times" w:hAnsi="Times" w:cs="Calibri"/>
          <w:sz w:val="24"/>
          <w:szCs w:val="24"/>
          <w:lang w:val="en-US" w:eastAsia="zh-CN"/>
        </w:rPr>
        <w:lastRenderedPageBreak/>
        <w:t>inefficient in the initial water discharge step to form reaction intermediates in alkaline solutions.</w:t>
      </w:r>
      <w:r>
        <w:rPr>
          <w:rFonts w:ascii="Times" w:hAnsi="Times" w:cs="Calibri"/>
          <w:sz w:val="24"/>
          <w:szCs w:val="24"/>
          <w:lang w:val="en-US" w:eastAsia="zh-CN"/>
        </w:rPr>
        <w:fldChar w:fldCharType="begin" w:fldLock="1"/>
      </w:r>
      <w:r>
        <w:rPr>
          <w:rFonts w:ascii="Times" w:hAnsi="Times" w:cs="Calibri"/>
          <w:sz w:val="24"/>
          <w:szCs w:val="24"/>
          <w:lang w:val="en-US" w:eastAsia="zh-CN"/>
        </w:rPr>
        <w:instrText>ADDIN CSL_CITATION {"citationItems":[{"id":"ITEM-1","itemData":{"DOI":"10.1126/science.1211934","author":[{"dropping-particle":"","family":"Subbaraman","given":"R","non-dropping-particle":"","parse-names":false,"suffix":""},{"dropping-particle":"","family":"Tripkovic","given":"D","non-dropping-particle":"","parse-names":false,"suffix":""},{"dropping-particle":"","family":"Strmcnik","given":"D","non-dropping-particle":"","parse-names":false,"suffix":""},{"dropping-particle":"","family":"Chang","given":"K C","non-dropping-particle":"","parse-names":false,"suffix":""},{"dropping-particle":"","family":"Uchimura","given":"M","non-dropping-particle":"","parse-names":false,"suffix":""},{"dropping-particle":"","family":"Paulikas","given":"A P","non-dropping-particle":"","parse-names":false,"suffix":""},{"dropping-particle":"","family":"Stamenkovic","given":"V","non-dropping-particle":"","parse-names":false,"suffix":""},{"dropping-particle":"","family":"Markovic","given":"N M","non-dropping-particle":"","parse-names":false,"suffix":""}],"container-title":"Science","id":"ITEM-1","issued":{"date-parts":[["2011"]]},"page":"1256-1260","title":"Enhancing hydrogen evolution activity in water splitting by tailoring Li</w:instrText>
      </w:r>
      <w:r>
        <w:rPr>
          <w:rFonts w:ascii="Cambria Math" w:hAnsi="Cambria Math" w:cs="Cambria Math"/>
          <w:sz w:val="24"/>
          <w:szCs w:val="24"/>
          <w:lang w:val="en-US" w:eastAsia="zh-CN"/>
        </w:rPr>
        <w:instrText>⁺</w:instrText>
      </w:r>
      <w:r>
        <w:rPr>
          <w:rFonts w:ascii="Times" w:hAnsi="Times" w:cs="Calibri"/>
          <w:sz w:val="24"/>
          <w:szCs w:val="24"/>
          <w:lang w:val="en-US" w:eastAsia="zh-CN"/>
        </w:rPr>
        <w:instrText>-Ni(OH)</w:instrText>
      </w:r>
      <w:r>
        <w:rPr>
          <w:rFonts w:ascii="Cambria Math" w:hAnsi="Cambria Math" w:cs="Cambria Math"/>
          <w:sz w:val="24"/>
          <w:szCs w:val="24"/>
          <w:lang w:val="en-US" w:eastAsia="zh-CN"/>
        </w:rPr>
        <w:instrText>₂</w:instrText>
      </w:r>
      <w:r>
        <w:rPr>
          <w:rFonts w:ascii="Times" w:hAnsi="Times" w:cs="Calibri"/>
          <w:sz w:val="24"/>
          <w:szCs w:val="24"/>
          <w:lang w:val="en-US" w:eastAsia="zh-CN"/>
        </w:rPr>
        <w:instrText>-Pt interfaces","type":"article-journal","volume":"334"},"uris":["http://www.mendeley.com/documents/?uuid=3e1d1075-4c08-4b3b-973c-660cdbec1736"]}],"mendeley":{"formattedCitation":"&lt;sup&gt;13&lt;/sup&gt;","plainTextFormattedCitation":"13","previouslyFormattedCitation":"&lt;sup&gt;13&lt;/sup&gt;"},"properties":{"noteIndex":0},"schema":"https://github.com/citation-style-language/schema/raw/master/csl-citation.json"}</w:instrText>
      </w:r>
      <w:r>
        <w:rPr>
          <w:rFonts w:ascii="Times" w:hAnsi="Times" w:cs="Calibri"/>
          <w:sz w:val="24"/>
          <w:szCs w:val="24"/>
          <w:lang w:val="en-US" w:eastAsia="zh-CN"/>
        </w:rPr>
        <w:fldChar w:fldCharType="separate"/>
      </w:r>
      <w:r>
        <w:rPr>
          <w:rFonts w:ascii="Times" w:hAnsi="Times" w:cs="Calibri"/>
          <w:noProof/>
          <w:sz w:val="24"/>
          <w:szCs w:val="24"/>
          <w:vertAlign w:val="superscript"/>
          <w:lang w:val="en-US" w:eastAsia="zh-CN"/>
        </w:rPr>
        <w:t>13</w:t>
      </w:r>
      <w:r>
        <w:rPr>
          <w:rFonts w:ascii="Times" w:hAnsi="Times" w:cs="Calibri"/>
          <w:sz w:val="24"/>
          <w:szCs w:val="24"/>
          <w:lang w:val="en-US" w:eastAsia="zh-CN"/>
        </w:rPr>
        <w:fldChar w:fldCharType="end"/>
      </w:r>
      <w:r>
        <w:rPr>
          <w:rFonts w:ascii="Times" w:hAnsi="Times" w:cs="Calibri"/>
          <w:sz w:val="24"/>
          <w:szCs w:val="24"/>
          <w:lang w:val="en-US" w:eastAsia="zh-CN"/>
        </w:rPr>
        <w:t xml:space="preserve"> Secondly, the hydrogen binding strength on these transition metal phosphides catalysts is still too strong, which will hinder the desorption step of H intermediates and thus make the overall HER kinetics more sluggish.</w:t>
      </w:r>
      <w:r>
        <w:rPr>
          <w:rFonts w:ascii="Times" w:hAnsi="Times" w:cs="Calibri"/>
          <w:sz w:val="24"/>
          <w:szCs w:val="24"/>
          <w:lang w:val="en-US" w:eastAsia="zh-CN"/>
        </w:rPr>
        <w:fldChar w:fldCharType="begin" w:fldLock="1"/>
      </w:r>
      <w:r>
        <w:rPr>
          <w:rFonts w:ascii="Times" w:hAnsi="Times" w:cs="Calibri"/>
          <w:sz w:val="24"/>
          <w:szCs w:val="24"/>
          <w:lang w:val="en-US" w:eastAsia="zh-CN"/>
        </w:rPr>
        <w:instrText>ADDIN CSL_CITATION {"citationItems":[{"id":"ITEM-1","itemData":{"DOI":"10.1002/adma.201606980","ISSN":"15214095","abstract":"Electrochemical water splitting to produce hydrogen renders a promising pathway for renewable energy storage. Considering limited electrocatalysts have good oxygen-evolution reaction (OER) catalytic activity in acid solution while numerous economical materials show excellent OER catalytic performance in alkaline solution, developing new strategies that enhance the alkaline hydrogen-evolution reaction (HER) catalytic activity of cost-effective catalysts is highly desirable for achieving highly efficient overall water splitting. Herein, it is demonstrated that synergistic regulation of water dissociation and optimization of hydrogen adsorption free energy on electrocatalysts can significantly promote alkaline HER catalysis. Using oxygen-incorporated Co2 P as an example, the synergistic effect brings about 15-fold enhancement of alkaline HER activity. Theory calculations confirm that the water dissociation free energy of Co2 P decreases significantly after oxygen incorporation, and the hydrogen adsorption free energy can also be optimized simultaneously. The finding suggests the powerful effectiveness of synergetic regulation of water dissociation and optimization of hydrogen adsorption free energy on electrocatalysts for alkaline HER catalysis.","author":[{"dropping-particle":"","family":"Xu","given":"Kun","non-dropping-particle":"","parse-names":false,"suffix":""},{"dropping-particle":"","family":"Ding","given":"Hui","non-dropping-particle":"","parse-names":false,"suffix":""},{"dropping-particle":"","family":"Zhang","given":"Mengxing","non-dropping-particle":"","parse-names":false,"suffix":""},{"dropping-particle":"","family":"Chen","given":"Min","non-dropping-particle":"","parse-names":false,"suffix":""},{"dropping-particle":"","family":"Hao","given":"Zikai","non-dropping-particle":"","parse-names":false,"suffix":""},{"dropping-particle":"","family":"Zhang","given":"Lidong","non-dropping-particle":"","parse-names":false,"suffix":""},{"dropping-particle":"","family":"Wu","given":"Changzheng","non-dropping-particle":"","parse-names":false,"suffix":""},{"dropping-particle":"","family":"Xie","given":"Yi","non-dropping-particle":"","parse-names":false,"suffix":""}],"container-title":"Advanced Materials","id":"ITEM-1","issue":"28","issued":{"date-parts":[["2017"]]},"page":"1-6","title":"Regulating Water-Reduction Kinetics in Cobalt Phosphide for Enhancing HER Catalytic Activity in Alkaline Solution","type":"article-journal","volume":"29"},"uris":["http://www.mendeley.com/documents/?uuid=ae8d195c-d08b-42d8-9be7-3cd6b5de6026"]},{"id":"ITEM-2","itemData":{"DOI":"10.1002/cssc.201701705","ISSN":"1864564X","abstract":"A highly efficient and pH-universal hydrogen evolution reaction (HER) electrocatalyst with a sandwich-architecture constructed using zero-dimensional N- and P-dual-doped core-shell Co2P@C nanoparticles embedded into a 3D porous carbon sandwich (Co2P@N,P-C/CG) was synthesized through a facile two-step hydrothermal carbonization and pyrolysis method. The interfacial electron transfer rate and the number of active sites increased owing to the synergistic effect between the N,P-dual-doped Co2P@C core-shell and sandwich-nanostructured substrates. The presence of a high surface area and large pore sizes improved the mass-transfer dynamics. This nanohybrid showed remarkable electrocatalytic activity toward the HER in a wide pH range with good stability. The computational study and experiments revealed that the carbon atoms close to the N and P dopants on the shell of Co2P@N,P-C were effective active sites for HER catalysis and that both Co2P and the N,P dopants gave rise to an optimized binding free energy of H on the active sites.","author":[{"dropping-particle":"","family":"Yang","given":"Yuanyuan","non-dropping-particle":"","parse-names":false,"suffix":""},{"dropping-particle":"","family":"Liang","given":"Xiongyi","non-dropping-particle":"","parse-names":false,"suffix":""},{"dropping-particle":"","family":"Li","given":"Feng","non-dropping-particle":"","parse-names":false,"suffix":""},{"dropping-particle":"","family":"Li","given":"Shuwen","non-dropping-particle":"","parse-names":false,"suffix":""},{"dropping-particle":"","family":"Li","given":"Xinzhe","non-dropping-particle":"","parse-names":false,"suffix":""},{"dropping-particle":"","family":"Ng","given":"Siu Pang","non-dropping-particle":"","parse-names":false,"suffix":""},{"dropping-particle":"","family":"Wu","given":"Chi Man Lawrence","non-dropping-particle":"","parse-names":false,"suffix":""},{"dropping-particle":"","family":"Li","given":"Rong","non-dropping-particle":"","parse-names":false,"suffix":""}],"container-title":"ChemSusChem","id":"ITEM-2","issue":"2","issued":{"date-parts":[["2018"]]},"page":"376-388","title":"Encapsulating Co2P@C Core–Shell Nanoparticles in a Porous Carbon Sandwich as Dual-Doped Electrocatalyst for Hydrogen Evolution","type":"article-journal","volume":"11"},"uris":["http://www.mendeley.com/documents/?uuid=edd7b079-fac0-4061-b1fe-8d48249e7f23"]},{"id":"ITEM-3","itemData":{"DOI":"10.1002/cssc.201702328","ISSN":"1864564X","abstract":"Abstract The hydrogen evolution reaction (HER) produces clean hydrogen through an electrochemical process. However, new nonprecious-metal electrocatalysts for the HER are required to reduce the consumption of energy. Herein, we report a new Co2P/WC nano-heterojunction that consists of Co2P and WC composite phases coated with a few-layer N-doped graphitic carbon shells (Co2P/WC@NC). The composite was prepared by a one-step annealing of the polyoxometalate Na9(NH4)5[{(B-</w:instrText>
      </w:r>
      <w:r>
        <w:rPr>
          <w:rFonts w:ascii="Times" w:hAnsi="Times" w:cs="Calibri" w:hint="eastAsia"/>
          <w:sz w:val="24"/>
          <w:szCs w:val="24"/>
          <w:lang w:val="en-US" w:eastAsia="zh-CN"/>
        </w:rPr>
        <w:instrText>α</w:instrText>
      </w:r>
      <w:r>
        <w:rPr>
          <w:rFonts w:ascii="Times" w:hAnsi="Times" w:cs="Calibri"/>
          <w:sz w:val="24"/>
          <w:szCs w:val="24"/>
          <w:lang w:val="en-US" w:eastAsia="zh-CN"/>
        </w:rPr>
        <w:instrText>-PW9O34)Co3(OH)(H2O)2(Ale)}2Co]</w:instrText>
      </w:r>
      <w:r>
        <w:rPr>
          <w:rFonts w:ascii="Cambria Math" w:hAnsi="Cambria Math" w:cs="Cambria Math"/>
          <w:sz w:val="24"/>
          <w:szCs w:val="24"/>
          <w:lang w:val="en-US" w:eastAsia="zh-CN"/>
        </w:rPr>
        <w:instrText>⋅</w:instrText>
      </w:r>
      <w:r>
        <w:rPr>
          <w:rFonts w:ascii="Times" w:hAnsi="Times" w:cs="Calibri"/>
          <w:sz w:val="24"/>
          <w:szCs w:val="24"/>
          <w:lang w:val="en-US" w:eastAsia="zh-CN"/>
        </w:rPr>
        <w:instrText>35</w:instrText>
      </w:r>
      <w:r>
        <w:rPr>
          <w:sz w:val="24"/>
          <w:szCs w:val="24"/>
          <w:lang w:val="en-US" w:eastAsia="zh-CN"/>
        </w:rPr>
        <w:instrText> </w:instrText>
      </w:r>
      <w:r>
        <w:rPr>
          <w:rFonts w:ascii="Times" w:hAnsi="Times" w:cs="Calibri"/>
          <w:sz w:val="24"/>
          <w:szCs w:val="24"/>
          <w:lang w:val="en-US" w:eastAsia="zh-CN"/>
        </w:rPr>
        <w:instrText>H2O (Co7P6W18) and dicyandiamide (DCA). The preparation method consisted of the simultaneous phosphorization of Co and carbonization of W in a confined space to isolate a Co2P/WC nano-heterojunction phase for the first time. Co2P/WC@NC facilitated the generation of hydrogen in the electrolysis process, which had an overpotential of only 91</w:instrText>
      </w:r>
      <w:r>
        <w:rPr>
          <w:sz w:val="24"/>
          <w:szCs w:val="24"/>
          <w:lang w:val="en-US" w:eastAsia="zh-CN"/>
        </w:rPr>
        <w:instrText> </w:instrText>
      </w:r>
      <w:r>
        <w:rPr>
          <w:rFonts w:ascii="Times" w:hAnsi="Times" w:cs="Calibri"/>
          <w:sz w:val="24"/>
          <w:szCs w:val="24"/>
          <w:lang w:val="en-US" w:eastAsia="zh-CN"/>
        </w:rPr>
        <w:instrText>mV at a current density of 10</w:instrText>
      </w:r>
      <w:r>
        <w:rPr>
          <w:sz w:val="24"/>
          <w:szCs w:val="24"/>
          <w:lang w:val="en-US" w:eastAsia="zh-CN"/>
        </w:rPr>
        <w:instrText> </w:instrText>
      </w:r>
      <w:r>
        <w:rPr>
          <w:rFonts w:ascii="Times" w:hAnsi="Times" w:cs="Calibri"/>
          <w:sz w:val="24"/>
          <w:szCs w:val="24"/>
          <w:lang w:val="en-US" w:eastAsia="zh-CN"/>
        </w:rPr>
        <w:instrText>mA</w:instrText>
      </w:r>
      <w:r>
        <w:rPr>
          <w:sz w:val="24"/>
          <w:szCs w:val="24"/>
          <w:lang w:val="en-US" w:eastAsia="zh-CN"/>
        </w:rPr>
        <w:instrText> </w:instrText>
      </w:r>
      <w:r>
        <w:rPr>
          <w:rFonts w:ascii="Times" w:hAnsi="Times" w:cs="Calibri"/>
          <w:sz w:val="24"/>
          <w:szCs w:val="24"/>
          <w:lang w:val="en-US" w:eastAsia="zh-CN"/>
        </w:rPr>
        <w:instrText>cm−2 in the acid solution; an excellent HER performance (2</w:instrText>
      </w:r>
      <w:r>
        <w:rPr>
          <w:sz w:val="24"/>
          <w:szCs w:val="24"/>
          <w:lang w:val="en-US" w:eastAsia="zh-CN"/>
        </w:rPr>
        <w:instrText> </w:instrText>
      </w:r>
      <w:r>
        <w:rPr>
          <w:rFonts w:ascii="Times" w:hAnsi="Times" w:cs="Calibri"/>
          <w:sz w:val="24"/>
          <w:szCs w:val="24"/>
          <w:lang w:val="en-US" w:eastAsia="zh-CN"/>
        </w:rPr>
        <w:instrText>H++2</w:instrText>
      </w:r>
      <w:r>
        <w:rPr>
          <w:sz w:val="24"/>
          <w:szCs w:val="24"/>
          <w:lang w:val="en-US" w:eastAsia="zh-CN"/>
        </w:rPr>
        <w:instrText> </w:instrText>
      </w:r>
      <w:r>
        <w:rPr>
          <w:rFonts w:ascii="Times" w:hAnsi="Times" w:cs="Calibri"/>
          <w:sz w:val="24"/>
          <w:szCs w:val="24"/>
          <w:lang w:val="en-US" w:eastAsia="zh-CN"/>
        </w:rPr>
        <w:instrText>e−</w:instrText>
      </w:r>
      <w:r>
        <w:rPr>
          <w:rFonts w:ascii="Times" w:hAnsi="Times" w:cs="Calibri" w:hint="eastAsia"/>
          <w:sz w:val="24"/>
          <w:szCs w:val="24"/>
          <w:lang w:val="en-US" w:eastAsia="zh-CN"/>
        </w:rPr>
        <w:instrText>→</w:instrText>
      </w:r>
      <w:r>
        <w:rPr>
          <w:rFonts w:ascii="Times" w:hAnsi="Times" w:cs="Calibri"/>
          <w:sz w:val="24"/>
          <w:szCs w:val="24"/>
          <w:lang w:val="en-US" w:eastAsia="zh-CN"/>
        </w:rPr>
        <w:instrText>H2) and Tafel slope (40</w:instrText>
      </w:r>
      <w:r>
        <w:rPr>
          <w:sz w:val="24"/>
          <w:szCs w:val="24"/>
          <w:lang w:val="en-US" w:eastAsia="zh-CN"/>
        </w:rPr>
        <w:instrText> </w:instrText>
      </w:r>
      <w:r>
        <w:rPr>
          <w:rFonts w:ascii="Times" w:hAnsi="Times" w:cs="Calibri"/>
          <w:sz w:val="24"/>
          <w:szCs w:val="24"/>
          <w:lang w:val="en-US" w:eastAsia="zh-CN"/>
        </w:rPr>
        <w:instrText>mV</w:instrText>
      </w:r>
      <w:r>
        <w:rPr>
          <w:sz w:val="24"/>
          <w:szCs w:val="24"/>
          <w:lang w:val="en-US" w:eastAsia="zh-CN"/>
        </w:rPr>
        <w:instrText> </w:instrText>
      </w:r>
      <w:r>
        <w:rPr>
          <w:rFonts w:ascii="Times" w:hAnsi="Times" w:cs="Calibri"/>
          <w:sz w:val="24"/>
          <w:szCs w:val="24"/>
          <w:lang w:val="en-US" w:eastAsia="zh-CN"/>
        </w:rPr>
        <w:instrText>dec−1) as well as durability over a period of 50</w:instrText>
      </w:r>
      <w:r>
        <w:rPr>
          <w:sz w:val="24"/>
          <w:szCs w:val="24"/>
          <w:lang w:val="en-US" w:eastAsia="zh-CN"/>
        </w:rPr>
        <w:instrText> </w:instrText>
      </w:r>
      <w:r>
        <w:rPr>
          <w:rFonts w:ascii="Times" w:hAnsi="Times" w:cs="Calibri"/>
          <w:sz w:val="24"/>
          <w:szCs w:val="24"/>
          <w:lang w:val="en-US" w:eastAsia="zh-CN"/>
        </w:rPr>
        <w:instrText>h were achieved. Theoretical calculations showed that the Co2P, WC, and NpyridinicC dopants in the material synergistically promoted the HER activity rather than the individual constituents. Furthermore, Co2P/WC@NC nano-heterojunctions showed good HER performance in the whole pH range of electrolytes and considerable durability in acidic media containing transition metal ions, which may attract more attention for the exploration and optimization of nano-heterojunction catalysts for the HER.","author":[{"dropping-particle":"","family":"Gao","given":"Ya","non-dropping-particle":"","parse-names":false,"suffix":""},{"dropping-particle":"","family":"Lang","given":"Zhongling","non-dropping-particle":"","parse-names":false,"suffix":""},{"dropping-particle":"","family":"Yu","given":"Feiyang","non-dropping-particle":"","parse-names":false,"suffix":""},{"dropping-particle":"","family":"Tan","given":"Huaqiao","non-dropping-particle":"","parse-names":false,"suffix":""},{"dropping-particle":"","family":"Yan","given":"Gang","non-dropping-particle":"","parse-names":false,"suffix":""},{"dropping-particle":"","family":"Wang","given":"Yonghui","non-dropping-particle":"","parse-names":false,"suffix":""},{"dropping-particle":"","family":"Ma","given":"Yuanyuan","non-dropping-particle":"","parse-names":false,"suffix":""},{"dropping-particle":"","family":"Li","given":"Yangguang","non-dropping-particle":"","parse-names":false,"suffix":""}],"container-title":"ChemSusChem","id":"ITEM-3","issue":"6","issued":{"date-parts":[["2018"]]},"page":"1082-1091","title":"A Co2P/WC Nano-Heterojunction Covered with N-Doped Carbon as Highly Efficient Electrocatalyst for Hydrogen Evolution Reaction","type":"article-journal","volume":"11"},"uris":["http://www.mendeley.com/documents/?uuid=996ca228-f883-4ab9-91f3-99d1a4ee15df"]}],"mendeley":{"formattedCitation":"&lt;sup&gt;12,14,15&lt;/sup&gt;","plainTextFormattedCitation":"12,14,15","previouslyFormattedCitation":"&lt;sup&gt;12,14,15&lt;/sup&gt;"},"properties":{"noteIndex":0},"schema":"https://github.com/citation-style-language/schema/raw/master/csl-citation.json"}</w:instrText>
      </w:r>
      <w:r>
        <w:rPr>
          <w:rFonts w:ascii="Times" w:hAnsi="Times" w:cs="Calibri"/>
          <w:sz w:val="24"/>
          <w:szCs w:val="24"/>
          <w:lang w:val="en-US" w:eastAsia="zh-CN"/>
        </w:rPr>
        <w:fldChar w:fldCharType="separate"/>
      </w:r>
      <w:r>
        <w:rPr>
          <w:rFonts w:ascii="Times" w:hAnsi="Times" w:cs="Calibri"/>
          <w:noProof/>
          <w:sz w:val="24"/>
          <w:szCs w:val="24"/>
          <w:vertAlign w:val="superscript"/>
          <w:lang w:val="en-US" w:eastAsia="zh-CN"/>
        </w:rPr>
        <w:t>12,14,15</w:t>
      </w:r>
      <w:r>
        <w:rPr>
          <w:rFonts w:ascii="Times" w:hAnsi="Times" w:cs="Calibri"/>
          <w:sz w:val="24"/>
          <w:szCs w:val="24"/>
          <w:lang w:val="en-US" w:eastAsia="zh-CN"/>
        </w:rPr>
        <w:fldChar w:fldCharType="end"/>
      </w:r>
      <w:r>
        <w:rPr>
          <w:rFonts w:ascii="Times" w:hAnsi="Times" w:cs="Calibri"/>
          <w:sz w:val="24"/>
          <w:szCs w:val="24"/>
          <w:lang w:val="en-US" w:eastAsia="zh-CN"/>
        </w:rPr>
        <w:t xml:space="preserve"> </w:t>
      </w:r>
      <w:r>
        <w:rPr>
          <w:rFonts w:ascii="Times" w:hAnsi="Times" w:cs="Calibri"/>
          <w:sz w:val="24"/>
          <w:szCs w:val="24"/>
          <w:lang w:val="en-US"/>
        </w:rPr>
        <w:t xml:space="preserve">Different approaches have been applied to further improve the performance of the overall water splitting reaction and also the stability of the transition metal phosphide catalysts in alkaline solutions. One of these strategies is to find a suitable dopant to not only promote the initial water discharge step to generate the reaction intermediates but also to optimize the electronic structures of electrocatalysts to obtain optimum reaction intermediate adsorption. </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{"citationItems":[{"id":"ITEM-1","itemData":{"DOI":"10.1002/adma.201602441","ISBN":"1521-4095 (Electronic)\\r0935-9648 (Linking)","ISSN":"15214095","PMID":"27797162","abstract":"An Fe-doped CoP nanoarray behaves as a robust 3D monolithic multifunctional catalyst for electrolytic and hydrolytic hydrogen evolution with high activity. Its two-electrode electrolyzer needs a cell voltage of only 1.60 V for 10 mA cm-2 water-splitting current. It also catalyzes effectively NaBH4 hydrolysis with a low activation energy of approximately 39.6 kJ mol-1 and a hydrogen generation rate of 6.06 L min-1 g-1 .","author":[{"dropping-particle":"","family":"Tang","given":"Chun","non-dropping-particle":"","parse-names":false,"suffix":""},{"dropping-particle":"","family":"Zhang","given":"Rong","non-dropping-particle":"","parse-names":false,"suffix":""},{"dropping-particle":"","family":"Lu","given":"Wenbo","non-dropping-particle":"","parse-names":false,"suffix":""},{"dropping-particle":"","family":"He","given":"Liangbo","non-dropping-particle":"","parse-names":false,"suffix":""},{"dropping-particle":"","family":"Jiang","given":"Xiue","non-dropping-particle":"","parse-names":false,"suffix":""},{"dropping-particle":"","family":"Asiri","given":"Abdullah M.","non-dropping-particle":"","parse-names":false,"suffix":""},{"dropping-particle":"","family":"Sun","given":"Xuping","non-dropping-particle":"","parse-names":false,"suffix":""}],"container-title":"Advanced Materials","id":"ITEM-1","issue":"2","issued":{"date-parts":[["2017"]]},"page":"1-6","title":"Fe-Doped CoP Nanoarray: A Monolithic Multifunctional Catalyst for Highly Efficient Hydrogen Generation","type":"article-journal","volume":"29"},"uris":["http://www.mendeley.com/documents/?uuid=73613593-7903-4362-8a91-dba47362b06c","http://www.mendeley.com/documents/?uuid=6d3e21c0-b300-4c85-9939-322c7122b921"]},{"id":"ITEM-2","itemData":{"DOI":"10.1002/adma.201605502","abstract":"Researchers report a novel bimetallic-structured phosphide electrocatalyst, NiCo 2 P X , which shows efficient pH-universal hydrogen evolution reaction (HER) catalytic performances in all of the acidic, alkaline, and neutral test conditions. In alkaline and neutral electrolytes, the integrated NiCo 2 P X /CF electrode exhibits exciting activities, which can match or surpass the commercial Pt sheet. It can also compare favorably to most of the best non-precious electrocatalysts in acidic electrolyte. In addition, NiCo 2 P X also shows excellent durability and long-term stability in all the electrolytes, which is confirmed by almost well-preserved catalytic performances and material structures after 5000 time cyclic voltammetric sweeping or 30 hours continuous electrolyzing.","author":[{"dropping-particle":"","family":"Zhang","given":"Rui","non-dropping-particle":"","parse-names":false,"suffix":""},{"dropping-particle":"","family":"Wang","given":"Xiangxue","non-dropping-particle":"","parse-names":false,"suffix":""},{"dropping-particle":"","family":"Yu","given":"Shujun","non-dropping-particle":"","parse-names":false,"suffix":""},{"dropping-particle":"","family":"Wen","given":"Tao","non-dropping-particle":"","parse-names":false,"suffix":""},{"dropping-particle":"","family":"Zhu","given":"Xiangwei","non-dropping-particle":"","parse-names":false,"suffix":""},{"dropping-particle":"","family":"Yang","given":"Fangxu","non-dropping-particle":"","parse-names":false,"suffix":""},{"dropping-particle":"","family":"Sun","given":"Xiangnan","non-dropping-particle":"","parse-names":false,"suffix":""},{"dropping-particle":"","family":"Wang","given":"Xiangke","non-dropping-particle":"","parse-names":false,"suffix":""},{"dropping-particle":"","family":"Hu","given":"Wenping","non-dropping-particle":"","parse-names":false,"suffix":""}],"container-title":"Advanced Materials","id":"ITEM-2","issue":"9","issued":{"date-parts":[["2017"]]},"page":"1605502","title":"Ternary NiCo2Px Nanowires as pH-Universal Electrocatalysts for Highly Efficient Hydrogen Evolution Reaction","type":"article-journal","volume":"29"},"uris":["http://www.mendeley.com/documents/?uuid=9fc4f0c7-2e64-4e41-80f4-b62133695089","http://www.mendeley.com/documents/?uuid=65aff7d7-92fe-47d2-bee3-51d06ca10cb7"]},{"id":"ITEM-3","itemData":{"DOI":"10.1021/acs.nanolett.6b03332","ISSN":"15306992","abstract":"© 2016 American Chemical Society. Replacement of precious Pt with earth-abundant electrocatalysts for the hydrogen evolution reaction (HER) holds great promise for clean energy devices, but the development of low-cost and durable HER catalysts with Pt-like activity is still a huge challenge. In this communication, we report on the development of self-standing ternary Fe x Co 1-x P nanowire array on carbon cloth (Fe x Co 1-x P/CC) as a Pt-free HER catalyst with activities being strongly related to Fe substitution ratio. Electrochemical tests show that Fe 0.5 Co 0.5 P/CC not only possesses Pt-like activity with the need of overpotential of only 37 mV to drive 10 mA cm -2 , outperforming all non-noble-metal HER catalysts reported to date, but demonstrates superior long-term durability in 0.5 M H 2 SO 4 . Density functional theory calculations further reveal that Fe substitution of Co in CoP leads to more optimal free energy of hydrogen adsorption to the catalyst surface. This study offers us a promising flexible monolithic catalyst for practical applications.","author":[{"dropping-particle":"","family":"Tang","given":"Chun","non-dropping-particle":"","parse-names":false,"suffix":""},{"dropping-particle":"","family":"Gan","given":"Linfeng","non-dropping-particle":"","parse-names":false,"suffix":""},{"dropping-particle":"","family":"Zhang","given":"Rong","non-dropping-particle":"","parse-names":false,"suffix":""},{"dropping-particle":"","family":"Lu","given":"Wenbo","non-dropping-particle":"","parse-names":false,"suffix":""},{"dropping-particle":"","family":"Jiang","given":"Xiue","non-dropping-particle":"","parse-names":false,"suffix":""},{"dropping-particle":"","family":"Asiri","given":"Abdullah M.","non-dropping-particle":"","parse-names":false,"suffix":""},{"dropping-particle":"","family":"Sun","given":"Xuping","non-dropping-particle":"","parse-names":false,"suffix":""},{"dropping-particle":"","family":"Wang","given":"Jin","non-dropping-particle":"","parse-names":false,"suffix":""},{"dropping-particle":"","family":"Chen","given":"Liang","non-dropping-particle":"","parse-names":false,"suffix":""}],"container-title":"Nano Letters","id":"ITEM-3","issue":"10","issued":{"date-parts":[["2016"]]},"page":"6617-6621","title":"Ternary FexCo1-xP Nanowire Array as a Robust Hydrogen Evolution Reaction Electrocatalyst with Pt-like Activity: Experimental and Theoretical Insight","type":"article-journal","volume":"16"},"uris":["http://www.mendeley.com/documents/?uuid=afaa7d0a-2b2c-4807-b9bd-b708811adab7","http://www.mendeley.com/documents/?uuid=4f351c0a-830a-43bd-9507-e5777e411922"]},{"id":"ITEM-4","itemData":{"DOI":"10.1021/jacs.7b03507","ISSN":"15205126","abstract":"© 2017 American Chemical Society. Developing bifunctional efficient and durable non-noble electrocatalysts for oxygen evolution reaction (OER) and hydrogen evolution reaction (HER) is highly desirable and challenging for overall water splitting. Herein, Co-Mn carbonate hydroxide (CoMnCH) nanosheet arrays with controllable morphology and composition were developed on nickel foam (NF) as such a bifunctional electrocatalyst. It is discovered that Mn doping in CoCH can simultaneously modulate the nanosheet morphology to significantly increase the electrochemical active surface area for exposing more accessible active sites and tune the electronic structure of Co center to effectively boost its intrinsic activity. As a result, the optimized Co1Mn1CH/NF electrode exhibits unprecedented OER activity with an ultralow overpotential of 294 mV at 30 mA cm-2, compared with all reported metal carbonate hydroxides. Benefited from 3D open nanosheet array topographic structure with tight contact between nanosheets and NF, it is able to deliver a high and stable current density of 1000 mA cm-2at only an overpotential of 462 mV with no interference from high-flux oxygen evolution. Despite no reports about effective HER on metal carbonate hydroxides yet, the small overpotential of 180 mV at 10 mA cm-2for HER can be also achieved on Co1Mn1CH/NF by the dual modulation of Mn doping. This offers a two-electrode electrolyzer using bifunctional Co1Mn1CH/NF as both anode and cathode to perform stable overall water splitting with a cell voltage of only 1.68 V at 10 mA cm-2. These findings may open up opportunities to explore other multimetal carbonate hydroxides as practical bifunctional electrocatalysts for scale-up water electrolysis.","author":[{"dropping-particle":"","family":"Tang","given":"Tang","non-dropping-particle":"","parse-names":false,"suffix":""},{"dropping-particle":"","family":"Jiang","given":"Wen Jie","non-dropping-particle":"","parse-names":false,"suffix":""},{"dropping-particle":"","family":"Niu","given":"Shuai","non-dropping-particle":"","parse-names":false,"suffix":""},{"dropping-particle":"","family":"Liu","given":"Ning","non-dropping-particle":"","parse-names":false,"suffix":""},{"dropping-particle":"","family":"Luo","given":"Hao","non-dropping-particle":"","parse-names":false,"suffix":""},{"dropping-particle":"","family":"Chen","given":"Yu Yun","non-dropping-particle":"","parse-names":false,"suffix":""},{"dropping-particle":"","family":"Jin","given":"Shi Feng","non-dropping-particle":"","parse-names":false,"suffix":""},{"dropping-particle":"","family":"Gao","given":"Feng","non-dropping-particle":"","parse-names":false,"suffix":""},{"dropping-particle":"","family":"Wan","given":"Li Jun","non-dropping-particle":"","parse-names":false,"suffix":""},{"dropping-particle":"","family":"Hu","given":"Jin Song","non-dropping-particle":"","parse-names":false,"suffix":""}],"container-title":"Journal of the American Chemical Society","id":"ITEM-4","issue":"24","issued":{"date-parts":[["2017"]]},"page":"8320-8328","title":"Electronic and Morphological Dual Modulation of Cobalt Carbonate Hydroxides by Mn Doping toward Highly Efficient and Stable Bifunctional Electrocatalysts for Overall Water Splitting","type":"article-journal","volume":"139"},"uris":["http://www.mendeley.com/documents/?uuid=0c5d61e8-737e-4da9-8110-879e79fbc43d","http://www.mendeley.com/documents/?uuid=6ac530ed-b436-429b-800e-391cd43363d1"]}],"mendeley":{"formattedCitation":"&lt;sup&gt;3,16–18&lt;/sup&gt;","plainTextFormattedCitation":"3,16–18","previouslyFormattedCitation":"&lt;sup&gt;3,16–18&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3,16–18</w:t>
      </w:r>
      <w:r>
        <w:rPr>
          <w:rFonts w:ascii="Times" w:hAnsi="Times" w:cs="Calibri"/>
          <w:sz w:val="24"/>
          <w:szCs w:val="24"/>
          <w:lang w:val="en-US"/>
        </w:rPr>
        <w:fldChar w:fldCharType="end"/>
      </w:r>
      <w:r>
        <w:rPr>
          <w:rFonts w:ascii="Times" w:hAnsi="Times" w:cs="Calibri"/>
          <w:sz w:val="24"/>
          <w:szCs w:val="24"/>
          <w:lang w:val="en-US"/>
        </w:rPr>
        <w:t xml:space="preserve"> </w:t>
      </w:r>
    </w:p>
    <w:p w:rsidR="00E975D0" w:rsidRDefault="00E975D0" w:rsidP="00E975D0">
      <w:pPr>
        <w:pStyle w:val="RSCB02ArticleText"/>
        <w:spacing w:line="480" w:lineRule="auto"/>
        <w:rPr>
          <w:rFonts w:ascii="Times" w:hAnsi="Times" w:cs="Calibri"/>
          <w:sz w:val="24"/>
          <w:szCs w:val="24"/>
          <w:lang w:val="en-US"/>
        </w:rPr>
      </w:pPr>
      <w:r>
        <w:rPr>
          <w:rFonts w:ascii="Times" w:hAnsi="Times" w:cs="Calibri"/>
          <w:sz w:val="24"/>
          <w:szCs w:val="24"/>
          <w:lang w:val="en-US"/>
        </w:rPr>
        <w:t>Among the transition metal phosphides, cobalt-based phosphides (Co</w:t>
      </w:r>
      <w:r>
        <w:rPr>
          <w:rFonts w:ascii="Times" w:hAnsi="Times" w:cs="Calibri"/>
          <w:sz w:val="24"/>
          <w:szCs w:val="24"/>
          <w:vertAlign w:val="subscript"/>
          <w:lang w:val="en-US"/>
        </w:rPr>
        <w:t>x</w:t>
      </w:r>
      <w:r>
        <w:rPr>
          <w:rFonts w:ascii="Times" w:hAnsi="Times" w:cs="Calibri"/>
          <w:sz w:val="24"/>
          <w:szCs w:val="24"/>
          <w:lang w:val="en-US"/>
        </w:rPr>
        <w:t>P) have attracted a great deal of attention as promising candidates for both HER and OER catalysts.</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{"citationItems":[{"id":"ITEM-1","itemData":{"DOI":"10.1016/j.electacta.2017.07.180","ISSN":"00134686","abstract":"The binary Ag-Fe-doped Co2P (Ag-Fe-Co2P) nanospheres have been prepared as bifunctional electrocatalysts for hydrogen evolution reaction (HER) and oxygen evolution reaction (OER) using Ag-Fe-Co hydroxides nanospheres as precursors. XRD and XPS confirm the formation of Ag-Fe-Co2P. SEM and TEM demonstrate that Ag-Fe-Co2P has uniform nanospherical morphology composed of vertical nanosheets, which imply the more exposed active sites for water splitting. For HER measurements in 1 M KOH, Ag-Fe-Co2P with the overpotential of only 41 mV to drive current density of 10 mA cm−2. Remarkably, to achieve current density of 100 mA cm−2 for OER, Ag-Fe-Co2P requires overpotential of 220 mV, which is obviously less than that of Fe-Co2P. Furtherly, when Ag-Fe-Co2P was used as the electrocatalyst for both cathode and anodic, a cell voltage of 1.53 V was able to reach 100 mA cm−2 in 1.0 M KOH, outperforming most reported nonprecious electrocatalysts. The obvious enhancement in activity of Ag-Fe-Co2P for HER and OER derived from its high conductivity, electron-donating ability and augmented accessibility of active sites. Therefore, designing multiple metal doped transition metal phosphides with unique nanostructure may be a promising way for efficient overall water splitting.","author":[{"dropping-particle":"","family":"Yan","given":"Kai Li","non-dropping-particle":"","parse-names":false,"suffix":""},{"dropping-particle":"","family":"Shang","given":"Xiao","non-dropping-particle":"","parse-names":false,"suffix":""},{"dropping-particle":"","family":"Zhang","given":"Li Ming","non-dropping-particle":"","parse-names":false,"suffix":""},{"dropping-particle":"","family":"Dong","given":"Bin","non-dropping-particle":"","parse-names":false,"suffix":""},{"dropping-particle":"","family":"Liu","given":"Zi Zhang","non-dropping-particle":"","parse-names":false,"suffix":""},{"dropping-particle":"","family":"Chi","given":"Jing Qi","non-dropping-particle":"","parse-names":false,"suffix":""},{"dropping-particle":"","family":"Gao","given":"Wen Kun","non-dropping-particle":"","parse-names":false,"suffix":""},{"dropping-particle":"","family":"Chai","given":"Yong Ming","non-dropping-particle":"","parse-names":false,"suffix":""},{"dropping-particle":"","family":"Liu","given":"Chen Guang","non-dropping-particle":"","parse-names":false,"suffix":""}],"container-title":"Electrochimica Acta","id":"ITEM-1","issued":{"date-parts":[["2017"]]},"page":"16-25","publisher":"Elsevier Ltd","title":"Boosting Electrocatalytic Activity of Binary Ag-Fe-doped Co2P Nanospheres as Bifunctional Electrocatalysts for Overall Water Splitting","type":"article-journal","volume":"249"},"uris":["http://www.mendeley.com/documents/?uuid=e8439643-f7f8-452c-8844-a49ee3aa5af8"]},{"id":"ITEM-2","itemData":{"DOI":"10.1039/c6ta05485d","ISSN":"20507496","abstract":" Ultrafine Co 2 P NPs encapsulated in N, P dual-doped porous carbon nanosheet/carbon nanotube hybrids are prepared and exhibit remarkable catalytic performance for both OER and HER.  The development of active, robust, and nonprecious electrocatalysts for both the oxygen evolution reaction and hydrogen evolution reaction (OER and HER) is highly crucial and challenging. Herein, ultrafine Co 2 P nanoparticles (NPs) encapsulated in nitrogen and phosphorus dual-doped porous carbon nanosheet/carbon nanotube hybrids are prepared via a straightforward pyrolysis method. Impressively, the hybrids exhibit remarkable catalytic performance for both the OER and HER in 1.0 M KOH solution, with a current density of 10 mA cm −2 at low over-potentials of 280 mV for the OER and 154 mV for the HER, respectively. More importantly, when fabricated as an alkaline electrolyzer, the hybrids afford 10 mA cm −2 at a cell voltage of 1.64 V with strong stability, rivalling the integrated performance of a commercial IrO 2 and Pt catalyst couple. The achieved ultrahigh catalytic performance can be attributed to the nitrogen and phosphorus dual-doped carbon nanosheets, carbon-encapsulated ultrafine Co 2 P NPs, high conductivity of incorporated carbon nanotubes, large surface area (199.94 m 2 g −1 ), interpenetrated macro-/mesoporous structure, and the strong synergistic effect among these factors. ","author":[{"dropping-particle":"","family":"Li","given":"Xinzhe","non-dropping-particle":"","parse-names":false,"suffix":""},{"dropping-particle":"","family":"Fang","given":"Yiyun","non-dropping-particle":"","parse-names":false,"suffix":""},{"dropping-particle":"","family":"Li","given":"Feng","non-dropping-particle":"","parse-names":false,"suffix":""},{"dropping-particle":"","family":"Tian","given":"Min","non-dropping-particle":"","parse-names":false,"suffix":""},{"dropping-particle":"","family":"Long","given":"Xuefeng","non-dropping-particle":"","parse-names":false,"suffix":""},{"dropping-particle":"","family":"Jin","given":"Jun","non-dropping-particle":"","parse-names":false,"suffix":""},{"dropping-particle":"","family":"Ma","given":"Jiantai","non-dropping-particle":"","parse-names":false,"suffix":""}],"container-title":"Journal of Materials Chemistry A","id":"ITEM-2","issue":"40","issued":{"date-parts":[["2016"]]},"page":"15501-15510","publisher":"Royal Society of Chemistry","title":"Ultrafine Co2P nanoparticles encapsulated in nitrogen and phosphorus dual-doped porous carbon nanosheet/carbon nanotube hybrids: High-performance bifunctional electrocatalysts for overall water splitting","type":"article-journal","volume":"4"},"uris":["http://www.mendeley.com/documents/?uuid=098d2da0-520e-4168-8694-ad98b37457e2"]},{"id":"ITEM-3","itemData":{"DOI":"10.1039/c5gc02462e","ISSN":"14639270","abstract":" Microwave-assisted synthesized metallic Co 2 P nanowires show highly-efficient electrocatalytic activity towards hydrogen and oxygen evolution reactions contrasted with the CoP nanowires.  A rapid microwave-assisted preparation of Co 2 P nanowires (NWs) is reported here, comparing with the CoP NWs. The characterizations and theoretical calculations indicate that Co 2 P exhibits metallic properties with improved conductivity. The electrocatalytic hydrogen and oxygen evolution activities are then measured and discussed in the paper, which show the advanced efficiency of Co 2 P NWs for the overall water-splitting. ","author":[{"dropping-particle":"","family":"Jin","given":"Zhaoyu","non-dropping-particle":"","parse-names":false,"suffix":""},{"dropping-particle":"","family":"Li","given":"Panpan","non-dropping-particle":"","parse-names":false,"suffix":""},{"dropping-particle":"","family":"Xiao","given":"Dan","non-dropping-particle":"","parse-names":false,"suffix":""}],"container-title":"Green Chemistry","id":"ITEM-3","issue":"6","issued":{"date-parts":[["2016"]]},"page":"1459-1464","publisher":"Royal Society of Chemistry","title":"Metallic Co2P ultrathin nanowires distinguished from CoP as robust electrocatalysts for overall water-splitting","type":"article-journal","volume":"18"},"uris":["http://www.mendeley.com/documents/?uuid=a1f3c94b-a542-49bc-88a3-86a23c9d2bae"]}],"mendeley":{"formattedCitation":"&lt;sup&gt;9,19,20&lt;/sup&gt;","plainTextFormattedCitation":"9,19,20","previouslyFormattedCitation":"&lt;sup&gt;9,19,20&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9,19,20</w:t>
      </w:r>
      <w:r>
        <w:rPr>
          <w:rFonts w:ascii="Times" w:hAnsi="Times" w:cs="Calibri"/>
          <w:sz w:val="24"/>
          <w:szCs w:val="24"/>
          <w:lang w:val="en-US"/>
        </w:rPr>
        <w:fldChar w:fldCharType="end"/>
      </w:r>
      <w:r>
        <w:rPr>
          <w:rFonts w:ascii="Times" w:hAnsi="Times" w:cs="Calibri"/>
          <w:sz w:val="24"/>
          <w:szCs w:val="24"/>
          <w:lang w:val="en-US"/>
        </w:rPr>
        <w:t xml:space="preserve"> However, in many Co</w:t>
      </w:r>
      <w:r>
        <w:rPr>
          <w:rFonts w:ascii="Times" w:hAnsi="Times" w:cs="Calibri"/>
          <w:sz w:val="24"/>
          <w:szCs w:val="24"/>
          <w:vertAlign w:val="subscript"/>
          <w:lang w:val="en-US"/>
        </w:rPr>
        <w:t>x</w:t>
      </w:r>
      <w:r>
        <w:rPr>
          <w:rFonts w:ascii="Times" w:hAnsi="Times" w:cs="Calibri"/>
          <w:sz w:val="24"/>
          <w:szCs w:val="24"/>
          <w:lang w:val="en-US"/>
        </w:rPr>
        <w:t>P fabrication methods, toxic organic solvents are utilized along with sophisticated phosphorization methods.</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{"citationItems":[{"id":"ITEM-1","itemData":{"DOI":"10.1021/acsnano.5b02191","ISSN":"1936086X","abstract":"Low temperature fuel cells are clean, effective alternative fuel conversion technology. Oxygen reduction reaction (ORR) at the fuel cell cathode has required Pt as the electrocatalyst for high activity and selectivity of the four-electron reaction pathway. Targeting a less expensive, earth abundant alternative, we have developed the synthesis of cobalt phosphide (Co2P) nanorods for ORR. Characterization techniques that include total X-ray scattering and extended X-ray absorption fine structure revealed a deviation of the nanorods from bulk crystal structure with a contraction along the b orthorhombic lattice parameter. The carbon supported nanorods have comparable activity but are remarkably more stable than conventional Pt catalysts for the oxygen reduction reaction in alkaline environments.","author":[{"dropping-particle":"","family":"Doan-Nguyen","given":"Vicky V.T.","non-dropping-particle":"","parse-names":false,"suffix":""},{"dropping-particle":"","family":"Zhang","given":"Sen","non-dropping-particle":"","parse-names":false,"suffix":""},{"dropping-particle":"","family":"Trigg","given":"Edward B.","non-dropping-particle":"","parse-names":false,"suffix":""},{"dropping-particle":"","family":"Agarwal","given":"Rahul","non-dropping-particle":"","parse-names":false,"suffix":""},{"dropping-particle":"","family":"Li","given":"Jing","non-dropping-particle":"","parse-names":false,"suffix":""},{"dropping-particle":"","family":"Su","given":"Dong","non-dropping-particle":"","parse-names":false,"suffix":""},{"dropping-particle":"","family":"Winey","given":"Karen I.","non-dropping-particle":"","parse-names":false,"suffix":""},{"dropping-particle":"","family":"Murray","given":"Christopher B.","non-dropping-particle":"","parse-names":false,"suffix":""}],"container-title":"ACS Nano","id":"ITEM-1","issue":"8","issued":{"date-parts":[["2015"]]},"page":"8108-8115","title":"Synthesis and X-ray Characterization of Cobalt Phosphide (Co2P) Nanorods for the Oxygen Reduction Reaction","type":"article-journal","volume":"9"},"uris":["http://www.mendeley.com/documents/?uuid=f82382ba-0ab0-4dd5-ae9c-167871830f5a"]},{"id":"ITEM-2","itemData":{"DOI":"10.1021/nl103400a","ISSN":"15306984","abstract":"A new method to produce hyperbranched Co(2)P nanocrystals that are uniform in size, shape, and symmetry was developed. In this reaction tri-n-octylphosphine oxide (TOPO) was used as both a solvent and a phosphorus source. The reaction exhibits a novel monomer-saturation-dependent tunability between Co metal nanoparticle (NP) and Co(2)P NP products. The morphology of Co(2)P can be controlled from sheaflike structures to hexagonal symmetric structures by varying the concentration of the surfactant. This unique product differs significantly from other reported hyperbranched nanocrystals in that the highly anisotropic shapes can be stabilized as the majority shape (&gt;84%). This is the first known use of TOPO as a reagent as well as a coordinating background solvent in NP synthesis.","author":[{"dropping-particle":"","family":"Zhang","given":"Haitao","non-dropping-particle":"","parse-names":false,"suffix":""},{"dropping-particle":"","family":"Ha","given":"Don Hyung","non-dropping-particle":"","parse-names":false,"suffix":""},{"dropping-particle":"","family":"Hovden","given":"Robert","non-dropping-particle":"","parse-names":false,"suffix":""},{"dropping-particle":"","family":"Kourkoutis","given":"Lena Fitting","non-dropping-particle":"","parse-names":false,"suffix":""},{"dropping-particle":"","family":"Robinson","given":"Richard D.","non-dropping-particle":"","parse-names":false,"suffix":""}],"container-title":"Nano Letters","id":"ITEM-2","issue":"1","issued":{"date-parts":[["2011"]]},"page":"188-197","title":"Controlled synthesis of uniform cobalt phosphide hyperbranched nanocrystals using Tri-n-octylphosphine oxide as a phosphorus source","type":"article-journal","volume":"11"},"uris":["http://www.mendeley.com/documents/?uuid=c8b45e87-7393-4249-9b49-0ca1fadf8d32"]},{"id":"ITEM-3","itemData":{"DOI":"10.1039/c6nr00208k","ISSN":"20403372","abstract":"© The Royal Society of Chemistry 2016. A simple one-step solution-phase synthesis of cobalt phosphide nanorods (NRs) and hollow nanoparticles (NPs) has been reported in this paper. The phase and morphology evolutions of cobalt phosphide were researched by varying the reaction conditions. The detailed research confirms that oleylamine (OAm) in the reaction firstly reduces Co(acac) 2 to the Co phase and the reaction between P atoms from TOP and Co atoms results in the Co 2 P phase. The as-synthesized NRs and NPs show superparamagnetic behavior at room temperature and ferromagnetic properties at 2 K. The current route provides a new and general chemical method for tunable preparation of cobalt phosphide nanostructures, which are important for further magnetic and catalytic studies.","author":[{"dropping-particle":"","family":"Yang","given":"Weiwei","non-dropping-particle":"","parse-names":false,"suffix":""},{"dropping-particle":"","family":"Huang","given":"Yarong","non-dropping-particle":"","parse-names":false,"suffix":""},{"dropping-particle":"","family":"Fan","given":"Jinlong","non-dropping-particle":"","parse-names":false,"suffix":""},{"dropping-particle":"","family":"Yu","given":"Yongsheng","non-dropping-particle":"","parse-names":false,"suffix":""},{"dropping-particle":"","family":"Yang","given":"Chunhui","non-dropping-particle":"","parse-names":false,"suffix":""},{"dropping-particle":"","family":"Li","given":"Haibo","non-dropping-particle":"","parse-names":false,"suffix":""}],"container-title":"Nanoscale","id":"ITEM-3","issue":"9","issued":{"date-parts":[["2016"]]},"page":"4898-4902","publisher":"Royal Society of Chemistry","title":"A facile solution-phase synthesis of cobalt phosphide nanorods/hollow nanoparticles","type":"article-journal","volume":"8"},"uris":["http://www.mendeley.com/documents/?uuid=37ceff46-cde1-42b8-b43c-8bc54a69cd36"]}],"mendeley":{"formattedCitation":"&lt;sup&gt;21–23&lt;/sup&gt;","plainTextFormattedCitation":"21–23","previouslyFormattedCitation":"&lt;sup&gt;21–23&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21–23</w:t>
      </w:r>
      <w:r>
        <w:rPr>
          <w:rFonts w:ascii="Times" w:hAnsi="Times" w:cs="Calibri"/>
          <w:sz w:val="24"/>
          <w:szCs w:val="24"/>
          <w:lang w:val="en-US"/>
        </w:rPr>
        <w:fldChar w:fldCharType="end"/>
      </w:r>
      <w:r>
        <w:rPr>
          <w:rFonts w:ascii="Times" w:hAnsi="Times" w:cs="Calibri"/>
          <w:sz w:val="24"/>
          <w:szCs w:val="24"/>
          <w:lang w:val="en-US"/>
        </w:rPr>
        <w:t xml:space="preserve"> Thus based on our groups previous work, </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{"citationItems":[{"id":"ITEM-1","itemData":{"DOI":"10.1021/acscatal.9b03359","ISSN":"2155-5435","abstract":"Carbon-supported MxPy (M = Ni, Co, W, Cr, and Mo) were prepared via pyrolysis using a very simple and scalable method utilizing nontoxic metal and phosphorus precursors. The electrochemical hydrogen evolution (HER), oxygen reduction (ORR), and oxygen evolution (OER) reactions and corrosion resistance under both acidic and alkaline conditions were examined for all these catalysts and compared to those for the benchmark catalysts Pt/C (HER/ORR) and IrO2 (OER). The highest activities were found in alkaline solutions for Co2P for HER and ORR and Ni2P for OER. Good activity was also found in acid for some of these reactions, although the catalysts suffered from susceptibility to corrosion. Co2P was further studied in an alkaline environment, as it shows high catalytic activity toward the oxygen reduction reaction (ORR) without significant hysteresis. The onset potential (at 0.5 mA cm–2) obtained was 0.8 V vs RHE, and a Tafel slope value of 38 mV dec–1 was found with a maximum kinetic mass activity of 2870 A gCo–1 at 0.7 V vs RHE. Utilizing high-resolution transmission electron microscopy, it is possible to observe high-surface-area needle-like single-crystal cobalt oxide structures on the surface of the Co2P particles at the beginning of the ORR. Hence the high rates of initial corrosion of the Co2P appear to be associated with the dissolution and precipitation of cobalt oxide on the particle surface. The as-synthesized Co2P/C also shows good performance in an 8-h stability test for the OER, carried out at 1.6 V vs RHE in alkaline conditions, with negligible drop in current density over time. Interestingly, in an acidic environment the catalyst is very active toward two-electron oxygen reduction, leading to H2O2 with high selectivity (85%). It is intriguing that the pH dependence of this catalyst toward the ORR is similar to that seen for gold.","author":[{"dropping-particle":"","family":"Parra-Puerto","given":"Andres","non-dropping-particle":"","parse-names":false,"suffix":""},{"dropping-particle":"","family":"Ng","given":"Kai Ling","non-dropping-particle":"","parse-names":false,"suffix":""},{"dropping-particle":"","family":"Fahy","given":"Kieran","non-dropping-particle":"","parse-names":false,"suffix":""},{"dropping-particle":"","family":"Goode","given":"Angela E.","non-dropping-particle":"","parse-names":false,"suffix":""},{"dropping-particle":"","family":"Ryan","given":"Mary P.","non-dropping-particle":"","parse-names":false,"suffix":""},{"dropping-particle":"","family":"Kucernak","given":"Anthony","non-dropping-particle":"","parse-names":false,"suffix":""}],"container-title":"ACS Catalysis","id":"ITEM-1","issued":{"date-parts":[["2019"]]},"page":"11515-11529","title":"Supported Transition Metal Phosphides: Activity Survey for HER, ORR, OER, and Corrosion Resistance in Acid and Alkaline Electrolytes","type":"article-journal"},"uris":["http://www.mendeley.com/documents/?uuid=6c13c27d-e842-42b1-a6c1-ed0b55722469"]}],"mendeley":{"formattedCitation":"&lt;sup&gt;24&lt;/sup&gt;","plainTextFormattedCitation":"24","previouslyFormattedCitation":"&lt;sup&gt;24&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24</w:t>
      </w:r>
      <w:r>
        <w:rPr>
          <w:rFonts w:ascii="Times" w:hAnsi="Times" w:cs="Calibri"/>
          <w:sz w:val="24"/>
          <w:szCs w:val="24"/>
          <w:lang w:val="en-US"/>
        </w:rPr>
        <w:fldChar w:fldCharType="end"/>
      </w:r>
      <w:r>
        <w:rPr>
          <w:rFonts w:ascii="Times" w:hAnsi="Times" w:cs="Calibri"/>
          <w:sz w:val="24"/>
          <w:szCs w:val="24"/>
          <w:lang w:val="en-US"/>
        </w:rPr>
        <w:t xml:space="preserve"> Co</w:t>
      </w:r>
      <w:r>
        <w:rPr>
          <w:rFonts w:ascii="Times" w:hAnsi="Times" w:cs="Calibri"/>
          <w:sz w:val="24"/>
          <w:szCs w:val="24"/>
          <w:vertAlign w:val="subscript"/>
          <w:lang w:val="en-US"/>
        </w:rPr>
        <w:t>2</w:t>
      </w:r>
      <w:r>
        <w:rPr>
          <w:rFonts w:ascii="Times" w:hAnsi="Times" w:cs="Calibri"/>
          <w:sz w:val="24"/>
          <w:szCs w:val="24"/>
          <w:lang w:val="en-US"/>
        </w:rPr>
        <w:t>P was selected and prepared with a facile carbothermal hydrogen reduction method as a model to evaluate its performance for the overall water splitting in alkaline solutions.</w:t>
      </w:r>
      <w:r>
        <w:rPr>
          <w:rFonts w:ascii="Times" w:hAnsi="Times" w:cs="Calibri"/>
          <w:color w:val="FF0000"/>
          <w:sz w:val="24"/>
          <w:szCs w:val="24"/>
          <w:lang w:val="en-US"/>
        </w:rPr>
        <w:t xml:space="preserve"> </w:t>
      </w:r>
      <w:r>
        <w:rPr>
          <w:rFonts w:ascii="Times" w:hAnsi="Times" w:cs="Calibri"/>
          <w:sz w:val="24"/>
          <w:szCs w:val="24"/>
          <w:lang w:val="en-US"/>
        </w:rPr>
        <w:t>The carbothermal hydrogen reduction process involves using a transition metal phosphate precursor dispersed on a carbon support and heated in hydrogen. Both the carbon and hydrogen act as reductants to produce the metal phosphide following a process whose stoichiometry follows</w:t>
      </w:r>
    </w:p>
    <w:p w:rsidR="00E975D0" w:rsidRDefault="00E975D0" w:rsidP="00E975D0">
      <w:pPr>
        <w:pStyle w:val="RSCB02ArticleText"/>
        <w:spacing w:line="480" w:lineRule="auto"/>
        <w:rPr>
          <w:rFonts w:ascii="Times" w:hAnsi="Times" w:cs="Calibri"/>
          <w:sz w:val="20"/>
          <w:szCs w:val="20"/>
          <w:lang w:val="en-US"/>
        </w:rPr>
      </w:pPr>
      <m:oMathPara>
        <m:oMath>
          <m:r>
            <w:rPr>
              <w:rFonts w:ascii="Cambria Math" w:hAnsi="Cambria Math" w:cs="Calibri"/>
              <w:sz w:val="20"/>
              <w:szCs w:val="20"/>
              <w:lang w:val="en-US"/>
            </w:rPr>
            <m:t>z</m:t>
          </m:r>
          <m:sSub>
            <m:sSubPr>
              <m:ctrlPr>
                <w:rPr>
                  <w:rFonts w:ascii="Cambria Math" w:hAnsi="Cambria Math" w:cs="Calibri"/>
                  <w:lang w:val="en-US"/>
                </w:rPr>
              </m:ctrlPr>
            </m:sSubPr>
            <m:e>
              <m:r>
                <m:rPr>
                  <m:sty m:val="p"/>
                </m:rPr>
                <w:rPr>
                  <w:rFonts w:ascii="Cambria Math" w:hAnsi="Cambria Math" w:cs="Calibri"/>
                  <w:sz w:val="20"/>
                  <w:szCs w:val="20"/>
                  <w:lang w:val="en-US"/>
                </w:rPr>
                <m:t>MO</m:t>
              </m:r>
            </m:e>
            <m:sub>
              <m:r>
                <w:rPr>
                  <w:rFonts w:ascii="Cambria Math" w:hAnsi="Cambria Math" w:cs="Calibri"/>
                  <w:sz w:val="20"/>
                  <w:szCs w:val="20"/>
                  <w:lang w:val="en-US"/>
                </w:rPr>
                <m:t>x</m:t>
              </m:r>
            </m:sub>
          </m:sSub>
          <m:r>
            <w:rPr>
              <w:rFonts w:ascii="Cambria Math" w:hAnsi="Cambria Math" w:cs="Calibri"/>
              <w:sz w:val="20"/>
              <w:szCs w:val="20"/>
              <w:lang w:val="en-US"/>
            </w:rPr>
            <m:t xml:space="preserve"> + </m:t>
          </m:r>
          <m:sSub>
            <m:sSubPr>
              <m:ctrlPr>
                <w:rPr>
                  <w:rFonts w:ascii="Cambria Math" w:hAnsi="Cambria Math" w:cs="Calibri"/>
                  <w:lang w:val="en-US"/>
                </w:rPr>
              </m:ctrlPr>
            </m:sSubPr>
            <m:e>
              <m:r>
                <m:rPr>
                  <m:sty m:val="p"/>
                </m:rPr>
                <w:rPr>
                  <w:rFonts w:ascii="Cambria Math" w:hAnsi="Cambria Math" w:cs="Calibri"/>
                  <w:sz w:val="20"/>
                  <w:szCs w:val="20"/>
                  <w:lang w:val="en-US"/>
                </w:rPr>
                <m:t>PO</m:t>
              </m:r>
            </m:e>
            <m:sub>
              <m:r>
                <w:rPr>
                  <w:rFonts w:ascii="Cambria Math" w:hAnsi="Cambria Math" w:cs="Calibri"/>
                  <w:sz w:val="20"/>
                  <w:szCs w:val="20"/>
                  <w:lang w:val="en-US"/>
                </w:rPr>
                <m:t>y</m:t>
              </m:r>
            </m:sub>
          </m:sSub>
          <m:r>
            <w:rPr>
              <w:rFonts w:ascii="Cambria Math" w:hAnsi="Cambria Math" w:cs="Calibri"/>
              <w:sz w:val="20"/>
              <w:szCs w:val="20"/>
              <w:lang w:val="en-US"/>
            </w:rPr>
            <m:t xml:space="preserve"> + </m:t>
          </m:r>
          <m:f>
            <m:fPr>
              <m:type m:val="skw"/>
              <m:ctrlPr>
                <w:rPr>
                  <w:rFonts w:ascii="Cambria Math" w:hAnsi="Cambria Math" w:cs="Calibri"/>
                  <w:i/>
                  <w:lang w:val="en-US"/>
                </w:rPr>
              </m:ctrlPr>
            </m:fPr>
            <m:num>
              <m:r>
                <w:rPr>
                  <w:rFonts w:ascii="Cambria Math" w:hAnsi="Cambria Math" w:cs="Calibri"/>
                  <w:sz w:val="20"/>
                  <w:szCs w:val="20"/>
                  <w:lang w:val="en-US"/>
                </w:rPr>
                <m:t>δ</m:t>
              </m:r>
              <m:d>
                <m:dPr>
                  <m:ctrlPr>
                    <w:rPr>
                      <w:rFonts w:ascii="Cambria Math" w:hAnsi="Cambria Math" w:cs="Calibri"/>
                      <w:i/>
                      <w:lang w:val="en-US"/>
                    </w:rPr>
                  </m:ctrlPr>
                </m:dPr>
                <m:e>
                  <m:r>
                    <w:rPr>
                      <w:rFonts w:ascii="Cambria Math" w:hAnsi="Cambria Math" w:cs="Calibri"/>
                      <w:sz w:val="20"/>
                      <w:szCs w:val="20"/>
                      <w:lang w:val="en-US"/>
                    </w:rPr>
                    <m:t>zx+y</m:t>
                  </m:r>
                </m:e>
              </m:d>
            </m:num>
            <m:den>
              <m:r>
                <w:rPr>
                  <w:rFonts w:ascii="Cambria Math" w:hAnsi="Cambria Math" w:cs="Calibri"/>
                  <w:sz w:val="20"/>
                  <w:szCs w:val="20"/>
                  <w:lang w:val="en-US"/>
                </w:rPr>
                <m:t>2</m:t>
              </m:r>
            </m:den>
          </m:f>
          <m:r>
            <w:rPr>
              <w:rFonts w:ascii="Cambria Math" w:hAnsi="Cambria Math" w:cs="Calibri"/>
              <w:sz w:val="20"/>
              <w:szCs w:val="20"/>
              <w:lang w:val="en-US"/>
            </w:rPr>
            <m:t xml:space="preserve"> C + (1-δ)</m:t>
          </m:r>
          <m:d>
            <m:dPr>
              <m:ctrlPr>
                <w:rPr>
                  <w:rFonts w:ascii="Cambria Math" w:hAnsi="Cambria Math" w:cs="Calibri"/>
                  <w:i/>
                  <w:lang w:val="en-US"/>
                </w:rPr>
              </m:ctrlPr>
            </m:dPr>
            <m:e>
              <m:r>
                <w:rPr>
                  <w:rFonts w:ascii="Cambria Math" w:hAnsi="Cambria Math" w:cs="Calibri"/>
                  <w:sz w:val="20"/>
                  <w:szCs w:val="20"/>
                  <w:lang w:val="en-US"/>
                </w:rPr>
                <m:t>zx+y</m:t>
              </m:r>
            </m:e>
          </m:d>
          <m:sSub>
            <m:sSubPr>
              <m:ctrlPr>
                <w:rPr>
                  <w:rFonts w:ascii="Cambria Math" w:hAnsi="Cambria Math" w:cs="Calibri"/>
                  <w:lang w:val="en-US"/>
                </w:rPr>
              </m:ctrlPr>
            </m:sSubPr>
            <m:e>
              <m:r>
                <m:rPr>
                  <m:sty m:val="p"/>
                </m:rPr>
                <w:rPr>
                  <w:rFonts w:ascii="Cambria Math" w:hAnsi="Cambria Math" w:cs="Calibri"/>
                  <w:sz w:val="20"/>
                  <w:szCs w:val="20"/>
                  <w:lang w:val="en-US"/>
                </w:rPr>
                <m:t>H</m:t>
              </m:r>
            </m:e>
            <m:sub>
              <m:r>
                <w:rPr>
                  <w:rFonts w:ascii="Cambria Math" w:hAnsi="Cambria Math" w:cs="Calibri"/>
                  <w:sz w:val="20"/>
                  <w:szCs w:val="20"/>
                  <w:lang w:val="en-US"/>
                </w:rPr>
                <m:t>2</m:t>
              </m:r>
            </m:sub>
          </m:sSub>
          <m:r>
            <w:rPr>
              <w:rFonts w:ascii="Cambria Math" w:hAnsi="Cambria Math" w:cs="Calibri"/>
              <w:sz w:val="20"/>
              <w:szCs w:val="20"/>
              <w:lang w:val="en-US"/>
            </w:rPr>
            <m:t xml:space="preserve">→ </m:t>
          </m:r>
          <m:sSub>
            <m:sSubPr>
              <m:ctrlPr>
                <w:rPr>
                  <w:rFonts w:ascii="Cambria Math" w:hAnsi="Cambria Math" w:cs="Calibri"/>
                  <w:lang w:val="en-US"/>
                </w:rPr>
              </m:ctrlPr>
            </m:sSubPr>
            <m:e>
              <m:r>
                <m:rPr>
                  <m:sty m:val="p"/>
                </m:rPr>
                <w:rPr>
                  <w:rFonts w:ascii="Cambria Math" w:hAnsi="Cambria Math" w:cs="Calibri"/>
                  <w:sz w:val="20"/>
                  <w:szCs w:val="20"/>
                  <w:lang w:val="en-US"/>
                </w:rPr>
                <m:t>M</m:t>
              </m:r>
            </m:e>
            <m:sub>
              <m:r>
                <w:rPr>
                  <w:rFonts w:ascii="Cambria Math" w:hAnsi="Cambria Math" w:cs="Calibri"/>
                  <w:sz w:val="20"/>
                  <w:szCs w:val="20"/>
                  <w:lang w:val="en-US"/>
                </w:rPr>
                <m:t>z</m:t>
              </m:r>
            </m:sub>
          </m:sSub>
          <m:r>
            <m:rPr>
              <m:sty m:val="p"/>
            </m:rPr>
            <w:rPr>
              <w:rFonts w:ascii="Cambria Math" w:hAnsi="Cambria Math" w:cs="Calibri"/>
              <w:sz w:val="20"/>
              <w:szCs w:val="20"/>
              <w:lang w:val="en-US"/>
            </w:rPr>
            <m:t>P</m:t>
          </m:r>
          <m:r>
            <w:rPr>
              <w:rFonts w:ascii="Cambria Math" w:hAnsi="Cambria Math" w:cs="Calibri"/>
              <w:sz w:val="20"/>
              <w:szCs w:val="20"/>
              <w:lang w:val="en-US"/>
            </w:rPr>
            <m:t xml:space="preserve"> + </m:t>
          </m:r>
          <m:f>
            <m:fPr>
              <m:type m:val="skw"/>
              <m:ctrlPr>
                <w:rPr>
                  <w:rFonts w:ascii="Cambria Math" w:hAnsi="Cambria Math" w:cs="Calibri"/>
                  <w:i/>
                  <w:lang w:val="en-US"/>
                </w:rPr>
              </m:ctrlPr>
            </m:fPr>
            <m:num>
              <m:r>
                <w:rPr>
                  <w:rFonts w:ascii="Cambria Math" w:hAnsi="Cambria Math" w:cs="Calibri"/>
                  <w:sz w:val="20"/>
                  <w:szCs w:val="20"/>
                  <w:lang w:val="en-US"/>
                </w:rPr>
                <m:t>δ</m:t>
              </m:r>
              <m:d>
                <m:dPr>
                  <m:ctrlPr>
                    <w:rPr>
                      <w:rFonts w:ascii="Cambria Math" w:hAnsi="Cambria Math" w:cs="Calibri"/>
                      <w:i/>
                      <w:lang w:val="en-US"/>
                    </w:rPr>
                  </m:ctrlPr>
                </m:dPr>
                <m:e>
                  <m:r>
                    <w:rPr>
                      <w:rFonts w:ascii="Cambria Math" w:hAnsi="Cambria Math" w:cs="Calibri"/>
                      <w:sz w:val="20"/>
                      <w:szCs w:val="20"/>
                      <w:lang w:val="en-US"/>
                    </w:rPr>
                    <m:t>zx+y</m:t>
                  </m:r>
                </m:e>
              </m:d>
            </m:num>
            <m:den>
              <m:r>
                <w:rPr>
                  <w:rFonts w:ascii="Cambria Math" w:hAnsi="Cambria Math" w:cs="Calibri"/>
                  <w:sz w:val="20"/>
                  <w:szCs w:val="20"/>
                  <w:lang w:val="en-US"/>
                </w:rPr>
                <m:t>2</m:t>
              </m:r>
            </m:den>
          </m:f>
          <m:sSub>
            <m:sSubPr>
              <m:ctrlPr>
                <w:rPr>
                  <w:rFonts w:ascii="Cambria Math" w:hAnsi="Cambria Math" w:cs="Calibri"/>
                  <w:lang w:val="en-US"/>
                </w:rPr>
              </m:ctrlPr>
            </m:sSubPr>
            <m:e>
              <m:r>
                <m:rPr>
                  <m:sty m:val="p"/>
                </m:rPr>
                <w:rPr>
                  <w:rFonts w:ascii="Cambria Math" w:hAnsi="Cambria Math" w:cs="Calibri"/>
                  <w:sz w:val="20"/>
                  <w:szCs w:val="20"/>
                  <w:lang w:val="en-US"/>
                </w:rPr>
                <m:t>CO</m:t>
              </m:r>
            </m:e>
            <m:sub>
              <m:r>
                <w:rPr>
                  <w:rFonts w:ascii="Cambria Math" w:hAnsi="Cambria Math" w:cs="Calibri"/>
                  <w:sz w:val="20"/>
                  <w:szCs w:val="20"/>
                  <w:lang w:val="en-US"/>
                </w:rPr>
                <m:t>2</m:t>
              </m:r>
            </m:sub>
          </m:sSub>
          <m:r>
            <w:rPr>
              <w:rFonts w:ascii="Cambria Math" w:hAnsi="Cambria Math" w:cs="Calibri"/>
              <w:sz w:val="20"/>
              <w:szCs w:val="20"/>
              <w:lang w:val="en-US"/>
            </w:rPr>
            <m:t>+ (1-δ)</m:t>
          </m:r>
          <m:d>
            <m:dPr>
              <m:ctrlPr>
                <w:rPr>
                  <w:rFonts w:ascii="Cambria Math" w:hAnsi="Cambria Math" w:cs="Calibri"/>
                  <w:i/>
                  <w:lang w:val="en-US"/>
                </w:rPr>
              </m:ctrlPr>
            </m:dPr>
            <m:e>
              <m:r>
                <w:rPr>
                  <w:rFonts w:ascii="Cambria Math" w:hAnsi="Cambria Math" w:cs="Calibri"/>
                  <w:sz w:val="20"/>
                  <w:szCs w:val="20"/>
                  <w:lang w:val="en-US"/>
                </w:rPr>
                <m:t>zx+y</m:t>
              </m:r>
            </m:e>
          </m:d>
          <m:sSub>
            <m:sSubPr>
              <m:ctrlPr>
                <w:rPr>
                  <w:rFonts w:ascii="Cambria Math" w:hAnsi="Cambria Math" w:cs="Calibri"/>
                  <w:lang w:val="en-US"/>
                </w:rPr>
              </m:ctrlPr>
            </m:sSubPr>
            <m:e>
              <m:r>
                <m:rPr>
                  <m:sty m:val="p"/>
                </m:rPr>
                <w:rPr>
                  <w:rFonts w:ascii="Cambria Math" w:hAnsi="Cambria Math" w:cs="Calibri"/>
                  <w:sz w:val="20"/>
                  <w:szCs w:val="20"/>
                  <w:lang w:val="en-US"/>
                </w:rPr>
                <m:t>H</m:t>
              </m:r>
            </m:e>
            <m:sub>
              <m:r>
                <w:rPr>
                  <w:rFonts w:ascii="Cambria Math" w:hAnsi="Cambria Math" w:cs="Calibri"/>
                  <w:sz w:val="20"/>
                  <w:szCs w:val="20"/>
                  <w:lang w:val="en-US"/>
                </w:rPr>
                <m:t>2</m:t>
              </m:r>
            </m:sub>
          </m:sSub>
          <m:r>
            <m:rPr>
              <m:sty m:val="p"/>
            </m:rPr>
            <w:rPr>
              <w:rFonts w:ascii="Cambria Math" w:hAnsi="Cambria Math" w:cs="Calibri"/>
              <w:sz w:val="20"/>
              <w:szCs w:val="20"/>
              <w:lang w:val="en-US"/>
            </w:rPr>
            <m:t>O</m:t>
          </m:r>
        </m:oMath>
      </m:oMathPara>
    </w:p>
    <w:p w:rsidR="00E975D0" w:rsidRDefault="00E975D0" w:rsidP="00E975D0">
      <w:pPr>
        <w:pStyle w:val="RSCB02ArticleText"/>
        <w:spacing w:line="480" w:lineRule="auto"/>
        <w:rPr>
          <w:rFonts w:ascii="Times" w:hAnsi="Times" w:cs="Calibri"/>
          <w:sz w:val="24"/>
          <w:szCs w:val="24"/>
          <w:lang w:val="en-US"/>
        </w:rPr>
      </w:pPr>
      <w:r>
        <w:rPr>
          <w:rFonts w:ascii="Times" w:hAnsi="Times" w:cs="Calibri"/>
          <w:sz w:val="24"/>
          <w:szCs w:val="24"/>
          <w:lang w:val="en-US"/>
        </w:rPr>
        <w:t xml:space="preserve">where M represents the transition metal, and </w:t>
      </w:r>
      <m:oMath>
        <m:r>
          <w:rPr>
            <w:rFonts w:ascii="Cambria Math" w:hAnsi="Cambria Math" w:cs="Calibri"/>
            <w:sz w:val="20"/>
            <w:szCs w:val="20"/>
            <w:lang w:val="en-US"/>
          </w:rPr>
          <m:t>δ</m:t>
        </m:r>
      </m:oMath>
      <w:r>
        <w:rPr>
          <w:rFonts w:ascii="Times" w:hAnsi="Times" w:cs="Calibri"/>
          <w:sz w:val="24"/>
          <w:szCs w:val="24"/>
          <w:lang w:val="en-US"/>
        </w:rPr>
        <w:t xml:space="preserve"> represents the ratio of direct carbo-reduction (</w:t>
      </w:r>
      <m:oMath>
        <m:r>
          <w:rPr>
            <w:rFonts w:ascii="Cambria Math" w:hAnsi="Cambria Math" w:cs="Calibri"/>
            <w:sz w:val="20"/>
            <w:szCs w:val="20"/>
            <w:lang w:val="en-US"/>
          </w:rPr>
          <m:t>δ</m:t>
        </m:r>
      </m:oMath>
      <w:r>
        <w:rPr>
          <w:rFonts w:ascii="Times" w:hAnsi="Times" w:cs="Calibri"/>
          <w:sz w:val="24"/>
          <w:szCs w:val="24"/>
          <w:lang w:val="en-US"/>
        </w:rPr>
        <w:t>=1) to hydrogen reduction (</w:t>
      </w:r>
      <m:oMath>
        <m:r>
          <w:rPr>
            <w:rFonts w:ascii="Cambria Math" w:hAnsi="Cambria Math" w:cs="Calibri"/>
            <w:sz w:val="20"/>
            <w:szCs w:val="20"/>
            <w:lang w:val="en-US"/>
          </w:rPr>
          <m:t>δ</m:t>
        </m:r>
      </m:oMath>
      <w:r>
        <w:rPr>
          <w:rFonts w:ascii="Times" w:hAnsi="Times" w:cs="Calibri"/>
          <w:sz w:val="24"/>
          <w:szCs w:val="24"/>
          <w:lang w:val="en-US"/>
        </w:rPr>
        <w:t>=0).</w:t>
      </w:r>
      <w:r w:rsidR="004F3D78">
        <w:rPr>
          <w:rFonts w:ascii="Times" w:hAnsi="Times" w:cs="Calibri"/>
          <w:sz w:val="24"/>
          <w:szCs w:val="24"/>
          <w:lang w:val="en-US"/>
        </w:rPr>
        <w:t xml:space="preserve"> </w:t>
      </w:r>
      <w:r>
        <w:rPr>
          <w:rFonts w:ascii="Times" w:hAnsi="Times" w:cs="Calibri"/>
          <w:color w:val="000000" w:themeColor="text1"/>
          <w:sz w:val="24"/>
          <w:szCs w:val="24"/>
          <w:lang w:val="en-US"/>
        </w:rPr>
        <w:t>In addition, Chromium, with a low electron negativity (1.66 vs 1.88 of Co) and stable high valent state, was selected as a suitable dopant to modulate both the HER and OER activity of 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 The great difference in the electronegativities between Cr and Co leads to more polarized electron distribution and stronger electron interactions.</w:t>
      </w:r>
      <w:r>
        <w:rPr>
          <w:rFonts w:ascii="Times" w:hAnsi="Times" w:cs="Calibri"/>
          <w:color w:val="FF0000"/>
          <w:sz w:val="24"/>
          <w:szCs w:val="24"/>
          <w:lang w:val="en-US"/>
        </w:rPr>
        <w:t xml:space="preserve"> </w:t>
      </w:r>
      <w:r>
        <w:rPr>
          <w:rFonts w:ascii="Times" w:hAnsi="Times" w:cs="Calibri"/>
          <w:color w:val="000000" w:themeColor="text1"/>
          <w:sz w:val="24"/>
          <w:szCs w:val="24"/>
          <w:lang w:val="en-US"/>
        </w:rPr>
        <w:t>Therefore, the d-band center of surface Co would be lowered and the H chemisorption strength would be weakened.</w:t>
      </w:r>
      <w:r>
        <w:rPr>
          <w:rFonts w:ascii="Times" w:hAnsi="Times" w:cs="Calibri"/>
          <w:color w:val="000000" w:themeColor="text1"/>
          <w:sz w:val="24"/>
          <w:szCs w:val="24"/>
          <w:lang w:val="en-US"/>
        </w:rPr>
        <w:fldChar w:fldCharType="begin" w:fldLock="1"/>
      </w:r>
      <w:r>
        <w:rPr>
          <w:rFonts w:ascii="Times" w:hAnsi="Times" w:cs="Calibri"/>
          <w:color w:val="000000" w:themeColor="text1"/>
          <w:sz w:val="24"/>
          <w:szCs w:val="24"/>
          <w:lang w:val="en-US"/>
        </w:rPr>
        <w:instrText>ADDIN CSL_CITATION {"citationItems":[{"id":"ITEM-1","itemData":{"DOI":"10.1002/aenm.201700020","ISSN":"16146840","abstract":"© 2017 WILEY-VCH Verlag GmbH  &amp;  Co. KGaA, Weinheim As a non-toxic species, Zn fulfills a multitude of biological roles, but its promoting effect on electrocatalysis has been rarely explored. Herein, the theoretic predications and experimental investigations that nonelectroactive Zn behaves as an effective promoter for CoP-catalyzed hydrogen evolution reaction (HER) in both acidic and alkaline media is reported. Density function theory  calculations reveal that Zn doing leads to more thermal-neutral hydrogen adsorption free energy and thus enhanced HER activity for CoP catalyst. Electrochemical tests show that a Zn 0.08 Co 0.92 P nanowall array on titanium mesh (Zn 0.08 Co 0.92 P/TM) needs overpotentials of only 39 and 67 mV to drive a geometrical catalytic current of 10 mA cm -2  in 0.5 m H 2 SO 4  and 1.0 m KOH, respectively. This Zn 0.08 Co 0.92 P/TM is also superior in activity over CoP/TM for urea oxidation reaction (UOR), driving 115 mA cm -2  at 0.6 V in 1.0 m KOH with 0.5 m urea. The high HER and UOR activity of this bifunctional electrode enables a Zn 0.08 Co 0.92 P/TM-based two-electrode electrolyzer for energy-saving hydrogen production, offering 10 mA cm -2  at a low voltage of 1.38 V with strong long-term electrochemical stability.","author":[{"dropping-particle":"","family":"Liu","given":"Tingting","non-dropping-particle":"","parse-names":false,"suffix":""},{"dropping-particle":"","family":"Liu","given":"Danni","non-dropping-particle":"","parse-names":false,"suffix":""},{"dropping-particle":"","family":"Qu","given":"Fengli","non-dropping-particle":"","parse-names":false,"suffix":""},{"dropping-particle":"","family":"Wang","given":"Dengxing","non-dropping-particle":"","parse-names":false,"suffix":""},{"dropping-particle":"","family":"Zhang","given":"Ling","non-dropping-particle":"","parse-names":false,"suffix":""},{"dropping-particle":"","family":"Ge","given":"Ruixiang","non-dropping-particle":"","parse-names":false,"suffix":""},{"dropping-particle":"","family":"Hao","given":"Shuai","non-dropping-particle":"","parse-names":false,"suffix":""},{"dropping-particle":"","family":"Ma","given":"Yongjun","non-dropping-particle":"","parse-names":false,"suffix":""},{"dropping-particle":"","family":"Du","given":"Gu","non-dropping-particle":"","parse-names":false,"suffix":""},{"dropping-particle":"","family":"Asiri","given":"Abdullah M.","non-dropping-particle":"","parse-names":false,"suffix":""},{"dropping-particle":"","family":"Chen","given":"Liang","non-dropping-particle":"","parse-names":false,"suffix":""},{"dropping-particle":"","family":"Sun","given":"Xuping","non-dropping-particle":"","parse-names":false,"suffix":""}],"container-title":"Advanced Energy Materials","id":"ITEM-1","issue":"15","issued":{"date-parts":[["2017","8","9"]]},"publisher":"Wiley-VCH Verlag","title":"Enhanced Electrocatalysis for Energy-Efficient Hydrogen Production over CoP Catalyst with Nonelectroactive Zn as a Promoter","type":"article-journal","volume":"7"},"uris":["http://www.mendeley.com/documents/?uuid=d5c581a6-dd22-37bb-a8aa-c8a898d4bed7"]},{"id":"ITEM-2","itemData":{"DOI":"10.1039/c9ta08812a","ISSN":"20507496","abstract":"Exploring highly efficient and cost-effective electrocatalysts has become imperative for neutral-pH water splitting, which is environmentally friendly and can reduce the cost of electrolysis systems. Here, we report an effective strategy to design a novel type of callistemon-like Zn and S codoped CoP nanorod clusters by introducing both Zn and S into cobalt phosphide, thereby creating electrocatalysts for highly efficient and stable neutral water splitting. The best Zn and S codoped CoP nanorod clusters on carbon paper (Zn,S-CoP NRCs/CP) require overpotential values of 67 and 391 mV for hydrogen evolution reaction (HER) and oxygen evolution reaction (OER) at 10 mA cm-2 in 1.0 M phosphate-buffered solution, respectively. Remarkably, this enables a neutral electrolyzer to deliver 10 mA cm-2 at a low cell voltage of 1.70 V, which is superior to those afforded by the Pt/C/CP</w:instrText>
      </w:r>
      <w:r>
        <w:rPr>
          <w:rFonts w:ascii="Times" w:hAnsi="Times" w:cs="Calibri" w:hint="eastAsia"/>
          <w:color w:val="000000" w:themeColor="text1"/>
          <w:sz w:val="24"/>
          <w:szCs w:val="24"/>
          <w:lang w:val="en-US"/>
        </w:rPr>
        <w:instrText>‖</w:instrText>
      </w:r>
      <w:r>
        <w:rPr>
          <w:rFonts w:ascii="Times" w:hAnsi="Times" w:cs="Calibri"/>
          <w:color w:val="000000" w:themeColor="text1"/>
          <w:sz w:val="24"/>
          <w:szCs w:val="24"/>
          <w:lang w:val="en-US"/>
        </w:rPr>
        <w:instrText>IrO2/CP couple and most of the state-of-The-Art electrocatalysts. Impressively, this electrolyzer can be powered by an AA battery (</w:instrText>
      </w:r>
      <w:r>
        <w:rPr>
          <w:rFonts w:ascii="Cambria Math" w:hAnsi="Cambria Math" w:cs="Cambria Math"/>
          <w:color w:val="000000" w:themeColor="text1"/>
          <w:sz w:val="24"/>
          <w:szCs w:val="24"/>
          <w:lang w:val="en-US"/>
        </w:rPr>
        <w:instrText>∼</w:instrText>
      </w:r>
      <w:r>
        <w:rPr>
          <w:rFonts w:ascii="Times" w:hAnsi="Times" w:cs="Calibri"/>
          <w:color w:val="000000" w:themeColor="text1"/>
          <w:sz w:val="24"/>
          <w:szCs w:val="24"/>
          <w:lang w:val="en-US"/>
        </w:rPr>
        <w:instrText>1.5 V). Density functional theory computations and systematic experiments have verified that the improved HER and OER activities originate from the optimized electronic structures that can facilitate the adsorption and desorption of hydrogen intermediates after introducing Zn and S and accelerating the formation of oxygenated intermediates on CoOOH, respectively. This work provides a new strategy to boost the performance of transition metal phosphides for neutral water or seawater splitting.","author":[{"dropping-particle":"","family":"Yan","given":"Liang","non-dropping-particle":"","parse-names":false,"suffix":""},{"dropping-particle":"","family":"Zhang","given":"Bing","non-dropping-particle":"","parse-names":false,"suffix":""},{"dropping-particle":"","family":"Zhu","given":"Junlu","non-dropping-particle":"","parse-names":false,"suffix":""},{"dropping-particle":"","family":"Liu","given":"Zhonggang","non-dropping-particle":"","parse-names":false,"suffix":""},{"dropping-particle":"","family":"Zhang","given":"Haiyan","non-dropping-particle":"","parse-names":false,"suffix":""},{"dropping-particle":"","family":"Li","given":"Yunyong","non-dropping-particle":"","parse-names":false,"suffix":""}],"container-title":"Journal of Materials Chemistry A","id":"ITEM-2","issue":"39","issued":{"date-parts":[["2019"]]},"page":"22453-22462","publisher":"Royal Society of Chemistry","title":"Callistemon-like Zn and S codoped CoP nanorod clusters as highly efficient electrocatalysts for neutral-pH overall water splitting","type":"article-journal","volume":"7"},"uris":["http://www.mendeley.com/documents/?uuid=cc77749c-c0c3-4300-a7b2-f63575771d3a"]}],"mendeley":{"formattedCitation":"&lt;sup&gt;25,26&lt;/sup&gt;","plainTextFormattedCitation":"25,26","previouslyFormattedCitation":"&lt;sup&gt;25,26&lt;/sup&gt;"},"properties":{"noteIndex":0},"schema":"https://github.com/citation-style-language/schema/raw/master/csl-citation.json"}</w:instrText>
      </w:r>
      <w:r>
        <w:rPr>
          <w:rFonts w:ascii="Times" w:hAnsi="Times" w:cs="Calibri"/>
          <w:color w:val="000000" w:themeColor="text1"/>
          <w:sz w:val="24"/>
          <w:szCs w:val="24"/>
          <w:lang w:val="en-US"/>
        </w:rPr>
        <w:fldChar w:fldCharType="separate"/>
      </w:r>
      <w:r>
        <w:rPr>
          <w:rFonts w:ascii="Times" w:hAnsi="Times" w:cs="Calibri"/>
          <w:noProof/>
          <w:color w:val="000000" w:themeColor="text1"/>
          <w:sz w:val="24"/>
          <w:szCs w:val="24"/>
          <w:vertAlign w:val="superscript"/>
          <w:lang w:val="en-US"/>
        </w:rPr>
        <w:t>25,26</w:t>
      </w:r>
      <w:r>
        <w:rPr>
          <w:rFonts w:ascii="Times" w:hAnsi="Times" w:cs="Calibri"/>
          <w:color w:val="000000" w:themeColor="text1"/>
          <w:sz w:val="24"/>
          <w:szCs w:val="24"/>
          <w:lang w:val="en-US"/>
        </w:rPr>
        <w:fldChar w:fldCharType="end"/>
      </w:r>
      <w:r>
        <w:rPr>
          <w:rFonts w:ascii="Times" w:hAnsi="Times" w:cs="Calibri"/>
          <w:sz w:val="24"/>
          <w:szCs w:val="24"/>
          <w:lang w:val="en-US"/>
        </w:rPr>
        <w:t xml:space="preserve"> </w:t>
      </w:r>
      <w:r>
        <w:rPr>
          <w:rFonts w:ascii="Times" w:hAnsi="Times" w:cs="Calibri"/>
          <w:sz w:val="24"/>
          <w:szCs w:val="24"/>
          <w:lang w:val="en-US"/>
        </w:rPr>
        <w:lastRenderedPageBreak/>
        <w:t>Besides, the high valent Cr dopant will also serve as active sites on Co</w:t>
      </w:r>
      <w:r>
        <w:rPr>
          <w:rFonts w:ascii="Times" w:hAnsi="Times" w:cs="Calibri"/>
          <w:sz w:val="24"/>
          <w:szCs w:val="24"/>
          <w:vertAlign w:val="subscript"/>
          <w:lang w:val="en-US"/>
        </w:rPr>
        <w:t>2</w:t>
      </w:r>
      <w:r>
        <w:rPr>
          <w:rFonts w:ascii="Times" w:hAnsi="Times" w:cs="Calibri"/>
          <w:sz w:val="24"/>
          <w:szCs w:val="24"/>
          <w:lang w:val="en-US"/>
        </w:rPr>
        <w:t>P surface for water molecular adsorption and thus promote the initial water discharge step to generate H intermediates. Furthermore, in order to improve the electrical conductivity of the material and minimize Co usage, commercial carbon black powder was used as the catalyst support. Another advantage of using carbon support material is that the carbon acts as a reducing agent during pyrolysis in concert with the reducing atmosphere, in the synthesis of metal phosphides as described above. A series of cobalt-based phosphides on carbon black support with different amount of Cr doping were prepared. The Cr doped Co</w:t>
      </w:r>
      <w:r>
        <w:rPr>
          <w:rFonts w:ascii="Times" w:hAnsi="Times" w:cs="Calibri"/>
          <w:sz w:val="24"/>
          <w:szCs w:val="24"/>
          <w:vertAlign w:val="subscript"/>
          <w:lang w:val="en-US"/>
        </w:rPr>
        <w:t>2</w:t>
      </w:r>
      <w:r>
        <w:rPr>
          <w:rFonts w:ascii="Times" w:hAnsi="Times" w:cs="Calibri"/>
          <w:sz w:val="24"/>
          <w:szCs w:val="24"/>
          <w:lang w:val="en-US"/>
        </w:rPr>
        <w:t>P on carbon black support (denoted as Cr-Co</w:t>
      </w:r>
      <w:r>
        <w:rPr>
          <w:rFonts w:ascii="Times" w:hAnsi="Times" w:cs="Calibri"/>
          <w:sz w:val="24"/>
          <w:szCs w:val="24"/>
          <w:vertAlign w:val="subscript"/>
          <w:lang w:val="en-US"/>
        </w:rPr>
        <w:t>2</w:t>
      </w:r>
      <w:r>
        <w:rPr>
          <w:rFonts w:ascii="Times" w:hAnsi="Times" w:cs="Calibri"/>
          <w:sz w:val="24"/>
          <w:szCs w:val="24"/>
          <w:lang w:val="en-US"/>
        </w:rPr>
        <w:t>P/CB) catalyst showed excellent activity towards the HER and the OER in alkaline solutions. On top of this, the Cr-Co</w:t>
      </w:r>
      <w:r>
        <w:rPr>
          <w:rFonts w:ascii="Times" w:hAnsi="Times" w:cs="Calibri"/>
          <w:sz w:val="24"/>
          <w:szCs w:val="24"/>
          <w:vertAlign w:val="subscript"/>
          <w:lang w:val="en-US"/>
        </w:rPr>
        <w:t>2</w:t>
      </w:r>
      <w:r>
        <w:rPr>
          <w:rFonts w:ascii="Times" w:hAnsi="Times" w:cs="Calibri"/>
          <w:sz w:val="24"/>
          <w:szCs w:val="24"/>
          <w:lang w:val="en-US"/>
        </w:rPr>
        <w:t>P/CB also showed good stability with almost no degradation after the 1000</w:t>
      </w:r>
      <w:r>
        <w:rPr>
          <w:rFonts w:ascii="Times" w:hAnsi="Times" w:cs="Calibri"/>
          <w:sz w:val="24"/>
          <w:szCs w:val="24"/>
          <w:vertAlign w:val="superscript"/>
          <w:lang w:val="en-US"/>
        </w:rPr>
        <w:t>th</w:t>
      </w:r>
      <w:r>
        <w:rPr>
          <w:rFonts w:ascii="Times" w:hAnsi="Times" w:cs="Calibri"/>
          <w:sz w:val="24"/>
          <w:szCs w:val="24"/>
          <w:lang w:val="en-US"/>
        </w:rPr>
        <w:t xml:space="preserve"> continuous CV scanning in 0.1 M KOH.</w:t>
      </w:r>
    </w:p>
    <w:p w:rsidR="00E975D0" w:rsidRPr="004F3D78" w:rsidRDefault="00E975D0" w:rsidP="00E975D0">
      <w:pPr>
        <w:pStyle w:val="RSCB04AHeadingSection"/>
        <w:spacing w:line="480" w:lineRule="auto"/>
        <w:rPr>
          <w:rStyle w:val="06CHeading"/>
          <w:b/>
          <w:smallCaps w:val="0"/>
          <w:sz w:val="24"/>
          <w:szCs w:val="24"/>
          <w:lang w:val="en-US"/>
        </w:rPr>
      </w:pPr>
      <w:r w:rsidRPr="004F3D78">
        <w:rPr>
          <w:rStyle w:val="06CHeading"/>
          <w:b/>
          <w:smallCaps w:val="0"/>
          <w:sz w:val="24"/>
          <w:szCs w:val="24"/>
          <w:lang w:val="en-US"/>
        </w:rPr>
        <w:t>Experimental Section</w:t>
      </w:r>
    </w:p>
    <w:p w:rsidR="00E975D0" w:rsidRDefault="00E975D0" w:rsidP="00E975D0">
      <w:pPr>
        <w:pStyle w:val="RSCB06BHeadingSub-Section"/>
        <w:spacing w:before="40" w:line="480" w:lineRule="auto"/>
        <w:rPr>
          <w:sz w:val="24"/>
        </w:rPr>
      </w:pPr>
      <w:r>
        <w:rPr>
          <w:rFonts w:ascii="Times" w:hAnsi="Times" w:cs="Calibri Light"/>
          <w:sz w:val="24"/>
          <w:szCs w:val="24"/>
          <w:lang w:val="en-US"/>
        </w:rPr>
        <w:t>Synthesis of Cr-Co</w:t>
      </w:r>
      <w:r>
        <w:rPr>
          <w:rFonts w:ascii="Times" w:hAnsi="Times" w:cs="Calibri Light"/>
          <w:sz w:val="24"/>
          <w:szCs w:val="24"/>
          <w:vertAlign w:val="subscript"/>
          <w:lang w:val="en-US"/>
        </w:rPr>
        <w:t>2</w:t>
      </w:r>
      <w:r>
        <w:rPr>
          <w:rFonts w:ascii="Times" w:hAnsi="Times" w:cs="Calibri Light"/>
          <w:sz w:val="24"/>
          <w:szCs w:val="24"/>
          <w:lang w:val="en-US"/>
        </w:rPr>
        <w:t>P/CB hybrid catalysts.</w:t>
      </w:r>
    </w:p>
    <w:p w:rsidR="00E975D0" w:rsidRDefault="00E975D0" w:rsidP="00E975D0">
      <w:pPr>
        <w:pStyle w:val="RSCB02ArticleText"/>
        <w:spacing w:line="480" w:lineRule="auto"/>
        <w:rPr>
          <w:rFonts w:ascii="Times" w:hAnsi="Times" w:cs="Calibri"/>
          <w:sz w:val="24"/>
          <w:szCs w:val="24"/>
          <w:lang w:val="en-US"/>
        </w:rPr>
      </w:pPr>
      <w:r>
        <w:rPr>
          <w:rFonts w:ascii="Times" w:hAnsi="Times" w:cs="Calibri"/>
          <w:sz w:val="24"/>
          <w:szCs w:val="24"/>
          <w:lang w:val="en-US"/>
        </w:rPr>
        <w:t>The supported transition metal phosphide catalysts were prepared by the so-called carbothermal hydrogen route. Typically, a known amount of metal nitrate, 3.768 mmol of Co(NO</w:t>
      </w:r>
      <w:r>
        <w:rPr>
          <w:rFonts w:ascii="Times" w:hAnsi="Times" w:cs="Calibri"/>
          <w:sz w:val="24"/>
          <w:szCs w:val="24"/>
          <w:vertAlign w:val="subscript"/>
          <w:lang w:val="en-US"/>
        </w:rPr>
        <w:t>3</w:t>
      </w:r>
      <w:r>
        <w:rPr>
          <w:rFonts w:ascii="Times" w:hAnsi="Times" w:cs="Calibri"/>
          <w:sz w:val="24"/>
          <w:szCs w:val="24"/>
          <w:lang w:val="en-US"/>
        </w:rPr>
        <w:t>)</w:t>
      </w:r>
      <w:r>
        <w:rPr>
          <w:rFonts w:ascii="Times" w:hAnsi="Times" w:cs="Calibri"/>
          <w:sz w:val="24"/>
          <w:szCs w:val="24"/>
          <w:vertAlign w:val="subscript"/>
          <w:lang w:val="en-US"/>
        </w:rPr>
        <w:t>2</w:t>
      </w:r>
      <w:r>
        <w:rPr>
          <w:rFonts w:ascii="Times" w:hAnsi="Times" w:cs="Calibri"/>
          <w:sz w:val="24"/>
          <w:szCs w:val="24"/>
          <w:lang w:val="en-US"/>
        </w:rPr>
        <w:t xml:space="preserve"> ·6H</w:t>
      </w:r>
      <w:r>
        <w:rPr>
          <w:rFonts w:ascii="Times" w:hAnsi="Times" w:cs="Calibri"/>
          <w:sz w:val="24"/>
          <w:szCs w:val="24"/>
          <w:vertAlign w:val="subscript"/>
          <w:lang w:val="en-US"/>
        </w:rPr>
        <w:t>2</w:t>
      </w:r>
      <w:r>
        <w:rPr>
          <w:rFonts w:ascii="Times" w:hAnsi="Times" w:cs="Calibri"/>
          <w:sz w:val="24"/>
          <w:szCs w:val="24"/>
          <w:lang w:val="en-US"/>
        </w:rPr>
        <w:t>O (Sigma-Aldrich.Co) and 66.66 mmol of carbon black powder (Vulcan XC72R, Cabot) were dissolved in 2 mL of ultrapure water (Millipore MilliQ 18.2 MΩcm) and sonicated for 2.5 h. For the phosphorus precursor, 1.884 mmol of (NH</w:t>
      </w:r>
      <w:r>
        <w:rPr>
          <w:rFonts w:ascii="Times" w:hAnsi="Times" w:cs="Calibri"/>
          <w:sz w:val="24"/>
          <w:szCs w:val="24"/>
          <w:vertAlign w:val="subscript"/>
          <w:lang w:val="en-US"/>
        </w:rPr>
        <w:t>4</w:t>
      </w:r>
      <w:r>
        <w:rPr>
          <w:rFonts w:ascii="Times" w:hAnsi="Times" w:cs="Calibri"/>
          <w:sz w:val="24"/>
          <w:szCs w:val="24"/>
          <w:lang w:val="en-US"/>
        </w:rPr>
        <w:t>)</w:t>
      </w:r>
      <w:r>
        <w:rPr>
          <w:rFonts w:ascii="Times" w:hAnsi="Times" w:cs="Calibri"/>
          <w:sz w:val="24"/>
          <w:szCs w:val="24"/>
          <w:vertAlign w:val="subscript"/>
          <w:lang w:val="en-US"/>
        </w:rPr>
        <w:t>2</w:t>
      </w:r>
      <w:r>
        <w:rPr>
          <w:rFonts w:ascii="Times" w:hAnsi="Times" w:cs="Calibri"/>
          <w:sz w:val="24"/>
          <w:szCs w:val="24"/>
          <w:lang w:val="en-US"/>
        </w:rPr>
        <w:t>HPO</w:t>
      </w:r>
      <w:r>
        <w:rPr>
          <w:rFonts w:ascii="Times" w:hAnsi="Times" w:cs="Calibri"/>
          <w:sz w:val="24"/>
          <w:szCs w:val="24"/>
          <w:vertAlign w:val="subscript"/>
          <w:lang w:val="en-US"/>
        </w:rPr>
        <w:t>4</w:t>
      </w:r>
      <w:r>
        <w:rPr>
          <w:rFonts w:ascii="Times" w:hAnsi="Times" w:cs="Calibri"/>
          <w:sz w:val="24"/>
          <w:szCs w:val="24"/>
          <w:lang w:val="en-US"/>
        </w:rPr>
        <w:t>(Sigma-Aldrich.Co) was then dissolved in 4 mL of ultrapure water and added to the metal precursor to form metal phosphate (M</w:t>
      </w:r>
      <w:r>
        <w:rPr>
          <w:rFonts w:ascii="Times" w:hAnsi="Times" w:cs="Calibri"/>
          <w:sz w:val="24"/>
          <w:szCs w:val="24"/>
          <w:vertAlign w:val="subscript"/>
          <w:lang w:val="en-US"/>
        </w:rPr>
        <w:t>x</w:t>
      </w:r>
      <w:r>
        <w:rPr>
          <w:rFonts w:ascii="Times" w:hAnsi="Times" w:cs="Calibri"/>
          <w:sz w:val="24"/>
          <w:szCs w:val="24"/>
          <w:lang w:val="en-US"/>
        </w:rPr>
        <w:t>(PO</w:t>
      </w:r>
      <w:r>
        <w:rPr>
          <w:rFonts w:ascii="Times" w:hAnsi="Times" w:cs="Calibri"/>
          <w:sz w:val="24"/>
          <w:szCs w:val="24"/>
          <w:vertAlign w:val="subscript"/>
          <w:lang w:val="en-US"/>
        </w:rPr>
        <w:t>4</w:t>
      </w:r>
      <w:r>
        <w:rPr>
          <w:rFonts w:ascii="Times" w:hAnsi="Times" w:cs="Calibri"/>
          <w:sz w:val="24"/>
          <w:szCs w:val="24"/>
          <w:lang w:val="en-US"/>
        </w:rPr>
        <w:t>)</w:t>
      </w:r>
      <w:r>
        <w:rPr>
          <w:rFonts w:ascii="Times" w:hAnsi="Times" w:cs="Calibri"/>
          <w:sz w:val="24"/>
          <w:szCs w:val="24"/>
          <w:vertAlign w:val="subscript"/>
          <w:lang w:val="en-US"/>
        </w:rPr>
        <w:t>y</w:t>
      </w:r>
      <w:r>
        <w:rPr>
          <w:rFonts w:ascii="Times" w:hAnsi="Times" w:cs="Calibri"/>
          <w:sz w:val="24"/>
          <w:szCs w:val="24"/>
          <w:lang w:val="en-US"/>
        </w:rPr>
        <w:t>) on carbon black. After another 1.5 h of sonication, a well-dispersed M</w:t>
      </w:r>
      <w:r>
        <w:rPr>
          <w:rFonts w:ascii="Times" w:hAnsi="Times" w:cs="Calibri"/>
          <w:sz w:val="24"/>
          <w:szCs w:val="24"/>
          <w:vertAlign w:val="subscript"/>
          <w:lang w:val="en-US"/>
        </w:rPr>
        <w:t>x</w:t>
      </w:r>
      <w:r>
        <w:rPr>
          <w:rFonts w:ascii="Times" w:hAnsi="Times" w:cs="Calibri"/>
          <w:sz w:val="24"/>
          <w:szCs w:val="24"/>
          <w:lang w:val="en-US"/>
        </w:rPr>
        <w:t>(PO</w:t>
      </w:r>
      <w:r>
        <w:rPr>
          <w:rFonts w:ascii="Times" w:hAnsi="Times" w:cs="Calibri"/>
          <w:sz w:val="24"/>
          <w:szCs w:val="24"/>
          <w:vertAlign w:val="subscript"/>
          <w:lang w:val="en-US"/>
        </w:rPr>
        <w:t>4</w:t>
      </w:r>
      <w:r>
        <w:rPr>
          <w:rFonts w:ascii="Times" w:hAnsi="Times" w:cs="Calibri"/>
          <w:sz w:val="24"/>
          <w:szCs w:val="24"/>
          <w:lang w:val="en-US"/>
        </w:rPr>
        <w:t>)</w:t>
      </w:r>
      <w:r>
        <w:rPr>
          <w:rFonts w:ascii="Times" w:hAnsi="Times" w:cs="Calibri"/>
          <w:sz w:val="24"/>
          <w:szCs w:val="24"/>
          <w:vertAlign w:val="subscript"/>
          <w:lang w:val="en-US"/>
        </w:rPr>
        <w:t xml:space="preserve">y </w:t>
      </w:r>
      <w:r>
        <w:rPr>
          <w:rFonts w:ascii="Times" w:hAnsi="Times" w:cs="Calibri"/>
          <w:sz w:val="24"/>
          <w:szCs w:val="24"/>
          <w:lang w:val="en-US"/>
        </w:rPr>
        <w:t>precursor on carbon black was obtained. Then the sample was dried in an oven at 120 °C overnight, and the formed powder was grounded in a mortar and pyrolysed in 5%vol. H</w:t>
      </w:r>
      <w:r>
        <w:rPr>
          <w:rFonts w:ascii="Times" w:hAnsi="Times" w:cs="Calibri"/>
          <w:sz w:val="24"/>
          <w:szCs w:val="24"/>
          <w:vertAlign w:val="subscript"/>
          <w:lang w:val="en-US"/>
        </w:rPr>
        <w:t>2</w:t>
      </w:r>
      <w:r>
        <w:rPr>
          <w:rFonts w:ascii="Times" w:hAnsi="Times" w:cs="Calibri"/>
          <w:sz w:val="24"/>
          <w:szCs w:val="24"/>
          <w:lang w:val="en-US"/>
        </w:rPr>
        <w:t>/N</w:t>
      </w:r>
      <w:r>
        <w:rPr>
          <w:rFonts w:ascii="Times" w:hAnsi="Times" w:cs="Calibri"/>
          <w:sz w:val="24"/>
          <w:szCs w:val="24"/>
          <w:vertAlign w:val="subscript"/>
          <w:lang w:val="en-US"/>
        </w:rPr>
        <w:t>2</w:t>
      </w:r>
      <w:r>
        <w:rPr>
          <w:rFonts w:ascii="Times" w:hAnsi="Times" w:cs="Calibri"/>
          <w:sz w:val="24"/>
          <w:szCs w:val="24"/>
          <w:lang w:val="en-US"/>
        </w:rPr>
        <w:t xml:space="preserve"> at a temperature of 1000 </w:t>
      </w:r>
      <w:r>
        <w:rPr>
          <w:rFonts w:ascii="Times" w:eastAsia="DengXian" w:hAnsi="Times" w:cs="Calibri"/>
          <w:color w:val="000000"/>
          <w:sz w:val="24"/>
          <w:szCs w:val="24"/>
          <w:lang w:val="en-US"/>
        </w:rPr>
        <w:t>°C</w:t>
      </w:r>
      <w:r>
        <w:rPr>
          <w:rFonts w:ascii="Times" w:hAnsi="Times" w:cs="Calibri"/>
          <w:sz w:val="24"/>
          <w:szCs w:val="24"/>
          <w:lang w:val="en-US"/>
        </w:rPr>
        <w:t xml:space="preserve"> for 3 hours in a tube furnace under a heating ramp of 5 </w:t>
      </w:r>
      <w:r>
        <w:rPr>
          <w:rFonts w:ascii="Times" w:hAnsi="Times" w:cs="Calibri"/>
          <w:sz w:val="24"/>
          <w:szCs w:val="24"/>
          <w:vertAlign w:val="superscript"/>
          <w:lang w:val="en-US"/>
        </w:rPr>
        <w:t>o</w:t>
      </w:r>
      <w:r>
        <w:rPr>
          <w:rFonts w:ascii="Times" w:hAnsi="Times" w:cs="Calibri"/>
          <w:sz w:val="24"/>
          <w:szCs w:val="24"/>
          <w:lang w:val="en-US"/>
        </w:rPr>
        <w:t>C min</w:t>
      </w:r>
      <w:r>
        <w:rPr>
          <w:rFonts w:ascii="Times" w:hAnsi="Times" w:cs="Calibri"/>
          <w:sz w:val="24"/>
          <w:szCs w:val="24"/>
          <w:vertAlign w:val="superscript"/>
          <w:lang w:val="en-US"/>
        </w:rPr>
        <w:t>-1</w:t>
      </w:r>
      <w:r>
        <w:rPr>
          <w:rFonts w:ascii="Times" w:hAnsi="Times" w:cs="Calibri"/>
          <w:sz w:val="24"/>
          <w:szCs w:val="24"/>
          <w:lang w:val="en-US"/>
        </w:rPr>
        <w:t xml:space="preserve"> to obtain 40 wt. % Co</w:t>
      </w:r>
      <w:r>
        <w:rPr>
          <w:rFonts w:ascii="Times" w:hAnsi="Times" w:cs="Calibri"/>
          <w:sz w:val="24"/>
          <w:szCs w:val="24"/>
          <w:vertAlign w:val="subscript"/>
          <w:lang w:val="en-US"/>
        </w:rPr>
        <w:t>2</w:t>
      </w:r>
      <w:r>
        <w:rPr>
          <w:rFonts w:ascii="Times" w:hAnsi="Times" w:cs="Calibri"/>
          <w:sz w:val="24"/>
          <w:szCs w:val="24"/>
          <w:lang w:val="en-US"/>
        </w:rPr>
        <w:t>P on carbon black. The procedures for synthesis of 40 wt.% of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 Cr</w:t>
      </w:r>
      <w:r>
        <w:rPr>
          <w:rFonts w:ascii="Times" w:hAnsi="Times" w:cs="Calibri"/>
          <w:sz w:val="24"/>
          <w:szCs w:val="24"/>
          <w:vertAlign w:val="subscript"/>
          <w:lang w:val="en-US"/>
        </w:rPr>
        <w:t>0.4</w:t>
      </w:r>
      <w:r>
        <w:rPr>
          <w:rFonts w:ascii="Times" w:hAnsi="Times" w:cs="Calibri"/>
          <w:sz w:val="24"/>
          <w:szCs w:val="24"/>
          <w:lang w:val="en-US"/>
        </w:rPr>
        <w:t>Co</w:t>
      </w:r>
      <w:r>
        <w:rPr>
          <w:rFonts w:ascii="Times" w:hAnsi="Times" w:cs="Calibri"/>
          <w:sz w:val="24"/>
          <w:szCs w:val="24"/>
          <w:vertAlign w:val="subscript"/>
          <w:lang w:val="en-US"/>
        </w:rPr>
        <w:t>1.6</w:t>
      </w:r>
      <w:r>
        <w:rPr>
          <w:rFonts w:ascii="Times" w:hAnsi="Times" w:cs="Calibri"/>
          <w:sz w:val="24"/>
          <w:szCs w:val="24"/>
          <w:lang w:val="en-US"/>
        </w:rPr>
        <w:t>P and Cr</w:t>
      </w:r>
      <w:r>
        <w:rPr>
          <w:rFonts w:ascii="Times" w:hAnsi="Times" w:cs="Calibri"/>
          <w:sz w:val="24"/>
          <w:szCs w:val="24"/>
          <w:vertAlign w:val="subscript"/>
          <w:lang w:val="en-US"/>
        </w:rPr>
        <w:t>0.6</w:t>
      </w:r>
      <w:r>
        <w:rPr>
          <w:rFonts w:ascii="Times" w:hAnsi="Times" w:cs="Calibri"/>
          <w:sz w:val="24"/>
          <w:szCs w:val="24"/>
          <w:lang w:val="en-US"/>
        </w:rPr>
        <w:t>Co</w:t>
      </w:r>
      <w:r>
        <w:rPr>
          <w:rFonts w:ascii="Times" w:hAnsi="Times" w:cs="Calibri"/>
          <w:sz w:val="24"/>
          <w:szCs w:val="24"/>
          <w:vertAlign w:val="subscript"/>
          <w:lang w:val="en-US"/>
        </w:rPr>
        <w:t>1.4</w:t>
      </w:r>
      <w:r>
        <w:rPr>
          <w:rFonts w:ascii="Times" w:hAnsi="Times" w:cs="Calibri"/>
          <w:sz w:val="24"/>
          <w:szCs w:val="24"/>
          <w:lang w:val="en-US"/>
        </w:rPr>
        <w:t xml:space="preserve">P on </w:t>
      </w:r>
      <w:r>
        <w:rPr>
          <w:rFonts w:ascii="Times" w:hAnsi="Times" w:cs="Calibri"/>
          <w:sz w:val="24"/>
          <w:szCs w:val="24"/>
          <w:lang w:val="en-US"/>
        </w:rPr>
        <w:lastRenderedPageBreak/>
        <w:t>carbon black were the same as for Co</w:t>
      </w:r>
      <w:r>
        <w:rPr>
          <w:rFonts w:ascii="Times" w:hAnsi="Times" w:cs="Calibri"/>
          <w:sz w:val="24"/>
          <w:szCs w:val="24"/>
          <w:lang w:val="en-US"/>
        </w:rPr>
        <w:softHyphen/>
      </w:r>
      <w:r>
        <w:rPr>
          <w:rFonts w:ascii="Times" w:hAnsi="Times" w:cs="Calibri"/>
          <w:sz w:val="24"/>
          <w:szCs w:val="24"/>
          <w:vertAlign w:val="subscript"/>
          <w:lang w:val="en-US"/>
        </w:rPr>
        <w:t>2</w:t>
      </w:r>
      <w:r>
        <w:rPr>
          <w:rFonts w:ascii="Times" w:hAnsi="Times" w:cs="Calibri"/>
          <w:sz w:val="24"/>
          <w:szCs w:val="24"/>
          <w:lang w:val="en-US"/>
        </w:rPr>
        <w:t>P but in the metal precursor solution CrNO</w:t>
      </w:r>
      <w:r>
        <w:rPr>
          <w:rFonts w:ascii="Times" w:hAnsi="Times" w:cs="Calibri"/>
          <w:sz w:val="24"/>
          <w:szCs w:val="24"/>
          <w:vertAlign w:val="subscript"/>
          <w:lang w:val="en-US"/>
        </w:rPr>
        <w:t>3</w:t>
      </w:r>
      <w:r>
        <w:rPr>
          <w:rFonts w:ascii="Times" w:hAnsi="Times" w:cs="Calibri"/>
          <w:sz w:val="24"/>
          <w:szCs w:val="24"/>
          <w:lang w:val="en-US"/>
        </w:rPr>
        <w:t>·6H</w:t>
      </w:r>
      <w:r>
        <w:rPr>
          <w:rFonts w:ascii="Times" w:hAnsi="Times" w:cs="Calibri"/>
          <w:sz w:val="24"/>
          <w:szCs w:val="24"/>
          <w:vertAlign w:val="subscript"/>
          <w:lang w:val="en-US"/>
        </w:rPr>
        <w:t>2</w:t>
      </w:r>
      <w:r>
        <w:rPr>
          <w:rFonts w:ascii="Times" w:hAnsi="Times" w:cs="Calibri"/>
          <w:sz w:val="24"/>
          <w:szCs w:val="24"/>
          <w:lang w:val="en-US"/>
        </w:rPr>
        <w:t xml:space="preserve">O (Sigma-Aldrich.Co) with appropriate ratio was added. Moreover, uncatatalyzed carbon black was pyrolyzed under the same condition to obtain the graphitized carbon and then tested as a baseline material. </w:t>
      </w:r>
    </w:p>
    <w:p w:rsidR="00E975D0" w:rsidRDefault="00E975D0" w:rsidP="00E975D0">
      <w:pPr>
        <w:pStyle w:val="RSCB06BHeadingSub-Section"/>
        <w:spacing w:before="40" w:line="480" w:lineRule="auto"/>
        <w:rPr>
          <w:rFonts w:ascii="Times" w:hAnsi="Times" w:cs="Calibri Light"/>
          <w:sz w:val="24"/>
          <w:szCs w:val="24"/>
          <w:lang w:val="en-US"/>
        </w:rPr>
      </w:pPr>
      <w:r>
        <w:rPr>
          <w:rFonts w:ascii="Times" w:hAnsi="Times" w:cs="Calibri Light"/>
          <w:sz w:val="24"/>
          <w:szCs w:val="24"/>
          <w:lang w:val="en-US"/>
        </w:rPr>
        <w:t>Catalysts characterization</w:t>
      </w:r>
    </w:p>
    <w:p w:rsidR="00E975D0" w:rsidRDefault="00E975D0" w:rsidP="00E975D0">
      <w:pPr>
        <w:pStyle w:val="RSCB02ArticleText"/>
        <w:spacing w:line="480" w:lineRule="auto"/>
        <w:rPr>
          <w:rFonts w:ascii="Times" w:hAnsi="Times" w:cs="Calibri"/>
          <w:sz w:val="24"/>
          <w:szCs w:val="24"/>
          <w:lang w:val="en-US"/>
        </w:rPr>
      </w:pPr>
      <w:r>
        <w:rPr>
          <w:rFonts w:ascii="Times" w:hAnsi="Times" w:cs="Calibri"/>
          <w:sz w:val="24"/>
          <w:szCs w:val="24"/>
          <w:lang w:val="en-US"/>
        </w:rPr>
        <w:t xml:space="preserve">X-ray diffraction (XRD) was performed on a Bruker AXS D2 Phaser Desktop X-ray Diffractometer. Conventional Transmission Electron Microscope (JEOL 2100-Plus) equipped with energy dispersive X-ray (EDX) was used for TEM and STEM analysis. HR-TEM analysis was performed on a </w:t>
      </w:r>
      <w:r>
        <w:rPr>
          <w:rFonts w:ascii="Times" w:hAnsi="Times" w:cs="Calibri"/>
          <w:bCs/>
          <w:sz w:val="24"/>
          <w:szCs w:val="24"/>
        </w:rPr>
        <w:t>FEI Titan Krios</w:t>
      </w:r>
      <w:r>
        <w:rPr>
          <w:rFonts w:ascii="Times" w:hAnsi="Times" w:cs="Calibri"/>
          <w:bCs/>
          <w:sz w:val="24"/>
          <w:szCs w:val="24"/>
          <w:vertAlign w:val="superscript"/>
        </w:rPr>
        <w:t xml:space="preserve">TM </w:t>
      </w:r>
      <w:r>
        <w:rPr>
          <w:rFonts w:ascii="Times" w:hAnsi="Times" w:cs="Calibri"/>
          <w:bCs/>
          <w:sz w:val="24"/>
          <w:szCs w:val="24"/>
        </w:rPr>
        <w:t>G3.</w:t>
      </w:r>
      <w:r>
        <w:rPr>
          <w:rFonts w:ascii="Times" w:hAnsi="Times" w:cs="Calibri"/>
          <w:sz w:val="24"/>
          <w:szCs w:val="24"/>
          <w:lang w:val="en-US"/>
        </w:rPr>
        <w:t xml:space="preserve"> X-ray photoelectron spectroscopy (XPS) was performed on a Thermo Scientific K-Alpha X-ray Photoelectron Spectrometer system (</w:t>
      </w:r>
      <w:r>
        <w:rPr>
          <w:rFonts w:ascii="Times" w:eastAsia="DengXian" w:hAnsi="Times" w:cs="Calibri"/>
          <w:sz w:val="24"/>
          <w:szCs w:val="24"/>
          <w:lang w:val="en-US"/>
        </w:rPr>
        <w:t>Al K α, 1486.6 eV</w:t>
      </w:r>
      <w:r>
        <w:rPr>
          <w:rFonts w:ascii="Times" w:hAnsi="Times" w:cs="Calibri"/>
          <w:sz w:val="24"/>
          <w:szCs w:val="24"/>
          <w:lang w:val="en-US"/>
        </w:rPr>
        <w:t>). ICP-AES was performed on an IRIS Intrepid II XSP (Thermo Electron Corporation, USA).</w:t>
      </w:r>
    </w:p>
    <w:p w:rsidR="00E975D0" w:rsidRDefault="00E975D0" w:rsidP="00E975D0">
      <w:pPr>
        <w:pStyle w:val="RSCB06BHeadingSub-Section"/>
        <w:spacing w:before="40" w:line="480" w:lineRule="auto"/>
        <w:rPr>
          <w:rFonts w:ascii="Times" w:hAnsi="Times" w:cs="Calibri Light"/>
          <w:sz w:val="24"/>
          <w:szCs w:val="24"/>
          <w:lang w:val="en-US"/>
        </w:rPr>
      </w:pPr>
      <w:r>
        <w:rPr>
          <w:rFonts w:ascii="Times" w:hAnsi="Times" w:cs="Calibri Light"/>
          <w:sz w:val="24"/>
          <w:szCs w:val="24"/>
          <w:lang w:val="en-US"/>
        </w:rPr>
        <w:t>Three-electrode cell set up</w:t>
      </w:r>
    </w:p>
    <w:p w:rsidR="00E975D0" w:rsidRDefault="00E975D0" w:rsidP="00E975D0">
      <w:pPr>
        <w:pStyle w:val="RSCB02ArticleText"/>
        <w:spacing w:line="480" w:lineRule="auto"/>
        <w:rPr>
          <w:rFonts w:ascii="Times" w:hAnsi="Times" w:cs="Calibri"/>
          <w:sz w:val="24"/>
          <w:szCs w:val="24"/>
          <w:lang w:val="en-US"/>
        </w:rPr>
      </w:pPr>
      <w:r>
        <w:rPr>
          <w:rFonts w:ascii="Times" w:hAnsi="Times" w:cs="Calibri"/>
          <w:sz w:val="24"/>
          <w:szCs w:val="24"/>
          <w:lang w:val="en-US"/>
        </w:rPr>
        <w:t>The electrochemical measurements were tested using a three-electrode glass cell. To avoid the non-negligible glass corrosion and building up silicates in high-concentration alkaline solution,</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{"citationItems":[{"id":"ITEM-1","itemData":{"DOI":"10.1149/1.2800752","ISSN":"00134651","abstract":"We report on the influence of glass corrosion on establishing the electrocatalytic activity of fuel cell catalysts. A Teflon electrochemical cell was designed for measurements in alkaline electrolyte. The cell performance was tested and compared to a standard electrochemical glass cell by measuring the oxygen reduction reaction and the hydrogen oxidation reaction on polycrystalline platinum in 0.1 M KOH. It is demonstrated that in the Teflon cell the shape of the cyclic voltammogram as well as the activity for the reactions are reproducible and do not alter over a long period of time. By comparison, using the standard electrochemical cell made out of Duran glass, it is found that the experiments on polycrystalline Pt electrodes in alkaline electrolyte are insufficiently reproducible. The cyclic voltammograms alter over time, and the activities of the hydrogen oxidation as well as the oxygen reduction depend on the applied potential scan limits. This is due to the contamination of the electrolyte because of the etching of glass by KOH, which is further supported with an analysis of the alkaline electrolyte after usage in the respective cell types by inductively coupled plasma-optical emission spectroscopy. © 2007 The Electrochemical Society.","author":[{"dropping-particle":"","family":"Mayrhofer","given":"K. J. J.","non-dropping-particle":"","parse-names":false,"suffix":""},{"dropping-particle":"","family":"Wiberg","given":"G. K. H.","non-dropping-particle":"","parse-names":false,"suffix":""},{"dropping-particle":"","family":"Arenz","given":"M.","non-dropping-particle":"","parse-names":false,"suffix":""}],"container-title":"Journal of The Electrochemical Society","id":"ITEM-1","issue":"1","issued":{"date-parts":[["2007"]]},"page":"P1","title":"Impact of Glass Corrosion on the Electrocatalysis on Pt Electrodes in Alkaline Electrolyte","type":"article-journal","volume":"155"},"uris":["http://www.mendeley.com/documents/?uuid=9b0b8745-8be5-4e1f-8f35-2ea11efe3682"]}],"mendeley":{"formattedCitation":"&lt;sup&gt;27&lt;/sup&gt;","plainTextFormattedCitation":"27","previouslyFormattedCitation":"&lt;sup&gt;27&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27</w:t>
      </w:r>
      <w:r>
        <w:rPr>
          <w:rFonts w:ascii="Times" w:hAnsi="Times" w:cs="Calibri"/>
          <w:sz w:val="24"/>
          <w:szCs w:val="24"/>
          <w:lang w:val="en-US"/>
        </w:rPr>
        <w:fldChar w:fldCharType="end"/>
      </w:r>
      <w:r>
        <w:rPr>
          <w:rFonts w:ascii="Times" w:hAnsi="Times" w:cs="Calibri"/>
          <w:sz w:val="24"/>
          <w:szCs w:val="24"/>
          <w:lang w:val="en-US"/>
        </w:rPr>
        <w:t xml:space="preserve"> 0.1 M KOH rather than 1M KOH was chosen as the alkaline electrolyte. The catalyst coated glassy carbon electrode (GCE), reversible hydrogen electrode (RHE), and glassy carbon rod were used as the working, reference, and counter electrodes, respectively. Exceptional care was taken to avoid contamination of the electrolyte with any platinum group metals as this can lead to spurious results. We made sure that no platinum group metals were used in the counter electrode, and tested the electrolyte using x-ray fluorescence to establish the absence of materials which might aid the electrocatalytic performance of our electrocatalyst. A potentiostat (Autolab model PGSTAT302N) was used to control the potential and measure the current. The electrolyte was saturated with ultrapure N</w:t>
      </w:r>
      <w:r>
        <w:rPr>
          <w:rFonts w:ascii="Times" w:hAnsi="Times" w:cs="Calibri"/>
          <w:sz w:val="24"/>
          <w:szCs w:val="24"/>
          <w:vertAlign w:val="subscript"/>
          <w:lang w:val="en-US"/>
        </w:rPr>
        <w:t>2</w:t>
      </w:r>
      <w:r>
        <w:rPr>
          <w:rFonts w:ascii="Times" w:hAnsi="Times" w:cs="Calibri"/>
          <w:sz w:val="24"/>
          <w:szCs w:val="24"/>
          <w:lang w:val="en-US"/>
        </w:rPr>
        <w:t xml:space="preserve"> (Air products, BIP-plus 99.9999%) for at least 30mins before testing. </w:t>
      </w:r>
      <w:r>
        <w:rPr>
          <w:rFonts w:ascii="Times" w:hAnsi="Times" w:cs="Calibri"/>
          <w:sz w:val="24"/>
          <w:szCs w:val="24"/>
          <w:lang w:val="en-US"/>
        </w:rPr>
        <w:lastRenderedPageBreak/>
        <w:t>All potentials were measured against the reversible hydrogen electrode (RHE) as reference electrode.</w:t>
      </w:r>
    </w:p>
    <w:p w:rsidR="00E975D0" w:rsidRDefault="00E975D0" w:rsidP="00E975D0">
      <w:pPr>
        <w:pStyle w:val="RSCB06BHeadingSub-Section"/>
        <w:spacing w:before="40" w:line="480" w:lineRule="auto"/>
        <w:rPr>
          <w:rFonts w:ascii="Times" w:hAnsi="Times" w:cs="Calibri Light"/>
          <w:sz w:val="24"/>
          <w:szCs w:val="24"/>
          <w:lang w:val="en-US"/>
        </w:rPr>
      </w:pPr>
      <w:r>
        <w:rPr>
          <w:rFonts w:ascii="Times" w:hAnsi="Times" w:cs="Calibri Light"/>
          <w:sz w:val="24"/>
          <w:szCs w:val="24"/>
          <w:lang w:val="en-US"/>
        </w:rPr>
        <w:t>Catalyst ink and working electrode preparation.</w:t>
      </w:r>
    </w:p>
    <w:p w:rsidR="00E975D0" w:rsidRDefault="00E975D0" w:rsidP="00E975D0">
      <w:pPr>
        <w:pStyle w:val="RSCB02ArticleText"/>
        <w:spacing w:line="480" w:lineRule="auto"/>
        <w:rPr>
          <w:rFonts w:ascii="Times" w:hAnsi="Times" w:cs="Calibri"/>
          <w:sz w:val="24"/>
          <w:szCs w:val="24"/>
          <w:lang w:val="en-US"/>
        </w:rPr>
      </w:pPr>
      <w:r>
        <w:rPr>
          <w:rFonts w:ascii="Times" w:hAnsi="Times" w:cs="Calibri"/>
          <w:sz w:val="24"/>
          <w:szCs w:val="24"/>
          <w:lang w:val="en-US"/>
        </w:rPr>
        <w:t>Typically, a known amount of catalyst powder was well dissolved in an ultrapure water and 2-Propanol (IPA) (Sigma-Aldrich.Co) mixture solution (volume ratio = 1:1). Then 5% wt. of Nafion solution (Sigma-Aldrich Co) follow the weight ratio of 0.034 (Nafion to carbon black powder) was added as binder. The mixture was ultrasonicated for 1h to form a uniform ink solution. Then 10 μL of the above solution was drop cast onto a 5 mm diameter glassy carbon rotating disk electrode (Pine instruments, model AFE2M050GC and rotator model AFMSRCE) to make a final loading of the hybrid catalysts of 0.1mg cm</w:t>
      </w:r>
      <w:r>
        <w:rPr>
          <w:rFonts w:ascii="Times" w:hAnsi="Times" w:cs="Calibri"/>
          <w:sz w:val="24"/>
          <w:szCs w:val="24"/>
          <w:vertAlign w:val="superscript"/>
          <w:lang w:val="en-US"/>
        </w:rPr>
        <w:t>-2</w:t>
      </w:r>
      <w:r>
        <w:rPr>
          <w:rFonts w:ascii="Times" w:hAnsi="Times" w:cs="Calibri"/>
          <w:sz w:val="24"/>
          <w:szCs w:val="24"/>
          <w:lang w:val="en-US"/>
        </w:rPr>
        <w:t xml:space="preserve"> and dried thoroughly to obtain the working electrode. RDE experiments were performed using a PINE Instruments RDE system. HER and OER tests were carried out in the N</w:t>
      </w:r>
      <w:r>
        <w:rPr>
          <w:rFonts w:ascii="Times" w:hAnsi="Times" w:cs="Calibri"/>
          <w:sz w:val="24"/>
          <w:szCs w:val="24"/>
          <w:vertAlign w:val="subscript"/>
          <w:lang w:val="en-US"/>
        </w:rPr>
        <w:t>2</w:t>
      </w:r>
      <w:r>
        <w:rPr>
          <w:rFonts w:ascii="Times" w:hAnsi="Times" w:cs="Calibri"/>
          <w:sz w:val="24"/>
          <w:szCs w:val="24"/>
          <w:lang w:val="en-US"/>
        </w:rPr>
        <w:t>-saturated 0.1M KOH. The tests were conducted at a scan rate of 20 mV s</w:t>
      </w:r>
      <w:r>
        <w:rPr>
          <w:rFonts w:ascii="Times" w:hAnsi="Times" w:cs="Calibri"/>
          <w:sz w:val="24"/>
          <w:szCs w:val="24"/>
          <w:vertAlign w:val="superscript"/>
          <w:lang w:val="en-US"/>
        </w:rPr>
        <w:t>-1</w:t>
      </w:r>
      <w:r>
        <w:rPr>
          <w:rFonts w:ascii="Times" w:hAnsi="Times" w:cs="Calibri"/>
          <w:sz w:val="24"/>
          <w:szCs w:val="24"/>
          <w:lang w:val="en-US"/>
        </w:rPr>
        <w:t xml:space="preserve"> and rotation of 1600 rpm at room temperature.</w:t>
      </w:r>
    </w:p>
    <w:p w:rsidR="00E975D0" w:rsidRDefault="00E975D0" w:rsidP="00E975D0">
      <w:pPr>
        <w:pStyle w:val="RSCB04AHeadingSection"/>
        <w:spacing w:line="480" w:lineRule="auto"/>
        <w:rPr>
          <w:rFonts w:ascii="Times New Roman" w:hAnsi="Times New Roman" w:cs="Times New Roman"/>
          <w:szCs w:val="24"/>
          <w:lang w:val="en-US"/>
        </w:rPr>
      </w:pPr>
      <w:r>
        <w:rPr>
          <w:rFonts w:ascii="Times New Roman" w:hAnsi="Times New Roman" w:cs="Times New Roman"/>
          <w:szCs w:val="24"/>
          <w:lang w:val="en-US"/>
        </w:rPr>
        <w:t>Results and Discussion</w:t>
      </w:r>
    </w:p>
    <w:p w:rsidR="00E975D0" w:rsidRDefault="00E975D0" w:rsidP="00E975D0">
      <w:pPr>
        <w:pStyle w:val="RSCB02ArticleText"/>
        <w:spacing w:line="480" w:lineRule="auto"/>
        <w:rPr>
          <w:rFonts w:ascii="Times" w:hAnsi="Times" w:cs="Calibri"/>
          <w:sz w:val="24"/>
          <w:szCs w:val="24"/>
          <w:lang w:val="en-US"/>
        </w:rPr>
      </w:pPr>
      <w:r>
        <w:rPr>
          <w:rFonts w:ascii="Times" w:eastAsia="DengXian" w:hAnsi="Times" w:cs="Calibri"/>
          <w:sz w:val="24"/>
          <w:szCs w:val="24"/>
          <w:lang w:val="en-US"/>
        </w:rPr>
        <w:t>The Co</w:t>
      </w:r>
      <w:r>
        <w:rPr>
          <w:rFonts w:ascii="Times" w:eastAsia="DengXian" w:hAnsi="Times" w:cs="Calibri"/>
          <w:sz w:val="24"/>
          <w:szCs w:val="24"/>
          <w:vertAlign w:val="subscript"/>
          <w:lang w:val="en-US"/>
        </w:rPr>
        <w:t>2</w:t>
      </w:r>
      <w:r>
        <w:rPr>
          <w:rFonts w:ascii="Times" w:eastAsia="DengXian" w:hAnsi="Times" w:cs="Calibri"/>
          <w:sz w:val="24"/>
          <w:szCs w:val="24"/>
          <w:lang w:val="en-US"/>
        </w:rPr>
        <w:t>P and Cr-doped Co</w:t>
      </w:r>
      <w:r>
        <w:rPr>
          <w:rFonts w:ascii="Times" w:eastAsia="DengXian" w:hAnsi="Times" w:cs="Calibri"/>
          <w:sz w:val="24"/>
          <w:szCs w:val="24"/>
          <w:vertAlign w:val="subscript"/>
          <w:lang w:val="en-US"/>
        </w:rPr>
        <w:t>2</w:t>
      </w:r>
      <w:r>
        <w:rPr>
          <w:rFonts w:ascii="Times" w:eastAsia="DengXian" w:hAnsi="Times" w:cs="Calibri"/>
          <w:sz w:val="24"/>
          <w:szCs w:val="24"/>
          <w:lang w:val="en-US"/>
        </w:rPr>
        <w:t xml:space="preserve">P on carbon black support </w:t>
      </w:r>
      <w:r>
        <w:rPr>
          <w:rFonts w:ascii="Times" w:hAnsi="Times" w:cs="Calibri"/>
          <w:sz w:val="24"/>
          <w:szCs w:val="24"/>
          <w:lang w:val="en-US"/>
        </w:rPr>
        <w:t>(denoted as Cr-Co</w:t>
      </w:r>
      <w:r>
        <w:rPr>
          <w:rFonts w:ascii="Times" w:hAnsi="Times" w:cs="Calibri"/>
          <w:sz w:val="24"/>
          <w:szCs w:val="24"/>
          <w:vertAlign w:val="subscript"/>
          <w:lang w:val="en-US"/>
        </w:rPr>
        <w:t>2</w:t>
      </w:r>
      <w:r>
        <w:rPr>
          <w:rFonts w:ascii="Times" w:hAnsi="Times" w:cs="Calibri"/>
          <w:sz w:val="24"/>
          <w:szCs w:val="24"/>
          <w:lang w:val="en-US"/>
        </w:rPr>
        <w:t xml:space="preserve">P/CB) </w:t>
      </w:r>
      <w:r>
        <w:rPr>
          <w:rFonts w:ascii="Times" w:eastAsia="DengXian" w:hAnsi="Times" w:cs="Calibri"/>
          <w:sz w:val="24"/>
          <w:szCs w:val="24"/>
          <w:lang w:val="en-US"/>
        </w:rPr>
        <w:t>were prepared via a carbothermal hydrogen reduction method as described in the experimental section. The XRD patterns of the Co</w:t>
      </w:r>
      <w:r>
        <w:rPr>
          <w:rFonts w:ascii="Times" w:eastAsia="DengXian" w:hAnsi="Times" w:cs="Calibri"/>
          <w:sz w:val="24"/>
          <w:szCs w:val="24"/>
          <w:vertAlign w:val="subscript"/>
          <w:lang w:val="en-US"/>
        </w:rPr>
        <w:t>2</w:t>
      </w:r>
      <w:r>
        <w:rPr>
          <w:rFonts w:ascii="Times" w:eastAsia="DengXian" w:hAnsi="Times" w:cs="Calibri"/>
          <w:sz w:val="24"/>
          <w:szCs w:val="24"/>
          <w:lang w:val="en-US"/>
        </w:rPr>
        <w:t>P/CB and Cr-doped Co</w:t>
      </w:r>
      <w:r>
        <w:rPr>
          <w:rFonts w:ascii="Times" w:eastAsia="DengXian" w:hAnsi="Times" w:cs="Calibri"/>
          <w:sz w:val="24"/>
          <w:szCs w:val="24"/>
          <w:vertAlign w:val="subscript"/>
          <w:lang w:val="en-US"/>
        </w:rPr>
        <w:t>2</w:t>
      </w:r>
      <w:r>
        <w:rPr>
          <w:rFonts w:ascii="Times" w:eastAsia="DengXian" w:hAnsi="Times" w:cs="Calibri"/>
          <w:sz w:val="24"/>
          <w:szCs w:val="24"/>
          <w:lang w:val="en-US"/>
        </w:rPr>
        <w:t>P/CB catalysts are presented in Figure 1</w:t>
      </w:r>
      <w:r>
        <w:rPr>
          <w:rFonts w:ascii="Times" w:eastAsia="DengXian" w:hAnsi="Times" w:cs="Calibri"/>
          <w:color w:val="000000"/>
          <w:sz w:val="24"/>
          <w:szCs w:val="24"/>
          <w:lang w:val="en-US"/>
        </w:rPr>
        <w:t>(a)</w:t>
      </w:r>
      <w:r>
        <w:rPr>
          <w:rFonts w:ascii="Times" w:eastAsia="DengXian" w:hAnsi="Times" w:cs="Calibri"/>
          <w:color w:val="4472C4"/>
          <w:sz w:val="24"/>
          <w:szCs w:val="24"/>
          <w:lang w:val="en-US"/>
        </w:rPr>
        <w:t xml:space="preserve">. </w:t>
      </w:r>
      <w:r>
        <w:rPr>
          <w:rFonts w:ascii="Times" w:eastAsia="DengXian" w:hAnsi="Times" w:cs="Calibri"/>
          <w:color w:val="000000"/>
          <w:sz w:val="24"/>
          <w:szCs w:val="24"/>
          <w:lang w:val="en-US"/>
        </w:rPr>
        <w:t xml:space="preserve">For both the </w:t>
      </w:r>
      <w:r>
        <w:rPr>
          <w:rFonts w:ascii="Times" w:eastAsia="DengXian" w:hAnsi="Times" w:cs="Calibri"/>
          <w:sz w:val="24"/>
          <w:szCs w:val="24"/>
          <w:lang w:val="en-US"/>
        </w:rPr>
        <w:t>Co</w:t>
      </w:r>
      <w:r>
        <w:rPr>
          <w:rFonts w:ascii="Times" w:eastAsia="DengXian" w:hAnsi="Times" w:cs="Calibri"/>
          <w:sz w:val="24"/>
          <w:szCs w:val="24"/>
          <w:vertAlign w:val="subscript"/>
          <w:lang w:val="en-US"/>
        </w:rPr>
        <w:t>2</w:t>
      </w:r>
      <w:r>
        <w:rPr>
          <w:rFonts w:ascii="Times" w:eastAsia="DengXian" w:hAnsi="Times" w:cs="Calibri"/>
          <w:sz w:val="24"/>
          <w:szCs w:val="24"/>
          <w:lang w:val="en-US"/>
        </w:rPr>
        <w:t xml:space="preserve">P/CB and </w:t>
      </w:r>
      <w:r>
        <w:rPr>
          <w:rFonts w:ascii="Times" w:hAnsi="Times" w:cs="Calibri"/>
          <w:bCs/>
          <w:sz w:val="24"/>
          <w:szCs w:val="24"/>
          <w:lang w:val="en-US"/>
        </w:rPr>
        <w:t>Cr</w:t>
      </w:r>
      <w:r>
        <w:rPr>
          <w:rFonts w:ascii="Times" w:hAnsi="Times" w:cs="Calibri"/>
          <w:bCs/>
          <w:sz w:val="24"/>
          <w:szCs w:val="24"/>
          <w:vertAlign w:val="subscript"/>
          <w:lang w:val="en-US"/>
        </w:rPr>
        <w:t>x</w:t>
      </w:r>
      <w:r>
        <w:rPr>
          <w:rFonts w:ascii="Times" w:hAnsi="Times" w:cs="Calibri"/>
          <w:bCs/>
          <w:sz w:val="24"/>
          <w:szCs w:val="24"/>
          <w:lang w:val="en-US"/>
        </w:rPr>
        <w:t>Co</w:t>
      </w:r>
      <w:r>
        <w:rPr>
          <w:rFonts w:ascii="Times" w:hAnsi="Times" w:cs="Calibri"/>
          <w:bCs/>
          <w:sz w:val="24"/>
          <w:szCs w:val="24"/>
          <w:vertAlign w:val="subscript"/>
          <w:lang w:val="en-US"/>
        </w:rPr>
        <w:t>2-x</w:t>
      </w:r>
      <w:r>
        <w:rPr>
          <w:rFonts w:ascii="Times" w:hAnsi="Times" w:cs="Calibri"/>
          <w:bCs/>
          <w:sz w:val="24"/>
          <w:szCs w:val="24"/>
          <w:lang w:val="en-US"/>
        </w:rPr>
        <w:t>P/CB (x=0,0.2,0.4,0.6)</w:t>
      </w:r>
      <w:r>
        <w:rPr>
          <w:rFonts w:ascii="Times" w:hAnsi="Times" w:cs="Calibri"/>
          <w:b/>
          <w:bCs/>
          <w:sz w:val="24"/>
          <w:szCs w:val="24"/>
          <w:lang w:val="en-US"/>
        </w:rPr>
        <w:t xml:space="preserve"> </w:t>
      </w:r>
      <w:r>
        <w:rPr>
          <w:rFonts w:ascii="Times" w:eastAsia="DengXian" w:hAnsi="Times" w:cs="Calibri"/>
          <w:sz w:val="24"/>
          <w:szCs w:val="24"/>
          <w:lang w:val="en-US"/>
        </w:rPr>
        <w:t xml:space="preserve">catalysts, </w:t>
      </w:r>
      <w:r>
        <w:rPr>
          <w:rFonts w:ascii="Times" w:eastAsia="DengXian" w:hAnsi="Times" w:cs="Calibri"/>
          <w:color w:val="000000"/>
          <w:sz w:val="24"/>
          <w:szCs w:val="24"/>
          <w:lang w:val="en-US"/>
        </w:rPr>
        <w:t>the peaks located at 40.7°, 43.2°, 50.0° can be assigned to the (121), (211), (002) crystal planes of Co</w:t>
      </w:r>
      <w:r>
        <w:rPr>
          <w:rFonts w:ascii="Times" w:eastAsia="DengXian" w:hAnsi="Times" w:cs="Calibri"/>
          <w:color w:val="000000"/>
          <w:sz w:val="24"/>
          <w:szCs w:val="24"/>
          <w:vertAlign w:val="subscript"/>
          <w:lang w:val="en-US"/>
        </w:rPr>
        <w:t>2</w:t>
      </w:r>
      <w:r>
        <w:rPr>
          <w:rFonts w:ascii="Times" w:eastAsia="DengXian" w:hAnsi="Times" w:cs="Calibri"/>
          <w:color w:val="000000"/>
          <w:sz w:val="24"/>
          <w:szCs w:val="24"/>
          <w:lang w:val="en-US"/>
        </w:rPr>
        <w:t>P</w:t>
      </w:r>
      <w:r>
        <w:rPr>
          <w:rFonts w:ascii="Times" w:eastAsia="DengXian" w:hAnsi="Times" w:cs="Calibri"/>
          <w:color w:val="FF0000"/>
          <w:sz w:val="24"/>
          <w:szCs w:val="24"/>
          <w:lang w:val="en-US"/>
        </w:rPr>
        <w:t xml:space="preserve"> </w:t>
      </w:r>
      <w:r>
        <w:rPr>
          <w:rFonts w:ascii="Times" w:eastAsia="DengXian" w:hAnsi="Times" w:cs="Calibri"/>
          <w:color w:val="000000"/>
          <w:sz w:val="24"/>
          <w:szCs w:val="24"/>
          <w:lang w:val="en-US"/>
        </w:rPr>
        <w:t>(PDF#00-032-0306), respectively.</w:t>
      </w:r>
      <w:r>
        <w:rPr>
          <w:rFonts w:ascii="Times" w:eastAsia="DengXian" w:hAnsi="Times" w:cs="Calibri"/>
          <w:color w:val="FF0000"/>
          <w:sz w:val="24"/>
          <w:szCs w:val="24"/>
          <w:lang w:val="en-US"/>
        </w:rPr>
        <w:t xml:space="preserve"> </w:t>
      </w:r>
    </w:p>
    <w:p w:rsidR="003D61B8" w:rsidRDefault="00E975D0" w:rsidP="00E975D0">
      <w:pPr>
        <w:pStyle w:val="RSCB02ArticleText"/>
        <w:spacing w:line="480" w:lineRule="auto"/>
        <w:rPr>
          <w:rFonts w:ascii="Times" w:hAnsi="Times" w:cs="Calibri"/>
          <w:sz w:val="24"/>
          <w:szCs w:val="24"/>
          <w:lang w:val="en-US"/>
        </w:rPr>
      </w:pPr>
      <w:r>
        <w:rPr>
          <w:rFonts w:ascii="Times" w:hAnsi="Times" w:cs="Calibri"/>
          <w:sz w:val="24"/>
          <w:szCs w:val="24"/>
          <w:lang w:val="en-US"/>
        </w:rPr>
        <w:t>It is worth noting that no chromium phosphides</w:t>
      </w:r>
      <w:r>
        <w:rPr>
          <w:rFonts w:ascii="Times" w:hAnsi="Times" w:cs="Calibri"/>
          <w:sz w:val="24"/>
          <w:szCs w:val="24"/>
          <w:lang w:val="en-US" w:eastAsia="zh-CN"/>
        </w:rPr>
        <w:t xml:space="preserve"> </w:t>
      </w:r>
      <w:r>
        <w:rPr>
          <w:rFonts w:ascii="Times" w:hAnsi="Times" w:cs="Calibri"/>
          <w:sz w:val="24"/>
          <w:szCs w:val="24"/>
          <w:lang w:val="en-US"/>
        </w:rPr>
        <w:t>characteristic peaks were observed in the XRD patterns, but the Cr doping does cause a linear positive peak shift in the XRD characteristic peak of the Cr-doped Co</w:t>
      </w:r>
      <w:r>
        <w:rPr>
          <w:rFonts w:ascii="Times" w:hAnsi="Times" w:cs="Calibri"/>
          <w:sz w:val="24"/>
          <w:szCs w:val="24"/>
          <w:vertAlign w:val="subscript"/>
          <w:lang w:val="en-US"/>
        </w:rPr>
        <w:t>2</w:t>
      </w:r>
      <w:r>
        <w:rPr>
          <w:rFonts w:ascii="Times" w:hAnsi="Times" w:cs="Calibri"/>
          <w:sz w:val="24"/>
          <w:szCs w:val="24"/>
          <w:lang w:val="en-US"/>
        </w:rPr>
        <w:t>P/CB compared to Co</w:t>
      </w:r>
      <w:r>
        <w:rPr>
          <w:rFonts w:ascii="Times" w:hAnsi="Times" w:cs="Calibri"/>
          <w:sz w:val="24"/>
          <w:szCs w:val="24"/>
          <w:vertAlign w:val="subscript"/>
          <w:lang w:val="en-US"/>
        </w:rPr>
        <w:t>2</w:t>
      </w:r>
      <w:r>
        <w:rPr>
          <w:rFonts w:ascii="Times" w:hAnsi="Times" w:cs="Calibri"/>
          <w:sz w:val="24"/>
          <w:szCs w:val="24"/>
          <w:lang w:val="en-US"/>
        </w:rPr>
        <w:t>P/CB due to the replacement of Co atoms by larger Cr atoms. From the TEM images (Figure S1) of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 xml:space="preserve">P/CB catalysts, the average particle </w:t>
      </w:r>
      <w:r>
        <w:rPr>
          <w:rFonts w:ascii="Times" w:hAnsi="Times" w:cs="Calibri"/>
          <w:sz w:val="24"/>
          <w:szCs w:val="24"/>
          <w:lang w:val="en-US"/>
        </w:rPr>
        <w:lastRenderedPageBreak/>
        <w:t>size was determined (30 particles analyzed) to be 35 nm. High resolution TEM Figure 1(b) and high-angle annular dark-field scanning transmission electron microscopy (HAADF-STEM) Figure 1(c) further confirm the crystal structure of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 nanoparticles. The lattice spacing (0.223nm) of Co</w:t>
      </w:r>
      <w:r>
        <w:rPr>
          <w:rFonts w:ascii="Times" w:hAnsi="Times" w:cs="Calibri"/>
          <w:sz w:val="24"/>
          <w:szCs w:val="24"/>
          <w:vertAlign w:val="subscript"/>
          <w:lang w:val="en-US"/>
        </w:rPr>
        <w:t>2</w:t>
      </w:r>
      <w:r>
        <w:rPr>
          <w:rFonts w:ascii="Times" w:hAnsi="Times" w:cs="Calibri"/>
          <w:sz w:val="24"/>
          <w:szCs w:val="24"/>
          <w:lang w:val="en-US"/>
        </w:rPr>
        <w:t>P (121) crystal planes in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 is slightly larger than that of undoped Co</w:t>
      </w:r>
      <w:r>
        <w:rPr>
          <w:rFonts w:ascii="Times" w:hAnsi="Times" w:cs="Calibri"/>
          <w:sz w:val="24"/>
          <w:szCs w:val="24"/>
          <w:vertAlign w:val="subscript"/>
          <w:lang w:val="en-US"/>
        </w:rPr>
        <w:t>2</w:t>
      </w:r>
      <w:r>
        <w:rPr>
          <w:rFonts w:ascii="Times" w:hAnsi="Times" w:cs="Calibri"/>
          <w:sz w:val="24"/>
          <w:szCs w:val="24"/>
          <w:lang w:val="en-US"/>
        </w:rPr>
        <w:t>P (0.221 nm), indicating that Cr doping promotes the expansion of the (121) crystal plane.</w:t>
      </w:r>
      <w:r>
        <w:rPr>
          <w:rFonts w:ascii="Times" w:hAnsi="Times" w:cs="Calibri"/>
          <w:color w:val="4F81BD" w:themeColor="accent1"/>
          <w:sz w:val="24"/>
          <w:szCs w:val="24"/>
          <w:lang w:val="en-US"/>
        </w:rPr>
        <w:t xml:space="preserve"> </w:t>
      </w:r>
      <w:r>
        <w:rPr>
          <w:rFonts w:ascii="Times" w:hAnsi="Times" w:cs="Calibri"/>
          <w:color w:val="000000" w:themeColor="text1"/>
          <w:sz w:val="24"/>
          <w:szCs w:val="24"/>
          <w:lang w:val="en-US"/>
        </w:rPr>
        <w:t>High-angle annular dark-field-energy-dispersive spectroscopy (HAADF-EDS) line scans (Figure 1 (</w:t>
      </w:r>
      <w:r>
        <w:rPr>
          <w:rFonts w:ascii="Times" w:hAnsi="Times" w:cs="Calibri"/>
          <w:color w:val="000000" w:themeColor="text1"/>
          <w:sz w:val="24"/>
          <w:szCs w:val="24"/>
          <w:lang w:val="en-US" w:eastAsia="zh-CN"/>
        </w:rPr>
        <w:t>d</w:t>
      </w:r>
      <w:r>
        <w:rPr>
          <w:rFonts w:ascii="Times" w:hAnsi="Times" w:cs="Calibri"/>
          <w:color w:val="000000" w:themeColor="text1"/>
          <w:sz w:val="24"/>
          <w:szCs w:val="24"/>
          <w:lang w:val="en-US"/>
        </w:rPr>
        <w:t>)) and mapping (Figure 1(e)) were used to characterize the element composition and distribution of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w:t>
      </w:r>
      <w:r>
        <w:rPr>
          <w:rFonts w:ascii="Times" w:hAnsi="Times" w:cs="Calibri"/>
          <w:sz w:val="24"/>
          <w:szCs w:val="24"/>
          <w:lang w:val="en-US"/>
        </w:rPr>
        <w:t xml:space="preserve"> Cr was observed to be distributed homogeneously across the Co</w:t>
      </w:r>
      <w:r>
        <w:rPr>
          <w:rFonts w:ascii="Times" w:hAnsi="Times" w:cs="Calibri"/>
          <w:sz w:val="24"/>
          <w:szCs w:val="24"/>
          <w:vertAlign w:val="subscript"/>
          <w:lang w:val="en-US"/>
        </w:rPr>
        <w:t>2</w:t>
      </w:r>
      <w:r>
        <w:rPr>
          <w:rFonts w:ascii="Times" w:hAnsi="Times" w:cs="Calibri"/>
          <w:sz w:val="24"/>
          <w:szCs w:val="24"/>
          <w:lang w:val="en-US"/>
        </w:rPr>
        <w:t>P nanoparticles, further confirming that the Cr atoms were successfully incorporated into Co</w:t>
      </w:r>
      <w:r>
        <w:rPr>
          <w:rFonts w:ascii="Times" w:hAnsi="Times" w:cs="Calibri"/>
          <w:sz w:val="24"/>
          <w:szCs w:val="24"/>
          <w:vertAlign w:val="subscript"/>
          <w:lang w:val="en-US"/>
        </w:rPr>
        <w:t>2</w:t>
      </w:r>
      <w:r>
        <w:rPr>
          <w:rFonts w:ascii="Times" w:hAnsi="Times" w:cs="Calibri"/>
          <w:sz w:val="24"/>
          <w:szCs w:val="24"/>
          <w:lang w:val="en-US"/>
        </w:rPr>
        <w:t>P.</w:t>
      </w:r>
    </w:p>
    <w:p w:rsidR="003D61B8" w:rsidRDefault="003D61B8" w:rsidP="003D61B8">
      <w:pPr>
        <w:pStyle w:val="RSCB02ArticleText"/>
        <w:spacing w:line="240" w:lineRule="auto"/>
        <w:rPr>
          <w:rFonts w:ascii="Times" w:eastAsia="DengXian" w:hAnsi="Times" w:cs="Calibri"/>
          <w:color w:val="FF0000"/>
          <w:sz w:val="24"/>
          <w:szCs w:val="24"/>
          <w:lang w:val="en-US"/>
        </w:rPr>
      </w:pPr>
      <w:r w:rsidRPr="00617869">
        <w:rPr>
          <w:rFonts w:ascii="Times" w:eastAsia="DengXian" w:hAnsi="Times" w:cs="Calibri"/>
          <w:noProof/>
          <w:color w:val="FF0000"/>
          <w:sz w:val="24"/>
          <w:szCs w:val="24"/>
          <w:lang w:eastAsia="en-GB"/>
        </w:rPr>
        <w:drawing>
          <wp:inline distT="0" distB="0" distL="0" distR="0" wp14:anchorId="3B279905" wp14:editId="7926255C">
            <wp:extent cx="6189345" cy="2748915"/>
            <wp:effectExtent l="0" t="0" r="1905" b="0"/>
            <wp:docPr id="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XRD .wmf"/>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89345" cy="2748915"/>
                    </a:xfrm>
                    <a:prstGeom prst="rect">
                      <a:avLst/>
                    </a:prstGeom>
                  </pic:spPr>
                </pic:pic>
              </a:graphicData>
            </a:graphic>
          </wp:inline>
        </w:drawing>
      </w:r>
      <w:r w:rsidRPr="00617869">
        <w:rPr>
          <w:rFonts w:ascii="Times" w:eastAsia="DengXian" w:hAnsi="Times" w:cs="Calibri"/>
          <w:noProof/>
          <w:color w:val="FF0000"/>
          <w:sz w:val="24"/>
          <w:szCs w:val="24"/>
          <w:lang w:eastAsia="en-GB"/>
        </w:rPr>
        <w:drawing>
          <wp:inline distT="0" distB="0" distL="0" distR="0" wp14:anchorId="477444BD" wp14:editId="527DEC7D">
            <wp:extent cx="6189345" cy="2748915"/>
            <wp:effectExtent l="0" t="0" r="1905" b="0"/>
            <wp:docPr id="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wmf"/>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89345" cy="2748915"/>
                    </a:xfrm>
                    <a:prstGeom prst="rect">
                      <a:avLst/>
                    </a:prstGeom>
                  </pic:spPr>
                </pic:pic>
              </a:graphicData>
            </a:graphic>
          </wp:inline>
        </w:drawing>
      </w:r>
    </w:p>
    <w:p w:rsidR="003D61B8" w:rsidRDefault="003D61B8" w:rsidP="003D61B8">
      <w:pPr>
        <w:pStyle w:val="RSCB02ArticleText"/>
        <w:spacing w:line="240" w:lineRule="auto"/>
        <w:rPr>
          <w:rFonts w:ascii="Times" w:eastAsia="DengXian" w:hAnsi="Times" w:cs="Calibri"/>
          <w:color w:val="FF0000"/>
          <w:sz w:val="24"/>
          <w:szCs w:val="24"/>
          <w:lang w:val="en-US"/>
        </w:rPr>
      </w:pPr>
      <w:r w:rsidRPr="00835B30">
        <w:rPr>
          <w:noProof/>
          <w:lang w:eastAsia="en-GB"/>
        </w:rPr>
        <w:lastRenderedPageBreak/>
        <w:drawing>
          <wp:inline distT="0" distB="0" distL="0" distR="0" wp14:anchorId="03AC9C8A" wp14:editId="0FFE0D76">
            <wp:extent cx="6189345" cy="1591945"/>
            <wp:effectExtent l="0" t="0" r="190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89345" cy="1591945"/>
                    </a:xfrm>
                    <a:prstGeom prst="rect">
                      <a:avLst/>
                    </a:prstGeom>
                    <a:noFill/>
                    <a:ln>
                      <a:noFill/>
                    </a:ln>
                  </pic:spPr>
                </pic:pic>
              </a:graphicData>
            </a:graphic>
          </wp:inline>
        </w:drawing>
      </w:r>
    </w:p>
    <w:p w:rsidR="00E975D0" w:rsidRDefault="00E975D0" w:rsidP="00E975D0">
      <w:pPr>
        <w:pStyle w:val="RSCB02ArticleText"/>
        <w:spacing w:line="240" w:lineRule="auto"/>
        <w:rPr>
          <w:rFonts w:ascii="Times" w:eastAsia="DengXian" w:hAnsi="Times" w:cs="Calibri"/>
          <w:color w:val="FF0000"/>
          <w:sz w:val="24"/>
          <w:szCs w:val="24"/>
        </w:rPr>
      </w:pPr>
    </w:p>
    <w:p w:rsidR="00E975D0" w:rsidRDefault="00E975D0" w:rsidP="00E975D0">
      <w:pPr>
        <w:pStyle w:val="RSCB02ArticleText"/>
        <w:spacing w:line="480" w:lineRule="auto"/>
        <w:rPr>
          <w:rFonts w:ascii="Times" w:hAnsi="Times" w:cs="Calibri"/>
          <w:sz w:val="24"/>
          <w:szCs w:val="24"/>
          <w:lang w:val="en-US"/>
        </w:rPr>
      </w:pPr>
    </w:p>
    <w:p w:rsidR="002F7113" w:rsidRDefault="002F7113" w:rsidP="002F7113">
      <w:pPr>
        <w:pStyle w:val="RSCB02ArticleText"/>
        <w:spacing w:line="360" w:lineRule="auto"/>
        <w:rPr>
          <w:rFonts w:ascii="Calibri" w:hAnsi="Calibri" w:cs="Calibri"/>
          <w:sz w:val="24"/>
          <w:szCs w:val="24"/>
          <w:lang w:val="en-US"/>
        </w:rPr>
      </w:pPr>
      <w:r>
        <w:rPr>
          <w:rFonts w:ascii="Calibri" w:hAnsi="Calibri" w:cs="Calibri"/>
          <w:b/>
          <w:sz w:val="24"/>
          <w:szCs w:val="24"/>
          <w:lang w:val="en-US"/>
        </w:rPr>
        <w:t xml:space="preserve">Figure </w:t>
      </w:r>
      <w:r>
        <w:rPr>
          <w:rFonts w:ascii="Calibri" w:hAnsi="Calibri" w:cs="Calibri"/>
          <w:b/>
          <w:sz w:val="24"/>
          <w:szCs w:val="24"/>
          <w:lang w:val="en-US"/>
        </w:rPr>
        <w:fldChar w:fldCharType="begin"/>
      </w:r>
      <w:r>
        <w:rPr>
          <w:rFonts w:ascii="Calibri" w:hAnsi="Calibri" w:cs="Calibri"/>
          <w:b/>
          <w:sz w:val="24"/>
          <w:szCs w:val="24"/>
          <w:lang w:val="en-US"/>
        </w:rPr>
        <w:instrText xml:space="preserve"> SEQ Figure \* ARABIC </w:instrText>
      </w:r>
      <w:r>
        <w:rPr>
          <w:rFonts w:ascii="Calibri" w:hAnsi="Calibri" w:cs="Calibri"/>
          <w:b/>
          <w:sz w:val="24"/>
          <w:szCs w:val="24"/>
          <w:lang w:val="en-US"/>
        </w:rPr>
        <w:fldChar w:fldCharType="separate"/>
      </w:r>
      <w:r>
        <w:rPr>
          <w:rFonts w:ascii="Calibri" w:hAnsi="Calibri" w:cs="Calibri"/>
          <w:b/>
          <w:noProof/>
          <w:sz w:val="24"/>
          <w:szCs w:val="24"/>
          <w:lang w:val="en-US"/>
        </w:rPr>
        <w:t>1</w:t>
      </w:r>
      <w:r>
        <w:rPr>
          <w:rFonts w:ascii="Calibri" w:hAnsi="Calibri" w:cs="Calibri"/>
          <w:b/>
          <w:sz w:val="24"/>
          <w:szCs w:val="24"/>
          <w:lang w:val="en-US"/>
        </w:rPr>
        <w:fldChar w:fldCharType="end"/>
      </w:r>
      <w:r>
        <w:rPr>
          <w:rFonts w:ascii="Calibri" w:hAnsi="Calibri" w:cs="Calibri"/>
          <w:b/>
          <w:sz w:val="24"/>
          <w:szCs w:val="24"/>
          <w:lang w:val="en-US"/>
        </w:rPr>
        <w:t>.</w:t>
      </w:r>
      <w:r>
        <w:rPr>
          <w:rFonts w:ascii="Calibri" w:hAnsi="Calibri" w:cs="Calibri"/>
          <w:sz w:val="24"/>
          <w:szCs w:val="24"/>
          <w:lang w:val="en-US"/>
        </w:rPr>
        <w:t xml:space="preserve"> (a) XRD patterns of Cr</w:t>
      </w:r>
      <w:r>
        <w:rPr>
          <w:rFonts w:ascii="Calibri" w:hAnsi="Calibri" w:cs="Calibri"/>
          <w:sz w:val="24"/>
          <w:szCs w:val="24"/>
          <w:vertAlign w:val="subscript"/>
          <w:lang w:val="en-US"/>
        </w:rPr>
        <w:t>x</w:t>
      </w:r>
      <w:r>
        <w:rPr>
          <w:rFonts w:ascii="Calibri" w:hAnsi="Calibri" w:cs="Calibri"/>
          <w:sz w:val="24"/>
          <w:szCs w:val="24"/>
          <w:lang w:val="en-US"/>
        </w:rPr>
        <w:t>Co</w:t>
      </w:r>
      <w:r>
        <w:rPr>
          <w:rFonts w:ascii="Calibri" w:hAnsi="Calibri" w:cs="Calibri"/>
          <w:sz w:val="24"/>
          <w:szCs w:val="24"/>
          <w:vertAlign w:val="subscript"/>
          <w:lang w:val="en-US"/>
        </w:rPr>
        <w:t>2-x</w:t>
      </w:r>
      <w:r>
        <w:rPr>
          <w:rFonts w:ascii="Calibri" w:hAnsi="Calibri" w:cs="Calibri"/>
          <w:sz w:val="24"/>
          <w:szCs w:val="24"/>
          <w:lang w:val="en-US"/>
        </w:rPr>
        <w:t>P/CB (x=0,0.2,0.4,0.6)</w:t>
      </w:r>
      <w:r>
        <w:rPr>
          <w:rFonts w:ascii="Calibri" w:hAnsi="Calibri" w:cs="Calibri"/>
          <w:b/>
          <w:sz w:val="24"/>
          <w:szCs w:val="24"/>
          <w:lang w:val="en-US"/>
        </w:rPr>
        <w:t xml:space="preserve"> </w:t>
      </w:r>
      <w:r>
        <w:rPr>
          <w:rFonts w:ascii="Calibri" w:hAnsi="Calibri" w:cs="Calibri"/>
          <w:sz w:val="24"/>
          <w:szCs w:val="24"/>
          <w:lang w:val="en-US"/>
        </w:rPr>
        <w:t>catalysts. (b) HRTEM images and (c) HAADF-STEM of Cr</w:t>
      </w:r>
      <w:r>
        <w:rPr>
          <w:rFonts w:ascii="Calibri" w:hAnsi="Calibri" w:cs="Calibri"/>
          <w:sz w:val="24"/>
          <w:szCs w:val="24"/>
          <w:vertAlign w:val="subscript"/>
          <w:lang w:val="en-US"/>
        </w:rPr>
        <w:t>0.2</w:t>
      </w:r>
      <w:r>
        <w:rPr>
          <w:rFonts w:ascii="Calibri" w:hAnsi="Calibri" w:cs="Calibri"/>
          <w:sz w:val="24"/>
          <w:szCs w:val="24"/>
          <w:lang w:val="en-US"/>
        </w:rPr>
        <w:t>Co</w:t>
      </w:r>
      <w:r>
        <w:rPr>
          <w:rFonts w:ascii="Calibri" w:hAnsi="Calibri" w:cs="Calibri"/>
          <w:sz w:val="24"/>
          <w:szCs w:val="24"/>
          <w:vertAlign w:val="subscript"/>
          <w:lang w:val="en-US"/>
        </w:rPr>
        <w:t>1.8</w:t>
      </w:r>
      <w:r>
        <w:rPr>
          <w:rFonts w:ascii="Calibri" w:hAnsi="Calibri" w:cs="Calibri"/>
          <w:sz w:val="24"/>
          <w:szCs w:val="24"/>
          <w:lang w:val="en-US"/>
        </w:rPr>
        <w:t>P/CB, inset is the crystal model on the [001] zone axis of Co</w:t>
      </w:r>
      <w:r>
        <w:rPr>
          <w:rFonts w:ascii="Calibri" w:hAnsi="Calibri" w:cs="Calibri"/>
          <w:sz w:val="24"/>
          <w:szCs w:val="24"/>
          <w:vertAlign w:val="subscript"/>
          <w:lang w:val="en-US"/>
        </w:rPr>
        <w:t>2</w:t>
      </w:r>
      <w:r>
        <w:rPr>
          <w:rFonts w:ascii="Calibri" w:hAnsi="Calibri" w:cs="Calibri"/>
          <w:sz w:val="24"/>
          <w:szCs w:val="24"/>
          <w:lang w:val="en-US"/>
        </w:rPr>
        <w:t>P. (d) STEM-EDS line scan of Cr</w:t>
      </w:r>
      <w:r>
        <w:rPr>
          <w:rFonts w:ascii="Calibri" w:hAnsi="Calibri" w:cs="Calibri"/>
          <w:sz w:val="24"/>
          <w:szCs w:val="24"/>
          <w:vertAlign w:val="subscript"/>
          <w:lang w:val="en-US"/>
        </w:rPr>
        <w:t>0.2</w:t>
      </w:r>
      <w:r>
        <w:rPr>
          <w:rFonts w:ascii="Calibri" w:hAnsi="Calibri" w:cs="Calibri"/>
          <w:sz w:val="24"/>
          <w:szCs w:val="24"/>
          <w:lang w:val="en-US"/>
        </w:rPr>
        <w:t>Co</w:t>
      </w:r>
      <w:r>
        <w:rPr>
          <w:rFonts w:ascii="Calibri" w:hAnsi="Calibri" w:cs="Calibri"/>
          <w:sz w:val="24"/>
          <w:szCs w:val="24"/>
          <w:vertAlign w:val="subscript"/>
          <w:lang w:val="en-US"/>
        </w:rPr>
        <w:t>1.8</w:t>
      </w:r>
      <w:r>
        <w:rPr>
          <w:rFonts w:ascii="Calibri" w:hAnsi="Calibri" w:cs="Calibri"/>
          <w:sz w:val="24"/>
          <w:szCs w:val="24"/>
          <w:lang w:val="en-US"/>
        </w:rPr>
        <w:t>P/CB (e) STEM-EDS mapping of Cr</w:t>
      </w:r>
      <w:r>
        <w:rPr>
          <w:rFonts w:ascii="Calibri" w:hAnsi="Calibri" w:cs="Calibri"/>
          <w:sz w:val="24"/>
          <w:szCs w:val="24"/>
          <w:vertAlign w:val="subscript"/>
          <w:lang w:val="en-US"/>
        </w:rPr>
        <w:t>0.2</w:t>
      </w:r>
      <w:r>
        <w:rPr>
          <w:rFonts w:ascii="Calibri" w:hAnsi="Calibri" w:cs="Calibri"/>
          <w:sz w:val="24"/>
          <w:szCs w:val="24"/>
          <w:lang w:val="en-US"/>
        </w:rPr>
        <w:t>Co</w:t>
      </w:r>
      <w:r>
        <w:rPr>
          <w:rFonts w:ascii="Calibri" w:hAnsi="Calibri" w:cs="Calibri"/>
          <w:sz w:val="24"/>
          <w:szCs w:val="24"/>
          <w:vertAlign w:val="subscript"/>
          <w:lang w:val="en-US"/>
        </w:rPr>
        <w:t>1.8</w:t>
      </w:r>
      <w:r>
        <w:rPr>
          <w:rFonts w:ascii="Calibri" w:hAnsi="Calibri" w:cs="Calibri"/>
          <w:sz w:val="24"/>
          <w:szCs w:val="24"/>
          <w:lang w:val="en-US"/>
        </w:rPr>
        <w:t>P/CB. Cyan: Co, Green: P, Purple: Cr.</w:t>
      </w:r>
    </w:p>
    <w:p w:rsidR="00E975D0" w:rsidRDefault="00E975D0" w:rsidP="00E975D0"/>
    <w:p w:rsidR="002F7113" w:rsidRDefault="002F7113" w:rsidP="00E975D0"/>
    <w:p w:rsidR="002F7113" w:rsidRDefault="002F7113" w:rsidP="002F7113">
      <w:pPr>
        <w:pStyle w:val="RSCB02ArticleText"/>
        <w:spacing w:line="480" w:lineRule="auto"/>
        <w:rPr>
          <w:rFonts w:ascii="Times" w:hAnsi="Times" w:cs="Calibri"/>
          <w:sz w:val="24"/>
          <w:szCs w:val="24"/>
          <w:lang w:val="en-US"/>
        </w:rPr>
      </w:pPr>
      <w:r>
        <w:rPr>
          <w:rFonts w:ascii="Times" w:hAnsi="Times" w:cs="Calibri"/>
          <w:sz w:val="24"/>
          <w:szCs w:val="24"/>
          <w:lang w:val="en-US"/>
        </w:rPr>
        <w:t xml:space="preserve">Besides, the K edge relative intensity indicated a content ratio of Co to Cr of nearly 8.5:1.5, which is close to the metal ratio added during synthesis. </w:t>
      </w:r>
      <w:r>
        <w:rPr>
          <w:rFonts w:ascii="Times" w:hAnsi="Times" w:cs="Calibri"/>
          <w:color w:val="000000" w:themeColor="text1"/>
          <w:sz w:val="24"/>
          <w:szCs w:val="24"/>
          <w:lang w:val="en-US"/>
        </w:rPr>
        <w:t xml:space="preserve">Inductively coupled plasma atomic emission spectrometry (ICP-AES) further confirmed an </w:t>
      </w:r>
      <w:r>
        <w:rPr>
          <w:rFonts w:ascii="Times" w:hAnsi="Times" w:cs="Calibri"/>
          <w:color w:val="000000" w:themeColor="text1"/>
          <w:sz w:val="24"/>
          <w:szCs w:val="24"/>
          <w:lang w:val="en-US" w:eastAsia="zh-CN"/>
        </w:rPr>
        <w:t xml:space="preserve">atomic </w:t>
      </w:r>
      <w:r>
        <w:rPr>
          <w:rFonts w:ascii="Times" w:hAnsi="Times" w:cs="Calibri"/>
          <w:color w:val="000000" w:themeColor="text1"/>
          <w:sz w:val="24"/>
          <w:szCs w:val="24"/>
          <w:lang w:val="en-US"/>
        </w:rPr>
        <w:t>ratio of 0.182 :1.8 for Cr : Co in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w:t>
      </w:r>
      <w:r>
        <w:rPr>
          <w:rFonts w:ascii="Times" w:hAnsi="Times" w:cs="Calibri"/>
          <w:sz w:val="24"/>
          <w:szCs w:val="24"/>
          <w:lang w:val="en-US"/>
        </w:rPr>
        <w:t xml:space="preserve"> </w:t>
      </w:r>
    </w:p>
    <w:p w:rsidR="002F7113" w:rsidRDefault="002F7113" w:rsidP="002F7113">
      <w:pPr>
        <w:pStyle w:val="RSCB02ArticleText"/>
        <w:spacing w:line="480" w:lineRule="auto"/>
        <w:rPr>
          <w:rFonts w:ascii="Times" w:hAnsi="Times" w:cs="Calibri"/>
          <w:sz w:val="24"/>
          <w:szCs w:val="24"/>
          <w:lang w:val="en-US"/>
        </w:rPr>
      </w:pPr>
      <w:r>
        <w:rPr>
          <w:rFonts w:ascii="Times" w:hAnsi="Times" w:cs="Calibri"/>
          <w:sz w:val="24"/>
          <w:szCs w:val="24"/>
          <w:lang w:val="en-US"/>
        </w:rPr>
        <w:t>The elemental compositions and electronic properties of the Co</w:t>
      </w:r>
      <w:r>
        <w:rPr>
          <w:rFonts w:ascii="Times" w:hAnsi="Times" w:cs="Calibri"/>
          <w:sz w:val="24"/>
          <w:szCs w:val="24"/>
          <w:vertAlign w:val="subscript"/>
          <w:lang w:val="en-US"/>
        </w:rPr>
        <w:t>2</w:t>
      </w:r>
      <w:r>
        <w:rPr>
          <w:rFonts w:ascii="Times" w:hAnsi="Times" w:cs="Calibri"/>
          <w:sz w:val="24"/>
          <w:szCs w:val="24"/>
          <w:lang w:val="en-US"/>
        </w:rPr>
        <w:t>P and Cr-doped Co</w:t>
      </w:r>
      <w:r>
        <w:rPr>
          <w:rFonts w:ascii="Times" w:hAnsi="Times" w:cs="Calibri"/>
          <w:sz w:val="24"/>
          <w:szCs w:val="24"/>
          <w:vertAlign w:val="subscript"/>
          <w:lang w:val="en-US"/>
        </w:rPr>
        <w:t>2</w:t>
      </w:r>
      <w:r>
        <w:rPr>
          <w:rFonts w:ascii="Times" w:hAnsi="Times" w:cs="Calibri"/>
          <w:sz w:val="24"/>
          <w:szCs w:val="24"/>
          <w:lang w:val="en-US"/>
        </w:rPr>
        <w:t>P on carbon black support were further characterized by XPS. The XPS survey spectrum for both the Co</w:t>
      </w:r>
      <w:r>
        <w:rPr>
          <w:rFonts w:ascii="Times" w:hAnsi="Times" w:cs="Calibri"/>
          <w:sz w:val="24"/>
          <w:szCs w:val="24"/>
          <w:vertAlign w:val="subscript"/>
          <w:lang w:val="en-US"/>
        </w:rPr>
        <w:t>2</w:t>
      </w:r>
      <w:r>
        <w:rPr>
          <w:rFonts w:ascii="Times" w:hAnsi="Times" w:cs="Calibri"/>
          <w:sz w:val="24"/>
          <w:szCs w:val="24"/>
          <w:lang w:val="en-US"/>
        </w:rPr>
        <w:t>P/CB and Cr-doped Co</w:t>
      </w:r>
      <w:r>
        <w:rPr>
          <w:rFonts w:ascii="Times" w:hAnsi="Times" w:cs="Calibri"/>
          <w:sz w:val="24"/>
          <w:szCs w:val="24"/>
          <w:vertAlign w:val="subscript"/>
          <w:lang w:val="en-US"/>
        </w:rPr>
        <w:t>2</w:t>
      </w:r>
      <w:r>
        <w:rPr>
          <w:rFonts w:ascii="Times" w:hAnsi="Times" w:cs="Calibri"/>
          <w:sz w:val="24"/>
          <w:szCs w:val="24"/>
          <w:lang w:val="en-US"/>
        </w:rPr>
        <w:t xml:space="preserve">P catalysts can be observed in Figure S2, which showed strong peaks for C, O, Co, P, Cr and their atom ratios in the whole hybrid materials. It was worth noting that the ratio of Co to </w:t>
      </w:r>
      <w:r>
        <w:rPr>
          <w:rFonts w:ascii="Times" w:hAnsi="Times" w:cs="Calibri"/>
          <w:sz w:val="24"/>
          <w:szCs w:val="24"/>
          <w:lang w:val="en-US" w:eastAsia="zh-CN"/>
        </w:rPr>
        <w:t xml:space="preserve">Cr </w:t>
      </w:r>
      <w:r>
        <w:rPr>
          <w:rFonts w:ascii="Times" w:hAnsi="Times" w:cs="Calibri"/>
          <w:sz w:val="24"/>
          <w:szCs w:val="24"/>
          <w:lang w:val="en-US"/>
        </w:rPr>
        <w:t xml:space="preserve">was larger than expected from the stoichiometry of the survey spectrum, indicating surface segregation of Co. </w:t>
      </w:r>
      <w:r>
        <w:rPr>
          <w:rFonts w:ascii="Times" w:hAnsi="Times" w:cs="Calibri"/>
          <w:sz w:val="24"/>
          <w:szCs w:val="24"/>
          <w:lang w:val="en-US"/>
        </w:rPr>
        <w:fldChar w:fldCharType="begin"/>
      </w:r>
      <w:r>
        <w:rPr>
          <w:rFonts w:ascii="Times" w:hAnsi="Times" w:cs="Calibri"/>
          <w:sz w:val="24"/>
          <w:szCs w:val="24"/>
          <w:lang w:val="en-US"/>
        </w:rPr>
        <w:instrText xml:space="preserve"> REF _Ref13234409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2</w:t>
      </w:r>
      <w:r>
        <w:rPr>
          <w:rFonts w:ascii="Times" w:hAnsi="Times" w:cs="Calibri"/>
          <w:sz w:val="24"/>
          <w:szCs w:val="24"/>
          <w:lang w:val="en-US"/>
        </w:rPr>
        <w:fldChar w:fldCharType="end"/>
      </w:r>
      <w:r>
        <w:rPr>
          <w:rFonts w:ascii="Times" w:hAnsi="Times" w:cs="Calibri"/>
          <w:sz w:val="24"/>
          <w:szCs w:val="24"/>
          <w:lang w:val="en-US"/>
        </w:rPr>
        <w:t>(a) showed the C 1s region, the peak at 284.5 eV can be related to the hybridized sp2 carbon atoms, which were also used as calibration for further XPS analysis for other elements.</w:t>
      </w:r>
    </w:p>
    <w:p w:rsidR="002F7113" w:rsidRDefault="002F7113" w:rsidP="002F7113">
      <w:pPr>
        <w:pStyle w:val="RSCB02ArticleText"/>
        <w:spacing w:line="480" w:lineRule="auto"/>
        <w:rPr>
          <w:rFonts w:ascii="Times" w:hAnsi="Times" w:cs="Calibri"/>
          <w:sz w:val="24"/>
          <w:szCs w:val="24"/>
          <w:vertAlign w:val="superscript"/>
          <w:lang w:val="en-US"/>
        </w:rPr>
      </w:pPr>
      <w:r>
        <w:rPr>
          <w:rFonts w:ascii="Times" w:hAnsi="Times" w:cs="Calibri"/>
          <w:sz w:val="24"/>
          <w:szCs w:val="24"/>
          <w:lang w:val="en-US"/>
        </w:rPr>
        <w:t xml:space="preserve">As shown in </w:t>
      </w:r>
      <w:r>
        <w:rPr>
          <w:rFonts w:ascii="Times" w:hAnsi="Times" w:cs="Calibri"/>
          <w:sz w:val="24"/>
          <w:szCs w:val="24"/>
          <w:lang w:val="en-US"/>
        </w:rPr>
        <w:fldChar w:fldCharType="begin"/>
      </w:r>
      <w:r>
        <w:rPr>
          <w:rFonts w:ascii="Times" w:hAnsi="Times" w:cs="Calibri"/>
          <w:sz w:val="24"/>
          <w:szCs w:val="24"/>
          <w:lang w:val="en-US"/>
        </w:rPr>
        <w:instrText xml:space="preserve"> REF _Ref13234409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2</w:t>
      </w:r>
      <w:r>
        <w:rPr>
          <w:rFonts w:ascii="Times" w:hAnsi="Times" w:cs="Calibri"/>
          <w:sz w:val="24"/>
          <w:szCs w:val="24"/>
          <w:lang w:val="en-US"/>
        </w:rPr>
        <w:fldChar w:fldCharType="end"/>
      </w:r>
      <w:r>
        <w:rPr>
          <w:rFonts w:ascii="Times" w:hAnsi="Times" w:cs="Calibri"/>
          <w:sz w:val="24"/>
          <w:szCs w:val="24"/>
          <w:lang w:val="en-US"/>
        </w:rPr>
        <w:t>(b), the peaks located at the binding energy (BE) of 778.6 and 793.5eV represented the Co 2p</w:t>
      </w:r>
      <w:r>
        <w:rPr>
          <w:rFonts w:ascii="Times" w:hAnsi="Times" w:cs="Calibri"/>
          <w:sz w:val="24"/>
          <w:szCs w:val="24"/>
          <w:vertAlign w:val="subscript"/>
          <w:lang w:val="en-US"/>
        </w:rPr>
        <w:t>3/2</w:t>
      </w:r>
      <w:r>
        <w:rPr>
          <w:rFonts w:ascii="Times" w:hAnsi="Times" w:cs="Calibri"/>
          <w:sz w:val="24"/>
          <w:szCs w:val="24"/>
          <w:lang w:val="en-US"/>
        </w:rPr>
        <w:t xml:space="preserve"> and Co 2p</w:t>
      </w:r>
      <w:r>
        <w:rPr>
          <w:rFonts w:ascii="Times" w:hAnsi="Times" w:cs="Calibri"/>
          <w:sz w:val="24"/>
          <w:szCs w:val="24"/>
          <w:vertAlign w:val="subscript"/>
          <w:lang w:val="en-US"/>
        </w:rPr>
        <w:t>1/2</w:t>
      </w:r>
      <w:r>
        <w:rPr>
          <w:rFonts w:ascii="Times" w:hAnsi="Times" w:cs="Calibri"/>
          <w:sz w:val="24"/>
          <w:szCs w:val="24"/>
          <w:lang w:val="en-US"/>
        </w:rPr>
        <w:t xml:space="preserve"> of Co species in Co</w:t>
      </w:r>
      <w:r>
        <w:rPr>
          <w:rFonts w:ascii="Times" w:hAnsi="Times" w:cs="Calibri"/>
          <w:sz w:val="24"/>
          <w:szCs w:val="24"/>
          <w:vertAlign w:val="subscript"/>
          <w:lang w:val="en-US"/>
        </w:rPr>
        <w:t>2</w:t>
      </w:r>
      <w:r>
        <w:rPr>
          <w:rFonts w:ascii="Times" w:hAnsi="Times" w:cs="Calibri"/>
          <w:sz w:val="24"/>
          <w:szCs w:val="24"/>
          <w:lang w:val="en-US"/>
        </w:rPr>
        <w:t>P, respectively.</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{"citationItems":[{"id":"ITEM-1","itemData":{"DOI":"10.1002/cssc.201701705","ISSN":"1864564X","abstract":"A highly efficient and pH-universal hydrogen evolution reaction (HER) electrocatalyst with a sandwich-architecture constructed using zero-dimensional N- and P-dual-doped core-shell Co2P@C nanoparticles embedded into a 3D porous carbon sandwich (Co2P@N,P-C/CG) was synthesized through a facile two-step hydrothermal carbonization and pyrolysis method. The interfacial electron transfer rate and the number of active sites increased owing to the synergistic effect between the N,P-dual-doped Co2P@C core-shell and sandwich-nanostructured substrates. The presence of a high surface area and large pore sizes improved the mass-transfer dynamics. This nanohybrid showed remarkable electrocatalytic activity toward the HER in a wide pH range with good stability. The computational study and experiments revealed that the carbon atoms close to the N and P dopants on the shell of Co2P@N,P-C were effective active sites for HER catalysis and that both Co2P and the N,P dopants gave rise to an optimized binding free energy of H on the active sites.","author":[{"dropping-particle":"","family":"Yang","given":"Yuanyuan","non-dropping-particle":"","parse-names":false,"suffix":""},{"dropping-particle":"","family":"Liang","given":"Xiongyi","non-dropping-particle":"","parse-names":false,"suffix":""},{"dropping-particle":"","family":"Li","given":"Feng","non-dropping-particle":"","parse-names":false,"suffix":""},{"dropping-particle":"","family":"Li","given":"Shuwen","non-dropping-particle":"","parse-names":false,"suffix":""},{"dropping-particle":"","family":"Li","given":"Xinzhe","non-dropping-particle":"","parse-names":false,"suffix":""},{"dropping-particle":"","family":"Ng","given":"Siu Pang","non-dropping-particle":"","parse-names":false,"suffix":""},{"dropping-particle":"","family":"Wu","given":"Chi Man Lawrence","non-dropping-particle":"","parse-names":false,"suffix":""},{"dropping-particle":"","family":"Li","given":"Rong","non-dropping-particle":"","parse-names":false,"suffix":""}],"container-title":"ChemSusChem","id":"ITEM-1","issue":"2","issued":{"date-parts":[["2018"]]},"page":"376-388","title":"Encapsulating Co2P@C Core–Shell Nanoparticles in a Porous Carbon Sandwich as Dual-Doped Electrocatalyst for Hydrogen Evolution","type":"article-journal","volume":"11"},"uris":["http://www.mendeley.com/documents/?uuid=0dff1f23-6a8c-4029-ae31-5adf324731ad"]}],"mendeley":{"formattedCitation":"&lt;sup&gt;12&lt;/sup&gt;","plainTextFormattedCitation":"12","previouslyFormattedCitation":"&lt;sup&gt;12&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12</w:t>
      </w:r>
      <w:r>
        <w:rPr>
          <w:rFonts w:ascii="Times" w:hAnsi="Times" w:cs="Calibri"/>
          <w:sz w:val="24"/>
          <w:szCs w:val="24"/>
          <w:lang w:val="en-US"/>
        </w:rPr>
        <w:fldChar w:fldCharType="end"/>
      </w:r>
      <w:r>
        <w:rPr>
          <w:rFonts w:ascii="Times" w:hAnsi="Times" w:cs="Calibri"/>
          <w:sz w:val="24"/>
          <w:szCs w:val="24"/>
          <w:lang w:val="en-US"/>
        </w:rPr>
        <w:t xml:space="preserve"> Two typical peaks at 781.7 and 797.7 eV resulted from oxidized Co</w:t>
      </w:r>
      <w:r>
        <w:rPr>
          <w:rFonts w:ascii="Times" w:hAnsi="Times" w:cs="Calibri"/>
          <w:sz w:val="24"/>
          <w:szCs w:val="24"/>
          <w:vertAlign w:val="superscript"/>
          <w:lang w:val="en-US"/>
        </w:rPr>
        <w:t>2+</w:t>
      </w:r>
      <w:r>
        <w:rPr>
          <w:rFonts w:ascii="Times" w:hAnsi="Times" w:cs="Calibri"/>
          <w:sz w:val="24"/>
          <w:szCs w:val="24"/>
          <w:lang w:val="en-US"/>
        </w:rPr>
        <w:t xml:space="preserve"> species due to air contact, which also possessed </w:t>
      </w:r>
      <w:r>
        <w:rPr>
          <w:rFonts w:ascii="Times" w:hAnsi="Times" w:cs="Calibri"/>
          <w:sz w:val="24"/>
          <w:szCs w:val="24"/>
          <w:lang w:val="en-US"/>
        </w:rPr>
        <w:lastRenderedPageBreak/>
        <w:t xml:space="preserve">two apparent satellite peaks at 785.3 and 802.9 eV. As shown in </w:t>
      </w:r>
      <w:r>
        <w:rPr>
          <w:rFonts w:ascii="Times" w:hAnsi="Times" w:cs="Calibri"/>
          <w:sz w:val="24"/>
          <w:szCs w:val="24"/>
          <w:lang w:val="en-US"/>
        </w:rPr>
        <w:fldChar w:fldCharType="begin"/>
      </w:r>
      <w:r>
        <w:rPr>
          <w:rFonts w:ascii="Times" w:hAnsi="Times" w:cs="Calibri"/>
          <w:sz w:val="24"/>
          <w:szCs w:val="24"/>
          <w:lang w:val="en-US"/>
        </w:rPr>
        <w:instrText xml:space="preserve"> REF _Ref13234409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2</w:t>
      </w:r>
      <w:r>
        <w:rPr>
          <w:rFonts w:ascii="Times" w:hAnsi="Times" w:cs="Calibri"/>
          <w:sz w:val="24"/>
          <w:szCs w:val="24"/>
          <w:lang w:val="en-US"/>
        </w:rPr>
        <w:fldChar w:fldCharType="end"/>
      </w:r>
      <w:r>
        <w:rPr>
          <w:rFonts w:ascii="Times" w:hAnsi="Times" w:cs="Calibri"/>
          <w:sz w:val="24"/>
          <w:szCs w:val="24"/>
          <w:lang w:val="en-US"/>
        </w:rPr>
        <w:t>(c), the P 2p BEs of 129.6 and 130.6 eV were assigned to P 2p</w:t>
      </w:r>
      <w:r>
        <w:rPr>
          <w:rFonts w:ascii="Times" w:hAnsi="Times" w:cs="Calibri"/>
          <w:sz w:val="24"/>
          <w:szCs w:val="24"/>
          <w:vertAlign w:val="subscript"/>
          <w:lang w:val="en-US"/>
        </w:rPr>
        <w:t>3/2</w:t>
      </w:r>
      <w:r>
        <w:rPr>
          <w:rFonts w:ascii="Times" w:hAnsi="Times" w:cs="Calibri"/>
          <w:sz w:val="24"/>
          <w:szCs w:val="24"/>
          <w:lang w:val="en-US"/>
        </w:rPr>
        <w:t xml:space="preserve"> and P 2p</w:t>
      </w:r>
      <w:r>
        <w:rPr>
          <w:rFonts w:ascii="Times" w:hAnsi="Times" w:cs="Calibri"/>
          <w:sz w:val="24"/>
          <w:szCs w:val="24"/>
          <w:vertAlign w:val="subscript"/>
          <w:lang w:val="en-US"/>
        </w:rPr>
        <w:t>1/2</w:t>
      </w:r>
      <w:r>
        <w:rPr>
          <w:rFonts w:ascii="Times" w:hAnsi="Times" w:cs="Calibri"/>
          <w:sz w:val="24"/>
          <w:szCs w:val="24"/>
          <w:lang w:val="en-US"/>
        </w:rPr>
        <w:t xml:space="preserve"> in Co</w:t>
      </w:r>
      <w:r>
        <w:rPr>
          <w:rFonts w:ascii="Times" w:hAnsi="Times" w:cs="Calibri"/>
          <w:sz w:val="24"/>
          <w:szCs w:val="24"/>
          <w:vertAlign w:val="subscript"/>
          <w:lang w:val="en-US"/>
        </w:rPr>
        <w:t>2</w:t>
      </w:r>
      <w:r>
        <w:rPr>
          <w:rFonts w:ascii="Times" w:hAnsi="Times" w:cs="Calibri"/>
          <w:sz w:val="24"/>
          <w:szCs w:val="24"/>
          <w:lang w:val="en-US"/>
        </w:rPr>
        <w:t>P, respectively, and the peak at 133.3 eV can be attributed to the oxidized P species.</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{"citationItems":[{"id":"ITEM-1","itemData":{"DOI":"10.1002/aenm.201700020","ISSN":"16146840","abstract":"© 2017 WILEY-VCH Verlag GmbH &amp; Co. KGaA, Weinheim.As a non-toxic species, Zn fulfills a multitude of biological roles, but its promoting effect on electrocatalysis has been rarely explored. Herein, the theoretic predications and experimental investigations that nonelectroactive Zn behaves as an effective promoter for CoP-catalyzed hydrogen evolution reaction (HER) in both acidic and alkaline media is reported. Density function theory calculations reveal that Zn doing leads to more thermal-neutral hydrogen adsorption free energy and thus enhanced HER activity for CoP catalyst. Electrochemical tests show that a Zn0.08Co0.92P nanowall array on titanium mesh (Zn0.08Co0.92P/TM) needs overpotentials of only 39 and 67 mV to drive a geometrical catalytic current of 10 mA cm-2 in 0.5 m H2SO4 and 1.0 m KOH, respectively. This Zn0.08Co0.92P/TM is also superior in activity over CoP/TM for urea oxidation reaction (UOR), driving 115 mA cm-2 at 0.6 V in 1.0 m KOH with 0.5 m urea. The high HER and UOR activity of this bifunctional electrode enables a Zn0.08Co0.92P/TM-based two-electrode electrolyzer for energy-saving hydrogen production, offering 10 mA cm-2 at a low voltage of 1.38 V with strong long-term electrochemical stability.","author":[{"dropping-particle":"","family":"Liu","given":"Tingting","non-dropping-particle":"","parse-names":false,"suffix":""},{"dropping-particle":"","family":"Liu","given":"Danni","non-dropping-particle":"","parse-names":false,"suffix":""},{"dropping-particle":"","family":"Qu","given":"Fengli","non-dropping-particle":"","parse-names":false,"suffix":""},{"dropping-particle":"","family":"Wang","given":"Dengxing","non-dropping-particle":"","parse-names":false,"suffix":""},{"dropping-particle":"","family":"Zhang","given":"Ling","non-dropping-particle":"","parse-names":false,"suffix":""},{"dropping-particle":"","family":"Ge","given":"Ruixiang","non-dropping-particle":"","parse-names":false,"suffix":""},{"dropping-particle":"","family":"Hao","given":"Shuai","non-dropping-particle":"","parse-names":false,"suffix":""},{"dropping-particle":"","family":"Ma","given":"Yongjun","non-dropping-particle":"","parse-names":false,"suffix":""},{"dropping-particle":"","family":"Du","given":"Gu","non-dropping-particle":"","parse-names":false,"suffix":""},{"dropping-particle":"","family":"Asiri","given":"Abdullah M.","non-dropping-particle":"","parse-names":false,"suffix":""},{"dropping-particle":"","family":"Chen","given":"Liang","non-dropping-particle":"","parse-names":false,"suffix":""},{"dropping-particle":"","family":"Sun","given":"Xuping","non-dropping-particle":"","parse-names":false,"suffix":""}],"container-title":"Advanced Energy Materials","id":"ITEM-1","issue":"15","issued":{"date-parts":[["2017"]]},"title":"Enhanced Electrocatalysis for Energy-Efficient Hydrogen Production over CoP Catalyst with Nonelectroactive Zn as a Promoter","type":"article-journal","volume":"7"},"uris":["http://www.mendeley.com/documents/?uuid=f733409c-e042-48c6-ae6e-e6db723cd5bf"]}],"mendeley":{"formattedCitation":"&lt;sup&gt;28&lt;/sup&gt;","plainTextFormattedCitation":"28","previouslyFormattedCitation":"&lt;sup&gt;28&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28</w:t>
      </w:r>
      <w:r>
        <w:rPr>
          <w:rFonts w:ascii="Times" w:hAnsi="Times" w:cs="Calibri"/>
          <w:sz w:val="24"/>
          <w:szCs w:val="24"/>
          <w:lang w:val="en-US"/>
        </w:rPr>
        <w:fldChar w:fldCharType="end"/>
      </w:r>
      <w:r>
        <w:rPr>
          <w:rFonts w:ascii="Times" w:hAnsi="Times" w:cs="Calibri"/>
          <w:sz w:val="24"/>
          <w:szCs w:val="24"/>
          <w:lang w:val="en-US"/>
        </w:rPr>
        <w:t xml:space="preserve"> It should be noted that the binding energy of Co 2p has a positive shift compared to metallic Co (777.9 eV), while P 2p is negatively shifted compared to elemental P (130.2 eV), suggesting charge transfer from Co to P in Co</w:t>
      </w:r>
      <w:r>
        <w:rPr>
          <w:rFonts w:ascii="Times" w:hAnsi="Times" w:cs="Calibri"/>
          <w:sz w:val="24"/>
          <w:szCs w:val="24"/>
          <w:vertAlign w:val="subscript"/>
          <w:lang w:val="en-US"/>
        </w:rPr>
        <w:t>2</w:t>
      </w:r>
      <w:r>
        <w:rPr>
          <w:rFonts w:ascii="Times" w:hAnsi="Times" w:cs="Calibri"/>
          <w:sz w:val="24"/>
          <w:szCs w:val="24"/>
          <w:lang w:val="en-US"/>
        </w:rPr>
        <w:t xml:space="preserve">P. </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{"citationItems":[{"id":"ITEM-1","itemData":{"DOI":"10.1039/c7nr08148k","ISSN":"20403372","abstract":" Co 2 P quantum dots embedded in N, P dual-doped carbon on carbon cloth, as hydrogen evolution reaction (HER) electrode, present superb activity and stability.  Transition metal phosphides (TMPs) are considered to be superb catalysts for water splitting. In this work, we introduce an efficient strategy to fabricate dicobalt phosphide (Co 2 P) quantum dots embedded in N, P dual-doped carbon (Co 2 P@NPC) on carbon cloth (Co 2 P@NPC/CC) by in situ carbonization of cobalt ion induced phytic acid (PA) and polyaniline (PANI) macromolecule precursors. As a highly efficient self-supported electrode, it has a low onset overpotential (74 mV at 1 mA cm −2 ) approaching that of the commercial Pt/C catalyst for the hydrogen evolution reaction (HER) in acidic media. Meanwhile, it also shows very low overpotentials of only 116 and 129 mV at 10 mA cm −2 with robust stability in acidic and alkaline media, respectively. ","author":[{"dropping-particle":"","family":"Zhang","given":"Chengtian","non-dropping-particle":"","parse-names":false,"suffix":""},{"dropping-particle":"","family":"Pu","given":"Zonghua","non-dropping-particle":"","parse-names":false,"suffix":""},{"dropping-particle":"","family":"Amiinu","given":"Ibrahim Saana","non-dropping-particle":"","parse-names":false,"suffix":""},{"dropping-particle":"","family":"Zhao","given":"Yufeng","non-dropping-particle":"","parse-names":false,"suffix":""},{"dropping-particle":"","family":"Zhu","given":"Jiawei","non-dropping-particle":"","parse-names":false,"suffix":""},{"dropping-particle":"","family":"Tang","given":"Yongfu","non-dropping-particle":"","parse-names":false,"suffix":""},{"dropping-particle":"","family":"Mu","given":"Shichun","non-dropping-particle":"","parse-names":false,"suffix":""}],"container-title":"Nanoscale","id":"ITEM-1","issue":"6","issued":{"date-parts":[["2018"]]},"page":"2902-2907","publisher":"Royal Society of Chemistry","title":"Co2P quantum dot embedded N, P dual-doped carbon self-supported electrodes with flexible and binder-free properties for efficient hydrogen evolution reactions","type":"article-journal","volume":"10"},"uris":["http://www.mendeley.com/documents/?uuid=86e70ee4-f93c-429a-994d-30b242612558"]}],"mendeley":{"formattedCitation":"&lt;sup&gt;29&lt;/sup&gt;","plainTextFormattedCitation":"29","previouslyFormattedCitation":"&lt;sup&gt;29&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29</w:t>
      </w:r>
      <w:r>
        <w:rPr>
          <w:rFonts w:ascii="Times" w:hAnsi="Times" w:cs="Calibri"/>
          <w:sz w:val="24"/>
          <w:szCs w:val="24"/>
          <w:lang w:val="en-US"/>
        </w:rPr>
        <w:fldChar w:fldCharType="end"/>
      </w:r>
      <w:r>
        <w:rPr>
          <w:rFonts w:ascii="Times" w:hAnsi="Times" w:cs="Calibri"/>
          <w:sz w:val="24"/>
          <w:szCs w:val="24"/>
          <w:lang w:val="en-US"/>
        </w:rPr>
        <w:t xml:space="preserve"> For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 xml:space="preserve">P sample, the ratio of oxidized Co species to metallic Co decreased obviously, indicating strong electron interaction after Cr doping. Finally, as shown in the Cr 2p spectra in </w:t>
      </w:r>
      <w:r>
        <w:rPr>
          <w:rFonts w:ascii="Times" w:hAnsi="Times" w:cs="Calibri"/>
          <w:sz w:val="24"/>
          <w:szCs w:val="24"/>
          <w:lang w:val="en-US"/>
        </w:rPr>
        <w:fldChar w:fldCharType="begin"/>
      </w:r>
      <w:r>
        <w:rPr>
          <w:rFonts w:ascii="Times" w:hAnsi="Times" w:cs="Calibri"/>
          <w:sz w:val="24"/>
          <w:szCs w:val="24"/>
          <w:lang w:val="en-US"/>
        </w:rPr>
        <w:instrText xml:space="preserve"> REF _Ref13234409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2</w:t>
      </w:r>
      <w:r>
        <w:rPr>
          <w:rFonts w:ascii="Times" w:hAnsi="Times" w:cs="Calibri"/>
          <w:sz w:val="24"/>
          <w:szCs w:val="24"/>
          <w:lang w:val="en-US"/>
        </w:rPr>
        <w:fldChar w:fldCharType="end"/>
      </w:r>
      <w:r>
        <w:rPr>
          <w:rFonts w:ascii="Times" w:hAnsi="Times" w:cs="Calibri"/>
          <w:sz w:val="24"/>
          <w:szCs w:val="24"/>
          <w:lang w:val="en-US"/>
        </w:rPr>
        <w:t>(d), the two broad peaks at 586.7 and 577.1 eV can only be found in the Cr doped Co</w:t>
      </w:r>
      <w:r>
        <w:rPr>
          <w:rFonts w:ascii="Times" w:hAnsi="Times" w:cs="Calibri"/>
          <w:sz w:val="24"/>
          <w:szCs w:val="24"/>
          <w:vertAlign w:val="subscript"/>
          <w:lang w:val="en-US"/>
        </w:rPr>
        <w:t>2</w:t>
      </w:r>
      <w:r>
        <w:rPr>
          <w:rFonts w:ascii="Times" w:hAnsi="Times" w:cs="Calibri"/>
          <w:sz w:val="24"/>
          <w:szCs w:val="24"/>
          <w:lang w:val="en-US"/>
        </w:rPr>
        <w:t>P samples and should be attributed to the Cr 2p1/2 and Cr 2p3/2 peaks of Cr</w:t>
      </w:r>
      <w:r>
        <w:rPr>
          <w:rFonts w:ascii="Times" w:hAnsi="Times" w:cs="Calibri"/>
          <w:sz w:val="24"/>
          <w:szCs w:val="24"/>
          <w:vertAlign w:val="superscript"/>
          <w:lang w:val="en-US"/>
        </w:rPr>
        <w:t>3+</w:t>
      </w:r>
      <w:r>
        <w:rPr>
          <w:rFonts w:ascii="Times" w:hAnsi="Times" w:cs="Calibri"/>
          <w:sz w:val="24"/>
          <w:szCs w:val="24"/>
          <w:lang w:val="en-US"/>
        </w:rPr>
        <w:t>.</w:t>
      </w:r>
      <w:r>
        <w:rPr>
          <w:rFonts w:ascii="Times" w:hAnsi="Times" w:cs="Calibri"/>
          <w:sz w:val="24"/>
          <w:szCs w:val="24"/>
          <w:vertAlign w:val="superscript"/>
          <w:lang w:val="en-US"/>
        </w:rPr>
        <w:fldChar w:fldCharType="begin" w:fldLock="1"/>
      </w:r>
      <w:r>
        <w:rPr>
          <w:rFonts w:ascii="Times" w:hAnsi="Times" w:cs="Calibri"/>
          <w:sz w:val="24"/>
          <w:szCs w:val="24"/>
          <w:vertAlign w:val="superscript"/>
          <w:lang w:val="en-US"/>
        </w:rPr>
        <w:instrText>ADDIN CSL_CITATION {"citationItems":[{"id":"ITEM-1","itemData":{"DOI":"10.1002/adma.201900178","author":[{"dropping-particle":"","family":"Wu","given":"Yiqiang","non-dropping-particle":"","parse-names":false,"suffix":""},{"dropping-particle":"","family":"Tao","given":"Xu","non-dropping-particle":"","parse-names":false,"suffix":""},{"dropping-particle":"","family":"Qing","given":"Yan","non-dropping-particle":"","parse-names":false,"suffix":""},{"dropping-particle":"","family":"Xu","given":"Han","non-dropping-particle":"","parse-names":false,"suffix":""},{"dropping-particle":"","family":"Yang","given":"Fan","non-dropping-particle":"","parse-names":false,"suffix":""},{"dropping-particle":"","family":"Luo","given":"Sha","non-dropping-particle":"","parse-names":false,"suffix":""},{"dropping-particle":"","family":"Tian","given":"Cuihua","non-dropping-particle":"","parse-names":false,"suffix":""},{"dropping-particle":"","family":"Liu","given":"Ming","non-dropping-particle":"","parse-names":false,"suffix":""},{"dropping-particle":"","family":"Lu","given":"Xihong","non-dropping-particle":"","parse-names":false,"suffix":""}],"container-title":"Advanced Materials","id":"ITEM-1","issued":{"date-parts":[["2019"]]},"page":"1900178","title":"Cr-Doped FeNi-P Nanoparticles Encapsulated into N-Doped Carbon Nanotube as a Robust Bifunctional Catalyst for Efficient Overall Water Splitting","type":"article-journal"},"uris":["http://www.mendeley.com/documents/?uuid=bb26499f-1b56-453f-a5dd-882adb25e7a3"]}],"mendeley":{"formattedCitation":"&lt;sup&gt;30&lt;/sup&gt;","plainTextFormattedCitation":"30","previouslyFormattedCitation":"&lt;sup&gt;30&lt;/sup&gt;"},"properties":{"noteIndex":0},"schema":"https://github.com/citation-style-language/schema/raw/master/csl-citation.json"}</w:instrText>
      </w:r>
      <w:r>
        <w:rPr>
          <w:rFonts w:ascii="Times" w:hAnsi="Times" w:cs="Calibri"/>
          <w:sz w:val="24"/>
          <w:szCs w:val="24"/>
          <w:vertAlign w:val="superscript"/>
          <w:lang w:val="en-US"/>
        </w:rPr>
        <w:fldChar w:fldCharType="separate"/>
      </w:r>
      <w:r>
        <w:rPr>
          <w:rFonts w:ascii="Times" w:hAnsi="Times" w:cs="Calibri"/>
          <w:noProof/>
          <w:sz w:val="24"/>
          <w:szCs w:val="24"/>
          <w:vertAlign w:val="superscript"/>
          <w:lang w:val="en-US"/>
        </w:rPr>
        <w:t>30</w:t>
      </w:r>
      <w:r>
        <w:rPr>
          <w:rFonts w:ascii="Times" w:hAnsi="Times" w:cs="Calibri"/>
          <w:sz w:val="24"/>
          <w:szCs w:val="24"/>
          <w:vertAlign w:val="superscript"/>
          <w:lang w:val="en-US"/>
        </w:rPr>
        <w:fldChar w:fldCharType="end"/>
      </w:r>
    </w:p>
    <w:tbl>
      <w:tblPr>
        <w:tblW w:w="0" w:type="auto"/>
        <w:jc w:val="center"/>
        <w:tblCellMar>
          <w:left w:w="0" w:type="dxa"/>
          <w:right w:w="0" w:type="dxa"/>
        </w:tblCellMar>
        <w:tblLook w:val="04A0" w:firstRow="1" w:lastRow="0" w:firstColumn="1" w:lastColumn="0" w:noHBand="0" w:noVBand="1"/>
      </w:tblPr>
      <w:tblGrid>
        <w:gridCol w:w="4680"/>
        <w:gridCol w:w="4680"/>
      </w:tblGrid>
      <w:tr w:rsidR="002F7113" w:rsidTr="002F7113">
        <w:trPr>
          <w:trHeight w:val="2088"/>
          <w:jc w:val="center"/>
        </w:trPr>
        <w:tc>
          <w:tcPr>
            <w:tcW w:w="4680" w:type="dxa"/>
            <w:hideMark/>
          </w:tcPr>
          <w:p w:rsidR="002F7113" w:rsidRDefault="002F7113">
            <w:pPr>
              <w:autoSpaceDE w:val="0"/>
              <w:autoSpaceDN w:val="0"/>
              <w:adjustRightInd w:val="0"/>
              <w:spacing w:after="240"/>
              <w:jc w:val="center"/>
              <w:rPr>
                <w:rFonts w:ascii="Calibri" w:eastAsia="DengXian" w:hAnsi="Calibri" w:cs="Calibri"/>
                <w:color w:val="000000"/>
                <w:kern w:val="2"/>
                <w:vertAlign w:val="superscript"/>
                <w:lang w:val="en-US"/>
              </w:rPr>
            </w:pPr>
            <w:r>
              <w:rPr>
                <w:rFonts w:ascii="Calibri" w:eastAsia="DengXian" w:hAnsi="Calibri" w:cs="Calibri"/>
                <w:noProof/>
                <w:color w:val="000000"/>
                <w:kern w:val="2"/>
                <w:vertAlign w:val="superscript"/>
                <w:lang w:eastAsia="en-GB"/>
              </w:rPr>
              <w:drawing>
                <wp:inline distT="0" distB="0" distL="0" distR="0" wp14:anchorId="253BDC19" wp14:editId="04777005">
                  <wp:extent cx="2961640" cy="22656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1640" cy="2265680"/>
                          </a:xfrm>
                          <a:prstGeom prst="rect">
                            <a:avLst/>
                          </a:prstGeom>
                          <a:noFill/>
                          <a:ln>
                            <a:noFill/>
                          </a:ln>
                        </pic:spPr>
                      </pic:pic>
                    </a:graphicData>
                  </a:graphic>
                </wp:inline>
              </w:drawing>
            </w:r>
          </w:p>
        </w:tc>
        <w:tc>
          <w:tcPr>
            <w:tcW w:w="4680" w:type="dxa"/>
            <w:hideMark/>
          </w:tcPr>
          <w:p w:rsidR="002F7113" w:rsidRDefault="002F7113">
            <w:pPr>
              <w:autoSpaceDE w:val="0"/>
              <w:autoSpaceDN w:val="0"/>
              <w:adjustRightInd w:val="0"/>
              <w:spacing w:after="240"/>
              <w:jc w:val="center"/>
              <w:rPr>
                <w:rFonts w:ascii="Calibri" w:eastAsia="DengXian" w:hAnsi="Calibri" w:cs="Calibri"/>
                <w:color w:val="000000"/>
                <w:kern w:val="2"/>
                <w:vertAlign w:val="superscript"/>
                <w:lang w:val="en-US"/>
              </w:rPr>
            </w:pPr>
            <w:r>
              <w:rPr>
                <w:rFonts w:ascii="Calibri" w:eastAsia="DengXian" w:hAnsi="Calibri" w:cs="Calibri"/>
                <w:noProof/>
                <w:color w:val="000000"/>
                <w:kern w:val="2"/>
                <w:vertAlign w:val="superscript"/>
                <w:lang w:eastAsia="en-GB"/>
              </w:rPr>
              <w:drawing>
                <wp:inline distT="0" distB="0" distL="0" distR="0" wp14:anchorId="7511277C" wp14:editId="2E24BEAD">
                  <wp:extent cx="2961640" cy="22656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1640" cy="2265680"/>
                          </a:xfrm>
                          <a:prstGeom prst="rect">
                            <a:avLst/>
                          </a:prstGeom>
                          <a:noFill/>
                          <a:ln>
                            <a:noFill/>
                          </a:ln>
                        </pic:spPr>
                      </pic:pic>
                    </a:graphicData>
                  </a:graphic>
                </wp:inline>
              </w:drawing>
            </w:r>
          </w:p>
        </w:tc>
      </w:tr>
      <w:tr w:rsidR="002F7113" w:rsidTr="002F7113">
        <w:trPr>
          <w:trHeight w:val="2117"/>
          <w:jc w:val="center"/>
        </w:trPr>
        <w:tc>
          <w:tcPr>
            <w:tcW w:w="4680" w:type="dxa"/>
            <w:hideMark/>
          </w:tcPr>
          <w:p w:rsidR="002F7113" w:rsidRDefault="002F7113">
            <w:pPr>
              <w:autoSpaceDE w:val="0"/>
              <w:autoSpaceDN w:val="0"/>
              <w:adjustRightInd w:val="0"/>
              <w:spacing w:after="240"/>
              <w:jc w:val="center"/>
              <w:rPr>
                <w:rFonts w:ascii="Calibri" w:eastAsia="DengXian" w:hAnsi="Calibri" w:cs="Calibri"/>
                <w:color w:val="000000"/>
                <w:kern w:val="2"/>
                <w:vertAlign w:val="superscript"/>
                <w:lang w:val="en-US"/>
              </w:rPr>
            </w:pPr>
            <w:r>
              <w:rPr>
                <w:rFonts w:ascii="Calibri" w:eastAsia="DengXian" w:hAnsi="Calibri" w:cs="Calibri"/>
                <w:noProof/>
                <w:color w:val="000000"/>
                <w:kern w:val="2"/>
                <w:vertAlign w:val="superscript"/>
                <w:lang w:eastAsia="en-GB"/>
              </w:rPr>
              <w:drawing>
                <wp:inline distT="0" distB="0" distL="0" distR="0" wp14:anchorId="0DAD7339" wp14:editId="522A0B40">
                  <wp:extent cx="2961640" cy="22656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61640" cy="2265680"/>
                          </a:xfrm>
                          <a:prstGeom prst="rect">
                            <a:avLst/>
                          </a:prstGeom>
                          <a:noFill/>
                          <a:ln>
                            <a:noFill/>
                          </a:ln>
                        </pic:spPr>
                      </pic:pic>
                    </a:graphicData>
                  </a:graphic>
                </wp:inline>
              </w:drawing>
            </w:r>
          </w:p>
        </w:tc>
        <w:tc>
          <w:tcPr>
            <w:tcW w:w="4680" w:type="dxa"/>
            <w:hideMark/>
          </w:tcPr>
          <w:p w:rsidR="002F7113" w:rsidRDefault="002F7113">
            <w:pPr>
              <w:keepNext/>
              <w:autoSpaceDE w:val="0"/>
              <w:autoSpaceDN w:val="0"/>
              <w:adjustRightInd w:val="0"/>
              <w:spacing w:after="240"/>
              <w:jc w:val="center"/>
              <w:rPr>
                <w:rFonts w:ascii="Calibri" w:eastAsia="DengXian" w:hAnsi="Calibri" w:cs="Calibri"/>
                <w:color w:val="000000"/>
                <w:kern w:val="2"/>
                <w:vertAlign w:val="superscript"/>
                <w:lang w:val="en-US"/>
              </w:rPr>
            </w:pPr>
            <w:r>
              <w:rPr>
                <w:rFonts w:ascii="Calibri" w:eastAsia="DengXian" w:hAnsi="Calibri" w:cs="Calibri"/>
                <w:noProof/>
                <w:color w:val="000000"/>
                <w:kern w:val="2"/>
                <w:vertAlign w:val="superscript"/>
                <w:lang w:eastAsia="en-GB"/>
              </w:rPr>
              <w:drawing>
                <wp:inline distT="0" distB="0" distL="0" distR="0" wp14:anchorId="31FE8346" wp14:editId="0BFED2EC">
                  <wp:extent cx="2961640" cy="22656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1640" cy="2265680"/>
                          </a:xfrm>
                          <a:prstGeom prst="rect">
                            <a:avLst/>
                          </a:prstGeom>
                          <a:noFill/>
                          <a:ln>
                            <a:noFill/>
                          </a:ln>
                        </pic:spPr>
                      </pic:pic>
                    </a:graphicData>
                  </a:graphic>
                </wp:inline>
              </w:drawing>
            </w:r>
          </w:p>
        </w:tc>
      </w:tr>
    </w:tbl>
    <w:p w:rsidR="002F7113" w:rsidRDefault="002F7113" w:rsidP="00E975D0">
      <w:pPr>
        <w:rPr>
          <w:rFonts w:ascii="Calibri" w:hAnsi="Calibri"/>
          <w:sz w:val="24"/>
          <w:szCs w:val="24"/>
          <w:lang w:val="en-US"/>
        </w:rPr>
      </w:pPr>
      <w:bookmarkStart w:id="1" w:name="_Ref13234409"/>
      <w:r>
        <w:rPr>
          <w:rFonts w:ascii="Calibri" w:hAnsi="Calibri"/>
          <w:b/>
          <w:sz w:val="24"/>
          <w:szCs w:val="24"/>
          <w:lang w:val="en-US"/>
        </w:rPr>
        <w:t xml:space="preserve">Figure </w:t>
      </w:r>
      <w:r>
        <w:rPr>
          <w:rFonts w:ascii="Calibri" w:hAnsi="Calibri"/>
          <w:b/>
          <w:sz w:val="24"/>
          <w:szCs w:val="24"/>
          <w:lang w:val="en-US"/>
        </w:rPr>
        <w:fldChar w:fldCharType="begin"/>
      </w:r>
      <w:r>
        <w:rPr>
          <w:rFonts w:ascii="Calibri" w:hAnsi="Calibri"/>
          <w:b/>
          <w:sz w:val="24"/>
          <w:szCs w:val="24"/>
          <w:lang w:val="en-US"/>
        </w:rPr>
        <w:instrText xml:space="preserve"> SEQ Figure \* ARABIC </w:instrText>
      </w:r>
      <w:r>
        <w:rPr>
          <w:rFonts w:ascii="Calibri" w:hAnsi="Calibri"/>
          <w:b/>
          <w:sz w:val="24"/>
          <w:szCs w:val="24"/>
          <w:lang w:val="en-US"/>
        </w:rPr>
        <w:fldChar w:fldCharType="separate"/>
      </w:r>
      <w:r>
        <w:rPr>
          <w:rFonts w:ascii="Calibri" w:hAnsi="Calibri"/>
          <w:b/>
          <w:noProof/>
          <w:sz w:val="24"/>
          <w:szCs w:val="24"/>
          <w:lang w:val="en-US"/>
        </w:rPr>
        <w:t>2</w:t>
      </w:r>
      <w:r>
        <w:rPr>
          <w:rFonts w:ascii="Calibri" w:hAnsi="Calibri"/>
          <w:b/>
          <w:sz w:val="24"/>
          <w:szCs w:val="24"/>
          <w:lang w:val="en-US"/>
        </w:rPr>
        <w:fldChar w:fldCharType="end"/>
      </w:r>
      <w:bookmarkEnd w:id="1"/>
      <w:r>
        <w:rPr>
          <w:rFonts w:ascii="Calibri" w:hAnsi="Calibri"/>
          <w:b/>
          <w:sz w:val="24"/>
          <w:szCs w:val="24"/>
          <w:lang w:val="en-US"/>
        </w:rPr>
        <w:t>.</w:t>
      </w:r>
      <w:r>
        <w:rPr>
          <w:rFonts w:ascii="Calibri" w:hAnsi="Calibri"/>
          <w:sz w:val="24"/>
          <w:szCs w:val="24"/>
          <w:lang w:val="en-US"/>
        </w:rPr>
        <w:t xml:space="preserve"> XPS spectra of (a) C 1s, (b) Co 2p, (c) P 2p, and (d) Cr 2p of Co</w:t>
      </w:r>
      <w:r>
        <w:rPr>
          <w:rFonts w:ascii="Calibri" w:hAnsi="Calibri"/>
          <w:sz w:val="24"/>
          <w:szCs w:val="24"/>
          <w:vertAlign w:val="subscript"/>
          <w:lang w:val="en-US"/>
        </w:rPr>
        <w:t>2</w:t>
      </w:r>
      <w:r>
        <w:rPr>
          <w:rFonts w:ascii="Calibri" w:hAnsi="Calibri"/>
          <w:sz w:val="24"/>
          <w:szCs w:val="24"/>
          <w:lang w:val="en-US"/>
        </w:rPr>
        <w:t>P and Cr</w:t>
      </w:r>
      <w:r>
        <w:rPr>
          <w:rFonts w:ascii="Calibri" w:hAnsi="Calibri"/>
          <w:sz w:val="24"/>
          <w:szCs w:val="24"/>
          <w:vertAlign w:val="subscript"/>
          <w:lang w:val="en-US"/>
        </w:rPr>
        <w:t>0.2</w:t>
      </w:r>
      <w:r>
        <w:rPr>
          <w:rFonts w:ascii="Calibri" w:hAnsi="Calibri"/>
          <w:sz w:val="24"/>
          <w:szCs w:val="24"/>
          <w:lang w:val="en-US"/>
        </w:rPr>
        <w:t>Co</w:t>
      </w:r>
      <w:r>
        <w:rPr>
          <w:rFonts w:ascii="Calibri" w:hAnsi="Calibri"/>
          <w:sz w:val="24"/>
          <w:szCs w:val="24"/>
          <w:vertAlign w:val="subscript"/>
          <w:lang w:val="en-US"/>
        </w:rPr>
        <w:t>1.8</w:t>
      </w:r>
      <w:r>
        <w:rPr>
          <w:rFonts w:ascii="Calibri" w:hAnsi="Calibri"/>
          <w:sz w:val="24"/>
          <w:szCs w:val="24"/>
          <w:lang w:val="en-US"/>
        </w:rPr>
        <w:t>P/CB</w:t>
      </w:r>
    </w:p>
    <w:p w:rsidR="002F7113" w:rsidRDefault="002F7113" w:rsidP="00E975D0">
      <w:pPr>
        <w:rPr>
          <w:rFonts w:ascii="Calibri" w:hAnsi="Calibri"/>
          <w:sz w:val="24"/>
          <w:szCs w:val="24"/>
          <w:lang w:val="en-US"/>
        </w:rPr>
      </w:pPr>
    </w:p>
    <w:p w:rsidR="002F7113" w:rsidRDefault="002F7113" w:rsidP="002F7113">
      <w:pPr>
        <w:pStyle w:val="RSCB02ArticleText"/>
        <w:spacing w:line="480" w:lineRule="auto"/>
        <w:rPr>
          <w:rFonts w:ascii="Times" w:hAnsi="Times" w:cs="Calibri"/>
          <w:sz w:val="24"/>
          <w:szCs w:val="24"/>
          <w:lang w:val="en-US"/>
        </w:rPr>
      </w:pPr>
      <w:r>
        <w:rPr>
          <w:rFonts w:ascii="Times" w:hAnsi="Times" w:cs="Calibri"/>
          <w:sz w:val="24"/>
          <w:szCs w:val="24"/>
          <w:lang w:val="en-US"/>
        </w:rPr>
        <w:lastRenderedPageBreak/>
        <w:t>The electrocatalytic performance of the as-prepared Co</w:t>
      </w:r>
      <w:r>
        <w:rPr>
          <w:rFonts w:ascii="Times" w:hAnsi="Times" w:cs="Calibri"/>
          <w:sz w:val="24"/>
          <w:szCs w:val="24"/>
          <w:vertAlign w:val="subscript"/>
          <w:lang w:val="en-US"/>
        </w:rPr>
        <w:t>2</w:t>
      </w:r>
      <w:r>
        <w:rPr>
          <w:rFonts w:ascii="Times" w:hAnsi="Times" w:cs="Calibri"/>
          <w:sz w:val="24"/>
          <w:szCs w:val="24"/>
          <w:lang w:val="en-US"/>
        </w:rPr>
        <w:t>P/CB and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 xml:space="preserve">P/CB (Metal Phosphide loading: 40 </w:t>
      </w:r>
      <w:r>
        <w:rPr>
          <w:rFonts w:ascii="Times" w:hAnsi="Times" w:cs="Calibri"/>
          <w:sz w:val="24"/>
          <w:szCs w:val="24"/>
          <w:lang w:val="en-US"/>
        </w:rPr>
        <w:sym w:font="Symbol" w:char="F06D"/>
      </w:r>
      <w:r>
        <w:rPr>
          <w:rFonts w:ascii="Times" w:hAnsi="Times" w:cs="Calibri"/>
          <w:sz w:val="24"/>
          <w:szCs w:val="24"/>
          <w:lang w:val="en-US"/>
        </w:rPr>
        <w:t>g cm</w:t>
      </w:r>
      <w:r>
        <w:rPr>
          <w:rFonts w:ascii="Times" w:hAnsi="Times" w:cs="Calibri"/>
          <w:sz w:val="24"/>
          <w:szCs w:val="24"/>
          <w:vertAlign w:val="superscript"/>
          <w:lang w:val="en-US"/>
        </w:rPr>
        <w:t>-2</w:t>
      </w:r>
      <w:r>
        <w:rPr>
          <w:rFonts w:ascii="Times" w:hAnsi="Times" w:cs="Calibri"/>
          <w:sz w:val="24"/>
          <w:szCs w:val="24"/>
          <w:lang w:val="en-US"/>
        </w:rPr>
        <w:t>) and graphitized carbon was tested at room temperature in N</w:t>
      </w:r>
      <w:r>
        <w:rPr>
          <w:rFonts w:ascii="Times" w:hAnsi="Times" w:cs="Calibri"/>
          <w:sz w:val="24"/>
          <w:szCs w:val="24"/>
          <w:vertAlign w:val="subscript"/>
          <w:lang w:val="en-US"/>
        </w:rPr>
        <w:t>2</w:t>
      </w:r>
      <w:r>
        <w:rPr>
          <w:rFonts w:ascii="Times" w:hAnsi="Times" w:cs="Calibri"/>
          <w:sz w:val="24"/>
          <w:szCs w:val="24"/>
          <w:lang w:val="en-US"/>
        </w:rPr>
        <w:t xml:space="preserve">-saturated 0.1M KOH solution for HER and OER using a three-electrode setup. </w:t>
      </w:r>
      <w:r>
        <w:rPr>
          <w:rFonts w:ascii="Times" w:hAnsi="Times" w:cs="Calibri"/>
          <w:sz w:val="24"/>
          <w:szCs w:val="24"/>
          <w:lang w:val="en-US"/>
        </w:rPr>
        <w:fldChar w:fldCharType="begin"/>
      </w:r>
      <w:r>
        <w:rPr>
          <w:rFonts w:ascii="Times" w:hAnsi="Times" w:cs="Calibri"/>
          <w:sz w:val="24"/>
          <w:szCs w:val="24"/>
          <w:lang w:val="en-US"/>
        </w:rPr>
        <w:instrText xml:space="preserve"> REF _Ref13234465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3</w:t>
      </w:r>
      <w:r>
        <w:rPr>
          <w:rFonts w:ascii="Times" w:hAnsi="Times" w:cs="Calibri"/>
          <w:sz w:val="24"/>
          <w:szCs w:val="24"/>
          <w:lang w:val="en-US"/>
        </w:rPr>
        <w:fldChar w:fldCharType="end"/>
      </w:r>
      <w:r>
        <w:rPr>
          <w:rFonts w:ascii="Times" w:hAnsi="Times" w:cs="Calibri"/>
          <w:sz w:val="24"/>
          <w:szCs w:val="24"/>
          <w:lang w:val="en-US"/>
        </w:rPr>
        <w:t>(a) and (d) compares the HER and OER activity with iR-compensation of the phosphide catalysts to a reference 20% Pt/C catalyst and IrO</w:t>
      </w:r>
      <w:r>
        <w:rPr>
          <w:rFonts w:ascii="Times" w:hAnsi="Times" w:cs="Calibri"/>
          <w:sz w:val="24"/>
          <w:szCs w:val="24"/>
          <w:vertAlign w:val="subscript"/>
          <w:lang w:val="en-US"/>
        </w:rPr>
        <w:t>2</w:t>
      </w:r>
      <w:r>
        <w:rPr>
          <w:rFonts w:ascii="Times" w:hAnsi="Times" w:cs="Calibri"/>
          <w:sz w:val="24"/>
          <w:szCs w:val="24"/>
          <w:lang w:val="en-US"/>
        </w:rPr>
        <w:t xml:space="preserve"> catalyst, respectively. As </w:t>
      </w:r>
      <w:r>
        <w:rPr>
          <w:rFonts w:ascii="Times" w:hAnsi="Times" w:cs="Calibri"/>
          <w:sz w:val="24"/>
          <w:szCs w:val="24"/>
          <w:lang w:val="en-US" w:eastAsia="zh-CN"/>
        </w:rPr>
        <w:t>shown</w:t>
      </w:r>
      <w:r>
        <w:rPr>
          <w:rFonts w:ascii="Times" w:hAnsi="Times" w:cs="Calibri"/>
          <w:sz w:val="24"/>
          <w:szCs w:val="24"/>
          <w:lang w:val="en-US"/>
        </w:rPr>
        <w:t xml:space="preserve"> in </w:t>
      </w:r>
      <w:r>
        <w:rPr>
          <w:rFonts w:ascii="Times" w:hAnsi="Times" w:cs="Calibri"/>
          <w:sz w:val="24"/>
          <w:szCs w:val="24"/>
          <w:lang w:val="en-US"/>
        </w:rPr>
        <w:fldChar w:fldCharType="begin"/>
      </w:r>
      <w:r>
        <w:rPr>
          <w:rFonts w:ascii="Times" w:hAnsi="Times" w:cs="Calibri"/>
          <w:sz w:val="24"/>
          <w:szCs w:val="24"/>
          <w:lang w:val="en-US"/>
        </w:rPr>
        <w:instrText xml:space="preserve"> REF _Ref13234465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3</w:t>
      </w:r>
      <w:r>
        <w:rPr>
          <w:rFonts w:ascii="Times" w:hAnsi="Times" w:cs="Calibri"/>
          <w:sz w:val="24"/>
          <w:szCs w:val="24"/>
          <w:lang w:val="en-US"/>
        </w:rPr>
        <w:fldChar w:fldCharType="end"/>
      </w:r>
      <w:r>
        <w:rPr>
          <w:rFonts w:ascii="Times" w:hAnsi="Times" w:cs="Calibri"/>
          <w:sz w:val="24"/>
          <w:szCs w:val="24"/>
          <w:lang w:val="en-US"/>
        </w:rPr>
        <w:t>(a),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 xml:space="preserve">P/CB needed 226 mV overpotential to reach a mass activity of -100 </w:t>
      </w:r>
      <m:oMath>
        <m:r>
          <m:rPr>
            <m:sty m:val="p"/>
          </m:rPr>
          <w:rPr>
            <w:rFonts w:ascii="Cambria Math" w:hAnsi="Cambria Math" w:cs="Calibri"/>
            <w:sz w:val="24"/>
            <w:szCs w:val="24"/>
            <w:lang w:val="en-US"/>
          </w:rPr>
          <m:t xml:space="preserve">A </m:t>
        </m:r>
        <m:sSubSup>
          <m:sSubSupPr>
            <m:ctrlPr>
              <w:rPr>
                <w:rFonts w:ascii="Cambria Math" w:hAnsi="Cambria Math" w:cs="Calibri"/>
                <w:sz w:val="24"/>
                <w:szCs w:val="24"/>
                <w:lang w:val="en-US"/>
              </w:rPr>
            </m:ctrlPr>
          </m:sSubSupPr>
          <m:e>
            <m:r>
              <m:rPr>
                <m:sty m:val="p"/>
              </m:rPr>
              <w:rPr>
                <w:rFonts w:ascii="Cambria Math" w:hAnsi="Cambria Math" w:cs="Calibri"/>
                <w:sz w:val="24"/>
                <w:szCs w:val="24"/>
                <w:lang w:val="en-US"/>
              </w:rPr>
              <m:t>g</m:t>
            </m:r>
          </m:e>
          <m:sub>
            <m:r>
              <m:rPr>
                <m:sty m:val="p"/>
              </m:rPr>
              <w:rPr>
                <w:rFonts w:ascii="Cambria Math" w:hAnsi="Cambria Math" w:cs="Calibri"/>
                <w:sz w:val="24"/>
                <w:szCs w:val="24"/>
                <w:lang w:val="en-US"/>
              </w:rPr>
              <m:t>Co</m:t>
            </m:r>
          </m:sub>
          <m:sup>
            <m:r>
              <m:rPr>
                <m:sty m:val="p"/>
              </m:rPr>
              <w:rPr>
                <w:rFonts w:ascii="Cambria Math" w:hAnsi="Cambria Math" w:cs="Calibri"/>
                <w:sz w:val="24"/>
                <w:szCs w:val="24"/>
                <w:lang w:val="en-US"/>
              </w:rPr>
              <m:t>-1</m:t>
            </m:r>
          </m:sup>
        </m:sSubSup>
      </m:oMath>
      <w:r>
        <w:rPr>
          <w:rFonts w:ascii="Times" w:hAnsi="Times" w:cs="Calibri"/>
          <w:sz w:val="24"/>
          <w:szCs w:val="24"/>
          <w:lang w:val="en-US"/>
        </w:rPr>
        <w:fldChar w:fldCharType="begin"/>
      </w:r>
      <w:r>
        <w:rPr>
          <w:rFonts w:ascii="Times" w:hAnsi="Times" w:cs="Calibri"/>
          <w:sz w:val="24"/>
          <w:szCs w:val="24"/>
          <w:lang w:val="en-US"/>
        </w:rPr>
        <w:instrText xml:space="preserve"> QUOTE </w:instrText>
      </w:r>
      <m:oMath>
        <m:r>
          <m:rPr>
            <m:sty m:val="p"/>
          </m:rPr>
          <w:rPr>
            <w:rFonts w:ascii="Cambria Math" w:hAnsi="Cambria Math" w:cs="Calibri"/>
            <w:sz w:val="24"/>
            <w:szCs w:val="24"/>
            <w:lang w:val="en-US"/>
          </w:rPr>
          <m:t xml:space="preserve">A </m:t>
        </m:r>
        <m:sSubSup>
          <m:sSubSupPr>
            <m:ctrlPr>
              <w:rPr>
                <w:rFonts w:ascii="Cambria Math" w:hAnsi="Cambria Math" w:cs="Calibri"/>
                <w:sz w:val="24"/>
                <w:szCs w:val="24"/>
                <w:lang w:val="en-US"/>
              </w:rPr>
            </m:ctrlPr>
          </m:sSubSupPr>
          <m:e>
            <m:r>
              <m:rPr>
                <m:sty m:val="p"/>
              </m:rPr>
              <w:rPr>
                <w:rFonts w:ascii="Cambria Math" w:hAnsi="Cambria Math" w:cs="Calibri"/>
                <w:sz w:val="24"/>
                <w:szCs w:val="24"/>
                <w:lang w:val="en-US"/>
              </w:rPr>
              <m:t>g</m:t>
            </m:r>
          </m:e>
          <m:sub>
            <m:r>
              <m:rPr>
                <m:sty m:val="p"/>
              </m:rPr>
              <w:rPr>
                <w:rFonts w:ascii="Cambria Math" w:hAnsi="Cambria Math" w:cs="Calibri"/>
                <w:sz w:val="24"/>
                <w:szCs w:val="24"/>
                <w:lang w:val="en-US"/>
              </w:rPr>
              <m:t>metal</m:t>
            </m:r>
          </m:sub>
          <m:sup>
            <m:r>
              <m:rPr>
                <m:sty m:val="p"/>
              </m:rPr>
              <w:rPr>
                <w:rFonts w:ascii="Cambria Math" w:hAnsi="Cambria Math" w:cs="Calibri"/>
                <w:sz w:val="24"/>
                <w:szCs w:val="24"/>
                <w:lang w:val="en-US"/>
              </w:rPr>
              <m:t>-1</m:t>
            </m:r>
          </m:sup>
        </m:sSubSup>
      </m:oMath>
      <w:r>
        <w:rPr>
          <w:rFonts w:ascii="Times" w:hAnsi="Times" w:cs="Calibri"/>
          <w:sz w:val="24"/>
          <w:szCs w:val="24"/>
          <w:lang w:val="en-US"/>
        </w:rPr>
        <w:instrText xml:space="preserve"> </w:instrText>
      </w:r>
      <w:r>
        <w:rPr>
          <w:rFonts w:ascii="Times" w:hAnsi="Times" w:cs="Calibri"/>
          <w:sz w:val="24"/>
          <w:szCs w:val="24"/>
          <w:lang w:val="en-US"/>
        </w:rPr>
        <w:fldChar w:fldCharType="end"/>
      </w:r>
      <w:r>
        <w:rPr>
          <w:rFonts w:ascii="Times" w:hAnsi="Times" w:cs="Calibri"/>
          <w:sz w:val="24"/>
          <w:szCs w:val="24"/>
          <w:lang w:val="en-US"/>
        </w:rPr>
        <w:fldChar w:fldCharType="begin"/>
      </w:r>
      <w:r>
        <w:rPr>
          <w:rFonts w:ascii="Times" w:hAnsi="Times" w:cs="Calibri"/>
          <w:sz w:val="24"/>
          <w:szCs w:val="24"/>
          <w:lang w:val="en-US"/>
        </w:rPr>
        <w:instrText xml:space="preserve"> QUOTE A gmetal-1 </w:instrText>
      </w:r>
      <w:r>
        <w:rPr>
          <w:rFonts w:ascii="Times" w:hAnsi="Times" w:cs="Calibri"/>
          <w:sz w:val="24"/>
          <w:szCs w:val="24"/>
          <w:lang w:val="en-US"/>
        </w:rPr>
        <w:fldChar w:fldCharType="end"/>
      </w:r>
      <w:r>
        <w:rPr>
          <w:rFonts w:ascii="Times" w:hAnsi="Times" w:cs="Calibri"/>
          <w:sz w:val="24"/>
          <w:szCs w:val="24"/>
          <w:lang w:val="en-US"/>
        </w:rPr>
        <w:t>, while the pure Co</w:t>
      </w:r>
      <w:r>
        <w:rPr>
          <w:rFonts w:ascii="Times" w:hAnsi="Times" w:cs="Calibri"/>
          <w:sz w:val="24"/>
          <w:szCs w:val="24"/>
          <w:vertAlign w:val="subscript"/>
          <w:lang w:val="en-US"/>
        </w:rPr>
        <w:t>2</w:t>
      </w:r>
      <w:r>
        <w:rPr>
          <w:rFonts w:ascii="Times" w:hAnsi="Times" w:cs="Calibri"/>
          <w:sz w:val="24"/>
          <w:szCs w:val="24"/>
          <w:lang w:val="en-US"/>
        </w:rPr>
        <w:t>P/CB achieve the same HER current only at 283 mV overpotential.</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3"/>
        <w:gridCol w:w="3675"/>
        <w:gridCol w:w="3373"/>
      </w:tblGrid>
      <w:tr w:rsidR="002F7113" w:rsidTr="00EB10E0">
        <w:trPr>
          <w:trHeight w:val="2607"/>
        </w:trPr>
        <w:tc>
          <w:tcPr>
            <w:tcW w:w="3100" w:type="dxa"/>
            <w:hideMark/>
          </w:tcPr>
          <w:p w:rsidR="002F7113" w:rsidRDefault="002F7113">
            <w:pPr>
              <w:pStyle w:val="Caption"/>
              <w:rPr>
                <w:rFonts w:ascii="Calibri" w:eastAsia="DengXian" w:hAnsi="Calibri" w:cs="Calibri"/>
                <w:color w:val="000000"/>
              </w:rPr>
            </w:pPr>
            <w:r>
              <w:rPr>
                <w:rFonts w:ascii="Calibri" w:eastAsia="DengXian" w:hAnsi="Calibri" w:cs="Calibri"/>
                <w:noProof/>
                <w:color w:val="000000"/>
                <w:lang w:val="en-GB" w:eastAsia="en-GB"/>
              </w:rPr>
              <w:drawing>
                <wp:inline distT="0" distB="0" distL="0" distR="0" wp14:anchorId="7EA0FB33" wp14:editId="00D1C92B">
                  <wp:extent cx="2067560" cy="15830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7560" cy="1583055"/>
                          </a:xfrm>
                          <a:prstGeom prst="rect">
                            <a:avLst/>
                          </a:prstGeom>
                          <a:noFill/>
                          <a:ln>
                            <a:noFill/>
                          </a:ln>
                        </pic:spPr>
                      </pic:pic>
                    </a:graphicData>
                  </a:graphic>
                </wp:inline>
              </w:drawing>
            </w:r>
          </w:p>
        </w:tc>
        <w:tc>
          <w:tcPr>
            <w:tcW w:w="3376" w:type="dxa"/>
            <w:hideMark/>
          </w:tcPr>
          <w:p w:rsidR="002F7113" w:rsidRDefault="002F7113">
            <w:pPr>
              <w:pStyle w:val="Caption"/>
              <w:rPr>
                <w:rFonts w:ascii="Calibri" w:eastAsia="DengXian" w:hAnsi="Calibri" w:cs="Calibri"/>
                <w:color w:val="000000"/>
              </w:rPr>
            </w:pPr>
            <w:r>
              <w:rPr>
                <w:rFonts w:ascii="Calibri" w:eastAsia="DengXian" w:hAnsi="Calibri" w:cs="Calibri"/>
                <w:noProof/>
                <w:color w:val="000000"/>
                <w:lang w:val="en-GB" w:eastAsia="en-GB"/>
              </w:rPr>
              <w:drawing>
                <wp:inline distT="0" distB="0" distL="0" distR="0" wp14:anchorId="0B1F30D8" wp14:editId="46A1871E">
                  <wp:extent cx="2067560" cy="15830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7560" cy="1583055"/>
                          </a:xfrm>
                          <a:prstGeom prst="rect">
                            <a:avLst/>
                          </a:prstGeom>
                          <a:noFill/>
                          <a:ln>
                            <a:noFill/>
                          </a:ln>
                        </pic:spPr>
                      </pic:pic>
                    </a:graphicData>
                  </a:graphic>
                </wp:inline>
              </w:drawing>
            </w:r>
          </w:p>
        </w:tc>
        <w:tc>
          <w:tcPr>
            <w:tcW w:w="3100" w:type="dxa"/>
            <w:hideMark/>
          </w:tcPr>
          <w:p w:rsidR="002F7113" w:rsidRDefault="002F7113">
            <w:pPr>
              <w:pStyle w:val="Caption"/>
              <w:rPr>
                <w:rFonts w:ascii="Calibri" w:eastAsia="DengXian" w:hAnsi="Calibri" w:cs="Calibri"/>
                <w:color w:val="000000"/>
              </w:rPr>
            </w:pPr>
            <w:r>
              <w:rPr>
                <w:rFonts w:ascii="Calibri" w:eastAsia="DengXian" w:hAnsi="Calibri" w:cs="Calibri"/>
                <w:noProof/>
                <w:color w:val="000000"/>
                <w:lang w:val="en-GB" w:eastAsia="en-GB"/>
              </w:rPr>
              <w:drawing>
                <wp:inline distT="0" distB="0" distL="0" distR="0" wp14:anchorId="3DC9552A" wp14:editId="6FD50485">
                  <wp:extent cx="2067560" cy="15830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67560" cy="1583055"/>
                          </a:xfrm>
                          <a:prstGeom prst="rect">
                            <a:avLst/>
                          </a:prstGeom>
                          <a:noFill/>
                          <a:ln>
                            <a:noFill/>
                          </a:ln>
                        </pic:spPr>
                      </pic:pic>
                    </a:graphicData>
                  </a:graphic>
                </wp:inline>
              </w:drawing>
            </w:r>
          </w:p>
        </w:tc>
      </w:tr>
      <w:tr w:rsidR="002F7113" w:rsidTr="00EB10E0">
        <w:tc>
          <w:tcPr>
            <w:tcW w:w="3100" w:type="dxa"/>
            <w:hideMark/>
          </w:tcPr>
          <w:p w:rsidR="002F7113" w:rsidRDefault="002F7113">
            <w:pPr>
              <w:pStyle w:val="Caption"/>
              <w:rPr>
                <w:rFonts w:ascii="Calibri" w:eastAsia="DengXian" w:hAnsi="Calibri" w:cs="Calibri"/>
                <w:color w:val="000000"/>
              </w:rPr>
            </w:pPr>
            <w:r>
              <w:rPr>
                <w:rFonts w:ascii="Calibri" w:eastAsia="DengXian" w:hAnsi="Calibri" w:cs="Calibri"/>
                <w:noProof/>
                <w:color w:val="000000"/>
                <w:lang w:val="en-GB" w:eastAsia="en-GB"/>
              </w:rPr>
              <w:drawing>
                <wp:inline distT="0" distB="0" distL="0" distR="0" wp14:anchorId="66F3C951" wp14:editId="317F04D0">
                  <wp:extent cx="2067560" cy="15830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7560" cy="1583055"/>
                          </a:xfrm>
                          <a:prstGeom prst="rect">
                            <a:avLst/>
                          </a:prstGeom>
                          <a:noFill/>
                          <a:ln>
                            <a:noFill/>
                          </a:ln>
                        </pic:spPr>
                      </pic:pic>
                    </a:graphicData>
                  </a:graphic>
                </wp:inline>
              </w:drawing>
            </w:r>
          </w:p>
        </w:tc>
        <w:tc>
          <w:tcPr>
            <w:tcW w:w="3376" w:type="dxa"/>
            <w:hideMark/>
          </w:tcPr>
          <w:p w:rsidR="002F7113" w:rsidRDefault="002F7113">
            <w:pPr>
              <w:pStyle w:val="Caption"/>
              <w:rPr>
                <w:rFonts w:ascii="Calibri" w:eastAsia="DengXian" w:hAnsi="Calibri" w:cs="Calibri"/>
                <w:color w:val="000000"/>
              </w:rPr>
            </w:pPr>
            <w:r>
              <w:rPr>
                <w:rFonts w:ascii="Calibri" w:eastAsia="DengXian" w:hAnsi="Calibri" w:cs="Calibri"/>
                <w:noProof/>
                <w:color w:val="000000"/>
                <w:lang w:val="en-GB" w:eastAsia="en-GB"/>
              </w:rPr>
              <w:drawing>
                <wp:inline distT="0" distB="0" distL="0" distR="0" wp14:anchorId="70E877FA" wp14:editId="214F988D">
                  <wp:extent cx="2067560" cy="15830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67560" cy="1583055"/>
                          </a:xfrm>
                          <a:prstGeom prst="rect">
                            <a:avLst/>
                          </a:prstGeom>
                          <a:noFill/>
                          <a:ln>
                            <a:noFill/>
                          </a:ln>
                        </pic:spPr>
                      </pic:pic>
                    </a:graphicData>
                  </a:graphic>
                </wp:inline>
              </w:drawing>
            </w:r>
          </w:p>
        </w:tc>
        <w:tc>
          <w:tcPr>
            <w:tcW w:w="3100" w:type="dxa"/>
            <w:hideMark/>
          </w:tcPr>
          <w:p w:rsidR="002F7113" w:rsidRDefault="002F7113">
            <w:pPr>
              <w:pStyle w:val="Caption"/>
              <w:rPr>
                <w:rFonts w:ascii="Calibri" w:eastAsia="DengXian" w:hAnsi="Calibri" w:cs="Calibri"/>
                <w:color w:val="000000"/>
              </w:rPr>
            </w:pPr>
            <w:r>
              <w:rPr>
                <w:rFonts w:ascii="Calibri" w:eastAsia="DengXian" w:hAnsi="Calibri" w:cs="Calibri"/>
                <w:noProof/>
                <w:color w:val="000000"/>
                <w:lang w:val="en-GB" w:eastAsia="en-GB"/>
              </w:rPr>
              <w:drawing>
                <wp:inline distT="0" distB="0" distL="0" distR="0" wp14:anchorId="059C0DE7" wp14:editId="4ECDFEA1">
                  <wp:extent cx="2067560" cy="15830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67560" cy="1583055"/>
                          </a:xfrm>
                          <a:prstGeom prst="rect">
                            <a:avLst/>
                          </a:prstGeom>
                          <a:noFill/>
                          <a:ln>
                            <a:noFill/>
                          </a:ln>
                        </pic:spPr>
                      </pic:pic>
                    </a:graphicData>
                  </a:graphic>
                </wp:inline>
              </w:drawing>
            </w:r>
          </w:p>
        </w:tc>
      </w:tr>
      <w:tr w:rsidR="002F7113" w:rsidTr="00EB10E0">
        <w:trPr>
          <w:trHeight w:val="1119"/>
        </w:trPr>
        <w:tc>
          <w:tcPr>
            <w:tcW w:w="3100" w:type="dxa"/>
            <w:hideMark/>
          </w:tcPr>
          <w:p w:rsidR="002F7113" w:rsidRDefault="002F7113">
            <w:pPr>
              <w:pStyle w:val="Caption"/>
              <w:rPr>
                <w:rFonts w:ascii="Calibri" w:eastAsia="DengXian" w:hAnsi="Calibri" w:cs="Calibri"/>
                <w:color w:val="000000"/>
              </w:rPr>
            </w:pPr>
            <w:r>
              <w:rPr>
                <w:rFonts w:ascii="Calibri" w:eastAsia="DengXian" w:hAnsi="Calibri" w:cs="Calibri"/>
                <w:noProof/>
                <w:color w:val="000000"/>
                <w:lang w:val="en-GB" w:eastAsia="en-GB"/>
              </w:rPr>
              <w:drawing>
                <wp:inline distT="0" distB="0" distL="0" distR="0" wp14:anchorId="1B69ADC1" wp14:editId="403B760B">
                  <wp:extent cx="2067560" cy="15830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67560" cy="1583055"/>
                          </a:xfrm>
                          <a:prstGeom prst="rect">
                            <a:avLst/>
                          </a:prstGeom>
                          <a:noFill/>
                          <a:ln>
                            <a:noFill/>
                          </a:ln>
                        </pic:spPr>
                      </pic:pic>
                    </a:graphicData>
                  </a:graphic>
                </wp:inline>
              </w:drawing>
            </w:r>
          </w:p>
        </w:tc>
        <w:tc>
          <w:tcPr>
            <w:tcW w:w="3376" w:type="dxa"/>
            <w:hideMark/>
          </w:tcPr>
          <w:p w:rsidR="002F7113" w:rsidRDefault="002F7113">
            <w:pPr>
              <w:pStyle w:val="Caption"/>
              <w:rPr>
                <w:rFonts w:ascii="Calibri" w:eastAsia="DengXian" w:hAnsi="Calibri" w:cs="Calibri"/>
                <w:color w:val="000000"/>
              </w:rPr>
            </w:pPr>
            <w:r>
              <w:rPr>
                <w:rFonts w:ascii="Calibri" w:eastAsia="DengXian" w:hAnsi="Calibri" w:cs="Calibri"/>
                <w:noProof/>
                <w:color w:val="000000"/>
                <w:lang w:val="en-GB" w:eastAsia="en-GB"/>
              </w:rPr>
              <w:drawing>
                <wp:inline distT="0" distB="0" distL="0" distR="0" wp14:anchorId="442C4EED" wp14:editId="72DCA626">
                  <wp:extent cx="2265680" cy="15830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65680" cy="1583055"/>
                          </a:xfrm>
                          <a:prstGeom prst="rect">
                            <a:avLst/>
                          </a:prstGeom>
                          <a:noFill/>
                          <a:ln>
                            <a:noFill/>
                          </a:ln>
                        </pic:spPr>
                      </pic:pic>
                    </a:graphicData>
                  </a:graphic>
                </wp:inline>
              </w:drawing>
            </w:r>
          </w:p>
        </w:tc>
        <w:tc>
          <w:tcPr>
            <w:tcW w:w="3100" w:type="dxa"/>
            <w:hideMark/>
          </w:tcPr>
          <w:p w:rsidR="002F7113" w:rsidRDefault="002F7113">
            <w:pPr>
              <w:pStyle w:val="Caption"/>
              <w:rPr>
                <w:rFonts w:ascii="Calibri" w:eastAsia="DengXian" w:hAnsi="Calibri" w:cs="Calibri"/>
                <w:color w:val="000000"/>
              </w:rPr>
            </w:pPr>
            <w:r>
              <w:rPr>
                <w:rFonts w:ascii="Calibri" w:eastAsia="DengXian" w:hAnsi="Calibri" w:cs="Calibri"/>
                <w:noProof/>
                <w:color w:val="000000"/>
                <w:lang w:val="en-GB" w:eastAsia="en-GB"/>
              </w:rPr>
              <w:drawing>
                <wp:inline distT="0" distB="0" distL="0" distR="0" wp14:anchorId="15DEE7A8" wp14:editId="2369E86E">
                  <wp:extent cx="2067560" cy="15830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67560" cy="1583055"/>
                          </a:xfrm>
                          <a:prstGeom prst="rect">
                            <a:avLst/>
                          </a:prstGeom>
                          <a:noFill/>
                          <a:ln>
                            <a:noFill/>
                          </a:ln>
                        </pic:spPr>
                      </pic:pic>
                    </a:graphicData>
                  </a:graphic>
                </wp:inline>
              </w:drawing>
            </w:r>
          </w:p>
        </w:tc>
      </w:tr>
    </w:tbl>
    <w:p w:rsidR="00031F52" w:rsidRDefault="00894F4C" w:rsidP="00031F52">
      <w:pPr>
        <w:pStyle w:val="08ArticleText"/>
        <w:spacing w:line="360" w:lineRule="auto"/>
        <w:rPr>
          <w:rFonts w:ascii="Calibri" w:hAnsi="Calibri" w:cs="Calibri"/>
          <w:sz w:val="24"/>
          <w:szCs w:val="24"/>
          <w:lang w:val="en-US"/>
        </w:rPr>
      </w:pPr>
      <w:bookmarkStart w:id="2" w:name="_Ref13234465"/>
      <w:r>
        <w:rPr>
          <w:rFonts w:ascii="Calibri" w:hAnsi="Calibri" w:cs="Calibri"/>
          <w:b/>
          <w:sz w:val="24"/>
          <w:szCs w:val="24"/>
          <w:lang w:val="en-US"/>
        </w:rPr>
        <w:t xml:space="preserve">Figure </w:t>
      </w:r>
      <w:r>
        <w:rPr>
          <w:rFonts w:ascii="Calibri" w:hAnsi="Calibri" w:cs="Calibri"/>
          <w:b/>
          <w:sz w:val="24"/>
          <w:szCs w:val="24"/>
          <w:lang w:val="en-US"/>
        </w:rPr>
        <w:fldChar w:fldCharType="begin"/>
      </w:r>
      <w:r>
        <w:rPr>
          <w:rFonts w:ascii="Calibri" w:hAnsi="Calibri" w:cs="Calibri"/>
          <w:b/>
          <w:sz w:val="24"/>
          <w:szCs w:val="24"/>
          <w:lang w:val="en-US"/>
        </w:rPr>
        <w:instrText xml:space="preserve"> SEQ Figure \* ARABIC </w:instrText>
      </w:r>
      <w:r>
        <w:rPr>
          <w:rFonts w:ascii="Calibri" w:hAnsi="Calibri" w:cs="Calibri"/>
          <w:b/>
          <w:sz w:val="24"/>
          <w:szCs w:val="24"/>
          <w:lang w:val="en-US"/>
        </w:rPr>
        <w:fldChar w:fldCharType="separate"/>
      </w:r>
      <w:r>
        <w:rPr>
          <w:rFonts w:ascii="Calibri" w:hAnsi="Calibri" w:cs="Calibri"/>
          <w:b/>
          <w:noProof/>
          <w:sz w:val="24"/>
          <w:szCs w:val="24"/>
          <w:lang w:val="en-US"/>
        </w:rPr>
        <w:t>3</w:t>
      </w:r>
      <w:r>
        <w:rPr>
          <w:rFonts w:ascii="Calibri" w:hAnsi="Calibri" w:cs="Calibri"/>
          <w:b/>
          <w:sz w:val="24"/>
          <w:szCs w:val="24"/>
          <w:lang w:val="en-US"/>
        </w:rPr>
        <w:fldChar w:fldCharType="end"/>
      </w:r>
      <w:bookmarkEnd w:id="2"/>
      <w:r>
        <w:rPr>
          <w:rFonts w:ascii="Calibri" w:hAnsi="Calibri" w:cs="Calibri"/>
          <w:b/>
          <w:sz w:val="24"/>
          <w:szCs w:val="24"/>
          <w:lang w:val="en-US"/>
        </w:rPr>
        <w:t xml:space="preserve">. </w:t>
      </w:r>
      <w:r w:rsidR="00031F52">
        <w:rPr>
          <w:rFonts w:ascii="Calibri" w:hAnsi="Calibri" w:cs="Calibri"/>
          <w:b/>
          <w:sz w:val="24"/>
          <w:szCs w:val="24"/>
          <w:lang w:val="en-US"/>
        </w:rPr>
        <w:t xml:space="preserve"> </w:t>
      </w:r>
      <w:r w:rsidR="00031F52">
        <w:rPr>
          <w:rFonts w:ascii="Calibri" w:hAnsi="Calibri" w:cs="Calibri"/>
          <w:sz w:val="24"/>
          <w:szCs w:val="24"/>
          <w:lang w:val="en-US"/>
        </w:rPr>
        <w:t>(a) HER and (d) OER mass activity of the as-synthesized Co</w:t>
      </w:r>
      <w:r w:rsidR="00031F52">
        <w:rPr>
          <w:rFonts w:ascii="Calibri" w:hAnsi="Calibri" w:cs="Calibri"/>
          <w:sz w:val="24"/>
          <w:szCs w:val="24"/>
          <w:vertAlign w:val="subscript"/>
          <w:lang w:val="en-US"/>
        </w:rPr>
        <w:t>2</w:t>
      </w:r>
      <w:r w:rsidR="00031F52">
        <w:rPr>
          <w:rFonts w:ascii="Calibri" w:hAnsi="Calibri" w:cs="Calibri"/>
          <w:sz w:val="24"/>
          <w:szCs w:val="24"/>
          <w:lang w:val="en-US"/>
        </w:rPr>
        <w:t>P/CB, Cr</w:t>
      </w:r>
      <w:r w:rsidR="00031F52">
        <w:rPr>
          <w:rFonts w:ascii="Calibri" w:hAnsi="Calibri" w:cs="Calibri"/>
          <w:sz w:val="24"/>
          <w:szCs w:val="24"/>
          <w:vertAlign w:val="subscript"/>
          <w:lang w:val="en-US"/>
        </w:rPr>
        <w:t>0.2</w:t>
      </w:r>
      <w:r w:rsidR="00031F52">
        <w:rPr>
          <w:rFonts w:ascii="Calibri" w:hAnsi="Calibri" w:cs="Calibri"/>
          <w:sz w:val="24"/>
          <w:szCs w:val="24"/>
          <w:lang w:val="en-US"/>
        </w:rPr>
        <w:t>Co</w:t>
      </w:r>
      <w:r w:rsidR="00031F52">
        <w:rPr>
          <w:rFonts w:ascii="Calibri" w:hAnsi="Calibri" w:cs="Calibri"/>
          <w:sz w:val="24"/>
          <w:szCs w:val="24"/>
          <w:vertAlign w:val="subscript"/>
          <w:lang w:val="en-US"/>
        </w:rPr>
        <w:t>1.8</w:t>
      </w:r>
      <w:r w:rsidR="00031F52">
        <w:rPr>
          <w:rFonts w:ascii="Calibri" w:hAnsi="Calibri" w:cs="Calibri"/>
          <w:sz w:val="24"/>
          <w:szCs w:val="24"/>
          <w:lang w:val="en-US"/>
        </w:rPr>
        <w:t>P/CB catalysts in N</w:t>
      </w:r>
      <w:r w:rsidR="00031F52">
        <w:rPr>
          <w:rFonts w:ascii="Calibri" w:hAnsi="Calibri" w:cs="Calibri"/>
          <w:sz w:val="24"/>
          <w:szCs w:val="24"/>
          <w:vertAlign w:val="subscript"/>
          <w:lang w:val="en-US"/>
        </w:rPr>
        <w:t>2</w:t>
      </w:r>
      <w:r w:rsidR="00031F52">
        <w:rPr>
          <w:rFonts w:ascii="Calibri" w:hAnsi="Calibri" w:cs="Calibri"/>
          <w:sz w:val="24"/>
          <w:szCs w:val="24"/>
          <w:lang w:val="en-US"/>
        </w:rPr>
        <w:t>-saturated 0.1M KOH, with overpotential to achieve a 10 mA cm</w:t>
      </w:r>
      <w:r w:rsidR="00031F52">
        <w:rPr>
          <w:rFonts w:ascii="Calibri" w:hAnsi="Calibri" w:cs="Calibri"/>
          <w:sz w:val="24"/>
          <w:szCs w:val="24"/>
          <w:vertAlign w:val="superscript"/>
          <w:lang w:val="en-US"/>
        </w:rPr>
        <w:t>-2</w:t>
      </w:r>
      <w:r w:rsidR="00031F52">
        <w:rPr>
          <w:rFonts w:ascii="Calibri" w:hAnsi="Calibri" w:cs="Calibri"/>
          <w:sz w:val="24"/>
          <w:szCs w:val="24"/>
          <w:lang w:val="en-US"/>
        </w:rPr>
        <w:t xml:space="preserve"> for HER and OER as insets, respectively. Metal catalyst loading: </w:t>
      </w:r>
      <w:r w:rsidR="00031F52">
        <w:rPr>
          <w:rStyle w:val="RSCI04CaptiontoFigureSchemeChartChar"/>
          <w:rFonts w:ascii="Calibri" w:hAnsi="Calibri" w:cs="Calibri"/>
          <w:sz w:val="24"/>
          <w:szCs w:val="24"/>
          <w:lang w:val="en-US"/>
        </w:rPr>
        <w:t xml:space="preserve">28 </w:t>
      </w:r>
      <w:r w:rsidR="00031F52">
        <w:rPr>
          <w:rStyle w:val="RSCI04CaptiontoFigureSchemeChartChar"/>
          <w:rFonts w:ascii="Calibri" w:hAnsi="Calibri" w:cs="Calibri"/>
          <w:sz w:val="24"/>
          <w:szCs w:val="24"/>
          <w:lang w:val="en-US"/>
        </w:rPr>
        <w:sym w:font="Symbol" w:char="F06D"/>
      </w:r>
      <w:r w:rsidR="00031F52">
        <w:rPr>
          <w:rStyle w:val="RSCI04CaptiontoFigureSchemeChartChar"/>
          <w:rFonts w:ascii="Calibri" w:hAnsi="Calibri" w:cs="Calibri"/>
          <w:sz w:val="24"/>
          <w:szCs w:val="24"/>
          <w:lang w:val="en-US"/>
        </w:rPr>
        <w:t>g</w:t>
      </w:r>
      <w:r w:rsidR="00031F52">
        <w:rPr>
          <w:rStyle w:val="RSCI04CaptiontoFigureSchemeChartChar"/>
          <w:rFonts w:ascii="Calibri" w:hAnsi="Calibri" w:cs="Calibri"/>
          <w:sz w:val="24"/>
          <w:szCs w:val="24"/>
          <w:vertAlign w:val="subscript"/>
          <w:lang w:val="en-US"/>
        </w:rPr>
        <w:t>Co</w:t>
      </w:r>
      <w:r w:rsidR="00031F52">
        <w:rPr>
          <w:rStyle w:val="RSCI04CaptiontoFigureSchemeChartChar"/>
          <w:rFonts w:ascii="Calibri" w:hAnsi="Calibri" w:cs="Calibri"/>
          <w:sz w:val="24"/>
          <w:szCs w:val="24"/>
          <w:lang w:val="en-US"/>
        </w:rPr>
        <w:t xml:space="preserve"> cm</w:t>
      </w:r>
      <w:r w:rsidR="00031F52">
        <w:rPr>
          <w:rStyle w:val="RSCI04CaptiontoFigureSchemeChartChar"/>
          <w:rFonts w:ascii="Calibri" w:hAnsi="Calibri" w:cs="Calibri"/>
          <w:sz w:val="24"/>
          <w:szCs w:val="24"/>
          <w:vertAlign w:val="superscript"/>
          <w:lang w:val="en-US"/>
        </w:rPr>
        <w:t>-2</w:t>
      </w:r>
      <w:r w:rsidR="00031F52">
        <w:rPr>
          <w:rStyle w:val="RSCI04CaptiontoFigureSchemeChartChar"/>
          <w:rFonts w:ascii="Calibri" w:hAnsi="Calibri" w:cs="Calibri"/>
          <w:sz w:val="24"/>
          <w:szCs w:val="24"/>
          <w:lang w:val="en-US"/>
        </w:rPr>
        <w:t xml:space="preserve"> and 2.8 </w:t>
      </w:r>
      <w:r w:rsidR="00031F52">
        <w:rPr>
          <w:rStyle w:val="RSCI04CaptiontoFigureSchemeChartChar"/>
          <w:rFonts w:ascii="Calibri" w:hAnsi="Calibri" w:cs="Calibri"/>
          <w:sz w:val="24"/>
          <w:szCs w:val="24"/>
          <w:lang w:val="en-US"/>
        </w:rPr>
        <w:sym w:font="Symbol" w:char="F06D"/>
      </w:r>
      <w:r w:rsidR="00031F52">
        <w:rPr>
          <w:rStyle w:val="RSCI04CaptiontoFigureSchemeChartChar"/>
          <w:rFonts w:ascii="Calibri" w:hAnsi="Calibri" w:cs="Calibri"/>
          <w:sz w:val="24"/>
          <w:szCs w:val="24"/>
          <w:lang w:val="en-US"/>
        </w:rPr>
        <w:t>g</w:t>
      </w:r>
      <w:r w:rsidR="00031F52">
        <w:rPr>
          <w:rStyle w:val="RSCI04CaptiontoFigureSchemeChartChar"/>
          <w:rFonts w:ascii="Calibri" w:hAnsi="Calibri" w:cs="Calibri"/>
          <w:sz w:val="24"/>
          <w:szCs w:val="24"/>
          <w:vertAlign w:val="subscript"/>
          <w:lang w:val="en-US"/>
        </w:rPr>
        <w:t>Cr</w:t>
      </w:r>
      <w:r w:rsidR="00031F52">
        <w:rPr>
          <w:rStyle w:val="RSCI04CaptiontoFigureSchemeChartChar"/>
          <w:rFonts w:ascii="Calibri" w:hAnsi="Calibri" w:cs="Calibri"/>
          <w:sz w:val="24"/>
          <w:szCs w:val="24"/>
          <w:lang w:val="en-US"/>
        </w:rPr>
        <w:t xml:space="preserve"> cm</w:t>
      </w:r>
      <w:r w:rsidR="00031F52">
        <w:rPr>
          <w:rStyle w:val="RSCI04CaptiontoFigureSchemeChartChar"/>
          <w:rFonts w:ascii="Calibri" w:hAnsi="Calibri" w:cs="Calibri"/>
          <w:sz w:val="24"/>
          <w:szCs w:val="24"/>
          <w:vertAlign w:val="superscript"/>
          <w:lang w:val="en-US"/>
        </w:rPr>
        <w:t>-2</w:t>
      </w:r>
      <w:r w:rsidR="00581410">
        <w:rPr>
          <w:rStyle w:val="RSCI04CaptiontoFigureSchemeChartChar"/>
          <w:rFonts w:ascii="Calibri" w:hAnsi="Calibri" w:cs="Calibri"/>
          <w:sz w:val="24"/>
          <w:szCs w:val="24"/>
          <w:vertAlign w:val="superscript"/>
          <w:lang w:val="en-US"/>
        </w:rPr>
        <w:t xml:space="preserve"> </w:t>
      </w:r>
      <w:r w:rsidR="00031F52">
        <w:rPr>
          <w:rStyle w:val="RSCI04CaptiontoFigureSchemeChartChar"/>
          <w:rFonts w:ascii="Calibri" w:hAnsi="Calibri" w:cs="Calibri"/>
          <w:sz w:val="24"/>
          <w:szCs w:val="24"/>
          <w:lang w:val="en-US"/>
        </w:rPr>
        <w:t xml:space="preserve">for the </w:t>
      </w:r>
      <w:r w:rsidR="00031F52">
        <w:rPr>
          <w:rFonts w:ascii="Calibri" w:hAnsi="Calibri" w:cs="Calibri"/>
          <w:sz w:val="24"/>
          <w:szCs w:val="24"/>
          <w:lang w:val="en-US"/>
        </w:rPr>
        <w:t>Cr</w:t>
      </w:r>
      <w:r w:rsidR="00031F52">
        <w:rPr>
          <w:rFonts w:ascii="Calibri" w:hAnsi="Calibri" w:cs="Calibri"/>
          <w:sz w:val="24"/>
          <w:szCs w:val="24"/>
          <w:vertAlign w:val="subscript"/>
          <w:lang w:val="en-US"/>
        </w:rPr>
        <w:t>0.2</w:t>
      </w:r>
      <w:r w:rsidR="00031F52">
        <w:rPr>
          <w:rFonts w:ascii="Calibri" w:hAnsi="Calibri" w:cs="Calibri"/>
          <w:sz w:val="24"/>
          <w:szCs w:val="24"/>
          <w:lang w:val="en-US"/>
        </w:rPr>
        <w:t>Co</w:t>
      </w:r>
      <w:r w:rsidR="00031F52">
        <w:rPr>
          <w:rFonts w:ascii="Calibri" w:hAnsi="Calibri" w:cs="Calibri"/>
          <w:sz w:val="24"/>
          <w:szCs w:val="24"/>
          <w:vertAlign w:val="subscript"/>
          <w:lang w:val="en-US"/>
        </w:rPr>
        <w:t>1.8</w:t>
      </w:r>
      <w:r w:rsidR="00031F52">
        <w:rPr>
          <w:rFonts w:ascii="Calibri" w:hAnsi="Calibri" w:cs="Calibri"/>
          <w:sz w:val="24"/>
          <w:szCs w:val="24"/>
          <w:lang w:val="en-US"/>
        </w:rPr>
        <w:t xml:space="preserve">P/CB </w:t>
      </w:r>
      <w:r w:rsidR="00031F52">
        <w:rPr>
          <w:rStyle w:val="RSCI04CaptiontoFigureSchemeChartChar"/>
          <w:rFonts w:ascii="Calibri" w:hAnsi="Calibri" w:cs="Calibri"/>
          <w:sz w:val="24"/>
          <w:szCs w:val="24"/>
          <w:lang w:val="en-US"/>
        </w:rPr>
        <w:t xml:space="preserve">catalyst. Tafel plots of the as-synthesized </w:t>
      </w:r>
      <w:r w:rsidR="00031F52">
        <w:rPr>
          <w:rFonts w:ascii="Calibri" w:hAnsi="Calibri" w:cs="Calibri"/>
          <w:sz w:val="24"/>
          <w:szCs w:val="24"/>
          <w:lang w:val="en-US"/>
        </w:rPr>
        <w:t>Co</w:t>
      </w:r>
      <w:r w:rsidR="00031F52">
        <w:rPr>
          <w:rFonts w:ascii="Calibri" w:hAnsi="Calibri" w:cs="Calibri"/>
          <w:sz w:val="24"/>
          <w:szCs w:val="24"/>
          <w:vertAlign w:val="subscript"/>
          <w:lang w:val="en-US"/>
        </w:rPr>
        <w:t>2</w:t>
      </w:r>
      <w:r w:rsidR="00031F52">
        <w:rPr>
          <w:rFonts w:ascii="Calibri" w:hAnsi="Calibri" w:cs="Calibri"/>
          <w:sz w:val="24"/>
          <w:szCs w:val="24"/>
          <w:lang w:val="en-US"/>
        </w:rPr>
        <w:t>P/CB</w:t>
      </w:r>
      <w:r w:rsidR="00031F52">
        <w:rPr>
          <w:rStyle w:val="RSCI04CaptiontoFigureSchemeChartChar"/>
          <w:rFonts w:ascii="Calibri" w:hAnsi="Calibri" w:cs="Calibri"/>
          <w:sz w:val="24"/>
          <w:szCs w:val="24"/>
          <w:lang w:val="en-US"/>
        </w:rPr>
        <w:t xml:space="preserve">, </w:t>
      </w:r>
      <w:r w:rsidR="00031F52">
        <w:rPr>
          <w:rFonts w:ascii="Calibri" w:hAnsi="Calibri" w:cs="Calibri"/>
          <w:sz w:val="24"/>
          <w:szCs w:val="24"/>
          <w:lang w:val="en-US"/>
        </w:rPr>
        <w:t>Cr</w:t>
      </w:r>
      <w:r w:rsidR="00031F52">
        <w:rPr>
          <w:rFonts w:ascii="Calibri" w:hAnsi="Calibri" w:cs="Calibri"/>
          <w:sz w:val="24"/>
          <w:szCs w:val="24"/>
          <w:vertAlign w:val="subscript"/>
          <w:lang w:val="en-US"/>
        </w:rPr>
        <w:t>0.2</w:t>
      </w:r>
      <w:r w:rsidR="00031F52">
        <w:rPr>
          <w:rFonts w:ascii="Calibri" w:hAnsi="Calibri" w:cs="Calibri"/>
          <w:sz w:val="24"/>
          <w:szCs w:val="24"/>
          <w:lang w:val="en-US"/>
        </w:rPr>
        <w:t>Co</w:t>
      </w:r>
      <w:r w:rsidR="00031F52">
        <w:rPr>
          <w:rFonts w:ascii="Calibri" w:hAnsi="Calibri" w:cs="Calibri"/>
          <w:sz w:val="24"/>
          <w:szCs w:val="24"/>
          <w:vertAlign w:val="subscript"/>
          <w:lang w:val="en-US"/>
        </w:rPr>
        <w:t>1.8</w:t>
      </w:r>
      <w:r w:rsidR="00031F52">
        <w:rPr>
          <w:rFonts w:ascii="Calibri" w:hAnsi="Calibri" w:cs="Calibri"/>
          <w:sz w:val="24"/>
          <w:szCs w:val="24"/>
          <w:lang w:val="en-US"/>
        </w:rPr>
        <w:t xml:space="preserve">P/CB </w:t>
      </w:r>
      <w:r w:rsidR="00031F52">
        <w:rPr>
          <w:rStyle w:val="RSCI04CaptiontoFigureSchemeChartChar"/>
          <w:rFonts w:ascii="Calibri" w:hAnsi="Calibri" w:cs="Calibri"/>
          <w:sz w:val="24"/>
          <w:szCs w:val="24"/>
          <w:lang w:val="en-US"/>
        </w:rPr>
        <w:t>catalysts in N</w:t>
      </w:r>
      <w:r w:rsidR="00031F52">
        <w:rPr>
          <w:rStyle w:val="RSCI04CaptiontoFigureSchemeChartChar"/>
          <w:rFonts w:ascii="Calibri" w:hAnsi="Calibri" w:cs="Calibri"/>
          <w:sz w:val="24"/>
          <w:szCs w:val="24"/>
          <w:vertAlign w:val="subscript"/>
          <w:lang w:val="en-US"/>
        </w:rPr>
        <w:t>2</w:t>
      </w:r>
      <w:r w:rsidR="00031F52">
        <w:rPr>
          <w:rStyle w:val="RSCI04CaptiontoFigureSchemeChartChar"/>
          <w:rFonts w:ascii="Calibri" w:hAnsi="Calibri" w:cs="Calibri"/>
          <w:sz w:val="24"/>
          <w:szCs w:val="24"/>
          <w:lang w:val="en-US"/>
        </w:rPr>
        <w:t xml:space="preserve">-saturated 0.1M KOH for (b) HER and (e) OER. Electrochemical stability of </w:t>
      </w:r>
      <w:r w:rsidR="00031F52">
        <w:rPr>
          <w:rFonts w:ascii="Calibri" w:hAnsi="Calibri" w:cs="Calibri"/>
          <w:sz w:val="24"/>
          <w:szCs w:val="24"/>
          <w:lang w:val="en-US"/>
        </w:rPr>
        <w:t>Cr</w:t>
      </w:r>
      <w:r w:rsidR="00031F52">
        <w:rPr>
          <w:rFonts w:ascii="Calibri" w:hAnsi="Calibri" w:cs="Calibri"/>
          <w:sz w:val="24"/>
          <w:szCs w:val="24"/>
          <w:vertAlign w:val="subscript"/>
          <w:lang w:val="en-US"/>
        </w:rPr>
        <w:t>0.2</w:t>
      </w:r>
      <w:r w:rsidR="00031F52">
        <w:rPr>
          <w:rFonts w:ascii="Calibri" w:hAnsi="Calibri" w:cs="Calibri"/>
          <w:sz w:val="24"/>
          <w:szCs w:val="24"/>
          <w:lang w:val="en-US"/>
        </w:rPr>
        <w:t>Co</w:t>
      </w:r>
      <w:r w:rsidR="00031F52">
        <w:rPr>
          <w:rFonts w:ascii="Calibri" w:hAnsi="Calibri" w:cs="Calibri"/>
          <w:sz w:val="24"/>
          <w:szCs w:val="24"/>
          <w:vertAlign w:val="subscript"/>
          <w:lang w:val="en-US"/>
        </w:rPr>
        <w:t>1.8</w:t>
      </w:r>
      <w:r w:rsidR="00031F52">
        <w:rPr>
          <w:rFonts w:ascii="Calibri" w:hAnsi="Calibri" w:cs="Calibri"/>
          <w:sz w:val="24"/>
          <w:szCs w:val="24"/>
          <w:lang w:val="en-US"/>
        </w:rPr>
        <w:t>P/CB</w:t>
      </w:r>
      <w:r w:rsidR="00031F52">
        <w:rPr>
          <w:rStyle w:val="RSCI04CaptiontoFigureSchemeChartChar"/>
          <w:rFonts w:ascii="Calibri" w:hAnsi="Calibri" w:cs="Calibri"/>
          <w:sz w:val="24"/>
          <w:szCs w:val="24"/>
          <w:lang w:val="en-US"/>
        </w:rPr>
        <w:t xml:space="preserve"> for (c) HER and (f) OER in 0.1 M KOH, with 10 h chronoamperometry test of </w:t>
      </w:r>
      <w:r w:rsidR="00031F52">
        <w:rPr>
          <w:rFonts w:ascii="Calibri" w:hAnsi="Calibri" w:cs="Calibri"/>
          <w:sz w:val="24"/>
          <w:szCs w:val="24"/>
          <w:lang w:val="en-US"/>
        </w:rPr>
        <w:t>Cr</w:t>
      </w:r>
      <w:r w:rsidR="00031F52">
        <w:rPr>
          <w:rFonts w:ascii="Calibri" w:hAnsi="Calibri" w:cs="Calibri"/>
          <w:sz w:val="24"/>
          <w:szCs w:val="24"/>
          <w:vertAlign w:val="subscript"/>
          <w:lang w:val="en-US"/>
        </w:rPr>
        <w:t>0.2</w:t>
      </w:r>
      <w:r w:rsidR="00031F52">
        <w:rPr>
          <w:rFonts w:ascii="Calibri" w:hAnsi="Calibri" w:cs="Calibri"/>
          <w:sz w:val="24"/>
          <w:szCs w:val="24"/>
          <w:lang w:val="en-US"/>
        </w:rPr>
        <w:t>Co</w:t>
      </w:r>
      <w:r w:rsidR="00031F52">
        <w:rPr>
          <w:rFonts w:ascii="Calibri" w:hAnsi="Calibri" w:cs="Calibri"/>
          <w:sz w:val="24"/>
          <w:szCs w:val="24"/>
          <w:vertAlign w:val="subscript"/>
          <w:lang w:val="en-US"/>
        </w:rPr>
        <w:t>1.8</w:t>
      </w:r>
      <w:r w:rsidR="00031F52">
        <w:rPr>
          <w:rFonts w:ascii="Calibri" w:hAnsi="Calibri" w:cs="Calibri"/>
          <w:sz w:val="24"/>
          <w:szCs w:val="24"/>
          <w:lang w:val="en-US"/>
        </w:rPr>
        <w:t xml:space="preserve">P/CB </w:t>
      </w:r>
      <w:r w:rsidR="00031F52">
        <w:rPr>
          <w:rStyle w:val="RSCI04CaptiontoFigureSchemeChartChar"/>
          <w:rFonts w:ascii="Calibri" w:hAnsi="Calibri" w:cs="Calibri"/>
          <w:sz w:val="24"/>
          <w:szCs w:val="24"/>
          <w:lang w:val="en-US"/>
        </w:rPr>
        <w:t xml:space="preserve">at 1.6V as </w:t>
      </w:r>
      <w:r w:rsidR="00031F52">
        <w:rPr>
          <w:rStyle w:val="RSCI04CaptiontoFigureSchemeChartChar"/>
          <w:rFonts w:ascii="Calibri" w:hAnsi="Calibri" w:cs="Calibri"/>
          <w:sz w:val="24"/>
          <w:szCs w:val="24"/>
          <w:lang w:val="en-US"/>
        </w:rPr>
        <w:lastRenderedPageBreak/>
        <w:t xml:space="preserve">inset. (g) The EIS plots of the as-synthesized </w:t>
      </w:r>
      <w:r w:rsidR="00031F52">
        <w:rPr>
          <w:rFonts w:ascii="Calibri" w:hAnsi="Calibri" w:cs="Calibri"/>
          <w:sz w:val="24"/>
          <w:szCs w:val="24"/>
          <w:lang w:val="en-US"/>
        </w:rPr>
        <w:t>Co</w:t>
      </w:r>
      <w:r w:rsidR="00031F52">
        <w:rPr>
          <w:rFonts w:ascii="Calibri" w:hAnsi="Calibri" w:cs="Calibri"/>
          <w:sz w:val="24"/>
          <w:szCs w:val="24"/>
          <w:vertAlign w:val="subscript"/>
          <w:lang w:val="en-US"/>
        </w:rPr>
        <w:t>2</w:t>
      </w:r>
      <w:r w:rsidR="00031F52">
        <w:rPr>
          <w:rFonts w:ascii="Calibri" w:hAnsi="Calibri" w:cs="Calibri"/>
          <w:sz w:val="24"/>
          <w:szCs w:val="24"/>
          <w:lang w:val="en-US"/>
        </w:rPr>
        <w:t>P/CB</w:t>
      </w:r>
      <w:r w:rsidR="00031F52">
        <w:rPr>
          <w:rStyle w:val="RSCI04CaptiontoFigureSchemeChartChar"/>
          <w:rFonts w:ascii="Calibri" w:hAnsi="Calibri" w:cs="Calibri"/>
          <w:sz w:val="24"/>
          <w:szCs w:val="24"/>
          <w:lang w:val="en-US"/>
        </w:rPr>
        <w:t xml:space="preserve">, </w:t>
      </w:r>
      <w:r w:rsidR="00031F52">
        <w:rPr>
          <w:rFonts w:ascii="Calibri" w:hAnsi="Calibri" w:cs="Calibri"/>
          <w:sz w:val="24"/>
          <w:szCs w:val="24"/>
          <w:lang w:val="en-US"/>
        </w:rPr>
        <w:t>Cr</w:t>
      </w:r>
      <w:r w:rsidR="00031F52">
        <w:rPr>
          <w:rFonts w:ascii="Calibri" w:hAnsi="Calibri" w:cs="Calibri"/>
          <w:sz w:val="24"/>
          <w:szCs w:val="24"/>
          <w:vertAlign w:val="subscript"/>
          <w:lang w:val="en-US"/>
        </w:rPr>
        <w:t>0.2</w:t>
      </w:r>
      <w:r w:rsidR="00031F52">
        <w:rPr>
          <w:rFonts w:ascii="Calibri" w:hAnsi="Calibri" w:cs="Calibri"/>
          <w:sz w:val="24"/>
          <w:szCs w:val="24"/>
          <w:lang w:val="en-US"/>
        </w:rPr>
        <w:t>Co</w:t>
      </w:r>
      <w:r w:rsidR="00031F52">
        <w:rPr>
          <w:rFonts w:ascii="Calibri" w:hAnsi="Calibri" w:cs="Calibri"/>
          <w:sz w:val="24"/>
          <w:szCs w:val="24"/>
          <w:vertAlign w:val="subscript"/>
          <w:lang w:val="en-US"/>
        </w:rPr>
        <w:t>1.8</w:t>
      </w:r>
      <w:r w:rsidR="00031F52">
        <w:rPr>
          <w:rFonts w:ascii="Calibri" w:hAnsi="Calibri" w:cs="Calibri"/>
          <w:sz w:val="24"/>
          <w:szCs w:val="24"/>
          <w:lang w:val="en-US"/>
        </w:rPr>
        <w:t xml:space="preserve">P/CB </w:t>
      </w:r>
      <w:r w:rsidR="00031F52">
        <w:rPr>
          <w:rStyle w:val="RSCI04CaptiontoFigureSchemeChartChar"/>
          <w:rFonts w:ascii="Calibri" w:hAnsi="Calibri" w:cs="Calibri"/>
          <w:sz w:val="24"/>
          <w:szCs w:val="24"/>
          <w:lang w:val="en-US"/>
        </w:rPr>
        <w:t xml:space="preserve">(h) CVs of </w:t>
      </w:r>
      <w:r w:rsidR="00031F52">
        <w:rPr>
          <w:rFonts w:ascii="Calibri" w:hAnsi="Calibri" w:cs="Calibri"/>
          <w:sz w:val="24"/>
          <w:szCs w:val="24"/>
          <w:lang w:val="en-US"/>
        </w:rPr>
        <w:t>Co</w:t>
      </w:r>
      <w:r w:rsidR="00031F52">
        <w:rPr>
          <w:rFonts w:ascii="Calibri" w:hAnsi="Calibri" w:cs="Calibri"/>
          <w:sz w:val="24"/>
          <w:szCs w:val="24"/>
          <w:vertAlign w:val="subscript"/>
          <w:lang w:val="en-US"/>
        </w:rPr>
        <w:t>2</w:t>
      </w:r>
      <w:r w:rsidR="00031F52">
        <w:rPr>
          <w:rFonts w:ascii="Calibri" w:hAnsi="Calibri" w:cs="Calibri"/>
          <w:sz w:val="24"/>
          <w:szCs w:val="24"/>
          <w:lang w:val="en-US"/>
        </w:rPr>
        <w:t>P/CB</w:t>
      </w:r>
      <w:r w:rsidR="00031F52">
        <w:rPr>
          <w:rStyle w:val="RSCI04CaptiontoFigureSchemeChartChar"/>
          <w:rFonts w:ascii="Calibri" w:hAnsi="Calibri" w:cs="Calibri"/>
          <w:sz w:val="24"/>
          <w:szCs w:val="24"/>
          <w:lang w:val="en-US"/>
        </w:rPr>
        <w:t xml:space="preserve"> and </w:t>
      </w:r>
      <w:r w:rsidR="00031F52">
        <w:rPr>
          <w:rFonts w:ascii="Calibri" w:hAnsi="Calibri" w:cs="Calibri"/>
          <w:sz w:val="24"/>
          <w:szCs w:val="24"/>
          <w:lang w:val="en-US"/>
        </w:rPr>
        <w:t>Cr</w:t>
      </w:r>
      <w:r w:rsidR="00031F52">
        <w:rPr>
          <w:rFonts w:ascii="Calibri" w:hAnsi="Calibri" w:cs="Calibri"/>
          <w:sz w:val="24"/>
          <w:szCs w:val="24"/>
          <w:vertAlign w:val="subscript"/>
          <w:lang w:val="en-US"/>
        </w:rPr>
        <w:t>0.2</w:t>
      </w:r>
      <w:r w:rsidR="00031F52">
        <w:rPr>
          <w:rFonts w:ascii="Calibri" w:hAnsi="Calibri" w:cs="Calibri"/>
          <w:sz w:val="24"/>
          <w:szCs w:val="24"/>
          <w:lang w:val="en-US"/>
        </w:rPr>
        <w:t>Co</w:t>
      </w:r>
      <w:r w:rsidR="00031F52">
        <w:rPr>
          <w:rFonts w:ascii="Calibri" w:hAnsi="Calibri" w:cs="Calibri"/>
          <w:sz w:val="24"/>
          <w:szCs w:val="24"/>
          <w:vertAlign w:val="subscript"/>
          <w:lang w:val="en-US"/>
        </w:rPr>
        <w:t>1.8</w:t>
      </w:r>
      <w:r w:rsidR="00031F52">
        <w:rPr>
          <w:rFonts w:ascii="Calibri" w:hAnsi="Calibri" w:cs="Calibri"/>
          <w:sz w:val="24"/>
          <w:szCs w:val="24"/>
          <w:lang w:val="en-US"/>
        </w:rPr>
        <w:t xml:space="preserve">P/CB </w:t>
      </w:r>
      <w:r w:rsidR="00031F52">
        <w:rPr>
          <w:rStyle w:val="RSCI04CaptiontoFigureSchemeChartChar"/>
          <w:rFonts w:ascii="Calibri" w:hAnsi="Calibri" w:cs="Calibri"/>
          <w:sz w:val="24"/>
          <w:szCs w:val="24"/>
          <w:lang w:val="en-US"/>
        </w:rPr>
        <w:t xml:space="preserve">under different scan rates, (i) Capacitance of the </w:t>
      </w:r>
      <w:r w:rsidR="00031F52">
        <w:rPr>
          <w:rFonts w:ascii="Calibri" w:hAnsi="Calibri" w:cs="Calibri"/>
          <w:sz w:val="24"/>
          <w:szCs w:val="24"/>
          <w:lang w:val="en-US"/>
        </w:rPr>
        <w:t>Co</w:t>
      </w:r>
      <w:r w:rsidR="00031F52">
        <w:rPr>
          <w:rFonts w:ascii="Calibri" w:hAnsi="Calibri" w:cs="Calibri"/>
          <w:sz w:val="24"/>
          <w:szCs w:val="24"/>
          <w:vertAlign w:val="subscript"/>
          <w:lang w:val="en-US"/>
        </w:rPr>
        <w:t>2</w:t>
      </w:r>
      <w:r w:rsidR="00031F52">
        <w:rPr>
          <w:rFonts w:ascii="Calibri" w:hAnsi="Calibri" w:cs="Calibri"/>
          <w:sz w:val="24"/>
          <w:szCs w:val="24"/>
          <w:lang w:val="en-US"/>
        </w:rPr>
        <w:t>P/CB</w:t>
      </w:r>
      <w:r w:rsidR="00031F52">
        <w:rPr>
          <w:rStyle w:val="RSCI04CaptiontoFigureSchemeChartChar"/>
          <w:rFonts w:ascii="Calibri" w:hAnsi="Calibri" w:cs="Calibri"/>
          <w:sz w:val="24"/>
          <w:szCs w:val="24"/>
          <w:lang w:val="en-US"/>
        </w:rPr>
        <w:t xml:space="preserve"> and </w:t>
      </w:r>
      <w:r w:rsidR="00031F52">
        <w:rPr>
          <w:rFonts w:ascii="Calibri" w:hAnsi="Calibri" w:cs="Calibri"/>
          <w:sz w:val="24"/>
          <w:szCs w:val="24"/>
          <w:lang w:val="en-US"/>
        </w:rPr>
        <w:t>Cr</w:t>
      </w:r>
      <w:r w:rsidR="00031F52">
        <w:rPr>
          <w:rFonts w:ascii="Calibri" w:hAnsi="Calibri" w:cs="Calibri"/>
          <w:sz w:val="24"/>
          <w:szCs w:val="24"/>
          <w:vertAlign w:val="subscript"/>
          <w:lang w:val="en-US"/>
        </w:rPr>
        <w:t>0.2</w:t>
      </w:r>
      <w:r w:rsidR="00031F52">
        <w:rPr>
          <w:rFonts w:ascii="Calibri" w:hAnsi="Calibri" w:cs="Calibri"/>
          <w:sz w:val="24"/>
          <w:szCs w:val="24"/>
          <w:lang w:val="en-US"/>
        </w:rPr>
        <w:t>Co</w:t>
      </w:r>
      <w:r w:rsidR="00031F52">
        <w:rPr>
          <w:rFonts w:ascii="Calibri" w:hAnsi="Calibri" w:cs="Calibri"/>
          <w:sz w:val="24"/>
          <w:szCs w:val="24"/>
          <w:vertAlign w:val="subscript"/>
          <w:lang w:val="en-US"/>
        </w:rPr>
        <w:t>1.8</w:t>
      </w:r>
      <w:r w:rsidR="00031F52">
        <w:rPr>
          <w:rFonts w:ascii="Calibri" w:hAnsi="Calibri" w:cs="Calibri"/>
          <w:sz w:val="24"/>
          <w:szCs w:val="24"/>
          <w:lang w:val="en-US"/>
        </w:rPr>
        <w:t xml:space="preserve">P/CB </w:t>
      </w:r>
      <w:r w:rsidR="00031F52">
        <w:rPr>
          <w:rStyle w:val="RSCI04CaptiontoFigureSchemeChartChar"/>
          <w:rFonts w:ascii="Calibri" w:hAnsi="Calibri" w:cs="Calibri"/>
          <w:sz w:val="24"/>
          <w:szCs w:val="24"/>
          <w:lang w:val="en-US"/>
        </w:rPr>
        <w:t>catalyst calculated by their double layer capacitance.</w:t>
      </w:r>
    </w:p>
    <w:p w:rsidR="00D069BB" w:rsidRDefault="00D069BB" w:rsidP="00E975D0"/>
    <w:p w:rsidR="00EB10E0" w:rsidRDefault="00EB10E0" w:rsidP="00EB10E0">
      <w:pPr>
        <w:pStyle w:val="RSCB02ArticleText"/>
        <w:spacing w:line="480" w:lineRule="auto"/>
        <w:rPr>
          <w:rFonts w:ascii="Times" w:hAnsi="Times" w:cs="Calibri"/>
          <w:color w:val="FF0000"/>
          <w:sz w:val="24"/>
          <w:szCs w:val="24"/>
          <w:lang w:val="en-US"/>
        </w:rPr>
      </w:pPr>
      <w:r>
        <w:rPr>
          <w:rFonts w:ascii="Times" w:hAnsi="Times" w:cs="Calibri"/>
          <w:sz w:val="24"/>
          <w:szCs w:val="24"/>
          <w:lang w:val="en-US"/>
        </w:rPr>
        <w:t>In comparison a 218 mV overpotential is needed to drive a geometrical current density of -10 mA cm</w:t>
      </w:r>
      <w:r>
        <w:rPr>
          <w:rFonts w:ascii="Times" w:hAnsi="Times" w:cs="Calibri"/>
          <w:sz w:val="24"/>
          <w:szCs w:val="24"/>
          <w:vertAlign w:val="superscript"/>
          <w:lang w:val="en-US"/>
        </w:rPr>
        <w:t>-2</w:t>
      </w:r>
      <w:r>
        <w:rPr>
          <w:rFonts w:ascii="Times" w:hAnsi="Times" w:cs="Calibri"/>
          <w:sz w:val="24"/>
          <w:szCs w:val="24"/>
          <w:lang w:val="en-US"/>
        </w:rPr>
        <w:t xml:space="preserve"> for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P/CB, 54mV less than for the unalloyed Co</w:t>
      </w:r>
      <w:r>
        <w:rPr>
          <w:rFonts w:ascii="Times" w:hAnsi="Times" w:cs="Calibri"/>
          <w:sz w:val="24"/>
          <w:szCs w:val="24"/>
          <w:vertAlign w:val="subscript"/>
          <w:lang w:val="en-US"/>
        </w:rPr>
        <w:t>2</w:t>
      </w:r>
      <w:r>
        <w:rPr>
          <w:rFonts w:ascii="Times" w:hAnsi="Times" w:cs="Calibri"/>
          <w:sz w:val="24"/>
          <w:szCs w:val="24"/>
          <w:lang w:val="en-US"/>
        </w:rPr>
        <w:t>P/CB catalyst. Figure 3(b) presents the Tafel plots. Pt/C shows a Tafel slope of 58.6mV dec</w:t>
      </w:r>
      <w:r>
        <w:rPr>
          <w:rFonts w:ascii="Times" w:hAnsi="Times" w:cs="Calibri"/>
          <w:sz w:val="24"/>
          <w:szCs w:val="24"/>
          <w:vertAlign w:val="superscript"/>
          <w:lang w:val="en-US"/>
        </w:rPr>
        <w:t>-1</w:t>
      </w:r>
      <w:r>
        <w:rPr>
          <w:rFonts w:ascii="Times" w:hAnsi="Times" w:cs="Calibri"/>
          <w:sz w:val="24"/>
          <w:szCs w:val="24"/>
          <w:lang w:val="en-US"/>
        </w:rPr>
        <w:t>. The Tafel slopes for Co</w:t>
      </w:r>
      <w:r>
        <w:rPr>
          <w:rFonts w:ascii="Times" w:hAnsi="Times" w:cs="Calibri"/>
          <w:sz w:val="24"/>
          <w:szCs w:val="24"/>
          <w:vertAlign w:val="subscript"/>
          <w:lang w:val="en-US"/>
        </w:rPr>
        <w:t>2</w:t>
      </w:r>
      <w:r>
        <w:rPr>
          <w:rFonts w:ascii="Times" w:hAnsi="Times" w:cs="Calibri"/>
          <w:sz w:val="24"/>
          <w:szCs w:val="24"/>
          <w:lang w:val="en-US"/>
        </w:rPr>
        <w:t>P/CB and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P/CB are 62.6 and 59.6mV dec</w:t>
      </w:r>
      <w:r>
        <w:rPr>
          <w:rFonts w:ascii="Times" w:hAnsi="Times" w:cs="Calibri"/>
          <w:sz w:val="24"/>
          <w:szCs w:val="24"/>
          <w:vertAlign w:val="superscript"/>
          <w:lang w:val="en-US"/>
        </w:rPr>
        <w:t>-1</w:t>
      </w:r>
      <w:r>
        <w:rPr>
          <w:rFonts w:ascii="Times" w:hAnsi="Times" w:cs="Calibri"/>
          <w:sz w:val="24"/>
          <w:szCs w:val="24"/>
          <w:lang w:val="en-US"/>
        </w:rPr>
        <w:t>, respectively</w:t>
      </w:r>
      <w:r>
        <w:rPr>
          <w:rFonts w:ascii="Times" w:hAnsi="Times" w:cs="Calibri"/>
          <w:color w:val="000000" w:themeColor="text1"/>
          <w:sz w:val="24"/>
          <w:szCs w:val="24"/>
          <w:lang w:val="en-US"/>
        </w:rPr>
        <w:t>. As further compared with the current non-precious-metal catalysts (Table S1), our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 xml:space="preserve">P/CB catalysts show the competitive electrocatalytic performances towards HER. </w:t>
      </w:r>
      <w:r>
        <w:rPr>
          <w:rFonts w:ascii="Times" w:hAnsi="Times" w:cs="Calibri"/>
          <w:sz w:val="24"/>
          <w:szCs w:val="24"/>
          <w:lang w:val="en-US"/>
        </w:rPr>
        <w:t>The significant improvement of HER performance on Cr doping could be attributed to the previously mentioned electronic effect. Additionally, it was worth noting that the same HER tests were also conducted in 0.1M HCIO</w:t>
      </w:r>
      <w:r>
        <w:rPr>
          <w:rFonts w:ascii="Times" w:hAnsi="Times" w:cs="Calibri"/>
          <w:sz w:val="24"/>
          <w:szCs w:val="24"/>
          <w:vertAlign w:val="subscript"/>
          <w:lang w:val="en-US"/>
        </w:rPr>
        <w:t>4</w:t>
      </w:r>
      <w:r>
        <w:rPr>
          <w:rFonts w:ascii="Times" w:hAnsi="Times" w:cs="Calibri"/>
          <w:sz w:val="24"/>
          <w:szCs w:val="24"/>
          <w:lang w:val="en-US"/>
        </w:rPr>
        <w:t xml:space="preserve"> (Figure S3a). It is intriguing that when switching from acid to alkaline, the performance of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P/CB catalysts change relatively little (~15 mV), suggesting that the electrolyte has relatively little effect on the performance of the catalyst towards the HER. In contrast, the</w:t>
      </w:r>
      <w:r>
        <w:rPr>
          <w:rFonts w:ascii="Times" w:hAnsi="Times" w:cs="Calibri"/>
          <w:color w:val="000000" w:themeColor="text1"/>
          <w:sz w:val="24"/>
          <w:szCs w:val="24"/>
          <w:lang w:val="en-US"/>
        </w:rPr>
        <w:t xml:space="preserve"> 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P/CB catalysts shows a significant decrease in performance in moving from acid to alkaline environments (~100 mV shift). Significant deactivation of the HER in alkaline solutions is well known for platinum group metal catalysts. The significant deactivation of 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P/CB in alkaline suggests that OH</w:t>
      </w:r>
      <w:r>
        <w:rPr>
          <w:rFonts w:ascii="Times" w:hAnsi="Times" w:cs="Calibri"/>
          <w:color w:val="000000" w:themeColor="text1"/>
          <w:sz w:val="24"/>
          <w:szCs w:val="24"/>
          <w:vertAlign w:val="superscript"/>
          <w:lang w:val="en-US"/>
        </w:rPr>
        <w:t>-</w:t>
      </w:r>
      <w:r>
        <w:rPr>
          <w:rFonts w:ascii="Times" w:hAnsi="Times" w:cs="Calibri"/>
          <w:color w:val="000000" w:themeColor="text1"/>
          <w:sz w:val="24"/>
          <w:szCs w:val="24"/>
          <w:lang w:val="en-US"/>
        </w:rPr>
        <w:t xml:space="preserve"> may block the more active Co</w:t>
      </w:r>
      <w:r>
        <w:rPr>
          <w:rFonts w:ascii="Times" w:hAnsi="Times" w:cs="Calibri"/>
          <w:color w:val="000000" w:themeColor="text1"/>
          <w:sz w:val="24"/>
          <w:szCs w:val="24"/>
          <w:vertAlign w:val="superscript"/>
          <w:lang w:val="en-US"/>
        </w:rPr>
        <w:t>2+</w:t>
      </w:r>
      <w:r>
        <w:rPr>
          <w:rFonts w:ascii="Times" w:hAnsi="Times" w:cs="Calibri"/>
          <w:color w:val="000000" w:themeColor="text1"/>
          <w:sz w:val="24"/>
          <w:szCs w:val="24"/>
          <w:lang w:val="en-US"/>
        </w:rPr>
        <w:t xml:space="preserve"> sites on that catalyst whereas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P/CB is hardly affected by OH</w:t>
      </w:r>
      <w:r>
        <w:rPr>
          <w:rFonts w:ascii="Times" w:hAnsi="Times" w:cs="Calibri"/>
          <w:color w:val="000000" w:themeColor="text1"/>
          <w:sz w:val="24"/>
          <w:szCs w:val="24"/>
          <w:vertAlign w:val="superscript"/>
          <w:lang w:val="en-US"/>
        </w:rPr>
        <w:t>-</w:t>
      </w:r>
      <w:r>
        <w:rPr>
          <w:rFonts w:ascii="Times" w:hAnsi="Times" w:cs="Calibri"/>
          <w:color w:val="000000" w:themeColor="text1"/>
          <w:sz w:val="24"/>
          <w:szCs w:val="24"/>
          <w:lang w:val="en-US"/>
        </w:rPr>
        <w:t xml:space="preserve"> blocking of the HER-active sites. This interpretation is also in keeping the change in TDOS for the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P/CB catalyst which makes anion adsorption less favorable compared to 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 xml:space="preserve">P (see </w:t>
      </w:r>
      <w:r w:rsidR="00C643B6">
        <w:rPr>
          <w:rFonts w:ascii="Times" w:hAnsi="Times" w:cs="Calibri"/>
          <w:color w:val="000000" w:themeColor="text1"/>
          <w:sz w:val="24"/>
          <w:szCs w:val="24"/>
          <w:lang w:val="en-US"/>
        </w:rPr>
        <w:t>F</w:t>
      </w:r>
      <w:r>
        <w:rPr>
          <w:rFonts w:ascii="Times" w:hAnsi="Times" w:cs="Calibri"/>
          <w:color w:val="000000" w:themeColor="text1"/>
          <w:sz w:val="24"/>
          <w:szCs w:val="24"/>
          <w:lang w:val="en-US"/>
        </w:rPr>
        <w:t xml:space="preserve">igure </w:t>
      </w:r>
      <w:r w:rsidR="00C643B6">
        <w:rPr>
          <w:rFonts w:ascii="Times" w:hAnsi="Times" w:cs="Calibri"/>
          <w:color w:val="000000" w:themeColor="text1"/>
          <w:sz w:val="24"/>
          <w:szCs w:val="24"/>
          <w:lang w:val="en-US"/>
        </w:rPr>
        <w:t>S</w:t>
      </w:r>
      <w:r>
        <w:rPr>
          <w:rFonts w:ascii="Times" w:hAnsi="Times" w:cs="Calibri"/>
          <w:color w:val="000000" w:themeColor="text1"/>
          <w:sz w:val="24"/>
          <w:szCs w:val="24"/>
          <w:lang w:val="en-US"/>
        </w:rPr>
        <w:t>8). Furthermore, as shown in Figure S3b, the overpotential to reach -10 mA cm</w:t>
      </w:r>
      <w:r>
        <w:rPr>
          <w:rFonts w:ascii="Times" w:hAnsi="Times" w:cs="Calibri"/>
          <w:color w:val="000000" w:themeColor="text1"/>
          <w:sz w:val="24"/>
          <w:szCs w:val="24"/>
          <w:vertAlign w:val="superscript"/>
          <w:lang w:val="en-US"/>
        </w:rPr>
        <w:t>-2</w:t>
      </w:r>
      <w:r>
        <w:rPr>
          <w:rFonts w:ascii="Times" w:hAnsi="Times" w:cs="Calibri"/>
          <w:color w:val="000000" w:themeColor="text1"/>
          <w:sz w:val="24"/>
          <w:szCs w:val="24"/>
          <w:lang w:val="en-US"/>
        </w:rPr>
        <w:t xml:space="preserve"> for the HER gradually increases as the amount of the Cr dopant increases above x=0.2. Performance for x=0.1 is worse than for x=0.2, so this latter composition is close to the optimum chromium composition in alkaline electrolyte. This could be caused by more localized charge-density </w:t>
      </w:r>
      <w:r>
        <w:rPr>
          <w:rFonts w:ascii="Times" w:hAnsi="Times" w:cs="Calibri"/>
          <w:color w:val="000000" w:themeColor="text1"/>
          <w:sz w:val="24"/>
          <w:szCs w:val="24"/>
          <w:lang w:val="en-US"/>
        </w:rPr>
        <w:lastRenderedPageBreak/>
        <w:t>distribution of 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 after the increased Cr incorporation</w:t>
      </w:r>
      <w:r>
        <w:rPr>
          <w:rFonts w:ascii="Times" w:hAnsi="Times" w:cs="Calibri"/>
          <w:color w:val="000000" w:themeColor="text1"/>
          <w:sz w:val="24"/>
          <w:szCs w:val="24"/>
          <w:vertAlign w:val="superscript"/>
          <w:lang w:val="en-US"/>
        </w:rPr>
        <w:fldChar w:fldCharType="begin" w:fldLock="1"/>
      </w:r>
      <w:r>
        <w:rPr>
          <w:rFonts w:ascii="Times" w:hAnsi="Times" w:cs="Calibri"/>
          <w:color w:val="000000" w:themeColor="text1"/>
          <w:sz w:val="24"/>
          <w:szCs w:val="24"/>
          <w:vertAlign w:val="superscript"/>
          <w:lang w:val="en-US"/>
        </w:rPr>
        <w:instrText>ADDIN CSL_CITATION {"citationItems":[{"id":"ITEM-1","itemData":{"DOI":"10.1002/adma.201606980","ISSN":"15214095","abstract":"Electrochemical water splitting to produce hydrogen renders a promising pathway for renewable energy storage. Considering limited electrocatalysts have good oxygen-evolution reaction (OER) catalytic activity in acid solution while numerous economical materials show excellent OER catalytic performance in alkaline solution, developing new strategies that enhance the alkaline hydrogen-evolution reaction (HER) catalytic activity of cost-effective catalysts is highly desirable for achieving highly efficient overall water splitting. Herein, it is demonstrated that synergistic regulation of water dissociation and optimization of hydrogen adsorption free energy on electrocatalysts can significantly promote alkaline HER catalysis. Using oxygen-incorporated Co2 P as an example, the synergistic effect brings about 15-fold enhancement of alkaline HER activity. Theory calculations confirm that the water dissociation free energy of Co2 P decreases significantly after oxygen incorporation, and the hydrogen adsorption free energy can also be optimized simultaneously. The finding suggests the powerful effectiveness of synergetic regulation of water dissociation and optimization of hydrogen adsorption free energy on electrocatalysts for alkaline HER catalysis.","author":[{"dropping-particle":"","family":"Xu","given":"Kun","non-dropping-particle":"","parse-names":false,"suffix":""},{"dropping-particle":"","family":"Ding","given":"Hui","non-dropping-particle":"","parse-names":false,"suffix":""},{"dropping-particle":"","family":"Zhang","given":"Mengxing","non-dropping-particle":"","parse-names":false,"suffix":""},{"dropping-particle":"","family":"Chen","given":"Min","non-dropping-particle":"","parse-names":false,"suffix":""},{"dropping-particle":"","family":"Hao","given":"Zikai","non-dropping-particle":"","parse-names":false,"suffix":""},{"dropping-particle":"","family":"Zhang","given":"Lidong","non-dropping-particle":"","parse-names":false,"suffix":""},{"dropping-particle":"","family":"Wu","given":"Changzheng","non-dropping-particle":"","parse-names":false,"suffix":""},{"dropping-particle":"","family":"Xie","given":"Yi","non-dropping-particle":"","parse-names":false,"suffix":""}],"container-title":"Advanced Materials","id":"ITEM-1","issue":"28","issued":{"date-parts":[["2017"]]},"page":"1-6","title":"Regulating Water-Reduction Kinetics in Cobalt Phosphide for Enhancing HER Catalytic Activity in Alkaline Solution","type":"article-journal","volume":"29"},"uris":["http://www.mendeley.com/documents/?uuid=9e935a76-d15f-4bcd-ad60-97ded6a64092"]}],"mendeley":{"formattedCitation":"&lt;sup&gt;14&lt;/sup&gt;","plainTextFormattedCitation":"14","previouslyFormattedCitation":"&lt;sup&gt;14&lt;/sup&gt;"},"properties":{"noteIndex":0},"schema":"https://github.com/citation-style-language/schema/raw/master/csl-citation.json"}</w:instrText>
      </w:r>
      <w:r>
        <w:rPr>
          <w:rFonts w:ascii="Times" w:hAnsi="Times" w:cs="Calibri"/>
          <w:color w:val="000000" w:themeColor="text1"/>
          <w:sz w:val="24"/>
          <w:szCs w:val="24"/>
          <w:vertAlign w:val="superscript"/>
          <w:lang w:val="en-US"/>
        </w:rPr>
        <w:fldChar w:fldCharType="separate"/>
      </w:r>
      <w:r>
        <w:rPr>
          <w:rFonts w:ascii="Times" w:hAnsi="Times" w:cs="Calibri"/>
          <w:noProof/>
          <w:color w:val="000000" w:themeColor="text1"/>
          <w:sz w:val="24"/>
          <w:szCs w:val="24"/>
          <w:vertAlign w:val="superscript"/>
          <w:lang w:val="en-US"/>
        </w:rPr>
        <w:t>14</w:t>
      </w:r>
      <w:r>
        <w:rPr>
          <w:rFonts w:ascii="Times" w:hAnsi="Times" w:cs="Calibri"/>
          <w:color w:val="000000" w:themeColor="text1"/>
          <w:sz w:val="24"/>
          <w:szCs w:val="24"/>
          <w:vertAlign w:val="superscript"/>
          <w:lang w:val="en-US"/>
        </w:rPr>
        <w:fldChar w:fldCharType="end"/>
      </w:r>
      <w:r>
        <w:rPr>
          <w:rFonts w:ascii="Times" w:hAnsi="Times" w:cs="Calibri"/>
          <w:color w:val="000000" w:themeColor="text1"/>
          <w:sz w:val="24"/>
          <w:szCs w:val="24"/>
          <w:lang w:val="en-US"/>
        </w:rPr>
        <w:t xml:space="preserve"> or the lack of more active Co</w:t>
      </w:r>
      <w:r>
        <w:rPr>
          <w:rFonts w:ascii="Times" w:hAnsi="Times" w:cs="Calibri"/>
          <w:color w:val="000000" w:themeColor="text1"/>
          <w:sz w:val="24"/>
          <w:szCs w:val="24"/>
          <w:vertAlign w:val="superscript"/>
          <w:lang w:val="en-US"/>
        </w:rPr>
        <w:t>2+</w:t>
      </w:r>
      <w:r>
        <w:rPr>
          <w:rFonts w:ascii="Times" w:hAnsi="Times" w:cs="Calibri"/>
          <w:color w:val="000000" w:themeColor="text1"/>
          <w:sz w:val="24"/>
          <w:szCs w:val="24"/>
          <w:lang w:val="en-US"/>
        </w:rPr>
        <w:t xml:space="preserve"> sites upon increasing the amount of Cr dopant. </w:t>
      </w:r>
    </w:p>
    <w:p w:rsidR="00EB10E0" w:rsidRDefault="00EB10E0" w:rsidP="00EB10E0">
      <w:pPr>
        <w:pStyle w:val="RSCB02ArticleText"/>
        <w:spacing w:line="480" w:lineRule="auto"/>
        <w:rPr>
          <w:rFonts w:ascii="Times" w:hAnsi="Times" w:cs="Calibri"/>
          <w:sz w:val="24"/>
          <w:szCs w:val="24"/>
          <w:lang w:val="en-US"/>
        </w:rPr>
      </w:pPr>
      <w:r>
        <w:rPr>
          <w:rFonts w:ascii="Times" w:hAnsi="Times" w:cs="Calibri"/>
          <w:sz w:val="24"/>
          <w:szCs w:val="24"/>
          <w:lang w:val="en-US"/>
        </w:rPr>
        <w:t>The OER activity of the Co</w:t>
      </w:r>
      <w:r>
        <w:rPr>
          <w:rFonts w:ascii="Times" w:hAnsi="Times" w:cs="Calibri"/>
          <w:sz w:val="24"/>
          <w:szCs w:val="24"/>
          <w:vertAlign w:val="subscript"/>
          <w:lang w:val="en-US"/>
        </w:rPr>
        <w:t>2</w:t>
      </w:r>
      <w:r>
        <w:rPr>
          <w:rFonts w:ascii="Times" w:hAnsi="Times" w:cs="Calibri"/>
          <w:sz w:val="24"/>
          <w:szCs w:val="24"/>
          <w:lang w:val="en-US"/>
        </w:rPr>
        <w:t>P/CB and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 xml:space="preserve">P/CB catalysts were also tested. </w:t>
      </w:r>
      <w:r>
        <w:rPr>
          <w:rFonts w:ascii="Times" w:hAnsi="Times" w:cs="Calibri"/>
          <w:sz w:val="24"/>
          <w:szCs w:val="24"/>
          <w:lang w:val="en-US"/>
        </w:rPr>
        <w:fldChar w:fldCharType="begin"/>
      </w:r>
      <w:r>
        <w:rPr>
          <w:rFonts w:ascii="Times" w:hAnsi="Times" w:cs="Calibri"/>
          <w:sz w:val="24"/>
          <w:szCs w:val="24"/>
          <w:lang w:val="en-US"/>
        </w:rPr>
        <w:instrText xml:space="preserve"> REF _Ref13234465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3</w:t>
      </w:r>
      <w:r>
        <w:rPr>
          <w:rFonts w:ascii="Times" w:hAnsi="Times" w:cs="Calibri"/>
          <w:sz w:val="24"/>
          <w:szCs w:val="24"/>
          <w:lang w:val="en-US"/>
        </w:rPr>
        <w:fldChar w:fldCharType="end"/>
      </w:r>
      <w:r>
        <w:rPr>
          <w:rFonts w:ascii="Times" w:hAnsi="Times" w:cs="Calibri"/>
          <w:sz w:val="24"/>
          <w:szCs w:val="24"/>
          <w:lang w:val="en-US"/>
        </w:rPr>
        <w:t>(d) shows their linear sweep voltammetry (LSV) curves in the N</w:t>
      </w:r>
      <w:r>
        <w:rPr>
          <w:rFonts w:ascii="Times" w:hAnsi="Times" w:cs="Calibri"/>
          <w:sz w:val="24"/>
          <w:szCs w:val="24"/>
          <w:vertAlign w:val="subscript"/>
          <w:lang w:val="en-US"/>
        </w:rPr>
        <w:t>2</w:t>
      </w:r>
      <w:r>
        <w:rPr>
          <w:rFonts w:ascii="Times" w:hAnsi="Times" w:cs="Calibri"/>
          <w:sz w:val="24"/>
          <w:szCs w:val="24"/>
          <w:lang w:val="en-US"/>
        </w:rPr>
        <w:t xml:space="preserve">-saturated 0.1M KOH solution. It can be observed from </w:t>
      </w:r>
      <w:r>
        <w:rPr>
          <w:rFonts w:ascii="Times" w:hAnsi="Times" w:cs="Calibri"/>
          <w:sz w:val="24"/>
          <w:szCs w:val="24"/>
          <w:lang w:val="en-US"/>
        </w:rPr>
        <w:fldChar w:fldCharType="begin"/>
      </w:r>
      <w:r>
        <w:rPr>
          <w:rFonts w:ascii="Times" w:hAnsi="Times" w:cs="Calibri"/>
          <w:sz w:val="24"/>
          <w:szCs w:val="24"/>
          <w:lang w:val="en-US"/>
        </w:rPr>
        <w:instrText xml:space="preserve"> REF _Ref13234465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3</w:t>
      </w:r>
      <w:r>
        <w:rPr>
          <w:rFonts w:ascii="Times" w:hAnsi="Times" w:cs="Calibri"/>
          <w:sz w:val="24"/>
          <w:szCs w:val="24"/>
          <w:lang w:val="en-US"/>
        </w:rPr>
        <w:fldChar w:fldCharType="end"/>
      </w:r>
      <w:r>
        <w:rPr>
          <w:rFonts w:ascii="Times" w:hAnsi="Times" w:cs="Calibri"/>
          <w:sz w:val="24"/>
          <w:szCs w:val="24"/>
          <w:lang w:val="en-US"/>
        </w:rPr>
        <w:t>(d) that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 xml:space="preserve">P/CB shows better OER performance with an overpotential of 380 mV to achieve a mass activity of 100 </w:t>
      </w:r>
      <m:oMath>
        <m:r>
          <m:rPr>
            <m:sty m:val="p"/>
          </m:rPr>
          <w:rPr>
            <w:rFonts w:ascii="Cambria Math" w:hAnsi="Cambria Math" w:cs="Calibri"/>
            <w:color w:val="000000" w:themeColor="text1"/>
            <w:sz w:val="24"/>
            <w:szCs w:val="24"/>
            <w:lang w:val="en-US"/>
          </w:rPr>
          <m:t xml:space="preserve">A </m:t>
        </m:r>
        <m:sSubSup>
          <m:sSubSupPr>
            <m:ctrlPr>
              <w:rPr>
                <w:rFonts w:ascii="Cambria Math" w:hAnsi="Cambria Math" w:cs="Calibri"/>
                <w:color w:val="000000" w:themeColor="text1"/>
                <w:sz w:val="24"/>
                <w:szCs w:val="24"/>
                <w:lang w:val="en-US"/>
              </w:rPr>
            </m:ctrlPr>
          </m:sSubSupPr>
          <m:e>
            <m:r>
              <m:rPr>
                <m:sty m:val="p"/>
              </m:rPr>
              <w:rPr>
                <w:rFonts w:ascii="Cambria Math" w:hAnsi="Cambria Math" w:cs="Calibri"/>
                <w:color w:val="000000" w:themeColor="text1"/>
                <w:sz w:val="24"/>
                <w:szCs w:val="24"/>
                <w:lang w:val="en-US"/>
              </w:rPr>
              <m:t>g</m:t>
            </m:r>
          </m:e>
          <m:sub>
            <m:r>
              <m:rPr>
                <m:sty m:val="p"/>
              </m:rPr>
              <w:rPr>
                <w:rFonts w:ascii="Cambria Math" w:hAnsi="Cambria Math" w:cs="Calibri"/>
                <w:color w:val="000000" w:themeColor="text1"/>
                <w:sz w:val="24"/>
                <w:szCs w:val="24"/>
                <w:lang w:val="en-US"/>
              </w:rPr>
              <m:t>Co</m:t>
            </m:r>
          </m:sub>
          <m:sup>
            <m:r>
              <m:rPr>
                <m:sty m:val="p"/>
              </m:rPr>
              <w:rPr>
                <w:rFonts w:ascii="Cambria Math" w:hAnsi="Cambria Math" w:cs="Calibri"/>
                <w:color w:val="000000" w:themeColor="text1"/>
                <w:sz w:val="24"/>
                <w:szCs w:val="24"/>
                <w:lang w:val="en-US"/>
              </w:rPr>
              <m:t>-1</m:t>
            </m:r>
          </m:sup>
        </m:sSubSup>
      </m:oMath>
      <w:r>
        <w:rPr>
          <w:rFonts w:ascii="Times" w:hAnsi="Times" w:cs="Calibri"/>
          <w:color w:val="000000" w:themeColor="text1"/>
          <w:sz w:val="24"/>
          <w:szCs w:val="24"/>
          <w:lang w:val="en-US"/>
        </w:rPr>
        <w:fldChar w:fldCharType="begin"/>
      </w:r>
      <w:r>
        <w:rPr>
          <w:rFonts w:ascii="Times" w:hAnsi="Times" w:cs="Calibri"/>
          <w:color w:val="000000" w:themeColor="text1"/>
          <w:sz w:val="24"/>
          <w:szCs w:val="24"/>
          <w:lang w:val="en-US"/>
        </w:rPr>
        <w:instrText xml:space="preserve"> QUOTE </w:instrText>
      </w:r>
      <m:oMath>
        <m:r>
          <m:rPr>
            <m:sty m:val="p"/>
          </m:rPr>
          <w:rPr>
            <w:rFonts w:ascii="Cambria Math" w:hAnsi="Cambria Math" w:cs="Calibri"/>
            <w:sz w:val="24"/>
            <w:szCs w:val="24"/>
            <w:lang w:val="en-US"/>
          </w:rPr>
          <m:t xml:space="preserve">A </m:t>
        </m:r>
        <m:sSubSup>
          <m:sSubSupPr>
            <m:ctrlPr>
              <w:rPr>
                <w:rFonts w:ascii="Cambria Math" w:hAnsi="Cambria Math" w:cs="Calibri"/>
                <w:sz w:val="24"/>
                <w:szCs w:val="24"/>
                <w:lang w:val="en-US"/>
              </w:rPr>
            </m:ctrlPr>
          </m:sSubSupPr>
          <m:e>
            <m:r>
              <m:rPr>
                <m:sty m:val="p"/>
              </m:rPr>
              <w:rPr>
                <w:rFonts w:ascii="Cambria Math" w:hAnsi="Cambria Math" w:cs="Calibri"/>
                <w:sz w:val="24"/>
                <w:szCs w:val="24"/>
                <w:lang w:val="en-US"/>
              </w:rPr>
              <m:t>g</m:t>
            </m:r>
          </m:e>
          <m:sub>
            <m:r>
              <m:rPr>
                <m:sty m:val="p"/>
              </m:rPr>
              <w:rPr>
                <w:rFonts w:ascii="Cambria Math" w:hAnsi="Cambria Math" w:cs="Calibri"/>
                <w:sz w:val="24"/>
                <w:szCs w:val="24"/>
                <w:lang w:val="en-US"/>
              </w:rPr>
              <m:t>metal</m:t>
            </m:r>
          </m:sub>
          <m:sup>
            <m:r>
              <m:rPr>
                <m:sty m:val="p"/>
              </m:rPr>
              <w:rPr>
                <w:rFonts w:ascii="Cambria Math" w:hAnsi="Cambria Math" w:cs="Calibri"/>
                <w:sz w:val="24"/>
                <w:szCs w:val="24"/>
                <w:lang w:val="en-US"/>
              </w:rPr>
              <m:t>-1</m:t>
            </m:r>
          </m:sup>
        </m:sSubSup>
      </m:oMath>
      <w:r>
        <w:rPr>
          <w:rFonts w:ascii="Times" w:hAnsi="Times" w:cs="Calibri"/>
          <w:color w:val="000000" w:themeColor="text1"/>
          <w:sz w:val="24"/>
          <w:szCs w:val="24"/>
          <w:lang w:val="en-US"/>
        </w:rPr>
        <w:instrText xml:space="preserve"> </w:instrText>
      </w:r>
      <w:r>
        <w:rPr>
          <w:rFonts w:ascii="Times" w:hAnsi="Times" w:cs="Calibri"/>
          <w:color w:val="000000" w:themeColor="text1"/>
          <w:sz w:val="24"/>
          <w:szCs w:val="24"/>
          <w:lang w:val="en-US"/>
        </w:rPr>
        <w:fldChar w:fldCharType="end"/>
      </w:r>
      <w:r>
        <w:rPr>
          <w:rFonts w:ascii="Times" w:hAnsi="Times" w:cs="Calibri"/>
          <w:sz w:val="24"/>
          <w:szCs w:val="24"/>
          <w:lang w:val="en-US"/>
        </w:rPr>
        <w:fldChar w:fldCharType="begin"/>
      </w:r>
      <w:r>
        <w:rPr>
          <w:rFonts w:ascii="Times" w:hAnsi="Times" w:cs="Calibri"/>
          <w:sz w:val="24"/>
          <w:szCs w:val="24"/>
          <w:lang w:val="en-US"/>
        </w:rPr>
        <w:instrText xml:space="preserve"> QUOTE A gmetal-1 </w:instrText>
      </w:r>
      <w:r>
        <w:rPr>
          <w:rFonts w:ascii="Times" w:hAnsi="Times" w:cs="Calibri"/>
          <w:sz w:val="24"/>
          <w:szCs w:val="24"/>
          <w:lang w:val="en-US"/>
        </w:rPr>
        <w:fldChar w:fldCharType="end"/>
      </w:r>
      <w:r>
        <w:rPr>
          <w:rFonts w:ascii="Times" w:hAnsi="Times" w:cs="Calibri"/>
          <w:sz w:val="24"/>
          <w:szCs w:val="24"/>
          <w:lang w:val="en-US"/>
        </w:rPr>
        <w:t>, which is smaller than that of Co</w:t>
      </w:r>
      <w:r>
        <w:rPr>
          <w:rFonts w:ascii="Times" w:hAnsi="Times" w:cs="Calibri"/>
          <w:sz w:val="24"/>
          <w:szCs w:val="24"/>
          <w:vertAlign w:val="subscript"/>
          <w:lang w:val="en-US"/>
        </w:rPr>
        <w:t>2</w:t>
      </w:r>
      <w:r>
        <w:rPr>
          <w:rFonts w:ascii="Times" w:hAnsi="Times" w:cs="Calibri"/>
          <w:sz w:val="24"/>
          <w:szCs w:val="24"/>
          <w:lang w:val="en-US"/>
        </w:rPr>
        <w:t>P/CB (420mV). Comparatively, 370 mV overpotential is needed to drive a geometrical current density of 10 mA cm</w:t>
      </w:r>
      <w:r>
        <w:rPr>
          <w:rFonts w:ascii="Times" w:hAnsi="Times" w:cs="Calibri"/>
          <w:sz w:val="24"/>
          <w:szCs w:val="24"/>
          <w:vertAlign w:val="superscript"/>
          <w:lang w:val="en-US"/>
        </w:rPr>
        <w:t>-2</w:t>
      </w:r>
      <w:r>
        <w:rPr>
          <w:rFonts w:ascii="Times" w:hAnsi="Times" w:cs="Calibri"/>
          <w:sz w:val="24"/>
          <w:szCs w:val="24"/>
          <w:lang w:val="en-US"/>
        </w:rPr>
        <w:t xml:space="preserve"> for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P/CB, 40mV less than for the unalloyed Co</w:t>
      </w:r>
      <w:r>
        <w:rPr>
          <w:rFonts w:ascii="Times" w:hAnsi="Times" w:cs="Calibri"/>
          <w:sz w:val="24"/>
          <w:szCs w:val="24"/>
          <w:vertAlign w:val="subscript"/>
          <w:lang w:val="en-US"/>
        </w:rPr>
        <w:t>2</w:t>
      </w:r>
      <w:r>
        <w:rPr>
          <w:rFonts w:ascii="Times" w:hAnsi="Times" w:cs="Calibri"/>
          <w:sz w:val="24"/>
          <w:szCs w:val="24"/>
          <w:lang w:val="en-US"/>
        </w:rPr>
        <w:t>P/CB catalyst. Figure 3(e) presents the Tafel plots. IrO</w:t>
      </w:r>
      <w:r>
        <w:rPr>
          <w:rFonts w:ascii="Times" w:hAnsi="Times" w:cs="Calibri"/>
          <w:sz w:val="24"/>
          <w:szCs w:val="24"/>
          <w:vertAlign w:val="subscript"/>
          <w:lang w:val="en-US"/>
        </w:rPr>
        <w:t>2</w:t>
      </w:r>
      <w:r>
        <w:rPr>
          <w:rFonts w:ascii="Times" w:hAnsi="Times" w:cs="Calibri"/>
          <w:sz w:val="24"/>
          <w:szCs w:val="24"/>
          <w:lang w:val="en-US"/>
        </w:rPr>
        <w:t xml:space="preserve"> shows a Tafel slope of 129.3mV dec</w:t>
      </w:r>
      <w:r>
        <w:rPr>
          <w:rFonts w:ascii="Times" w:hAnsi="Times" w:cs="Calibri"/>
          <w:sz w:val="24"/>
          <w:szCs w:val="24"/>
          <w:vertAlign w:val="superscript"/>
          <w:lang w:val="en-US"/>
        </w:rPr>
        <w:t>-1</w:t>
      </w:r>
      <w:r>
        <w:rPr>
          <w:rFonts w:ascii="Times" w:hAnsi="Times" w:cs="Calibri"/>
          <w:sz w:val="24"/>
          <w:szCs w:val="24"/>
          <w:lang w:val="en-US"/>
        </w:rPr>
        <w:t>. The Tafel slopes for Co</w:t>
      </w:r>
      <w:r>
        <w:rPr>
          <w:rFonts w:ascii="Times" w:hAnsi="Times" w:cs="Calibri"/>
          <w:sz w:val="24"/>
          <w:szCs w:val="24"/>
          <w:vertAlign w:val="subscript"/>
          <w:lang w:val="en-US"/>
        </w:rPr>
        <w:t>2</w:t>
      </w:r>
      <w:r>
        <w:rPr>
          <w:rFonts w:ascii="Times" w:hAnsi="Times" w:cs="Calibri"/>
          <w:sz w:val="24"/>
          <w:szCs w:val="24"/>
          <w:lang w:val="en-US"/>
        </w:rPr>
        <w:t>P/CB and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P/CB are 75.6 and 61.2mV dec</w:t>
      </w:r>
      <w:r>
        <w:rPr>
          <w:rFonts w:ascii="Times" w:hAnsi="Times" w:cs="Calibri"/>
          <w:sz w:val="24"/>
          <w:szCs w:val="24"/>
          <w:vertAlign w:val="superscript"/>
          <w:lang w:val="en-US"/>
        </w:rPr>
        <w:t>-1</w:t>
      </w:r>
      <w:r>
        <w:rPr>
          <w:rFonts w:ascii="Times" w:hAnsi="Times" w:cs="Calibri"/>
          <w:sz w:val="24"/>
          <w:szCs w:val="24"/>
          <w:lang w:val="en-US"/>
        </w:rPr>
        <w:t>, respectively. Moreover, as shown in Figure S4, the overpotential to reach 10 mA cm</w:t>
      </w:r>
      <w:r>
        <w:rPr>
          <w:rFonts w:ascii="Times" w:hAnsi="Times" w:cs="Calibri"/>
          <w:sz w:val="24"/>
          <w:szCs w:val="24"/>
          <w:vertAlign w:val="superscript"/>
          <w:lang w:val="en-US"/>
        </w:rPr>
        <w:t>-2</w:t>
      </w:r>
      <w:r>
        <w:rPr>
          <w:rFonts w:ascii="Times" w:hAnsi="Times" w:cs="Calibri"/>
          <w:sz w:val="24"/>
          <w:szCs w:val="24"/>
          <w:lang w:val="en-US"/>
        </w:rPr>
        <w:t xml:space="preserve"> for the OER also gradually increases as the amount of Cr dopant increases.</w:t>
      </w:r>
      <w:r>
        <w:rPr>
          <w:rFonts w:ascii="Times" w:hAnsi="Times" w:cs="Calibri"/>
          <w:sz w:val="24"/>
          <w:szCs w:val="24"/>
          <w:lang w:val="en-US" w:eastAsia="zh-CN"/>
        </w:rPr>
        <w:t xml:space="preserve"> </w:t>
      </w:r>
      <w:r>
        <w:rPr>
          <w:rFonts w:ascii="Times" w:hAnsi="Times" w:cs="Calibri"/>
          <w:color w:val="000000" w:themeColor="text1"/>
          <w:sz w:val="24"/>
          <w:szCs w:val="24"/>
          <w:lang w:val="en-US"/>
        </w:rPr>
        <w:t>As further compared with the current non-precious-metal catalysts (Table S2), our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P/CB catalysts also show the competitive electrocatalytic performances towards OER.</w:t>
      </w:r>
      <w:r>
        <w:rPr>
          <w:rFonts w:ascii="Times" w:hAnsi="Times" w:cs="Calibri"/>
          <w:sz w:val="24"/>
          <w:szCs w:val="24"/>
          <w:lang w:val="en-US"/>
        </w:rPr>
        <w:t xml:space="preserve"> The superior OER activities should be attributed to more favorable reaction intermediates </w:t>
      </w:r>
      <w:r>
        <w:rPr>
          <w:rFonts w:ascii="Times" w:hAnsi="Times" w:cs="Calibri"/>
          <w:color w:val="000000" w:themeColor="text1"/>
          <w:sz w:val="24"/>
          <w:szCs w:val="24"/>
          <w:lang w:val="en-US"/>
        </w:rPr>
        <w:t>(i.e.,</w:t>
      </w:r>
      <w:r>
        <w:rPr>
          <w:rFonts w:ascii="Times" w:hAnsi="Times" w:cs="Calibri"/>
          <w:color w:val="FF0000"/>
          <w:sz w:val="24"/>
          <w:szCs w:val="24"/>
          <w:lang w:val="en-US"/>
        </w:rPr>
        <w:t xml:space="preserve"> </w:t>
      </w:r>
      <w:r>
        <w:rPr>
          <w:rFonts w:ascii="Times" w:hAnsi="Times" w:cs="Calibri"/>
          <w:sz w:val="24"/>
          <w:szCs w:val="24"/>
          <w:lang w:val="en-US"/>
        </w:rPr>
        <w:t>*OH, *O, and *OOH</w:t>
      </w:r>
      <w:r>
        <w:rPr>
          <w:rFonts w:ascii="Times" w:hAnsi="Times" w:cs="Calibri"/>
          <w:color w:val="000000" w:themeColor="text1"/>
          <w:sz w:val="24"/>
          <w:szCs w:val="24"/>
          <w:lang w:val="en-US"/>
        </w:rPr>
        <w:t>)</w:t>
      </w:r>
      <w:r>
        <w:rPr>
          <w:rFonts w:ascii="Times" w:hAnsi="Times" w:cs="Calibri"/>
          <w:color w:val="FF0000"/>
          <w:sz w:val="24"/>
          <w:szCs w:val="24"/>
          <w:lang w:val="en-US"/>
        </w:rPr>
        <w:t xml:space="preserve"> </w:t>
      </w:r>
      <w:r>
        <w:rPr>
          <w:rFonts w:ascii="Times" w:hAnsi="Times" w:cs="Calibri"/>
          <w:sz w:val="24"/>
          <w:szCs w:val="24"/>
          <w:lang w:val="en-US"/>
        </w:rPr>
        <w:t>adsorption after Cr doping. And at the same time, the usage of carbon black as support will also accelerate the charge transfer and thus lead to more favorable kinetics on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/CB</w:t>
      </w:r>
      <w:r>
        <w:rPr>
          <w:rFonts w:ascii="Times" w:hAnsi="Times" w:cs="Calibri"/>
          <w:sz w:val="24"/>
          <w:szCs w:val="24"/>
          <w:lang w:val="en-US"/>
        </w:rPr>
        <w:t xml:space="preserve"> catalyst towards OER.</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10.1002/adma.201900178","author":[{"dropping-particle":"","family":"Wu","given":"Yiqiang","non-dropping-particle":"","parse-names":false,"suffix":""},{"dropping-particle":"","family":"Tao","given":"Xu","non-dropping-particle":"","parse-names":false,"suffix":""},{"dropping-particle":"","family":"Qing","given":"Yan","non-dropping-particle":"","parse-names":false,"suffix":""},{"dropping-particle":"","family":"Xu","given":"Han","non-dropping-particle":"","parse-names":false,"suffix":""},{"dropping-particle":"","family":"Yang","given":"Fan","non-dropping-particle":"","parse-names":false,"suffix":""},{"dropping-particle":"","family":"Luo","given":"Sha","non-dropping-particle":"","parse-names":false,"suffix":""},{"dropping-particle":"","family":"Tian","given":"Cuihua","non-dropping-particle":"","parse-names":false,"suffix":""},{"dropping-particle":"","family":"Liu","given":"Ming","non-dropping-particle":"","parse-names":false,"suffix":""},{"dropping-particle":"","family":"Lu","given":"Xihong","non-dropping-particle":"","parse-names":false,"suffix":""}],"container-title":"Advanced Materials","id":"ITEM-1","issued":{"date-parts":[["2019"]]},"page":"1900178","title":"Cr-Doped FeNi-P Nanoparticles Encapsulated into N-Doped Carbon Nanotube as a Robust Bifunctional Catalyst for Efficient Overall Water Splitting","type":"article-journal","volume":"1900178"},"uris":["http://www.mendeley.com/documents/?uuid=00d13481-605c-4b86-a220-880a5d38eee0"]}],"mendeley":{"formattedCitation":"&lt;sup&gt;31&lt;/sup&gt;","plainTextFormattedCitation":"31","previouslyFormattedCitation":"&lt;sup&gt;31&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31</w:t>
      </w:r>
      <w:r>
        <w:rPr>
          <w:rFonts w:ascii="Times" w:hAnsi="Times" w:cs="Calibri"/>
          <w:sz w:val="24"/>
          <w:szCs w:val="24"/>
          <w:lang w:val="en-US"/>
        </w:rPr>
        <w:fldChar w:fldCharType="end"/>
      </w:r>
      <w:r>
        <w:rPr>
          <w:rFonts w:ascii="Times" w:hAnsi="Times" w:cs="Calibri"/>
          <w:sz w:val="24"/>
          <w:szCs w:val="24"/>
          <w:lang w:val="en-US"/>
        </w:rPr>
        <w:t xml:space="preserve"> </w:t>
      </w:r>
    </w:p>
    <w:p w:rsidR="00EB10E0" w:rsidRDefault="00EB10E0" w:rsidP="00EB10E0">
      <w:pPr>
        <w:pStyle w:val="RSCB02ArticleText"/>
        <w:spacing w:line="480" w:lineRule="auto"/>
        <w:rPr>
          <w:rFonts w:ascii="Times" w:hAnsi="Times" w:cs="Calibri"/>
          <w:color w:val="FF0000"/>
          <w:sz w:val="24"/>
          <w:szCs w:val="24"/>
          <w:lang w:val="en-US"/>
        </w:rPr>
      </w:pPr>
      <w:r>
        <w:rPr>
          <w:rFonts w:ascii="Times" w:hAnsi="Times" w:cs="Calibri"/>
          <w:sz w:val="24"/>
          <w:szCs w:val="24"/>
          <w:lang w:val="en-US"/>
        </w:rPr>
        <w:t>Several recent studies have discussed the stability of transition metal phosphides in both acid and alkaline solutions.</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{"citationItems":[{"id":"ITEM-1","itemData":{"DOI":"10.1021/acsenergylett.8b00514","ISSN":"23808195","abstract":"The evaluation of the stability of emerging earth-abundant metal phosphide electrocatalysts by solely electrochemical current−potential sweeps is often not conclusive. In this study, we investigated Co 2 P to evaluate its stability under both acidic (0.5 M H 2 SO 4) and alkaline (1.0 M KOH) hydrogen evolution (HER) conditions. We found that the electrochemical surface area (ECSA) of Co 2 P only slightly increased in acidic conditions but almost doubled after electrolysis in alkaline electrolyte. The surface composition of the electrode remained almost unchanged in acid but was significantly altered in alkaline during current−potential sweeps. Analysis of the electrolytes after the stability test shows almost stoichiometric composition of Co and P in acid, but a preferential dissolution of P over Co could be observed in alkaline electrolyte. Applying comprehensive postcatalysis analysis of both the electrode and electrolyte, we conclude that Co 2 P, prepared by thermal phosphidization, dissolves stoichiometrically in acid and degrades to hydroxides under alkaline stability testing. T he development of clean, renewable, and affordable energy is a global challenge nowadays. It has been recognized that extensive use of fossil fuels is not suitable to base a sustainable society on. Solar, wind, and other green energy sources are considered as promising alternatives to the conventional fossil energy source. However, those sources are often highly intermittent. Thus, large-scale energy storage is crucial for achieving practical renewable electricity-to-grid integration. Hydrogen is regarded as the ideal energy carrier because of its high gravimetric energy density and its clean combustion product. Currently, H 2 is mainly obtained through steam reforming of methane, which still consumes fossil fuels and emits CO 2. An alternative renewable way to produce hydrogen is water electrolysis, where hydrogen is produced at the cathode and oxygen at the anode. Although platinum is the best-performing and best-studied catalyst for the hydrogen evolution reaction (HER), the scarcity and high cost of Pt limit its large-scale application. The search for earth-abundant, noncritical electrocatalysts to replace Pt has triggered significant research efforts. A range of transition metal-based materials such as metal chalcogenides, selenides, carbides, and phosphides as well as their alloys has emerged as earth-abundant electrocatalysts for HER in either acidic or alkaline in re…","author":[{"dropping-particle":"","family":"Zhang","given":"Yue","non-dropping-particle":"","parse-names":false,"suffix":""},{"dropping-particle":"","family":"Gao","given":"Lu","non-dropping-particle":"","parse-names":false,"suffix":""},{"dropping-particle":"","family":"Hensen","given":"Emiel J.M.","non-dropping-particle":"","parse-names":false,"suffix":""},{"dropping-particle":"","family":"Hofmann","given":"Jan P.","non-dropping-particle":"","parse-names":false,"suffix":""}],"container-title":"ACS Energy Letters","id":"ITEM-1","issue":"6","issued":{"date-parts":[["2018"]]},"page":"1360-1365","title":"Evaluating the Stability of Co2P Electrocatalysts in the Hydrogen Evolution Reaction for Both Acidic and Alkaline Electrolytes","type":"article-journal","volume":"3"},"uris":["http://www.mendeley.com/documents/?uuid=6ed35518-be1b-4665-aee7-056cdba9867f"]},{"id":"ITEM-2","itemData":{"DOI":"10.1039/C4TA03468F","ISBN":"1842-6573","ISSN":"2050-7488","PMID":"24173598","abstract":"Transition metal phosphides possess novel, structural, physical and chemical properties and are an emerging new class of materials for various catalytic applications. Electroplated or electrolessly plated nickel phosphide alloy materials with achievable phosphorus contents &lt;15 at% P are known to be more corrosion resistant than nickel alone, and have been investigated as hydrogen evolution catalysts in alkaline environments. However, there is significant interest in developing new inexpensive catalysts for solid polymer electrolyte electrolysers which require acid stable catalysts. In this paper, we show that by increasing the phosphorus content beyond the limit available using electroplating techniques (12 at% P), the nickel based phosphides Ni12P5 and Ni2P with higher levels of phosphorus (29 and 33 at% P) may be utilised for the hydrogen evolution reaction (HER) in acidic medium. Corrosion resistance in acid is directly correlated with phosphorus content – those materials with higher phosphorus content are more corrosion resistant. Hydrogen evolution activity in acid is also correlated with phosphorus content – Ni2P based catalysts appear to be more active for the hydrogen evolution reaction than Ni12P5. Electrochemical kinetic studies of the HER reveal high exchange current densities and little deviation in the Tafel slope especially in the lower overpotential regime for these nickel phosphide catalysts. The electrochemical impedance spectroscopy response of the respective system in acidic medium reveals the presence of two time constants associated with the HER.","author":[{"dropping-particle":"","family":"Kucernak","given":"Anthony R. J.","non-dropping-particle":"","parse-names":false,"suffix":""},{"dropping-particle":"","family":"Naranammalpuram Sundaram","given":"Venkata N.","non-dropping-particle":"","parse-names":false,"suffix":""}],"container-title":"J. Mater. Chem. A","id":"ITEM-2","issue":"41","issued":{"date-parts":[["2014"]]},"page":"17435-17445","publisher":"Royal Society of Chemistry","title":"Nickel phosphide: the effect of phosphorus content on hydrogen evolution activity and corrosion resistance in acidic medium","type":"article-journal","volume":"2"},"uris":["http://www.mendeley.com/documents/?uuid=76661b1c-ac52-453d-af82-57261438b43e"]}],"mendeley":{"formattedCitation":"&lt;sup&gt;6,32&lt;/sup&gt;","plainTextFormattedCitation":"6,32","previouslyFormattedCitation":"&lt;sup&gt;6,32&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6,32</w:t>
      </w:r>
      <w:r>
        <w:rPr>
          <w:rFonts w:ascii="Times" w:hAnsi="Times" w:cs="Calibri"/>
          <w:sz w:val="24"/>
          <w:szCs w:val="24"/>
          <w:lang w:val="en-US"/>
        </w:rPr>
        <w:fldChar w:fldCharType="end"/>
      </w:r>
      <w:r>
        <w:rPr>
          <w:rFonts w:ascii="Times" w:hAnsi="Times" w:cs="Calibri"/>
          <w:sz w:val="24"/>
          <w:szCs w:val="24"/>
          <w:lang w:val="en-US"/>
        </w:rPr>
        <w:t xml:space="preserve"> The main reasons for the electrocatalytic activity loss of transition metal phosphides are from metal dissolution in acid solution and surface oxidation in alkaline solution. In this work, the overpotential increased by only 18 mV (</w:t>
      </w:r>
      <w:r>
        <w:rPr>
          <w:rFonts w:ascii="Times" w:hAnsi="Times" w:cs="Calibri"/>
          <w:sz w:val="24"/>
          <w:szCs w:val="24"/>
          <w:lang w:val="en-US"/>
        </w:rPr>
        <w:fldChar w:fldCharType="begin"/>
      </w:r>
      <w:r>
        <w:rPr>
          <w:rFonts w:ascii="Times" w:hAnsi="Times" w:cs="Calibri"/>
          <w:sz w:val="24"/>
          <w:szCs w:val="24"/>
          <w:lang w:val="en-US"/>
        </w:rPr>
        <w:instrText xml:space="preserve"> REF _Ref13234465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3</w:t>
      </w:r>
      <w:r>
        <w:rPr>
          <w:rFonts w:ascii="Times" w:hAnsi="Times" w:cs="Calibri"/>
          <w:sz w:val="24"/>
          <w:szCs w:val="24"/>
          <w:lang w:val="en-US"/>
        </w:rPr>
        <w:fldChar w:fldCharType="end"/>
      </w:r>
      <w:r>
        <w:rPr>
          <w:rFonts w:ascii="Times" w:hAnsi="Times" w:cs="Calibri"/>
          <w:sz w:val="24"/>
          <w:szCs w:val="24"/>
          <w:lang w:val="en-US"/>
        </w:rPr>
        <w:t>(c)) for HER and 11 mV (</w:t>
      </w:r>
      <w:r>
        <w:rPr>
          <w:rFonts w:ascii="Times" w:hAnsi="Times" w:cs="Calibri"/>
          <w:sz w:val="24"/>
          <w:szCs w:val="24"/>
          <w:lang w:val="en-US"/>
        </w:rPr>
        <w:fldChar w:fldCharType="begin"/>
      </w:r>
      <w:r>
        <w:rPr>
          <w:rFonts w:ascii="Times" w:hAnsi="Times" w:cs="Calibri"/>
          <w:sz w:val="24"/>
          <w:szCs w:val="24"/>
          <w:lang w:val="en-US"/>
        </w:rPr>
        <w:instrText xml:space="preserve"> REF _Ref13234465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3</w:t>
      </w:r>
      <w:r>
        <w:rPr>
          <w:rFonts w:ascii="Times" w:hAnsi="Times" w:cs="Calibri"/>
          <w:sz w:val="24"/>
          <w:szCs w:val="24"/>
          <w:lang w:val="en-US"/>
        </w:rPr>
        <w:fldChar w:fldCharType="end"/>
      </w:r>
      <w:r>
        <w:rPr>
          <w:rFonts w:ascii="Times" w:hAnsi="Times" w:cs="Calibri"/>
          <w:sz w:val="24"/>
          <w:szCs w:val="24"/>
          <w:lang w:val="en-US"/>
        </w:rPr>
        <w:t>(f)) for OER after the 1000</w:t>
      </w:r>
      <w:r>
        <w:rPr>
          <w:rFonts w:ascii="Times" w:hAnsi="Times" w:cs="Calibri"/>
          <w:sz w:val="24"/>
          <w:szCs w:val="24"/>
          <w:vertAlign w:val="superscript"/>
          <w:lang w:val="en-US"/>
        </w:rPr>
        <w:t>th</w:t>
      </w:r>
      <w:r>
        <w:rPr>
          <w:rFonts w:ascii="Times" w:hAnsi="Times" w:cs="Calibri"/>
          <w:sz w:val="24"/>
          <w:szCs w:val="24"/>
          <w:lang w:val="en-US"/>
        </w:rPr>
        <w:t xml:space="preserve"> continuous CV scanning in 0.1M KOH, </w:t>
      </w:r>
      <w:r>
        <w:rPr>
          <w:rFonts w:ascii="Times" w:hAnsi="Times" w:cs="Calibri"/>
          <w:color w:val="000000" w:themeColor="text1"/>
          <w:sz w:val="24"/>
          <w:szCs w:val="24"/>
          <w:lang w:val="en-US"/>
        </w:rPr>
        <w:t>the chronoamperometry test further demonstrates that the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P/CB catalyst can keep working efficiently for 10 h with only 7.1% activity loss, demonstrating good electrochemical stability of the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P/CB catalyst.</w:t>
      </w:r>
      <w:r>
        <w:rPr>
          <w:rFonts w:ascii="Times" w:hAnsi="Times" w:cs="Calibri"/>
          <w:color w:val="000000" w:themeColor="text1"/>
          <w:sz w:val="24"/>
          <w:szCs w:val="24"/>
          <w:lang w:val="en-US" w:eastAsia="zh-CN"/>
        </w:rPr>
        <w:t xml:space="preserve"> In addition, to better understand the improved performance for </w:t>
      </w:r>
      <w:r>
        <w:rPr>
          <w:rFonts w:ascii="Times" w:hAnsi="Times" w:cs="Calibri"/>
          <w:color w:val="000000" w:themeColor="text1"/>
          <w:sz w:val="24"/>
          <w:szCs w:val="24"/>
          <w:lang w:val="en-US"/>
        </w:rPr>
        <w:t>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w:t>
      </w:r>
      <w:r>
        <w:rPr>
          <w:rFonts w:ascii="Times" w:hAnsi="Times" w:cs="Calibri"/>
          <w:color w:val="000000" w:themeColor="text1"/>
          <w:sz w:val="24"/>
          <w:szCs w:val="24"/>
          <w:lang w:val="en-US" w:eastAsia="zh-CN"/>
        </w:rPr>
        <w:t xml:space="preserve">/CB, </w:t>
      </w:r>
      <w:r>
        <w:rPr>
          <w:rFonts w:ascii="Times" w:hAnsi="Times" w:cs="Calibri"/>
          <w:color w:val="000000" w:themeColor="text1"/>
          <w:sz w:val="24"/>
          <w:szCs w:val="24"/>
          <w:lang w:val="en-US" w:eastAsia="zh-CN"/>
        </w:rPr>
        <w:lastRenderedPageBreak/>
        <w:t xml:space="preserve">electrochemical impedance spectroscopy (EIS) was performed. As shown in Figure 3 (g), the EIS plot reveals that </w:t>
      </w:r>
      <w:r>
        <w:rPr>
          <w:rFonts w:ascii="Times" w:hAnsi="Times" w:cs="Calibri"/>
          <w:color w:val="000000" w:themeColor="text1"/>
          <w:sz w:val="24"/>
          <w:szCs w:val="24"/>
          <w:lang w:val="en-US"/>
        </w:rPr>
        <w:t>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w:t>
      </w:r>
      <w:r>
        <w:rPr>
          <w:rFonts w:ascii="Times" w:hAnsi="Times" w:cs="Calibri"/>
          <w:color w:val="000000" w:themeColor="text1"/>
          <w:sz w:val="24"/>
          <w:szCs w:val="24"/>
          <w:lang w:val="en-US" w:eastAsia="zh-CN"/>
        </w:rPr>
        <w:t xml:space="preserve">/CB has a smaller radius of semicircle than that of </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w:t>
      </w:r>
      <w:r>
        <w:rPr>
          <w:rFonts w:ascii="Times" w:hAnsi="Times" w:cs="Calibri"/>
          <w:color w:val="000000" w:themeColor="text1"/>
          <w:sz w:val="24"/>
          <w:szCs w:val="24"/>
          <w:lang w:val="en-US" w:eastAsia="zh-CN"/>
        </w:rPr>
        <w:t>/CB, indicating that Cr doping can minimize the charge transfer resistance (</w:t>
      </w:r>
      <w:r>
        <w:rPr>
          <w:rFonts w:ascii="Times" w:hAnsi="Times" w:cs="Calibri"/>
          <w:i/>
          <w:color w:val="000000" w:themeColor="text1"/>
          <w:sz w:val="24"/>
          <w:szCs w:val="24"/>
          <w:lang w:val="en-US" w:eastAsia="zh-CN"/>
        </w:rPr>
        <w:t>R</w:t>
      </w:r>
      <w:r>
        <w:rPr>
          <w:rFonts w:ascii="Times" w:hAnsi="Times" w:cs="Calibri"/>
          <w:i/>
          <w:color w:val="000000" w:themeColor="text1"/>
          <w:sz w:val="24"/>
          <w:szCs w:val="24"/>
          <w:vertAlign w:val="subscript"/>
          <w:lang w:val="en-US" w:eastAsia="zh-CN"/>
        </w:rPr>
        <w:t>ct</w:t>
      </w:r>
      <w:r>
        <w:rPr>
          <w:rFonts w:ascii="Times" w:hAnsi="Times" w:cs="Calibri"/>
          <w:color w:val="000000" w:themeColor="text1"/>
          <w:sz w:val="24"/>
          <w:szCs w:val="24"/>
          <w:lang w:val="en-US" w:eastAsia="zh-CN"/>
        </w:rPr>
        <w:t xml:space="preserve">)and thus lead to the more facile electrokinetics of </w:t>
      </w:r>
      <w:r>
        <w:rPr>
          <w:rFonts w:ascii="Times" w:hAnsi="Times" w:cs="Calibri"/>
          <w:color w:val="000000" w:themeColor="text1"/>
          <w:sz w:val="24"/>
          <w:szCs w:val="24"/>
          <w:lang w:val="en-US"/>
        </w:rPr>
        <w:t>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w:t>
      </w:r>
      <w:r>
        <w:rPr>
          <w:rFonts w:ascii="Times" w:hAnsi="Times" w:cs="Calibri"/>
          <w:color w:val="000000" w:themeColor="text1"/>
          <w:sz w:val="24"/>
          <w:szCs w:val="24"/>
          <w:lang w:val="en-US" w:eastAsia="zh-CN"/>
        </w:rPr>
        <w:t xml:space="preserve">/CB in alkaline solution.  </w:t>
      </w:r>
    </w:p>
    <w:p w:rsidR="00EB10E0" w:rsidRDefault="00EB10E0" w:rsidP="00EB10E0">
      <w:pPr>
        <w:pStyle w:val="RSCB02ArticleText"/>
        <w:spacing w:line="480" w:lineRule="auto"/>
        <w:rPr>
          <w:rFonts w:ascii="Times" w:hAnsi="Times" w:cs="Calibri"/>
          <w:color w:val="000000" w:themeColor="text1"/>
          <w:sz w:val="24"/>
          <w:szCs w:val="24"/>
          <w:lang w:val="en-US" w:eastAsia="zh-CN"/>
        </w:rPr>
      </w:pPr>
      <w:r>
        <w:rPr>
          <w:rFonts w:ascii="Times" w:hAnsi="Times" w:cs="Calibri"/>
          <w:sz w:val="24"/>
          <w:szCs w:val="24"/>
          <w:lang w:val="en-US"/>
        </w:rPr>
        <w:t>Another important factor to evaluate the performance of an electrocatalyst is the electrochemical surface area (ECSA). And it is always crucial to know the true surface area because the variation of particle size and hence area may mask changes in catalysis due to different synthesis methods or different levels of dopant. However, transition metal phosphides, unlike the platinum group metals, show only weak hydrogen underpotential deposition (HUPD), so it is difficult to obtain the true surface area through measuring their HUPD. Likewise, CO adsorption does not appear to occur to an appreciable level at room temperature and hence formation of monolayer CO coverage cannot be assumed, unlike the case with Pt. Hence, for non-Pt surfaces, such as transition metal phosphides, it can be difficult to quantify their ECSA through CO stripping even if there is CO adsorption on the surface. Furthermore, the copper underpotential deposition, another common method to obtain ECSA, is not applicable in alkaline solution. Thus, the most common and well-accepted approach for estimating the ECSA of transition metal phosphides is still by measuring their double layer capacitance (C</w:t>
      </w:r>
      <w:r>
        <w:rPr>
          <w:rFonts w:ascii="Times" w:hAnsi="Times" w:cs="Calibri"/>
          <w:sz w:val="24"/>
          <w:szCs w:val="24"/>
          <w:vertAlign w:val="subscript"/>
          <w:lang w:val="en-US"/>
        </w:rPr>
        <w:t>dl</w:t>
      </w:r>
      <w:r>
        <w:rPr>
          <w:rFonts w:ascii="Times" w:hAnsi="Times" w:cs="Calibri"/>
          <w:sz w:val="24"/>
          <w:szCs w:val="24"/>
          <w:lang w:val="en-US"/>
        </w:rPr>
        <w:t xml:space="preserve">), although this approach requires the use of unsupported metal phosphide in order to accurately determine the surface area. </w:t>
      </w:r>
      <w:r>
        <w:rPr>
          <w:rFonts w:ascii="Times" w:hAnsi="Times" w:cs="Calibri"/>
          <w:sz w:val="24"/>
          <w:szCs w:val="24"/>
          <w:lang w:val="en-US"/>
        </w:rPr>
        <w:fldChar w:fldCharType="begin"/>
      </w:r>
      <w:r>
        <w:rPr>
          <w:rFonts w:ascii="Times" w:hAnsi="Times" w:cs="Calibri"/>
          <w:sz w:val="24"/>
          <w:szCs w:val="24"/>
          <w:lang w:val="en-US"/>
        </w:rPr>
        <w:instrText xml:space="preserve"> REF _Ref13234465 \h  \* MERGEFORMAT </w:instrText>
      </w:r>
      <w:r>
        <w:rPr>
          <w:rFonts w:ascii="Times" w:hAnsi="Times" w:cs="Calibri"/>
          <w:sz w:val="24"/>
          <w:szCs w:val="24"/>
          <w:lang w:val="en-US"/>
        </w:rPr>
      </w:r>
      <w:r>
        <w:rPr>
          <w:rFonts w:ascii="Times" w:hAnsi="Times" w:cs="Calibri"/>
          <w:sz w:val="24"/>
          <w:szCs w:val="24"/>
          <w:lang w:val="en-US"/>
        </w:rPr>
        <w:fldChar w:fldCharType="separate"/>
      </w:r>
      <w:r>
        <w:rPr>
          <w:rFonts w:ascii="Times" w:hAnsi="Times" w:cs="Calibri"/>
          <w:sz w:val="24"/>
          <w:szCs w:val="24"/>
          <w:lang w:val="en-US"/>
        </w:rPr>
        <w:t>Figure 3</w:t>
      </w:r>
      <w:r>
        <w:rPr>
          <w:rFonts w:ascii="Times" w:hAnsi="Times" w:cs="Calibri"/>
          <w:sz w:val="24"/>
          <w:szCs w:val="24"/>
          <w:lang w:val="en-US"/>
        </w:rPr>
        <w:fldChar w:fldCharType="end"/>
      </w:r>
      <w:r>
        <w:rPr>
          <w:rFonts w:ascii="Times" w:hAnsi="Times" w:cs="Calibri"/>
          <w:sz w:val="24"/>
          <w:szCs w:val="24"/>
          <w:lang w:val="en-US"/>
        </w:rPr>
        <w:t>(h) and (i) show the C</w:t>
      </w:r>
      <w:r>
        <w:rPr>
          <w:rFonts w:ascii="Times" w:hAnsi="Times" w:cs="Calibri"/>
          <w:sz w:val="24"/>
          <w:szCs w:val="24"/>
          <w:vertAlign w:val="subscript"/>
          <w:lang w:val="en-US"/>
        </w:rPr>
        <w:t>dl</w:t>
      </w:r>
      <w:r>
        <w:rPr>
          <w:rFonts w:ascii="Times" w:hAnsi="Times" w:cs="Calibri"/>
          <w:sz w:val="24"/>
          <w:szCs w:val="24"/>
          <w:lang w:val="en-US"/>
        </w:rPr>
        <w:t xml:space="preserve"> of both the Co</w:t>
      </w:r>
      <w:r>
        <w:rPr>
          <w:rFonts w:ascii="Times" w:hAnsi="Times" w:cs="Calibri"/>
          <w:sz w:val="24"/>
          <w:szCs w:val="24"/>
          <w:vertAlign w:val="subscript"/>
          <w:lang w:val="en-US"/>
        </w:rPr>
        <w:t>2</w:t>
      </w:r>
      <w:r>
        <w:rPr>
          <w:rFonts w:ascii="Times" w:hAnsi="Times" w:cs="Calibri"/>
          <w:sz w:val="24"/>
          <w:szCs w:val="24"/>
          <w:lang w:val="en-US"/>
        </w:rPr>
        <w:t>P/CB (2.88 mF cm</w:t>
      </w:r>
      <w:r>
        <w:rPr>
          <w:rFonts w:ascii="Times" w:hAnsi="Times" w:cs="Calibri"/>
          <w:sz w:val="24"/>
          <w:szCs w:val="24"/>
          <w:vertAlign w:val="superscript"/>
          <w:lang w:val="en-US"/>
        </w:rPr>
        <w:t>-2</w:t>
      </w:r>
      <w:r>
        <w:rPr>
          <w:rFonts w:ascii="Times" w:hAnsi="Times" w:cs="Calibri"/>
          <w:sz w:val="24"/>
          <w:szCs w:val="24"/>
          <w:lang w:val="en-US"/>
        </w:rPr>
        <w:t>) and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/CB (1.88 mF cm</w:t>
      </w:r>
      <w:r>
        <w:rPr>
          <w:rFonts w:ascii="Times" w:hAnsi="Times" w:cs="Calibri"/>
          <w:sz w:val="24"/>
          <w:szCs w:val="24"/>
          <w:vertAlign w:val="superscript"/>
          <w:lang w:val="en-US" w:eastAsia="zh-CN"/>
        </w:rPr>
        <w:t>-2</w:t>
      </w:r>
      <w:r>
        <w:rPr>
          <w:rFonts w:ascii="Times" w:hAnsi="Times" w:cs="Calibri"/>
          <w:sz w:val="24"/>
          <w:szCs w:val="24"/>
          <w:lang w:val="en-US" w:eastAsia="zh-CN"/>
        </w:rPr>
        <w:t>) catalysts. Despite its higher C</w:t>
      </w:r>
      <w:r>
        <w:rPr>
          <w:rFonts w:ascii="Times" w:hAnsi="Times" w:cs="Calibri"/>
          <w:sz w:val="24"/>
          <w:szCs w:val="24"/>
          <w:vertAlign w:val="subscript"/>
          <w:lang w:val="en-US" w:eastAsia="zh-CN"/>
        </w:rPr>
        <w:t>dl</w:t>
      </w:r>
      <w:r>
        <w:rPr>
          <w:rFonts w:ascii="Times" w:hAnsi="Times" w:cs="Calibri"/>
          <w:sz w:val="24"/>
          <w:szCs w:val="24"/>
          <w:lang w:val="en-US" w:eastAsia="zh-CN"/>
        </w:rPr>
        <w:t xml:space="preserve">, the </w:t>
      </w:r>
      <w:r>
        <w:rPr>
          <w:rFonts w:ascii="Times" w:hAnsi="Times" w:cs="Calibri"/>
          <w:sz w:val="24"/>
          <w:szCs w:val="24"/>
          <w:lang w:val="en-US"/>
        </w:rPr>
        <w:t>Co</w:t>
      </w:r>
      <w:r>
        <w:rPr>
          <w:rFonts w:ascii="Times" w:hAnsi="Times" w:cs="Calibri"/>
          <w:sz w:val="24"/>
          <w:szCs w:val="24"/>
          <w:vertAlign w:val="subscript"/>
          <w:lang w:val="en-US"/>
        </w:rPr>
        <w:t>2</w:t>
      </w:r>
      <w:r>
        <w:rPr>
          <w:rFonts w:ascii="Times" w:hAnsi="Times" w:cs="Calibri"/>
          <w:sz w:val="24"/>
          <w:szCs w:val="24"/>
          <w:lang w:val="en-US"/>
        </w:rPr>
        <w:t>P/CB catalyst still showed worse electrocatalytic performance, which further confirmed that the main improvements of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 xml:space="preserve">/CB catalyst towards HER and OER should result from its more favorable intrinsic kinetics modified by the Cr dopant. However, the double-layer capacitance cannot be directly related to ECSA due to the usage of carbon supports in these catalysts. The incorporation of carbon will contribute significantly to the double layer capacitance measured, because there are approximately 60 wt.% of carbon in each </w:t>
      </w:r>
      <w:r>
        <w:rPr>
          <w:rFonts w:ascii="Times" w:hAnsi="Times" w:cs="Calibri"/>
          <w:sz w:val="24"/>
          <w:szCs w:val="24"/>
          <w:lang w:val="en-US" w:eastAsia="zh-CN"/>
        </w:rPr>
        <w:lastRenderedPageBreak/>
        <w:t xml:space="preserve">catalyst (albeit with a much larger particle size, ca. 60 nm primary particle size). Therefore, the true surface area of the metal phosphide remains hard to measure accurately complicating the assessment of catalytic site activity. Thus, a better method needs to be proposed to evaluate the true surface area of these carbon-supported metal phosphides catalysts. </w:t>
      </w:r>
      <w:r>
        <w:rPr>
          <w:rFonts w:ascii="Times" w:hAnsi="Times" w:cs="Calibri"/>
          <w:color w:val="000000" w:themeColor="text1"/>
          <w:sz w:val="24"/>
          <w:szCs w:val="24"/>
          <w:lang w:val="en-US" w:eastAsia="zh-CN"/>
        </w:rPr>
        <w:t xml:space="preserve">In this work, the ECSA of both the </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w:t>
      </w:r>
      <w:r>
        <w:rPr>
          <w:rFonts w:ascii="Times" w:hAnsi="Times" w:cs="Calibri"/>
          <w:color w:val="000000" w:themeColor="text1"/>
          <w:sz w:val="24"/>
          <w:szCs w:val="24"/>
          <w:lang w:val="en-US" w:eastAsia="zh-CN"/>
        </w:rPr>
        <w:t xml:space="preserve">/CB and </w:t>
      </w:r>
      <w:r>
        <w:rPr>
          <w:rFonts w:ascii="Times" w:hAnsi="Times" w:cs="Calibri"/>
          <w:color w:val="000000" w:themeColor="text1"/>
          <w:sz w:val="24"/>
          <w:szCs w:val="24"/>
          <w:lang w:val="en-US"/>
        </w:rPr>
        <w:t>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w:t>
      </w:r>
      <w:r>
        <w:rPr>
          <w:rFonts w:ascii="Times" w:hAnsi="Times" w:cs="Calibri"/>
          <w:color w:val="000000" w:themeColor="text1"/>
          <w:sz w:val="24"/>
          <w:szCs w:val="24"/>
          <w:lang w:val="en-US" w:eastAsia="zh-CN"/>
        </w:rPr>
        <w:t>/CB catalysts are estimated by calculating their mean particle size through the Debye-Scherrer equation assuming spherical particles (more details in Note 1 in the supporting information). These are then used to provide the HER specific current density polarization curves (i.e. current normalized by ECSA) in Figure S5. It is worth noting that this ECSA of the electrocatalysts is likely overestimated due to the possible existence of crystal twinning and inevitable</w:t>
      </w:r>
      <w:r>
        <w:rPr>
          <w:rFonts w:ascii="Times" w:hAnsi="Times" w:cs="Calibri"/>
          <w:color w:val="FF0000"/>
          <w:sz w:val="24"/>
          <w:szCs w:val="24"/>
          <w:lang w:val="en-US" w:eastAsia="zh-CN"/>
        </w:rPr>
        <w:t xml:space="preserve"> </w:t>
      </w:r>
      <w:r>
        <w:rPr>
          <w:rFonts w:ascii="Times" w:hAnsi="Times" w:cs="Calibri"/>
          <w:color w:val="000000" w:themeColor="text1"/>
          <w:sz w:val="24"/>
          <w:szCs w:val="24"/>
          <w:lang w:val="en-US" w:eastAsia="zh-CN"/>
        </w:rPr>
        <w:t>agglomeration, and this probably results in an underestimation of the specific current density. Since the ECSA is a reflection of the surface area of a catalyst accessible to the catalytic reactions, the</w:t>
      </w:r>
      <w:r>
        <w:rPr>
          <w:rFonts w:ascii="Times" w:hAnsi="Times" w:cs="Calibri"/>
          <w:color w:val="FF0000"/>
          <w:sz w:val="24"/>
          <w:szCs w:val="24"/>
          <w:lang w:val="en-US" w:eastAsia="zh-CN"/>
        </w:rPr>
        <w:t xml:space="preserve"> </w:t>
      </w:r>
      <w:r>
        <w:rPr>
          <w:rFonts w:ascii="Times" w:hAnsi="Times" w:cs="Calibri"/>
          <w:color w:val="000000" w:themeColor="text1"/>
          <w:sz w:val="24"/>
          <w:szCs w:val="24"/>
          <w:lang w:val="en-US"/>
        </w:rPr>
        <w:t>turnover frequency (TOF), which reflects the intrinsic catalytic activity of the catalyst, was studied (see Note 2 in supporting information for calculation method). The TOF of 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P/CB and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 xml:space="preserve">P/CB </w:t>
      </w:r>
      <w:r>
        <w:rPr>
          <w:rFonts w:ascii="Times" w:hAnsi="Times" w:cs="Calibri"/>
          <w:color w:val="000000" w:themeColor="text1"/>
          <w:sz w:val="24"/>
          <w:szCs w:val="24"/>
          <w:lang w:val="en-US" w:eastAsia="zh-CN"/>
        </w:rPr>
        <w:t>were calculated to be 0.26 electrons site</w:t>
      </w:r>
      <w:r>
        <w:rPr>
          <w:rFonts w:ascii="Times" w:hAnsi="Times" w:cs="Calibri"/>
          <w:color w:val="000000" w:themeColor="text1"/>
          <w:sz w:val="24"/>
          <w:szCs w:val="24"/>
          <w:vertAlign w:val="subscript"/>
          <w:lang w:val="en-US" w:eastAsia="zh-CN"/>
        </w:rPr>
        <w:t>Co</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s</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and 1.52 electrons site</w:t>
      </w:r>
      <w:r>
        <w:rPr>
          <w:rFonts w:ascii="Times" w:hAnsi="Times" w:cs="Calibri"/>
          <w:color w:val="000000" w:themeColor="text1"/>
          <w:sz w:val="24"/>
          <w:szCs w:val="24"/>
          <w:vertAlign w:val="subscript"/>
          <w:lang w:val="en-US" w:eastAsia="zh-CN"/>
        </w:rPr>
        <w:t>Co</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s</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at an overpotential of </w:t>
      </w:r>
      <w:r>
        <w:rPr>
          <w:rFonts w:ascii="Times" w:hAnsi="Times" w:cs="Calibri"/>
          <w:color w:val="000000" w:themeColor="text1"/>
          <w:sz w:val="24"/>
          <w:szCs w:val="24"/>
          <w:lang w:val="en-US" w:eastAsia="zh-CN"/>
        </w:rPr>
        <w:noBreakHyphen/>
        <w:t>200 mV towards the HER, respectively. Similarly, we estimate an increase in TOF for the OER at 1.6 V from 0.205 to 0.585 electrons site</w:t>
      </w:r>
      <w:r>
        <w:rPr>
          <w:rFonts w:ascii="Times" w:hAnsi="Times" w:cs="Calibri"/>
          <w:color w:val="000000" w:themeColor="text1"/>
          <w:sz w:val="24"/>
          <w:szCs w:val="24"/>
          <w:vertAlign w:val="subscript"/>
          <w:lang w:val="en-US" w:eastAsia="zh-CN"/>
        </w:rPr>
        <w:t>Co</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s</w:t>
      </w:r>
      <w:r>
        <w:rPr>
          <w:rFonts w:ascii="Times" w:hAnsi="Times" w:cs="Calibri"/>
          <w:color w:val="000000" w:themeColor="text1"/>
          <w:sz w:val="24"/>
          <w:szCs w:val="24"/>
          <w:vertAlign w:val="superscript"/>
          <w:lang w:val="en-US" w:eastAsia="zh-CN"/>
        </w:rPr>
        <w:t>-1</w:t>
      </w:r>
      <w:r>
        <w:rPr>
          <w:rFonts w:ascii="Times" w:hAnsi="Times" w:cs="Calibri"/>
          <w:color w:val="000000" w:themeColor="text1"/>
          <w:sz w:val="24"/>
          <w:szCs w:val="24"/>
          <w:lang w:val="en-US" w:eastAsia="zh-CN"/>
        </w:rPr>
        <w:t xml:space="preserve"> for </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P/CB and 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 xml:space="preserve">P/CB. Note however, as we will see below, at this potential the particles undergo some change to their morphology, and our estimate of the TOF for the OER, based as it is on the particle size from XRD, </w:t>
      </w:r>
      <w:r>
        <w:rPr>
          <w:rFonts w:ascii="Times" w:hAnsi="Times" w:cs="Calibri"/>
          <w:color w:val="000000" w:themeColor="text1"/>
          <w:sz w:val="24"/>
          <w:szCs w:val="24"/>
          <w:lang w:val="en-US" w:eastAsia="zh-CN"/>
        </w:rPr>
        <w:t>may have some error because of the formation of an oxide layer.</w:t>
      </w:r>
    </w:p>
    <w:p w:rsidR="00EB10E0" w:rsidRDefault="00EB10E0" w:rsidP="00EB10E0">
      <w:pPr>
        <w:pStyle w:val="RSCB02ArticleText"/>
        <w:spacing w:line="480" w:lineRule="auto"/>
        <w:rPr>
          <w:rFonts w:ascii="Times" w:hAnsi="Times" w:cs="Calibri"/>
          <w:color w:val="000000" w:themeColor="text1"/>
          <w:sz w:val="24"/>
          <w:szCs w:val="24"/>
          <w:lang w:val="en-US" w:eastAsia="zh-CN"/>
        </w:rPr>
      </w:pPr>
      <w:r>
        <w:rPr>
          <w:rFonts w:ascii="Times" w:hAnsi="Times" w:cs="Calibri"/>
          <w:color w:val="000000" w:themeColor="text1"/>
          <w:sz w:val="24"/>
          <w:szCs w:val="24"/>
          <w:lang w:val="en-US" w:eastAsia="zh-CN"/>
        </w:rPr>
        <w:t xml:space="preserve">As mentioned previously, most transition metal-based catalysts transform into oxy/hydroxides during OER in alkaline solutions. Therefore, the structural and compositional analysis of </w:t>
      </w:r>
      <w:r>
        <w:rPr>
          <w:rFonts w:ascii="Times" w:hAnsi="Times" w:cs="Calibri"/>
          <w:color w:val="000000" w:themeColor="text1"/>
          <w:sz w:val="24"/>
          <w:szCs w:val="24"/>
          <w:lang w:val="en-US"/>
        </w:rPr>
        <w:t>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w:t>
      </w:r>
      <w:r>
        <w:rPr>
          <w:rFonts w:ascii="Times" w:hAnsi="Times" w:cs="Calibri"/>
          <w:color w:val="000000" w:themeColor="text1"/>
          <w:sz w:val="24"/>
          <w:szCs w:val="24"/>
          <w:lang w:val="en-US" w:eastAsia="zh-CN"/>
        </w:rPr>
        <w:t xml:space="preserve">/CB catalyst was further investigated after long-term chronoamperometry test towards OER in 0.1M KOH. Figure 4 (a) and (b) show the TEM image and HAADF-STEM EDS mapping of the post OER test </w:t>
      </w:r>
      <w:r>
        <w:rPr>
          <w:rFonts w:ascii="Times" w:hAnsi="Times" w:cs="Calibri"/>
          <w:color w:val="000000" w:themeColor="text1"/>
          <w:sz w:val="24"/>
          <w:szCs w:val="24"/>
          <w:lang w:val="en-US"/>
        </w:rPr>
        <w:t>Cr</w:t>
      </w:r>
      <w:r>
        <w:rPr>
          <w:rFonts w:ascii="Times" w:hAnsi="Times" w:cs="Calibri"/>
          <w:color w:val="000000" w:themeColor="text1"/>
          <w:sz w:val="24"/>
          <w:szCs w:val="24"/>
          <w:vertAlign w:val="subscript"/>
          <w:lang w:val="en-US"/>
        </w:rPr>
        <w:t>0.2</w:t>
      </w:r>
      <w:r>
        <w:rPr>
          <w:rFonts w:ascii="Times" w:hAnsi="Times" w:cs="Calibri"/>
          <w:color w:val="000000" w:themeColor="text1"/>
          <w:sz w:val="24"/>
          <w:szCs w:val="24"/>
          <w:lang w:val="en-US"/>
        </w:rPr>
        <w:t>Co</w:t>
      </w:r>
      <w:r>
        <w:rPr>
          <w:rFonts w:ascii="Times" w:hAnsi="Times" w:cs="Calibri"/>
          <w:color w:val="000000" w:themeColor="text1"/>
          <w:sz w:val="24"/>
          <w:szCs w:val="24"/>
          <w:vertAlign w:val="subscript"/>
          <w:lang w:val="en-US"/>
        </w:rPr>
        <w:t>1.8</w:t>
      </w:r>
      <w:r>
        <w:rPr>
          <w:rFonts w:ascii="Times" w:hAnsi="Times" w:cs="Calibri"/>
          <w:color w:val="000000" w:themeColor="text1"/>
          <w:sz w:val="24"/>
          <w:szCs w:val="24"/>
          <w:lang w:val="en-US"/>
        </w:rPr>
        <w:t>P</w:t>
      </w:r>
      <w:r>
        <w:rPr>
          <w:rFonts w:ascii="Times" w:hAnsi="Times" w:cs="Calibri"/>
          <w:color w:val="000000" w:themeColor="text1"/>
          <w:sz w:val="24"/>
          <w:szCs w:val="24"/>
          <w:lang w:val="en-US" w:eastAsia="zh-CN"/>
        </w:rPr>
        <w:t>/CB catalyst, respectively It can be observed that after 10 h chronoamperometry test for OER, a thin layer of Co</w:t>
      </w:r>
      <w:r>
        <w:rPr>
          <w:rFonts w:ascii="Times" w:hAnsi="Times" w:cs="Calibri"/>
          <w:color w:val="000000" w:themeColor="text1"/>
          <w:sz w:val="24"/>
          <w:szCs w:val="24"/>
          <w:vertAlign w:val="subscript"/>
          <w:lang w:val="en-US" w:eastAsia="zh-CN"/>
        </w:rPr>
        <w:t>3</w:t>
      </w:r>
      <w:r>
        <w:rPr>
          <w:rFonts w:ascii="Times" w:hAnsi="Times" w:cs="Calibri"/>
          <w:color w:val="000000" w:themeColor="text1"/>
          <w:sz w:val="24"/>
          <w:szCs w:val="24"/>
          <w:lang w:val="en-US" w:eastAsia="zh-CN"/>
        </w:rPr>
        <w:t>O</w:t>
      </w:r>
      <w:r>
        <w:rPr>
          <w:rFonts w:ascii="Times" w:hAnsi="Times" w:cs="Calibri"/>
          <w:color w:val="000000" w:themeColor="text1"/>
          <w:sz w:val="24"/>
          <w:szCs w:val="24"/>
          <w:vertAlign w:val="subscript"/>
          <w:lang w:val="en-US" w:eastAsia="zh-CN"/>
        </w:rPr>
        <w:t>4</w:t>
      </w:r>
      <w:r>
        <w:rPr>
          <w:rFonts w:ascii="Times" w:hAnsi="Times" w:cs="Calibri"/>
          <w:color w:val="000000" w:themeColor="text1"/>
          <w:sz w:val="24"/>
          <w:szCs w:val="24"/>
          <w:lang w:val="en-US" w:eastAsia="zh-CN"/>
        </w:rPr>
        <w:t xml:space="preserve"> formed on the catalyst surface.</w:t>
      </w:r>
    </w:p>
    <w:p w:rsidR="00EB10E0" w:rsidRDefault="00EB10E0" w:rsidP="00EB10E0">
      <w:pPr>
        <w:pStyle w:val="RSCB02ArticleText"/>
        <w:spacing w:line="480" w:lineRule="auto"/>
        <w:rPr>
          <w:rFonts w:ascii="Times" w:hAnsi="Times" w:cs="Calibri"/>
          <w:color w:val="000000" w:themeColor="text1"/>
          <w:sz w:val="24"/>
          <w:szCs w:val="24"/>
          <w:lang w:val="en-US" w:eastAsia="zh-CN"/>
        </w:rPr>
      </w:pPr>
    </w:p>
    <w:p w:rsidR="00EB10E0" w:rsidRDefault="00EB10E0" w:rsidP="00EB10E0">
      <w:pPr>
        <w:pStyle w:val="RSCB02ArticleText"/>
        <w:spacing w:line="480" w:lineRule="auto"/>
        <w:rPr>
          <w:rFonts w:ascii="Times" w:hAnsi="Times" w:cs="Calibri"/>
          <w:color w:val="000000" w:themeColor="text1"/>
          <w:sz w:val="24"/>
          <w:szCs w:val="24"/>
          <w:lang w:val="en-US" w:eastAsia="zh-CN"/>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6"/>
      </w:tblGrid>
      <w:tr w:rsidR="00EB10E0" w:rsidTr="00EB10E0">
        <w:trPr>
          <w:trHeight w:val="1170"/>
        </w:trPr>
        <w:tc>
          <w:tcPr>
            <w:tcW w:w="9576" w:type="dxa"/>
            <w:hideMark/>
          </w:tcPr>
          <w:p w:rsidR="00EB10E0" w:rsidRDefault="00EB10E0">
            <w:pPr>
              <w:pStyle w:val="RSCB02ArticleText"/>
              <w:spacing w:line="240" w:lineRule="auto"/>
              <w:rPr>
                <w:rFonts w:ascii="Calibri" w:hAnsi="Calibri" w:cs="Calibri"/>
                <w:lang w:eastAsia="zh-CN"/>
              </w:rPr>
            </w:pPr>
            <w:r>
              <w:rPr>
                <w:rFonts w:ascii="Calibri" w:hAnsi="Calibri" w:cs="Calibri"/>
                <w:noProof/>
                <w:lang w:eastAsia="en-GB"/>
              </w:rPr>
              <w:drawing>
                <wp:inline distT="0" distB="0" distL="0" distR="0" wp14:anchorId="25CBE23D" wp14:editId="19B314DB">
                  <wp:extent cx="6189345" cy="1896745"/>
                  <wp:effectExtent l="0" t="0" r="1905"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22" cstate="print">
                            <a:extLst>
                              <a:ext uri="{28A0092B-C50C-407E-A947-70E740481C1C}">
                                <a14:useLocalDpi xmlns:a14="http://schemas.microsoft.com/office/drawing/2010/main" val="0"/>
                              </a:ext>
                            </a:extLst>
                          </a:blip>
                          <a:srcRect t="8295" b="17331"/>
                          <a:stretch>
                            <a:fillRect/>
                          </a:stretch>
                        </pic:blipFill>
                        <pic:spPr bwMode="auto">
                          <a:xfrm>
                            <a:off x="0" y="0"/>
                            <a:ext cx="6189345" cy="1896745"/>
                          </a:xfrm>
                          <a:prstGeom prst="rect">
                            <a:avLst/>
                          </a:prstGeom>
                          <a:noFill/>
                          <a:ln>
                            <a:noFill/>
                          </a:ln>
                        </pic:spPr>
                      </pic:pic>
                    </a:graphicData>
                  </a:graphic>
                </wp:inline>
              </w:drawing>
            </w:r>
          </w:p>
        </w:tc>
      </w:tr>
      <w:tr w:rsidR="00EB10E0" w:rsidTr="00EB10E0">
        <w:trPr>
          <w:trHeight w:val="1541"/>
        </w:trPr>
        <w:tc>
          <w:tcPr>
            <w:tcW w:w="9576" w:type="dxa"/>
            <w:hideMark/>
          </w:tcPr>
          <w:p w:rsidR="00EB10E0" w:rsidRDefault="00EB10E0">
            <w:pPr>
              <w:pStyle w:val="RSCB02ArticleText"/>
              <w:spacing w:line="240" w:lineRule="auto"/>
              <w:rPr>
                <w:rFonts w:ascii="Calibri" w:hAnsi="Calibri" w:cs="Calibri"/>
                <w:lang w:eastAsia="zh-CN"/>
              </w:rPr>
            </w:pPr>
            <w:r>
              <w:rPr>
                <w:rFonts w:ascii="Calibri" w:hAnsi="Calibri" w:cs="Calibri"/>
                <w:noProof/>
                <w:lang w:eastAsia="en-GB"/>
              </w:rPr>
              <w:drawing>
                <wp:inline distT="0" distB="0" distL="0" distR="0" wp14:anchorId="0633CF1B" wp14:editId="0C9D0578">
                  <wp:extent cx="6155055" cy="14668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pic:cNvPicPr>
                            <a:picLocks noChangeAspect="1" noChangeArrowheads="1"/>
                          </pic:cNvPicPr>
                        </pic:nvPicPr>
                        <pic:blipFill>
                          <a:blip r:embed="rId23" cstate="print">
                            <a:extLst>
                              <a:ext uri="{28A0092B-C50C-407E-A947-70E740481C1C}">
                                <a14:useLocalDpi xmlns:a14="http://schemas.microsoft.com/office/drawing/2010/main" val="0"/>
                              </a:ext>
                            </a:extLst>
                          </a:blip>
                          <a:srcRect t="24091" b="18027"/>
                          <a:stretch>
                            <a:fillRect/>
                          </a:stretch>
                        </pic:blipFill>
                        <pic:spPr bwMode="auto">
                          <a:xfrm>
                            <a:off x="0" y="0"/>
                            <a:ext cx="6155055" cy="1466850"/>
                          </a:xfrm>
                          <a:prstGeom prst="rect">
                            <a:avLst/>
                          </a:prstGeom>
                          <a:noFill/>
                          <a:ln>
                            <a:noFill/>
                          </a:ln>
                        </pic:spPr>
                      </pic:pic>
                    </a:graphicData>
                  </a:graphic>
                </wp:inline>
              </w:drawing>
            </w:r>
          </w:p>
        </w:tc>
      </w:tr>
    </w:tbl>
    <w:p w:rsidR="00EB10E0" w:rsidRDefault="00EB10E0" w:rsidP="00EB10E0">
      <w:pPr>
        <w:pStyle w:val="RSCB01ARTAbstract"/>
        <w:spacing w:line="480" w:lineRule="auto"/>
        <w:rPr>
          <w:rFonts w:ascii="Calibri" w:hAnsi="Calibri"/>
          <w:noProof w:val="0"/>
          <w:color w:val="000000" w:themeColor="text1"/>
          <w:sz w:val="24"/>
          <w:szCs w:val="24"/>
          <w:lang w:val="en-US"/>
        </w:rPr>
      </w:pPr>
      <w:r>
        <w:rPr>
          <w:rFonts w:ascii="Calibri" w:hAnsi="Calibri"/>
          <w:b/>
          <w:noProof w:val="0"/>
          <w:color w:val="000000" w:themeColor="text1"/>
          <w:sz w:val="24"/>
          <w:szCs w:val="24"/>
          <w:lang w:val="en-US"/>
        </w:rPr>
        <w:t xml:space="preserve">Figure </w:t>
      </w:r>
      <w:r>
        <w:rPr>
          <w:rFonts w:ascii="Calibri" w:hAnsi="Calibri"/>
          <w:b/>
          <w:noProof w:val="0"/>
          <w:color w:val="000000" w:themeColor="text1"/>
          <w:sz w:val="24"/>
          <w:szCs w:val="24"/>
          <w:lang w:val="en-US"/>
        </w:rPr>
        <w:fldChar w:fldCharType="begin"/>
      </w:r>
      <w:r>
        <w:rPr>
          <w:rFonts w:ascii="Calibri" w:hAnsi="Calibri"/>
          <w:b/>
          <w:noProof w:val="0"/>
          <w:color w:val="000000" w:themeColor="text1"/>
          <w:sz w:val="24"/>
          <w:szCs w:val="24"/>
          <w:lang w:val="en-US"/>
        </w:rPr>
        <w:instrText xml:space="preserve"> SEQ Figure \* ARABIC </w:instrText>
      </w:r>
      <w:r>
        <w:rPr>
          <w:rFonts w:ascii="Calibri" w:hAnsi="Calibri"/>
          <w:b/>
          <w:noProof w:val="0"/>
          <w:color w:val="000000" w:themeColor="text1"/>
          <w:sz w:val="24"/>
          <w:szCs w:val="24"/>
          <w:lang w:val="en-US"/>
        </w:rPr>
        <w:fldChar w:fldCharType="separate"/>
      </w:r>
      <w:r>
        <w:rPr>
          <w:rFonts w:ascii="Calibri" w:hAnsi="Calibri"/>
          <w:b/>
          <w:color w:val="000000" w:themeColor="text1"/>
          <w:sz w:val="24"/>
          <w:szCs w:val="24"/>
          <w:lang w:val="en-US"/>
        </w:rPr>
        <w:t>4</w:t>
      </w:r>
      <w:r>
        <w:rPr>
          <w:rFonts w:ascii="Calibri" w:hAnsi="Calibri"/>
          <w:b/>
          <w:noProof w:val="0"/>
          <w:color w:val="000000" w:themeColor="text1"/>
          <w:sz w:val="24"/>
          <w:szCs w:val="24"/>
          <w:lang w:val="en-US"/>
        </w:rPr>
        <w:fldChar w:fldCharType="end"/>
      </w:r>
      <w:r>
        <w:rPr>
          <w:rFonts w:ascii="Calibri" w:hAnsi="Calibri"/>
          <w:b/>
          <w:noProof w:val="0"/>
          <w:color w:val="000000" w:themeColor="text1"/>
          <w:sz w:val="24"/>
          <w:szCs w:val="24"/>
          <w:lang w:val="en-US"/>
        </w:rPr>
        <w:t>.</w:t>
      </w:r>
      <w:r>
        <w:rPr>
          <w:rFonts w:ascii="Calibri" w:hAnsi="Calibri"/>
          <w:noProof w:val="0"/>
          <w:color w:val="000000" w:themeColor="text1"/>
          <w:sz w:val="24"/>
          <w:szCs w:val="24"/>
          <w:lang w:val="en-US"/>
        </w:rPr>
        <w:t xml:space="preserve"> (a) HRTEM and (b) HAADF-STEM EDS mapping images of the post OER test </w:t>
      </w:r>
      <w:r>
        <w:rPr>
          <w:rFonts w:ascii="Calibri" w:hAnsi="Calibri"/>
          <w:noProof w:val="0"/>
          <w:sz w:val="24"/>
          <w:szCs w:val="24"/>
          <w:lang w:val="en-US"/>
        </w:rPr>
        <w:t>Cr</w:t>
      </w:r>
      <w:r>
        <w:rPr>
          <w:rFonts w:ascii="Calibri" w:hAnsi="Calibri"/>
          <w:noProof w:val="0"/>
          <w:sz w:val="24"/>
          <w:szCs w:val="24"/>
          <w:vertAlign w:val="subscript"/>
          <w:lang w:val="en-US"/>
        </w:rPr>
        <w:t>0.2</w:t>
      </w:r>
      <w:r>
        <w:rPr>
          <w:rFonts w:ascii="Calibri" w:hAnsi="Calibri"/>
          <w:noProof w:val="0"/>
          <w:sz w:val="24"/>
          <w:szCs w:val="24"/>
          <w:lang w:val="en-US"/>
        </w:rPr>
        <w:t>Co</w:t>
      </w:r>
      <w:r>
        <w:rPr>
          <w:rFonts w:ascii="Calibri" w:hAnsi="Calibri"/>
          <w:noProof w:val="0"/>
          <w:sz w:val="24"/>
          <w:szCs w:val="24"/>
          <w:vertAlign w:val="subscript"/>
          <w:lang w:val="en-US"/>
        </w:rPr>
        <w:t>1.8</w:t>
      </w:r>
      <w:r>
        <w:rPr>
          <w:rFonts w:ascii="Calibri" w:hAnsi="Calibri"/>
          <w:noProof w:val="0"/>
          <w:sz w:val="24"/>
          <w:szCs w:val="24"/>
          <w:lang w:val="en-US"/>
        </w:rPr>
        <w:t>P/CB catalyst. (c) XPS survey spectrum and (d) Co 2p, (e) P 2p and (f) Cr 2p spectrum of the fresh and post OER test Cr</w:t>
      </w:r>
      <w:r>
        <w:rPr>
          <w:rFonts w:ascii="Calibri" w:hAnsi="Calibri"/>
          <w:noProof w:val="0"/>
          <w:sz w:val="24"/>
          <w:szCs w:val="24"/>
          <w:vertAlign w:val="subscript"/>
          <w:lang w:val="en-US"/>
        </w:rPr>
        <w:t>0.2</w:t>
      </w:r>
      <w:r>
        <w:rPr>
          <w:rFonts w:ascii="Calibri" w:hAnsi="Calibri"/>
          <w:noProof w:val="0"/>
          <w:sz w:val="24"/>
          <w:szCs w:val="24"/>
          <w:lang w:val="en-US"/>
        </w:rPr>
        <w:t>Co</w:t>
      </w:r>
      <w:r>
        <w:rPr>
          <w:rFonts w:ascii="Calibri" w:hAnsi="Calibri"/>
          <w:noProof w:val="0"/>
          <w:sz w:val="24"/>
          <w:szCs w:val="24"/>
          <w:vertAlign w:val="subscript"/>
          <w:lang w:val="en-US"/>
        </w:rPr>
        <w:t>1.8</w:t>
      </w:r>
      <w:r>
        <w:rPr>
          <w:rFonts w:ascii="Calibri" w:hAnsi="Calibri"/>
          <w:noProof w:val="0"/>
          <w:sz w:val="24"/>
          <w:szCs w:val="24"/>
          <w:lang w:val="en-US"/>
        </w:rPr>
        <w:t>P/CB catalyst.</w:t>
      </w:r>
    </w:p>
    <w:p w:rsidR="00AC125F" w:rsidRDefault="00AC125F" w:rsidP="00AC125F">
      <w:pPr>
        <w:pStyle w:val="TAMainText"/>
        <w:ind w:firstLine="0"/>
        <w:rPr>
          <w:rFonts w:ascii="Calibri" w:hAnsi="Calibri" w:cs="Calibri"/>
          <w:color w:val="000000" w:themeColor="text1"/>
          <w:sz w:val="22"/>
          <w:szCs w:val="22"/>
          <w:lang w:eastAsia="zh-CN"/>
        </w:rPr>
      </w:pPr>
    </w:p>
    <w:p w:rsidR="00AC125F" w:rsidRDefault="00AC125F" w:rsidP="00AC125F">
      <w:pPr>
        <w:pStyle w:val="TAMainText"/>
        <w:ind w:firstLine="0"/>
        <w:rPr>
          <w:rFonts w:cs="Calibri"/>
          <w:color w:val="000000" w:themeColor="text1"/>
          <w:szCs w:val="24"/>
          <w:lang w:eastAsia="zh-CN"/>
        </w:rPr>
      </w:pPr>
      <w:r>
        <w:rPr>
          <w:rFonts w:cs="Calibri"/>
          <w:color w:val="000000" w:themeColor="text1"/>
          <w:szCs w:val="24"/>
          <w:lang w:eastAsia="zh-CN"/>
        </w:rPr>
        <w:t>The EDS mapping in Figure 4 (b) confirmed the existence of Cr, Co and P throughout the bulk of the material while O aggregated on the outer layer. To further analyze the structure and composition of the amorphous shell, XPS was performed. As shown in Figure 4 (c), K 2s and K 2p peaks can be observed after alkaline test resulting from the adsorption of K</w:t>
      </w:r>
      <w:r>
        <w:rPr>
          <w:rFonts w:cs="Calibri"/>
          <w:color w:val="000000" w:themeColor="text1"/>
          <w:szCs w:val="24"/>
          <w:vertAlign w:val="superscript"/>
          <w:lang w:eastAsia="zh-CN"/>
        </w:rPr>
        <w:t>+</w:t>
      </w:r>
      <w:r>
        <w:rPr>
          <w:rFonts w:cs="Calibri"/>
          <w:color w:val="000000" w:themeColor="text1"/>
          <w:szCs w:val="24"/>
          <w:lang w:eastAsia="zh-CN"/>
        </w:rPr>
        <w:t xml:space="preserve"> cations from the KOH electrolyte. Additionally, F 1s peak can also be observed due to the usage of Nafion solution during ink preparation. Figure 4 (d) shows the high-resolution Co 2p spectrum for the post OER test </w:t>
      </w:r>
      <w:r>
        <w:rPr>
          <w:rFonts w:cs="Calibri"/>
          <w:color w:val="000000" w:themeColor="text1"/>
          <w:szCs w:val="24"/>
        </w:rPr>
        <w:t>Cr</w:t>
      </w:r>
      <w:r>
        <w:rPr>
          <w:rFonts w:cs="Calibri"/>
          <w:color w:val="000000" w:themeColor="text1"/>
          <w:szCs w:val="24"/>
          <w:vertAlign w:val="subscript"/>
        </w:rPr>
        <w:t>0.2</w:t>
      </w:r>
      <w:r>
        <w:rPr>
          <w:rFonts w:cs="Calibri"/>
          <w:color w:val="000000" w:themeColor="text1"/>
          <w:szCs w:val="24"/>
        </w:rPr>
        <w:t>Co</w:t>
      </w:r>
      <w:r>
        <w:rPr>
          <w:rFonts w:cs="Calibri"/>
          <w:color w:val="000000" w:themeColor="text1"/>
          <w:szCs w:val="24"/>
          <w:vertAlign w:val="subscript"/>
        </w:rPr>
        <w:t>1.8</w:t>
      </w:r>
      <w:r>
        <w:rPr>
          <w:rFonts w:cs="Calibri"/>
          <w:color w:val="000000" w:themeColor="text1"/>
          <w:szCs w:val="24"/>
        </w:rPr>
        <w:t>P</w:t>
      </w:r>
      <w:r>
        <w:rPr>
          <w:rFonts w:cs="Calibri"/>
          <w:color w:val="000000" w:themeColor="text1"/>
          <w:szCs w:val="24"/>
          <w:lang w:eastAsia="zh-CN"/>
        </w:rPr>
        <w:t>/CB catalyst. The two fitting peaks at binding energies of 782.3 and 797.7 eV are ascribed to Co</w:t>
      </w:r>
      <w:r>
        <w:rPr>
          <w:rFonts w:cs="Calibri"/>
          <w:color w:val="000000" w:themeColor="text1"/>
          <w:szCs w:val="24"/>
          <w:vertAlign w:val="superscript"/>
          <w:lang w:eastAsia="zh-CN"/>
        </w:rPr>
        <w:t>2+</w:t>
      </w:r>
      <w:r>
        <w:rPr>
          <w:rFonts w:cs="Calibri"/>
          <w:color w:val="000000" w:themeColor="text1"/>
          <w:szCs w:val="24"/>
          <w:lang w:eastAsia="zh-CN"/>
        </w:rPr>
        <w:t>, while another two fitting peaks at 780.5 and 796.1 eV are attributed to Co</w:t>
      </w:r>
      <w:r>
        <w:rPr>
          <w:rFonts w:cs="Calibri"/>
          <w:color w:val="000000" w:themeColor="text1"/>
          <w:szCs w:val="24"/>
          <w:vertAlign w:val="superscript"/>
          <w:lang w:eastAsia="zh-CN"/>
        </w:rPr>
        <w:t>3+</w:t>
      </w:r>
      <w:r>
        <w:rPr>
          <w:rFonts w:cs="Calibri"/>
          <w:color w:val="000000" w:themeColor="text1"/>
          <w:szCs w:val="24"/>
          <w:lang w:eastAsia="zh-CN"/>
        </w:rPr>
        <w:t xml:space="preserve"> in Co</w:t>
      </w:r>
      <w:r>
        <w:rPr>
          <w:rFonts w:cs="Calibri"/>
          <w:color w:val="000000" w:themeColor="text1"/>
          <w:szCs w:val="24"/>
          <w:vertAlign w:val="subscript"/>
          <w:lang w:eastAsia="zh-CN"/>
        </w:rPr>
        <w:t>3</w:t>
      </w:r>
      <w:r>
        <w:rPr>
          <w:rFonts w:cs="Calibri"/>
          <w:color w:val="000000" w:themeColor="text1"/>
          <w:szCs w:val="24"/>
          <w:lang w:eastAsia="zh-CN"/>
        </w:rPr>
        <w:t>O</w:t>
      </w:r>
      <w:r>
        <w:rPr>
          <w:rFonts w:cs="Calibri"/>
          <w:color w:val="000000" w:themeColor="text1"/>
          <w:szCs w:val="24"/>
          <w:vertAlign w:val="subscript"/>
          <w:lang w:eastAsia="zh-CN"/>
        </w:rPr>
        <w:t>4</w:t>
      </w:r>
      <w:r>
        <w:rPr>
          <w:rFonts w:cs="Calibri"/>
          <w:color w:val="000000" w:themeColor="text1"/>
          <w:szCs w:val="24"/>
          <w:lang w:eastAsia="zh-CN"/>
        </w:rPr>
        <w:t>,</w:t>
      </w:r>
      <w:r>
        <w:rPr>
          <w:rFonts w:cs="Calibri"/>
          <w:color w:val="000000" w:themeColor="text1"/>
          <w:szCs w:val="24"/>
          <w:lang w:eastAsia="zh-CN"/>
        </w:rPr>
        <w:fldChar w:fldCharType="begin" w:fldLock="1"/>
      </w:r>
      <w:r>
        <w:rPr>
          <w:rFonts w:cs="Calibri"/>
          <w:color w:val="000000" w:themeColor="text1"/>
          <w:szCs w:val="24"/>
          <w:lang w:eastAsia="zh-CN"/>
        </w:rPr>
        <w:instrText>ADDIN CSL_CITATION {"citationItems":[{"id":"ITEM-1","itemData":{"DOI":"10.1002/aenm.201700779","ISSN":"16146840","abstract":"A facile and binder-free method is developed for the in situ and horizontal growth of ultrathin mesoporous Co3O4 layers on the surface of carbon fibers in the carbon cloth (ultrathin Co3O4/CC) as high-performance air electrode for the flexible Zn–air battery. In particular, the ultrathin Co3O4 layers have a maximum contact area on the conductive support, facilitating the rapid electron transport and preventing the aggregation of ultrathin layers. The ultrathin feature of Co3O4 layers is characterized by the transmission electron microscopy, Raman spectra, and X-ray absorption fine structure spectroscopy. Benefiting from the high utilization degree of active materials and rapid charge transport, the mass activity for oxygen reduction and evolution reactions of the ultrathin Co3O4/CC electrode is more than 10 times higher than that of the carbon cloth loaded with commercial Co3O4 nanoparticles. Compared to the commercial Co3O4/CC electrode, the flexible Zn–air battery using ultrathin Co3O4/CC electrode exhibits excellent rechargeable performance and high mechanical stability. Furthermore, the flexible Zn–air battery is integrated with a flexible display unit. The whole integrated device can operate without obvious performance degradation under serious deformation and even during the cutting process, which makes it highly promising for wearable and roll-up optoelectronics.","author":[{"dropping-particle":"","family":"Chen","given":"Xu","non-dropping-particle":"","parse-names":false,"suffix":""},{"dropping-particle":"","family":"Liu","given":"Bin","non-dropping-particle":"","parse-names":false,"suffix":""},{"dropping-particle":"","family":"Zhong","given":"Cheng","non-dropping-particle":"","parse-names":false,"suffix":""},{"dropping-particle":"","family":"Liu","given":"Zhi","non-dropping-particle":"","parse-names":false,"suffix":""},{"dropping-particle":"","family":"Liu","given":"Jie","non-dropping-particle":"","parse-names":false,"suffix":""},{"dropping-particle":"","family":"Ma","given":"Lu","non-dropping-particle":"","parse-names":false,"suffix":""},{"dropping-particle":"","family":"Deng","given":"Yida","non-dropping-particle":"","parse-names":false,"suffix":""},{"dropping-particle":"","family":"Han","given":"Xiaopeng","non-dropping-particle":"","parse-names":false,"suffix":""},{"dropping-particle":"","family":"Wu","given":"Tianpin","non-dropping-particle":"","parse-names":false,"suffix":""},{"dropping-particle":"","family":"Hu","given":"Wenbin","non-dropping-particle":"","parse-names":false,"suffix":""},{"dropping-particle":"","family":"Lu","given":"Jun","non-dropping-particle":"","parse-names":false,"suffix":""}],"container-title":"Advanced Energy Materials","id":"ITEM-1","issue":"18","issued":{"date-parts":[["2017"]]},"page":"1-11","title":"Ultrathin Co3O4 Layers with Large Contact Area on Carbon Fibers as High-Performance Electrode for Flexible Zinc–Air Battery Integrated with Flexible Display","type":"article-journal","volume":"7"},"uris":["http://www.mendeley.com/documents/?uuid=b7500b1f-44d9-41df-87b3-a639aa59d6ba"]},{"id":"ITEM-2","itemData":{"DOI":"10.1002/aenm.201702222","ISSN":"16146840","abstract":"Tuning the catalytic active sites plays a crucial role in developing low cost and highly durable oxygen electrode catalysts with precious metal-competitive activity. In an attempt to engineer the active sites in Co3O4 spinel for oxygen electrocatalysis in alkaline electrolyte, herein, controllable synthesis of surface-tailored Co3O4 nanocrystals including nanocube (NC), nanotruncated octahedron (NTO), and nanopolyhedron (NP) anchored on nitrogen-doped reduced graphene oxide (N-rGO), through a facile and template-free hydrothermal strategy, is provided. The as-synthesized Co3O4 NC, NTO, and NP nanostructures are predominantly enclosed by {001}, {001} + {111}, and {112} crystal planes, which expose different surface atomic configurations of Co2+ and Co3+ active sites. Electrochemical results indicate that the unusual {112} plane enclosed Co3O4 NP on rGO with abundant Co3+ sites exhibit superior bifunctional activity for oxygen reduction and evolution reactions, as well as enhanced metal–air battery performance in comparison with other counterparts. Experimental and theoretical simulation studies demonstrate that the surface atomic arrangement of Co2+/Co3+ active sites, especially the existence of octahedrally coordinated Co3+ sites, optimizes the adsorption, activation, and desorption features of oxygen species. This work paves the way to obtain highly active, durable, and cost-effective electrocatalysts for practical clean energy devices through regulating the surface atomic configuration and catalytic active sites.","author":[{"dropping-particle":"","family":"Han","given":"Xiaopeng","non-dropping-particle":"","parse-names":false,"suffix":""},{"dropping-particle":"","family":"He","given":"Guowei","non-dropping-particle":"","parse-names":false,"suffix":""},{"dropping-particle":"","family":"He","given":"Yu","non-dropping-particle":"","parse-names":false,"suffix":""},{"dropping-particle":"","family":"Zhang","given":"Jinfeng","non-dropping-particle":"","parse-names":false,"suffix":""},{"dropping-particle":"","family":"Zheng","given":"Xuerong","non-dropping-particle":"","parse-names":false,"suffix":""},{"dropping-particle":"","family":"Li","given":"Lanlan","non-dropping-particle":"","parse-names":false,"suffix":""},{"dropping-particle":"","family":"Zhong","given":"Cheng","non-dropping-particle":"","parse-names":false,"suffix":""},{"dropping-particle":"","family":"Hu","given":"Wenbin","non-dropping-particle":"","parse-names":false,"suffix":""},{"dropping-particle":"","family":"Deng","given":"Yida","non-dropping-particle":"","parse-names":false,"suffix":""},{"dropping-particle":"","family":"Ma","given":"Tian Yi","non-dropping-particle":"","parse-names":false,"suffix":""}],"container-title":"Advanced Energy Materials","id":"ITEM-2","issue":"10","issued":{"date-parts":[["2018"]]},"page":"1-13","title":"Engineering Catalytic Active Sites on Cobalt Oxide Surface for Enhanced Oxygen Electrocatalysis","type":"article-journal","volume":"8"},"uris":["http://www.mendeley.com/documents/?uuid=7fe658aa-4cfb-4fc5-923f-994347d34d28"]},{"id":"ITEM-3","itemData":{"DOI":"10.1016/j.jpowsour.2015.06.056","ISSN":"03787753","abstract":"The development of efficient and cheap anode materials for the utilization in the oxygen evolution reaction (OER) is essential for energy-conversion technologies. In this study, hierarchically porous Co3O4 architectures with honeycomb-like structures are synthesized by employing cobalt-based zeolitic imidazolate framework (ZIF-67-Co) as metal source and sacrificial template. After a simple one-step calcination process, the ZIF-67-Co precursor can be chemically transformed into the Co3O4 architectures with abundant porosity and oxygen vacancy. These easily obtained and earth-abundant Co3O4 architectures present high performance toward the electrochemical water splitting for evolving molecular oxygen, affording a small OER onset potential, large anodic current and long-term durability in 0.1 M KOH solution, which are comparable to the electroactive noble- and transition-metal oxygen evolution catalysts previously reported. These merits suggest that the ZIF-derived Co3O4 architectures are promising electrocatalysts for OER from water splitting.","author":[{"dropping-particle":"","family":"Li","given":"Lili","non-dropping-particle":"","parse-names":false,"suffix":""},{"dropping-particle":"","family":"Tian","given":"Tian","non-dropping-particle":"","parse-names":false,"suffix":""},{"dropping-particle":"","family":"Jiang","given":"Jing","non-dropping-particle":"","parse-names":false,"suffix":""},{"dropping-particle":"","family":"Ai","given":"Lunhong","non-dropping-particle":"","parse-names":false,"suffix":""}],"container-title":"Journal of Power Sources","id":"ITEM-3","issued":{"date-parts":[["2015"]]},"page":"103-111","publisher":"Elsevier B.V","title":"Hierarchically porous Co3O4 architectures with honeycomb-like structures for efficient oxygen generation from electrochemical water splitting","type":"article-journal","volume":"294"},"uris":["http://www.mendeley.com/documents/?uuid=61c0d518-f2f9-482f-9eba-af96d4e5e6f8"]}],"mendeley":{"formattedCitation":"&lt;sup&gt;33–35&lt;/sup&gt;","plainTextFormattedCitation":"33–35","previouslyFormattedCitation":"&lt;sup&gt;33–35&lt;/sup&gt;"},"properties":{"noteIndex":0},"schema":"https://github.com/citation-style-language/schema/raw/master/csl-citation.json"}</w:instrText>
      </w:r>
      <w:r>
        <w:rPr>
          <w:rFonts w:cs="Calibri"/>
          <w:color w:val="000000" w:themeColor="text1"/>
          <w:szCs w:val="24"/>
          <w:lang w:eastAsia="zh-CN"/>
        </w:rPr>
        <w:fldChar w:fldCharType="separate"/>
      </w:r>
      <w:r>
        <w:rPr>
          <w:rFonts w:cs="Calibri"/>
          <w:noProof/>
          <w:color w:val="000000" w:themeColor="text1"/>
          <w:szCs w:val="24"/>
          <w:vertAlign w:val="superscript"/>
          <w:lang w:eastAsia="zh-CN"/>
        </w:rPr>
        <w:t>33–35</w:t>
      </w:r>
      <w:r>
        <w:rPr>
          <w:rFonts w:cs="Calibri"/>
          <w:color w:val="000000" w:themeColor="text1"/>
          <w:szCs w:val="24"/>
          <w:lang w:eastAsia="zh-CN"/>
        </w:rPr>
        <w:fldChar w:fldCharType="end"/>
      </w:r>
      <w:r>
        <w:rPr>
          <w:rFonts w:cs="Calibri"/>
          <w:color w:val="000000" w:themeColor="text1"/>
          <w:szCs w:val="24"/>
          <w:lang w:eastAsia="zh-CN"/>
        </w:rPr>
        <w:t xml:space="preserve"> indicating that the amorphous shell formed on the catalyst surface after 10h chronoamperometry test for OER was mainly Co</w:t>
      </w:r>
      <w:r>
        <w:rPr>
          <w:rFonts w:cs="Calibri"/>
          <w:color w:val="000000" w:themeColor="text1"/>
          <w:szCs w:val="24"/>
          <w:vertAlign w:val="subscript"/>
          <w:lang w:eastAsia="zh-CN"/>
        </w:rPr>
        <w:t>3</w:t>
      </w:r>
      <w:r>
        <w:rPr>
          <w:rFonts w:cs="Calibri"/>
          <w:color w:val="000000" w:themeColor="text1"/>
          <w:szCs w:val="24"/>
          <w:lang w:eastAsia="zh-CN"/>
        </w:rPr>
        <w:t>O</w:t>
      </w:r>
      <w:r>
        <w:rPr>
          <w:rFonts w:cs="Calibri"/>
          <w:color w:val="000000" w:themeColor="text1"/>
          <w:szCs w:val="24"/>
          <w:vertAlign w:val="subscript"/>
          <w:lang w:eastAsia="zh-CN"/>
        </w:rPr>
        <w:t xml:space="preserve">4. </w:t>
      </w:r>
      <w:r>
        <w:rPr>
          <w:rFonts w:cs="Calibri"/>
          <w:color w:val="000000" w:themeColor="text1"/>
          <w:szCs w:val="24"/>
          <w:lang w:eastAsia="zh-CN"/>
        </w:rPr>
        <w:t xml:space="preserve">Interestingly, there is no </w:t>
      </w:r>
      <w:r>
        <w:rPr>
          <w:rFonts w:cs="Calibri"/>
          <w:color w:val="000000" w:themeColor="text1"/>
          <w:szCs w:val="24"/>
          <w:lang w:eastAsia="zh-CN"/>
        </w:rPr>
        <w:lastRenderedPageBreak/>
        <w:t>clear peak showed in P 2p while trace amount of Cr could still be found in Cr 2p region, indicating that P was fully buried under the oxide layer after 10h OER test. Moreover, we performed the same TEM and XPS characterization on the post OER Co</w:t>
      </w:r>
      <w:r>
        <w:rPr>
          <w:rFonts w:cs="Calibri"/>
          <w:color w:val="000000" w:themeColor="text1"/>
          <w:szCs w:val="24"/>
          <w:vertAlign w:val="subscript"/>
          <w:lang w:eastAsia="zh-CN"/>
        </w:rPr>
        <w:t>2</w:t>
      </w:r>
      <w:r>
        <w:rPr>
          <w:rFonts w:cs="Calibri"/>
          <w:color w:val="000000" w:themeColor="text1"/>
          <w:szCs w:val="24"/>
          <w:lang w:eastAsia="zh-CN"/>
        </w:rPr>
        <w:t>P/CB catalyst. As shown in Figure S6, and a similar thin oxide layer was formed on the Co</w:t>
      </w:r>
      <w:r>
        <w:rPr>
          <w:rFonts w:cs="Calibri"/>
          <w:color w:val="000000" w:themeColor="text1"/>
          <w:szCs w:val="24"/>
          <w:vertAlign w:val="subscript"/>
          <w:lang w:eastAsia="zh-CN"/>
        </w:rPr>
        <w:t>2</w:t>
      </w:r>
      <w:r>
        <w:rPr>
          <w:rFonts w:cs="Calibri"/>
          <w:color w:val="000000" w:themeColor="text1"/>
          <w:szCs w:val="24"/>
          <w:lang w:eastAsia="zh-CN"/>
        </w:rPr>
        <w:t>P/CB surface as well.</w:t>
      </w:r>
    </w:p>
    <w:tbl>
      <w:tblPr>
        <w:tblW w:w="0" w:type="auto"/>
        <w:jc w:val="center"/>
        <w:tblCellMar>
          <w:left w:w="0" w:type="dxa"/>
          <w:right w:w="0" w:type="dxa"/>
        </w:tblCellMar>
        <w:tblLook w:val="04A0" w:firstRow="1" w:lastRow="0" w:firstColumn="1" w:lastColumn="0" w:noHBand="0" w:noVBand="1"/>
      </w:tblPr>
      <w:tblGrid>
        <w:gridCol w:w="3185"/>
        <w:gridCol w:w="1705"/>
        <w:gridCol w:w="1522"/>
        <w:gridCol w:w="3357"/>
      </w:tblGrid>
      <w:tr w:rsidR="00AC125F" w:rsidTr="00AC125F">
        <w:trPr>
          <w:trHeight w:val="2161"/>
          <w:jc w:val="center"/>
        </w:trPr>
        <w:tc>
          <w:tcPr>
            <w:tcW w:w="3074" w:type="dxa"/>
            <w:hideMark/>
          </w:tcPr>
          <w:p w:rsidR="00AC125F" w:rsidRDefault="00AC125F">
            <w:pPr>
              <w:rPr>
                <w:rFonts w:ascii="Calibri" w:eastAsia="DengXian" w:hAnsi="Calibri" w:cs="Calibri"/>
                <w:color w:val="FF0000"/>
                <w:kern w:val="2"/>
                <w:lang w:val="en-US"/>
              </w:rPr>
            </w:pPr>
            <w:r>
              <w:rPr>
                <w:rFonts w:ascii="Calibri" w:eastAsia="DengXian" w:hAnsi="Calibri" w:cs="Calibri"/>
                <w:noProof/>
                <w:color w:val="FF0000"/>
                <w:kern w:val="2"/>
                <w:lang w:eastAsia="en-GB"/>
              </w:rPr>
              <w:drawing>
                <wp:inline distT="0" distB="0" distL="0" distR="0" wp14:anchorId="64C777F8" wp14:editId="53524467">
                  <wp:extent cx="1869440" cy="1398905"/>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69440" cy="1398905"/>
                          </a:xfrm>
                          <a:prstGeom prst="rect">
                            <a:avLst/>
                          </a:prstGeom>
                          <a:noFill/>
                          <a:ln>
                            <a:noFill/>
                          </a:ln>
                        </pic:spPr>
                      </pic:pic>
                    </a:graphicData>
                  </a:graphic>
                </wp:inline>
              </w:drawing>
            </w:r>
          </w:p>
        </w:tc>
        <w:tc>
          <w:tcPr>
            <w:tcW w:w="3119" w:type="dxa"/>
            <w:gridSpan w:val="2"/>
            <w:hideMark/>
          </w:tcPr>
          <w:p w:rsidR="00AC125F" w:rsidRDefault="00AC125F">
            <w:pPr>
              <w:rPr>
                <w:rFonts w:ascii="Calibri" w:eastAsia="DengXian" w:hAnsi="Calibri" w:cs="Calibri"/>
                <w:color w:val="FF0000"/>
                <w:kern w:val="2"/>
                <w:lang w:val="en-US"/>
              </w:rPr>
            </w:pPr>
            <w:r>
              <w:rPr>
                <w:rFonts w:ascii="Calibri" w:eastAsia="DengXian" w:hAnsi="Calibri" w:cs="Calibri"/>
                <w:noProof/>
                <w:color w:val="FF0000"/>
                <w:kern w:val="2"/>
                <w:lang w:eastAsia="en-GB"/>
              </w:rPr>
              <w:drawing>
                <wp:inline distT="0" distB="0" distL="0" distR="0" wp14:anchorId="1616FF0F" wp14:editId="0B439B8C">
                  <wp:extent cx="1808480" cy="1412240"/>
                  <wp:effectExtent l="0" t="0" r="127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rrowheads="1"/>
                          </pic:cNvPicPr>
                        </pic:nvPicPr>
                        <pic:blipFill>
                          <a:blip r:embed="rId25">
                            <a:extLst>
                              <a:ext uri="{28A0092B-C50C-407E-A947-70E740481C1C}">
                                <a14:useLocalDpi xmlns:a14="http://schemas.microsoft.com/office/drawing/2010/main" val="0"/>
                              </a:ext>
                            </a:extLst>
                          </a:blip>
                          <a:srcRect l="3572"/>
                          <a:stretch>
                            <a:fillRect/>
                          </a:stretch>
                        </pic:blipFill>
                        <pic:spPr bwMode="auto">
                          <a:xfrm>
                            <a:off x="0" y="0"/>
                            <a:ext cx="1808480" cy="1412240"/>
                          </a:xfrm>
                          <a:prstGeom prst="rect">
                            <a:avLst/>
                          </a:prstGeom>
                          <a:noFill/>
                          <a:ln>
                            <a:noFill/>
                          </a:ln>
                        </pic:spPr>
                      </pic:pic>
                    </a:graphicData>
                  </a:graphic>
                </wp:inline>
              </w:drawing>
            </w:r>
          </w:p>
        </w:tc>
        <w:tc>
          <w:tcPr>
            <w:tcW w:w="3167" w:type="dxa"/>
            <w:hideMark/>
          </w:tcPr>
          <w:p w:rsidR="00AC125F" w:rsidRDefault="00AC125F">
            <w:pPr>
              <w:rPr>
                <w:rFonts w:ascii="Calibri" w:eastAsia="DengXian" w:hAnsi="Calibri" w:cs="Calibri"/>
                <w:color w:val="FF0000"/>
                <w:kern w:val="2"/>
                <w:lang w:val="en-US"/>
              </w:rPr>
            </w:pPr>
            <w:r>
              <w:rPr>
                <w:rFonts w:ascii="Calibri" w:eastAsia="DengXian" w:hAnsi="Calibri" w:cs="Calibri"/>
                <w:noProof/>
                <w:color w:val="FF0000"/>
                <w:kern w:val="2"/>
                <w:lang w:eastAsia="en-GB"/>
              </w:rPr>
              <w:drawing>
                <wp:inline distT="0" distB="0" distL="0" distR="0" wp14:anchorId="3BB30D12" wp14:editId="5F0942C1">
                  <wp:extent cx="1835785" cy="141224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rrowheads="1"/>
                          </pic:cNvPicPr>
                        </pic:nvPicPr>
                        <pic:blipFill>
                          <a:blip r:embed="rId26" cstate="print">
                            <a:extLst>
                              <a:ext uri="{28A0092B-C50C-407E-A947-70E740481C1C}">
                                <a14:useLocalDpi xmlns:a14="http://schemas.microsoft.com/office/drawing/2010/main" val="0"/>
                              </a:ext>
                            </a:extLst>
                          </a:blip>
                          <a:srcRect l="3111" t="4787" r="12692" b="9396"/>
                          <a:stretch>
                            <a:fillRect/>
                          </a:stretch>
                        </pic:blipFill>
                        <pic:spPr bwMode="auto">
                          <a:xfrm>
                            <a:off x="0" y="0"/>
                            <a:ext cx="1835785" cy="1412240"/>
                          </a:xfrm>
                          <a:prstGeom prst="rect">
                            <a:avLst/>
                          </a:prstGeom>
                          <a:noFill/>
                          <a:ln>
                            <a:noFill/>
                          </a:ln>
                        </pic:spPr>
                      </pic:pic>
                    </a:graphicData>
                  </a:graphic>
                </wp:inline>
              </w:drawing>
            </w:r>
          </w:p>
        </w:tc>
      </w:tr>
      <w:tr w:rsidR="00AC125F" w:rsidTr="00AC125F">
        <w:trPr>
          <w:trHeight w:val="2533"/>
          <w:jc w:val="center"/>
        </w:trPr>
        <w:tc>
          <w:tcPr>
            <w:tcW w:w="4685" w:type="dxa"/>
            <w:gridSpan w:val="2"/>
            <w:hideMark/>
          </w:tcPr>
          <w:p w:rsidR="00AC125F" w:rsidRDefault="00AC125F">
            <w:pPr>
              <w:jc w:val="center"/>
              <w:rPr>
                <w:rFonts w:ascii="Calibri" w:eastAsia="DengXian" w:hAnsi="Calibri" w:cs="Calibri"/>
                <w:color w:val="FF0000"/>
                <w:kern w:val="2"/>
                <w:lang w:val="en-US"/>
              </w:rPr>
            </w:pPr>
            <w:r>
              <w:rPr>
                <w:rFonts w:ascii="Calibri" w:eastAsia="DengXian" w:hAnsi="Calibri" w:cs="Calibri"/>
                <w:noProof/>
                <w:color w:val="FF0000"/>
                <w:kern w:val="2"/>
                <w:lang w:eastAsia="en-GB"/>
              </w:rPr>
              <w:drawing>
                <wp:inline distT="0" distB="0" distL="0" distR="0" wp14:anchorId="0152D071" wp14:editId="611328DC">
                  <wp:extent cx="3105150" cy="2231390"/>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3"/>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05150" cy="2231390"/>
                          </a:xfrm>
                          <a:prstGeom prst="rect">
                            <a:avLst/>
                          </a:prstGeom>
                          <a:noFill/>
                          <a:ln>
                            <a:noFill/>
                          </a:ln>
                        </pic:spPr>
                      </pic:pic>
                    </a:graphicData>
                  </a:graphic>
                </wp:inline>
              </w:drawing>
            </w:r>
          </w:p>
        </w:tc>
        <w:tc>
          <w:tcPr>
            <w:tcW w:w="4675" w:type="dxa"/>
            <w:gridSpan w:val="2"/>
            <w:hideMark/>
          </w:tcPr>
          <w:p w:rsidR="00AC125F" w:rsidRDefault="00AC125F">
            <w:pPr>
              <w:jc w:val="center"/>
              <w:rPr>
                <w:rFonts w:ascii="Calibri" w:eastAsia="DengXian" w:hAnsi="Calibri" w:cs="Calibri"/>
                <w:color w:val="FF0000"/>
                <w:kern w:val="2"/>
                <w:lang w:val="en-US"/>
              </w:rPr>
            </w:pPr>
            <w:r>
              <w:rPr>
                <w:rFonts w:ascii="Calibri" w:eastAsia="DengXian" w:hAnsi="Calibri" w:cs="Calibri"/>
                <w:noProof/>
                <w:color w:val="FF0000"/>
                <w:kern w:val="2"/>
                <w:lang w:eastAsia="en-GB"/>
              </w:rPr>
              <w:drawing>
                <wp:inline distT="0" distB="0" distL="0" distR="0" wp14:anchorId="37136766" wp14:editId="7E72936F">
                  <wp:extent cx="3098165" cy="2238375"/>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98165" cy="2238375"/>
                          </a:xfrm>
                          <a:prstGeom prst="rect">
                            <a:avLst/>
                          </a:prstGeom>
                          <a:noFill/>
                          <a:ln>
                            <a:noFill/>
                          </a:ln>
                        </pic:spPr>
                      </pic:pic>
                    </a:graphicData>
                  </a:graphic>
                </wp:inline>
              </w:drawing>
            </w:r>
          </w:p>
        </w:tc>
      </w:tr>
      <w:tr w:rsidR="00AC125F" w:rsidTr="00AC125F">
        <w:trPr>
          <w:trHeight w:val="2153"/>
          <w:jc w:val="center"/>
        </w:trPr>
        <w:tc>
          <w:tcPr>
            <w:tcW w:w="4685" w:type="dxa"/>
            <w:gridSpan w:val="2"/>
            <w:hideMark/>
          </w:tcPr>
          <w:p w:rsidR="00AC125F" w:rsidRDefault="00AC125F">
            <w:pPr>
              <w:jc w:val="center"/>
              <w:rPr>
                <w:rFonts w:ascii="Calibri" w:eastAsia="DengXian" w:hAnsi="Calibri" w:cs="Calibri"/>
                <w:color w:val="FF0000"/>
                <w:kern w:val="2"/>
                <w:lang w:val="en-US"/>
              </w:rPr>
            </w:pPr>
            <w:r>
              <w:rPr>
                <w:rFonts w:ascii="Calibri" w:eastAsia="DengXian" w:hAnsi="Calibri" w:cs="Calibri"/>
                <w:noProof/>
                <w:color w:val="FF0000"/>
                <w:kern w:val="2"/>
                <w:lang w:eastAsia="en-GB"/>
              </w:rPr>
              <w:drawing>
                <wp:inline distT="0" distB="0" distL="0" distR="0" wp14:anchorId="0C8F124C" wp14:editId="67BDA295">
                  <wp:extent cx="3084195" cy="2238375"/>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84195" cy="2238375"/>
                          </a:xfrm>
                          <a:prstGeom prst="rect">
                            <a:avLst/>
                          </a:prstGeom>
                          <a:noFill/>
                          <a:ln>
                            <a:noFill/>
                          </a:ln>
                        </pic:spPr>
                      </pic:pic>
                    </a:graphicData>
                  </a:graphic>
                </wp:inline>
              </w:drawing>
            </w:r>
          </w:p>
        </w:tc>
        <w:tc>
          <w:tcPr>
            <w:tcW w:w="4675" w:type="dxa"/>
            <w:gridSpan w:val="2"/>
            <w:hideMark/>
          </w:tcPr>
          <w:p w:rsidR="00AC125F" w:rsidRDefault="00AC125F">
            <w:pPr>
              <w:keepNext/>
              <w:jc w:val="center"/>
              <w:rPr>
                <w:rFonts w:ascii="Calibri" w:eastAsia="DengXian" w:hAnsi="Calibri" w:cs="Calibri"/>
                <w:color w:val="FF0000"/>
                <w:kern w:val="2"/>
                <w:lang w:val="en-US"/>
              </w:rPr>
            </w:pPr>
            <w:r>
              <w:rPr>
                <w:rFonts w:ascii="Calibri" w:eastAsia="DengXian" w:hAnsi="Calibri" w:cs="Calibri"/>
                <w:noProof/>
                <w:color w:val="FF0000"/>
                <w:kern w:val="2"/>
                <w:lang w:eastAsia="en-GB"/>
              </w:rPr>
              <w:drawing>
                <wp:inline distT="0" distB="0" distL="0" distR="0" wp14:anchorId="71131813" wp14:editId="048F8AF7">
                  <wp:extent cx="2954655" cy="22313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54655" cy="2231390"/>
                          </a:xfrm>
                          <a:prstGeom prst="rect">
                            <a:avLst/>
                          </a:prstGeom>
                          <a:noFill/>
                          <a:ln>
                            <a:noFill/>
                          </a:ln>
                        </pic:spPr>
                      </pic:pic>
                    </a:graphicData>
                  </a:graphic>
                </wp:inline>
              </w:drawing>
            </w:r>
          </w:p>
        </w:tc>
      </w:tr>
    </w:tbl>
    <w:p w:rsidR="00AC125F" w:rsidRDefault="00AC125F" w:rsidP="00AC125F">
      <w:pPr>
        <w:pStyle w:val="RSCB01ARTAbstract"/>
        <w:spacing w:line="360" w:lineRule="auto"/>
        <w:rPr>
          <w:rFonts w:ascii="Calibri" w:hAnsi="Calibri"/>
          <w:noProof w:val="0"/>
          <w:sz w:val="24"/>
          <w:szCs w:val="24"/>
          <w:lang w:val="en-US"/>
        </w:rPr>
      </w:pPr>
      <w:bookmarkStart w:id="3" w:name="_Ref13234721"/>
      <w:r>
        <w:rPr>
          <w:rFonts w:ascii="Calibri" w:hAnsi="Calibri"/>
          <w:b/>
          <w:noProof w:val="0"/>
          <w:sz w:val="24"/>
          <w:szCs w:val="24"/>
          <w:lang w:val="en-US"/>
        </w:rPr>
        <w:t xml:space="preserve">Figure </w:t>
      </w:r>
      <w:bookmarkEnd w:id="3"/>
      <w:r>
        <w:rPr>
          <w:rFonts w:ascii="Calibri" w:hAnsi="Calibri"/>
          <w:b/>
          <w:noProof w:val="0"/>
          <w:sz w:val="24"/>
          <w:szCs w:val="24"/>
          <w:lang w:val="en-US"/>
        </w:rPr>
        <w:t>5.</w:t>
      </w:r>
      <w:r>
        <w:rPr>
          <w:rFonts w:ascii="Calibri" w:hAnsi="Calibri"/>
          <w:noProof w:val="0"/>
          <w:sz w:val="24"/>
          <w:szCs w:val="24"/>
          <w:lang w:val="en-US"/>
        </w:rPr>
        <w:t xml:space="preserve"> (a) Top view of the optimized structure of Co</w:t>
      </w:r>
      <w:r>
        <w:rPr>
          <w:rFonts w:ascii="Calibri" w:hAnsi="Calibri"/>
          <w:noProof w:val="0"/>
          <w:sz w:val="24"/>
          <w:szCs w:val="24"/>
          <w:vertAlign w:val="subscript"/>
          <w:lang w:val="en-US"/>
        </w:rPr>
        <w:t>2</w:t>
      </w:r>
      <w:r>
        <w:rPr>
          <w:rFonts w:ascii="Calibri" w:hAnsi="Calibri"/>
          <w:noProof w:val="0"/>
          <w:sz w:val="24"/>
          <w:szCs w:val="24"/>
          <w:lang w:val="en-US"/>
        </w:rPr>
        <w:t>P (201) surface. (b) Top view of the optimized structure of Cr</w:t>
      </w:r>
      <w:r>
        <w:rPr>
          <w:rFonts w:ascii="Calibri" w:hAnsi="Calibri"/>
          <w:noProof w:val="0"/>
          <w:sz w:val="24"/>
          <w:szCs w:val="24"/>
          <w:vertAlign w:val="subscript"/>
          <w:lang w:val="en-US"/>
        </w:rPr>
        <w:t>0.2</w:t>
      </w:r>
      <w:r>
        <w:rPr>
          <w:rFonts w:ascii="Calibri" w:hAnsi="Calibri"/>
          <w:noProof w:val="0"/>
          <w:sz w:val="24"/>
          <w:szCs w:val="24"/>
          <w:lang w:val="en-US"/>
        </w:rPr>
        <w:t>Co</w:t>
      </w:r>
      <w:r>
        <w:rPr>
          <w:rFonts w:ascii="Calibri" w:hAnsi="Calibri"/>
          <w:noProof w:val="0"/>
          <w:sz w:val="24"/>
          <w:szCs w:val="24"/>
          <w:vertAlign w:val="subscript"/>
          <w:lang w:val="en-US"/>
        </w:rPr>
        <w:t>1.8</w:t>
      </w:r>
      <w:r>
        <w:rPr>
          <w:rFonts w:ascii="Calibri" w:hAnsi="Calibri"/>
          <w:noProof w:val="0"/>
          <w:sz w:val="24"/>
          <w:szCs w:val="24"/>
          <w:lang w:val="en-US"/>
        </w:rPr>
        <w:t>P (201) surface. (blue: Co; pink: P; grey: Cr) (c) The Bader charge analysis for Co2 atom in Co</w:t>
      </w:r>
      <w:r>
        <w:rPr>
          <w:rFonts w:ascii="Calibri" w:hAnsi="Calibri"/>
          <w:noProof w:val="0"/>
          <w:sz w:val="24"/>
          <w:szCs w:val="24"/>
          <w:vertAlign w:val="subscript"/>
          <w:lang w:val="en-US"/>
        </w:rPr>
        <w:t>2</w:t>
      </w:r>
      <w:r>
        <w:rPr>
          <w:rFonts w:ascii="Calibri" w:hAnsi="Calibri"/>
          <w:noProof w:val="0"/>
          <w:sz w:val="24"/>
          <w:szCs w:val="24"/>
          <w:lang w:val="en-US"/>
        </w:rPr>
        <w:t>P (201) surface and Cr atom in Cr</w:t>
      </w:r>
      <w:r>
        <w:rPr>
          <w:rFonts w:ascii="Calibri" w:hAnsi="Calibri"/>
          <w:noProof w:val="0"/>
          <w:sz w:val="24"/>
          <w:szCs w:val="24"/>
          <w:vertAlign w:val="subscript"/>
          <w:lang w:val="en-US"/>
        </w:rPr>
        <w:t>0.2</w:t>
      </w:r>
      <w:r>
        <w:rPr>
          <w:rFonts w:ascii="Calibri" w:hAnsi="Calibri"/>
          <w:noProof w:val="0"/>
          <w:sz w:val="24"/>
          <w:szCs w:val="24"/>
          <w:lang w:val="en-US"/>
        </w:rPr>
        <w:t>Co</w:t>
      </w:r>
      <w:r>
        <w:rPr>
          <w:rFonts w:ascii="Calibri" w:hAnsi="Calibri"/>
          <w:noProof w:val="0"/>
          <w:sz w:val="24"/>
          <w:szCs w:val="24"/>
          <w:vertAlign w:val="subscript"/>
          <w:lang w:val="en-US"/>
        </w:rPr>
        <w:t>1.8</w:t>
      </w:r>
      <w:r>
        <w:rPr>
          <w:rFonts w:ascii="Calibri" w:hAnsi="Calibri"/>
          <w:noProof w:val="0"/>
          <w:sz w:val="24"/>
          <w:szCs w:val="24"/>
          <w:lang w:val="en-US"/>
        </w:rPr>
        <w:t xml:space="preserve">P (201) surface. The insert is the water molecule structure and corresponding Bader charge analysis. (d) The calculated water adsorption free energies on </w:t>
      </w:r>
      <w:r>
        <w:rPr>
          <w:rFonts w:ascii="Calibri" w:hAnsi="Calibri"/>
          <w:noProof w:val="0"/>
          <w:sz w:val="24"/>
          <w:szCs w:val="24"/>
          <w:lang w:val="en-US"/>
        </w:rPr>
        <w:lastRenderedPageBreak/>
        <w:t>Co</w:t>
      </w:r>
      <w:r>
        <w:rPr>
          <w:rFonts w:ascii="Calibri" w:hAnsi="Calibri"/>
          <w:noProof w:val="0"/>
          <w:sz w:val="24"/>
          <w:szCs w:val="24"/>
          <w:vertAlign w:val="subscript"/>
          <w:lang w:val="en-US"/>
        </w:rPr>
        <w:t>2</w:t>
      </w:r>
      <w:r>
        <w:rPr>
          <w:rFonts w:ascii="Calibri" w:hAnsi="Calibri"/>
          <w:noProof w:val="0"/>
          <w:sz w:val="24"/>
          <w:szCs w:val="24"/>
          <w:lang w:val="en-US"/>
        </w:rPr>
        <w:t>P (201) and Cr</w:t>
      </w:r>
      <w:r>
        <w:rPr>
          <w:rFonts w:ascii="Calibri" w:hAnsi="Calibri"/>
          <w:noProof w:val="0"/>
          <w:sz w:val="24"/>
          <w:szCs w:val="24"/>
          <w:vertAlign w:val="subscript"/>
          <w:lang w:val="en-US"/>
        </w:rPr>
        <w:t>0.2</w:t>
      </w:r>
      <w:r>
        <w:rPr>
          <w:rFonts w:ascii="Calibri" w:hAnsi="Calibri"/>
          <w:noProof w:val="0"/>
          <w:sz w:val="24"/>
          <w:szCs w:val="24"/>
          <w:lang w:val="en-US"/>
        </w:rPr>
        <w:t>Co</w:t>
      </w:r>
      <w:r>
        <w:rPr>
          <w:rFonts w:ascii="Calibri" w:hAnsi="Calibri"/>
          <w:noProof w:val="0"/>
          <w:sz w:val="24"/>
          <w:szCs w:val="24"/>
          <w:vertAlign w:val="subscript"/>
          <w:lang w:val="en-US"/>
        </w:rPr>
        <w:t>1.8</w:t>
      </w:r>
      <w:r>
        <w:rPr>
          <w:rFonts w:ascii="Calibri" w:hAnsi="Calibri"/>
          <w:noProof w:val="0"/>
          <w:sz w:val="24"/>
          <w:szCs w:val="24"/>
          <w:lang w:val="en-US"/>
        </w:rPr>
        <w:t>P (201) surfaces. (e) The free energy diagrams (FED) for HER on Co</w:t>
      </w:r>
      <w:r>
        <w:rPr>
          <w:rFonts w:ascii="Calibri" w:hAnsi="Calibri"/>
          <w:noProof w:val="0"/>
          <w:sz w:val="24"/>
          <w:szCs w:val="24"/>
          <w:vertAlign w:val="subscript"/>
          <w:lang w:val="en-US"/>
        </w:rPr>
        <w:t>2</w:t>
      </w:r>
      <w:r>
        <w:rPr>
          <w:rFonts w:ascii="Calibri" w:hAnsi="Calibri"/>
          <w:noProof w:val="0"/>
          <w:sz w:val="24"/>
          <w:szCs w:val="24"/>
          <w:lang w:val="en-US"/>
        </w:rPr>
        <w:t>P (201) and Cr</w:t>
      </w:r>
      <w:r>
        <w:rPr>
          <w:rFonts w:ascii="Calibri" w:hAnsi="Calibri"/>
          <w:noProof w:val="0"/>
          <w:sz w:val="24"/>
          <w:szCs w:val="24"/>
          <w:vertAlign w:val="subscript"/>
          <w:lang w:val="en-US"/>
        </w:rPr>
        <w:t>0.2</w:t>
      </w:r>
      <w:r>
        <w:rPr>
          <w:rFonts w:ascii="Calibri" w:hAnsi="Calibri"/>
          <w:noProof w:val="0"/>
          <w:sz w:val="24"/>
          <w:szCs w:val="24"/>
          <w:lang w:val="en-US"/>
        </w:rPr>
        <w:t>Co</w:t>
      </w:r>
      <w:r>
        <w:rPr>
          <w:rFonts w:ascii="Calibri" w:hAnsi="Calibri"/>
          <w:noProof w:val="0"/>
          <w:sz w:val="24"/>
          <w:szCs w:val="24"/>
          <w:vertAlign w:val="subscript"/>
          <w:lang w:val="en-US"/>
        </w:rPr>
        <w:t>1.8</w:t>
      </w:r>
      <w:r>
        <w:rPr>
          <w:rFonts w:ascii="Calibri" w:hAnsi="Calibri"/>
          <w:noProof w:val="0"/>
          <w:sz w:val="24"/>
          <w:szCs w:val="24"/>
          <w:lang w:val="en-US"/>
        </w:rPr>
        <w:t>P (201) surfaces. (f) The d-orbital local density of states (d-LDOS) of Co1 in Co</w:t>
      </w:r>
      <w:r>
        <w:rPr>
          <w:rFonts w:ascii="Calibri" w:hAnsi="Calibri"/>
          <w:noProof w:val="0"/>
          <w:sz w:val="24"/>
          <w:szCs w:val="24"/>
          <w:vertAlign w:val="subscript"/>
          <w:lang w:val="en-US"/>
        </w:rPr>
        <w:t>2</w:t>
      </w:r>
      <w:r>
        <w:rPr>
          <w:rFonts w:ascii="Calibri" w:hAnsi="Calibri"/>
          <w:noProof w:val="0"/>
          <w:sz w:val="24"/>
          <w:szCs w:val="24"/>
          <w:lang w:val="en-US"/>
        </w:rPr>
        <w:t>P (201) and Cr</w:t>
      </w:r>
      <w:r>
        <w:rPr>
          <w:rFonts w:ascii="Calibri" w:hAnsi="Calibri"/>
          <w:noProof w:val="0"/>
          <w:sz w:val="24"/>
          <w:szCs w:val="24"/>
          <w:vertAlign w:val="subscript"/>
          <w:lang w:val="en-US"/>
        </w:rPr>
        <w:t>0.2</w:t>
      </w:r>
      <w:r>
        <w:rPr>
          <w:rFonts w:ascii="Calibri" w:hAnsi="Calibri"/>
          <w:noProof w:val="0"/>
          <w:sz w:val="24"/>
          <w:szCs w:val="24"/>
          <w:lang w:val="en-US"/>
        </w:rPr>
        <w:t>Co</w:t>
      </w:r>
      <w:r>
        <w:rPr>
          <w:rFonts w:ascii="Calibri" w:hAnsi="Calibri"/>
          <w:noProof w:val="0"/>
          <w:sz w:val="24"/>
          <w:szCs w:val="24"/>
          <w:vertAlign w:val="subscript"/>
          <w:lang w:val="en-US"/>
        </w:rPr>
        <w:t>1.8</w:t>
      </w:r>
      <w:r>
        <w:rPr>
          <w:rFonts w:ascii="Calibri" w:hAnsi="Calibri"/>
          <w:noProof w:val="0"/>
          <w:sz w:val="24"/>
          <w:szCs w:val="24"/>
          <w:lang w:val="en-US"/>
        </w:rPr>
        <w:t>P (201), respectively. The blue and red dashed lines represent the positions of d-band center for doped and undoped surfaces. (g) Free energy diagram of OER on Co</w:t>
      </w:r>
      <w:r>
        <w:rPr>
          <w:rFonts w:ascii="Calibri" w:hAnsi="Calibri"/>
          <w:noProof w:val="0"/>
          <w:sz w:val="24"/>
          <w:szCs w:val="24"/>
          <w:vertAlign w:val="subscript"/>
          <w:lang w:val="en-US"/>
        </w:rPr>
        <w:t>3</w:t>
      </w:r>
      <w:r>
        <w:rPr>
          <w:rFonts w:ascii="Calibri" w:hAnsi="Calibri"/>
          <w:noProof w:val="0"/>
          <w:sz w:val="24"/>
          <w:szCs w:val="24"/>
          <w:lang w:val="en-US"/>
        </w:rPr>
        <w:t>O</w:t>
      </w:r>
      <w:r>
        <w:rPr>
          <w:rFonts w:ascii="Calibri" w:hAnsi="Calibri"/>
          <w:noProof w:val="0"/>
          <w:sz w:val="24"/>
          <w:szCs w:val="24"/>
          <w:vertAlign w:val="subscript"/>
          <w:lang w:val="en-US"/>
        </w:rPr>
        <w:t>4</w:t>
      </w:r>
      <w:r>
        <w:rPr>
          <w:rFonts w:ascii="Calibri" w:hAnsi="Calibri"/>
          <w:noProof w:val="0"/>
          <w:sz w:val="24"/>
          <w:szCs w:val="24"/>
          <w:lang w:val="en-US"/>
        </w:rPr>
        <w:t xml:space="preserve"> (001) surface, Cr sites and Co sites of Cr-Co</w:t>
      </w:r>
      <w:r>
        <w:rPr>
          <w:rFonts w:ascii="Calibri" w:hAnsi="Calibri"/>
          <w:noProof w:val="0"/>
          <w:sz w:val="24"/>
          <w:szCs w:val="24"/>
          <w:vertAlign w:val="subscript"/>
          <w:lang w:val="en-US"/>
        </w:rPr>
        <w:t>3</w:t>
      </w:r>
      <w:r>
        <w:rPr>
          <w:rFonts w:ascii="Calibri" w:hAnsi="Calibri"/>
          <w:noProof w:val="0"/>
          <w:sz w:val="24"/>
          <w:szCs w:val="24"/>
          <w:lang w:val="en-US"/>
        </w:rPr>
        <w:t>O</w:t>
      </w:r>
      <w:r>
        <w:rPr>
          <w:rFonts w:ascii="Calibri" w:hAnsi="Calibri"/>
          <w:noProof w:val="0"/>
          <w:sz w:val="24"/>
          <w:szCs w:val="24"/>
          <w:vertAlign w:val="subscript"/>
          <w:lang w:val="en-US"/>
        </w:rPr>
        <w:t>4</w:t>
      </w:r>
      <w:r>
        <w:rPr>
          <w:rFonts w:ascii="Calibri" w:hAnsi="Calibri"/>
          <w:noProof w:val="0"/>
          <w:sz w:val="24"/>
          <w:szCs w:val="24"/>
          <w:lang w:val="en-US"/>
        </w:rPr>
        <w:t xml:space="preserve"> (001) surface, respectively.</w:t>
      </w:r>
    </w:p>
    <w:p w:rsidR="00AF31EC" w:rsidRDefault="00AC125F" w:rsidP="00AF31EC">
      <w:pPr>
        <w:pStyle w:val="RSCB02ArticleText"/>
        <w:spacing w:line="480" w:lineRule="auto"/>
        <w:rPr>
          <w:rFonts w:ascii="Times" w:hAnsi="Times" w:cs="Calibri"/>
          <w:color w:val="FF0000"/>
          <w:sz w:val="24"/>
          <w:szCs w:val="24"/>
          <w:lang w:val="en-US"/>
        </w:rPr>
      </w:pPr>
      <w:r>
        <w:rPr>
          <w:rFonts w:ascii="Times" w:hAnsi="Times" w:cs="Calibri"/>
          <w:sz w:val="24"/>
          <w:szCs w:val="24"/>
          <w:lang w:val="en-US"/>
        </w:rPr>
        <w:t>To further understand the mechanism of enhanced alkaline HER activity for Cr-Co</w:t>
      </w:r>
      <w:r>
        <w:rPr>
          <w:rFonts w:ascii="Times" w:hAnsi="Times" w:cs="Calibri"/>
          <w:sz w:val="24"/>
          <w:szCs w:val="24"/>
          <w:vertAlign w:val="subscript"/>
          <w:lang w:val="en-US"/>
        </w:rPr>
        <w:t>2</w:t>
      </w:r>
      <w:r>
        <w:rPr>
          <w:rFonts w:ascii="Times" w:hAnsi="Times" w:cs="Calibri"/>
          <w:sz w:val="24"/>
          <w:szCs w:val="24"/>
          <w:lang w:val="en-US"/>
        </w:rPr>
        <w:t>P, density functional theory (DFT) calculations have been performed. The theory models for Co</w:t>
      </w:r>
      <w:r>
        <w:rPr>
          <w:rFonts w:ascii="Times" w:hAnsi="Times" w:cs="Calibri"/>
          <w:sz w:val="24"/>
          <w:szCs w:val="24"/>
          <w:vertAlign w:val="subscript"/>
          <w:lang w:val="en-US"/>
        </w:rPr>
        <w:t>2</w:t>
      </w:r>
      <w:r>
        <w:rPr>
          <w:rFonts w:ascii="Times" w:hAnsi="Times" w:cs="Calibri"/>
          <w:sz w:val="24"/>
          <w:szCs w:val="24"/>
          <w:lang w:val="en-US"/>
        </w:rPr>
        <w:t>P and Cr-Co</w:t>
      </w:r>
      <w:r>
        <w:rPr>
          <w:rFonts w:ascii="Times" w:hAnsi="Times" w:cs="Calibri"/>
          <w:sz w:val="24"/>
          <w:szCs w:val="24"/>
          <w:vertAlign w:val="subscript"/>
          <w:lang w:val="en-US"/>
        </w:rPr>
        <w:t>2</w:t>
      </w:r>
      <w:r>
        <w:rPr>
          <w:rFonts w:ascii="Times" w:hAnsi="Times" w:cs="Calibri"/>
          <w:sz w:val="24"/>
          <w:szCs w:val="24"/>
          <w:lang w:val="en-US"/>
        </w:rPr>
        <w:t xml:space="preserve">P are shown in </w:t>
      </w:r>
      <w:r>
        <w:rPr>
          <w:rFonts w:ascii="Times" w:hAnsi="Times" w:cs="Calibri"/>
          <w:sz w:val="24"/>
          <w:szCs w:val="24"/>
          <w:lang w:val="en-US" w:eastAsia="zh-CN"/>
        </w:rPr>
        <w:t>Figure 5 (</w:t>
      </w:r>
      <w:r>
        <w:rPr>
          <w:rFonts w:ascii="Times" w:hAnsi="Times" w:cs="Calibri"/>
          <w:sz w:val="24"/>
          <w:szCs w:val="24"/>
          <w:lang w:val="en-US"/>
        </w:rPr>
        <w:t xml:space="preserve">a) and (b), respectively (more details in Supporting Information). We have firstly calculated the work functions </w:t>
      </w:r>
      <w:r>
        <w:rPr>
          <w:rFonts w:ascii="Times" w:hAnsi="Times" w:cs="Calibri"/>
          <w:sz w:val="24"/>
          <w:szCs w:val="24"/>
        </w:rPr>
        <w:t>(</w:t>
      </w:r>
      <w:r>
        <w:rPr>
          <w:rFonts w:ascii="Times" w:hAnsi="Times" w:cs="Calibri"/>
          <w:sz w:val="24"/>
          <w:szCs w:val="24"/>
        </w:rPr>
        <w:sym w:font="Symbol" w:char="F046"/>
      </w:r>
      <w:r>
        <w:rPr>
          <w:rFonts w:ascii="Times" w:hAnsi="Times" w:cs="Calibri"/>
          <w:sz w:val="24"/>
          <w:szCs w:val="24"/>
        </w:rPr>
        <w:t xml:space="preserve">) before and after Cr doping. As shown in Figure S8 (a), </w:t>
      </w:r>
      <w:r w:rsidRPr="00C643B6">
        <w:rPr>
          <w:rFonts w:ascii="Times" w:hAnsi="Times" w:cs="Calibri"/>
          <w:sz w:val="24"/>
          <w:szCs w:val="24"/>
        </w:rPr>
        <w:t>it is clear that after</w:t>
      </w:r>
      <w:r>
        <w:rPr>
          <w:rFonts w:ascii="Times" w:hAnsi="Times" w:cs="Calibri"/>
          <w:sz w:val="24"/>
          <w:szCs w:val="24"/>
        </w:rPr>
        <w:t xml:space="preserve"> Cr doping, the </w:t>
      </w:r>
      <w:r>
        <w:rPr>
          <w:rFonts w:ascii="Times" w:hAnsi="Times" w:cs="Calibri"/>
          <w:sz w:val="24"/>
          <w:szCs w:val="24"/>
        </w:rPr>
        <w:sym w:font="Symbol" w:char="F046"/>
      </w:r>
      <w:r>
        <w:rPr>
          <w:rFonts w:ascii="Times" w:hAnsi="Times" w:cs="Calibri"/>
          <w:sz w:val="24"/>
          <w:szCs w:val="24"/>
        </w:rPr>
        <w:t xml:space="preserve"> decreases, implying that the electrons transfer faster from the electrode into reactant. Moreover, the calculated total density of states (TDOS) (Figure S8 (b)) demonstrates that the electronic energy level shifts slightly to the right after Cr doping, leading to the electron distribution closer to the Fermi level. As shown in the inset of Figure S8 (b), there are more electron states around Fermi level due to Cr doping. The above change characteristics of the energy level also indicate that the electron transfer kinetics is faster after Cr doping. Besides, </w:t>
      </w:r>
      <w:r>
        <w:rPr>
          <w:rFonts w:ascii="Times" w:hAnsi="Times" w:cs="Calibri"/>
          <w:sz w:val="24"/>
          <w:szCs w:val="24"/>
          <w:lang w:val="en-US"/>
        </w:rPr>
        <w:t>figure S9 shows that the hydrogen and water adsorption sites are the Co1 – Co2 bridge and Co2 top sites, respectively, on Co</w:t>
      </w:r>
      <w:r>
        <w:rPr>
          <w:rFonts w:ascii="Times" w:hAnsi="Times" w:cs="Calibri"/>
          <w:sz w:val="24"/>
          <w:szCs w:val="24"/>
          <w:vertAlign w:val="subscript"/>
          <w:lang w:val="en-US"/>
        </w:rPr>
        <w:t>2</w:t>
      </w:r>
      <w:r>
        <w:rPr>
          <w:rFonts w:ascii="Times" w:hAnsi="Times" w:cs="Calibri"/>
          <w:sz w:val="24"/>
          <w:szCs w:val="24"/>
          <w:lang w:val="en-US"/>
        </w:rPr>
        <w:t>P (201) surface, which are in line with previous reports.</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{"citationItems":[{"id":"ITEM-1","itemData":{"DOI":"10.1002/adma.201800140","ISSN":"15214095","abstract":"© 2018 WILEY-VCH Verlag GmbH &amp; Co. KGaA, Weinheim. Hydrogen production is the key step for the future hydrogen economy. As a promising H 2 production route, electrolysis of water suffers from high overpotentials and high energy consumption. This study proposes an N-doped CoP as the novel and effective electrocatalyst for hydrogen evolution reaction (HER) and constructs a coupled system for simultaneous hydrogen and sulfur production. Nitrogen doping lowers the d-band of CoP and weakens the H adsorption on the surface of CoP because of the strong electronegativity of nitrogen as compared to phosphorus. The H adsorption that is close to thermos-neutral states enables the effective electrolysis of the HER. Only -42 mV is required to drive a current density of -10 mA cm -2 for the HER. The oxygen evolution reaction in the anode is replaced by the oxidation reaction of Fe 2+ , which is regenerated by a coupled H 2 S absorption reaction. The coupled system can significantly reduce the energy consumption of the HER and recover useful sulfur sources.","author":[{"dropping-particle":"","family":"Zhou","given":"Qingwen","non-dropping-particle":"","parse-names":false,"suffix":""},{"dropping-particle":"","family":"Shen","given":"Zihan","non-dropping-particle":"","parse-names":false,"suffix":""},{"dropping-particle":"","family":"Zhu","given":"Chao","non-dropping-particle":"","parse-names":false,"suffix":""},{"dropping-particle":"","family":"Li","given":"Jiachen","non-dropping-particle":"","parse-names":false,"suffix":""},{"dropping-particle":"","family":"Ding","given":"Zhiyuan","non-dropping-particle":"","parse-names":false,"suffix":""},{"dropping-particle":"","family":"Wang","given":"Peng","non-dropping-particle":"","parse-names":false,"suffix":""},{"dropping-particle":"","family":"Pan","given":"Feng","non-dropping-particle":"","parse-names":false,"suffix":""},{"dropping-particle":"","family":"Zhang","given":"Zhiyong","non-dropping-particle":"","parse-names":false,"suffix":""},{"dropping-particle":"","family":"Ma","given":"Haixia","non-dropping-particle":"","parse-names":false,"suffix":""},{"dropping-particle":"","family":"Wang","given":"Shuangyin","non-dropping-particle":"","parse-names":false,"suffix":""},{"dropping-particle":"","family":"Zhang","given":"Huigang","non-dropping-particle":"","parse-names":false,"suffix":""}],"container-title":"Advanced Materials","id":"ITEM-1","issue":"27","issued":{"date-parts":[["2018"]]},"page":"1-8","title":"Nitrogen-Doped CoP Electrocatalysts for Coupled Hydrogen Evolution and Sulfur Generation with Low Energy Consumption","type":"article-journal","volume":"30"},"uris":["http://www.mendeley.com/documents/?uuid=2dff8b76-d291-4881-a52f-51558f29f29e"]},{"id":"ITEM-2","itemData":{"DOI":"10.1002/aenm.201700020","ISSN":"16146840","abstract":"© 2017 WILEY-VCH Verlag GmbH &amp; Co. KGaA, Weinheim.As a non-toxic species, Zn fulfills a multitude of biological roles, but its promoting effect on electrocatalysis has been rarely explored. Herein, the theoretic predications and experimental investigations that nonelectroactive Zn behaves as an effective promoter for CoP-catalyzed hydrogen evolution reaction (HER) in both acidic and alkaline media is reported. Density function theory calculations reveal that Zn doing leads to more thermal-neutral hydrogen adsorption free energy and thus enhanced HER activity for CoP catalyst. Electrochemical tests show that a Zn0.08Co0.92P nanowall array on titanium mesh (Zn0.08Co0.92P/TM) needs overpotentials of only 39 and 67 mV to drive a geometrical catalytic current of 10 mA cm-2 in 0.5 m H2SO4 and 1.0 m KOH, respectively. This Zn0.08Co0.92P/TM is also superior in activity over CoP/TM for urea oxidation reaction (UOR), driving 115 mA cm-2 at 0.6 V in 1.0 m KOH with 0.5 m urea. The high HER and UOR activity of this bifunctional electrode enables a Zn0.08Co0.92P/TM-based two-electrode electrolyzer for energy-saving hydrogen production, offering 10 mA cm-2 at a low voltage of 1.38 V with strong long-term electrochemical stability.","author":[{"dropping-particle":"","family":"Liu","given":"Tingting","non-dropping-particle":"","parse-names":false,"suffix":""},{"dropping-particle":"","family":"Liu","given":"Danni","non-dropping-particle":"","parse-names":false,"suffix":""},{"dropping-particle":"","family":"Qu","given":"Fengli","non-dropping-particle":"","parse-names":false,"suffix":""},{"dropping-particle":"","family":"Wang","given":"Dengxing","non-dropping-particle":"","parse-names":false,"suffix":""},{"dropping-particle":"","family":"Zhang","given":"Ling","non-dropping-particle":"","parse-names":false,"suffix":""},{"dropping-particle":"","family":"Ge","given":"Ruixiang","non-dropping-particle":"","parse-names":false,"suffix":""},{"dropping-particle":"","family":"Hao","given":"Shuai","non-dropping-particle":"","parse-names":false,"suffix":""},{"dropping-particle":"","family":"Ma","given":"Yongjun","non-dropping-particle":"","parse-names":false,"suffix":""},{"dropping-particle":"","family":"Du","given":"Gu","non-dropping-particle":"","parse-names":false,"suffix":""},{"dropping-particle":"","family":"Asiri","given":"Abdullah M.","non-dropping-particle":"","parse-names":false,"suffix":""},{"dropping-particle":"","family":"Chen","given":"Liang","non-dropping-particle":"","parse-names":false,"suffix":""},{"dropping-particle":"","family":"Sun","given":"Xuping","non-dropping-particle":"","parse-names":false,"suffix":""}],"container-title":"Advanced Energy Materials","id":"ITEM-2","issue":"15","issued":{"date-parts":[["2017"]]},"title":"Enhanced Electrocatalysis for Energy-Efficient Hydrogen Production over CoP Catalyst with Nonelectroactive Zn as a Promoter","type":"article-journal","volume":"7"},"uris":["http://www.mendeley.com/documents/?uuid=f733409c-e042-48c6-ae6e-e6db723cd5bf"]},{"id":"ITEM-3","itemData":{"DOI":"10.1016/j.apcatb.2019.04.038","ISSN":"0926-3373","author":[{"dropping-particle":"","family":"Men","given":"Yana","non-dropping-particle":"","parse-names":false,"suffix":""},{"dropping-particle":"","family":"Li","given":"Peng","non-dropping-particle":"","parse-names":false,"suffix":""},{"dropping-particle":"","family":"Yang","given":"Fulin","non-dropping-particle":"","parse-names":false,"suffix":""},{"dropping-particle":"","family":"Cheng","given":"Gongzhen","non-dropping-particle":"","parse-names":false,"suffix":""},{"dropping-particle":"","family":"Chen","given":"Shengli","non-dropping-particle":"","parse-names":false,"suffix":""},{"dropping-particle":"","family":"Luo","given":"Wei","non-dropping-particle":"","parse-names":false,"suffix":""}],"container-title":"Applied Catalysis B: Environmental","id":"ITEM-3","issue":"April","issued":{"date-parts":[["2019"]]},"page":"21-27","publisher":"Elsevier","title":"Applied Catalysis B : Environmental Nitrogen-doped CoP as robust electrocatalyst for high-e ffi ciency pH- universal hydrogen evolution reaction","type":"article-journal","volume":"253"},"uris":["http://www.mendeley.com/documents/?uuid=46197a85-4a48-4a1b-9e15-72220f483411"]}],"mendeley":{"formattedCitation":"&lt;sup&gt;28,36,37&lt;/sup&gt;","plainTextFormattedCitation":"28,36,37","previouslyFormattedCitation":"&lt;sup&gt;28,36,37&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28,36,37</w:t>
      </w:r>
      <w:r>
        <w:rPr>
          <w:rFonts w:ascii="Times" w:hAnsi="Times" w:cs="Calibri"/>
          <w:sz w:val="24"/>
          <w:szCs w:val="24"/>
          <w:lang w:val="en-US"/>
        </w:rPr>
        <w:fldChar w:fldCharType="end"/>
      </w:r>
      <w:r>
        <w:rPr>
          <w:rFonts w:ascii="Times" w:hAnsi="Times" w:cs="Calibri"/>
          <w:sz w:val="24"/>
          <w:szCs w:val="24"/>
          <w:lang w:val="en-US"/>
        </w:rPr>
        <w:t xml:space="preserve"> As mentioned above, the adsorption and activation of water are also crucial for whole HER performance in alkaline solution.</w:t>
      </w:r>
      <w:r>
        <w:rPr>
          <w:rFonts w:ascii="Times" w:hAnsi="Times" w:cs="Calibri"/>
          <w:sz w:val="24"/>
          <w:szCs w:val="24"/>
          <w:lang w:val="en-US"/>
        </w:rPr>
        <w:fldChar w:fldCharType="begin" w:fldLock="1"/>
      </w:r>
      <w:r>
        <w:rPr>
          <w:rFonts w:ascii="Times" w:hAnsi="Times" w:cs="Calibri"/>
          <w:sz w:val="24"/>
          <w:szCs w:val="24"/>
          <w:lang w:val="en-US"/>
        </w:rPr>
        <w:instrText xml:space="preserve">ADDIN CSL_CITATION {"citationItems":[{"id":"ITEM-1","itemData":{"DOI":"10.1002/anie.201204842","ISSN":"14337851","abstract":"Active in alkaline environment: The activity of nickel, silver, and copper catalysts for the electrochemical transformation of water to molecular hydrogen in alkaline solutions was enhanced by modification of the metal surfaces by Ni(OH)(2) (see picture; I = current density and </w:instrText>
      </w:r>
      <w:r>
        <w:rPr>
          <w:rFonts w:ascii="Times" w:hAnsi="Times" w:cs="Calibri" w:hint="eastAsia"/>
          <w:sz w:val="24"/>
          <w:szCs w:val="24"/>
          <w:lang w:val="en-US"/>
        </w:rPr>
        <w:instrText>η</w:instrText>
      </w:r>
      <w:r>
        <w:rPr>
          <w:rFonts w:ascii="Times" w:hAnsi="Times" w:cs="Calibri"/>
          <w:sz w:val="24"/>
          <w:szCs w:val="24"/>
          <w:lang w:val="en-US"/>
        </w:rPr>
        <w:instrText xml:space="preserve"> = overpotential). The hydrogen evolution reaction rate on a Ni electrode modified by Ni(OH)(2) nanoclusters is about four times higher than on a bare Ni surface.","author":[{"dropping-particle":"","family":"Danilovic","given":"N","non-dropping-particle":"","parse-names":false,"suffix":""},{"dropping-particle":"","family":"Subbaraman","given":"Ram","non-dropping-particle":"","parse-names":false,"suffix":""},{"dropping-particle":"","family":"Strmcnik","given":"D","non-dropping-particle":"","parse-names":false,"suffix":""},{"dropping-particle":"","family":"Chang","given":"Kee Chul","non-dropping-particle":"","parse-names":false,"suffix":""},{"dropping-particle":"","family":"Paulikas","given":"A P","non-dropping-particle":"","parse-names":false,"suffix":""},{"dropping-particle":"","family":"Stamenkovic","given":"V R","non-dropping-particle":"","parse-names":false,"suffix":""},{"dropping-particle":"","family":"Markovic","given":"Nenad M","non-dropping-particle":"","parse-names":false,"suffix":""}],"container-title":"Angewandte Chemie - International Edition","id":"ITEM-1","issue":"50","issued":{"date-parts":[["2012"]]},"page":"12495-12498","title":"Enhancing the alkaline hydrogen evolution reaction activity through the bifunctionality of Ni(OH)2/metal catalysts","type":"article-journal","volume":"51"},"uris":["http://www.mendeley.com/documents/?uuid=8b7868b8-73fb-4911-98c9-32c888241e71"]},{"id":"ITEM-2","itemData":{"DOI":"10.1038/nchem.1574","ISSN":"1755-4349","PMID":"23511418","abstract":"The development of hydrogen-based energy sources as viable alternatives to fossil-fuel technologies has revolutionized clean energy production using fuel cells. However, to date, the slow rate of the hydrogen oxidation reaction (HOR) in alkaline environments has hindered advances in alkaline fuel cell systems. Here, we address this by studying the trends in the activity of the HOR in alkaline environments. We demonstrate that it can be enhanced more than fivefold compared to state-of-the-art platinum catalysts. The maximum activity is found for materials (Ir and Pt</w:instrText>
      </w:r>
      <w:r>
        <w:rPr>
          <w:rFonts w:ascii="Cambria Math" w:hAnsi="Cambria Math" w:cs="Cambria Math"/>
          <w:sz w:val="24"/>
          <w:szCs w:val="24"/>
          <w:lang w:val="en-US"/>
        </w:rPr>
        <w:instrText>₀</w:instrText>
      </w:r>
      <w:r>
        <w:rPr>
          <w:rFonts w:ascii="Times" w:hAnsi="Times" w:cs="Calibri"/>
          <w:sz w:val="24"/>
          <w:szCs w:val="24"/>
          <w:lang w:val="en-US"/>
        </w:rPr>
        <w:instrText>.</w:instrText>
      </w:r>
      <w:r>
        <w:rPr>
          <w:rFonts w:ascii="Cambria Math" w:hAnsi="Cambria Math" w:cs="Cambria Math"/>
          <w:sz w:val="24"/>
          <w:szCs w:val="24"/>
          <w:lang w:val="en-US"/>
        </w:rPr>
        <w:instrText>₁</w:instrText>
      </w:r>
      <w:r>
        <w:rPr>
          <w:rFonts w:ascii="Times" w:hAnsi="Times" w:cs="Calibri"/>
          <w:sz w:val="24"/>
          <w:szCs w:val="24"/>
          <w:lang w:val="en-US"/>
        </w:rPr>
        <w:instrText>Ru</w:instrText>
      </w:r>
      <w:r>
        <w:rPr>
          <w:rFonts w:ascii="Cambria Math" w:hAnsi="Cambria Math" w:cs="Cambria Math"/>
          <w:sz w:val="24"/>
          <w:szCs w:val="24"/>
          <w:lang w:val="en-US"/>
        </w:rPr>
        <w:instrText>₀</w:instrText>
      </w:r>
      <w:r>
        <w:rPr>
          <w:rFonts w:ascii="Times" w:hAnsi="Times" w:cs="Calibri"/>
          <w:sz w:val="24"/>
          <w:szCs w:val="24"/>
          <w:lang w:val="en-US"/>
        </w:rPr>
        <w:instrText>.</w:instrText>
      </w:r>
      <w:r>
        <w:rPr>
          <w:rFonts w:ascii="Cambria Math" w:hAnsi="Cambria Math" w:cs="Cambria Math"/>
          <w:sz w:val="24"/>
          <w:szCs w:val="24"/>
          <w:lang w:val="en-US"/>
        </w:rPr>
        <w:instrText>₉</w:instrText>
      </w:r>
      <w:r>
        <w:rPr>
          <w:rFonts w:ascii="Times" w:hAnsi="Times" w:cs="Calibri"/>
          <w:sz w:val="24"/>
          <w:szCs w:val="24"/>
          <w:lang w:val="en-US"/>
        </w:rPr>
        <w:instrText>) with an optimal balance between the active sites that are required for the adsorption/dissociation of H</w:instrText>
      </w:r>
      <w:r>
        <w:rPr>
          <w:rFonts w:ascii="Cambria Math" w:hAnsi="Cambria Math" w:cs="Cambria Math"/>
          <w:sz w:val="24"/>
          <w:szCs w:val="24"/>
          <w:lang w:val="en-US"/>
        </w:rPr>
        <w:instrText>₂</w:instrText>
      </w:r>
      <w:r>
        <w:rPr>
          <w:rFonts w:ascii="Times" w:hAnsi="Times" w:cs="Calibri"/>
          <w:sz w:val="24"/>
          <w:szCs w:val="24"/>
          <w:lang w:val="en-US"/>
        </w:rPr>
        <w:instrText xml:space="preserve"> and for the adsorption of hydroxyl species (OHad). We propose that the more oxophilic sites on Ir (defects) and PtRu material (Ru atoms) electrodes facilitate the adsorption of OHad species. Those then react with the hydrogen intermediates (Had) that are adsorbed on more noble surface sites.","author":[{"dropping-particle":"","family":"Strmcnik","given":"Dusan","non-dropping-particle":"","parse-names":false,"suffix":""},{"dropping-particle":"","family":"Uchimura","given":"Masanobu","non-dropping-particle":"","parse-names":false,"suffix":""},{"dropping-particle":"","family":"Wang","given":"Chao","non-dropping-particle":"","parse-names":false,"suffix":""},{"dropping-particle":"","family":"Subbaraman","given":"Ram","non-dropping-particle":"","parse-names":false,"suffix":""},{"dropping-particle":"","family":"Danilovic","given":"Nemanja","non-dropping-particle":"","parse-names":false,"suffix":""},{"dropping-particle":"","family":"Vliet","given":"Dennis","non-dropping-particle":"van der","parse-names":false,"suffix":""},{"dropping-particle":"","family":"Paulikas","given":"Arvydas P","non-dropping-particle":"","parse-names":false,"suffix":""},{"dropping-particle":"","family":"Stamenkovic","given":"Vojislav R","non-dropping-particle":"","parse-names":false,"suffix":""},{"dropping-particle":"","family":"Markovic","given":"Nenad M","non-dropping-particle":"","parse-names":false,"suffix":""}],"container-title":"Nature chemistry","id":"ITEM-2","issue":"4","issued":{"date-parts":[["2013"]]},"page":"300-6","publisher":"Nature Publishing Group","title":"Improving the hydrogen oxidation reaction rate by promotion of hydroxyl adsorption.","type":"article-journal","volume":"5"},"uris":["http://www.mendeley.com/documents/?uuid=c732c2a8-0d32-4013-b9cf-25cf67272806"]},{"id":"ITEM-3","itemData":{"DOI":"10.1021/jacs.8b04006","ISSN":"15205126","abstract":"© 2018 American Chemical Society. Hydrogen oxidation reaction (HOR) and hydrogen evolution reac-tion (HER) are both two orders slower in alkaline electrolyte than in acidic electrolyte, but no explanation has been provided. The first step towards understanding this dramatic pH-dependent HOR/HER performance is to explain the pH-dependent hydrogen binding to the electrode, a perplexing behavior observed experimentally. In this work, we carried out Quantum Mechanics Molecular Dynam-ics (QMMD) with explicit considerations of solvent and applied voltage (U) to in situ simulate water/Pt (100) interface in the condi-tion of under-potential adsorption of hydrogen (HUPD). We found that as U is made more negative, the electrode tends to repel water, which in turn increases the hydrogen binding. We predicted a 0.13 eV increase in hydrogen binding from pH = 0.2 to pH = 12.8 with a slope of 10 meV/pH, which is close to the experimental observa-tion of 8 to 12 meV/pH. Thus, we conclude that the changes in water adsorption are the major causes of pH-dependent hydrogen binding on a noble metal. The new insight of critical role of surface water in modifying electrochemical reactions provides a guideline in designing HER/HOR catalyst targeting for the alkaline electrolyte.","author":[{"dropping-particle":"","family":"Cheng","given":"Tao","non-dropping-particle":"","parse-names":false,"suffix":""},{"dropping-particle":"","family":"Wang","given":"Lu","non-dropping-particle":"","parse-names":false,"suffix":""},{"dropping-particle":"V","family":"Merinov","given":"Boris","non-dropping-particle":"","parse-names":false,"suffix":""},{"dropping-particle":"","family":"Goddard","given":"William A","non-dropping-particle":"","parse-names":false,"suffix":""}],"container-title":"Journal of the American Chemical Society","genre":"rapid-communication","id":"ITEM-3","issue":"25","issued":{"date-parts":[["2018"]]},"page":"7787-7790","publisher":"American Chemical Society","title":"Explanation of Dramatic pH-Dependence of Hydrogen Binding on Noble Metal Electrode: Greatly Weakened Water Adsorption at High pH","type":"article-journal","volume":"140"},"uris":["http://www.mendeley.com/documents/?uuid=dedcb924-340a-4772-a7e4-7492e132b056"]}],"mendeley":{"formattedCitation":"&lt;sup&gt;38–40&lt;/sup&gt;","plainTextFormattedCitation":"38–40","previouslyFormattedCitation":"&lt;sup&gt;38–40&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38–40</w:t>
      </w:r>
      <w:r>
        <w:rPr>
          <w:rFonts w:ascii="Times" w:hAnsi="Times" w:cs="Calibri"/>
          <w:sz w:val="24"/>
          <w:szCs w:val="24"/>
          <w:lang w:val="en-US"/>
        </w:rPr>
        <w:fldChar w:fldCharType="end"/>
      </w:r>
      <w:r>
        <w:rPr>
          <w:rFonts w:ascii="Times" w:hAnsi="Times" w:cs="Calibri"/>
          <w:sz w:val="24"/>
          <w:szCs w:val="24"/>
          <w:vertAlign w:val="superscript"/>
          <w:lang w:val="en-US"/>
        </w:rPr>
        <w:t xml:space="preserve"> </w:t>
      </w:r>
      <w:r>
        <w:rPr>
          <w:rFonts w:ascii="Times" w:hAnsi="Times" w:cs="Calibri"/>
          <w:sz w:val="24"/>
          <w:szCs w:val="24"/>
          <w:lang w:val="en-US"/>
        </w:rPr>
        <w:t>Therefore, we have firstly conducted the Bader charge analysis for Co</w:t>
      </w:r>
      <w:r>
        <w:rPr>
          <w:rFonts w:ascii="Times" w:hAnsi="Times" w:cs="Calibri"/>
          <w:sz w:val="24"/>
          <w:szCs w:val="24"/>
          <w:vertAlign w:val="subscript"/>
          <w:lang w:val="en-US"/>
        </w:rPr>
        <w:t>2</w:t>
      </w:r>
      <w:r>
        <w:rPr>
          <w:rFonts w:ascii="Times" w:hAnsi="Times" w:cs="Calibri"/>
          <w:sz w:val="24"/>
          <w:szCs w:val="24"/>
          <w:lang w:val="en-US"/>
        </w:rPr>
        <w:t>P (201) and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 xml:space="preserve">P (201) surfaces. As shown in </w:t>
      </w:r>
      <w:r>
        <w:rPr>
          <w:rFonts w:ascii="Times" w:hAnsi="Times" w:cs="Calibri"/>
          <w:sz w:val="24"/>
          <w:szCs w:val="24"/>
          <w:lang w:val="en-US" w:eastAsia="zh-CN"/>
        </w:rPr>
        <w:t>Figure 5</w:t>
      </w:r>
      <w:r>
        <w:rPr>
          <w:rFonts w:ascii="Times" w:hAnsi="Times" w:cs="Calibri"/>
          <w:sz w:val="24"/>
          <w:szCs w:val="24"/>
          <w:lang w:val="en-US"/>
        </w:rPr>
        <w:t xml:space="preserve"> (c), the Cr dopant in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 (201) surface possesses a higher positive charge (+0.676), compared with that of Co2 atom (+0.184) in undoped Co</w:t>
      </w:r>
      <w:r>
        <w:rPr>
          <w:rFonts w:ascii="Times" w:hAnsi="Times" w:cs="Calibri"/>
          <w:sz w:val="24"/>
          <w:szCs w:val="24"/>
          <w:vertAlign w:val="subscript"/>
          <w:lang w:val="en-US"/>
        </w:rPr>
        <w:t>2</w:t>
      </w:r>
      <w:r>
        <w:rPr>
          <w:rFonts w:ascii="Times" w:hAnsi="Times" w:cs="Calibri"/>
          <w:sz w:val="24"/>
          <w:szCs w:val="24"/>
          <w:lang w:val="en-US"/>
        </w:rPr>
        <w:t xml:space="preserve">P (201) surface. Considering the oxygen in water is negatively charged (as inserted in </w:t>
      </w:r>
      <w:r>
        <w:rPr>
          <w:rFonts w:ascii="Times" w:hAnsi="Times" w:cs="Calibri"/>
          <w:sz w:val="24"/>
          <w:szCs w:val="24"/>
          <w:lang w:val="en-US" w:eastAsia="zh-CN"/>
        </w:rPr>
        <w:t>Figure 5</w:t>
      </w:r>
      <w:r>
        <w:rPr>
          <w:rFonts w:ascii="Times" w:hAnsi="Times" w:cs="Calibri"/>
          <w:sz w:val="24"/>
          <w:szCs w:val="24"/>
          <w:lang w:val="en-US"/>
        </w:rPr>
        <w:t xml:space="preserve"> (c)), such a higher positive charge indicates that the doped Cr atoms will capture water easier, due to the stronger electrostatic attraction between Cr and O. On the other hand, compared with Co atoms, Cr atoms have less 3d-orbital electrons, implying that the adsorption strength of water on Cr dopant will be much stronger than that on Co atoms of </w:t>
      </w:r>
      <w:r>
        <w:rPr>
          <w:rFonts w:ascii="Times" w:hAnsi="Times" w:cs="Calibri"/>
          <w:sz w:val="24"/>
          <w:szCs w:val="24"/>
          <w:lang w:val="en-US"/>
        </w:rPr>
        <w:lastRenderedPageBreak/>
        <w:t>undoped Co</w:t>
      </w:r>
      <w:r>
        <w:rPr>
          <w:rFonts w:ascii="Times" w:hAnsi="Times" w:cs="Calibri"/>
          <w:sz w:val="24"/>
          <w:szCs w:val="24"/>
          <w:vertAlign w:val="subscript"/>
          <w:lang w:val="en-US"/>
        </w:rPr>
        <w:t>2</w:t>
      </w:r>
      <w:r>
        <w:rPr>
          <w:rFonts w:ascii="Times" w:hAnsi="Times" w:cs="Calibri"/>
          <w:sz w:val="24"/>
          <w:szCs w:val="24"/>
          <w:lang w:val="en-US"/>
        </w:rPr>
        <w:t>P (Figure S9 and S10).</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{"citationItems":[{"id":"ITEM-1","itemData":{"DOI":"10.1002/cctc.201000397","ISSN":"18673880","abstract":"Trends in electrocatalytic activity of the oxygen evolution reaction (OER) are investigated on the basis of a large database of HO* and HOO* adsorption energies on oxide surfaces. The theoretical overpotential was calculated by applying standard density functional theory in combination with the computational standard hydrogen electrode (SHE) model. We showed that by the discovery of a universal scaling relation between the adsorption energies of HOO* vs HO*, it is possible to analyze the reaction free energy diagrams of all the oxides in a general way. This gave rise to an activity volcano that was the same for a wide variety of oxide catalyst materials and a universal descriptor for the oxygen evolution activity, which suggests a fundamental limitation on the maximum oxygen evolution activity of planar oxide catalysts.","author":[{"dropping-particle":"","family":"Man","given":"Isabela C","non-dropping-particle":"","parse-names":false,"suffix":""},{"dropping-particle":"","family":"Su","given":"Hai Yan","non-dropping-particle":"","parse-names":false,"suffix":""},{"dropping-particle":"","family":"Calle-Vallejo","given":"Federico","non-dropping-particle":"","parse-names":false,"suffix":""},{"dropping-particle":"","family":"Hansen","given":"Heine A","non-dropping-particle":"","parse-names":false,"suffix":""},{"dropping-particle":"","family":"Martínez","given":"José I","non-dropping-particle":"","parse-names":false,"suffix":""},{"dropping-particle":"","family":"Inoglu","given":"Nilay G","non-dropping-particle":"","parse-names":false,"suffix":""},{"dropping-particle":"","family":"Kitchin","given":"John","non-dropping-particle":"","parse-names":false,"suffix":""},{"dropping-particle":"","family":"Jaramillo","given":"Thomas F","non-dropping-particle":"","parse-names":false,"suffix":""},{"dropping-particle":"","family":"Nørskov","given":"Jens K","non-dropping-particle":"","parse-names":false,"suffix":""},{"dropping-particle":"","family":"Rossmeisl","given":"Jan","non-dropping-particle":"","parse-names":false,"suffix":""}],"container-title":"ChemCatChem","id":"ITEM-1","issue":"7","issued":{"date-parts":[["2011"]]},"page":"1159-1165","title":"Universality in Oxygen Evolution Electrocatalysis on Oxide Surfaces","type":"article-journal","volume":"3"},"uris":["http://www.mendeley.com/documents/?uuid=8fdd9081-e7f6-4b5b-bde7-48da9f0b87e9"]}],"mendeley":{"formattedCitation":"&lt;sup&gt;41&lt;/sup&gt;","plainTextFormattedCitation":"41","previouslyFormattedCitation":"&lt;sup&gt;41&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41</w:t>
      </w:r>
      <w:r>
        <w:rPr>
          <w:rFonts w:ascii="Times" w:hAnsi="Times" w:cs="Calibri"/>
          <w:sz w:val="24"/>
          <w:szCs w:val="24"/>
          <w:lang w:val="en-US"/>
        </w:rPr>
        <w:fldChar w:fldCharType="end"/>
      </w:r>
      <w:r>
        <w:rPr>
          <w:rFonts w:ascii="Times" w:hAnsi="Times" w:cs="Calibri"/>
          <w:sz w:val="24"/>
          <w:szCs w:val="24"/>
          <w:lang w:val="en-US"/>
        </w:rPr>
        <w:t xml:space="preserve"> Correspondingly, as shown in </w:t>
      </w:r>
      <w:r>
        <w:rPr>
          <w:rFonts w:ascii="Times" w:hAnsi="Times" w:cs="Calibri"/>
          <w:sz w:val="24"/>
          <w:szCs w:val="24"/>
          <w:lang w:val="en-US" w:eastAsia="zh-CN"/>
        </w:rPr>
        <w:t>Figure 5</w:t>
      </w:r>
      <w:r>
        <w:rPr>
          <w:rFonts w:ascii="Times" w:hAnsi="Times" w:cs="Calibri"/>
          <w:sz w:val="24"/>
          <w:szCs w:val="24"/>
          <w:lang w:val="en-US"/>
        </w:rPr>
        <w:t xml:space="preserve"> (d), more negative adsorption free energies of water (</w:t>
      </w:r>
      <w:r>
        <w:rPr>
          <w:rFonts w:ascii="Times" w:hAnsi="Times" w:cs="Calibri"/>
          <w:sz w:val="24"/>
          <w:szCs w:val="24"/>
          <w:lang w:val="en-US"/>
        </w:rPr>
        <w:sym w:font="Symbol" w:char="F044"/>
      </w:r>
      <w:r>
        <w:rPr>
          <w:rFonts w:ascii="Times" w:hAnsi="Times" w:cs="Calibri"/>
          <w:sz w:val="24"/>
          <w:szCs w:val="24"/>
          <w:lang w:val="en-US"/>
        </w:rPr>
        <w:t>G</w:t>
      </w:r>
      <w:r>
        <w:rPr>
          <w:rFonts w:ascii="Times" w:hAnsi="Times" w:cs="Calibri"/>
          <w:sz w:val="24"/>
          <w:szCs w:val="24"/>
          <w:vertAlign w:val="subscript"/>
          <w:lang w:val="en-US"/>
        </w:rPr>
        <w:t>*H</w:t>
      </w:r>
      <w:r w:rsidRPr="00AC125F">
        <w:rPr>
          <w:rFonts w:ascii="Times" w:hAnsi="Times" w:cs="Calibri"/>
          <w:position w:val="-6"/>
          <w:sz w:val="24"/>
          <w:szCs w:val="24"/>
          <w:vertAlign w:val="subscript"/>
          <w:lang w:val="en-US"/>
        </w:rPr>
        <w:t>2</w:t>
      </w:r>
      <w:r>
        <w:rPr>
          <w:rFonts w:ascii="Times" w:hAnsi="Times" w:cs="Calibri"/>
          <w:sz w:val="24"/>
          <w:szCs w:val="24"/>
          <w:vertAlign w:val="subscript"/>
          <w:lang w:val="en-US"/>
        </w:rPr>
        <w:t>O</w:t>
      </w:r>
      <w:r>
        <w:rPr>
          <w:rFonts w:ascii="Times" w:hAnsi="Times" w:cs="Calibri"/>
          <w:sz w:val="24"/>
          <w:szCs w:val="24"/>
          <w:lang w:val="en-US"/>
        </w:rPr>
        <w:t>)</w:t>
      </w:r>
      <w:r w:rsidR="00AF31EC">
        <w:rPr>
          <w:rFonts w:ascii="Times" w:hAnsi="Times" w:cs="Calibri"/>
          <w:sz w:val="24"/>
          <w:szCs w:val="24"/>
          <w:lang w:val="en-US"/>
        </w:rPr>
        <w:t xml:space="preserve"> are observed for the Cr sites in the Cr</w:t>
      </w:r>
      <w:r w:rsidR="00AF31EC">
        <w:rPr>
          <w:rFonts w:ascii="Times" w:hAnsi="Times" w:cs="Calibri"/>
          <w:sz w:val="24"/>
          <w:szCs w:val="24"/>
          <w:vertAlign w:val="subscript"/>
          <w:lang w:val="en-US"/>
        </w:rPr>
        <w:t>0.2</w:t>
      </w:r>
      <w:r w:rsidR="00AF31EC">
        <w:rPr>
          <w:rFonts w:ascii="Times" w:hAnsi="Times" w:cs="Calibri"/>
          <w:sz w:val="24"/>
          <w:szCs w:val="24"/>
          <w:lang w:val="en-US"/>
        </w:rPr>
        <w:t>Co</w:t>
      </w:r>
      <w:r w:rsidR="00AF31EC">
        <w:rPr>
          <w:rFonts w:ascii="Times" w:hAnsi="Times" w:cs="Calibri"/>
          <w:sz w:val="24"/>
          <w:szCs w:val="24"/>
          <w:vertAlign w:val="subscript"/>
          <w:lang w:val="en-US"/>
        </w:rPr>
        <w:t>1.8</w:t>
      </w:r>
      <w:r w:rsidR="00AF31EC">
        <w:rPr>
          <w:rFonts w:ascii="Times" w:hAnsi="Times" w:cs="Calibri"/>
          <w:sz w:val="24"/>
          <w:szCs w:val="24"/>
          <w:lang w:val="en-US"/>
        </w:rPr>
        <w:t>P (201) surface compared with the equivalent Co sites on the Co</w:t>
      </w:r>
      <w:r w:rsidR="00AF31EC">
        <w:rPr>
          <w:rFonts w:ascii="Times" w:hAnsi="Times" w:cs="Calibri"/>
          <w:sz w:val="24"/>
          <w:szCs w:val="24"/>
          <w:vertAlign w:val="subscript"/>
          <w:lang w:val="en-US"/>
        </w:rPr>
        <w:t>2</w:t>
      </w:r>
      <w:r w:rsidR="00AF31EC">
        <w:rPr>
          <w:rFonts w:ascii="Times" w:hAnsi="Times" w:cs="Calibri"/>
          <w:sz w:val="24"/>
          <w:szCs w:val="24"/>
          <w:lang w:val="en-US"/>
        </w:rPr>
        <w:t>P (201) surface, indicating the higher binding strength between water and doped Cr atoms. Such a strong interaction between Cr and water is likely to activate water molecules, paving the way for the following steps of the HER. The adsorption free energy of hydrogen (</w:t>
      </w:r>
      <w:r w:rsidR="00AF31EC">
        <w:rPr>
          <w:rFonts w:ascii="Times" w:hAnsi="Times" w:cs="Calibri"/>
          <w:sz w:val="24"/>
          <w:szCs w:val="24"/>
          <w:lang w:val="en-US"/>
        </w:rPr>
        <w:sym w:font="Symbol" w:char="F044"/>
      </w:r>
      <w:r w:rsidR="00AF31EC">
        <w:rPr>
          <w:rFonts w:ascii="Times" w:hAnsi="Times" w:cs="Calibri"/>
          <w:sz w:val="24"/>
          <w:szCs w:val="24"/>
          <w:lang w:val="en-US"/>
        </w:rPr>
        <w:t>G</w:t>
      </w:r>
      <w:r w:rsidR="00AF31EC">
        <w:rPr>
          <w:rFonts w:ascii="Times" w:hAnsi="Times" w:cs="Calibri"/>
          <w:sz w:val="24"/>
          <w:szCs w:val="24"/>
          <w:vertAlign w:val="subscript"/>
          <w:lang w:val="en-US"/>
        </w:rPr>
        <w:t>*H</w:t>
      </w:r>
      <w:r w:rsidR="00AF31EC">
        <w:rPr>
          <w:rFonts w:ascii="Times" w:hAnsi="Times" w:cs="Calibri"/>
          <w:sz w:val="24"/>
          <w:szCs w:val="24"/>
          <w:lang w:val="en-US"/>
        </w:rPr>
        <w:t>) is another crucial criterion to evaluate HER performance of the electrocatalysts,</w:t>
      </w:r>
      <w:r w:rsidR="00AF31EC">
        <w:rPr>
          <w:rFonts w:ascii="Times" w:hAnsi="Times" w:cs="Calibri"/>
          <w:sz w:val="24"/>
          <w:szCs w:val="24"/>
          <w:vertAlign w:val="superscript"/>
          <w:lang w:val="en-US"/>
        </w:rPr>
        <w:t xml:space="preserve"> </w:t>
      </w:r>
      <w:r w:rsidR="00AF31EC">
        <w:rPr>
          <w:rFonts w:ascii="Times" w:hAnsi="Times" w:cs="Calibri"/>
          <w:sz w:val="24"/>
          <w:szCs w:val="24"/>
          <w:vertAlign w:val="superscript"/>
          <w:lang w:val="en-US"/>
        </w:rPr>
        <w:fldChar w:fldCharType="begin" w:fldLock="1"/>
      </w:r>
      <w:r w:rsidR="00AF31EC">
        <w:rPr>
          <w:rFonts w:ascii="Times" w:hAnsi="Times" w:cs="Calibri"/>
          <w:sz w:val="24"/>
          <w:szCs w:val="24"/>
          <w:vertAlign w:val="superscript"/>
          <w:lang w:val="en-US"/>
        </w:rPr>
        <w:instrText>ADDIN CSL_CITATION {"citationItems":[{"id":"ITEM-1","itemData":{"DOI":"10.1149/1.1856988","ISSN":"00134651","abstract":"Adensity functional theory database of hydrogen chemisorption energies on closepacked surfaces of a number of transition and noble metalsis presented. The bond energies are used to understand thetrends in the exchange current for hydrogen evolution. A volcanocurve is obtained when measured exchange currents are plotted asa function of the calculated hydrogen adsorption energies and asimple kinetic model is developed to understand the origin ofthe volcano. The volcano curve is also consistent with Ptbeing the most efficient electrocatalyst for hydrogen evolution. ©2005 TheElectrochemical Society. All rights reserved.","author":[{"dropping-particle":"","family":"Nørskov","given":"J. K.","non-dropping-particle":"","parse-names":false,"suffix":""},{"dropping-particle":"","family":"Bligaard","given":"T.","non-dropping-particle":"","parse-names":false,"suffix":""},{"dropping-particle":"","family":"Logadottir","given":"A.","non-dropping-particle":"","parse-names":false,"suffix":""},{"dropping-particle":"","family":"Kitchin","given":"J. R.","non-dropping-particle":"","parse-names":false,"suffix":""},{"dropping-particle":"","family":"Chen","given":"J. G.","non-dropping-particle":"","parse-names":false,"suffix":""},{"dropping-particle":"","family":"Pandelov","given":"S.","non-dropping-particle":"","parse-names":false,"suffix":""},{"dropping-particle":"","family":"Stimming","given":"U.","non-dropping-particle":"","parse-names":false,"suffix":""}],"container-title":"Journal of The Electrochemical Society","id":"ITEM-1","issue":"3","issued":{"date-parts":[["2005"]]},"page":"J23","title":"Trends in the Exchange Current for Hydrogen Evolution","type":"article-journal","volume":"152"},"uris":["http://www.mendeley.com/documents/?uuid=34457281-1ea1-3d8d-b4ad-55f1f7504dcd"]},{"id":"ITEM-2","itemData":{"DOI":"10.1038/nchem.121","ISSN":"1755-4349","PMID":"21378799","abstract":"Over the past decade the theoretical description of surface reactions has undergone a radical development. Advances in density functional theory mean it is now possible to describe catalytic reactions at surfaces with the detail and accuracy required for computational results to compare favourably with experiments. Theoretical methods can be used to describe surface chemical reactions in detail and to understand variations in catalytic activity from one catalyst to another. Here, we review the first steps towards using computational methods to design new catalysts. Examples include screening for catalysts with increased activity and catalysts with improved selectivity. We discuss how, in the future, such methods may be used to engineer the electronic structure of the active surface by changing its composition and structure.","author":[{"dropping-particle":"","family":"Nørskov","given":"J K","non-dropping-particle":"","parse-names":false,"suffix":""},{"dropping-particle":"","family":"Bligaard","given":"T","non-dropping-particle":"","parse-names":false,"suffix":""},{"dropping-particle":"","family":"Rossmeisl","given":"J","non-dropping-particle":"","parse-names":false,"suffix":""},{"dropping-particle":"","family":"Christensen","given":"C H","non-dropping-particle":"","parse-names":false,"suffix":""}],"container-title":"Nature chemistry","id":"ITEM-2","issue":"1","issued":{"date-parts":[["2009"]]},"page":"37-46","title":"Towards the computational design of solid catalysts.","type":"article-journal","volume":"1"},"uris":["http://www.mendeley.com/documents/?uuid=94d8fd51-43f7-46f2-bf55-5ef6ad738e1d","http://www.mendeley.com/documents/?uuid=4ab28283-f52d-43e2-9875-704a869f2d86"]},{"id":"ITEM-3","itemData":{"DOI":"10.1039/c3ee00045a","ISSN":"17545692","abstract":"The slow reaction kinetics of the hydrogen evolution and oxidation reactions (HER/HOR) on platinum in alkaline electrolytes hinders the development of alkaline electrolysers, solar hydrogen cells and alkaline fuel cells. A fundamental understanding of the exchange current density of the HER/HOR in alkaline media is critical for the search and design of highly active electrocatalysts. By studying the HER on a series of monometallic surfaces, we demonstrate that the HER exchange current density in alkaline solutions can be correlated with the calculated hydrogen binding energy (HBE) on the metal surfaces via a volcano type of relationship. The HER activity varies by several orders of magnitude from Pt at the peak of the plot to W and Au located on the bottom of each side of the plot, similar to the observation in acids. Such a correlation suggests that the HBE can be used as a descriptor for identifying electrocatalysts for HER/HOR in alkaline media, and that the HER exchange current density can be tuned by modifying the surface chemical properties. © 2013 The Royal Society of Chemistry.","author":[{"dropping-particle":"","family":"Sheng","given":"Wenchao","non-dropping-particle":"","parse-names":false,"suffix":""},{"dropping-particle":"","family":"Myint","given":"Myatnoezin","non-dropping-particle":"","parse-names":false,"suffix":""},{"dropping-particle":"","family":"Chen","given":"Jingguang G","non-dropping-particle":"","parse-names":false,"suffix":""},{"dropping-particle":"","family":"Yan","given":"Yushan","non-dropping-particle":"","parse-names":false,"suffix":""}],"container-title":"Energy and Environmental Science","id":"ITEM-3","issue":"6","issued":{"date-parts":[["2013"]]},"page":"1509-1512","title":"Correlating the hydrogen evolution reaction activity in alkaline electrolytes with the hydrogen binding energy on monometallic surfaces","type":"article-journal","volume":"6"},"uris":["http://www.mendeley.com/documents/?uuid=f5ec18b4-0a39-4e6a-a2d3-5e51a4184d3d","http://www.mendeley.com/documents/?uuid=3dd4dde1-83b9-4798-b5ff-cc96bdd3ad70"]},{"id":"ITEM-4","itemData":{"DOI":"10.1038/ncomms6848","ISSN":"2041-1723","PMID":"25569511","abstract":"The hydrogen oxidation/evolution reactions are two of the most fundamental reactions in distributed renewable electrochemical energy conversion and storage systems. The identification of the reaction descriptor is therefore of critical importance for the rational catalyst design and development. Here we report the correlation between hydrogen oxidation/evolution activity and experimentally measured hydrogen binding energy for polycrystalline platinum examined in several buffer solutions in a wide range of electrolyte pH from 0 to 13. The hydrogen oxidation/evolution activity obtained using the rotating disk electrode method is found to decrease with the pH, while the hydrogen binding energy, obtained from cyclic voltammograms, linearly increases with the pH. Correlating the hydrogen oxidation/evolution activity to the hydrogen binding energy renders a monotonic decreasing hydrogen oxidation/evolution activity with the hydrogen binding energy, strongly supporting the hypothesis that hydrogen binding energy is the sole reaction descriptor for the hydrogen oxidation/evolution activity on monometallic platinum.","author":[{"dropping-particle":"","family":"Sheng","given":"Wenchao","non-dropping-particle":"","parse-names":false,"suffix":""},{"dropping-particle":"","family":"Zhuang","given":"Zhongbin","non-dropping-particle":"","parse-names":false,"suffix":""},{"dropping-particle":"","family":"Gao","given":"Minrui","non-dropping-particle":"","parse-names":false,"suffix":""},{"dropping-particle":"","family":"Zheng","given":"Jie","non-dropping-particle":"","parse-names":false,"suffix":""},{"dropping-particle":"","family":"Chen","given":"Jingguang G","non-dropping-particle":"","parse-names":false,"suffix":""},{"dropping-particle":"","family":"Yan","given":"Yushan","non-dropping-particle":"","parse-names":false,"suffix":""}],"container-title":"Nature communications","id":"ITEM-4","issued":{"date-parts":[["2015"]]},"page":"5848","publisher":"Nature Publishing Group","title":"Correlating hydrogen oxidation and evolution activity on platinum at different pH with measured hydrogen binding energy.","type":"article-journal","volume":"6"},"uris":["http://www.mendeley.com/documents/?uuid=62b7e4bb-562c-42d3-a6c2-0d928ba415f4","http://www.mendeley.com/documents/?uuid=479a4bbc-7f62-4cea-9c79-790b25122a47"]},{"id":"ITEM-5","itemData":{"author":[{"dropping-particle":"","family":"Zheng","given":"Jie","non-dropping-particle":"","parse-names":false,"suffix":""},{"dropping-particle":"","family":"Sheng","given":"Wenchao","non-dropping-particle":"","parse-names":false,"suffix":""},{"dropping-particle":"","family":"Zhuang","given":"Zhongbin","non-dropping-particle":"","parse-names":false,"suffix":""},{"dropping-particle":"","family":"Xu","given":"Bingjun","non-dropping-particle":"","parse-names":false,"suffix":""},{"dropping-particle":"","family":"Yan","given":"Yushan","non-dropping-particle":"","parse-names":false,"suffix":""}],"id":"ITEM-5","issue":"March","issued":{"date-parts":[["2016"]]},"page":"1-9","title":"Universal dependence of hydrogen oxidation and evolution reaction activity of platinum-group metals on pH and hydrogen binding energy","type":"article-journal"},"uris":["http://www.mendeley.com/documents/?uuid=bf429e01-51dc-44af-b444-2f60211b366d"]}],"mendeley":{"formattedCitation":"&lt;sup&gt;42–46&lt;/sup&gt;","plainTextFormattedCitation":"42–46","previouslyFormattedCitation":"&lt;sup&gt;42–46&lt;/sup&gt;"},"properties":{"noteIndex":0},"schema":"https://github.com/citation-style-language/schema/raw/master/csl-citation.json"}</w:instrText>
      </w:r>
      <w:r w:rsidR="00AF31EC">
        <w:rPr>
          <w:rFonts w:ascii="Times" w:hAnsi="Times" w:cs="Calibri"/>
          <w:sz w:val="24"/>
          <w:szCs w:val="24"/>
          <w:vertAlign w:val="superscript"/>
          <w:lang w:val="en-US"/>
        </w:rPr>
        <w:fldChar w:fldCharType="separate"/>
      </w:r>
      <w:r w:rsidR="00AF31EC">
        <w:rPr>
          <w:rFonts w:ascii="Times" w:hAnsi="Times" w:cs="Calibri"/>
          <w:noProof/>
          <w:sz w:val="24"/>
          <w:szCs w:val="24"/>
          <w:vertAlign w:val="superscript"/>
          <w:lang w:val="en-US"/>
        </w:rPr>
        <w:t>42–46</w:t>
      </w:r>
      <w:r w:rsidR="00AF31EC">
        <w:rPr>
          <w:rFonts w:ascii="Times" w:hAnsi="Times" w:cs="Calibri"/>
          <w:sz w:val="24"/>
          <w:szCs w:val="24"/>
          <w:vertAlign w:val="superscript"/>
          <w:lang w:val="en-US"/>
        </w:rPr>
        <w:fldChar w:fldCharType="end"/>
      </w:r>
      <w:r w:rsidR="00AF31EC">
        <w:rPr>
          <w:rFonts w:ascii="Times" w:hAnsi="Times" w:cs="Calibri"/>
          <w:sz w:val="24"/>
          <w:szCs w:val="24"/>
          <w:vertAlign w:val="superscript"/>
          <w:lang w:val="en-US"/>
        </w:rPr>
        <w:t xml:space="preserve"> </w:t>
      </w:r>
      <w:r w:rsidR="00AF31EC">
        <w:rPr>
          <w:rFonts w:ascii="Times" w:hAnsi="Times" w:cs="Calibri"/>
          <w:sz w:val="24"/>
          <w:szCs w:val="24"/>
          <w:lang w:val="en-US"/>
        </w:rPr>
        <w:t xml:space="preserve">and the calculated free energy diagram (FED) for hydrogen adsorption is shown in </w:t>
      </w:r>
      <w:r w:rsidR="00AF31EC">
        <w:rPr>
          <w:rFonts w:ascii="Times" w:hAnsi="Times" w:cs="Calibri"/>
          <w:sz w:val="24"/>
          <w:szCs w:val="24"/>
          <w:lang w:val="en-US" w:eastAsia="zh-CN"/>
        </w:rPr>
        <w:t>Figure 5</w:t>
      </w:r>
      <w:r w:rsidR="00AF31EC">
        <w:rPr>
          <w:rFonts w:ascii="Times" w:hAnsi="Times" w:cs="Calibri"/>
          <w:sz w:val="24"/>
          <w:szCs w:val="24"/>
          <w:lang w:val="en-US"/>
        </w:rPr>
        <w:t xml:space="preserve"> (e). It can be clearly seen that the hydrogen adsorption free energy is more thermo-neutral after Cr doping than undoped Co</w:t>
      </w:r>
      <w:r w:rsidR="00AF31EC">
        <w:rPr>
          <w:rFonts w:ascii="Times" w:hAnsi="Times" w:cs="Calibri"/>
          <w:sz w:val="24"/>
          <w:szCs w:val="24"/>
          <w:vertAlign w:val="subscript"/>
          <w:lang w:val="en-US"/>
        </w:rPr>
        <w:t>2</w:t>
      </w:r>
      <w:r w:rsidR="00AF31EC">
        <w:rPr>
          <w:rFonts w:ascii="Times" w:hAnsi="Times" w:cs="Calibri"/>
          <w:sz w:val="24"/>
          <w:szCs w:val="24"/>
          <w:lang w:val="en-US"/>
        </w:rPr>
        <w:t>P (201), which indicates that Cr</w:t>
      </w:r>
      <w:r w:rsidR="00AF31EC">
        <w:rPr>
          <w:rFonts w:ascii="Times" w:hAnsi="Times" w:cs="Calibri"/>
          <w:sz w:val="24"/>
          <w:szCs w:val="24"/>
          <w:vertAlign w:val="subscript"/>
          <w:lang w:val="en-US"/>
        </w:rPr>
        <w:t>0.2</w:t>
      </w:r>
      <w:r w:rsidR="00AF31EC">
        <w:rPr>
          <w:rFonts w:ascii="Times" w:hAnsi="Times" w:cs="Calibri"/>
          <w:sz w:val="24"/>
          <w:szCs w:val="24"/>
          <w:lang w:val="en-US"/>
        </w:rPr>
        <w:t>Co</w:t>
      </w:r>
      <w:r w:rsidR="00AF31EC">
        <w:rPr>
          <w:rFonts w:ascii="Times" w:hAnsi="Times" w:cs="Calibri"/>
          <w:sz w:val="24"/>
          <w:szCs w:val="24"/>
          <w:vertAlign w:val="subscript"/>
          <w:lang w:val="en-US"/>
        </w:rPr>
        <w:t>1.8</w:t>
      </w:r>
      <w:r w:rsidR="00AF31EC">
        <w:rPr>
          <w:rFonts w:ascii="Times" w:hAnsi="Times" w:cs="Calibri"/>
          <w:sz w:val="24"/>
          <w:szCs w:val="24"/>
          <w:lang w:val="en-US"/>
        </w:rPr>
        <w:t>P catalyst will have an improved HER performance. The weaker adsorption of hydrogen on the Cr</w:t>
      </w:r>
      <w:r w:rsidR="00AF31EC">
        <w:rPr>
          <w:rFonts w:ascii="Times" w:hAnsi="Times" w:cs="Calibri"/>
          <w:sz w:val="24"/>
          <w:szCs w:val="24"/>
          <w:vertAlign w:val="subscript"/>
          <w:lang w:val="en-US"/>
        </w:rPr>
        <w:t>0.2</w:t>
      </w:r>
      <w:r w:rsidR="00AF31EC">
        <w:rPr>
          <w:rFonts w:ascii="Times" w:hAnsi="Times" w:cs="Calibri"/>
          <w:sz w:val="24"/>
          <w:szCs w:val="24"/>
          <w:lang w:val="en-US"/>
        </w:rPr>
        <w:t>Co</w:t>
      </w:r>
      <w:r w:rsidR="00AF31EC">
        <w:rPr>
          <w:rFonts w:ascii="Times" w:hAnsi="Times" w:cs="Calibri"/>
          <w:sz w:val="24"/>
          <w:szCs w:val="24"/>
          <w:vertAlign w:val="subscript"/>
          <w:lang w:val="en-US"/>
        </w:rPr>
        <w:t>1.8</w:t>
      </w:r>
      <w:r w:rsidR="00AF31EC">
        <w:rPr>
          <w:rFonts w:ascii="Times" w:hAnsi="Times" w:cs="Calibri"/>
          <w:sz w:val="24"/>
          <w:szCs w:val="24"/>
          <w:lang w:val="en-US"/>
        </w:rPr>
        <w:t>P (201) surface can be attributed to the following two reasons. Firstly, the interaction between H and Cr is much weaker than that between H and Co, due to the lower d-band occupation of Cr, which can be easily substantiated by comparing the Cr-H and Co-H bond length.</w:t>
      </w:r>
      <w:r w:rsidR="00AF31EC">
        <w:rPr>
          <w:rFonts w:ascii="Times" w:hAnsi="Times" w:cs="Calibri"/>
          <w:sz w:val="24"/>
          <w:szCs w:val="24"/>
          <w:lang w:val="en-US"/>
        </w:rPr>
        <w:fldChar w:fldCharType="begin" w:fldLock="1"/>
      </w:r>
      <w:r w:rsidR="00AF31EC">
        <w:rPr>
          <w:rFonts w:ascii="Times" w:hAnsi="Times" w:cs="Calibri"/>
          <w:sz w:val="24"/>
          <w:szCs w:val="24"/>
          <w:lang w:val="en-US"/>
        </w:rPr>
        <w:instrText>ADDIN CSL_CITATION {"citationItems":[{"id":"ITEM-1","itemData":{"DOI":"10.1016/j.nanoen.2017.10.009","ISSN":"22112855","abstract":"Transition metal phosphides (TMPs) have shown promising performance in electrocatalytic water splitting. However, the sluggish kinetic of oxygen evolution reaction (OER) process deteriorates their activity toward overall water splitting. To overcome this issue, two-dimensional (2D) ultrathin arrays of metal-doped CoP (MCoP; M = Fe, Ni, and Mg) were successfully prepared by using layered double hydroxides (LDHs) as precursors. The as-obtained 2D ultrathin arrays exhibit an outstanding electrocatalytic activity and long-term durability toward both half-reaction in overall water splitting. As a result, the electrolyzer assembled by FeCoP UNSAs consumes a cell potential as low as 1.60 V (at 10 mA cm −2 ). An experimental-theoretical combination study reveals that the electronic structure of Co is modulated via the incorporation of Fe, which benefits the adsorption of water molecule and the dissociation of OH group, accounting for the largely enhanced activity toward overall water splitting.","author":[{"dropping-particle":"","family":"Zhou","given":"Lei","non-dropping-particle":"","parse-names":false,"suffix":""},{"dropping-particle":"","family":"Shao","given":"Mingfei","non-dropping-particle":"","parse-names":false,"suffix":""},{"dropping-particle":"","family":"Li","given":"Jianbo","non-dropping-particle":"","parse-names":false,"suffix":""},{"dropping-particle":"","family":"Jiang","given":"Shan","non-dropping-particle":"","parse-names":false,"suffix":""},{"dropping-particle":"","family":"Wei","given":"Min","non-dropping-particle":"","parse-names":false,"suffix":""},{"dropping-particle":"","family":"Duan","given":"Xue","non-dropping-particle":"","parse-names":false,"suffix":""}],"container-title":"Nano Energy","id":"ITEM-1","issue":"July","issued":{"date-parts":[["2017"]]},"page":"583-590","publisher":"Elsevier Ltd","title":"Two-dimensional ultrathin arrays of CoP: Electronic modulation toward high performance overall water splitting","type":"article-journal","volume":"41"},"uris":["http://www.mendeley.com/documents/?uuid=81c534a8-74b4-496d-b23f-815631ac6dfa"]}],"mendeley":{"formattedCitation":"&lt;sup&gt;47&lt;/sup&gt;","plainTextFormattedCitation":"47","previouslyFormattedCitation":"&lt;sup&gt;47&lt;/sup&gt;"},"properties":{"noteIndex":0},"schema":"https://github.com/citation-style-language/schema/raw/master/csl-citation.json"}</w:instrText>
      </w:r>
      <w:r w:rsidR="00AF31EC">
        <w:rPr>
          <w:rFonts w:ascii="Times" w:hAnsi="Times" w:cs="Calibri"/>
          <w:sz w:val="24"/>
          <w:szCs w:val="24"/>
          <w:lang w:val="en-US"/>
        </w:rPr>
        <w:fldChar w:fldCharType="separate"/>
      </w:r>
      <w:r w:rsidR="00AF31EC">
        <w:rPr>
          <w:rFonts w:ascii="Times" w:hAnsi="Times" w:cs="Calibri"/>
          <w:noProof/>
          <w:sz w:val="24"/>
          <w:szCs w:val="24"/>
          <w:vertAlign w:val="superscript"/>
          <w:lang w:val="en-US"/>
        </w:rPr>
        <w:t>47</w:t>
      </w:r>
      <w:r w:rsidR="00AF31EC">
        <w:rPr>
          <w:rFonts w:ascii="Times" w:hAnsi="Times" w:cs="Calibri"/>
          <w:sz w:val="24"/>
          <w:szCs w:val="24"/>
          <w:lang w:val="en-US"/>
        </w:rPr>
        <w:fldChar w:fldCharType="end"/>
      </w:r>
      <w:r w:rsidR="00AF31EC">
        <w:rPr>
          <w:rFonts w:ascii="Times" w:hAnsi="Times" w:cs="Calibri"/>
          <w:sz w:val="24"/>
          <w:szCs w:val="24"/>
          <w:lang w:val="en-US"/>
        </w:rPr>
        <w:t xml:space="preserve"> As shown in Figure S10, the Cr-H bond length is 1.883 Å, which is much larger than the bond length of Co-H (1.609 Å). Therefore, on the Cr</w:t>
      </w:r>
      <w:r w:rsidR="00AF31EC">
        <w:rPr>
          <w:rFonts w:ascii="Times" w:hAnsi="Times" w:cs="Calibri"/>
          <w:sz w:val="24"/>
          <w:szCs w:val="24"/>
          <w:vertAlign w:val="subscript"/>
          <w:lang w:val="en-US"/>
        </w:rPr>
        <w:t>0.2</w:t>
      </w:r>
      <w:r w:rsidR="00AF31EC">
        <w:rPr>
          <w:rFonts w:ascii="Times" w:hAnsi="Times" w:cs="Calibri"/>
          <w:sz w:val="24"/>
          <w:szCs w:val="24"/>
          <w:lang w:val="en-US"/>
        </w:rPr>
        <w:t>Co</w:t>
      </w:r>
      <w:r w:rsidR="00AF31EC">
        <w:rPr>
          <w:rFonts w:ascii="Times" w:hAnsi="Times" w:cs="Calibri"/>
          <w:sz w:val="24"/>
          <w:szCs w:val="24"/>
          <w:vertAlign w:val="subscript"/>
          <w:lang w:val="en-US"/>
        </w:rPr>
        <w:t>1.8</w:t>
      </w:r>
      <w:r w:rsidR="00AF31EC">
        <w:rPr>
          <w:rFonts w:ascii="Times" w:hAnsi="Times" w:cs="Calibri"/>
          <w:sz w:val="24"/>
          <w:szCs w:val="24"/>
          <w:lang w:val="en-US"/>
        </w:rPr>
        <w:t>P (201) surface, the absorption of hydrogen is mainly facilitated by Co atoms. Secondly, but more importantly, the doped Cr atoms will modulate the electronic structure of Co</w:t>
      </w:r>
      <w:r w:rsidR="00AF31EC">
        <w:rPr>
          <w:rFonts w:ascii="Times" w:hAnsi="Times" w:cs="Calibri"/>
          <w:sz w:val="24"/>
          <w:szCs w:val="24"/>
          <w:vertAlign w:val="subscript"/>
          <w:lang w:val="en-US"/>
        </w:rPr>
        <w:t>2</w:t>
      </w:r>
      <w:r w:rsidR="00AF31EC">
        <w:rPr>
          <w:rFonts w:ascii="Times" w:hAnsi="Times" w:cs="Calibri"/>
          <w:sz w:val="24"/>
          <w:szCs w:val="24"/>
          <w:lang w:val="en-US"/>
        </w:rPr>
        <w:t xml:space="preserve">P as shown in </w:t>
      </w:r>
      <w:r w:rsidR="00AF31EC">
        <w:rPr>
          <w:rFonts w:ascii="Times" w:hAnsi="Times" w:cs="Calibri"/>
          <w:sz w:val="24"/>
          <w:szCs w:val="24"/>
          <w:lang w:val="en-US" w:eastAsia="zh-CN"/>
        </w:rPr>
        <w:t>Figure 5</w:t>
      </w:r>
      <w:r w:rsidR="00AF31EC">
        <w:rPr>
          <w:rFonts w:ascii="Times" w:hAnsi="Times" w:cs="Calibri"/>
          <w:sz w:val="24"/>
          <w:szCs w:val="24"/>
          <w:lang w:val="en-US"/>
        </w:rPr>
        <w:t xml:space="preserve"> (f) and shift the d-band center of Co atoms further away from the Fermi level. According to d-band theory, a </w:t>
      </w:r>
      <w:bookmarkStart w:id="4" w:name="OLE_LINK3"/>
      <w:r w:rsidR="00AF31EC">
        <w:rPr>
          <w:rFonts w:ascii="Times" w:hAnsi="Times" w:cs="Calibri"/>
          <w:sz w:val="24"/>
          <w:szCs w:val="24"/>
          <w:lang w:val="en-US"/>
        </w:rPr>
        <w:t>lower lying</w:t>
      </w:r>
      <w:bookmarkEnd w:id="4"/>
      <w:r w:rsidR="00AF31EC">
        <w:rPr>
          <w:rFonts w:ascii="Times" w:hAnsi="Times" w:cs="Calibri"/>
          <w:sz w:val="24"/>
          <w:szCs w:val="24"/>
          <w:lang w:val="en-US"/>
        </w:rPr>
        <w:t xml:space="preserve"> d-band center would lead to a weaker binding interaction between the catalysts and adsorbates.</w:t>
      </w:r>
      <w:r w:rsidR="00AF31EC">
        <w:rPr>
          <w:rFonts w:ascii="Times" w:hAnsi="Times" w:cs="Calibri"/>
          <w:sz w:val="24"/>
          <w:szCs w:val="24"/>
          <w:lang w:val="en-US"/>
        </w:rPr>
        <w:fldChar w:fldCharType="begin" w:fldLock="1"/>
      </w:r>
      <w:r w:rsidR="00AF31EC">
        <w:rPr>
          <w:rFonts w:ascii="Times" w:hAnsi="Times" w:cs="Calibri"/>
          <w:sz w:val="24"/>
          <w:szCs w:val="24"/>
          <w:lang w:val="en-US"/>
        </w:rPr>
        <w:instrText>ADDIN CSL_CITATION {"citationItems":[{"id":"ITEM-1","itemData":{"DOI":"10.1023/A:1019073208575","ISBN":"1011-372X","ISSN":"1011-372X","abstract":"The structure sensitivity of CO adsoprption on different flat, stepped, kinked and reconstructed Pt surfaces is studied using large-scale density-functional calculations. We find an extremely strong structure sensitivity in the adsorption energy with variatuons up to 1eV (or 100%) from one structure to the next. We propose a model to explain this behaviour, and use it to discuss more generally the origin of structure sensitivity in heterogeneous catalysis.","author":[{"dropping-particle":"","family":"Hammer","given":"B","non-dropping-particle":"","parse-names":false,"suffix":""},{"dropping-particle":"","family":"Nielsen","given":"Oh","non-dropping-particle":"","parse-names":false,"suffix":""},{"dropping-particle":"","family":"Norskov","given":"Jk","non-dropping-particle":"","parse-names":false,"suffix":""}],"container-title":"Catalysis Letters","id":"ITEM-1","issued":{"date-parts":[["1997"]]},"page":"31-35","title":"Structure sensitivity in adsorption: CO interaction with stepped and reconstructed Pt surfaces","type":"article-journal","volume":"46"},"uris":["http://www.mendeley.com/documents/?uuid=1a1a6217-92fb-4568-adcf-23b59475e505","http://www.mendeley.com/documents/?uuid=c34c9a85-3a0a-4e3d-bd5c-fd3bf74f0ae6"]},{"id":"ITEM-2","itemData":{"author":[{"dropping-particle":"","family":"Hammer","given":"B","non-dropping-particle":"","parse-names":false,"suffix":""},{"dropping-particle":"","family":"Norskov","given":"J. K.","non-dropping-particle":"","parse-names":false,"suffix":""}],"container-title":"Nature","id":"ITEM-2","issue":"July","issued":{"date-parts":[["1995"]]},"page":"238-240","title":"Why gold is the noblest of all the metals","type":"article-journal","volume":"376"},"uris":["http://www.mendeley.com/documents/?uuid=44ed8941-9dac-448a-9c6d-a061b6a0bc9e","http://www.mendeley.com/documents/?uuid=d85c316b-516d-4881-b298-6184684837d7"]}],"mendeley":{"formattedCitation":"&lt;sup&gt;48,49&lt;/sup&gt;","plainTextFormattedCitation":"48,49","previouslyFormattedCitation":"&lt;sup&gt;48,49&lt;/sup&gt;"},"properties":{"noteIndex":0},"schema":"https://github.com/citation-style-language/schema/raw/master/csl-citation.json"}</w:instrText>
      </w:r>
      <w:r w:rsidR="00AF31EC">
        <w:rPr>
          <w:rFonts w:ascii="Times" w:hAnsi="Times" w:cs="Calibri"/>
          <w:sz w:val="24"/>
          <w:szCs w:val="24"/>
          <w:lang w:val="en-US"/>
        </w:rPr>
        <w:fldChar w:fldCharType="separate"/>
      </w:r>
      <w:r w:rsidR="00AF31EC">
        <w:rPr>
          <w:rFonts w:ascii="Times" w:hAnsi="Times" w:cs="Calibri"/>
          <w:noProof/>
          <w:sz w:val="24"/>
          <w:szCs w:val="24"/>
          <w:vertAlign w:val="superscript"/>
          <w:lang w:val="en-US"/>
        </w:rPr>
        <w:t>48,49</w:t>
      </w:r>
      <w:r w:rsidR="00AF31EC">
        <w:rPr>
          <w:rFonts w:ascii="Times" w:hAnsi="Times" w:cs="Calibri"/>
          <w:sz w:val="24"/>
          <w:szCs w:val="24"/>
          <w:lang w:val="en-US"/>
        </w:rPr>
        <w:fldChar w:fldCharType="end"/>
      </w:r>
      <w:r w:rsidR="00AF31EC">
        <w:rPr>
          <w:rFonts w:ascii="Times" w:hAnsi="Times" w:cs="Calibri"/>
          <w:sz w:val="24"/>
          <w:szCs w:val="24"/>
          <w:vertAlign w:val="superscript"/>
          <w:lang w:val="en-US"/>
        </w:rPr>
        <w:t xml:space="preserve"> </w:t>
      </w:r>
      <w:r w:rsidR="00AF31EC">
        <w:rPr>
          <w:rFonts w:ascii="Times" w:hAnsi="Times" w:cs="Calibri"/>
          <w:sz w:val="24"/>
          <w:szCs w:val="24"/>
          <w:lang w:val="en-US"/>
        </w:rPr>
        <w:t>Thus, the Cr</w:t>
      </w:r>
      <w:r w:rsidR="00AF31EC">
        <w:rPr>
          <w:rFonts w:ascii="Times" w:hAnsi="Times" w:cs="Calibri"/>
          <w:sz w:val="24"/>
          <w:szCs w:val="24"/>
          <w:vertAlign w:val="subscript"/>
          <w:lang w:val="en-US"/>
        </w:rPr>
        <w:t>0.2</w:t>
      </w:r>
      <w:r w:rsidR="00AF31EC">
        <w:rPr>
          <w:rFonts w:ascii="Times" w:hAnsi="Times" w:cs="Calibri"/>
          <w:sz w:val="24"/>
          <w:szCs w:val="24"/>
          <w:lang w:val="en-US"/>
        </w:rPr>
        <w:t>Co</w:t>
      </w:r>
      <w:r w:rsidR="00AF31EC">
        <w:rPr>
          <w:rFonts w:ascii="Times" w:hAnsi="Times" w:cs="Calibri"/>
          <w:sz w:val="24"/>
          <w:szCs w:val="24"/>
          <w:vertAlign w:val="subscript"/>
          <w:lang w:val="en-US"/>
        </w:rPr>
        <w:t>1.8</w:t>
      </w:r>
      <w:r w:rsidR="00AF31EC">
        <w:rPr>
          <w:rFonts w:ascii="Times" w:hAnsi="Times" w:cs="Calibri"/>
          <w:sz w:val="24"/>
          <w:szCs w:val="24"/>
          <w:lang w:val="en-US"/>
        </w:rPr>
        <w:t>P (201) surface has a weaker adsorption strength. From the above, the synergy of the enhanced activation of water and optimized H adsorption result in the better alkaline HER performance of Co</w:t>
      </w:r>
      <w:r w:rsidR="00AF31EC">
        <w:rPr>
          <w:rFonts w:ascii="Times" w:hAnsi="Times" w:cs="Calibri"/>
          <w:sz w:val="24"/>
          <w:szCs w:val="24"/>
          <w:vertAlign w:val="subscript"/>
          <w:lang w:val="en-US"/>
        </w:rPr>
        <w:t>2</w:t>
      </w:r>
      <w:r w:rsidR="00AF31EC">
        <w:rPr>
          <w:rFonts w:ascii="Times" w:hAnsi="Times" w:cs="Calibri"/>
          <w:sz w:val="24"/>
          <w:szCs w:val="24"/>
          <w:lang w:val="en-US"/>
        </w:rPr>
        <w:t>P. Furthermore, such a mechanism of enhanced alkaline HER activity can also be seen for the Co</w:t>
      </w:r>
      <w:r w:rsidR="00AF31EC">
        <w:rPr>
          <w:rFonts w:ascii="Times" w:hAnsi="Times" w:cs="Calibri"/>
          <w:sz w:val="24"/>
          <w:szCs w:val="24"/>
          <w:vertAlign w:val="subscript"/>
          <w:lang w:val="en-US"/>
        </w:rPr>
        <w:t>2</w:t>
      </w:r>
      <w:r w:rsidR="00AF31EC">
        <w:rPr>
          <w:rFonts w:ascii="Times" w:hAnsi="Times" w:cs="Calibri"/>
          <w:sz w:val="24"/>
          <w:szCs w:val="24"/>
          <w:lang w:val="en-US"/>
        </w:rPr>
        <w:t>P (200) surface, as shown in Figure S11-S13. Based on both the experimental results and theoretical calculations,</w:t>
      </w:r>
      <w:r w:rsidR="00AF31EC">
        <w:rPr>
          <w:rFonts w:ascii="Times" w:eastAsia="DengXian" w:hAnsi="Times" w:cs="Calibri"/>
          <w:sz w:val="24"/>
          <w:szCs w:val="24"/>
          <w:lang w:val="en-US" w:eastAsia="zh-CN"/>
        </w:rPr>
        <w:t xml:space="preserve"> we supposed that the incorporation of high valent Cr dopants plays a key role in accelerating the sluggish water dissociation step in alkaline solutions. </w:t>
      </w:r>
      <w:r w:rsidR="00AF31EC">
        <w:rPr>
          <w:rFonts w:ascii="Times" w:eastAsia="DengXian" w:hAnsi="Times" w:cs="Calibri"/>
          <w:sz w:val="24"/>
          <w:szCs w:val="24"/>
          <w:lang w:val="en-US" w:eastAsia="zh-CN"/>
        </w:rPr>
        <w:lastRenderedPageBreak/>
        <w:t>Subsequently, the hydrogen intermediates were easily adsorbed on the nearby Co</w:t>
      </w:r>
      <w:r w:rsidR="00AF31EC">
        <w:rPr>
          <w:rFonts w:ascii="Times" w:eastAsia="DengXian" w:hAnsi="Times" w:cs="Calibri"/>
          <w:sz w:val="24"/>
          <w:szCs w:val="24"/>
          <w:vertAlign w:val="superscript"/>
          <w:lang w:val="en-US" w:eastAsia="zh-CN"/>
        </w:rPr>
        <w:t>2+</w:t>
      </w:r>
      <w:r w:rsidR="00AF31EC">
        <w:rPr>
          <w:rFonts w:ascii="Times" w:eastAsia="DengXian" w:hAnsi="Times" w:cs="Calibri"/>
          <w:sz w:val="24"/>
          <w:szCs w:val="24"/>
          <w:lang w:val="en-US" w:eastAsia="zh-CN"/>
        </w:rPr>
        <w:t xml:space="preserve"> sites and recombined into molecular hydrogen. However, in acid solutions, when the hydrogen intermediates were produced from a more facile discharge step involving the hydronium ion, the less active Cr</w:t>
      </w:r>
      <w:r w:rsidR="00AF31EC">
        <w:rPr>
          <w:rFonts w:ascii="Times" w:eastAsia="DengXian" w:hAnsi="Times" w:cs="Calibri"/>
          <w:sz w:val="24"/>
          <w:szCs w:val="24"/>
          <w:vertAlign w:val="superscript"/>
          <w:lang w:val="en-US" w:eastAsia="zh-CN"/>
        </w:rPr>
        <w:t>3+</w:t>
      </w:r>
      <w:r w:rsidR="00AF31EC">
        <w:rPr>
          <w:rFonts w:ascii="Times" w:eastAsia="DengXian" w:hAnsi="Times" w:cs="Calibri"/>
          <w:sz w:val="24"/>
          <w:szCs w:val="24"/>
          <w:lang w:val="en-US" w:eastAsia="zh-CN"/>
        </w:rPr>
        <w:t xml:space="preserve"> sites may exist as spectators for the whole HER process and most of the measured current density comes from the Co</w:t>
      </w:r>
      <w:r w:rsidR="00AF31EC">
        <w:rPr>
          <w:rFonts w:ascii="Times" w:eastAsia="DengXian" w:hAnsi="Times" w:cs="Calibri"/>
          <w:sz w:val="24"/>
          <w:szCs w:val="24"/>
          <w:vertAlign w:val="superscript"/>
          <w:lang w:val="en-US" w:eastAsia="zh-CN"/>
        </w:rPr>
        <w:t>2+</w:t>
      </w:r>
      <w:r w:rsidR="00AF31EC">
        <w:rPr>
          <w:rFonts w:ascii="Times" w:eastAsia="DengXian" w:hAnsi="Times" w:cs="Calibri"/>
          <w:sz w:val="24"/>
          <w:szCs w:val="24"/>
          <w:lang w:val="en-US" w:eastAsia="zh-CN"/>
        </w:rPr>
        <w:t xml:space="preserve"> sites. </w:t>
      </w:r>
      <w:r w:rsidR="00AF31EC">
        <w:rPr>
          <w:rFonts w:ascii="Times" w:hAnsi="Times" w:cs="Calibri"/>
          <w:sz w:val="24"/>
          <w:szCs w:val="24"/>
          <w:lang w:val="en-US"/>
        </w:rPr>
        <w:t xml:space="preserve">Moreover, </w:t>
      </w:r>
      <w:r w:rsidR="00AF31EC">
        <w:rPr>
          <w:rFonts w:ascii="Times" w:hAnsi="Times" w:cs="Calibri"/>
          <w:color w:val="000000" w:themeColor="text1"/>
          <w:sz w:val="24"/>
          <w:szCs w:val="24"/>
          <w:lang w:val="en-US"/>
        </w:rPr>
        <w:t>it has been reported before that the weakened hydrogen binding energy (HBE) could also be the controlling factor for the enhanced hydrogen oxidation reaction (HOR) activity.</w:t>
      </w:r>
      <w:r w:rsidR="00AF31EC">
        <w:rPr>
          <w:rFonts w:ascii="Times" w:hAnsi="Times" w:cs="Calibri"/>
          <w:color w:val="000000" w:themeColor="text1"/>
          <w:sz w:val="24"/>
          <w:szCs w:val="24"/>
          <w:lang w:val="en-US"/>
        </w:rPr>
        <w:fldChar w:fldCharType="begin" w:fldLock="1"/>
      </w:r>
      <w:r w:rsidR="00AF31EC">
        <w:rPr>
          <w:rFonts w:ascii="Times" w:hAnsi="Times" w:cs="Calibri"/>
          <w:color w:val="000000" w:themeColor="text1"/>
          <w:sz w:val="24"/>
          <w:szCs w:val="24"/>
          <w:lang w:val="en-US"/>
        </w:rPr>
        <w:instrText>ADDIN CSL_CITATION {"citationItems":[{"id":"ITEM-1","itemData":{"DOI":"10.1039/c3ee43899f","ISSN":"17545706","abstract":"Polarization curves of hydrogen oxidation on a Pt disk, electroplated Ni and CoNiMo multimetallic layer. A ternary metallic CoNiMo catalyst is electrochemically deposited on a polycrystalline gold (Au) disk electrode using pulse voltammetry, and characterized for hydrogen oxidation reaction (HOR) activity by temperature-controlled rotating disk electrode measurements in 0.1 M potassium hydroxide (KOH). The catalyst exhibits the highest HOR activity among all non-precious metal catalysts ( e.g. , 20 fold higher than Ni). At a sufficient loading, the CoNiMo catalyst is expected to outperform Pt and thus provides a promising low cost pathway for alkaline or alkaline membrane fuel cells. Density functional theory (DFT) calculations and parallel H 2 -temperature programmed desorption (TPD) experiments on structurally much simpler model alloy systems show a trend that CoNiMo has a hydrogen binding energy (HBE) similar to Pt and much lower than Ni, suggesting that the formation of multi-metallic bonds modifies the HBE of Ni and is likely a significant contributing factor for the enhanced HOR activity. ","author":[{"dropping-particle":"","family":"Sheng","given":"Wenchao","non-dropping-particle":"","parse-names":false,"suffix":""},{"dropping-particle":"","family":"Bivens","given":"Adam P.","non-dropping-particle":"","parse-names":false,"suffix":""},{"dropping-particle":"","family":"Myint","given":"Myatnoezin","non-dropping-particle":"","parse-names":false,"suffix":""},{"dropping-particle":"","family":"Zhuang","given":"Zhongbin","non-dropping-particle":"","parse-names":false,"suffix":""},{"dropping-particle":"V.","family":"Forest","given":"Robert","non-dropping-particle":"","parse-names":false,"suffix":""},{"dropping-particle":"","family":"Fang","given":"Qianrong","non-dropping-particle":"","parse-names":false,"suffix":""},{"dropping-particle":"","family":"Chen","given":"Jingguang G.","non-dropping-particle":"","parse-names":false,"suffix":""},{"dropping-particle":"","family":"Yan","given":"Yushan","non-dropping-particle":"","parse-names":false,"suffix":""}],"container-title":"Energy and Environmental Science","id":"ITEM-1","issue":"5","issued":{"date-parts":[["2014"]]},"page":"1719-1724","title":"Non-precious metal electrocatalysts with high activity for hydrogen oxidation reaction in alkaline electrolytes","type":"article-journal","volume":"7"},"uris":["http://www.mendeley.com/documents/?uuid=362ef6e8-64dd-4b72-ae4b-28bd03b2b1a4"]}],"mendeley":{"formattedCitation":"&lt;sup&gt;50&lt;/sup&gt;","plainTextFormattedCitation":"50","previouslyFormattedCitation":"&lt;sup&gt;50&lt;/sup&gt;"},"properties":{"noteIndex":0},"schema":"https://github.com/citation-style-language/schema/raw/master/csl-citation.json"}</w:instrText>
      </w:r>
      <w:r w:rsidR="00AF31EC">
        <w:rPr>
          <w:rFonts w:ascii="Times" w:hAnsi="Times" w:cs="Calibri"/>
          <w:color w:val="000000" w:themeColor="text1"/>
          <w:sz w:val="24"/>
          <w:szCs w:val="24"/>
          <w:lang w:val="en-US"/>
        </w:rPr>
        <w:fldChar w:fldCharType="separate"/>
      </w:r>
      <w:r w:rsidR="00AF31EC">
        <w:rPr>
          <w:rFonts w:ascii="Times" w:hAnsi="Times" w:cs="Calibri"/>
          <w:noProof/>
          <w:color w:val="000000" w:themeColor="text1"/>
          <w:sz w:val="24"/>
          <w:szCs w:val="24"/>
          <w:vertAlign w:val="superscript"/>
          <w:lang w:val="en-US"/>
        </w:rPr>
        <w:t>50</w:t>
      </w:r>
      <w:r w:rsidR="00AF31EC">
        <w:rPr>
          <w:rFonts w:ascii="Times" w:hAnsi="Times" w:cs="Calibri"/>
          <w:color w:val="000000" w:themeColor="text1"/>
          <w:sz w:val="24"/>
          <w:szCs w:val="24"/>
          <w:lang w:val="en-US"/>
        </w:rPr>
        <w:fldChar w:fldCharType="end"/>
      </w:r>
      <w:r w:rsidR="00AF31EC">
        <w:rPr>
          <w:rFonts w:ascii="Times" w:hAnsi="Times" w:cs="Calibri"/>
          <w:color w:val="000000" w:themeColor="text1"/>
          <w:sz w:val="24"/>
          <w:szCs w:val="24"/>
          <w:lang w:val="en-US"/>
        </w:rPr>
        <w:t xml:space="preserve"> Thus the electrocatalytic activity of both the Co</w:t>
      </w:r>
      <w:r w:rsidR="00AF31EC">
        <w:rPr>
          <w:rFonts w:ascii="Times" w:hAnsi="Times" w:cs="Calibri"/>
          <w:color w:val="000000" w:themeColor="text1"/>
          <w:sz w:val="24"/>
          <w:szCs w:val="24"/>
          <w:vertAlign w:val="subscript"/>
          <w:lang w:val="en-US"/>
        </w:rPr>
        <w:t>2</w:t>
      </w:r>
      <w:r w:rsidR="00AF31EC">
        <w:rPr>
          <w:rFonts w:ascii="Times" w:hAnsi="Times" w:cs="Calibri"/>
          <w:color w:val="000000" w:themeColor="text1"/>
          <w:sz w:val="24"/>
          <w:szCs w:val="24"/>
          <w:lang w:val="en-US"/>
        </w:rPr>
        <w:t>P/CB and Cr</w:t>
      </w:r>
      <w:r w:rsidR="00AF31EC">
        <w:rPr>
          <w:rFonts w:ascii="Times" w:hAnsi="Times" w:cs="Calibri"/>
          <w:color w:val="000000" w:themeColor="text1"/>
          <w:sz w:val="24"/>
          <w:szCs w:val="24"/>
          <w:vertAlign w:val="subscript"/>
          <w:lang w:val="en-US"/>
        </w:rPr>
        <w:t>0.2</w:t>
      </w:r>
      <w:r w:rsidR="00AF31EC">
        <w:rPr>
          <w:rFonts w:ascii="Times" w:hAnsi="Times" w:cs="Calibri"/>
          <w:color w:val="000000" w:themeColor="text1"/>
          <w:sz w:val="24"/>
          <w:szCs w:val="24"/>
          <w:lang w:val="en-US"/>
        </w:rPr>
        <w:t>Co</w:t>
      </w:r>
      <w:r w:rsidR="00AF31EC">
        <w:rPr>
          <w:rFonts w:ascii="Times" w:hAnsi="Times" w:cs="Calibri"/>
          <w:color w:val="000000" w:themeColor="text1"/>
          <w:sz w:val="24"/>
          <w:szCs w:val="24"/>
          <w:vertAlign w:val="subscript"/>
          <w:lang w:val="en-US"/>
        </w:rPr>
        <w:t>1.8</w:t>
      </w:r>
      <w:r w:rsidR="00AF31EC">
        <w:rPr>
          <w:rFonts w:ascii="Times" w:hAnsi="Times" w:cs="Calibri"/>
          <w:color w:val="000000" w:themeColor="text1"/>
          <w:sz w:val="24"/>
          <w:szCs w:val="24"/>
          <w:lang w:val="en-US"/>
        </w:rPr>
        <w:t>P/CB for HOR were tested in H</w:t>
      </w:r>
      <w:r w:rsidR="00AF31EC">
        <w:rPr>
          <w:rFonts w:ascii="Times" w:hAnsi="Times" w:cs="Calibri"/>
          <w:color w:val="000000" w:themeColor="text1"/>
          <w:sz w:val="24"/>
          <w:szCs w:val="24"/>
          <w:vertAlign w:val="subscript"/>
          <w:lang w:val="en-US"/>
        </w:rPr>
        <w:t>2</w:t>
      </w:r>
      <w:r w:rsidR="00AF31EC">
        <w:rPr>
          <w:rFonts w:ascii="Times" w:hAnsi="Times" w:cs="Calibri"/>
          <w:color w:val="000000" w:themeColor="text1"/>
          <w:sz w:val="24"/>
          <w:szCs w:val="24"/>
          <w:lang w:val="en-US"/>
        </w:rPr>
        <w:t>-saturated 0.1 M KOH solution. However, as shown in Figure S17, even with more favorable HBE towards the HOR, the Cr</w:t>
      </w:r>
      <w:r w:rsidR="00AF31EC">
        <w:rPr>
          <w:rFonts w:ascii="Times" w:hAnsi="Times" w:cs="Calibri"/>
          <w:color w:val="000000" w:themeColor="text1"/>
          <w:sz w:val="24"/>
          <w:szCs w:val="24"/>
          <w:vertAlign w:val="subscript"/>
          <w:lang w:val="en-US"/>
        </w:rPr>
        <w:t>0.2</w:t>
      </w:r>
      <w:r w:rsidR="00AF31EC">
        <w:rPr>
          <w:rFonts w:ascii="Times" w:hAnsi="Times" w:cs="Calibri"/>
          <w:color w:val="000000" w:themeColor="text1"/>
          <w:sz w:val="24"/>
          <w:szCs w:val="24"/>
          <w:lang w:val="en-US"/>
        </w:rPr>
        <w:t>Co</w:t>
      </w:r>
      <w:r w:rsidR="00AF31EC">
        <w:rPr>
          <w:rFonts w:ascii="Times" w:hAnsi="Times" w:cs="Calibri"/>
          <w:color w:val="000000" w:themeColor="text1"/>
          <w:sz w:val="24"/>
          <w:szCs w:val="24"/>
          <w:vertAlign w:val="subscript"/>
          <w:lang w:val="en-US"/>
        </w:rPr>
        <w:t>1.8</w:t>
      </w:r>
      <w:r w:rsidR="00AF31EC">
        <w:rPr>
          <w:rFonts w:ascii="Times" w:hAnsi="Times" w:cs="Calibri"/>
          <w:color w:val="000000" w:themeColor="text1"/>
          <w:sz w:val="24"/>
          <w:szCs w:val="24"/>
          <w:lang w:val="en-US"/>
        </w:rPr>
        <w:t>P/CB catalyst still showed minimal HOR activity, which implies there are still considerable improvements to be done to make this cobalt-based phosphide catalysts more efficient and multifunctional.</w:t>
      </w:r>
    </w:p>
    <w:p w:rsidR="00FA7069" w:rsidRDefault="00AF31EC" w:rsidP="00FA7069">
      <w:pPr>
        <w:pStyle w:val="RSCB02ArticleText"/>
        <w:spacing w:line="480" w:lineRule="auto"/>
        <w:rPr>
          <w:rFonts w:ascii="Times" w:hAnsi="Times" w:cs="Calibri"/>
          <w:color w:val="000000" w:themeColor="text1"/>
          <w:sz w:val="24"/>
          <w:szCs w:val="24"/>
          <w:lang w:val="en-US"/>
        </w:rPr>
      </w:pPr>
      <w:r>
        <w:rPr>
          <w:rFonts w:ascii="Times" w:hAnsi="Times" w:cs="Calibri"/>
          <w:sz w:val="24"/>
          <w:szCs w:val="24"/>
          <w:lang w:val="en-US"/>
        </w:rPr>
        <w:t>According to the simplified scheme developed by Nørskov et al.,</w:t>
      </w:r>
      <w:r>
        <w:rPr>
          <w:rFonts w:ascii="Times" w:hAnsi="Times" w:cs="Calibri"/>
          <w:sz w:val="24"/>
          <w:szCs w:val="24"/>
          <w:lang w:val="en-US"/>
        </w:rPr>
        <w:fldChar w:fldCharType="begin" w:fldLock="1"/>
      </w:r>
      <w:r>
        <w:rPr>
          <w:rFonts w:ascii="Times" w:hAnsi="Times" w:cs="Calibri"/>
          <w:sz w:val="24"/>
          <w:szCs w:val="24"/>
          <w:lang w:val="en-US"/>
        </w:rPr>
        <w:instrText>ADDIN CSL_CITATION {"citationItems":[{"id":"ITEM-1","itemData":{"DOI":"10.1016/j.jelechem.2006.11.008","ISSN":"15726657","abstract":"In this paper, density functional theory (DFT) calculations are performed to analyze the electrochemical water-splitting process producing molecular oxygen (O 2 ) and hydrogen (H 2 ). We investigate the trends in the electro-catalytic properties of (1 1 0) surfaces of three rutile-type oxides (RuO 2 , IrO 2 , and TiO 2 ). The two first of these oxide anodes show lower O 2 -evolving over-potentials than metal anodes, due to weak O binding but strong hydroxyl (HO * ) binding on the surface. Furthermore, the binding energies of O, HO, and HOO on the (1 1 0) surfaces fulfill universal linear relations similar to those found on metal surfaces. © 2006 Elsevier B.V. All rights reserved.","author":[{"dropping-particle":"","family":"Rossmeisl","given":"J","non-dropping-particle":"","parse-names":false,"suffix":""},{"dropping-particle":"","family":"Qu","given":"Z. W.","non-dropping-particle":"","parse-names":false,"suffix":""},{"dropping-particle":"","family":"Zhu","given":"H.","non-dropping-particle":"","parse-names":false,"suffix":""},{"dropping-particle":"","family":"Kroes","given":"G. J.","non-dropping-particle":"","parse-names":false,"suffix":""},{"dropping-particle":"","family":"Nørskov","given":"J. K.","non-dropping-particle":"","parse-names":false,"suffix":""}],"container-title":"Journal of Electroanalytical Chemistry","id":"ITEM-1","issue":"1-2","issued":{"date-parts":[["2007"]]},"page":"83-89","title":"Electrolysis of water on oxide surfaces","type":"article-journal","volume":"607"},"uris":["http://www.mendeley.com/documents/?uuid=81c1b5d3-0503-468b-a79a-f00beee8238e","http://www.mendeley.com/documents/?uuid=71d3b485-ef5b-473b-aa01-28f3b697ffaa"]},{"id":"ITEM-2","itemData":{"DOI":"10.1002/cctc.201000397","ISSN":"18673880","abstract":"Trends in electrocatalytic activity of the oxygen evolution reaction (OER) are investigated on the basis of a large database of HO* and HOO* adsorption energies on oxide surfaces. The theoretical overpotential was calculated by applying standard density functional theory in combination with the computational standard hydrogen electrode (SHE) model. We showed that by the discovery of a universal scaling relation between the adsorption energies of HOO* vs HO*, it is possible to analyze the reaction free energy diagrams of all the oxides in a general way. This gave rise to an activity volcano that was the same for a wide variety of oxide catalyst materials and a universal descriptor for the oxygen evolution activity, which suggests a fundamental limitation on the maximum oxygen evolution activity of planar oxide catalysts.","author":[{"dropping-particle":"","family":"Man","given":"Isabela C","non-dropping-particle":"","parse-names":false,"suffix":""},{"dropping-particle":"","family":"Su","given":"Hai Yan","non-dropping-particle":"","parse-names":false,"suffix":""},{"dropping-particle":"","family":"Calle-Vallejo","given":"Federico","non-dropping-particle":"","parse-names":false,"suffix":""},{"dropping-particle":"","family":"Hansen","given":"Heine A","non-dropping-particle":"","parse-names":false,"suffix":""},{"dropping-particle":"","family":"Martínez","given":"José I","non-dropping-particle":"","parse-names":false,"suffix":""},{"dropping-particle":"","family":"Inoglu","given":"Nilay G","non-dropping-particle":"","parse-names":false,"suffix":""},{"dropping-particle":"","family":"Kitchin","given":"John","non-dropping-particle":"","parse-names":false,"suffix":""},{"dropping-particle":"","family":"Jaramillo","given":"Thomas F","non-dropping-particle":"","parse-names":false,"suffix":""},{"dropping-particle":"","family":"Nørskov","given":"Jens K","non-dropping-particle":"","parse-names":false,"suffix":""},{"dropping-particle":"","family":"Rossmeisl","given":"Jan","non-dropping-particle":"","parse-names":false,"suffix":""}],"container-title":"ChemCatChem","id":"ITEM-2","issue":"7","issued":{"date-parts":[["2011"]]},"page":"1159-1165","title":"Universality in Oxygen Evolution Electrocatalysis on Oxide Surfaces","type":"article-journal","volume":"3"},"uris":["http://www.mendeley.com/documents/?uuid=8fdd9081-e7f6-4b5b-bde7-48da9f0b87e9"]}],"mendeley":{"formattedCitation":"&lt;sup&gt;41,51&lt;/sup&gt;","plainTextFormattedCitation":"41,51","previouslyFormattedCitation":"&lt;sup&gt;41,51&lt;/sup&gt;"},"properties":{"noteIndex":0},"schema":"https://github.com/citation-style-language/schema/raw/master/csl-citation.json"}</w:instrText>
      </w:r>
      <w:r>
        <w:rPr>
          <w:rFonts w:ascii="Times" w:hAnsi="Times" w:cs="Calibri"/>
          <w:sz w:val="24"/>
          <w:szCs w:val="24"/>
          <w:lang w:val="en-US"/>
        </w:rPr>
        <w:fldChar w:fldCharType="separate"/>
      </w:r>
      <w:r>
        <w:rPr>
          <w:rFonts w:ascii="Times" w:hAnsi="Times" w:cs="Calibri"/>
          <w:noProof/>
          <w:sz w:val="24"/>
          <w:szCs w:val="24"/>
          <w:vertAlign w:val="superscript"/>
          <w:lang w:val="en-US"/>
        </w:rPr>
        <w:t>41,51</w:t>
      </w:r>
      <w:r>
        <w:rPr>
          <w:rFonts w:ascii="Times" w:hAnsi="Times" w:cs="Calibri"/>
          <w:sz w:val="24"/>
          <w:szCs w:val="24"/>
          <w:lang w:val="en-US"/>
        </w:rPr>
        <w:fldChar w:fldCharType="end"/>
      </w:r>
      <w:r>
        <w:rPr>
          <w:rFonts w:ascii="Times" w:hAnsi="Times" w:cs="Calibri"/>
          <w:sz w:val="24"/>
          <w:szCs w:val="24"/>
          <w:lang w:val="en-US"/>
        </w:rPr>
        <w:t xml:space="preserve"> </w:t>
      </w:r>
      <w:r>
        <w:rPr>
          <w:rFonts w:ascii="Times" w:hAnsi="Times" w:cs="Calibri"/>
          <w:color w:val="000000" w:themeColor="text1"/>
          <w:sz w:val="24"/>
          <w:szCs w:val="24"/>
          <w:lang w:val="en-US"/>
        </w:rPr>
        <w:t>we have also studied the energetics of the OER process for the undoped and doped catalysts, to understand the origin for higher OER activity after Cr doping. Because we have determined experimentally that the Co</w:t>
      </w:r>
      <w:r>
        <w:rPr>
          <w:rFonts w:ascii="Times" w:hAnsi="Times" w:cs="Calibri"/>
          <w:color w:val="000000" w:themeColor="text1"/>
          <w:sz w:val="24"/>
          <w:szCs w:val="24"/>
          <w:vertAlign w:val="subscript"/>
          <w:lang w:val="en-US"/>
        </w:rPr>
        <w:t>2</w:t>
      </w:r>
      <w:r>
        <w:rPr>
          <w:rFonts w:ascii="Times" w:hAnsi="Times" w:cs="Calibri"/>
          <w:color w:val="000000" w:themeColor="text1"/>
          <w:sz w:val="24"/>
          <w:szCs w:val="24"/>
          <w:lang w:val="en-US"/>
        </w:rPr>
        <w:t>P catalyst has transformed into Co</w:t>
      </w:r>
      <w:r>
        <w:rPr>
          <w:rFonts w:ascii="Times" w:hAnsi="Times" w:cs="Calibri"/>
          <w:color w:val="000000" w:themeColor="text1"/>
          <w:sz w:val="24"/>
          <w:szCs w:val="24"/>
          <w:vertAlign w:val="subscript"/>
          <w:lang w:val="en-US"/>
        </w:rPr>
        <w:t>3</w:t>
      </w:r>
      <w:r>
        <w:rPr>
          <w:rFonts w:ascii="Times" w:hAnsi="Times" w:cs="Calibri"/>
          <w:color w:val="000000" w:themeColor="text1"/>
          <w:sz w:val="24"/>
          <w:szCs w:val="24"/>
          <w:lang w:val="en-US"/>
        </w:rPr>
        <w:t>O</w:t>
      </w:r>
      <w:r>
        <w:rPr>
          <w:rFonts w:ascii="Times" w:hAnsi="Times" w:cs="Calibri"/>
          <w:color w:val="000000" w:themeColor="text1"/>
          <w:sz w:val="24"/>
          <w:szCs w:val="24"/>
          <w:vertAlign w:val="subscript"/>
          <w:lang w:val="en-US"/>
        </w:rPr>
        <w:t>4</w:t>
      </w:r>
      <w:r>
        <w:rPr>
          <w:rFonts w:ascii="Times" w:hAnsi="Times" w:cs="Calibri"/>
          <w:color w:val="000000" w:themeColor="text1"/>
          <w:sz w:val="24"/>
          <w:szCs w:val="24"/>
          <w:lang w:val="en-US"/>
        </w:rPr>
        <w:t xml:space="preserve"> under OER condition, the DFT calculations for oxygen evolution were performed on Co</w:t>
      </w:r>
      <w:r>
        <w:rPr>
          <w:rFonts w:ascii="Times" w:hAnsi="Times" w:cs="Calibri"/>
          <w:color w:val="000000" w:themeColor="text1"/>
          <w:sz w:val="24"/>
          <w:szCs w:val="24"/>
          <w:vertAlign w:val="subscript"/>
          <w:lang w:val="en-US"/>
        </w:rPr>
        <w:t>3</w:t>
      </w:r>
      <w:r>
        <w:rPr>
          <w:rFonts w:ascii="Times" w:hAnsi="Times" w:cs="Calibri"/>
          <w:color w:val="000000" w:themeColor="text1"/>
          <w:sz w:val="24"/>
          <w:szCs w:val="24"/>
          <w:lang w:val="en-US"/>
        </w:rPr>
        <w:t>O</w:t>
      </w:r>
      <w:r>
        <w:rPr>
          <w:rFonts w:ascii="Times" w:hAnsi="Times" w:cs="Calibri"/>
          <w:color w:val="000000" w:themeColor="text1"/>
          <w:sz w:val="24"/>
          <w:szCs w:val="24"/>
          <w:vertAlign w:val="subscript"/>
          <w:lang w:val="en-US"/>
        </w:rPr>
        <w:t>4</w:t>
      </w:r>
      <w:r>
        <w:rPr>
          <w:rFonts w:ascii="Times" w:hAnsi="Times" w:cs="Calibri"/>
          <w:color w:val="000000" w:themeColor="text1"/>
          <w:sz w:val="24"/>
          <w:szCs w:val="24"/>
          <w:lang w:val="en-US"/>
        </w:rPr>
        <w:t xml:space="preserve"> (001) and Cr doped Co</w:t>
      </w:r>
      <w:r>
        <w:rPr>
          <w:rFonts w:ascii="Times" w:hAnsi="Times" w:cs="Calibri"/>
          <w:color w:val="000000" w:themeColor="text1"/>
          <w:sz w:val="24"/>
          <w:szCs w:val="24"/>
          <w:vertAlign w:val="subscript"/>
          <w:lang w:val="en-US"/>
        </w:rPr>
        <w:t>3</w:t>
      </w:r>
      <w:r>
        <w:rPr>
          <w:rFonts w:ascii="Times" w:hAnsi="Times" w:cs="Calibri"/>
          <w:color w:val="000000" w:themeColor="text1"/>
          <w:sz w:val="24"/>
          <w:szCs w:val="24"/>
          <w:lang w:val="en-US"/>
        </w:rPr>
        <w:t>O</w:t>
      </w:r>
      <w:r>
        <w:rPr>
          <w:rFonts w:ascii="Times" w:hAnsi="Times" w:cs="Calibri"/>
          <w:color w:val="000000" w:themeColor="text1"/>
          <w:sz w:val="24"/>
          <w:szCs w:val="24"/>
          <w:vertAlign w:val="subscript"/>
          <w:lang w:val="en-US"/>
        </w:rPr>
        <w:t>4</w:t>
      </w:r>
      <w:r>
        <w:rPr>
          <w:rFonts w:ascii="Times" w:hAnsi="Times" w:cs="Calibri"/>
          <w:color w:val="000000" w:themeColor="text1"/>
          <w:sz w:val="24"/>
          <w:szCs w:val="24"/>
          <w:lang w:val="en-US"/>
        </w:rPr>
        <w:t xml:space="preserve"> (001) surfaces (Figure S14-S16)</w:t>
      </w:r>
      <w:r>
        <w:rPr>
          <w:rFonts w:ascii="Times" w:hAnsi="Times" w:cs="Calibri"/>
          <w:sz w:val="24"/>
          <w:szCs w:val="24"/>
          <w:lang w:val="en-US"/>
        </w:rPr>
        <w:t>. The OER is assumed to consist of four elementary reaction steps that proceed through *OH, *O, and *OOH intermediates. In these four elementary reaction steps, the step with the largest reaction free energy change (</w:t>
      </w:r>
      <w:r>
        <w:rPr>
          <w:rFonts w:ascii="Times" w:hAnsi="Times" w:cs="Calibri"/>
          <w:sz w:val="24"/>
          <w:szCs w:val="24"/>
          <w:lang w:val="en-US"/>
        </w:rPr>
        <w:sym w:font="Symbol" w:char="F044"/>
      </w:r>
      <w:r>
        <w:rPr>
          <w:rFonts w:ascii="Times" w:hAnsi="Times" w:cs="Calibri"/>
          <w:sz w:val="24"/>
          <w:szCs w:val="24"/>
          <w:lang w:val="en-US"/>
        </w:rPr>
        <w:t>G</w:t>
      </w:r>
      <w:r>
        <w:rPr>
          <w:rFonts w:ascii="Times" w:hAnsi="Times" w:cs="Calibri"/>
          <w:sz w:val="24"/>
          <w:szCs w:val="24"/>
          <w:vertAlign w:val="subscript"/>
          <w:lang w:val="en-US"/>
        </w:rPr>
        <w:t>max</w:t>
      </w:r>
      <w:r>
        <w:rPr>
          <w:rFonts w:ascii="Times" w:hAnsi="Times" w:cs="Calibri"/>
          <w:sz w:val="24"/>
          <w:szCs w:val="24"/>
          <w:lang w:val="en-US"/>
        </w:rPr>
        <w:t>) is the rate-determining step (rds), and the theoretical overpotential of OER</w:t>
      </w:r>
      <w:r>
        <w:rPr>
          <w:rFonts w:ascii="Times" w:hAnsi="Times" w:cs="Calibri"/>
          <w:color w:val="FF0000"/>
          <w:sz w:val="24"/>
          <w:szCs w:val="24"/>
          <w:lang w:val="en-US"/>
        </w:rPr>
        <w:t xml:space="preserve"> </w:t>
      </w:r>
      <w:r>
        <w:rPr>
          <w:rFonts w:ascii="Times" w:hAnsi="Times" w:cs="Calibri"/>
          <w:color w:val="000000" w:themeColor="text1"/>
          <w:sz w:val="24"/>
          <w:szCs w:val="24"/>
          <w:lang w:val="en-US"/>
        </w:rPr>
        <w:t xml:space="preserve">is </w:t>
      </w:r>
      <m:oMath>
        <m:r>
          <m:rPr>
            <m:sty m:val="p"/>
          </m:rPr>
          <w:rPr>
            <w:rFonts w:ascii="Cambria Math" w:hAnsi="Cambria Math" w:cs="Calibri"/>
            <w:color w:val="000000" w:themeColor="text1"/>
            <w:sz w:val="24"/>
            <w:szCs w:val="24"/>
            <w:lang w:val="en-US"/>
          </w:rPr>
          <w:sym w:font="Symbol" w:char="F068"/>
        </m:r>
        <m:r>
          <m:rPr>
            <m:sty m:val="p"/>
          </m:rPr>
          <w:rPr>
            <w:rStyle w:val="RSCB03MathematicsGreeketcChar"/>
            <w:rFonts w:ascii="Cambria Math" w:hAnsi="Cambria Math" w:cs="Calibri"/>
            <w:color w:val="000000" w:themeColor="text1"/>
            <w:sz w:val="24"/>
            <w:szCs w:val="24"/>
            <w:lang w:val="en-US"/>
          </w:rPr>
          <m:t>=</m:t>
        </m:r>
        <m:f>
          <m:fPr>
            <m:type m:val="lin"/>
            <m:ctrlPr>
              <w:rPr>
                <w:rFonts w:ascii="Cambria Math" w:hAnsi="Cambria Math" w:cs="Calibri"/>
                <w:color w:val="000000" w:themeColor="text1"/>
                <w:sz w:val="24"/>
                <w:szCs w:val="24"/>
                <w:lang w:val="en-US"/>
              </w:rPr>
            </m:ctrlPr>
          </m:fPr>
          <m:num>
            <m:sSub>
              <m:sSubPr>
                <m:ctrlPr>
                  <w:rPr>
                    <w:rFonts w:ascii="Cambria Math" w:hAnsi="Cambria Math" w:cs="Calibri"/>
                    <w:color w:val="000000" w:themeColor="text1"/>
                    <w:sz w:val="24"/>
                    <w:szCs w:val="24"/>
                    <w:lang w:val="en-US"/>
                  </w:rPr>
                </m:ctrlPr>
              </m:sSubPr>
              <m:e>
                <m:r>
                  <m:rPr>
                    <m:sty m:val="p"/>
                  </m:rPr>
                  <w:rPr>
                    <w:rStyle w:val="RSCB03MathematicsGreeketcChar"/>
                    <w:rFonts w:ascii="Cambria Math" w:hAnsi="Cambria Math" w:cs="Calibri"/>
                    <w:color w:val="000000" w:themeColor="text1"/>
                    <w:sz w:val="24"/>
                    <w:szCs w:val="24"/>
                    <w:lang w:val="en-US"/>
                  </w:rPr>
                  <m:t>(∆G</m:t>
                </m:r>
              </m:e>
              <m:sub>
                <m:r>
                  <m:rPr>
                    <m:sty m:val="p"/>
                  </m:rPr>
                  <w:rPr>
                    <w:rStyle w:val="RSCB03MathematicsGreeketcChar"/>
                    <w:rFonts w:ascii="Cambria Math" w:hAnsi="Cambria Math" w:cs="Calibri"/>
                    <w:color w:val="000000" w:themeColor="text1"/>
                    <w:sz w:val="24"/>
                    <w:szCs w:val="24"/>
                    <w:lang w:val="en-US"/>
                  </w:rPr>
                  <m:t>max</m:t>
                </m:r>
              </m:sub>
            </m:sSub>
          </m:num>
          <m:den>
            <m:r>
              <m:rPr>
                <m:sty m:val="p"/>
              </m:rPr>
              <w:rPr>
                <w:rStyle w:val="RSCB03MathematicsGreeketcChar"/>
                <w:rFonts w:ascii="Cambria Math" w:hAnsi="Cambria Math" w:cs="Calibri"/>
                <w:color w:val="000000" w:themeColor="text1"/>
                <w:sz w:val="24"/>
                <w:szCs w:val="24"/>
                <w:lang w:val="en-US"/>
              </w:rPr>
              <m:t>e</m:t>
            </m:r>
          </m:den>
        </m:f>
        <m:r>
          <m:rPr>
            <m:sty m:val="p"/>
          </m:rPr>
          <w:rPr>
            <w:rStyle w:val="RSCB03MathematicsGreeketcChar"/>
            <w:rFonts w:ascii="Cambria Math" w:hAnsi="Cambria Math" w:cs="Calibri"/>
            <w:color w:val="000000" w:themeColor="text1"/>
            <w:sz w:val="24"/>
            <w:szCs w:val="24"/>
            <w:lang w:val="en-US"/>
          </w:rPr>
          <m:t>)-1.23 V</m:t>
        </m:r>
      </m:oMath>
      <w:r w:rsidR="00FA7069">
        <w:rPr>
          <w:rStyle w:val="RSCB03MathematicsGreeketcChar"/>
          <w:rFonts w:ascii="Times" w:eastAsiaTheme="minorEastAsia" w:hAnsi="Times" w:cs="Calibri"/>
          <w:color w:val="000000" w:themeColor="text1"/>
          <w:sz w:val="24"/>
          <w:szCs w:val="24"/>
          <w:lang w:val="en-US"/>
        </w:rPr>
        <w:t xml:space="preserve">. </w:t>
      </w:r>
      <w:r w:rsidR="00FA7069">
        <w:rPr>
          <w:rFonts w:ascii="Times" w:hAnsi="Times" w:cs="Calibri"/>
          <w:color w:val="000000" w:themeColor="text1"/>
          <w:sz w:val="24"/>
          <w:szCs w:val="24"/>
          <w:lang w:val="en-US"/>
        </w:rPr>
        <w:t>For the Cr doped Co</w:t>
      </w:r>
      <w:r w:rsidR="00FA7069">
        <w:rPr>
          <w:rFonts w:ascii="Times" w:hAnsi="Times" w:cs="Calibri"/>
          <w:color w:val="000000" w:themeColor="text1"/>
          <w:sz w:val="24"/>
          <w:szCs w:val="24"/>
          <w:vertAlign w:val="subscript"/>
          <w:lang w:val="en-US"/>
        </w:rPr>
        <w:t>3</w:t>
      </w:r>
      <w:r w:rsidR="00FA7069">
        <w:rPr>
          <w:rFonts w:ascii="Times" w:hAnsi="Times" w:cs="Calibri"/>
          <w:color w:val="000000" w:themeColor="text1"/>
          <w:sz w:val="24"/>
          <w:szCs w:val="24"/>
          <w:lang w:val="en-US"/>
        </w:rPr>
        <w:t>O</w:t>
      </w:r>
      <w:r w:rsidR="00FA7069">
        <w:rPr>
          <w:rFonts w:ascii="Times" w:hAnsi="Times" w:cs="Calibri"/>
          <w:color w:val="000000" w:themeColor="text1"/>
          <w:sz w:val="24"/>
          <w:szCs w:val="24"/>
          <w:vertAlign w:val="subscript"/>
          <w:lang w:val="en-US"/>
        </w:rPr>
        <w:t>4</w:t>
      </w:r>
      <w:r w:rsidR="00FA7069">
        <w:rPr>
          <w:rFonts w:ascii="Times" w:hAnsi="Times" w:cs="Calibri"/>
          <w:color w:val="000000" w:themeColor="text1"/>
          <w:sz w:val="24"/>
          <w:szCs w:val="24"/>
          <w:lang w:val="en-US"/>
        </w:rPr>
        <w:t xml:space="preserve"> (001) surface, we have calculated the free energy diagram for different active sites, Cr sites (Figure S15) and pristine Co sites (Figure S16), respectively. As shown in </w:t>
      </w:r>
      <w:r w:rsidR="00FA7069">
        <w:rPr>
          <w:rFonts w:ascii="Times" w:hAnsi="Times" w:cs="Calibri"/>
          <w:color w:val="000000" w:themeColor="text1"/>
          <w:sz w:val="24"/>
          <w:szCs w:val="24"/>
          <w:lang w:val="en-US" w:eastAsia="zh-CN"/>
        </w:rPr>
        <w:t>Figure 5</w:t>
      </w:r>
      <w:r w:rsidR="00FA7069">
        <w:rPr>
          <w:rFonts w:ascii="Times" w:hAnsi="Times" w:cs="Calibri"/>
          <w:color w:val="000000" w:themeColor="text1"/>
          <w:sz w:val="24"/>
          <w:szCs w:val="24"/>
          <w:lang w:val="en-US"/>
        </w:rPr>
        <w:t xml:space="preserve"> (g), it is interesting to note that compared with the theoretical overpotential (</w:t>
      </w:r>
      <w:r w:rsidR="00FA7069">
        <w:rPr>
          <w:rFonts w:ascii="Times" w:hAnsi="Times" w:cs="Calibri"/>
          <w:color w:val="000000" w:themeColor="text1"/>
          <w:sz w:val="24"/>
          <w:szCs w:val="24"/>
          <w:lang w:val="en-US"/>
        </w:rPr>
        <w:sym w:font="Symbol" w:char="F068"/>
      </w:r>
      <w:r w:rsidR="00FA7069">
        <w:rPr>
          <w:rFonts w:ascii="Times" w:hAnsi="Times" w:cs="Calibri"/>
          <w:color w:val="000000" w:themeColor="text1"/>
          <w:sz w:val="24"/>
          <w:szCs w:val="24"/>
          <w:lang w:val="en-US"/>
        </w:rPr>
        <w:t>=1.44 V) of pristine Co</w:t>
      </w:r>
      <w:r w:rsidR="00FA7069">
        <w:rPr>
          <w:rFonts w:ascii="Times" w:hAnsi="Times" w:cs="Calibri"/>
          <w:color w:val="000000" w:themeColor="text1"/>
          <w:sz w:val="24"/>
          <w:szCs w:val="24"/>
          <w:vertAlign w:val="subscript"/>
          <w:lang w:val="en-US"/>
        </w:rPr>
        <w:t>3</w:t>
      </w:r>
      <w:r w:rsidR="00FA7069">
        <w:rPr>
          <w:rFonts w:ascii="Times" w:hAnsi="Times" w:cs="Calibri"/>
          <w:color w:val="000000" w:themeColor="text1"/>
          <w:sz w:val="24"/>
          <w:szCs w:val="24"/>
          <w:lang w:val="en-US"/>
        </w:rPr>
        <w:t>O</w:t>
      </w:r>
      <w:r w:rsidR="00FA7069">
        <w:rPr>
          <w:rFonts w:ascii="Times" w:hAnsi="Times" w:cs="Calibri"/>
          <w:color w:val="000000" w:themeColor="text1"/>
          <w:sz w:val="24"/>
          <w:szCs w:val="24"/>
          <w:vertAlign w:val="subscript"/>
          <w:lang w:val="en-US"/>
        </w:rPr>
        <w:t>4</w:t>
      </w:r>
      <w:r w:rsidR="00FA7069">
        <w:rPr>
          <w:rFonts w:ascii="Times" w:hAnsi="Times" w:cs="Calibri"/>
          <w:color w:val="000000" w:themeColor="text1"/>
          <w:sz w:val="24"/>
          <w:szCs w:val="24"/>
          <w:lang w:val="en-US"/>
        </w:rPr>
        <w:t xml:space="preserve"> (001) surface, the OER occurring on the Co sites in Cr-Co</w:t>
      </w:r>
      <w:r w:rsidR="00FA7069">
        <w:rPr>
          <w:rFonts w:ascii="Times" w:hAnsi="Times" w:cs="Calibri"/>
          <w:color w:val="000000" w:themeColor="text1"/>
          <w:sz w:val="24"/>
          <w:szCs w:val="24"/>
          <w:vertAlign w:val="subscript"/>
          <w:lang w:val="en-US"/>
        </w:rPr>
        <w:t>3</w:t>
      </w:r>
      <w:r w:rsidR="00FA7069">
        <w:rPr>
          <w:rFonts w:ascii="Times" w:hAnsi="Times" w:cs="Calibri"/>
          <w:color w:val="000000" w:themeColor="text1"/>
          <w:sz w:val="24"/>
          <w:szCs w:val="24"/>
          <w:lang w:val="en-US"/>
        </w:rPr>
        <w:t>O</w:t>
      </w:r>
      <w:r w:rsidR="00FA7069">
        <w:rPr>
          <w:rFonts w:ascii="Times" w:hAnsi="Times" w:cs="Calibri"/>
          <w:color w:val="000000" w:themeColor="text1"/>
          <w:sz w:val="24"/>
          <w:szCs w:val="24"/>
          <w:vertAlign w:val="subscript"/>
          <w:lang w:val="en-US"/>
        </w:rPr>
        <w:t>4</w:t>
      </w:r>
      <w:r w:rsidR="00FA7069">
        <w:rPr>
          <w:rFonts w:ascii="Times" w:hAnsi="Times" w:cs="Calibri"/>
          <w:color w:val="000000" w:themeColor="text1"/>
          <w:sz w:val="24"/>
          <w:szCs w:val="24"/>
          <w:lang w:val="en-US"/>
        </w:rPr>
        <w:t xml:space="preserve"> (001) possesses a lower theoretical overpotential (</w:t>
      </w:r>
      <w:r w:rsidR="00FA7069">
        <w:rPr>
          <w:rFonts w:ascii="Times" w:hAnsi="Times" w:cs="Calibri"/>
          <w:color w:val="000000" w:themeColor="text1"/>
          <w:sz w:val="24"/>
          <w:szCs w:val="24"/>
          <w:lang w:val="en-US"/>
        </w:rPr>
        <w:sym w:font="Symbol" w:char="F068"/>
      </w:r>
      <w:r w:rsidR="00FA7069">
        <w:rPr>
          <w:rFonts w:ascii="Times" w:hAnsi="Times" w:cs="Calibri"/>
          <w:color w:val="000000" w:themeColor="text1"/>
          <w:sz w:val="24"/>
          <w:szCs w:val="24"/>
          <w:lang w:val="en-US"/>
        </w:rPr>
        <w:t xml:space="preserve">=0.99 </w:t>
      </w:r>
      <w:r w:rsidR="00FA7069">
        <w:rPr>
          <w:rFonts w:ascii="Times" w:hAnsi="Times" w:cs="Calibri"/>
          <w:color w:val="000000" w:themeColor="text1"/>
          <w:sz w:val="24"/>
          <w:szCs w:val="24"/>
          <w:lang w:val="en-US"/>
        </w:rPr>
        <w:lastRenderedPageBreak/>
        <w:t>V), while the OER occurring on the Cr sites in Cr-Co</w:t>
      </w:r>
      <w:r w:rsidR="00FA7069">
        <w:rPr>
          <w:rFonts w:ascii="Times" w:hAnsi="Times" w:cs="Calibri"/>
          <w:color w:val="000000" w:themeColor="text1"/>
          <w:sz w:val="24"/>
          <w:szCs w:val="24"/>
          <w:vertAlign w:val="subscript"/>
          <w:lang w:val="en-US"/>
        </w:rPr>
        <w:t>3</w:t>
      </w:r>
      <w:r w:rsidR="00FA7069">
        <w:rPr>
          <w:rFonts w:ascii="Times" w:hAnsi="Times" w:cs="Calibri"/>
          <w:color w:val="000000" w:themeColor="text1"/>
          <w:sz w:val="24"/>
          <w:szCs w:val="24"/>
          <w:lang w:val="en-US"/>
        </w:rPr>
        <w:t>O</w:t>
      </w:r>
      <w:r w:rsidR="00FA7069">
        <w:rPr>
          <w:rFonts w:ascii="Times" w:hAnsi="Times" w:cs="Calibri"/>
          <w:color w:val="000000" w:themeColor="text1"/>
          <w:sz w:val="24"/>
          <w:szCs w:val="24"/>
          <w:vertAlign w:val="subscript"/>
          <w:lang w:val="en-US"/>
        </w:rPr>
        <w:t>4</w:t>
      </w:r>
      <w:r w:rsidR="00FA7069">
        <w:rPr>
          <w:rFonts w:ascii="Times" w:hAnsi="Times" w:cs="Calibri"/>
          <w:color w:val="000000" w:themeColor="text1"/>
          <w:sz w:val="24"/>
          <w:szCs w:val="24"/>
          <w:lang w:val="en-US"/>
        </w:rPr>
        <w:t xml:space="preserve"> (001) has a higher theoretical overpotential (</w:t>
      </w:r>
      <w:r w:rsidR="00FA7069">
        <w:rPr>
          <w:rFonts w:ascii="Times" w:hAnsi="Times" w:cs="Calibri"/>
          <w:color w:val="000000" w:themeColor="text1"/>
          <w:sz w:val="24"/>
          <w:szCs w:val="24"/>
          <w:lang w:val="en-US"/>
        </w:rPr>
        <w:sym w:font="Symbol" w:char="F068"/>
      </w:r>
      <w:r w:rsidR="00FA7069">
        <w:rPr>
          <w:rFonts w:ascii="Times" w:hAnsi="Times" w:cs="Calibri"/>
          <w:color w:val="000000" w:themeColor="text1"/>
          <w:sz w:val="24"/>
          <w:szCs w:val="24"/>
          <w:lang w:val="en-US"/>
        </w:rPr>
        <w:t>=2.30 V). The DFT results suggest that after Cr doping, the OER active sites are still the Co sites and the enhanced OER activity of the Cr doped catalyst stems from the modulation of electronic structure of Co</w:t>
      </w:r>
      <w:r w:rsidR="00FA7069">
        <w:rPr>
          <w:rFonts w:ascii="Times" w:hAnsi="Times" w:cs="Calibri"/>
          <w:color w:val="000000" w:themeColor="text1"/>
          <w:sz w:val="24"/>
          <w:szCs w:val="24"/>
          <w:vertAlign w:val="subscript"/>
          <w:lang w:val="en-US"/>
        </w:rPr>
        <w:t xml:space="preserve"> </w:t>
      </w:r>
      <w:r w:rsidR="00FA7069">
        <w:rPr>
          <w:rFonts w:ascii="Times" w:hAnsi="Times" w:cs="Calibri"/>
          <w:color w:val="000000" w:themeColor="text1"/>
          <w:sz w:val="24"/>
          <w:szCs w:val="24"/>
          <w:lang w:val="en-US"/>
        </w:rPr>
        <w:t xml:space="preserve">sites through Cr doping. </w:t>
      </w:r>
    </w:p>
    <w:p w:rsidR="00FA7069" w:rsidRDefault="00FA7069" w:rsidP="00FA7069">
      <w:pPr>
        <w:pStyle w:val="RSCB02ArticleText"/>
        <w:spacing w:line="480" w:lineRule="auto"/>
        <w:rPr>
          <w:rFonts w:ascii="Times" w:hAnsi="Times" w:cs="Calibri"/>
          <w:color w:val="000000" w:themeColor="text1"/>
          <w:sz w:val="24"/>
          <w:szCs w:val="24"/>
          <w:lang w:val="en-US"/>
        </w:rPr>
      </w:pPr>
      <w:r>
        <w:rPr>
          <w:rFonts w:ascii="Times" w:hAnsi="Times" w:cs="Calibri"/>
          <w:color w:val="000000" w:themeColor="text1"/>
          <w:sz w:val="24"/>
          <w:szCs w:val="24"/>
          <w:lang w:val="en-US"/>
        </w:rPr>
        <w:t xml:space="preserve">Based on the above results, we made an electrode water electrolyzer using bifunctional </w:t>
      </w:r>
      <w:r>
        <w:rPr>
          <w:rFonts w:ascii="Times" w:hAnsi="Times" w:cs="Calibri"/>
          <w:sz w:val="24"/>
          <w:szCs w:val="24"/>
          <w:lang w:val="en-US"/>
        </w:rPr>
        <w:t>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/CB as both a cathode and anode (</w:t>
      </w:r>
      <w:r>
        <w:rPr>
          <w:rFonts w:ascii="Times" w:hAnsi="Times" w:cs="Calibri"/>
          <w:sz w:val="24"/>
          <w:szCs w:val="24"/>
          <w:lang w:val="en-US"/>
        </w:rPr>
        <w:t>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/CB||</w:t>
      </w:r>
      <w:r>
        <w:rPr>
          <w:rFonts w:ascii="Times" w:hAnsi="Times" w:cs="Calibri"/>
          <w:sz w:val="24"/>
          <w:szCs w:val="24"/>
          <w:lang w:val="en-US"/>
        </w:rPr>
        <w:t xml:space="preserv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/CB) for full alkaline water splitting (Figure S18). To afford 10 mA cm</w:t>
      </w:r>
      <w:r>
        <w:rPr>
          <w:rFonts w:ascii="Times" w:hAnsi="Times" w:cs="Calibri"/>
          <w:sz w:val="24"/>
          <w:szCs w:val="24"/>
          <w:vertAlign w:val="superscript"/>
          <w:lang w:val="en-US" w:eastAsia="zh-CN"/>
        </w:rPr>
        <w:t>-2</w:t>
      </w:r>
      <w:r>
        <w:rPr>
          <w:rFonts w:ascii="Times" w:hAnsi="Times" w:cs="Calibri"/>
          <w:sz w:val="24"/>
          <w:szCs w:val="24"/>
          <w:lang w:val="en-US" w:eastAsia="zh-CN"/>
        </w:rPr>
        <w:t xml:space="preserve"> water splitting current, the </w:t>
      </w:r>
      <w:r>
        <w:rPr>
          <w:rFonts w:ascii="Times" w:hAnsi="Times" w:cs="Calibri"/>
          <w:sz w:val="24"/>
          <w:szCs w:val="24"/>
          <w:lang w:val="en-US"/>
        </w:rPr>
        <w:t>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/CB||</w:t>
      </w:r>
      <w:r>
        <w:rPr>
          <w:rFonts w:ascii="Times" w:hAnsi="Times" w:cs="Calibri"/>
          <w:sz w:val="24"/>
          <w:szCs w:val="24"/>
          <w:lang w:val="en-US"/>
        </w:rPr>
        <w:t xml:space="preserv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/CB couple needs a cell voltage of 1.63 V, further verified the practical application of this electrocatalyst.</w:t>
      </w:r>
    </w:p>
    <w:p w:rsidR="00FA7069" w:rsidRDefault="00FA7069" w:rsidP="00FA7069">
      <w:pPr>
        <w:pStyle w:val="RSCB04AHeadingSection"/>
        <w:spacing w:line="480" w:lineRule="auto"/>
        <w:rPr>
          <w:rFonts w:ascii="Times New Roman" w:hAnsi="Times New Roman" w:cs="Times New Roman"/>
          <w:szCs w:val="24"/>
          <w:lang w:val="en-US"/>
        </w:rPr>
      </w:pPr>
      <w:r>
        <w:rPr>
          <w:rFonts w:ascii="Times New Roman" w:hAnsi="Times New Roman" w:cs="Times New Roman"/>
          <w:szCs w:val="24"/>
          <w:lang w:val="en-US"/>
        </w:rPr>
        <w:t>Conclusions</w:t>
      </w:r>
    </w:p>
    <w:p w:rsidR="00AC125F" w:rsidRPr="00AC125F" w:rsidRDefault="00FA7069" w:rsidP="00FA7069">
      <w:pPr>
        <w:pStyle w:val="RSCB02ArticleText"/>
        <w:spacing w:line="480" w:lineRule="auto"/>
        <w:rPr>
          <w:rFonts w:ascii="Times" w:hAnsi="Times" w:cs="Calibri"/>
          <w:sz w:val="24"/>
          <w:szCs w:val="24"/>
          <w:lang w:val="en-US"/>
        </w:rPr>
      </w:pPr>
      <w:r>
        <w:rPr>
          <w:rFonts w:ascii="Times" w:hAnsi="Times" w:cs="Calibri"/>
          <w:sz w:val="24"/>
          <w:szCs w:val="24"/>
          <w:lang w:val="en-US"/>
        </w:rPr>
        <w:t>Cr-doped Co</w:t>
      </w:r>
      <w:r>
        <w:rPr>
          <w:rFonts w:ascii="Times" w:hAnsi="Times" w:cs="Calibri"/>
          <w:sz w:val="24"/>
          <w:szCs w:val="24"/>
          <w:vertAlign w:val="subscript"/>
          <w:lang w:val="en-US"/>
        </w:rPr>
        <w:t>2</w:t>
      </w:r>
      <w:r>
        <w:rPr>
          <w:rFonts w:ascii="Times" w:hAnsi="Times" w:cs="Calibri"/>
          <w:sz w:val="24"/>
          <w:szCs w:val="24"/>
          <w:lang w:val="en-US"/>
        </w:rPr>
        <w:t>P catalysts were successfully prepared using a simple carbothermal hydrogen reduction method. Chromium was directly incorporated into the Co</w:t>
      </w:r>
      <w:r>
        <w:rPr>
          <w:rFonts w:ascii="Times" w:hAnsi="Times" w:cs="Calibri"/>
          <w:sz w:val="24"/>
          <w:szCs w:val="24"/>
          <w:vertAlign w:val="subscript"/>
          <w:lang w:val="en-US"/>
        </w:rPr>
        <w:t>2</w:t>
      </w:r>
      <w:r>
        <w:rPr>
          <w:rFonts w:ascii="Times" w:hAnsi="Times" w:cs="Calibri"/>
          <w:sz w:val="24"/>
          <w:szCs w:val="24"/>
          <w:lang w:val="en-US"/>
        </w:rPr>
        <w:t>P lattice and there is no evidence of second phase CrP formation. In alkaline solutions,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/CB</w:t>
      </w:r>
      <w:r>
        <w:rPr>
          <w:rFonts w:ascii="Times" w:hAnsi="Times" w:cs="Calibri"/>
          <w:sz w:val="24"/>
          <w:szCs w:val="24"/>
          <w:lang w:val="en-US"/>
        </w:rPr>
        <w:t xml:space="preserve"> catalysts showed superior activity for both the HER and OER reactions. Based on both experimental results and theoretical calculations, the enhancement of HER and OER activity mainly resulted from the changes in electronic property of Co</w:t>
      </w:r>
      <w:r>
        <w:rPr>
          <w:rFonts w:ascii="Times" w:hAnsi="Times" w:cs="Calibri"/>
          <w:sz w:val="24"/>
          <w:szCs w:val="24"/>
          <w:vertAlign w:val="subscript"/>
          <w:lang w:val="en-US"/>
        </w:rPr>
        <w:t>2</w:t>
      </w:r>
      <w:r>
        <w:rPr>
          <w:rFonts w:ascii="Times" w:hAnsi="Times" w:cs="Calibri"/>
          <w:sz w:val="24"/>
          <w:szCs w:val="24"/>
          <w:lang w:val="en-US"/>
        </w:rPr>
        <w:t>P and hence more facile kinetics towards the overall water splitting after Cr doping. Furthermore, the Cr</w:t>
      </w:r>
      <w:r>
        <w:rPr>
          <w:rFonts w:ascii="Times" w:hAnsi="Times" w:cs="Calibri"/>
          <w:sz w:val="24"/>
          <w:szCs w:val="24"/>
          <w:vertAlign w:val="subscript"/>
          <w:lang w:val="en-US"/>
        </w:rPr>
        <w:t>0.2</w:t>
      </w:r>
      <w:r>
        <w:rPr>
          <w:rFonts w:ascii="Times" w:hAnsi="Times" w:cs="Calibri"/>
          <w:sz w:val="24"/>
          <w:szCs w:val="24"/>
          <w:lang w:val="en-US"/>
        </w:rPr>
        <w:t>Co</w:t>
      </w:r>
      <w:r>
        <w:rPr>
          <w:rFonts w:ascii="Times" w:hAnsi="Times" w:cs="Calibri"/>
          <w:sz w:val="24"/>
          <w:szCs w:val="24"/>
          <w:vertAlign w:val="subscript"/>
          <w:lang w:val="en-US"/>
        </w:rPr>
        <w:t>1.8</w:t>
      </w:r>
      <w:r>
        <w:rPr>
          <w:rFonts w:ascii="Times" w:hAnsi="Times" w:cs="Calibri"/>
          <w:sz w:val="24"/>
          <w:szCs w:val="24"/>
          <w:lang w:val="en-US"/>
        </w:rPr>
        <w:t>P</w:t>
      </w:r>
      <w:r>
        <w:rPr>
          <w:rFonts w:ascii="Times" w:hAnsi="Times" w:cs="Calibri"/>
          <w:sz w:val="24"/>
          <w:szCs w:val="24"/>
          <w:lang w:val="en-US" w:eastAsia="zh-CN"/>
        </w:rPr>
        <w:t>/CB</w:t>
      </w:r>
      <w:r>
        <w:rPr>
          <w:rFonts w:ascii="Times" w:hAnsi="Times" w:cs="Calibri"/>
          <w:sz w:val="24"/>
          <w:szCs w:val="24"/>
          <w:lang w:val="en-US"/>
        </w:rPr>
        <w:t xml:space="preserve"> catalyst also showed good electrochemical stability with negligible overpotential shift for the HER and the OER after 1000</w:t>
      </w:r>
      <w:r>
        <w:rPr>
          <w:rFonts w:ascii="Times" w:hAnsi="Times" w:cs="Calibri"/>
          <w:sz w:val="24"/>
          <w:szCs w:val="24"/>
          <w:vertAlign w:val="superscript"/>
          <w:lang w:val="en-US"/>
        </w:rPr>
        <w:t>th</w:t>
      </w:r>
      <w:r>
        <w:rPr>
          <w:rFonts w:ascii="Times" w:hAnsi="Times" w:cs="Calibri"/>
          <w:sz w:val="24"/>
          <w:szCs w:val="24"/>
          <w:lang w:val="en-US"/>
        </w:rPr>
        <w:t xml:space="preserve"> continuous CV scanning in 0.1M KOH solution. Considering that there are no toxic and expensive resources being used and no sophisticated procedure being performed during the synthesis, our current research provides a simple and facile carbothermal hydrogen reduction method to prepare the cobalt-based phosphide catalysts and also discussed the Cr doping effects on Co</w:t>
      </w:r>
      <w:r>
        <w:rPr>
          <w:rFonts w:ascii="Times" w:hAnsi="Times" w:cs="Calibri"/>
          <w:sz w:val="24"/>
          <w:szCs w:val="24"/>
          <w:vertAlign w:val="subscript"/>
          <w:lang w:val="en-US"/>
        </w:rPr>
        <w:t>2</w:t>
      </w:r>
      <w:r>
        <w:rPr>
          <w:rFonts w:ascii="Times" w:hAnsi="Times" w:cs="Calibri"/>
          <w:sz w:val="24"/>
          <w:szCs w:val="24"/>
          <w:lang w:val="en-US"/>
        </w:rPr>
        <w:t>P for both the HER and OER.</w:t>
      </w:r>
    </w:p>
    <w:p w:rsidR="00FA7069" w:rsidRDefault="00FA7069" w:rsidP="00FA7069">
      <w:pPr>
        <w:pStyle w:val="TESupportingInformation"/>
        <w:spacing w:after="240"/>
        <w:ind w:firstLine="0"/>
        <w:jc w:val="left"/>
      </w:pPr>
      <w:r>
        <w:t>ASSOCIATED CONTENT</w:t>
      </w:r>
    </w:p>
    <w:p w:rsidR="00FA7069" w:rsidRDefault="00FA7069" w:rsidP="00FA7069">
      <w:pPr>
        <w:pStyle w:val="TESupportingInformation"/>
        <w:ind w:firstLine="0"/>
        <w:jc w:val="left"/>
        <w:rPr>
          <w:b/>
        </w:rPr>
      </w:pPr>
      <w:r>
        <w:rPr>
          <w:b/>
        </w:rPr>
        <w:lastRenderedPageBreak/>
        <w:t>Supporting Information</w:t>
      </w:r>
    </w:p>
    <w:p w:rsidR="00FA7069" w:rsidRDefault="00FA7069" w:rsidP="00FA7069">
      <w:pPr>
        <w:pStyle w:val="TESupportingInformation"/>
        <w:ind w:firstLine="0"/>
      </w:pPr>
      <w:r>
        <w:rPr>
          <w:lang w:val="en-GB"/>
        </w:rPr>
        <w:t xml:space="preserve">The Supporting Information is available free of charge on the </w:t>
      </w:r>
      <w:r>
        <w:rPr>
          <w:color w:val="4F81BD" w:themeColor="accent1"/>
          <w:lang w:val="en-GB"/>
        </w:rPr>
        <w:t xml:space="preserve">ACS Publications website </w:t>
      </w:r>
      <w:r>
        <w:rPr>
          <w:lang w:val="en-GB"/>
        </w:rPr>
        <w:t>at DOI:</w:t>
      </w:r>
    </w:p>
    <w:p w:rsidR="00FA7069" w:rsidRDefault="00FA7069" w:rsidP="00FA7069">
      <w:pPr>
        <w:pStyle w:val="TESupportingInformation"/>
      </w:pPr>
      <w:r>
        <w:t>Pre- and post- operation TEM, and XPS of Cr</w:t>
      </w:r>
      <w:r>
        <w:rPr>
          <w:vertAlign w:val="subscript"/>
        </w:rPr>
        <w:t>x</w:t>
      </w:r>
      <w:r>
        <w:t>Co</w:t>
      </w:r>
      <w:r>
        <w:rPr>
          <w:vertAlign w:val="subscript"/>
        </w:rPr>
        <w:t>2-x</w:t>
      </w:r>
      <w:r>
        <w:t>P/CB (x=0.0,0.2,0.4); HER and OER electrocatalytic performance of Cr</w:t>
      </w:r>
      <w:r>
        <w:rPr>
          <w:vertAlign w:val="subscript"/>
        </w:rPr>
        <w:t>x</w:t>
      </w:r>
      <w:r>
        <w:t>Co</w:t>
      </w:r>
      <w:r>
        <w:rPr>
          <w:vertAlign w:val="subscript"/>
        </w:rPr>
        <w:t>2-x</w:t>
      </w:r>
      <w:r>
        <w:t>P/CB (x=0.0,0.2,0.4); Comparisons of HER and OER performances of Cr-doped Co</w:t>
      </w:r>
      <w:r>
        <w:rPr>
          <w:vertAlign w:val="subscript"/>
        </w:rPr>
        <w:t>2</w:t>
      </w:r>
      <w:r>
        <w:t>P with other non-precious metal and precious metal HER and OER catalysts in alkaline solution; Surface area calculation of the Co</w:t>
      </w:r>
      <w:r>
        <w:rPr>
          <w:vertAlign w:val="subscript"/>
        </w:rPr>
        <w:t>2</w:t>
      </w:r>
      <w:r>
        <w:t>P/CB and Cr</w:t>
      </w:r>
      <w:r>
        <w:rPr>
          <w:vertAlign w:val="subscript"/>
        </w:rPr>
        <w:t>0.2</w:t>
      </w:r>
      <w:r>
        <w:t>Co</w:t>
      </w:r>
      <w:r>
        <w:rPr>
          <w:vertAlign w:val="subscript"/>
        </w:rPr>
        <w:t>1.8</w:t>
      </w:r>
      <w:r>
        <w:t>P/CB catalysts; TOF calculation of Co</w:t>
      </w:r>
      <w:r>
        <w:rPr>
          <w:vertAlign w:val="subscript"/>
        </w:rPr>
        <w:t>2</w:t>
      </w:r>
      <w:r>
        <w:t>P/CB and Cr</w:t>
      </w:r>
      <w:r>
        <w:rPr>
          <w:vertAlign w:val="subscript"/>
        </w:rPr>
        <w:t>0.2</w:t>
      </w:r>
      <w:r>
        <w:t>Co</w:t>
      </w:r>
      <w:r>
        <w:rPr>
          <w:vertAlign w:val="subscript"/>
        </w:rPr>
        <w:t>1.8</w:t>
      </w:r>
      <w:r>
        <w:t>P/CB catalysts; Details of computational calculations; Two-electrode system test in 0.1M KOH</w:t>
      </w:r>
      <w:r w:rsidR="00B46206">
        <w:t>.</w:t>
      </w:r>
      <w:r>
        <w:t xml:space="preserve"> The data used in generating the plots in this paper is available to download at [DOI inserted at proof stage].</w:t>
      </w:r>
    </w:p>
    <w:p w:rsidR="00FA7069" w:rsidRDefault="00FA7069" w:rsidP="00FA7069">
      <w:pPr>
        <w:pStyle w:val="TESupportingInformation"/>
        <w:spacing w:after="240"/>
        <w:ind w:firstLine="0"/>
        <w:jc w:val="left"/>
      </w:pPr>
      <w:r>
        <w:t>AUTHOR INFORMATION</w:t>
      </w:r>
    </w:p>
    <w:p w:rsidR="00FA7069" w:rsidRDefault="00FA7069" w:rsidP="00FA7069">
      <w:pPr>
        <w:rPr>
          <w:rFonts w:ascii="Times" w:hAnsi="Times" w:cs="Times New Roman"/>
          <w:b/>
          <w:sz w:val="24"/>
          <w:szCs w:val="24"/>
        </w:rPr>
      </w:pPr>
      <w:r>
        <w:rPr>
          <w:rFonts w:ascii="Times" w:hAnsi="Times" w:cs="Times New Roman"/>
          <w:b/>
          <w:sz w:val="24"/>
          <w:szCs w:val="24"/>
        </w:rPr>
        <w:t>Corresponding Author</w:t>
      </w:r>
    </w:p>
    <w:p w:rsidR="00FA7069" w:rsidRDefault="00FA7069" w:rsidP="00FA7069">
      <w:pPr>
        <w:rPr>
          <w:b/>
        </w:rPr>
      </w:pPr>
      <w:r>
        <w:rPr>
          <w:rFonts w:hint="eastAsia"/>
        </w:rPr>
        <w:t xml:space="preserve">*E-mail: </w:t>
      </w:r>
      <w:hyperlink r:id="rId31" w:history="1">
        <w:r>
          <w:rPr>
            <w:rStyle w:val="Hyperlink"/>
            <w:rFonts w:hint="eastAsia"/>
          </w:rPr>
          <w:t>anthony@imperial.ac.uk</w:t>
        </w:r>
      </w:hyperlink>
    </w:p>
    <w:p w:rsidR="00FA7069" w:rsidRDefault="00FA7069" w:rsidP="00FA7069">
      <w:pPr>
        <w:pStyle w:val="FAAuthorInfoSubtitle"/>
      </w:pPr>
      <w:r>
        <w:t>Author Contributions</w:t>
      </w:r>
    </w:p>
    <w:p w:rsidR="00FA7069" w:rsidRDefault="00FA7069" w:rsidP="00FA7069">
      <w:pPr>
        <w:pStyle w:val="StyleFACorrespondingAuthorFootnote7pt"/>
        <w:spacing w:after="240" w:line="480" w:lineRule="auto"/>
        <w:rPr>
          <w:rFonts w:ascii="Times" w:hAnsi="Times"/>
          <w:kern w:val="0"/>
          <w:sz w:val="24"/>
        </w:rPr>
      </w:pPr>
      <w:r>
        <w:rPr>
          <w:rFonts w:ascii="Times" w:hAnsi="Times"/>
          <w:kern w:val="0"/>
          <w:sz w:val="24"/>
        </w:rPr>
        <w:t xml:space="preserve">The manuscript was written through contributions of all authors. All authors have given approval to the final version of the manuscript. </w:t>
      </w:r>
    </w:p>
    <w:p w:rsidR="00FA7069" w:rsidRDefault="00FA7069" w:rsidP="00FA7069">
      <w:pPr>
        <w:pStyle w:val="TAMainText"/>
        <w:ind w:firstLine="0"/>
        <w:rPr>
          <w:b/>
        </w:rPr>
      </w:pPr>
    </w:p>
    <w:p w:rsidR="00FA7069" w:rsidRDefault="00FA7069" w:rsidP="00FA7069">
      <w:pPr>
        <w:pStyle w:val="TAMainText"/>
        <w:ind w:firstLine="0"/>
        <w:rPr>
          <w:b/>
        </w:rPr>
      </w:pPr>
      <w:r>
        <w:rPr>
          <w:b/>
        </w:rPr>
        <w:t>Notes</w:t>
      </w:r>
    </w:p>
    <w:p w:rsidR="00FA7069" w:rsidRDefault="00FA7069" w:rsidP="00FA7069">
      <w:pPr>
        <w:pStyle w:val="TAMainText"/>
        <w:ind w:firstLine="0"/>
      </w:pPr>
      <w:r>
        <w:t>The authors declare no competing financial interest.</w:t>
      </w:r>
    </w:p>
    <w:p w:rsidR="00FA7069" w:rsidRDefault="00FA7069" w:rsidP="00FA7069">
      <w:pPr>
        <w:pStyle w:val="RSCB02ArticleText"/>
        <w:spacing w:line="480" w:lineRule="auto"/>
        <w:rPr>
          <w:rFonts w:ascii="Times" w:hAnsi="Times" w:cs="Calibri"/>
          <w:sz w:val="24"/>
          <w:szCs w:val="24"/>
          <w:lang w:val="en-US"/>
        </w:rPr>
      </w:pPr>
    </w:p>
    <w:p w:rsidR="00FA7069" w:rsidRDefault="00FA7069" w:rsidP="00FA7069">
      <w:pPr>
        <w:pStyle w:val="RSCB04AHeadingSection"/>
        <w:spacing w:line="480" w:lineRule="auto"/>
        <w:rPr>
          <w:rFonts w:ascii="Times New Roman" w:hAnsi="Times New Roman" w:cs="Times New Roman"/>
          <w:szCs w:val="24"/>
          <w:lang w:val="en-US"/>
        </w:rPr>
      </w:pPr>
      <w:r>
        <w:rPr>
          <w:rFonts w:ascii="Times New Roman" w:hAnsi="Times New Roman" w:cs="Times New Roman"/>
          <w:szCs w:val="24"/>
          <w:lang w:val="en-US"/>
        </w:rPr>
        <w:t>Acknowledgements</w:t>
      </w:r>
    </w:p>
    <w:p w:rsidR="00FA7069" w:rsidRDefault="00FA7069" w:rsidP="00FA7069">
      <w:pPr>
        <w:pStyle w:val="RSCB02ArticleText"/>
        <w:spacing w:line="480" w:lineRule="auto"/>
        <w:rPr>
          <w:rFonts w:ascii="Times" w:hAnsi="Times" w:cs="Calibri"/>
          <w:sz w:val="24"/>
          <w:szCs w:val="24"/>
          <w:lang w:val="en-US" w:eastAsia="zh-CN"/>
        </w:rPr>
      </w:pPr>
      <w:r>
        <w:rPr>
          <w:rFonts w:ascii="Times" w:hAnsi="Times" w:cs="Calibri"/>
          <w:sz w:val="24"/>
          <w:szCs w:val="24"/>
          <w:lang w:val="en-US"/>
        </w:rPr>
        <w:t xml:space="preserve">Jun Wu thanks for the China Scholarship Council and Imperial College London for supporting his PhD research. This research has been supported by the U.K. Engineering and Physical Sciences Research Council under project EP/J016454/1. We would also like to thank the Harwell EPSRC </w:t>
      </w:r>
      <w:r>
        <w:rPr>
          <w:rFonts w:ascii="Times" w:hAnsi="Times" w:cs="Calibri"/>
          <w:sz w:val="24"/>
          <w:szCs w:val="24"/>
          <w:lang w:val="en-US"/>
        </w:rPr>
        <w:lastRenderedPageBreak/>
        <w:t>National XPS Facility for XPS service.</w:t>
      </w:r>
      <w:r>
        <w:rPr>
          <w:rFonts w:ascii="Times" w:hAnsi="Times" w:cs="Calibri"/>
          <w:sz w:val="24"/>
          <w:szCs w:val="24"/>
          <w:lang w:val="en-US" w:eastAsia="zh-CN"/>
        </w:rPr>
        <w:t xml:space="preserve"> The DFT calculations in this paper have been done on the supercomputing system in the Supercomputing Center of Wuhan University. The data used in the production of the figures in this paper are available to download at DOI: [DOI inserted during proofing stage].</w:t>
      </w:r>
    </w:p>
    <w:p w:rsidR="00FA7069" w:rsidRDefault="00FA7069" w:rsidP="00FA7069">
      <w:pPr>
        <w:pStyle w:val="RSCB04AHeadingSection"/>
        <w:spacing w:line="240" w:lineRule="exact"/>
        <w:ind w:left="360"/>
        <w:rPr>
          <w:rFonts w:ascii="Calibri Light" w:hAnsi="Calibri Light" w:cs="Calibri Light"/>
          <w:b w:val="0"/>
          <w:sz w:val="28"/>
          <w:szCs w:val="28"/>
          <w:lang w:val="en-US"/>
        </w:rPr>
      </w:pPr>
      <w:r>
        <w:rPr>
          <w:rFonts w:ascii="Calibri Light" w:hAnsi="Calibri Light" w:cs="Calibri Light"/>
          <w:b w:val="0"/>
          <w:sz w:val="28"/>
          <w:szCs w:val="28"/>
          <w:lang w:val="en-US"/>
        </w:rPr>
        <w:t>References</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lang w:val="en-US"/>
        </w:rPr>
        <w:fldChar w:fldCharType="begin" w:fldLock="1"/>
      </w:r>
      <w:r>
        <w:rPr>
          <w:rFonts w:ascii="Calibri" w:hAnsi="Calibri" w:cs="Calibri"/>
          <w:lang w:val="en-US"/>
        </w:rPr>
        <w:instrText xml:space="preserve">ADDIN Mendeley Bibliography CSL_BIBLIOGRAPHY </w:instrText>
      </w:r>
      <w:r>
        <w:rPr>
          <w:rFonts w:ascii="Calibri" w:hAnsi="Calibri" w:cs="Calibri"/>
          <w:lang w:val="en-US"/>
        </w:rPr>
        <w:fldChar w:fldCharType="separate"/>
      </w:r>
      <w:r>
        <w:rPr>
          <w:rFonts w:ascii="Calibri" w:hAnsi="Calibri" w:cs="Calibri"/>
          <w:noProof/>
          <w:sz w:val="18"/>
        </w:rPr>
        <w:t xml:space="preserve">(1) </w:t>
      </w:r>
      <w:r>
        <w:rPr>
          <w:rFonts w:ascii="Calibri" w:hAnsi="Calibri" w:cs="Calibri"/>
          <w:noProof/>
          <w:sz w:val="18"/>
        </w:rPr>
        <w:tab/>
        <w:t xml:space="preserve">Faber, M. S.; Jin, S. Earth-Abundant Inorganic Electrocatalysts and Their Nanostructures for Energy Conversion Applications. </w:t>
      </w:r>
      <w:r>
        <w:rPr>
          <w:rFonts w:ascii="Calibri" w:hAnsi="Calibri" w:cs="Calibri"/>
          <w:i/>
          <w:iCs/>
          <w:noProof/>
          <w:sz w:val="18"/>
        </w:rPr>
        <w:t>Energy Environ. Sci.</w:t>
      </w:r>
      <w:r>
        <w:rPr>
          <w:rFonts w:ascii="Calibri" w:hAnsi="Calibri" w:cs="Calibri"/>
          <w:noProof/>
          <w:sz w:val="18"/>
        </w:rPr>
        <w:t xml:space="preserve"> </w:t>
      </w:r>
      <w:r>
        <w:rPr>
          <w:rFonts w:ascii="Calibri" w:hAnsi="Calibri" w:cs="Calibri"/>
          <w:b/>
          <w:bCs/>
          <w:noProof/>
          <w:sz w:val="18"/>
        </w:rPr>
        <w:t>2014</w:t>
      </w:r>
      <w:r>
        <w:rPr>
          <w:rFonts w:ascii="Calibri" w:hAnsi="Calibri" w:cs="Calibri"/>
          <w:noProof/>
          <w:sz w:val="18"/>
        </w:rPr>
        <w:t xml:space="preserve">, </w:t>
      </w:r>
      <w:r>
        <w:rPr>
          <w:rFonts w:ascii="Calibri" w:hAnsi="Calibri" w:cs="Calibri"/>
          <w:i/>
          <w:iCs/>
          <w:noProof/>
          <w:sz w:val="18"/>
        </w:rPr>
        <w:t>7</w:t>
      </w:r>
      <w:r>
        <w:rPr>
          <w:rFonts w:ascii="Calibri" w:hAnsi="Calibri" w:cs="Calibri"/>
          <w:noProof/>
          <w:sz w:val="18"/>
        </w:rPr>
        <w:t xml:space="preserve"> (11), 3519–3542. https://doi.org/10.1039/c4ee01760a.</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 </w:t>
      </w:r>
      <w:r>
        <w:rPr>
          <w:rFonts w:ascii="Calibri" w:hAnsi="Calibri" w:cs="Calibri"/>
          <w:noProof/>
          <w:sz w:val="18"/>
        </w:rPr>
        <w:tab/>
        <w:t xml:space="preserve">Zhang, Y.; Gao, L.; Hensen, E. J. M.; Hofmann, J. P. Evaluating the Stability of Co2P Electrocatalysts in the Hydrogen Evolution Reaction for Both Acidic and Alkaline Electrolytes. </w:t>
      </w:r>
      <w:r>
        <w:rPr>
          <w:rFonts w:ascii="Calibri" w:hAnsi="Calibri" w:cs="Calibri"/>
          <w:i/>
          <w:iCs/>
          <w:noProof/>
          <w:sz w:val="18"/>
        </w:rPr>
        <w:t>ACS Energy Lett.</w:t>
      </w:r>
      <w:r>
        <w:rPr>
          <w:rFonts w:ascii="Calibri" w:hAnsi="Calibri" w:cs="Calibri"/>
          <w:noProof/>
          <w:sz w:val="18"/>
        </w:rPr>
        <w:t xml:space="preserve"> </w:t>
      </w:r>
      <w:r>
        <w:rPr>
          <w:rFonts w:ascii="Calibri" w:hAnsi="Calibri" w:cs="Calibri"/>
          <w:b/>
          <w:bCs/>
          <w:noProof/>
          <w:sz w:val="18"/>
        </w:rPr>
        <w:t>2018</w:t>
      </w:r>
      <w:r>
        <w:rPr>
          <w:rFonts w:ascii="Calibri" w:hAnsi="Calibri" w:cs="Calibri"/>
          <w:noProof/>
          <w:sz w:val="18"/>
        </w:rPr>
        <w:t xml:space="preserve">, </w:t>
      </w:r>
      <w:r>
        <w:rPr>
          <w:rFonts w:ascii="Calibri" w:hAnsi="Calibri" w:cs="Calibri"/>
          <w:i/>
          <w:iCs/>
          <w:noProof/>
          <w:sz w:val="18"/>
        </w:rPr>
        <w:t>3</w:t>
      </w:r>
      <w:r>
        <w:rPr>
          <w:rFonts w:ascii="Calibri" w:hAnsi="Calibri" w:cs="Calibri"/>
          <w:noProof/>
          <w:sz w:val="18"/>
        </w:rPr>
        <w:t xml:space="preserve"> (6), 1360–1365. https://doi.org/10.1021/acsenergylett.8b00514.</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 </w:t>
      </w:r>
      <w:r>
        <w:rPr>
          <w:rFonts w:ascii="Calibri" w:hAnsi="Calibri" w:cs="Calibri"/>
          <w:noProof/>
          <w:sz w:val="18"/>
        </w:rPr>
        <w:tab/>
        <w:t xml:space="preserve">Tang, T.; Jiang, W. J.; Niu, S.; Liu, N.; Luo, H.; Chen, Y. Y.; Jin, S. F.; Gao, F.; Wan, L. J.; Hu, J. S. Electronic and Morphological Dual Modulation of Cobalt Carbonate Hydroxides by Mn Doping toward Highly Efficient and Stable Bifunctional Electrocatalysts for Overall Water Splitting. </w:t>
      </w:r>
      <w:r>
        <w:rPr>
          <w:rFonts w:ascii="Calibri" w:hAnsi="Calibri" w:cs="Calibri"/>
          <w:i/>
          <w:iCs/>
          <w:noProof/>
          <w:sz w:val="18"/>
        </w:rPr>
        <w:t>J. Am. Chem. Soc.</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139</w:t>
      </w:r>
      <w:r>
        <w:rPr>
          <w:rFonts w:ascii="Calibri" w:hAnsi="Calibri" w:cs="Calibri"/>
          <w:noProof/>
          <w:sz w:val="18"/>
        </w:rPr>
        <w:t xml:space="preserve"> (24), 8320–8328. https://doi.org/10.1021/jacs.7b03507.</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 </w:t>
      </w:r>
      <w:r>
        <w:rPr>
          <w:rFonts w:ascii="Calibri" w:hAnsi="Calibri" w:cs="Calibri"/>
          <w:noProof/>
          <w:sz w:val="18"/>
        </w:rPr>
        <w:tab/>
        <w:t xml:space="preserve">Staszak-Jirkovský, J.; Malliakas, C. D.; Lopes, P. P.; Danilovic, N.; Kota, S. S.; Chang, K. C.; Genorio, B.; Strmcnik, D.; Stamenkovic, V. R.; Kanatzidis, M. G.; Markovic, N. M. Design of Active and Stable Co-Mo-Sxchalcogels as PH-Universal Catalysts for the Hydrogen Evolution Reaction. </w:t>
      </w:r>
      <w:r>
        <w:rPr>
          <w:rFonts w:ascii="Calibri" w:hAnsi="Calibri" w:cs="Calibri"/>
          <w:i/>
          <w:iCs/>
          <w:noProof/>
          <w:sz w:val="18"/>
        </w:rPr>
        <w:t>Nat. Mater.</w:t>
      </w:r>
      <w:r>
        <w:rPr>
          <w:rFonts w:ascii="Calibri" w:hAnsi="Calibri" w:cs="Calibri"/>
          <w:noProof/>
          <w:sz w:val="18"/>
        </w:rPr>
        <w:t xml:space="preserve"> </w:t>
      </w:r>
      <w:r>
        <w:rPr>
          <w:rFonts w:ascii="Calibri" w:hAnsi="Calibri" w:cs="Calibri"/>
          <w:b/>
          <w:bCs/>
          <w:noProof/>
          <w:sz w:val="18"/>
        </w:rPr>
        <w:t>2016</w:t>
      </w:r>
      <w:r>
        <w:rPr>
          <w:rFonts w:ascii="Calibri" w:hAnsi="Calibri" w:cs="Calibri"/>
          <w:noProof/>
          <w:sz w:val="18"/>
        </w:rPr>
        <w:t xml:space="preserve">, </w:t>
      </w:r>
      <w:r>
        <w:rPr>
          <w:rFonts w:ascii="Calibri" w:hAnsi="Calibri" w:cs="Calibri"/>
          <w:i/>
          <w:iCs/>
          <w:noProof/>
          <w:sz w:val="18"/>
        </w:rPr>
        <w:t>15</w:t>
      </w:r>
      <w:r>
        <w:rPr>
          <w:rFonts w:ascii="Calibri" w:hAnsi="Calibri" w:cs="Calibri"/>
          <w:noProof/>
          <w:sz w:val="18"/>
        </w:rPr>
        <w:t xml:space="preserve"> (2), 197–203. https://doi.org/10.1038/nmat4481.</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(5) </w:t>
      </w:r>
      <w:r>
        <w:rPr>
          <w:rFonts w:ascii="Calibri" w:hAnsi="Calibri" w:cs="Calibri"/>
          <w:noProof/>
          <w:sz w:val="18"/>
        </w:rPr>
        <w:tab/>
        <w:t xml:space="preserve">Jiao, Y.; Zheng, Y.; Jaroniec, M.; Qiao, S. Z. Design of Electrocatalysts for Oxygen- and Hydrogen-Involving Energy Conversion Reactions. </w:t>
      </w:r>
      <w:r>
        <w:rPr>
          <w:rFonts w:ascii="Calibri" w:hAnsi="Calibri" w:cs="Calibri"/>
          <w:i/>
          <w:iCs/>
          <w:noProof/>
          <w:sz w:val="18"/>
        </w:rPr>
        <w:t>Chem. Soc. Rev.</w:t>
      </w:r>
      <w:r>
        <w:rPr>
          <w:rFonts w:ascii="Calibri" w:hAnsi="Calibri" w:cs="Calibri"/>
          <w:noProof/>
          <w:sz w:val="18"/>
        </w:rPr>
        <w:t xml:space="preserve"> </w:t>
      </w:r>
      <w:r>
        <w:rPr>
          <w:rFonts w:ascii="Calibri" w:hAnsi="Calibri" w:cs="Calibri"/>
          <w:b/>
          <w:bCs/>
          <w:noProof/>
          <w:sz w:val="18"/>
        </w:rPr>
        <w:t>2015</w:t>
      </w:r>
      <w:r>
        <w:rPr>
          <w:rFonts w:ascii="Calibri" w:hAnsi="Calibri" w:cs="Calibri"/>
          <w:noProof/>
          <w:sz w:val="18"/>
        </w:rPr>
        <w:t xml:space="preserve">, </w:t>
      </w:r>
      <w:r>
        <w:rPr>
          <w:rFonts w:ascii="Calibri" w:hAnsi="Calibri" w:cs="Calibri"/>
          <w:i/>
          <w:iCs/>
          <w:noProof/>
          <w:sz w:val="18"/>
        </w:rPr>
        <w:t>44</w:t>
      </w:r>
      <w:r>
        <w:rPr>
          <w:rFonts w:ascii="Calibri" w:hAnsi="Calibri" w:cs="Calibri"/>
          <w:noProof/>
          <w:sz w:val="18"/>
        </w:rPr>
        <w:t xml:space="preserve"> (8), 2060–2086. https://doi.org/10.1039/c4cs00470a.</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(6) </w:t>
      </w:r>
      <w:r>
        <w:rPr>
          <w:rFonts w:ascii="Calibri" w:hAnsi="Calibri" w:cs="Calibri"/>
          <w:noProof/>
          <w:sz w:val="18"/>
        </w:rPr>
        <w:tab/>
        <w:t xml:space="preserve">Kucernak, A. R. J.; Naranammalpuram Sundaram, V. N. Nickel Phosphide: The Effect of Phosphorus Content on Hydrogen Evolution Activity and Corrosion Resistance in Acidic Medium. </w:t>
      </w:r>
      <w:r>
        <w:rPr>
          <w:rFonts w:ascii="Calibri" w:hAnsi="Calibri" w:cs="Calibri"/>
          <w:i/>
          <w:iCs/>
          <w:noProof/>
          <w:sz w:val="18"/>
        </w:rPr>
        <w:t>J. Mater. Chem. A</w:t>
      </w:r>
      <w:r>
        <w:rPr>
          <w:rFonts w:ascii="Calibri" w:hAnsi="Calibri" w:cs="Calibri"/>
          <w:noProof/>
          <w:sz w:val="18"/>
        </w:rPr>
        <w:t xml:space="preserve"> </w:t>
      </w:r>
      <w:r>
        <w:rPr>
          <w:rFonts w:ascii="Calibri" w:hAnsi="Calibri" w:cs="Calibri"/>
          <w:b/>
          <w:bCs/>
          <w:noProof/>
          <w:sz w:val="18"/>
        </w:rPr>
        <w:t>2014</w:t>
      </w:r>
      <w:r>
        <w:rPr>
          <w:rFonts w:ascii="Calibri" w:hAnsi="Calibri" w:cs="Calibri"/>
          <w:noProof/>
          <w:sz w:val="18"/>
        </w:rPr>
        <w:t xml:space="preserve">, </w:t>
      </w:r>
      <w:r>
        <w:rPr>
          <w:rFonts w:ascii="Calibri" w:hAnsi="Calibri" w:cs="Calibri"/>
          <w:i/>
          <w:iCs/>
          <w:noProof/>
          <w:sz w:val="18"/>
        </w:rPr>
        <w:t>2</w:t>
      </w:r>
      <w:r>
        <w:rPr>
          <w:rFonts w:ascii="Calibri" w:hAnsi="Calibri" w:cs="Calibri"/>
          <w:noProof/>
          <w:sz w:val="18"/>
        </w:rPr>
        <w:t xml:space="preserve"> (41), 17435–17445. https://doi.org/10.1039/C4TA03468F.</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(7) </w:t>
      </w:r>
      <w:r>
        <w:rPr>
          <w:rFonts w:ascii="Calibri" w:hAnsi="Calibri" w:cs="Calibri"/>
          <w:noProof/>
          <w:sz w:val="18"/>
        </w:rPr>
        <w:tab/>
        <w:t xml:space="preserve">Pan, Y.; Liu, Y.; Lin, Y.; Liu, C. Metal Doping Effect of the M-Co2P/Nitrogen-Doped Carbon Nanotubes (M = Fe, Ni, Cu) Hydrogen Evolution Hybrid Catalysts. </w:t>
      </w:r>
      <w:r>
        <w:rPr>
          <w:rFonts w:ascii="Calibri" w:hAnsi="Calibri" w:cs="Calibri"/>
          <w:i/>
          <w:iCs/>
          <w:noProof/>
          <w:sz w:val="18"/>
        </w:rPr>
        <w:t>ACS Appl. Mater. Interfaces</w:t>
      </w:r>
      <w:r>
        <w:rPr>
          <w:rFonts w:ascii="Calibri" w:hAnsi="Calibri" w:cs="Calibri"/>
          <w:noProof/>
          <w:sz w:val="18"/>
        </w:rPr>
        <w:t xml:space="preserve"> </w:t>
      </w:r>
      <w:r>
        <w:rPr>
          <w:rFonts w:ascii="Calibri" w:hAnsi="Calibri" w:cs="Calibri"/>
          <w:b/>
          <w:bCs/>
          <w:noProof/>
          <w:sz w:val="18"/>
        </w:rPr>
        <w:t>2016</w:t>
      </w:r>
      <w:r>
        <w:rPr>
          <w:rFonts w:ascii="Calibri" w:hAnsi="Calibri" w:cs="Calibri"/>
          <w:noProof/>
          <w:sz w:val="18"/>
        </w:rPr>
        <w:t xml:space="preserve">, </w:t>
      </w:r>
      <w:r>
        <w:rPr>
          <w:rFonts w:ascii="Calibri" w:hAnsi="Calibri" w:cs="Calibri"/>
          <w:i/>
          <w:iCs/>
          <w:noProof/>
          <w:sz w:val="18"/>
        </w:rPr>
        <w:t>8</w:t>
      </w:r>
      <w:r>
        <w:rPr>
          <w:rFonts w:ascii="Calibri" w:hAnsi="Calibri" w:cs="Calibri"/>
          <w:noProof/>
          <w:sz w:val="18"/>
        </w:rPr>
        <w:t xml:space="preserve"> (22), 13890–13901. https://doi.org/10.1021/acsami.6b02023.</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(8) </w:t>
      </w:r>
      <w:r>
        <w:rPr>
          <w:rFonts w:ascii="Calibri" w:hAnsi="Calibri" w:cs="Calibri"/>
          <w:noProof/>
          <w:sz w:val="18"/>
        </w:rPr>
        <w:tab/>
        <w:t xml:space="preserve">Callejas, J. F.; Read, C. G.; Popczun, E. J.; McEnaney, J. M.; Schaak, R. E. Nanostructured Co2P Electrocatalyst for the Hydrogen Evolution Reaction and Direct Comparison with Morphologically Equivalent CoP. </w:t>
      </w:r>
      <w:r>
        <w:rPr>
          <w:rFonts w:ascii="Calibri" w:hAnsi="Calibri" w:cs="Calibri"/>
          <w:i/>
          <w:iCs/>
          <w:noProof/>
          <w:sz w:val="18"/>
        </w:rPr>
        <w:t>Chem. Mater.</w:t>
      </w:r>
      <w:r>
        <w:rPr>
          <w:rFonts w:ascii="Calibri" w:hAnsi="Calibri" w:cs="Calibri"/>
          <w:noProof/>
          <w:sz w:val="18"/>
        </w:rPr>
        <w:t xml:space="preserve"> </w:t>
      </w:r>
      <w:r>
        <w:rPr>
          <w:rFonts w:ascii="Calibri" w:hAnsi="Calibri" w:cs="Calibri"/>
          <w:b/>
          <w:bCs/>
          <w:noProof/>
          <w:sz w:val="18"/>
        </w:rPr>
        <w:t>2015</w:t>
      </w:r>
      <w:r>
        <w:rPr>
          <w:rFonts w:ascii="Calibri" w:hAnsi="Calibri" w:cs="Calibri"/>
          <w:noProof/>
          <w:sz w:val="18"/>
        </w:rPr>
        <w:t xml:space="preserve">, </w:t>
      </w:r>
      <w:r>
        <w:rPr>
          <w:rFonts w:ascii="Calibri" w:hAnsi="Calibri" w:cs="Calibri"/>
          <w:i/>
          <w:iCs/>
          <w:noProof/>
          <w:sz w:val="18"/>
        </w:rPr>
        <w:t>27</w:t>
      </w:r>
      <w:r>
        <w:rPr>
          <w:rFonts w:ascii="Calibri" w:hAnsi="Calibri" w:cs="Calibri"/>
          <w:noProof/>
          <w:sz w:val="18"/>
        </w:rPr>
        <w:t xml:space="preserve"> (10), 3769–3774. https://doi.org/10.1021/acs.chemmater.5b01284.</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(9) </w:t>
      </w:r>
      <w:r>
        <w:rPr>
          <w:rFonts w:ascii="Calibri" w:hAnsi="Calibri" w:cs="Calibri"/>
          <w:noProof/>
          <w:sz w:val="18"/>
        </w:rPr>
        <w:tab/>
        <w:t xml:space="preserve">Jin, Z.; Li, P.; Xiao, D. Metallic Co2P Ultrathin Nanowires Distinguished from CoP as Robust Electrocatalysts for Overall Water-Splitting. </w:t>
      </w:r>
      <w:r>
        <w:rPr>
          <w:rFonts w:ascii="Calibri" w:hAnsi="Calibri" w:cs="Calibri"/>
          <w:i/>
          <w:iCs/>
          <w:noProof/>
          <w:sz w:val="18"/>
        </w:rPr>
        <w:t>Green Chem.</w:t>
      </w:r>
      <w:r>
        <w:rPr>
          <w:rFonts w:ascii="Calibri" w:hAnsi="Calibri" w:cs="Calibri"/>
          <w:noProof/>
          <w:sz w:val="18"/>
        </w:rPr>
        <w:t xml:space="preserve"> </w:t>
      </w:r>
      <w:r>
        <w:rPr>
          <w:rFonts w:ascii="Calibri" w:hAnsi="Calibri" w:cs="Calibri"/>
          <w:b/>
          <w:bCs/>
          <w:noProof/>
          <w:sz w:val="18"/>
        </w:rPr>
        <w:t>2016</w:t>
      </w:r>
      <w:r>
        <w:rPr>
          <w:rFonts w:ascii="Calibri" w:hAnsi="Calibri" w:cs="Calibri"/>
          <w:noProof/>
          <w:sz w:val="18"/>
        </w:rPr>
        <w:t xml:space="preserve">, </w:t>
      </w:r>
      <w:r>
        <w:rPr>
          <w:rFonts w:ascii="Calibri" w:hAnsi="Calibri" w:cs="Calibri"/>
          <w:i/>
          <w:iCs/>
          <w:noProof/>
          <w:sz w:val="18"/>
        </w:rPr>
        <w:t>18</w:t>
      </w:r>
      <w:r>
        <w:rPr>
          <w:rFonts w:ascii="Calibri" w:hAnsi="Calibri" w:cs="Calibri"/>
          <w:noProof/>
          <w:sz w:val="18"/>
        </w:rPr>
        <w:t xml:space="preserve"> (6), 1459–1464. https://doi.org/10.1039/c5gc02462e.</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(10) </w:t>
      </w:r>
      <w:r>
        <w:rPr>
          <w:rFonts w:ascii="Calibri" w:hAnsi="Calibri" w:cs="Calibri"/>
          <w:noProof/>
          <w:sz w:val="18"/>
        </w:rPr>
        <w:tab/>
        <w:t xml:space="preserve">Ye, C.; Wang, M. Q.; Chen, G.; Deng, Y. H.; Li, L. J.; Luo, H. Q.; Li, N. B. One-Step CVD Synthesis of Carbon Framework Wrapped Co2P as a Flexible Electrocatalyst for Efficient Hydrogen Evolution. </w:t>
      </w:r>
      <w:r>
        <w:rPr>
          <w:rFonts w:ascii="Calibri" w:hAnsi="Calibri" w:cs="Calibri"/>
          <w:i/>
          <w:iCs/>
          <w:noProof/>
          <w:sz w:val="18"/>
        </w:rPr>
        <w:t>J. Mater. Chem. A</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5</w:t>
      </w:r>
      <w:r>
        <w:rPr>
          <w:rFonts w:ascii="Calibri" w:hAnsi="Calibri" w:cs="Calibri"/>
          <w:noProof/>
          <w:sz w:val="18"/>
        </w:rPr>
        <w:t xml:space="preserve"> (17), 7791–7795. https://doi.org/10.1039/c7ta00592j.</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(11) </w:t>
      </w:r>
      <w:r>
        <w:rPr>
          <w:rFonts w:ascii="Calibri" w:hAnsi="Calibri" w:cs="Calibri"/>
          <w:noProof/>
          <w:sz w:val="18"/>
        </w:rPr>
        <w:tab/>
        <w:t xml:space="preserve">Tian, J.; Liu, Q.; Asiri, A. M.; Sun, X. Self-Supported Nanoporous Cobalt Phosphide Nanowire Arrays: An Efficient 3D Hydrogen-Evolving Cathode over the Wide Range of PH 0-14. </w:t>
      </w:r>
      <w:r>
        <w:rPr>
          <w:rFonts w:ascii="Calibri" w:hAnsi="Calibri" w:cs="Calibri"/>
          <w:i/>
          <w:iCs/>
          <w:noProof/>
          <w:sz w:val="18"/>
        </w:rPr>
        <w:t>J. Am. Chem. Soc.</w:t>
      </w:r>
      <w:r>
        <w:rPr>
          <w:rFonts w:ascii="Calibri" w:hAnsi="Calibri" w:cs="Calibri"/>
          <w:noProof/>
          <w:sz w:val="18"/>
        </w:rPr>
        <w:t xml:space="preserve"> </w:t>
      </w:r>
      <w:r>
        <w:rPr>
          <w:rFonts w:ascii="Calibri" w:hAnsi="Calibri" w:cs="Calibri"/>
          <w:b/>
          <w:bCs/>
          <w:noProof/>
          <w:sz w:val="18"/>
        </w:rPr>
        <w:t>2014</w:t>
      </w:r>
      <w:r>
        <w:rPr>
          <w:rFonts w:ascii="Calibri" w:hAnsi="Calibri" w:cs="Calibri"/>
          <w:noProof/>
          <w:sz w:val="18"/>
        </w:rPr>
        <w:t xml:space="preserve">, </w:t>
      </w:r>
      <w:r>
        <w:rPr>
          <w:rFonts w:ascii="Calibri" w:hAnsi="Calibri" w:cs="Calibri"/>
          <w:i/>
          <w:iCs/>
          <w:noProof/>
          <w:sz w:val="18"/>
        </w:rPr>
        <w:t>136</w:t>
      </w:r>
      <w:r>
        <w:rPr>
          <w:rFonts w:ascii="Calibri" w:hAnsi="Calibri" w:cs="Calibri"/>
          <w:noProof/>
          <w:sz w:val="18"/>
        </w:rPr>
        <w:t xml:space="preserve"> (21), 7587–7590. https://doi.org/10.1021/ja503372r.</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(12) </w:t>
      </w:r>
      <w:r>
        <w:rPr>
          <w:rFonts w:ascii="Calibri" w:hAnsi="Calibri" w:cs="Calibri"/>
          <w:noProof/>
          <w:sz w:val="18"/>
        </w:rPr>
        <w:tab/>
        <w:t xml:space="preserve">Yang, Y.; Liang, X.; Li, F.; Li, S.; Li, X.; Ng, S. P.; Wu, C. M. L.; Li, R. Encapsulating Co2P@C Core–Shell Nanoparticles in a Porous Carbon Sandwich as Dual-Doped Electrocatalyst for Hydrogen Evolution. </w:t>
      </w:r>
      <w:r>
        <w:rPr>
          <w:rFonts w:ascii="Calibri" w:hAnsi="Calibri" w:cs="Calibri"/>
          <w:i/>
          <w:iCs/>
          <w:noProof/>
          <w:sz w:val="18"/>
        </w:rPr>
        <w:t>ChemSusChem</w:t>
      </w:r>
      <w:r>
        <w:rPr>
          <w:rFonts w:ascii="Calibri" w:hAnsi="Calibri" w:cs="Calibri"/>
          <w:noProof/>
          <w:sz w:val="18"/>
        </w:rPr>
        <w:t xml:space="preserve"> </w:t>
      </w:r>
      <w:r>
        <w:rPr>
          <w:rFonts w:ascii="Calibri" w:hAnsi="Calibri" w:cs="Calibri"/>
          <w:b/>
          <w:bCs/>
          <w:noProof/>
          <w:sz w:val="18"/>
        </w:rPr>
        <w:t>2018</w:t>
      </w:r>
      <w:r>
        <w:rPr>
          <w:rFonts w:ascii="Calibri" w:hAnsi="Calibri" w:cs="Calibri"/>
          <w:noProof/>
          <w:sz w:val="18"/>
        </w:rPr>
        <w:t xml:space="preserve">, </w:t>
      </w:r>
      <w:r>
        <w:rPr>
          <w:rFonts w:ascii="Calibri" w:hAnsi="Calibri" w:cs="Calibri"/>
          <w:i/>
          <w:iCs/>
          <w:noProof/>
          <w:sz w:val="18"/>
        </w:rPr>
        <w:t>11</w:t>
      </w:r>
      <w:r>
        <w:rPr>
          <w:rFonts w:ascii="Calibri" w:hAnsi="Calibri" w:cs="Calibri"/>
          <w:noProof/>
          <w:sz w:val="18"/>
        </w:rPr>
        <w:t xml:space="preserve"> (2), 376–388. https://doi.org/10.1002/cssc.201701705.</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(13) </w:t>
      </w:r>
      <w:r>
        <w:rPr>
          <w:rFonts w:ascii="Calibri" w:hAnsi="Calibri" w:cs="Calibri"/>
          <w:noProof/>
          <w:sz w:val="18"/>
        </w:rPr>
        <w:tab/>
        <w:t>Subbaraman, R.; Tripkovic, D.; Strmcnik, D.; Chang, K. C.; Uchimura, M.; Paulikas, A. P.; Stamenkovic, V.; Markovic, N. M. Enhancing Hydrogen Evolution Activity in Water Splitting by Tailoring Li</w:t>
      </w:r>
      <w:r>
        <w:rPr>
          <w:rFonts w:ascii="Calibri" w:hAnsi="Calibri" w:cs="Calibri"/>
          <w:noProof/>
          <w:sz w:val="18"/>
          <w:vertAlign w:val="superscript"/>
        </w:rPr>
        <w:t>+</w:t>
      </w:r>
      <w:r>
        <w:rPr>
          <w:rFonts w:ascii="Calibri" w:hAnsi="Calibri" w:cs="Calibri"/>
          <w:noProof/>
          <w:sz w:val="18"/>
        </w:rPr>
        <w:t xml:space="preserve">-Ni(OH)₂-Pt Interfaces. </w:t>
      </w:r>
      <w:r>
        <w:rPr>
          <w:rFonts w:ascii="Calibri" w:hAnsi="Calibri" w:cs="Calibri"/>
          <w:i/>
          <w:iCs/>
          <w:noProof/>
          <w:sz w:val="18"/>
        </w:rPr>
        <w:t>Science (80-. ).</w:t>
      </w:r>
      <w:r>
        <w:rPr>
          <w:rFonts w:ascii="Calibri" w:hAnsi="Calibri" w:cs="Calibri"/>
          <w:noProof/>
          <w:sz w:val="18"/>
        </w:rPr>
        <w:t xml:space="preserve"> </w:t>
      </w:r>
      <w:r>
        <w:rPr>
          <w:rFonts w:ascii="Calibri" w:hAnsi="Calibri" w:cs="Calibri"/>
          <w:b/>
          <w:bCs/>
          <w:noProof/>
          <w:sz w:val="18"/>
        </w:rPr>
        <w:t>2011</w:t>
      </w:r>
      <w:r>
        <w:rPr>
          <w:rFonts w:ascii="Calibri" w:hAnsi="Calibri" w:cs="Calibri"/>
          <w:noProof/>
          <w:sz w:val="18"/>
        </w:rPr>
        <w:t xml:space="preserve">, </w:t>
      </w:r>
      <w:r>
        <w:rPr>
          <w:rFonts w:ascii="Calibri" w:hAnsi="Calibri" w:cs="Calibri"/>
          <w:i/>
          <w:iCs/>
          <w:noProof/>
          <w:sz w:val="18"/>
        </w:rPr>
        <w:t>334</w:t>
      </w:r>
      <w:r>
        <w:rPr>
          <w:rFonts w:ascii="Calibri" w:hAnsi="Calibri" w:cs="Calibri"/>
          <w:noProof/>
          <w:sz w:val="18"/>
        </w:rPr>
        <w:t>, 1256–1260. https://doi.org/10.1126/science.1211934.</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(14) </w:t>
      </w:r>
      <w:r>
        <w:rPr>
          <w:rFonts w:ascii="Calibri" w:hAnsi="Calibri" w:cs="Calibri"/>
          <w:noProof/>
          <w:sz w:val="18"/>
        </w:rPr>
        <w:tab/>
        <w:t xml:space="preserve">Xu, K.; Ding, H.; Zhang, M.; Chen, M.; Hao, Z.; Zhang, L.; Wu, C.; Xie, Y. Regulating Water-Reduction Kinetics in Cobalt Phosphide for Enhancing HER Catalytic Activity in Alkaline Solution. </w:t>
      </w:r>
      <w:r>
        <w:rPr>
          <w:rFonts w:ascii="Calibri" w:hAnsi="Calibri" w:cs="Calibri"/>
          <w:i/>
          <w:iCs/>
          <w:noProof/>
          <w:sz w:val="18"/>
        </w:rPr>
        <w:t>Adv. Mater.</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29</w:t>
      </w:r>
      <w:r>
        <w:rPr>
          <w:rFonts w:ascii="Calibri" w:hAnsi="Calibri" w:cs="Calibri"/>
          <w:noProof/>
          <w:sz w:val="18"/>
        </w:rPr>
        <w:t xml:space="preserve"> (28), 1–6. https://doi.org/10.1002/adma.201606980.</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(15) </w:t>
      </w:r>
      <w:r>
        <w:rPr>
          <w:rFonts w:ascii="Calibri" w:hAnsi="Calibri" w:cs="Calibri"/>
          <w:noProof/>
          <w:sz w:val="18"/>
        </w:rPr>
        <w:tab/>
        <w:t xml:space="preserve">Gao, Y.; Lang, Z.; Yu, F.; Tan, H.; Yan, G.; Wang, Y.; Ma, Y.; Li, Y. A Co2P/WC Nano-Heterojunction Covered with N-Doped Carbon as Highly Efficient Electrocatalyst for Hydrogen Evolution Reaction. </w:t>
      </w:r>
      <w:r>
        <w:rPr>
          <w:rFonts w:ascii="Calibri" w:hAnsi="Calibri" w:cs="Calibri"/>
          <w:i/>
          <w:iCs/>
          <w:noProof/>
          <w:sz w:val="18"/>
        </w:rPr>
        <w:t>ChemSusChem</w:t>
      </w:r>
      <w:r>
        <w:rPr>
          <w:rFonts w:ascii="Calibri" w:hAnsi="Calibri" w:cs="Calibri"/>
          <w:noProof/>
          <w:sz w:val="18"/>
        </w:rPr>
        <w:t xml:space="preserve"> </w:t>
      </w:r>
      <w:r>
        <w:rPr>
          <w:rFonts w:ascii="Calibri" w:hAnsi="Calibri" w:cs="Calibri"/>
          <w:b/>
          <w:bCs/>
          <w:noProof/>
          <w:sz w:val="18"/>
        </w:rPr>
        <w:t>2018</w:t>
      </w:r>
      <w:r>
        <w:rPr>
          <w:rFonts w:ascii="Calibri" w:hAnsi="Calibri" w:cs="Calibri"/>
          <w:noProof/>
          <w:sz w:val="18"/>
        </w:rPr>
        <w:t xml:space="preserve">, </w:t>
      </w:r>
      <w:r>
        <w:rPr>
          <w:rFonts w:ascii="Calibri" w:hAnsi="Calibri" w:cs="Calibri"/>
          <w:i/>
          <w:iCs/>
          <w:noProof/>
          <w:sz w:val="18"/>
        </w:rPr>
        <w:t>11</w:t>
      </w:r>
      <w:r>
        <w:rPr>
          <w:rFonts w:ascii="Calibri" w:hAnsi="Calibri" w:cs="Calibri"/>
          <w:noProof/>
          <w:sz w:val="18"/>
        </w:rPr>
        <w:t xml:space="preserve"> (6), 1082–1091. https://doi.org/10.1002/cssc.201702328.</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(16) </w:t>
      </w:r>
      <w:r>
        <w:rPr>
          <w:rFonts w:ascii="Calibri" w:hAnsi="Calibri" w:cs="Calibri"/>
          <w:noProof/>
          <w:sz w:val="18"/>
        </w:rPr>
        <w:tab/>
        <w:t xml:space="preserve">Tang, C.; Zhang, R.; Lu, W.; He, L.; Jiang, X.; Asiri, A. M.; Sun, X. Fe-Doped CoP Nanoarray: A Monolithic Multifunctional Catalyst for Highly Efficient Hydrogen Generation. </w:t>
      </w:r>
      <w:r>
        <w:rPr>
          <w:rFonts w:ascii="Calibri" w:hAnsi="Calibri" w:cs="Calibri"/>
          <w:i/>
          <w:iCs/>
          <w:noProof/>
          <w:sz w:val="18"/>
        </w:rPr>
        <w:t>Adv. Mater.</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29</w:t>
      </w:r>
      <w:r>
        <w:rPr>
          <w:rFonts w:ascii="Calibri" w:hAnsi="Calibri" w:cs="Calibri"/>
          <w:noProof/>
          <w:sz w:val="18"/>
        </w:rPr>
        <w:t xml:space="preserve"> (2), 1–6. https://doi.org/10.1002/adma.201602441.</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(17) </w:t>
      </w:r>
      <w:r>
        <w:rPr>
          <w:rFonts w:ascii="Calibri" w:hAnsi="Calibri" w:cs="Calibri"/>
          <w:noProof/>
          <w:sz w:val="18"/>
        </w:rPr>
        <w:tab/>
        <w:t xml:space="preserve">Zhang, R.; Wang, X.; Yu, S.; Wen, T.; Zhu, X.; Yang, F.; Sun, X.; Wang, X.; Hu, W. Ternary NiCo2Px Nanowires as PH-Universal Electrocatalysts for Highly Efficient Hydrogen Evolution Reaction. </w:t>
      </w:r>
      <w:r>
        <w:rPr>
          <w:rFonts w:ascii="Calibri" w:hAnsi="Calibri" w:cs="Calibri"/>
          <w:i/>
          <w:iCs/>
          <w:noProof/>
          <w:sz w:val="18"/>
        </w:rPr>
        <w:t>Adv. Mater.</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29</w:t>
      </w:r>
      <w:r>
        <w:rPr>
          <w:rFonts w:ascii="Calibri" w:hAnsi="Calibri" w:cs="Calibri"/>
          <w:noProof/>
          <w:sz w:val="18"/>
        </w:rPr>
        <w:t xml:space="preserve"> (9), 1605502. https://doi.org/10.1002/adma.201605502.</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lastRenderedPageBreak/>
        <w:t xml:space="preserve">(18) </w:t>
      </w:r>
      <w:r>
        <w:rPr>
          <w:rFonts w:ascii="Calibri" w:hAnsi="Calibri" w:cs="Calibri"/>
          <w:noProof/>
          <w:sz w:val="18"/>
        </w:rPr>
        <w:tab/>
        <w:t xml:space="preserve">Tang, C.; Gan, L.; Zhang, R.; Lu, W.; Jiang, X.; Asiri, A. M.; Sun, X.; Wang, J.; Chen, L. Ternary FexCo1-XP Nanowire Array as a Robust Hydrogen Evolution Reaction Electrocatalyst with Pt-like Activity: Experimental and Theoretical Insight. </w:t>
      </w:r>
      <w:r>
        <w:rPr>
          <w:rFonts w:ascii="Calibri" w:hAnsi="Calibri" w:cs="Calibri"/>
          <w:i/>
          <w:iCs/>
          <w:noProof/>
          <w:sz w:val="18"/>
        </w:rPr>
        <w:t>Nano Lett.</w:t>
      </w:r>
      <w:r>
        <w:rPr>
          <w:rFonts w:ascii="Calibri" w:hAnsi="Calibri" w:cs="Calibri"/>
          <w:noProof/>
          <w:sz w:val="18"/>
        </w:rPr>
        <w:t xml:space="preserve"> </w:t>
      </w:r>
      <w:r>
        <w:rPr>
          <w:rFonts w:ascii="Calibri" w:hAnsi="Calibri" w:cs="Calibri"/>
          <w:b/>
          <w:bCs/>
          <w:noProof/>
          <w:sz w:val="18"/>
        </w:rPr>
        <w:t>2016</w:t>
      </w:r>
      <w:r>
        <w:rPr>
          <w:rFonts w:ascii="Calibri" w:hAnsi="Calibri" w:cs="Calibri"/>
          <w:noProof/>
          <w:sz w:val="18"/>
        </w:rPr>
        <w:t xml:space="preserve">, </w:t>
      </w:r>
      <w:r>
        <w:rPr>
          <w:rFonts w:ascii="Calibri" w:hAnsi="Calibri" w:cs="Calibri"/>
          <w:i/>
          <w:iCs/>
          <w:noProof/>
          <w:sz w:val="18"/>
        </w:rPr>
        <w:t>16</w:t>
      </w:r>
      <w:r>
        <w:rPr>
          <w:rFonts w:ascii="Calibri" w:hAnsi="Calibri" w:cs="Calibri"/>
          <w:noProof/>
          <w:sz w:val="18"/>
        </w:rPr>
        <w:t xml:space="preserve"> (10), 6617–6621. https://doi.org/10.1021/acs.nanolett.6b03332.</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(19) </w:t>
      </w:r>
      <w:r>
        <w:rPr>
          <w:rFonts w:ascii="Calibri" w:hAnsi="Calibri" w:cs="Calibri"/>
          <w:noProof/>
          <w:sz w:val="18"/>
        </w:rPr>
        <w:tab/>
        <w:t xml:space="preserve">Yan, K. L.; Shang, X.; Zhang, L. M.; Dong, B.; Liu, Z. Z.; Chi, J. Q.; Gao, W. K.; Chai, Y. M.; Liu, C. G. Boosting Electrocatalytic Activity of Binary Ag-Fe-Doped Co2P Nanospheres as Bifunctional Electrocatalysts for Overall Water Splitting. </w:t>
      </w:r>
      <w:r>
        <w:rPr>
          <w:rFonts w:ascii="Calibri" w:hAnsi="Calibri" w:cs="Calibri"/>
          <w:i/>
          <w:iCs/>
          <w:noProof/>
          <w:sz w:val="18"/>
        </w:rPr>
        <w:t>Electrochim. Acta</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249</w:t>
      </w:r>
      <w:r>
        <w:rPr>
          <w:rFonts w:ascii="Calibri" w:hAnsi="Calibri" w:cs="Calibri"/>
          <w:noProof/>
          <w:sz w:val="18"/>
        </w:rPr>
        <w:t>, 16–25. https://doi.org/10.1016/j.electacta.2017.07.180.</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(20) </w:t>
      </w:r>
      <w:r>
        <w:rPr>
          <w:rFonts w:ascii="Calibri" w:hAnsi="Calibri" w:cs="Calibri"/>
          <w:noProof/>
          <w:sz w:val="18"/>
        </w:rPr>
        <w:tab/>
        <w:t xml:space="preserve">Li, X.; Fang, Y.; Li, F.; Tian, M.; Long, X.; Jin, J.; Ma, J. Ultrafine Co2P Nanoparticles Encapsulated in Nitrogen and Phosphorus Dual-Doped Porous Carbon Nanosheet/Carbon Nanotube Hybrids: High-Performance Bifunctional Electrocatalysts for Overall Water Splitting. </w:t>
      </w:r>
      <w:r>
        <w:rPr>
          <w:rFonts w:ascii="Calibri" w:hAnsi="Calibri" w:cs="Calibri"/>
          <w:i/>
          <w:iCs/>
          <w:noProof/>
          <w:sz w:val="18"/>
        </w:rPr>
        <w:t>J. Mater. Chem. A</w:t>
      </w:r>
      <w:r>
        <w:rPr>
          <w:rFonts w:ascii="Calibri" w:hAnsi="Calibri" w:cs="Calibri"/>
          <w:noProof/>
          <w:sz w:val="18"/>
        </w:rPr>
        <w:t xml:space="preserve"> </w:t>
      </w:r>
      <w:r>
        <w:rPr>
          <w:rFonts w:ascii="Calibri" w:hAnsi="Calibri" w:cs="Calibri"/>
          <w:b/>
          <w:bCs/>
          <w:noProof/>
          <w:sz w:val="18"/>
        </w:rPr>
        <w:t>2016</w:t>
      </w:r>
      <w:r>
        <w:rPr>
          <w:rFonts w:ascii="Calibri" w:hAnsi="Calibri" w:cs="Calibri"/>
          <w:noProof/>
          <w:sz w:val="18"/>
        </w:rPr>
        <w:t xml:space="preserve">, </w:t>
      </w:r>
      <w:r>
        <w:rPr>
          <w:rFonts w:ascii="Calibri" w:hAnsi="Calibri" w:cs="Calibri"/>
          <w:i/>
          <w:iCs/>
          <w:noProof/>
          <w:sz w:val="18"/>
        </w:rPr>
        <w:t>4</w:t>
      </w:r>
      <w:r>
        <w:rPr>
          <w:rFonts w:ascii="Calibri" w:hAnsi="Calibri" w:cs="Calibri"/>
          <w:noProof/>
          <w:sz w:val="18"/>
        </w:rPr>
        <w:t xml:space="preserve"> (40), 15501–15510. https://doi.org/10.1039/c6ta05485d.</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(21) </w:t>
      </w:r>
      <w:r>
        <w:rPr>
          <w:rFonts w:ascii="Calibri" w:hAnsi="Calibri" w:cs="Calibri"/>
          <w:noProof/>
          <w:sz w:val="18"/>
        </w:rPr>
        <w:tab/>
        <w:t xml:space="preserve">Doan-Nguyen, V. V. T.; Zhang, S.; Trigg, E. B.; Agarwal, R.; Li, J.; Su, D.; Winey, K. I.; Murray, C. B. Synthesis and X-Ray Characterization of Cobalt Phosphide (Co2P) Nanorods for the Oxygen Reduction Reaction. </w:t>
      </w:r>
      <w:r>
        <w:rPr>
          <w:rFonts w:ascii="Calibri" w:hAnsi="Calibri" w:cs="Calibri"/>
          <w:i/>
          <w:iCs/>
          <w:noProof/>
          <w:sz w:val="18"/>
        </w:rPr>
        <w:t>ACS Nano</w:t>
      </w:r>
      <w:r>
        <w:rPr>
          <w:rFonts w:ascii="Calibri" w:hAnsi="Calibri" w:cs="Calibri"/>
          <w:noProof/>
          <w:sz w:val="18"/>
        </w:rPr>
        <w:t xml:space="preserve"> </w:t>
      </w:r>
      <w:r>
        <w:rPr>
          <w:rFonts w:ascii="Calibri" w:hAnsi="Calibri" w:cs="Calibri"/>
          <w:b/>
          <w:bCs/>
          <w:noProof/>
          <w:sz w:val="18"/>
        </w:rPr>
        <w:t>2015</w:t>
      </w:r>
      <w:r>
        <w:rPr>
          <w:rFonts w:ascii="Calibri" w:hAnsi="Calibri" w:cs="Calibri"/>
          <w:noProof/>
          <w:sz w:val="18"/>
        </w:rPr>
        <w:t xml:space="preserve">, </w:t>
      </w:r>
      <w:r>
        <w:rPr>
          <w:rFonts w:ascii="Calibri" w:hAnsi="Calibri" w:cs="Calibri"/>
          <w:i/>
          <w:iCs/>
          <w:noProof/>
          <w:sz w:val="18"/>
        </w:rPr>
        <w:t>9</w:t>
      </w:r>
      <w:r>
        <w:rPr>
          <w:rFonts w:ascii="Calibri" w:hAnsi="Calibri" w:cs="Calibri"/>
          <w:noProof/>
          <w:sz w:val="18"/>
        </w:rPr>
        <w:t xml:space="preserve"> (8), 8108–8115. https://doi.org/10.1021/acsnano.5b02191.</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(22) </w:t>
      </w:r>
      <w:r>
        <w:rPr>
          <w:rFonts w:ascii="Calibri" w:hAnsi="Calibri" w:cs="Calibri"/>
          <w:noProof/>
          <w:sz w:val="18"/>
        </w:rPr>
        <w:tab/>
        <w:t xml:space="preserve">Zhang, H.; Ha, D. H.; Hovden, R.; Kourkoutis, L. F.; Robinson, R. D. Controlled Synthesis of Uniform Cobalt Phosphide Hyperbranched Nanocrystals Using Tri-n-Octylphosphine Oxide as a Phosphorus Source. </w:t>
      </w:r>
      <w:r>
        <w:rPr>
          <w:rFonts w:ascii="Calibri" w:hAnsi="Calibri" w:cs="Calibri"/>
          <w:i/>
          <w:iCs/>
          <w:noProof/>
          <w:sz w:val="18"/>
        </w:rPr>
        <w:t>Nano Lett.</w:t>
      </w:r>
      <w:r>
        <w:rPr>
          <w:rFonts w:ascii="Calibri" w:hAnsi="Calibri" w:cs="Calibri"/>
          <w:noProof/>
          <w:sz w:val="18"/>
        </w:rPr>
        <w:t xml:space="preserve"> </w:t>
      </w:r>
      <w:r>
        <w:rPr>
          <w:rFonts w:ascii="Calibri" w:hAnsi="Calibri" w:cs="Calibri"/>
          <w:b/>
          <w:bCs/>
          <w:noProof/>
          <w:sz w:val="18"/>
        </w:rPr>
        <w:t>2011</w:t>
      </w:r>
      <w:r>
        <w:rPr>
          <w:rFonts w:ascii="Calibri" w:hAnsi="Calibri" w:cs="Calibri"/>
          <w:noProof/>
          <w:sz w:val="18"/>
        </w:rPr>
        <w:t xml:space="preserve">, </w:t>
      </w:r>
      <w:r>
        <w:rPr>
          <w:rFonts w:ascii="Calibri" w:hAnsi="Calibri" w:cs="Calibri"/>
          <w:i/>
          <w:iCs/>
          <w:noProof/>
          <w:sz w:val="18"/>
        </w:rPr>
        <w:t>11</w:t>
      </w:r>
      <w:r>
        <w:rPr>
          <w:rFonts w:ascii="Calibri" w:hAnsi="Calibri" w:cs="Calibri"/>
          <w:noProof/>
          <w:sz w:val="18"/>
        </w:rPr>
        <w:t xml:space="preserve"> (1), 188–197. https://doi.org/10.1021/nl103400a.</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(23) </w:t>
      </w:r>
      <w:r>
        <w:rPr>
          <w:rFonts w:ascii="Calibri" w:hAnsi="Calibri" w:cs="Calibri"/>
          <w:noProof/>
          <w:sz w:val="18"/>
        </w:rPr>
        <w:tab/>
        <w:t xml:space="preserve">Yang, W.; Huang, Y.; Fan, J.; Yu, Y.; Yang, C.; Li, H. A Facile Solution-Phase Synthesis of Cobalt Phosphide Nanorods/Hollow Nanoparticles. </w:t>
      </w:r>
      <w:r>
        <w:rPr>
          <w:rFonts w:ascii="Calibri" w:hAnsi="Calibri" w:cs="Calibri"/>
          <w:i/>
          <w:iCs/>
          <w:noProof/>
          <w:sz w:val="18"/>
        </w:rPr>
        <w:t>Nanoscale</w:t>
      </w:r>
      <w:r>
        <w:rPr>
          <w:rFonts w:ascii="Calibri" w:hAnsi="Calibri" w:cs="Calibri"/>
          <w:noProof/>
          <w:sz w:val="18"/>
        </w:rPr>
        <w:t xml:space="preserve"> </w:t>
      </w:r>
      <w:r>
        <w:rPr>
          <w:rFonts w:ascii="Calibri" w:hAnsi="Calibri" w:cs="Calibri"/>
          <w:b/>
          <w:bCs/>
          <w:noProof/>
          <w:sz w:val="18"/>
        </w:rPr>
        <w:t>2016</w:t>
      </w:r>
      <w:r>
        <w:rPr>
          <w:rFonts w:ascii="Calibri" w:hAnsi="Calibri" w:cs="Calibri"/>
          <w:noProof/>
          <w:sz w:val="18"/>
        </w:rPr>
        <w:t xml:space="preserve">, </w:t>
      </w:r>
      <w:r>
        <w:rPr>
          <w:rFonts w:ascii="Calibri" w:hAnsi="Calibri" w:cs="Calibri"/>
          <w:i/>
          <w:iCs/>
          <w:noProof/>
          <w:sz w:val="18"/>
        </w:rPr>
        <w:t>8</w:t>
      </w:r>
      <w:r>
        <w:rPr>
          <w:rFonts w:ascii="Calibri" w:hAnsi="Calibri" w:cs="Calibri"/>
          <w:noProof/>
          <w:sz w:val="18"/>
        </w:rPr>
        <w:t xml:space="preserve"> (9), 4898–4902. https://doi.org/10.1039/c6nr00208k.</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(24) </w:t>
      </w:r>
      <w:r>
        <w:rPr>
          <w:rFonts w:ascii="Calibri" w:hAnsi="Calibri" w:cs="Calibri"/>
          <w:noProof/>
          <w:sz w:val="18"/>
        </w:rPr>
        <w:tab/>
        <w:t xml:space="preserve">Parra-Puerto, A.; Ng, K. L.; Fahy, K.; Goode, A. E.; Ryan, M. P.; Kucernak, A. Supported Transition Metal Phosphides: Activity Survey for HER, ORR, OER, and Corrosion Resistance in Acid and Alkaline Electrolytes. </w:t>
      </w:r>
      <w:r>
        <w:rPr>
          <w:rFonts w:ascii="Calibri" w:hAnsi="Calibri" w:cs="Calibri"/>
          <w:i/>
          <w:iCs/>
          <w:noProof/>
          <w:sz w:val="18"/>
        </w:rPr>
        <w:t>ACS Catal.</w:t>
      </w:r>
      <w:r>
        <w:rPr>
          <w:rFonts w:ascii="Calibri" w:hAnsi="Calibri" w:cs="Calibri"/>
          <w:noProof/>
          <w:sz w:val="18"/>
        </w:rPr>
        <w:t xml:space="preserve"> </w:t>
      </w:r>
      <w:r>
        <w:rPr>
          <w:rFonts w:ascii="Calibri" w:hAnsi="Calibri" w:cs="Calibri"/>
          <w:b/>
          <w:bCs/>
          <w:noProof/>
          <w:sz w:val="18"/>
        </w:rPr>
        <w:t>2019</w:t>
      </w:r>
      <w:r>
        <w:rPr>
          <w:rFonts w:ascii="Calibri" w:hAnsi="Calibri" w:cs="Calibri"/>
          <w:noProof/>
          <w:sz w:val="18"/>
        </w:rPr>
        <w:t>, 11515–11529. https://doi.org/10.1021/acscatal.9b03359.</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(25) </w:t>
      </w:r>
      <w:r>
        <w:rPr>
          <w:rFonts w:ascii="Calibri" w:hAnsi="Calibri" w:cs="Calibri"/>
          <w:noProof/>
          <w:sz w:val="18"/>
        </w:rPr>
        <w:tab/>
        <w:t xml:space="preserve">Liu, T.; Liu, D.; Qu, F.; Wang, D.; Zhang, L.; Ge, R.; Hao, S.; Ma, Y.; Du, G.; Asiri, A. M.; Chen, L.; Sun, X. Enhanced Electrocatalysis for Energy-Efficient Hydrogen Production over CoP Catalyst with Nonelectroactive Zn as a Promoter. </w:t>
      </w:r>
      <w:r>
        <w:rPr>
          <w:rFonts w:ascii="Calibri" w:hAnsi="Calibri" w:cs="Calibri"/>
          <w:i/>
          <w:iCs/>
          <w:noProof/>
          <w:sz w:val="18"/>
        </w:rPr>
        <w:t>Adv. Energy Mater.</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7</w:t>
      </w:r>
      <w:r>
        <w:rPr>
          <w:rFonts w:ascii="Calibri" w:hAnsi="Calibri" w:cs="Calibri"/>
          <w:noProof/>
          <w:sz w:val="18"/>
        </w:rPr>
        <w:t xml:space="preserve"> (15). https://doi.org/10.1002/aenm.201700020.</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(26) </w:t>
      </w:r>
      <w:r>
        <w:rPr>
          <w:rFonts w:ascii="Calibri" w:hAnsi="Calibri" w:cs="Calibri"/>
          <w:noProof/>
          <w:sz w:val="18"/>
        </w:rPr>
        <w:tab/>
        <w:t xml:space="preserve">Yan, L.; Zhang, B.; Zhu, J.; Liu, Z.; Zhang, H.; Li, Y. Callistemon-like Zn and S Codoped CoP Nanorod Clusters as Highly Efficient Electrocatalysts for Neutral-PH Overall Water Splitting. </w:t>
      </w:r>
      <w:r>
        <w:rPr>
          <w:rFonts w:ascii="Calibri" w:hAnsi="Calibri" w:cs="Calibri"/>
          <w:i/>
          <w:iCs/>
          <w:noProof/>
          <w:sz w:val="18"/>
        </w:rPr>
        <w:t>J. Mater. Chem. A</w:t>
      </w:r>
      <w:r>
        <w:rPr>
          <w:rFonts w:ascii="Calibri" w:hAnsi="Calibri" w:cs="Calibri"/>
          <w:noProof/>
          <w:sz w:val="18"/>
        </w:rPr>
        <w:t xml:space="preserve"> </w:t>
      </w:r>
      <w:r>
        <w:rPr>
          <w:rFonts w:ascii="Calibri" w:hAnsi="Calibri" w:cs="Calibri"/>
          <w:b/>
          <w:bCs/>
          <w:noProof/>
          <w:sz w:val="18"/>
        </w:rPr>
        <w:t>2019</w:t>
      </w:r>
      <w:r>
        <w:rPr>
          <w:rFonts w:ascii="Calibri" w:hAnsi="Calibri" w:cs="Calibri"/>
          <w:noProof/>
          <w:sz w:val="18"/>
        </w:rPr>
        <w:t xml:space="preserve">, </w:t>
      </w:r>
      <w:r>
        <w:rPr>
          <w:rFonts w:ascii="Calibri" w:hAnsi="Calibri" w:cs="Calibri"/>
          <w:i/>
          <w:iCs/>
          <w:noProof/>
          <w:sz w:val="18"/>
        </w:rPr>
        <w:t>7</w:t>
      </w:r>
      <w:r>
        <w:rPr>
          <w:rFonts w:ascii="Calibri" w:hAnsi="Calibri" w:cs="Calibri"/>
          <w:noProof/>
          <w:sz w:val="18"/>
        </w:rPr>
        <w:t xml:space="preserve"> (39), 22453–22462. https://doi.org/10.1039/c9ta08812a.</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(27) </w:t>
      </w:r>
      <w:r>
        <w:rPr>
          <w:rFonts w:ascii="Calibri" w:hAnsi="Calibri" w:cs="Calibri"/>
          <w:noProof/>
          <w:sz w:val="18"/>
        </w:rPr>
        <w:tab/>
        <w:t xml:space="preserve">Mayrhofer, K. J. J.; Wiberg, G. K. H.; Arenz, M. Impact of Glass Corrosion on the Electrocatalysis on Pt Electrodes in Alkaline Electrolyte. </w:t>
      </w:r>
      <w:r>
        <w:rPr>
          <w:rFonts w:ascii="Calibri" w:hAnsi="Calibri" w:cs="Calibri"/>
          <w:i/>
          <w:iCs/>
          <w:noProof/>
          <w:sz w:val="18"/>
        </w:rPr>
        <w:t>J. Electrochem. Soc.</w:t>
      </w:r>
      <w:r>
        <w:rPr>
          <w:rFonts w:ascii="Calibri" w:hAnsi="Calibri" w:cs="Calibri"/>
          <w:noProof/>
          <w:sz w:val="18"/>
        </w:rPr>
        <w:t xml:space="preserve"> </w:t>
      </w:r>
      <w:r>
        <w:rPr>
          <w:rFonts w:ascii="Calibri" w:hAnsi="Calibri" w:cs="Calibri"/>
          <w:b/>
          <w:bCs/>
          <w:noProof/>
          <w:sz w:val="18"/>
        </w:rPr>
        <w:t>2007</w:t>
      </w:r>
      <w:r>
        <w:rPr>
          <w:rFonts w:ascii="Calibri" w:hAnsi="Calibri" w:cs="Calibri"/>
          <w:noProof/>
          <w:sz w:val="18"/>
        </w:rPr>
        <w:t xml:space="preserve">, </w:t>
      </w:r>
      <w:r>
        <w:rPr>
          <w:rFonts w:ascii="Calibri" w:hAnsi="Calibri" w:cs="Calibri"/>
          <w:i/>
          <w:iCs/>
          <w:noProof/>
          <w:sz w:val="18"/>
        </w:rPr>
        <w:t>155</w:t>
      </w:r>
      <w:r>
        <w:rPr>
          <w:rFonts w:ascii="Calibri" w:hAnsi="Calibri" w:cs="Calibri"/>
          <w:noProof/>
          <w:sz w:val="18"/>
        </w:rPr>
        <w:t xml:space="preserve"> (1), P1. https://doi.org/10.1149/1.2800752.</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(28) </w:t>
      </w:r>
      <w:r>
        <w:rPr>
          <w:rFonts w:ascii="Calibri" w:hAnsi="Calibri" w:cs="Calibri"/>
          <w:noProof/>
          <w:sz w:val="18"/>
        </w:rPr>
        <w:tab/>
        <w:t xml:space="preserve">Liu, T.; Liu, D.; Qu, F.; Wang, D.; Zhang, L.; Ge, R.; Hao, S.; Ma, Y.; Du, G.; Asiri, A. M.; Chen, L.; Sun, X. Enhanced Electrocatalysis for Energy-Efficient Hydrogen Production over CoP Catalyst with Nonelectroactive Zn as a Promoter. </w:t>
      </w:r>
      <w:r>
        <w:rPr>
          <w:rFonts w:ascii="Calibri" w:hAnsi="Calibri" w:cs="Calibri"/>
          <w:i/>
          <w:iCs/>
          <w:noProof/>
          <w:sz w:val="18"/>
        </w:rPr>
        <w:t>Adv. Energy Mater.</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7</w:t>
      </w:r>
      <w:r>
        <w:rPr>
          <w:rFonts w:ascii="Calibri" w:hAnsi="Calibri" w:cs="Calibri"/>
          <w:noProof/>
          <w:sz w:val="18"/>
        </w:rPr>
        <w:t xml:space="preserve"> (15). https://doi.org/10.1002/aenm.201700020.</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(29) </w:t>
      </w:r>
      <w:r>
        <w:rPr>
          <w:rFonts w:ascii="Calibri" w:hAnsi="Calibri" w:cs="Calibri"/>
          <w:noProof/>
          <w:sz w:val="18"/>
        </w:rPr>
        <w:tab/>
        <w:t xml:space="preserve">Zhang, C.; Pu, Z.; Amiinu, I. S.; Zhao, Y.; Zhu, J.; Tang, Y.; Mu, S. Co2P Quantum Dot Embedded N, P Dual-Doped Carbon Self-Supported Electrodes with Flexible and Binder-Free Properties for Efficient Hydrogen Evolution Reactions. </w:t>
      </w:r>
      <w:r>
        <w:rPr>
          <w:rFonts w:ascii="Calibri" w:hAnsi="Calibri" w:cs="Calibri"/>
          <w:i/>
          <w:iCs/>
          <w:noProof/>
          <w:sz w:val="18"/>
        </w:rPr>
        <w:t>Nanoscale</w:t>
      </w:r>
      <w:r>
        <w:rPr>
          <w:rFonts w:ascii="Calibri" w:hAnsi="Calibri" w:cs="Calibri"/>
          <w:noProof/>
          <w:sz w:val="18"/>
        </w:rPr>
        <w:t xml:space="preserve"> </w:t>
      </w:r>
      <w:r>
        <w:rPr>
          <w:rFonts w:ascii="Calibri" w:hAnsi="Calibri" w:cs="Calibri"/>
          <w:b/>
          <w:bCs/>
          <w:noProof/>
          <w:sz w:val="18"/>
        </w:rPr>
        <w:t>2018</w:t>
      </w:r>
      <w:r>
        <w:rPr>
          <w:rFonts w:ascii="Calibri" w:hAnsi="Calibri" w:cs="Calibri"/>
          <w:noProof/>
          <w:sz w:val="18"/>
        </w:rPr>
        <w:t xml:space="preserve">, </w:t>
      </w:r>
      <w:r>
        <w:rPr>
          <w:rFonts w:ascii="Calibri" w:hAnsi="Calibri" w:cs="Calibri"/>
          <w:i/>
          <w:iCs/>
          <w:noProof/>
          <w:sz w:val="18"/>
        </w:rPr>
        <w:t>10</w:t>
      </w:r>
      <w:r>
        <w:rPr>
          <w:rFonts w:ascii="Calibri" w:hAnsi="Calibri" w:cs="Calibri"/>
          <w:noProof/>
          <w:sz w:val="18"/>
        </w:rPr>
        <w:t xml:space="preserve"> (6), 2902–2907. https://doi.org/10.1039/c7nr08148k.</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(30) </w:t>
      </w:r>
      <w:r>
        <w:rPr>
          <w:rFonts w:ascii="Calibri" w:hAnsi="Calibri" w:cs="Calibri"/>
          <w:noProof/>
          <w:sz w:val="18"/>
        </w:rPr>
        <w:tab/>
        <w:t xml:space="preserve">Wu, Y.; Tao, X.; Qing, Y.; Xu, H.; Yang, F.; Luo, S.; Tian, C.; Liu, M.; Lu, X. Cr-Doped FeNi-P Nanoparticles Encapsulated into N-Doped Carbon Nanotube as a Robust Bifunctional Catalyst for Efficient Overall Water Splitting. </w:t>
      </w:r>
      <w:r>
        <w:rPr>
          <w:rFonts w:ascii="Calibri" w:hAnsi="Calibri" w:cs="Calibri"/>
          <w:i/>
          <w:iCs/>
          <w:noProof/>
          <w:sz w:val="18"/>
        </w:rPr>
        <w:t>Adv. Mater.</w:t>
      </w:r>
      <w:r>
        <w:rPr>
          <w:rFonts w:ascii="Calibri" w:hAnsi="Calibri" w:cs="Calibri"/>
          <w:noProof/>
          <w:sz w:val="18"/>
        </w:rPr>
        <w:t xml:space="preserve"> </w:t>
      </w:r>
      <w:r>
        <w:rPr>
          <w:rFonts w:ascii="Calibri" w:hAnsi="Calibri" w:cs="Calibri"/>
          <w:b/>
          <w:bCs/>
          <w:noProof/>
          <w:sz w:val="18"/>
        </w:rPr>
        <w:t>2019</w:t>
      </w:r>
      <w:r>
        <w:rPr>
          <w:rFonts w:ascii="Calibri" w:hAnsi="Calibri" w:cs="Calibri"/>
          <w:noProof/>
          <w:sz w:val="18"/>
        </w:rPr>
        <w:t>, 1900178. https://doi.org/10.1002/adma.201900178.</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(31) </w:t>
      </w:r>
      <w:r>
        <w:rPr>
          <w:rFonts w:ascii="Calibri" w:hAnsi="Calibri" w:cs="Calibri"/>
          <w:noProof/>
          <w:sz w:val="18"/>
        </w:rPr>
        <w:tab/>
        <w:t xml:space="preserve">Wu, Y.; Tao, X.; Qing, Y.; Xu, H.; Yang, F.; Luo, S.; Tian, C.; Liu, M.; Lu, X. Cr-Doped FeNi-P Nanoparticles Encapsulated into N-Doped Carbon Nanotube as a Robust Bifunctional Catalyst for Efficient Overall Water Splitting. </w:t>
      </w:r>
      <w:r>
        <w:rPr>
          <w:rFonts w:ascii="Calibri" w:hAnsi="Calibri" w:cs="Calibri"/>
          <w:i/>
          <w:iCs/>
          <w:noProof/>
          <w:sz w:val="18"/>
        </w:rPr>
        <w:t>Adv. Mater.</w:t>
      </w:r>
      <w:r>
        <w:rPr>
          <w:rFonts w:ascii="Calibri" w:hAnsi="Calibri" w:cs="Calibri"/>
          <w:noProof/>
          <w:sz w:val="18"/>
        </w:rPr>
        <w:t xml:space="preserve"> </w:t>
      </w:r>
      <w:r>
        <w:rPr>
          <w:rFonts w:ascii="Calibri" w:hAnsi="Calibri" w:cs="Calibri"/>
          <w:b/>
          <w:bCs/>
          <w:noProof/>
          <w:sz w:val="18"/>
        </w:rPr>
        <w:t>2019</w:t>
      </w:r>
      <w:r>
        <w:rPr>
          <w:rFonts w:ascii="Calibri" w:hAnsi="Calibri" w:cs="Calibri"/>
          <w:noProof/>
          <w:sz w:val="18"/>
        </w:rPr>
        <w:t xml:space="preserve">, </w:t>
      </w:r>
      <w:r>
        <w:rPr>
          <w:rFonts w:ascii="Calibri" w:hAnsi="Calibri" w:cs="Calibri"/>
          <w:i/>
          <w:iCs/>
          <w:noProof/>
          <w:sz w:val="18"/>
        </w:rPr>
        <w:t>1900178</w:t>
      </w:r>
      <w:r>
        <w:rPr>
          <w:rFonts w:ascii="Calibri" w:hAnsi="Calibri" w:cs="Calibri"/>
          <w:noProof/>
          <w:sz w:val="18"/>
        </w:rPr>
        <w:t>, 1900178. https://doi.org/10.1002/adma.201900178.</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(32) </w:t>
      </w:r>
      <w:r>
        <w:rPr>
          <w:rFonts w:ascii="Calibri" w:hAnsi="Calibri" w:cs="Calibri"/>
          <w:noProof/>
          <w:sz w:val="18"/>
        </w:rPr>
        <w:tab/>
        <w:t xml:space="preserve">Zhang, Y.; Gao, L.; Hensen, E. J. M.; Hofmann, J. P. Evaluating the Stability of Co2P Electrocatalysts in the Hydrogen Evolution Reaction for Both Acidic and Alkaline Electrolytes. </w:t>
      </w:r>
      <w:r>
        <w:rPr>
          <w:rFonts w:ascii="Calibri" w:hAnsi="Calibri" w:cs="Calibri"/>
          <w:i/>
          <w:iCs/>
          <w:noProof/>
          <w:sz w:val="18"/>
        </w:rPr>
        <w:t>ACS Energy Lett.</w:t>
      </w:r>
      <w:r>
        <w:rPr>
          <w:rFonts w:ascii="Calibri" w:hAnsi="Calibri" w:cs="Calibri"/>
          <w:noProof/>
          <w:sz w:val="18"/>
        </w:rPr>
        <w:t xml:space="preserve"> </w:t>
      </w:r>
      <w:r>
        <w:rPr>
          <w:rFonts w:ascii="Calibri" w:hAnsi="Calibri" w:cs="Calibri"/>
          <w:b/>
          <w:bCs/>
          <w:noProof/>
          <w:sz w:val="18"/>
        </w:rPr>
        <w:t>2018</w:t>
      </w:r>
      <w:r>
        <w:rPr>
          <w:rFonts w:ascii="Calibri" w:hAnsi="Calibri" w:cs="Calibri"/>
          <w:noProof/>
          <w:sz w:val="18"/>
        </w:rPr>
        <w:t xml:space="preserve">, </w:t>
      </w:r>
      <w:r>
        <w:rPr>
          <w:rFonts w:ascii="Calibri" w:hAnsi="Calibri" w:cs="Calibri"/>
          <w:i/>
          <w:iCs/>
          <w:noProof/>
          <w:sz w:val="18"/>
        </w:rPr>
        <w:t>3</w:t>
      </w:r>
      <w:r>
        <w:rPr>
          <w:rFonts w:ascii="Calibri" w:hAnsi="Calibri" w:cs="Calibri"/>
          <w:noProof/>
          <w:sz w:val="18"/>
        </w:rPr>
        <w:t xml:space="preserve"> (6), 1360–1365. https://doi.org/10.1021/acsenergylett.8b00514.</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(33) </w:t>
      </w:r>
      <w:r>
        <w:rPr>
          <w:rFonts w:ascii="Calibri" w:hAnsi="Calibri" w:cs="Calibri"/>
          <w:noProof/>
          <w:sz w:val="18"/>
        </w:rPr>
        <w:tab/>
        <w:t xml:space="preserve">Chen, X.; Liu, B.; Zhong, C.; Liu, Z.; Liu, J.; Ma, L.; Deng, Y.; Han, X.; Wu, T.; Hu, W.; Lu, J. Ultrathin Co3O4 Layers with Large Contact Area on Carbon Fibers as High-Performance Electrode for Flexible Zinc–Air Battery Integrated with Flexible Display. </w:t>
      </w:r>
      <w:r>
        <w:rPr>
          <w:rFonts w:ascii="Calibri" w:hAnsi="Calibri" w:cs="Calibri"/>
          <w:i/>
          <w:iCs/>
          <w:noProof/>
          <w:sz w:val="18"/>
        </w:rPr>
        <w:t>Adv. Energy Mater.</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7</w:t>
      </w:r>
      <w:r>
        <w:rPr>
          <w:rFonts w:ascii="Calibri" w:hAnsi="Calibri" w:cs="Calibri"/>
          <w:noProof/>
          <w:sz w:val="18"/>
        </w:rPr>
        <w:t xml:space="preserve"> (18), 1–11. https://doi.org/10.1002/aenm.201700779.</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(34) </w:t>
      </w:r>
      <w:r>
        <w:rPr>
          <w:rFonts w:ascii="Calibri" w:hAnsi="Calibri" w:cs="Calibri"/>
          <w:noProof/>
          <w:sz w:val="18"/>
        </w:rPr>
        <w:tab/>
        <w:t xml:space="preserve">Han, X.; He, G.; He, Y.; Zhang, J.; Zheng, X.; Li, L.; Zhong, C.; Hu, W.; Deng, Y.; Ma, T. Y. Engineering Catalytic Active Sites on Cobalt Oxide Surface for Enhanced Oxygen Electrocatalysis. </w:t>
      </w:r>
      <w:r>
        <w:rPr>
          <w:rFonts w:ascii="Calibri" w:hAnsi="Calibri" w:cs="Calibri"/>
          <w:i/>
          <w:iCs/>
          <w:noProof/>
          <w:sz w:val="18"/>
        </w:rPr>
        <w:t>Adv. Energy Mater.</w:t>
      </w:r>
      <w:r>
        <w:rPr>
          <w:rFonts w:ascii="Calibri" w:hAnsi="Calibri" w:cs="Calibri"/>
          <w:noProof/>
          <w:sz w:val="18"/>
        </w:rPr>
        <w:t xml:space="preserve"> </w:t>
      </w:r>
      <w:r>
        <w:rPr>
          <w:rFonts w:ascii="Calibri" w:hAnsi="Calibri" w:cs="Calibri"/>
          <w:b/>
          <w:bCs/>
          <w:noProof/>
          <w:sz w:val="18"/>
        </w:rPr>
        <w:t>2018</w:t>
      </w:r>
      <w:r>
        <w:rPr>
          <w:rFonts w:ascii="Calibri" w:hAnsi="Calibri" w:cs="Calibri"/>
          <w:noProof/>
          <w:sz w:val="18"/>
        </w:rPr>
        <w:t xml:space="preserve">, </w:t>
      </w:r>
      <w:r>
        <w:rPr>
          <w:rFonts w:ascii="Calibri" w:hAnsi="Calibri" w:cs="Calibri"/>
          <w:i/>
          <w:iCs/>
          <w:noProof/>
          <w:sz w:val="18"/>
        </w:rPr>
        <w:t>8</w:t>
      </w:r>
      <w:r>
        <w:rPr>
          <w:rFonts w:ascii="Calibri" w:hAnsi="Calibri" w:cs="Calibri"/>
          <w:noProof/>
          <w:sz w:val="18"/>
        </w:rPr>
        <w:t xml:space="preserve"> (10), 1–13. https://doi.org/10.1002/aenm.201702222.</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(35) </w:t>
      </w:r>
      <w:r>
        <w:rPr>
          <w:rFonts w:ascii="Calibri" w:hAnsi="Calibri" w:cs="Calibri"/>
          <w:noProof/>
          <w:sz w:val="18"/>
        </w:rPr>
        <w:tab/>
        <w:t xml:space="preserve">Li, L.; Tian, T.; Jiang, J.; Ai, L. Hierarchically Porous Co3O4 Architectures with Honeycomb-like Structures for Efficient Oxygen Generation from Electrochemical Water Splitting. </w:t>
      </w:r>
      <w:r>
        <w:rPr>
          <w:rFonts w:ascii="Calibri" w:hAnsi="Calibri" w:cs="Calibri"/>
          <w:i/>
          <w:iCs/>
          <w:noProof/>
          <w:sz w:val="18"/>
        </w:rPr>
        <w:t>J. Power Sources</w:t>
      </w:r>
      <w:r>
        <w:rPr>
          <w:rFonts w:ascii="Calibri" w:hAnsi="Calibri" w:cs="Calibri"/>
          <w:noProof/>
          <w:sz w:val="18"/>
        </w:rPr>
        <w:t xml:space="preserve"> </w:t>
      </w:r>
      <w:r>
        <w:rPr>
          <w:rFonts w:ascii="Calibri" w:hAnsi="Calibri" w:cs="Calibri"/>
          <w:b/>
          <w:bCs/>
          <w:noProof/>
          <w:sz w:val="18"/>
        </w:rPr>
        <w:t>2015</w:t>
      </w:r>
      <w:r>
        <w:rPr>
          <w:rFonts w:ascii="Calibri" w:hAnsi="Calibri" w:cs="Calibri"/>
          <w:noProof/>
          <w:sz w:val="18"/>
        </w:rPr>
        <w:t xml:space="preserve">, </w:t>
      </w:r>
      <w:r>
        <w:rPr>
          <w:rFonts w:ascii="Calibri" w:hAnsi="Calibri" w:cs="Calibri"/>
          <w:i/>
          <w:iCs/>
          <w:noProof/>
          <w:sz w:val="18"/>
        </w:rPr>
        <w:t>294</w:t>
      </w:r>
      <w:r>
        <w:rPr>
          <w:rFonts w:ascii="Calibri" w:hAnsi="Calibri" w:cs="Calibri"/>
          <w:noProof/>
          <w:sz w:val="18"/>
        </w:rPr>
        <w:t>, 103–111. https://doi.org/10.1016/j.jpowsour.2015.06.056.</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(36) </w:t>
      </w:r>
      <w:r>
        <w:rPr>
          <w:rFonts w:ascii="Calibri" w:hAnsi="Calibri" w:cs="Calibri"/>
          <w:noProof/>
          <w:sz w:val="18"/>
        </w:rPr>
        <w:tab/>
        <w:t xml:space="preserve">Zhou, Q.; Shen, Z.; Zhu, C.; Li, J.; Ding, Z.; Wang, P.; Pan, F.; Zhang, Z.; Ma, H.; Wang, S.; Zhang, H. Nitrogen-Doped CoP Electrocatalysts for Coupled Hydrogen Evolution and Sulfur Generation with Low Energy Consumption. </w:t>
      </w:r>
      <w:r>
        <w:rPr>
          <w:rFonts w:ascii="Calibri" w:hAnsi="Calibri" w:cs="Calibri"/>
          <w:i/>
          <w:iCs/>
          <w:noProof/>
          <w:sz w:val="18"/>
        </w:rPr>
        <w:t>Adv. Mater.</w:t>
      </w:r>
      <w:r>
        <w:rPr>
          <w:rFonts w:ascii="Calibri" w:hAnsi="Calibri" w:cs="Calibri"/>
          <w:noProof/>
          <w:sz w:val="18"/>
        </w:rPr>
        <w:t xml:space="preserve"> </w:t>
      </w:r>
      <w:r>
        <w:rPr>
          <w:rFonts w:ascii="Calibri" w:hAnsi="Calibri" w:cs="Calibri"/>
          <w:b/>
          <w:bCs/>
          <w:noProof/>
          <w:sz w:val="18"/>
        </w:rPr>
        <w:t>2018</w:t>
      </w:r>
      <w:r>
        <w:rPr>
          <w:rFonts w:ascii="Calibri" w:hAnsi="Calibri" w:cs="Calibri"/>
          <w:noProof/>
          <w:sz w:val="18"/>
        </w:rPr>
        <w:t xml:space="preserve">, </w:t>
      </w:r>
      <w:r>
        <w:rPr>
          <w:rFonts w:ascii="Calibri" w:hAnsi="Calibri" w:cs="Calibri"/>
          <w:i/>
          <w:iCs/>
          <w:noProof/>
          <w:sz w:val="18"/>
        </w:rPr>
        <w:t>30</w:t>
      </w:r>
      <w:r>
        <w:rPr>
          <w:rFonts w:ascii="Calibri" w:hAnsi="Calibri" w:cs="Calibri"/>
          <w:noProof/>
          <w:sz w:val="18"/>
        </w:rPr>
        <w:t xml:space="preserve"> (27), 1–8. https://doi.org/10.1002/adma.201800140.</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(37) </w:t>
      </w:r>
      <w:r>
        <w:rPr>
          <w:rFonts w:ascii="Calibri" w:hAnsi="Calibri" w:cs="Calibri"/>
          <w:noProof/>
          <w:sz w:val="18"/>
        </w:rPr>
        <w:tab/>
        <w:t xml:space="preserve">Men, Y.; Li, P.; Yang, F.; Cheng, G.; Chen, S.; Luo, W. Applied Catalysis B : Environmental Nitrogen-Doped CoP as Robust Electrocatalyst for High-e Ffi Ciency PH- Universal Hydrogen Evolution Reaction. </w:t>
      </w:r>
      <w:r>
        <w:rPr>
          <w:rFonts w:ascii="Calibri" w:hAnsi="Calibri" w:cs="Calibri"/>
          <w:i/>
          <w:iCs/>
          <w:noProof/>
          <w:sz w:val="18"/>
        </w:rPr>
        <w:t>Appl. Catal. B Environ.</w:t>
      </w:r>
      <w:r>
        <w:rPr>
          <w:rFonts w:ascii="Calibri" w:hAnsi="Calibri" w:cs="Calibri"/>
          <w:noProof/>
          <w:sz w:val="18"/>
        </w:rPr>
        <w:t xml:space="preserve"> </w:t>
      </w:r>
      <w:r>
        <w:rPr>
          <w:rFonts w:ascii="Calibri" w:hAnsi="Calibri" w:cs="Calibri"/>
          <w:b/>
          <w:bCs/>
          <w:noProof/>
          <w:sz w:val="18"/>
        </w:rPr>
        <w:t>2019</w:t>
      </w:r>
      <w:r>
        <w:rPr>
          <w:rFonts w:ascii="Calibri" w:hAnsi="Calibri" w:cs="Calibri"/>
          <w:noProof/>
          <w:sz w:val="18"/>
        </w:rPr>
        <w:t xml:space="preserve">, </w:t>
      </w:r>
      <w:r>
        <w:rPr>
          <w:rFonts w:ascii="Calibri" w:hAnsi="Calibri" w:cs="Calibri"/>
          <w:i/>
          <w:iCs/>
          <w:noProof/>
          <w:sz w:val="18"/>
        </w:rPr>
        <w:t>253</w:t>
      </w:r>
      <w:r>
        <w:rPr>
          <w:rFonts w:ascii="Calibri" w:hAnsi="Calibri" w:cs="Calibri"/>
          <w:noProof/>
          <w:sz w:val="18"/>
        </w:rPr>
        <w:t xml:space="preserve"> (April), 21–27. https://doi.org/10.1016/j.apcatb.2019.04.038.</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lastRenderedPageBreak/>
        <w:t xml:space="preserve">(38) </w:t>
      </w:r>
      <w:r>
        <w:rPr>
          <w:rFonts w:ascii="Calibri" w:hAnsi="Calibri" w:cs="Calibri"/>
          <w:noProof/>
          <w:sz w:val="18"/>
        </w:rPr>
        <w:tab/>
        <w:t xml:space="preserve">Danilovic, N.; Subbaraman, R.; Strmcnik, D.; Chang, K. C.; Paulikas, A. P.; Stamenkovic, V. R.; Markovic, N. M. Enhancing the Alkaline Hydrogen Evolution Reaction Activity through the Bifunctionality of Ni(OH)2/Metal Catalysts. </w:t>
      </w:r>
      <w:r>
        <w:rPr>
          <w:rFonts w:ascii="Calibri" w:hAnsi="Calibri" w:cs="Calibri"/>
          <w:i/>
          <w:iCs/>
          <w:noProof/>
          <w:sz w:val="18"/>
        </w:rPr>
        <w:t>Angew. Chemie - Int. Ed.</w:t>
      </w:r>
      <w:r>
        <w:rPr>
          <w:rFonts w:ascii="Calibri" w:hAnsi="Calibri" w:cs="Calibri"/>
          <w:noProof/>
          <w:sz w:val="18"/>
        </w:rPr>
        <w:t xml:space="preserve"> </w:t>
      </w:r>
      <w:r>
        <w:rPr>
          <w:rFonts w:ascii="Calibri" w:hAnsi="Calibri" w:cs="Calibri"/>
          <w:b/>
          <w:bCs/>
          <w:noProof/>
          <w:sz w:val="18"/>
        </w:rPr>
        <w:t>2012</w:t>
      </w:r>
      <w:r>
        <w:rPr>
          <w:rFonts w:ascii="Calibri" w:hAnsi="Calibri" w:cs="Calibri"/>
          <w:noProof/>
          <w:sz w:val="18"/>
        </w:rPr>
        <w:t xml:space="preserve">, </w:t>
      </w:r>
      <w:r>
        <w:rPr>
          <w:rFonts w:ascii="Calibri" w:hAnsi="Calibri" w:cs="Calibri"/>
          <w:i/>
          <w:iCs/>
          <w:noProof/>
          <w:sz w:val="18"/>
        </w:rPr>
        <w:t>51</w:t>
      </w:r>
      <w:r>
        <w:rPr>
          <w:rFonts w:ascii="Calibri" w:hAnsi="Calibri" w:cs="Calibri"/>
          <w:noProof/>
          <w:sz w:val="18"/>
        </w:rPr>
        <w:t xml:space="preserve"> (50), 12495–12498. https://doi.org/10.1002/anie.201204842.</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(39) </w:t>
      </w:r>
      <w:r>
        <w:rPr>
          <w:rFonts w:ascii="Calibri" w:hAnsi="Calibri" w:cs="Calibri"/>
          <w:noProof/>
          <w:sz w:val="18"/>
        </w:rPr>
        <w:tab/>
        <w:t xml:space="preserve">Strmcnik, D.; Uchimura, M.; Wang, C.; Subbaraman, R.; Danilovic, N.; van der Vliet, D.; Paulikas, A. P.; Stamenkovic, V. R.; Markovic, N. M. Improving the Hydrogen Oxidation Reaction Rate by Promotion of Hydroxyl Adsorption. </w:t>
      </w:r>
      <w:r>
        <w:rPr>
          <w:rFonts w:ascii="Calibri" w:hAnsi="Calibri" w:cs="Calibri"/>
          <w:i/>
          <w:iCs/>
          <w:noProof/>
          <w:sz w:val="18"/>
        </w:rPr>
        <w:t>Nat. Chem.</w:t>
      </w:r>
      <w:r>
        <w:rPr>
          <w:rFonts w:ascii="Calibri" w:hAnsi="Calibri" w:cs="Calibri"/>
          <w:noProof/>
          <w:sz w:val="18"/>
        </w:rPr>
        <w:t xml:space="preserve"> </w:t>
      </w:r>
      <w:r>
        <w:rPr>
          <w:rFonts w:ascii="Calibri" w:hAnsi="Calibri" w:cs="Calibri"/>
          <w:b/>
          <w:bCs/>
          <w:noProof/>
          <w:sz w:val="18"/>
        </w:rPr>
        <w:t>2013</w:t>
      </w:r>
      <w:r>
        <w:rPr>
          <w:rFonts w:ascii="Calibri" w:hAnsi="Calibri" w:cs="Calibri"/>
          <w:noProof/>
          <w:sz w:val="18"/>
        </w:rPr>
        <w:t xml:space="preserve">, </w:t>
      </w:r>
      <w:r>
        <w:rPr>
          <w:rFonts w:ascii="Calibri" w:hAnsi="Calibri" w:cs="Calibri"/>
          <w:i/>
          <w:iCs/>
          <w:noProof/>
          <w:sz w:val="18"/>
        </w:rPr>
        <w:t>5</w:t>
      </w:r>
      <w:r>
        <w:rPr>
          <w:rFonts w:ascii="Calibri" w:hAnsi="Calibri" w:cs="Calibri"/>
          <w:noProof/>
          <w:sz w:val="18"/>
        </w:rPr>
        <w:t xml:space="preserve"> (4), 300–306. https://doi.org/10.1038/nchem.1574.</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(40) </w:t>
      </w:r>
      <w:r>
        <w:rPr>
          <w:rFonts w:ascii="Calibri" w:hAnsi="Calibri" w:cs="Calibri"/>
          <w:noProof/>
          <w:sz w:val="18"/>
        </w:rPr>
        <w:tab/>
        <w:t xml:space="preserve">Cheng, T.; Wang, L.; Merinov, B. V; Goddard, W. A. Explanation of Dramatic PH-Dependence of Hydrogen Binding on Noble Metal Electrode: Greatly Weakened Water Adsorption at High PH. </w:t>
      </w:r>
      <w:r>
        <w:rPr>
          <w:rFonts w:ascii="Calibri" w:hAnsi="Calibri" w:cs="Calibri"/>
          <w:i/>
          <w:iCs/>
          <w:noProof/>
          <w:sz w:val="18"/>
        </w:rPr>
        <w:t>J. Am. Chem. Soc.</w:t>
      </w:r>
      <w:r>
        <w:rPr>
          <w:rFonts w:ascii="Calibri" w:hAnsi="Calibri" w:cs="Calibri"/>
          <w:noProof/>
          <w:sz w:val="18"/>
        </w:rPr>
        <w:t xml:space="preserve"> </w:t>
      </w:r>
      <w:r>
        <w:rPr>
          <w:rFonts w:ascii="Calibri" w:hAnsi="Calibri" w:cs="Calibri"/>
          <w:b/>
          <w:bCs/>
          <w:noProof/>
          <w:sz w:val="18"/>
        </w:rPr>
        <w:t>2018</w:t>
      </w:r>
      <w:r>
        <w:rPr>
          <w:rFonts w:ascii="Calibri" w:hAnsi="Calibri" w:cs="Calibri"/>
          <w:noProof/>
          <w:sz w:val="18"/>
        </w:rPr>
        <w:t xml:space="preserve">, </w:t>
      </w:r>
      <w:r>
        <w:rPr>
          <w:rFonts w:ascii="Calibri" w:hAnsi="Calibri" w:cs="Calibri"/>
          <w:i/>
          <w:iCs/>
          <w:noProof/>
          <w:sz w:val="18"/>
        </w:rPr>
        <w:t>140</w:t>
      </w:r>
      <w:r>
        <w:rPr>
          <w:rFonts w:ascii="Calibri" w:hAnsi="Calibri" w:cs="Calibri"/>
          <w:noProof/>
          <w:sz w:val="18"/>
        </w:rPr>
        <w:t xml:space="preserve"> (25), 7787–7790. https://doi.org/10.1021/jacs.8b04006.</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(41) </w:t>
      </w:r>
      <w:r>
        <w:rPr>
          <w:rFonts w:ascii="Calibri" w:hAnsi="Calibri" w:cs="Calibri"/>
          <w:noProof/>
          <w:sz w:val="18"/>
        </w:rPr>
        <w:tab/>
        <w:t xml:space="preserve">Man, I. C.; Su, H. Y.; Calle-Vallejo, F.; Hansen, H. A.; Martínez, J. I.; Inoglu, N. G.; Kitchin, J.; Jaramillo, T. F.; Nørskov, J. K.; Rossmeisl, J. Universality in Oxygen Evolution Electrocatalysis on Oxide Surfaces. </w:t>
      </w:r>
      <w:r>
        <w:rPr>
          <w:rFonts w:ascii="Calibri" w:hAnsi="Calibri" w:cs="Calibri"/>
          <w:i/>
          <w:iCs/>
          <w:noProof/>
          <w:sz w:val="18"/>
        </w:rPr>
        <w:t>ChemCatChem</w:t>
      </w:r>
      <w:r>
        <w:rPr>
          <w:rFonts w:ascii="Calibri" w:hAnsi="Calibri" w:cs="Calibri"/>
          <w:noProof/>
          <w:sz w:val="18"/>
        </w:rPr>
        <w:t xml:space="preserve"> </w:t>
      </w:r>
      <w:r>
        <w:rPr>
          <w:rFonts w:ascii="Calibri" w:hAnsi="Calibri" w:cs="Calibri"/>
          <w:b/>
          <w:bCs/>
          <w:noProof/>
          <w:sz w:val="18"/>
        </w:rPr>
        <w:t>2011</w:t>
      </w:r>
      <w:r>
        <w:rPr>
          <w:rFonts w:ascii="Calibri" w:hAnsi="Calibri" w:cs="Calibri"/>
          <w:noProof/>
          <w:sz w:val="18"/>
        </w:rPr>
        <w:t xml:space="preserve">, </w:t>
      </w:r>
      <w:r>
        <w:rPr>
          <w:rFonts w:ascii="Calibri" w:hAnsi="Calibri" w:cs="Calibri"/>
          <w:i/>
          <w:iCs/>
          <w:noProof/>
          <w:sz w:val="18"/>
        </w:rPr>
        <w:t>3</w:t>
      </w:r>
      <w:r>
        <w:rPr>
          <w:rFonts w:ascii="Calibri" w:hAnsi="Calibri" w:cs="Calibri"/>
          <w:noProof/>
          <w:sz w:val="18"/>
        </w:rPr>
        <w:t xml:space="preserve"> (7), 1159–1165. https://doi.org/10.1002/cctc.201000397.</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(42) </w:t>
      </w:r>
      <w:r>
        <w:rPr>
          <w:rFonts w:ascii="Calibri" w:hAnsi="Calibri" w:cs="Calibri"/>
          <w:noProof/>
          <w:sz w:val="18"/>
        </w:rPr>
        <w:tab/>
        <w:t xml:space="preserve">Nørskov, J. K.; Bligaard, T.; Logadottir, A.; Kitchin, J. R.; Chen, J. G.; Pandelov, S.; Stimming, U. Trends in the Exchange Current for Hydrogen Evolution. </w:t>
      </w:r>
      <w:r>
        <w:rPr>
          <w:rFonts w:ascii="Calibri" w:hAnsi="Calibri" w:cs="Calibri"/>
          <w:i/>
          <w:iCs/>
          <w:noProof/>
          <w:sz w:val="18"/>
        </w:rPr>
        <w:t>J. Electrochem. Soc.</w:t>
      </w:r>
      <w:r>
        <w:rPr>
          <w:rFonts w:ascii="Calibri" w:hAnsi="Calibri" w:cs="Calibri"/>
          <w:noProof/>
          <w:sz w:val="18"/>
        </w:rPr>
        <w:t xml:space="preserve"> </w:t>
      </w:r>
      <w:r>
        <w:rPr>
          <w:rFonts w:ascii="Calibri" w:hAnsi="Calibri" w:cs="Calibri"/>
          <w:b/>
          <w:bCs/>
          <w:noProof/>
          <w:sz w:val="18"/>
        </w:rPr>
        <w:t>2005</w:t>
      </w:r>
      <w:r>
        <w:rPr>
          <w:rFonts w:ascii="Calibri" w:hAnsi="Calibri" w:cs="Calibri"/>
          <w:noProof/>
          <w:sz w:val="18"/>
        </w:rPr>
        <w:t xml:space="preserve">, </w:t>
      </w:r>
      <w:r>
        <w:rPr>
          <w:rFonts w:ascii="Calibri" w:hAnsi="Calibri" w:cs="Calibri"/>
          <w:i/>
          <w:iCs/>
          <w:noProof/>
          <w:sz w:val="18"/>
        </w:rPr>
        <w:t>152</w:t>
      </w:r>
      <w:r>
        <w:rPr>
          <w:rFonts w:ascii="Calibri" w:hAnsi="Calibri" w:cs="Calibri"/>
          <w:noProof/>
          <w:sz w:val="18"/>
        </w:rPr>
        <w:t xml:space="preserve"> (3), J23. https://doi.org/10.1149/1.1856988.</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(43) </w:t>
      </w:r>
      <w:r>
        <w:rPr>
          <w:rFonts w:ascii="Calibri" w:hAnsi="Calibri" w:cs="Calibri"/>
          <w:noProof/>
          <w:sz w:val="18"/>
        </w:rPr>
        <w:tab/>
        <w:t xml:space="preserve">Nørskov, J. K.; Bligaard, T.; Rossmeisl, J.; Christensen, C. H. Towards the Computational Design of Solid Catalysts. </w:t>
      </w:r>
      <w:r>
        <w:rPr>
          <w:rFonts w:ascii="Calibri" w:hAnsi="Calibri" w:cs="Calibri"/>
          <w:i/>
          <w:iCs/>
          <w:noProof/>
          <w:sz w:val="18"/>
        </w:rPr>
        <w:t>Nat. Chem.</w:t>
      </w:r>
      <w:r>
        <w:rPr>
          <w:rFonts w:ascii="Calibri" w:hAnsi="Calibri" w:cs="Calibri"/>
          <w:noProof/>
          <w:sz w:val="18"/>
        </w:rPr>
        <w:t xml:space="preserve"> </w:t>
      </w:r>
      <w:r>
        <w:rPr>
          <w:rFonts w:ascii="Calibri" w:hAnsi="Calibri" w:cs="Calibri"/>
          <w:b/>
          <w:bCs/>
          <w:noProof/>
          <w:sz w:val="18"/>
        </w:rPr>
        <w:t>2009</w:t>
      </w:r>
      <w:r>
        <w:rPr>
          <w:rFonts w:ascii="Calibri" w:hAnsi="Calibri" w:cs="Calibri"/>
          <w:noProof/>
          <w:sz w:val="18"/>
        </w:rPr>
        <w:t xml:space="preserve">, </w:t>
      </w:r>
      <w:r>
        <w:rPr>
          <w:rFonts w:ascii="Calibri" w:hAnsi="Calibri" w:cs="Calibri"/>
          <w:i/>
          <w:iCs/>
          <w:noProof/>
          <w:sz w:val="18"/>
        </w:rPr>
        <w:t>1</w:t>
      </w:r>
      <w:r>
        <w:rPr>
          <w:rFonts w:ascii="Calibri" w:hAnsi="Calibri" w:cs="Calibri"/>
          <w:noProof/>
          <w:sz w:val="18"/>
        </w:rPr>
        <w:t xml:space="preserve"> (1), 37–46. https://doi.org/10.1038/nchem.121.</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(44) </w:t>
      </w:r>
      <w:r>
        <w:rPr>
          <w:rFonts w:ascii="Calibri" w:hAnsi="Calibri" w:cs="Calibri"/>
          <w:noProof/>
          <w:sz w:val="18"/>
        </w:rPr>
        <w:tab/>
        <w:t xml:space="preserve">Sheng, W.; Myint, M.; Chen, J. G.; Yan, Y. Correlating the Hydrogen Evolution Reaction Activity in Alkaline Electrolytes with the Hydrogen Binding Energy on Monometallic Surfaces. </w:t>
      </w:r>
      <w:r>
        <w:rPr>
          <w:rFonts w:ascii="Calibri" w:hAnsi="Calibri" w:cs="Calibri"/>
          <w:i/>
          <w:iCs/>
          <w:noProof/>
          <w:sz w:val="18"/>
        </w:rPr>
        <w:t>Energy Environ. Sci.</w:t>
      </w:r>
      <w:r>
        <w:rPr>
          <w:rFonts w:ascii="Calibri" w:hAnsi="Calibri" w:cs="Calibri"/>
          <w:noProof/>
          <w:sz w:val="18"/>
        </w:rPr>
        <w:t xml:space="preserve"> </w:t>
      </w:r>
      <w:r>
        <w:rPr>
          <w:rFonts w:ascii="Calibri" w:hAnsi="Calibri" w:cs="Calibri"/>
          <w:b/>
          <w:bCs/>
          <w:noProof/>
          <w:sz w:val="18"/>
        </w:rPr>
        <w:t>2013</w:t>
      </w:r>
      <w:r>
        <w:rPr>
          <w:rFonts w:ascii="Calibri" w:hAnsi="Calibri" w:cs="Calibri"/>
          <w:noProof/>
          <w:sz w:val="18"/>
        </w:rPr>
        <w:t xml:space="preserve">, </w:t>
      </w:r>
      <w:r>
        <w:rPr>
          <w:rFonts w:ascii="Calibri" w:hAnsi="Calibri" w:cs="Calibri"/>
          <w:i/>
          <w:iCs/>
          <w:noProof/>
          <w:sz w:val="18"/>
        </w:rPr>
        <w:t>6</w:t>
      </w:r>
      <w:r>
        <w:rPr>
          <w:rFonts w:ascii="Calibri" w:hAnsi="Calibri" w:cs="Calibri"/>
          <w:noProof/>
          <w:sz w:val="18"/>
        </w:rPr>
        <w:t xml:space="preserve"> (6), 1509–1512. https://doi.org/10.1039/c3ee00045a.</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(45) </w:t>
      </w:r>
      <w:r>
        <w:rPr>
          <w:rFonts w:ascii="Calibri" w:hAnsi="Calibri" w:cs="Calibri"/>
          <w:noProof/>
          <w:sz w:val="18"/>
        </w:rPr>
        <w:tab/>
        <w:t xml:space="preserve">Sheng, W.; Zhuang, Z.; Gao, M.; Zheng, J.; Chen, J. G.; Yan, Y. Correlating Hydrogen Oxidation and Evolution Activity on Platinum at Different PH with Measured Hydrogen Binding Energy. </w:t>
      </w:r>
      <w:r>
        <w:rPr>
          <w:rFonts w:ascii="Calibri" w:hAnsi="Calibri" w:cs="Calibri"/>
          <w:i/>
          <w:iCs/>
          <w:noProof/>
          <w:sz w:val="18"/>
        </w:rPr>
        <w:t>Nat. Commun.</w:t>
      </w:r>
      <w:r>
        <w:rPr>
          <w:rFonts w:ascii="Calibri" w:hAnsi="Calibri" w:cs="Calibri"/>
          <w:noProof/>
          <w:sz w:val="18"/>
        </w:rPr>
        <w:t xml:space="preserve"> </w:t>
      </w:r>
      <w:r>
        <w:rPr>
          <w:rFonts w:ascii="Calibri" w:hAnsi="Calibri" w:cs="Calibri"/>
          <w:b/>
          <w:bCs/>
          <w:noProof/>
          <w:sz w:val="18"/>
        </w:rPr>
        <w:t>2015</w:t>
      </w:r>
      <w:r>
        <w:rPr>
          <w:rFonts w:ascii="Calibri" w:hAnsi="Calibri" w:cs="Calibri"/>
          <w:noProof/>
          <w:sz w:val="18"/>
        </w:rPr>
        <w:t xml:space="preserve">, </w:t>
      </w:r>
      <w:r>
        <w:rPr>
          <w:rFonts w:ascii="Calibri" w:hAnsi="Calibri" w:cs="Calibri"/>
          <w:i/>
          <w:iCs/>
          <w:noProof/>
          <w:sz w:val="18"/>
        </w:rPr>
        <w:t>6</w:t>
      </w:r>
      <w:r>
        <w:rPr>
          <w:rFonts w:ascii="Calibri" w:hAnsi="Calibri" w:cs="Calibri"/>
          <w:noProof/>
          <w:sz w:val="18"/>
        </w:rPr>
        <w:t>, 5848. https://doi.org/10.1038/ncomms6848.</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(46) </w:t>
      </w:r>
      <w:r>
        <w:rPr>
          <w:rFonts w:ascii="Calibri" w:hAnsi="Calibri" w:cs="Calibri"/>
          <w:noProof/>
          <w:sz w:val="18"/>
        </w:rPr>
        <w:tab/>
        <w:t xml:space="preserve">Zheng, J.; Sheng, W.; Zhuang, Z.; Xu, B.; Yan, Y. Universal Dependence of Hydrogen Oxidation and Evolution Reaction Activity of Platinum-Group Metals on PH and Hydrogen Binding Energy. </w:t>
      </w:r>
      <w:r>
        <w:rPr>
          <w:rFonts w:ascii="Calibri" w:hAnsi="Calibri" w:cs="Calibri"/>
          <w:b/>
          <w:bCs/>
          <w:noProof/>
          <w:sz w:val="18"/>
        </w:rPr>
        <w:t>2016</w:t>
      </w:r>
      <w:r>
        <w:rPr>
          <w:rFonts w:ascii="Calibri" w:hAnsi="Calibri" w:cs="Calibri"/>
          <w:noProof/>
          <w:sz w:val="18"/>
        </w:rPr>
        <w:t>, No. March, 1–9.</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(47) </w:t>
      </w:r>
      <w:r>
        <w:rPr>
          <w:rFonts w:ascii="Calibri" w:hAnsi="Calibri" w:cs="Calibri"/>
          <w:noProof/>
          <w:sz w:val="18"/>
        </w:rPr>
        <w:tab/>
        <w:t xml:space="preserve">Zhou, L.; Shao, M.; Li, J.; Jiang, S.; Wei, M.; Duan, X. Two-Dimensional Ultrathin Arrays of CoP: Electronic Modulation toward High Performance Overall Water Splitting. </w:t>
      </w:r>
      <w:r>
        <w:rPr>
          <w:rFonts w:ascii="Calibri" w:hAnsi="Calibri" w:cs="Calibri"/>
          <w:i/>
          <w:iCs/>
          <w:noProof/>
          <w:sz w:val="18"/>
        </w:rPr>
        <w:t>Nano Energy</w:t>
      </w:r>
      <w:r>
        <w:rPr>
          <w:rFonts w:ascii="Calibri" w:hAnsi="Calibri" w:cs="Calibri"/>
          <w:noProof/>
          <w:sz w:val="18"/>
        </w:rPr>
        <w:t xml:space="preserve"> </w:t>
      </w:r>
      <w:r>
        <w:rPr>
          <w:rFonts w:ascii="Calibri" w:hAnsi="Calibri" w:cs="Calibri"/>
          <w:b/>
          <w:bCs/>
          <w:noProof/>
          <w:sz w:val="18"/>
        </w:rPr>
        <w:t>2017</w:t>
      </w:r>
      <w:r>
        <w:rPr>
          <w:rFonts w:ascii="Calibri" w:hAnsi="Calibri" w:cs="Calibri"/>
          <w:noProof/>
          <w:sz w:val="18"/>
        </w:rPr>
        <w:t xml:space="preserve">, </w:t>
      </w:r>
      <w:r>
        <w:rPr>
          <w:rFonts w:ascii="Calibri" w:hAnsi="Calibri" w:cs="Calibri"/>
          <w:i/>
          <w:iCs/>
          <w:noProof/>
          <w:sz w:val="18"/>
        </w:rPr>
        <w:t>41</w:t>
      </w:r>
      <w:r>
        <w:rPr>
          <w:rFonts w:ascii="Calibri" w:hAnsi="Calibri" w:cs="Calibri"/>
          <w:noProof/>
          <w:sz w:val="18"/>
        </w:rPr>
        <w:t xml:space="preserve"> (July), 583–590. https://doi.org/10.1016/j.nanoen.2017.10.009.</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(48) </w:t>
      </w:r>
      <w:r>
        <w:rPr>
          <w:rFonts w:ascii="Calibri" w:hAnsi="Calibri" w:cs="Calibri"/>
          <w:noProof/>
          <w:sz w:val="18"/>
        </w:rPr>
        <w:tab/>
        <w:t xml:space="preserve">Hammer, B.; Nielsen, O.; Norskov, J. Structure Sensitivity in Adsorption: CO Interaction with Stepped and Reconstructed Pt Surfaces. </w:t>
      </w:r>
      <w:r>
        <w:rPr>
          <w:rFonts w:ascii="Calibri" w:hAnsi="Calibri" w:cs="Calibri"/>
          <w:i/>
          <w:iCs/>
          <w:noProof/>
          <w:sz w:val="18"/>
        </w:rPr>
        <w:t>Catal. Letters</w:t>
      </w:r>
      <w:r>
        <w:rPr>
          <w:rFonts w:ascii="Calibri" w:hAnsi="Calibri" w:cs="Calibri"/>
          <w:noProof/>
          <w:sz w:val="18"/>
        </w:rPr>
        <w:t xml:space="preserve"> </w:t>
      </w:r>
      <w:r>
        <w:rPr>
          <w:rFonts w:ascii="Calibri" w:hAnsi="Calibri" w:cs="Calibri"/>
          <w:b/>
          <w:bCs/>
          <w:noProof/>
          <w:sz w:val="18"/>
        </w:rPr>
        <w:t>1997</w:t>
      </w:r>
      <w:r>
        <w:rPr>
          <w:rFonts w:ascii="Calibri" w:hAnsi="Calibri" w:cs="Calibri"/>
          <w:noProof/>
          <w:sz w:val="18"/>
        </w:rPr>
        <w:t xml:space="preserve">, </w:t>
      </w:r>
      <w:r>
        <w:rPr>
          <w:rFonts w:ascii="Calibri" w:hAnsi="Calibri" w:cs="Calibri"/>
          <w:i/>
          <w:iCs/>
          <w:noProof/>
          <w:sz w:val="18"/>
        </w:rPr>
        <w:t>46</w:t>
      </w:r>
      <w:r>
        <w:rPr>
          <w:rFonts w:ascii="Calibri" w:hAnsi="Calibri" w:cs="Calibri"/>
          <w:noProof/>
          <w:sz w:val="18"/>
        </w:rPr>
        <w:t>, 31–35. https://doi.org/10.1023/A:1019073208575.</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(49) </w:t>
      </w:r>
      <w:r>
        <w:rPr>
          <w:rFonts w:ascii="Calibri" w:hAnsi="Calibri" w:cs="Calibri"/>
          <w:noProof/>
          <w:sz w:val="18"/>
        </w:rPr>
        <w:tab/>
        <w:t xml:space="preserve">Hammer, B.; Norskov, J. K. Why Gold Is the Noblest of All the Metals. </w:t>
      </w:r>
      <w:r>
        <w:rPr>
          <w:rFonts w:ascii="Calibri" w:hAnsi="Calibri" w:cs="Calibri"/>
          <w:i/>
          <w:iCs/>
          <w:noProof/>
          <w:sz w:val="18"/>
        </w:rPr>
        <w:t>Nature</w:t>
      </w:r>
      <w:r>
        <w:rPr>
          <w:rFonts w:ascii="Calibri" w:hAnsi="Calibri" w:cs="Calibri"/>
          <w:noProof/>
          <w:sz w:val="18"/>
        </w:rPr>
        <w:t xml:space="preserve"> </w:t>
      </w:r>
      <w:r>
        <w:rPr>
          <w:rFonts w:ascii="Calibri" w:hAnsi="Calibri" w:cs="Calibri"/>
          <w:b/>
          <w:bCs/>
          <w:noProof/>
          <w:sz w:val="18"/>
        </w:rPr>
        <w:t>1995</w:t>
      </w:r>
      <w:r>
        <w:rPr>
          <w:rFonts w:ascii="Calibri" w:hAnsi="Calibri" w:cs="Calibri"/>
          <w:noProof/>
          <w:sz w:val="18"/>
        </w:rPr>
        <w:t xml:space="preserve">, </w:t>
      </w:r>
      <w:r>
        <w:rPr>
          <w:rFonts w:ascii="Calibri" w:hAnsi="Calibri" w:cs="Calibri"/>
          <w:i/>
          <w:iCs/>
          <w:noProof/>
          <w:sz w:val="18"/>
        </w:rPr>
        <w:t>376</w:t>
      </w:r>
      <w:r>
        <w:rPr>
          <w:rFonts w:ascii="Calibri" w:hAnsi="Calibri" w:cs="Calibri"/>
          <w:noProof/>
          <w:sz w:val="18"/>
        </w:rPr>
        <w:t xml:space="preserve"> (July), 238–240.</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(50) </w:t>
      </w:r>
      <w:r>
        <w:rPr>
          <w:rFonts w:ascii="Calibri" w:hAnsi="Calibri" w:cs="Calibri"/>
          <w:noProof/>
          <w:sz w:val="18"/>
        </w:rPr>
        <w:tab/>
        <w:t xml:space="preserve">Sheng, W.; Bivens, A. P.; Myint, M.; Zhuang, Z.; Forest, R. V.; Fang, Q.; Chen, J. G.; Yan, Y. Non-Precious Metal Electrocatalysts with High Activity for Hydrogen Oxidation Reaction in Alkaline Electrolytes. </w:t>
      </w:r>
      <w:r>
        <w:rPr>
          <w:rFonts w:ascii="Calibri" w:hAnsi="Calibri" w:cs="Calibri"/>
          <w:i/>
          <w:iCs/>
          <w:noProof/>
          <w:sz w:val="18"/>
        </w:rPr>
        <w:t>Energy Environ. Sci.</w:t>
      </w:r>
      <w:r>
        <w:rPr>
          <w:rFonts w:ascii="Calibri" w:hAnsi="Calibri" w:cs="Calibri"/>
          <w:noProof/>
          <w:sz w:val="18"/>
        </w:rPr>
        <w:t xml:space="preserve"> </w:t>
      </w:r>
      <w:r>
        <w:rPr>
          <w:rFonts w:ascii="Calibri" w:hAnsi="Calibri" w:cs="Calibri"/>
          <w:b/>
          <w:bCs/>
          <w:noProof/>
          <w:sz w:val="18"/>
        </w:rPr>
        <w:t>2014</w:t>
      </w:r>
      <w:r>
        <w:rPr>
          <w:rFonts w:ascii="Calibri" w:hAnsi="Calibri" w:cs="Calibri"/>
          <w:noProof/>
          <w:sz w:val="18"/>
        </w:rPr>
        <w:t xml:space="preserve">, </w:t>
      </w:r>
      <w:r>
        <w:rPr>
          <w:rFonts w:ascii="Calibri" w:hAnsi="Calibri" w:cs="Calibri"/>
          <w:i/>
          <w:iCs/>
          <w:noProof/>
          <w:sz w:val="18"/>
        </w:rPr>
        <w:t>7</w:t>
      </w:r>
      <w:r>
        <w:rPr>
          <w:rFonts w:ascii="Calibri" w:hAnsi="Calibri" w:cs="Calibri"/>
          <w:noProof/>
          <w:sz w:val="18"/>
        </w:rPr>
        <w:t xml:space="preserve"> (5), 1719–1724. https://doi.org/10.1039/c3ee43899f.</w:t>
      </w:r>
    </w:p>
    <w:p w:rsidR="00FA7069" w:rsidRDefault="00FA7069" w:rsidP="00FA7069">
      <w:pPr>
        <w:autoSpaceDE w:val="0"/>
        <w:autoSpaceDN w:val="0"/>
        <w:adjustRightInd w:val="0"/>
        <w:spacing w:after="0" w:line="240" w:lineRule="exact"/>
        <w:ind w:left="640" w:hanging="640"/>
        <w:rPr>
          <w:rFonts w:ascii="Calibri" w:hAnsi="Calibri" w:cs="Calibri"/>
          <w:noProof/>
          <w:sz w:val="18"/>
        </w:rPr>
      </w:pPr>
      <w:r>
        <w:rPr>
          <w:rFonts w:ascii="Calibri" w:hAnsi="Calibri" w:cs="Calibri"/>
          <w:noProof/>
          <w:sz w:val="18"/>
        </w:rPr>
        <w:t xml:space="preserve">(51) </w:t>
      </w:r>
      <w:r>
        <w:rPr>
          <w:rFonts w:ascii="Calibri" w:hAnsi="Calibri" w:cs="Calibri"/>
          <w:noProof/>
          <w:sz w:val="18"/>
        </w:rPr>
        <w:tab/>
        <w:t xml:space="preserve">Rossmeisl, J.; Qu, Z. W.; Zhu, H.; Kroes, G. J.; Nørskov, J. K. Electrolysis of Water on Oxide Surfaces. </w:t>
      </w:r>
      <w:r>
        <w:rPr>
          <w:rFonts w:ascii="Calibri" w:hAnsi="Calibri" w:cs="Calibri"/>
          <w:i/>
          <w:iCs/>
          <w:noProof/>
          <w:sz w:val="18"/>
        </w:rPr>
        <w:t>J. Electroanal. Chem.</w:t>
      </w:r>
      <w:r>
        <w:rPr>
          <w:rFonts w:ascii="Calibri" w:hAnsi="Calibri" w:cs="Calibri"/>
          <w:noProof/>
          <w:sz w:val="18"/>
        </w:rPr>
        <w:t xml:space="preserve"> </w:t>
      </w:r>
      <w:r>
        <w:rPr>
          <w:rFonts w:ascii="Calibri" w:hAnsi="Calibri" w:cs="Calibri"/>
          <w:b/>
          <w:bCs/>
          <w:noProof/>
          <w:sz w:val="18"/>
        </w:rPr>
        <w:t>2007</w:t>
      </w:r>
      <w:r>
        <w:rPr>
          <w:rFonts w:ascii="Calibri" w:hAnsi="Calibri" w:cs="Calibri"/>
          <w:noProof/>
          <w:sz w:val="18"/>
        </w:rPr>
        <w:t xml:space="preserve">, </w:t>
      </w:r>
      <w:r>
        <w:rPr>
          <w:rFonts w:ascii="Calibri" w:hAnsi="Calibri" w:cs="Calibri"/>
          <w:i/>
          <w:iCs/>
          <w:noProof/>
          <w:sz w:val="18"/>
        </w:rPr>
        <w:t>607</w:t>
      </w:r>
      <w:r>
        <w:rPr>
          <w:rFonts w:ascii="Calibri" w:hAnsi="Calibri" w:cs="Calibri"/>
          <w:noProof/>
          <w:sz w:val="18"/>
        </w:rPr>
        <w:t xml:space="preserve"> (1–2), 83–89. https://doi.org/10.1016/j.jelechem.2006.11.008.</w:t>
      </w:r>
    </w:p>
    <w:p w:rsidR="00FA7069" w:rsidRDefault="00FA7069" w:rsidP="00FA7069">
      <w:pPr>
        <w:autoSpaceDE w:val="0"/>
        <w:autoSpaceDN w:val="0"/>
        <w:adjustRightInd w:val="0"/>
        <w:spacing w:after="0" w:line="240" w:lineRule="exact"/>
        <w:ind w:left="640" w:hanging="640"/>
        <w:rPr>
          <w:rFonts w:ascii="Calibri" w:hAnsi="Calibri" w:cs="Calibri"/>
          <w:lang w:val="en-US"/>
        </w:rPr>
      </w:pPr>
      <w:r>
        <w:rPr>
          <w:rFonts w:ascii="Calibri" w:hAnsi="Calibri" w:cs="Calibri"/>
          <w:lang w:val="en-US"/>
        </w:rPr>
        <w:fldChar w:fldCharType="end"/>
      </w:r>
    </w:p>
    <w:p w:rsidR="00FA7069" w:rsidRDefault="00FA7069" w:rsidP="00FA7069">
      <w:pPr>
        <w:spacing w:after="0" w:line="240" w:lineRule="auto"/>
        <w:rPr>
          <w:rFonts w:ascii="Calibri" w:hAnsi="Calibri" w:cs="Calibri"/>
          <w:w w:val="105"/>
          <w:sz w:val="18"/>
          <w:szCs w:val="18"/>
          <w:lang w:val="en-US"/>
        </w:rPr>
        <w:sectPr w:rsidR="00FA7069">
          <w:pgSz w:w="11907" w:h="16840"/>
          <w:pgMar w:top="1009" w:right="851" w:bottom="1758" w:left="851" w:header="851" w:footer="1049" w:gutter="0"/>
          <w:cols w:space="720"/>
        </w:sectPr>
      </w:pPr>
    </w:p>
    <w:p w:rsidR="00FA7069" w:rsidRDefault="00FA7069" w:rsidP="00FA7069">
      <w:pPr>
        <w:pStyle w:val="RSCR02References"/>
        <w:numPr>
          <w:ilvl w:val="0"/>
          <w:numId w:val="0"/>
        </w:numPr>
        <w:rPr>
          <w:rFonts w:ascii="Calibri" w:hAnsi="Calibri" w:cs="Calibri"/>
          <w:lang w:val="en-US"/>
        </w:rPr>
      </w:pPr>
    </w:p>
    <w:p w:rsidR="00FA7069" w:rsidRDefault="00FA7069" w:rsidP="00FA7069">
      <w:pPr>
        <w:pStyle w:val="RSCR02References"/>
        <w:numPr>
          <w:ilvl w:val="0"/>
          <w:numId w:val="0"/>
        </w:numPr>
        <w:rPr>
          <w:rFonts w:ascii="Calibri" w:hAnsi="Calibri" w:cs="Calibri"/>
          <w:lang w:val="en-US"/>
        </w:rPr>
      </w:pPr>
    </w:p>
    <w:p w:rsidR="00FA7069" w:rsidRDefault="00FA7069" w:rsidP="00FA7069">
      <w:pPr>
        <w:pStyle w:val="RSCR02References"/>
        <w:numPr>
          <w:ilvl w:val="0"/>
          <w:numId w:val="0"/>
        </w:numPr>
        <w:rPr>
          <w:rFonts w:ascii="Calibri" w:hAnsi="Calibri" w:cs="Calibri"/>
          <w:lang w:val="en-US"/>
        </w:rPr>
      </w:pPr>
    </w:p>
    <w:p w:rsidR="00FA7069" w:rsidRDefault="00FA7069" w:rsidP="00FA7069">
      <w:pPr>
        <w:pStyle w:val="RSCR02References"/>
        <w:numPr>
          <w:ilvl w:val="0"/>
          <w:numId w:val="0"/>
        </w:numPr>
        <w:rPr>
          <w:rFonts w:ascii="Calibri" w:hAnsi="Calibri" w:cs="Calibri"/>
          <w:lang w:val="en-US"/>
        </w:rPr>
      </w:pPr>
    </w:p>
    <w:p w:rsidR="00FA7069" w:rsidRDefault="00FA7069" w:rsidP="00FA7069">
      <w:pPr>
        <w:pStyle w:val="RSCR02References"/>
        <w:numPr>
          <w:ilvl w:val="0"/>
          <w:numId w:val="0"/>
        </w:numPr>
        <w:rPr>
          <w:rFonts w:ascii="Calibri" w:hAnsi="Calibri" w:cs="Calibri"/>
          <w:lang w:val="en-US"/>
        </w:rPr>
      </w:pPr>
    </w:p>
    <w:p w:rsidR="00FA7069" w:rsidRDefault="00FA7069" w:rsidP="00FA7069">
      <w:pPr>
        <w:pStyle w:val="BDAbstract"/>
        <w:rPr>
          <w:rFonts w:eastAsia="DengXian"/>
          <w:color w:val="000000"/>
        </w:rPr>
      </w:pPr>
      <w:r>
        <w:rPr>
          <w:b/>
        </w:rPr>
        <w:t>TOC GRAPHICS</w:t>
      </w:r>
    </w:p>
    <w:p w:rsidR="00FA7069" w:rsidRDefault="00FA7069" w:rsidP="00FA7069">
      <w:pPr>
        <w:pStyle w:val="RSCB01ARTAbstract"/>
        <w:rPr>
          <w:rFonts w:ascii="Calibri" w:eastAsiaTheme="minorEastAsia" w:hAnsi="Calibri" w:cs="Calibri"/>
          <w:noProof w:val="0"/>
          <w:lang w:val="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A7069" w:rsidTr="00FA7069">
        <w:tc>
          <w:tcPr>
            <w:tcW w:w="10195" w:type="dxa"/>
            <w:hideMark/>
          </w:tcPr>
          <w:p w:rsidR="00FA7069" w:rsidRDefault="00FA7069">
            <w:pPr>
              <w:pStyle w:val="RSCB01ARTAbstract"/>
              <w:rPr>
                <w:rFonts w:ascii="Calibri" w:hAnsi="Calibri" w:cs="Calibri"/>
                <w:noProof w:val="0"/>
                <w:lang w:eastAsia="en-US"/>
              </w:rPr>
            </w:pPr>
            <w:r>
              <w:rPr>
                <w:rFonts w:hint="eastAsia"/>
              </w:rPr>
              <w:drawing>
                <wp:anchor distT="0" distB="0" distL="114300" distR="114300" simplePos="0" relativeHeight="251658240" behindDoc="1" locked="0" layoutInCell="1" allowOverlap="1">
                  <wp:simplePos x="0" y="0"/>
                  <wp:positionH relativeFrom="column">
                    <wp:posOffset>1969135</wp:posOffset>
                  </wp:positionH>
                  <wp:positionV relativeFrom="paragraph">
                    <wp:posOffset>94615</wp:posOffset>
                  </wp:positionV>
                  <wp:extent cx="2711450" cy="1583690"/>
                  <wp:effectExtent l="0" t="0" r="0" b="0"/>
                  <wp:wrapTight wrapText="bothSides">
                    <wp:wrapPolygon edited="0">
                      <wp:start x="0" y="0"/>
                      <wp:lineTo x="0" y="21306"/>
                      <wp:lineTo x="21398" y="21306"/>
                      <wp:lineTo x="21398" y="0"/>
                      <wp:lineTo x="0" y="0"/>
                    </wp:wrapPolygon>
                  </wp:wrapTight>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rrowheads="1"/>
                          </pic:cNvPicPr>
                        </pic:nvPicPr>
                        <pic:blipFill>
                          <a:blip r:embed="rId32">
                            <a:extLst>
                              <a:ext uri="{28A0092B-C50C-407E-A947-70E740481C1C}">
                                <a14:useLocalDpi xmlns:a14="http://schemas.microsoft.com/office/drawing/2010/main" val="0"/>
                              </a:ext>
                            </a:extLst>
                          </a:blip>
                          <a:srcRect t="2470" b="9012"/>
                          <a:stretch>
                            <a:fillRect/>
                          </a:stretch>
                        </pic:blipFill>
                        <pic:spPr bwMode="auto">
                          <a:xfrm>
                            <a:off x="0" y="0"/>
                            <a:ext cx="2711450" cy="1583690"/>
                          </a:xfrm>
                          <a:prstGeom prst="rect">
                            <a:avLst/>
                          </a:prstGeom>
                          <a:noFill/>
                        </pic:spPr>
                      </pic:pic>
                    </a:graphicData>
                  </a:graphic>
                  <wp14:sizeRelH relativeFrom="page">
                    <wp14:pctWidth>0</wp14:pctWidth>
                  </wp14:sizeRelH>
                  <wp14:sizeRelV relativeFrom="page">
                    <wp14:pctHeight>0</wp14:pctHeight>
                  </wp14:sizeRelV>
                </wp:anchor>
              </w:drawing>
            </w:r>
          </w:p>
        </w:tc>
      </w:tr>
    </w:tbl>
    <w:p w:rsidR="00FA7069" w:rsidRDefault="00FA7069" w:rsidP="00FA7069">
      <w:pPr>
        <w:rPr>
          <w:rFonts w:ascii="Calibri" w:hAnsi="Calibri" w:cs="Calibri"/>
          <w:lang w:val="en-US"/>
        </w:rPr>
      </w:pPr>
    </w:p>
    <w:p w:rsidR="002F7113" w:rsidRDefault="002F7113" w:rsidP="00FA7069">
      <w:pPr>
        <w:rPr>
          <w:rFonts w:ascii="Calibri" w:hAnsi="Calibri"/>
          <w:sz w:val="24"/>
          <w:szCs w:val="24"/>
          <w:lang w:val="en-US"/>
        </w:rPr>
      </w:pPr>
    </w:p>
    <w:p w:rsidR="002F7113" w:rsidRDefault="002F7113" w:rsidP="00E975D0"/>
    <w:sectPr w:rsidR="002F7113" w:rsidSect="00E975D0">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no Pro">
    <w:altName w:val="Times New Roman"/>
    <w:charset w:val="00"/>
    <w:family w:val="roman"/>
    <w:pitch w:val="variable"/>
    <w:sig w:usb0="60000287" w:usb1="00000001" w:usb2="00000000" w:usb3="00000000" w:csb0="0000019F" w:csb1="00000000"/>
  </w:font>
  <w:font w:name="Myriad Pro Light">
    <w:altName w:val="Arial"/>
    <w:charset w:val="00"/>
    <w:family w:val="auto"/>
    <w:pitch w:val="default"/>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Helvetica Neue">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4793E"/>
    <w:multiLevelType w:val="hybridMultilevel"/>
    <w:tmpl w:val="1E5E52AA"/>
    <w:lvl w:ilvl="0" w:tplc="A2DA1DF6">
      <w:start w:val="1"/>
      <w:numFmt w:val="decimal"/>
      <w:pStyle w:val="RSCR02References"/>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5D0"/>
    <w:rsid w:val="00031F52"/>
    <w:rsid w:val="000E77D2"/>
    <w:rsid w:val="002F7113"/>
    <w:rsid w:val="003D61B8"/>
    <w:rsid w:val="004D116C"/>
    <w:rsid w:val="004F3D78"/>
    <w:rsid w:val="00564B2F"/>
    <w:rsid w:val="00581410"/>
    <w:rsid w:val="007B51D9"/>
    <w:rsid w:val="00894F4C"/>
    <w:rsid w:val="00AA745A"/>
    <w:rsid w:val="00AC125F"/>
    <w:rsid w:val="00AF31EC"/>
    <w:rsid w:val="00B46206"/>
    <w:rsid w:val="00C07A74"/>
    <w:rsid w:val="00C643B6"/>
    <w:rsid w:val="00D069BB"/>
    <w:rsid w:val="00DA79DE"/>
    <w:rsid w:val="00E525F4"/>
    <w:rsid w:val="00E975D0"/>
    <w:rsid w:val="00EB10E0"/>
    <w:rsid w:val="00FA706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ReceivedDate">
    <w:name w:val="AI_Received_Date"/>
    <w:basedOn w:val="Normal"/>
    <w:next w:val="Normal"/>
    <w:autoRedefine/>
    <w:rsid w:val="00DA79DE"/>
    <w:pPr>
      <w:spacing w:after="100" w:line="240" w:lineRule="auto"/>
    </w:pPr>
    <w:rPr>
      <w:rFonts w:ascii="Arno Pro" w:eastAsia="Times New Roman" w:hAnsi="Arno Pro" w:cs="Times New Roman"/>
      <w:sz w:val="18"/>
      <w:szCs w:val="20"/>
      <w:lang w:val="en-US"/>
    </w:rPr>
  </w:style>
  <w:style w:type="paragraph" w:customStyle="1" w:styleId="BATitle">
    <w:name w:val="BA_Title"/>
    <w:basedOn w:val="Normal"/>
    <w:next w:val="Normal"/>
    <w:autoRedefine/>
    <w:rsid w:val="00DA79DE"/>
    <w:pPr>
      <w:spacing w:before="1400" w:after="180" w:line="240" w:lineRule="auto"/>
    </w:pPr>
    <w:rPr>
      <w:rFonts w:ascii="Myriad Pro Light" w:eastAsia="Times New Roman" w:hAnsi="Myriad Pro Light" w:cs="Times New Roman"/>
      <w:b/>
      <w:kern w:val="36"/>
      <w:sz w:val="34"/>
      <w:szCs w:val="20"/>
      <w:lang w:val="en-US"/>
    </w:rPr>
  </w:style>
  <w:style w:type="paragraph" w:styleId="BalloonText">
    <w:name w:val="Balloon Text"/>
    <w:basedOn w:val="Normal"/>
    <w:link w:val="BalloonTextChar"/>
    <w:semiHidden/>
    <w:rsid w:val="00DA79DE"/>
    <w:pPr>
      <w:spacing w:line="240" w:lineRule="auto"/>
      <w:jc w:val="both"/>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DA79DE"/>
    <w:rPr>
      <w:rFonts w:ascii="Tahoma" w:eastAsia="Times New Roman" w:hAnsi="Tahoma" w:cs="Tahoma"/>
      <w:sz w:val="16"/>
      <w:szCs w:val="16"/>
      <w:lang w:val="en-US"/>
    </w:rPr>
  </w:style>
  <w:style w:type="paragraph" w:customStyle="1" w:styleId="BBAuthorName">
    <w:name w:val="BB_Author_Name"/>
    <w:basedOn w:val="Normal"/>
    <w:next w:val="Normal"/>
    <w:autoRedefine/>
    <w:rsid w:val="00DA79DE"/>
    <w:pPr>
      <w:spacing w:after="180" w:line="240" w:lineRule="auto"/>
    </w:pPr>
    <w:rPr>
      <w:rFonts w:ascii="Arno Pro" w:eastAsia="Times New Roman" w:hAnsi="Arno Pro" w:cs="Times New Roman"/>
      <w:kern w:val="26"/>
      <w:sz w:val="24"/>
      <w:szCs w:val="20"/>
      <w:lang w:val="en-US"/>
    </w:rPr>
  </w:style>
  <w:style w:type="paragraph" w:customStyle="1" w:styleId="BCAuthorAddress">
    <w:name w:val="BC_Author_Address"/>
    <w:basedOn w:val="Normal"/>
    <w:next w:val="Normal"/>
    <w:autoRedefine/>
    <w:rsid w:val="00DA79DE"/>
    <w:pPr>
      <w:spacing w:after="60" w:line="240" w:lineRule="auto"/>
    </w:pPr>
    <w:rPr>
      <w:rFonts w:ascii="Arno Pro" w:eastAsia="Times New Roman" w:hAnsi="Arno Pro" w:cs="Times New Roman"/>
      <w:kern w:val="22"/>
      <w:sz w:val="20"/>
      <w:szCs w:val="20"/>
      <w:lang w:val="en-US"/>
    </w:rPr>
  </w:style>
  <w:style w:type="paragraph" w:customStyle="1" w:styleId="BDAbstract">
    <w:name w:val="BD_Abstract"/>
    <w:basedOn w:val="Normal"/>
    <w:next w:val="Normal"/>
    <w:link w:val="BDAbstractChar"/>
    <w:autoRedefine/>
    <w:rsid w:val="00DA79DE"/>
    <w:pPr>
      <w:pBdr>
        <w:top w:val="single" w:sz="4" w:space="1" w:color="auto"/>
        <w:bottom w:val="single" w:sz="4" w:space="1" w:color="auto"/>
      </w:pBdr>
      <w:spacing w:before="100" w:after="600" w:line="240" w:lineRule="auto"/>
      <w:jc w:val="both"/>
    </w:pPr>
    <w:rPr>
      <w:rFonts w:ascii="Arno Pro" w:eastAsia="Times New Roman" w:hAnsi="Arno Pro" w:cs="Times New Roman"/>
      <w:kern w:val="21"/>
      <w:sz w:val="18"/>
      <w:szCs w:val="20"/>
      <w:lang w:val="en-US"/>
    </w:rPr>
  </w:style>
  <w:style w:type="character" w:customStyle="1" w:styleId="BDAbstractChar">
    <w:name w:val="BD_Abstract Char"/>
    <w:link w:val="BDAbstract"/>
    <w:rsid w:val="00DA79DE"/>
    <w:rPr>
      <w:rFonts w:ascii="Arno Pro" w:eastAsia="Times New Roman" w:hAnsi="Arno Pro" w:cs="Times New Roman"/>
      <w:kern w:val="21"/>
      <w:sz w:val="18"/>
      <w:szCs w:val="20"/>
      <w:lang w:val="en-US"/>
    </w:rPr>
  </w:style>
  <w:style w:type="paragraph" w:customStyle="1" w:styleId="BDAbstractTitle">
    <w:name w:val="BD_Abstract_Title"/>
    <w:basedOn w:val="BDAbstract"/>
    <w:link w:val="BDAbstractTitleChar"/>
    <w:rsid w:val="00DA79DE"/>
    <w:rPr>
      <w:b/>
    </w:rPr>
  </w:style>
  <w:style w:type="character" w:customStyle="1" w:styleId="BDAbstractTitleChar">
    <w:name w:val="BD_Abstract_Title Char"/>
    <w:link w:val="BDAbstractTitle"/>
    <w:rsid w:val="00DA79DE"/>
    <w:rPr>
      <w:rFonts w:ascii="Arno Pro" w:eastAsia="Times New Roman" w:hAnsi="Arno Pro" w:cs="Times New Roman"/>
      <w:b/>
      <w:kern w:val="21"/>
      <w:sz w:val="18"/>
      <w:szCs w:val="20"/>
      <w:lang w:val="en-US"/>
    </w:rPr>
  </w:style>
  <w:style w:type="paragraph" w:customStyle="1" w:styleId="BEAuthorBiography">
    <w:name w:val="BE_Author_Biography"/>
    <w:basedOn w:val="Normal"/>
    <w:autoRedefine/>
    <w:rsid w:val="00DA79DE"/>
    <w:pPr>
      <w:spacing w:line="240" w:lineRule="auto"/>
      <w:jc w:val="both"/>
    </w:pPr>
    <w:rPr>
      <w:rFonts w:ascii="Arno Pro" w:eastAsia="Times New Roman" w:hAnsi="Arno Pro" w:cs="Times New Roman"/>
      <w:szCs w:val="20"/>
      <w:lang w:val="en-US"/>
    </w:rPr>
  </w:style>
  <w:style w:type="paragraph" w:customStyle="1" w:styleId="BGKeywords">
    <w:name w:val="BG_Keywords"/>
    <w:basedOn w:val="Normal"/>
    <w:next w:val="Normal"/>
    <w:autoRedefine/>
    <w:rsid w:val="00DA79DE"/>
    <w:pPr>
      <w:spacing w:after="220" w:line="240" w:lineRule="auto"/>
    </w:pPr>
    <w:rPr>
      <w:rFonts w:ascii="Arno Pro" w:eastAsia="Times New Roman" w:hAnsi="Arno Pro" w:cs="Times New Roman"/>
      <w:i/>
      <w:kern w:val="22"/>
      <w:sz w:val="20"/>
      <w:szCs w:val="20"/>
      <w:lang w:val="en-US"/>
    </w:rPr>
  </w:style>
  <w:style w:type="paragraph" w:customStyle="1" w:styleId="BHBriefs">
    <w:name w:val="BH_Briefs"/>
    <w:basedOn w:val="Normal"/>
    <w:next w:val="BDAbstract"/>
    <w:autoRedefine/>
    <w:rsid w:val="00DA79DE"/>
    <w:pPr>
      <w:spacing w:before="180" w:after="60" w:line="240" w:lineRule="auto"/>
    </w:pPr>
    <w:rPr>
      <w:rFonts w:ascii="Arno Pro" w:eastAsia="Times New Roman" w:hAnsi="Arno Pro" w:cs="Times New Roman"/>
      <w:kern w:val="22"/>
      <w:sz w:val="20"/>
      <w:szCs w:val="20"/>
      <w:lang w:val="en-US"/>
    </w:rPr>
  </w:style>
  <w:style w:type="paragraph" w:customStyle="1" w:styleId="BIEmailAddress">
    <w:name w:val="BI_Email_Address"/>
    <w:basedOn w:val="Normal"/>
    <w:next w:val="AIReceivedDate"/>
    <w:autoRedefine/>
    <w:rsid w:val="00DA79DE"/>
    <w:pPr>
      <w:spacing w:after="100" w:line="240" w:lineRule="auto"/>
    </w:pPr>
    <w:rPr>
      <w:rFonts w:ascii="Arno Pro" w:eastAsia="Times New Roman" w:hAnsi="Arno Pro" w:cs="Times New Roman"/>
      <w:sz w:val="18"/>
      <w:szCs w:val="20"/>
      <w:lang w:val="en-US"/>
    </w:rPr>
  </w:style>
  <w:style w:type="paragraph" w:styleId="BodyText">
    <w:name w:val="Body Text"/>
    <w:basedOn w:val="Normal"/>
    <w:link w:val="BodyTextChar"/>
    <w:rsid w:val="00DA79DE"/>
    <w:pPr>
      <w:spacing w:line="240" w:lineRule="auto"/>
      <w:jc w:val="center"/>
    </w:pPr>
    <w:rPr>
      <w:rFonts w:ascii="Times" w:eastAsia="Times New Roman" w:hAnsi="Times" w:cs="Times New Roman"/>
      <w:b/>
      <w:sz w:val="40"/>
      <w:szCs w:val="20"/>
      <w:lang w:val="en-US"/>
    </w:rPr>
  </w:style>
  <w:style w:type="character" w:customStyle="1" w:styleId="BodyTextChar">
    <w:name w:val="Body Text Char"/>
    <w:basedOn w:val="DefaultParagraphFont"/>
    <w:link w:val="BodyText"/>
    <w:rsid w:val="00DA79DE"/>
    <w:rPr>
      <w:rFonts w:ascii="Times" w:eastAsia="Times New Roman" w:hAnsi="Times" w:cs="Times New Roman"/>
      <w:b/>
      <w:sz w:val="40"/>
      <w:szCs w:val="20"/>
      <w:lang w:val="en-US"/>
    </w:rPr>
  </w:style>
  <w:style w:type="paragraph" w:styleId="Caption">
    <w:name w:val="caption"/>
    <w:basedOn w:val="Normal"/>
    <w:next w:val="Normal"/>
    <w:uiPriority w:val="35"/>
    <w:unhideWhenUsed/>
    <w:qFormat/>
    <w:rsid w:val="00DA79DE"/>
    <w:pPr>
      <w:spacing w:line="240" w:lineRule="auto"/>
      <w:jc w:val="both"/>
    </w:pPr>
    <w:rPr>
      <w:rFonts w:ascii="Times" w:eastAsia="Times New Roman" w:hAnsi="Times" w:cs="Times New Roman"/>
      <w:i/>
      <w:iCs/>
      <w:color w:val="1F497D" w:themeColor="text2"/>
      <w:sz w:val="18"/>
      <w:szCs w:val="18"/>
      <w:lang w:val="en-US"/>
    </w:rPr>
  </w:style>
  <w:style w:type="character" w:customStyle="1" w:styleId="RSCH01PaperTitleChar">
    <w:name w:val="RSC H01 Paper Title Char"/>
    <w:basedOn w:val="DefaultParagraphFont"/>
    <w:link w:val="RSCH01PaperTitle"/>
    <w:locked/>
    <w:rsid w:val="00E975D0"/>
    <w:rPr>
      <w:rFonts w:ascii="Times New Roman" w:hAnsi="Times New Roman" w:cs="Times New Roman"/>
      <w:b/>
      <w:sz w:val="29"/>
      <w:szCs w:val="32"/>
    </w:rPr>
  </w:style>
  <w:style w:type="paragraph" w:customStyle="1" w:styleId="RSCH01PaperTitle">
    <w:name w:val="RSC H01 Paper Title"/>
    <w:basedOn w:val="Normal"/>
    <w:next w:val="Normal"/>
    <w:link w:val="RSCH01PaperTitleChar"/>
    <w:qFormat/>
    <w:rsid w:val="00E975D0"/>
    <w:pPr>
      <w:tabs>
        <w:tab w:val="left" w:pos="284"/>
      </w:tabs>
      <w:spacing w:before="400" w:after="160" w:line="240" w:lineRule="auto"/>
    </w:pPr>
    <w:rPr>
      <w:rFonts w:ascii="Times New Roman" w:hAnsi="Times New Roman" w:cs="Times New Roman"/>
      <w:b/>
      <w:sz w:val="29"/>
      <w:szCs w:val="32"/>
    </w:rPr>
  </w:style>
  <w:style w:type="character" w:customStyle="1" w:styleId="RSCH02PaperAuthorsandBylineChar">
    <w:name w:val="RSC H02 Paper Authors and Byline Char"/>
    <w:basedOn w:val="DefaultParagraphFont"/>
    <w:link w:val="RSCH02PaperAuthorsandByline"/>
    <w:locked/>
    <w:rsid w:val="00E975D0"/>
    <w:rPr>
      <w:rFonts w:ascii="Times New Roman" w:hAnsi="Times New Roman" w:cs="Times New Roman"/>
      <w:sz w:val="20"/>
    </w:rPr>
  </w:style>
  <w:style w:type="paragraph" w:customStyle="1" w:styleId="RSCH02PaperAuthorsandByline">
    <w:name w:val="RSC H02 Paper Authors and Byline"/>
    <w:basedOn w:val="Normal"/>
    <w:link w:val="RSCH02PaperAuthorsandBylineChar"/>
    <w:qFormat/>
    <w:rsid w:val="00E975D0"/>
    <w:pPr>
      <w:spacing w:after="120" w:line="240" w:lineRule="exact"/>
    </w:pPr>
    <w:rPr>
      <w:rFonts w:ascii="Times New Roman" w:hAnsi="Times New Roman" w:cs="Times New Roman"/>
      <w:sz w:val="20"/>
    </w:rPr>
  </w:style>
  <w:style w:type="paragraph" w:customStyle="1" w:styleId="Title2">
    <w:name w:val="Title2"/>
    <w:basedOn w:val="Normal"/>
    <w:rsid w:val="00E975D0"/>
    <w:pPr>
      <w:spacing w:after="0" w:line="480" w:lineRule="auto"/>
    </w:pPr>
    <w:rPr>
      <w:rFonts w:ascii="Times New Roman" w:eastAsia="MS Mincho" w:hAnsi="Times New Roman" w:cs="Times New Roman"/>
      <w:b/>
      <w:sz w:val="24"/>
      <w:szCs w:val="24"/>
      <w:lang w:val="en-US" w:eastAsia="ja-JP"/>
    </w:rPr>
  </w:style>
  <w:style w:type="character" w:customStyle="1" w:styleId="RSCB01ARTAbstractChar">
    <w:name w:val="RSC B01 ART Abstract Char"/>
    <w:basedOn w:val="DefaultParagraphFont"/>
    <w:link w:val="RSCB01ARTAbstract"/>
    <w:locked/>
    <w:rsid w:val="00E975D0"/>
    <w:rPr>
      <w:noProof/>
      <w:sz w:val="16"/>
      <w:lang w:eastAsia="en-GB"/>
    </w:rPr>
  </w:style>
  <w:style w:type="paragraph" w:customStyle="1" w:styleId="RSCB01ARTAbstract">
    <w:name w:val="RSC B01 ART Abstract"/>
    <w:basedOn w:val="Normal"/>
    <w:link w:val="RSCB01ARTAbstractChar"/>
    <w:qFormat/>
    <w:rsid w:val="00E975D0"/>
    <w:pPr>
      <w:spacing w:line="240" w:lineRule="exact"/>
      <w:jc w:val="both"/>
    </w:pPr>
    <w:rPr>
      <w:noProof/>
      <w:sz w:val="16"/>
      <w:lang w:eastAsia="en-GB"/>
    </w:rPr>
  </w:style>
  <w:style w:type="character" w:customStyle="1" w:styleId="RSCB02ArticleTextChar">
    <w:name w:val="RSC B02 Article Text Char"/>
    <w:basedOn w:val="DefaultParagraphFont"/>
    <w:link w:val="RSCB02ArticleText"/>
    <w:locked/>
    <w:rsid w:val="00E975D0"/>
    <w:rPr>
      <w:rFonts w:ascii="Times New Roman" w:hAnsi="Times New Roman" w:cs="Times New Roman"/>
      <w:w w:val="108"/>
      <w:sz w:val="18"/>
      <w:szCs w:val="18"/>
    </w:rPr>
  </w:style>
  <w:style w:type="paragraph" w:customStyle="1" w:styleId="RSCB02ArticleText">
    <w:name w:val="RSC B02 Article Text"/>
    <w:basedOn w:val="Normal"/>
    <w:link w:val="RSCB02ArticleTextChar"/>
    <w:qFormat/>
    <w:rsid w:val="00E975D0"/>
    <w:pPr>
      <w:spacing w:after="0" w:line="240" w:lineRule="exact"/>
      <w:jc w:val="both"/>
    </w:pPr>
    <w:rPr>
      <w:rFonts w:ascii="Times New Roman" w:hAnsi="Times New Roman" w:cs="Times New Roman"/>
      <w:w w:val="108"/>
      <w:sz w:val="18"/>
      <w:szCs w:val="18"/>
    </w:rPr>
  </w:style>
  <w:style w:type="character" w:customStyle="1" w:styleId="RSCB04AHeadingSectionChar">
    <w:name w:val="RSC B04 A Heading (Section) Char"/>
    <w:basedOn w:val="DefaultParagraphFont"/>
    <w:link w:val="RSCB04AHeadingSection"/>
    <w:locked/>
    <w:rsid w:val="00E975D0"/>
    <w:rPr>
      <w:b/>
      <w:sz w:val="24"/>
    </w:rPr>
  </w:style>
  <w:style w:type="paragraph" w:customStyle="1" w:styleId="RSCB04AHeadingSection">
    <w:name w:val="RSC B04 A Heading (Section)"/>
    <w:basedOn w:val="Normal"/>
    <w:link w:val="RSCB04AHeadingSectionChar"/>
    <w:qFormat/>
    <w:rsid w:val="00E975D0"/>
    <w:pPr>
      <w:spacing w:before="400" w:after="80" w:line="240" w:lineRule="auto"/>
    </w:pPr>
    <w:rPr>
      <w:b/>
      <w:sz w:val="24"/>
    </w:rPr>
  </w:style>
  <w:style w:type="character" w:customStyle="1" w:styleId="RSCB06BHeadingSub-SectionChar">
    <w:name w:val="RSC B06 B Heading (Sub-Section) Char"/>
    <w:basedOn w:val="DefaultParagraphFont"/>
    <w:link w:val="RSCB06BHeadingSub-Section"/>
    <w:locked/>
    <w:rsid w:val="00E975D0"/>
    <w:rPr>
      <w:b/>
      <w:sz w:val="18"/>
    </w:rPr>
  </w:style>
  <w:style w:type="paragraph" w:customStyle="1" w:styleId="RSCB06BHeadingSub-Section">
    <w:name w:val="RSC B06 B Heading (Sub-Section)"/>
    <w:link w:val="RSCB06BHeadingSub-SectionChar"/>
    <w:qFormat/>
    <w:rsid w:val="00E975D0"/>
    <w:pPr>
      <w:spacing w:after="80" w:line="240" w:lineRule="exact"/>
    </w:pPr>
    <w:rPr>
      <w:b/>
      <w:sz w:val="18"/>
    </w:rPr>
  </w:style>
  <w:style w:type="character" w:customStyle="1" w:styleId="06CHeading">
    <w:name w:val="06 C Heading"/>
    <w:basedOn w:val="RSCB02ArticleTextChar"/>
    <w:uiPriority w:val="1"/>
    <w:rsid w:val="00E975D0"/>
    <w:rPr>
      <w:rFonts w:ascii="Times New Roman" w:hAnsi="Times New Roman" w:cs="Times New Roman"/>
      <w:b/>
      <w:bCs w:val="0"/>
      <w:smallCaps/>
      <w:w w:val="108"/>
      <w:sz w:val="18"/>
      <w:szCs w:val="18"/>
    </w:rPr>
  </w:style>
  <w:style w:type="table" w:styleId="TableGrid">
    <w:name w:val="Table Grid"/>
    <w:basedOn w:val="TableNormal"/>
    <w:uiPriority w:val="59"/>
    <w:rsid w:val="00E975D0"/>
    <w:pPr>
      <w:spacing w:after="0" w:line="240" w:lineRule="auto"/>
    </w:pPr>
    <w:rPr>
      <w:rFonts w:eastAsiaTheme="minorEastAsia"/>
      <w:kern w:val="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SCI04CaptiontoFigureSchemeChartChar">
    <w:name w:val="RSC I04 Caption to Figure/Scheme/Chart Char"/>
    <w:basedOn w:val="DefaultParagraphFont"/>
    <w:link w:val="RSCI04CaptiontoFigureSchemeChart"/>
    <w:locked/>
    <w:rsid w:val="00031F52"/>
    <w:rPr>
      <w:bCs/>
      <w:sz w:val="14"/>
      <w:szCs w:val="18"/>
    </w:rPr>
  </w:style>
  <w:style w:type="paragraph" w:customStyle="1" w:styleId="RSCI04CaptiontoFigureSchemeChart">
    <w:name w:val="RSC I04 Caption to Figure/Scheme/Chart"/>
    <w:link w:val="RSCI04CaptiontoFigureSchemeChartChar"/>
    <w:qFormat/>
    <w:rsid w:val="00031F52"/>
    <w:pPr>
      <w:spacing w:line="200" w:lineRule="exact"/>
      <w:jc w:val="both"/>
    </w:pPr>
    <w:rPr>
      <w:bCs/>
      <w:sz w:val="14"/>
      <w:szCs w:val="18"/>
    </w:rPr>
  </w:style>
  <w:style w:type="character" w:customStyle="1" w:styleId="08ArticleTextChar">
    <w:name w:val="08 Article Text Char"/>
    <w:link w:val="08ArticleText"/>
    <w:locked/>
    <w:rsid w:val="00031F52"/>
    <w:rPr>
      <w:rFonts w:ascii="Times New Roman" w:eastAsia="Calibri" w:hAnsi="Times New Roman" w:cs="Times New Roman"/>
      <w:w w:val="108"/>
      <w:sz w:val="18"/>
      <w:szCs w:val="18"/>
    </w:rPr>
  </w:style>
  <w:style w:type="paragraph" w:customStyle="1" w:styleId="08ArticleText">
    <w:name w:val="08 Article Text"/>
    <w:basedOn w:val="Normal"/>
    <w:link w:val="08ArticleTextChar"/>
    <w:qFormat/>
    <w:rsid w:val="00031F52"/>
    <w:pPr>
      <w:tabs>
        <w:tab w:val="left" w:pos="284"/>
      </w:tabs>
      <w:spacing w:after="0" w:line="240" w:lineRule="exact"/>
      <w:jc w:val="both"/>
    </w:pPr>
    <w:rPr>
      <w:rFonts w:ascii="Times New Roman" w:eastAsia="Calibri" w:hAnsi="Times New Roman" w:cs="Times New Roman"/>
      <w:w w:val="108"/>
      <w:sz w:val="18"/>
      <w:szCs w:val="18"/>
    </w:rPr>
  </w:style>
  <w:style w:type="paragraph" w:customStyle="1" w:styleId="TAMainText">
    <w:name w:val="TA_Main_Text"/>
    <w:basedOn w:val="Normal"/>
    <w:rsid w:val="00AC125F"/>
    <w:pPr>
      <w:spacing w:after="0" w:line="480" w:lineRule="auto"/>
      <w:ind w:firstLine="202"/>
      <w:jc w:val="both"/>
    </w:pPr>
    <w:rPr>
      <w:rFonts w:ascii="Times" w:eastAsiaTheme="minorEastAsia" w:hAnsi="Times" w:cs="Times New Roman"/>
      <w:sz w:val="24"/>
      <w:szCs w:val="20"/>
      <w:lang w:val="en-US"/>
    </w:rPr>
  </w:style>
  <w:style w:type="character" w:customStyle="1" w:styleId="RSCB03MathematicsGreeketcChar">
    <w:name w:val="RSC B03 Mathematics/Greek etc Char"/>
    <w:basedOn w:val="DefaultParagraphFont"/>
    <w:link w:val="RSCB03MathematicsGreeketc"/>
    <w:locked/>
    <w:rsid w:val="00FA7069"/>
    <w:rPr>
      <w:rFonts w:ascii="Times New Roman" w:hAnsi="Times New Roman" w:cs="Times New Roman"/>
      <w:sz w:val="18"/>
    </w:rPr>
  </w:style>
  <w:style w:type="paragraph" w:customStyle="1" w:styleId="RSCB03MathematicsGreeketc">
    <w:name w:val="RSC B03 Mathematics/Greek etc"/>
    <w:basedOn w:val="Normal"/>
    <w:link w:val="RSCB03MathematicsGreeketcChar"/>
    <w:qFormat/>
    <w:rsid w:val="00FA7069"/>
    <w:pPr>
      <w:tabs>
        <w:tab w:val="center" w:pos="2268"/>
        <w:tab w:val="right" w:pos="4536"/>
      </w:tabs>
      <w:spacing w:before="160" w:after="160" w:line="240" w:lineRule="auto"/>
    </w:pPr>
    <w:rPr>
      <w:rFonts w:ascii="Times New Roman" w:hAnsi="Times New Roman" w:cs="Times New Roman"/>
      <w:sz w:val="18"/>
    </w:rPr>
  </w:style>
  <w:style w:type="character" w:styleId="Hyperlink">
    <w:name w:val="Hyperlink"/>
    <w:basedOn w:val="DefaultParagraphFont"/>
    <w:uiPriority w:val="99"/>
    <w:semiHidden/>
    <w:unhideWhenUsed/>
    <w:rsid w:val="00FA7069"/>
    <w:rPr>
      <w:color w:val="0000FF" w:themeColor="hyperlink"/>
      <w:u w:val="single"/>
    </w:rPr>
  </w:style>
  <w:style w:type="paragraph" w:customStyle="1" w:styleId="TESupportingInformation">
    <w:name w:val="TE_Supporting_Information"/>
    <w:basedOn w:val="Normal"/>
    <w:next w:val="Normal"/>
    <w:rsid w:val="00FA7069"/>
    <w:pPr>
      <w:spacing w:line="480" w:lineRule="auto"/>
      <w:ind w:firstLine="187"/>
      <w:jc w:val="both"/>
    </w:pPr>
    <w:rPr>
      <w:rFonts w:ascii="Times" w:eastAsiaTheme="minorEastAsia" w:hAnsi="Times" w:cs="Times New Roman"/>
      <w:sz w:val="24"/>
      <w:szCs w:val="20"/>
      <w:lang w:val="en-US"/>
    </w:rPr>
  </w:style>
  <w:style w:type="character" w:customStyle="1" w:styleId="StyleFACorrespondingAuthorFootnote7ptChar">
    <w:name w:val="Style FA_Corresponding_Author_Footnote + 7 pt Char"/>
    <w:link w:val="StyleFACorrespondingAuthorFootnote7pt"/>
    <w:locked/>
    <w:rsid w:val="00FA7069"/>
    <w:rPr>
      <w:rFonts w:ascii="Arno Pro" w:eastAsia="SimSun" w:hAnsi="Arno Pro" w:cs="Times New Roman"/>
      <w:kern w:val="20"/>
      <w:sz w:val="18"/>
      <w:szCs w:val="20"/>
    </w:rPr>
  </w:style>
  <w:style w:type="paragraph" w:customStyle="1" w:styleId="StyleFACorrespondingAuthorFootnote7pt">
    <w:name w:val="Style FA_Corresponding_Author_Footnote + 7 pt"/>
    <w:basedOn w:val="Normal"/>
    <w:next w:val="Normal"/>
    <w:link w:val="StyleFACorrespondingAuthorFootnote7ptChar"/>
    <w:autoRedefine/>
    <w:rsid w:val="00FA7069"/>
    <w:pPr>
      <w:spacing w:after="0" w:line="240" w:lineRule="auto"/>
    </w:pPr>
    <w:rPr>
      <w:rFonts w:ascii="Arno Pro" w:eastAsia="SimSun" w:hAnsi="Arno Pro" w:cs="Times New Roman"/>
      <w:kern w:val="20"/>
      <w:sz w:val="18"/>
      <w:szCs w:val="20"/>
    </w:rPr>
  </w:style>
  <w:style w:type="character" w:customStyle="1" w:styleId="FAAuthorInfoSubtitleChar">
    <w:name w:val="FA_Author_Info_Subtitle Char"/>
    <w:link w:val="FAAuthorInfoSubtitle"/>
    <w:locked/>
    <w:rsid w:val="00FA7069"/>
    <w:rPr>
      <w:rFonts w:ascii="Times" w:eastAsia="SimSun" w:hAnsi="Times" w:cs="Times New Roman"/>
      <w:b/>
      <w:sz w:val="24"/>
      <w:szCs w:val="20"/>
    </w:rPr>
  </w:style>
  <w:style w:type="paragraph" w:customStyle="1" w:styleId="FAAuthorInfoSubtitle">
    <w:name w:val="FA_Author_Info_Subtitle"/>
    <w:basedOn w:val="Normal"/>
    <w:link w:val="FAAuthorInfoSubtitleChar"/>
    <w:autoRedefine/>
    <w:rsid w:val="00FA7069"/>
    <w:pPr>
      <w:spacing w:before="120" w:after="60" w:line="480" w:lineRule="auto"/>
    </w:pPr>
    <w:rPr>
      <w:rFonts w:ascii="Times" w:eastAsia="SimSun" w:hAnsi="Times" w:cs="Times New Roman"/>
      <w:b/>
      <w:sz w:val="24"/>
      <w:szCs w:val="20"/>
    </w:rPr>
  </w:style>
  <w:style w:type="character" w:customStyle="1" w:styleId="RSCR02ReferencesChar">
    <w:name w:val="RSC R02 References Char"/>
    <w:basedOn w:val="DefaultParagraphFont"/>
    <w:link w:val="RSCR02References"/>
    <w:locked/>
    <w:rsid w:val="00FA7069"/>
    <w:rPr>
      <w:rFonts w:ascii="Times New Roman" w:hAnsi="Times New Roman" w:cs="Times New Roman"/>
      <w:w w:val="105"/>
      <w:sz w:val="18"/>
      <w:szCs w:val="18"/>
    </w:rPr>
  </w:style>
  <w:style w:type="paragraph" w:customStyle="1" w:styleId="RSCR02References">
    <w:name w:val="RSC R02 References"/>
    <w:basedOn w:val="Normal"/>
    <w:link w:val="RSCR02ReferencesChar"/>
    <w:qFormat/>
    <w:rsid w:val="00FA7069"/>
    <w:pPr>
      <w:numPr>
        <w:numId w:val="1"/>
      </w:numPr>
      <w:spacing w:after="0" w:line="200" w:lineRule="exact"/>
      <w:ind w:left="284" w:hanging="284"/>
      <w:jc w:val="both"/>
    </w:pPr>
    <w:rPr>
      <w:rFonts w:ascii="Times New Roman" w:hAnsi="Times New Roman" w:cs="Times New Roman"/>
      <w:w w:val="105"/>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ReceivedDate">
    <w:name w:val="AI_Received_Date"/>
    <w:basedOn w:val="Normal"/>
    <w:next w:val="Normal"/>
    <w:autoRedefine/>
    <w:rsid w:val="00DA79DE"/>
    <w:pPr>
      <w:spacing w:after="100" w:line="240" w:lineRule="auto"/>
    </w:pPr>
    <w:rPr>
      <w:rFonts w:ascii="Arno Pro" w:eastAsia="Times New Roman" w:hAnsi="Arno Pro" w:cs="Times New Roman"/>
      <w:sz w:val="18"/>
      <w:szCs w:val="20"/>
      <w:lang w:val="en-US"/>
    </w:rPr>
  </w:style>
  <w:style w:type="paragraph" w:customStyle="1" w:styleId="BATitle">
    <w:name w:val="BA_Title"/>
    <w:basedOn w:val="Normal"/>
    <w:next w:val="Normal"/>
    <w:autoRedefine/>
    <w:rsid w:val="00DA79DE"/>
    <w:pPr>
      <w:spacing w:before="1400" w:after="180" w:line="240" w:lineRule="auto"/>
    </w:pPr>
    <w:rPr>
      <w:rFonts w:ascii="Myriad Pro Light" w:eastAsia="Times New Roman" w:hAnsi="Myriad Pro Light" w:cs="Times New Roman"/>
      <w:b/>
      <w:kern w:val="36"/>
      <w:sz w:val="34"/>
      <w:szCs w:val="20"/>
      <w:lang w:val="en-US"/>
    </w:rPr>
  </w:style>
  <w:style w:type="paragraph" w:styleId="BalloonText">
    <w:name w:val="Balloon Text"/>
    <w:basedOn w:val="Normal"/>
    <w:link w:val="BalloonTextChar"/>
    <w:semiHidden/>
    <w:rsid w:val="00DA79DE"/>
    <w:pPr>
      <w:spacing w:line="240" w:lineRule="auto"/>
      <w:jc w:val="both"/>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DA79DE"/>
    <w:rPr>
      <w:rFonts w:ascii="Tahoma" w:eastAsia="Times New Roman" w:hAnsi="Tahoma" w:cs="Tahoma"/>
      <w:sz w:val="16"/>
      <w:szCs w:val="16"/>
      <w:lang w:val="en-US"/>
    </w:rPr>
  </w:style>
  <w:style w:type="paragraph" w:customStyle="1" w:styleId="BBAuthorName">
    <w:name w:val="BB_Author_Name"/>
    <w:basedOn w:val="Normal"/>
    <w:next w:val="Normal"/>
    <w:autoRedefine/>
    <w:rsid w:val="00DA79DE"/>
    <w:pPr>
      <w:spacing w:after="180" w:line="240" w:lineRule="auto"/>
    </w:pPr>
    <w:rPr>
      <w:rFonts w:ascii="Arno Pro" w:eastAsia="Times New Roman" w:hAnsi="Arno Pro" w:cs="Times New Roman"/>
      <w:kern w:val="26"/>
      <w:sz w:val="24"/>
      <w:szCs w:val="20"/>
      <w:lang w:val="en-US"/>
    </w:rPr>
  </w:style>
  <w:style w:type="paragraph" w:customStyle="1" w:styleId="BCAuthorAddress">
    <w:name w:val="BC_Author_Address"/>
    <w:basedOn w:val="Normal"/>
    <w:next w:val="Normal"/>
    <w:autoRedefine/>
    <w:rsid w:val="00DA79DE"/>
    <w:pPr>
      <w:spacing w:after="60" w:line="240" w:lineRule="auto"/>
    </w:pPr>
    <w:rPr>
      <w:rFonts w:ascii="Arno Pro" w:eastAsia="Times New Roman" w:hAnsi="Arno Pro" w:cs="Times New Roman"/>
      <w:kern w:val="22"/>
      <w:sz w:val="20"/>
      <w:szCs w:val="20"/>
      <w:lang w:val="en-US"/>
    </w:rPr>
  </w:style>
  <w:style w:type="paragraph" w:customStyle="1" w:styleId="BDAbstract">
    <w:name w:val="BD_Abstract"/>
    <w:basedOn w:val="Normal"/>
    <w:next w:val="Normal"/>
    <w:link w:val="BDAbstractChar"/>
    <w:autoRedefine/>
    <w:rsid w:val="00DA79DE"/>
    <w:pPr>
      <w:pBdr>
        <w:top w:val="single" w:sz="4" w:space="1" w:color="auto"/>
        <w:bottom w:val="single" w:sz="4" w:space="1" w:color="auto"/>
      </w:pBdr>
      <w:spacing w:before="100" w:after="600" w:line="240" w:lineRule="auto"/>
      <w:jc w:val="both"/>
    </w:pPr>
    <w:rPr>
      <w:rFonts w:ascii="Arno Pro" w:eastAsia="Times New Roman" w:hAnsi="Arno Pro" w:cs="Times New Roman"/>
      <w:kern w:val="21"/>
      <w:sz w:val="18"/>
      <w:szCs w:val="20"/>
      <w:lang w:val="en-US"/>
    </w:rPr>
  </w:style>
  <w:style w:type="character" w:customStyle="1" w:styleId="BDAbstractChar">
    <w:name w:val="BD_Abstract Char"/>
    <w:link w:val="BDAbstract"/>
    <w:rsid w:val="00DA79DE"/>
    <w:rPr>
      <w:rFonts w:ascii="Arno Pro" w:eastAsia="Times New Roman" w:hAnsi="Arno Pro" w:cs="Times New Roman"/>
      <w:kern w:val="21"/>
      <w:sz w:val="18"/>
      <w:szCs w:val="20"/>
      <w:lang w:val="en-US"/>
    </w:rPr>
  </w:style>
  <w:style w:type="paragraph" w:customStyle="1" w:styleId="BDAbstractTitle">
    <w:name w:val="BD_Abstract_Title"/>
    <w:basedOn w:val="BDAbstract"/>
    <w:link w:val="BDAbstractTitleChar"/>
    <w:rsid w:val="00DA79DE"/>
    <w:rPr>
      <w:b/>
    </w:rPr>
  </w:style>
  <w:style w:type="character" w:customStyle="1" w:styleId="BDAbstractTitleChar">
    <w:name w:val="BD_Abstract_Title Char"/>
    <w:link w:val="BDAbstractTitle"/>
    <w:rsid w:val="00DA79DE"/>
    <w:rPr>
      <w:rFonts w:ascii="Arno Pro" w:eastAsia="Times New Roman" w:hAnsi="Arno Pro" w:cs="Times New Roman"/>
      <w:b/>
      <w:kern w:val="21"/>
      <w:sz w:val="18"/>
      <w:szCs w:val="20"/>
      <w:lang w:val="en-US"/>
    </w:rPr>
  </w:style>
  <w:style w:type="paragraph" w:customStyle="1" w:styleId="BEAuthorBiography">
    <w:name w:val="BE_Author_Biography"/>
    <w:basedOn w:val="Normal"/>
    <w:autoRedefine/>
    <w:rsid w:val="00DA79DE"/>
    <w:pPr>
      <w:spacing w:line="240" w:lineRule="auto"/>
      <w:jc w:val="both"/>
    </w:pPr>
    <w:rPr>
      <w:rFonts w:ascii="Arno Pro" w:eastAsia="Times New Roman" w:hAnsi="Arno Pro" w:cs="Times New Roman"/>
      <w:szCs w:val="20"/>
      <w:lang w:val="en-US"/>
    </w:rPr>
  </w:style>
  <w:style w:type="paragraph" w:customStyle="1" w:styleId="BGKeywords">
    <w:name w:val="BG_Keywords"/>
    <w:basedOn w:val="Normal"/>
    <w:next w:val="Normal"/>
    <w:autoRedefine/>
    <w:rsid w:val="00DA79DE"/>
    <w:pPr>
      <w:spacing w:after="220" w:line="240" w:lineRule="auto"/>
    </w:pPr>
    <w:rPr>
      <w:rFonts w:ascii="Arno Pro" w:eastAsia="Times New Roman" w:hAnsi="Arno Pro" w:cs="Times New Roman"/>
      <w:i/>
      <w:kern w:val="22"/>
      <w:sz w:val="20"/>
      <w:szCs w:val="20"/>
      <w:lang w:val="en-US"/>
    </w:rPr>
  </w:style>
  <w:style w:type="paragraph" w:customStyle="1" w:styleId="BHBriefs">
    <w:name w:val="BH_Briefs"/>
    <w:basedOn w:val="Normal"/>
    <w:next w:val="BDAbstract"/>
    <w:autoRedefine/>
    <w:rsid w:val="00DA79DE"/>
    <w:pPr>
      <w:spacing w:before="180" w:after="60" w:line="240" w:lineRule="auto"/>
    </w:pPr>
    <w:rPr>
      <w:rFonts w:ascii="Arno Pro" w:eastAsia="Times New Roman" w:hAnsi="Arno Pro" w:cs="Times New Roman"/>
      <w:kern w:val="22"/>
      <w:sz w:val="20"/>
      <w:szCs w:val="20"/>
      <w:lang w:val="en-US"/>
    </w:rPr>
  </w:style>
  <w:style w:type="paragraph" w:customStyle="1" w:styleId="BIEmailAddress">
    <w:name w:val="BI_Email_Address"/>
    <w:basedOn w:val="Normal"/>
    <w:next w:val="AIReceivedDate"/>
    <w:autoRedefine/>
    <w:rsid w:val="00DA79DE"/>
    <w:pPr>
      <w:spacing w:after="100" w:line="240" w:lineRule="auto"/>
    </w:pPr>
    <w:rPr>
      <w:rFonts w:ascii="Arno Pro" w:eastAsia="Times New Roman" w:hAnsi="Arno Pro" w:cs="Times New Roman"/>
      <w:sz w:val="18"/>
      <w:szCs w:val="20"/>
      <w:lang w:val="en-US"/>
    </w:rPr>
  </w:style>
  <w:style w:type="paragraph" w:styleId="BodyText">
    <w:name w:val="Body Text"/>
    <w:basedOn w:val="Normal"/>
    <w:link w:val="BodyTextChar"/>
    <w:rsid w:val="00DA79DE"/>
    <w:pPr>
      <w:spacing w:line="240" w:lineRule="auto"/>
      <w:jc w:val="center"/>
    </w:pPr>
    <w:rPr>
      <w:rFonts w:ascii="Times" w:eastAsia="Times New Roman" w:hAnsi="Times" w:cs="Times New Roman"/>
      <w:b/>
      <w:sz w:val="40"/>
      <w:szCs w:val="20"/>
      <w:lang w:val="en-US"/>
    </w:rPr>
  </w:style>
  <w:style w:type="character" w:customStyle="1" w:styleId="BodyTextChar">
    <w:name w:val="Body Text Char"/>
    <w:basedOn w:val="DefaultParagraphFont"/>
    <w:link w:val="BodyText"/>
    <w:rsid w:val="00DA79DE"/>
    <w:rPr>
      <w:rFonts w:ascii="Times" w:eastAsia="Times New Roman" w:hAnsi="Times" w:cs="Times New Roman"/>
      <w:b/>
      <w:sz w:val="40"/>
      <w:szCs w:val="20"/>
      <w:lang w:val="en-US"/>
    </w:rPr>
  </w:style>
  <w:style w:type="paragraph" w:styleId="Caption">
    <w:name w:val="caption"/>
    <w:basedOn w:val="Normal"/>
    <w:next w:val="Normal"/>
    <w:uiPriority w:val="35"/>
    <w:unhideWhenUsed/>
    <w:qFormat/>
    <w:rsid w:val="00DA79DE"/>
    <w:pPr>
      <w:spacing w:line="240" w:lineRule="auto"/>
      <w:jc w:val="both"/>
    </w:pPr>
    <w:rPr>
      <w:rFonts w:ascii="Times" w:eastAsia="Times New Roman" w:hAnsi="Times" w:cs="Times New Roman"/>
      <w:i/>
      <w:iCs/>
      <w:color w:val="1F497D" w:themeColor="text2"/>
      <w:sz w:val="18"/>
      <w:szCs w:val="18"/>
      <w:lang w:val="en-US"/>
    </w:rPr>
  </w:style>
  <w:style w:type="character" w:customStyle="1" w:styleId="RSCH01PaperTitleChar">
    <w:name w:val="RSC H01 Paper Title Char"/>
    <w:basedOn w:val="DefaultParagraphFont"/>
    <w:link w:val="RSCH01PaperTitle"/>
    <w:locked/>
    <w:rsid w:val="00E975D0"/>
    <w:rPr>
      <w:rFonts w:ascii="Times New Roman" w:hAnsi="Times New Roman" w:cs="Times New Roman"/>
      <w:b/>
      <w:sz w:val="29"/>
      <w:szCs w:val="32"/>
    </w:rPr>
  </w:style>
  <w:style w:type="paragraph" w:customStyle="1" w:styleId="RSCH01PaperTitle">
    <w:name w:val="RSC H01 Paper Title"/>
    <w:basedOn w:val="Normal"/>
    <w:next w:val="Normal"/>
    <w:link w:val="RSCH01PaperTitleChar"/>
    <w:qFormat/>
    <w:rsid w:val="00E975D0"/>
    <w:pPr>
      <w:tabs>
        <w:tab w:val="left" w:pos="284"/>
      </w:tabs>
      <w:spacing w:before="400" w:after="160" w:line="240" w:lineRule="auto"/>
    </w:pPr>
    <w:rPr>
      <w:rFonts w:ascii="Times New Roman" w:hAnsi="Times New Roman" w:cs="Times New Roman"/>
      <w:b/>
      <w:sz w:val="29"/>
      <w:szCs w:val="32"/>
    </w:rPr>
  </w:style>
  <w:style w:type="character" w:customStyle="1" w:styleId="RSCH02PaperAuthorsandBylineChar">
    <w:name w:val="RSC H02 Paper Authors and Byline Char"/>
    <w:basedOn w:val="DefaultParagraphFont"/>
    <w:link w:val="RSCH02PaperAuthorsandByline"/>
    <w:locked/>
    <w:rsid w:val="00E975D0"/>
    <w:rPr>
      <w:rFonts w:ascii="Times New Roman" w:hAnsi="Times New Roman" w:cs="Times New Roman"/>
      <w:sz w:val="20"/>
    </w:rPr>
  </w:style>
  <w:style w:type="paragraph" w:customStyle="1" w:styleId="RSCH02PaperAuthorsandByline">
    <w:name w:val="RSC H02 Paper Authors and Byline"/>
    <w:basedOn w:val="Normal"/>
    <w:link w:val="RSCH02PaperAuthorsandBylineChar"/>
    <w:qFormat/>
    <w:rsid w:val="00E975D0"/>
    <w:pPr>
      <w:spacing w:after="120" w:line="240" w:lineRule="exact"/>
    </w:pPr>
    <w:rPr>
      <w:rFonts w:ascii="Times New Roman" w:hAnsi="Times New Roman" w:cs="Times New Roman"/>
      <w:sz w:val="20"/>
    </w:rPr>
  </w:style>
  <w:style w:type="paragraph" w:customStyle="1" w:styleId="Title2">
    <w:name w:val="Title2"/>
    <w:basedOn w:val="Normal"/>
    <w:rsid w:val="00E975D0"/>
    <w:pPr>
      <w:spacing w:after="0" w:line="480" w:lineRule="auto"/>
    </w:pPr>
    <w:rPr>
      <w:rFonts w:ascii="Times New Roman" w:eastAsia="MS Mincho" w:hAnsi="Times New Roman" w:cs="Times New Roman"/>
      <w:b/>
      <w:sz w:val="24"/>
      <w:szCs w:val="24"/>
      <w:lang w:val="en-US" w:eastAsia="ja-JP"/>
    </w:rPr>
  </w:style>
  <w:style w:type="character" w:customStyle="1" w:styleId="RSCB01ARTAbstractChar">
    <w:name w:val="RSC B01 ART Abstract Char"/>
    <w:basedOn w:val="DefaultParagraphFont"/>
    <w:link w:val="RSCB01ARTAbstract"/>
    <w:locked/>
    <w:rsid w:val="00E975D0"/>
    <w:rPr>
      <w:noProof/>
      <w:sz w:val="16"/>
      <w:lang w:eastAsia="en-GB"/>
    </w:rPr>
  </w:style>
  <w:style w:type="paragraph" w:customStyle="1" w:styleId="RSCB01ARTAbstract">
    <w:name w:val="RSC B01 ART Abstract"/>
    <w:basedOn w:val="Normal"/>
    <w:link w:val="RSCB01ARTAbstractChar"/>
    <w:qFormat/>
    <w:rsid w:val="00E975D0"/>
    <w:pPr>
      <w:spacing w:line="240" w:lineRule="exact"/>
      <w:jc w:val="both"/>
    </w:pPr>
    <w:rPr>
      <w:noProof/>
      <w:sz w:val="16"/>
      <w:lang w:eastAsia="en-GB"/>
    </w:rPr>
  </w:style>
  <w:style w:type="character" w:customStyle="1" w:styleId="RSCB02ArticleTextChar">
    <w:name w:val="RSC B02 Article Text Char"/>
    <w:basedOn w:val="DefaultParagraphFont"/>
    <w:link w:val="RSCB02ArticleText"/>
    <w:locked/>
    <w:rsid w:val="00E975D0"/>
    <w:rPr>
      <w:rFonts w:ascii="Times New Roman" w:hAnsi="Times New Roman" w:cs="Times New Roman"/>
      <w:w w:val="108"/>
      <w:sz w:val="18"/>
      <w:szCs w:val="18"/>
    </w:rPr>
  </w:style>
  <w:style w:type="paragraph" w:customStyle="1" w:styleId="RSCB02ArticleText">
    <w:name w:val="RSC B02 Article Text"/>
    <w:basedOn w:val="Normal"/>
    <w:link w:val="RSCB02ArticleTextChar"/>
    <w:qFormat/>
    <w:rsid w:val="00E975D0"/>
    <w:pPr>
      <w:spacing w:after="0" w:line="240" w:lineRule="exact"/>
      <w:jc w:val="both"/>
    </w:pPr>
    <w:rPr>
      <w:rFonts w:ascii="Times New Roman" w:hAnsi="Times New Roman" w:cs="Times New Roman"/>
      <w:w w:val="108"/>
      <w:sz w:val="18"/>
      <w:szCs w:val="18"/>
    </w:rPr>
  </w:style>
  <w:style w:type="character" w:customStyle="1" w:styleId="RSCB04AHeadingSectionChar">
    <w:name w:val="RSC B04 A Heading (Section) Char"/>
    <w:basedOn w:val="DefaultParagraphFont"/>
    <w:link w:val="RSCB04AHeadingSection"/>
    <w:locked/>
    <w:rsid w:val="00E975D0"/>
    <w:rPr>
      <w:b/>
      <w:sz w:val="24"/>
    </w:rPr>
  </w:style>
  <w:style w:type="paragraph" w:customStyle="1" w:styleId="RSCB04AHeadingSection">
    <w:name w:val="RSC B04 A Heading (Section)"/>
    <w:basedOn w:val="Normal"/>
    <w:link w:val="RSCB04AHeadingSectionChar"/>
    <w:qFormat/>
    <w:rsid w:val="00E975D0"/>
    <w:pPr>
      <w:spacing w:before="400" w:after="80" w:line="240" w:lineRule="auto"/>
    </w:pPr>
    <w:rPr>
      <w:b/>
      <w:sz w:val="24"/>
    </w:rPr>
  </w:style>
  <w:style w:type="character" w:customStyle="1" w:styleId="RSCB06BHeadingSub-SectionChar">
    <w:name w:val="RSC B06 B Heading (Sub-Section) Char"/>
    <w:basedOn w:val="DefaultParagraphFont"/>
    <w:link w:val="RSCB06BHeadingSub-Section"/>
    <w:locked/>
    <w:rsid w:val="00E975D0"/>
    <w:rPr>
      <w:b/>
      <w:sz w:val="18"/>
    </w:rPr>
  </w:style>
  <w:style w:type="paragraph" w:customStyle="1" w:styleId="RSCB06BHeadingSub-Section">
    <w:name w:val="RSC B06 B Heading (Sub-Section)"/>
    <w:link w:val="RSCB06BHeadingSub-SectionChar"/>
    <w:qFormat/>
    <w:rsid w:val="00E975D0"/>
    <w:pPr>
      <w:spacing w:after="80" w:line="240" w:lineRule="exact"/>
    </w:pPr>
    <w:rPr>
      <w:b/>
      <w:sz w:val="18"/>
    </w:rPr>
  </w:style>
  <w:style w:type="character" w:customStyle="1" w:styleId="06CHeading">
    <w:name w:val="06 C Heading"/>
    <w:basedOn w:val="RSCB02ArticleTextChar"/>
    <w:uiPriority w:val="1"/>
    <w:rsid w:val="00E975D0"/>
    <w:rPr>
      <w:rFonts w:ascii="Times New Roman" w:hAnsi="Times New Roman" w:cs="Times New Roman"/>
      <w:b/>
      <w:bCs w:val="0"/>
      <w:smallCaps/>
      <w:w w:val="108"/>
      <w:sz w:val="18"/>
      <w:szCs w:val="18"/>
    </w:rPr>
  </w:style>
  <w:style w:type="table" w:styleId="TableGrid">
    <w:name w:val="Table Grid"/>
    <w:basedOn w:val="TableNormal"/>
    <w:uiPriority w:val="59"/>
    <w:rsid w:val="00E975D0"/>
    <w:pPr>
      <w:spacing w:after="0" w:line="240" w:lineRule="auto"/>
    </w:pPr>
    <w:rPr>
      <w:rFonts w:eastAsiaTheme="minorEastAsia"/>
      <w:kern w:val="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SCI04CaptiontoFigureSchemeChartChar">
    <w:name w:val="RSC I04 Caption to Figure/Scheme/Chart Char"/>
    <w:basedOn w:val="DefaultParagraphFont"/>
    <w:link w:val="RSCI04CaptiontoFigureSchemeChart"/>
    <w:locked/>
    <w:rsid w:val="00031F52"/>
    <w:rPr>
      <w:bCs/>
      <w:sz w:val="14"/>
      <w:szCs w:val="18"/>
    </w:rPr>
  </w:style>
  <w:style w:type="paragraph" w:customStyle="1" w:styleId="RSCI04CaptiontoFigureSchemeChart">
    <w:name w:val="RSC I04 Caption to Figure/Scheme/Chart"/>
    <w:link w:val="RSCI04CaptiontoFigureSchemeChartChar"/>
    <w:qFormat/>
    <w:rsid w:val="00031F52"/>
    <w:pPr>
      <w:spacing w:line="200" w:lineRule="exact"/>
      <w:jc w:val="both"/>
    </w:pPr>
    <w:rPr>
      <w:bCs/>
      <w:sz w:val="14"/>
      <w:szCs w:val="18"/>
    </w:rPr>
  </w:style>
  <w:style w:type="character" w:customStyle="1" w:styleId="08ArticleTextChar">
    <w:name w:val="08 Article Text Char"/>
    <w:link w:val="08ArticleText"/>
    <w:locked/>
    <w:rsid w:val="00031F52"/>
    <w:rPr>
      <w:rFonts w:ascii="Times New Roman" w:eastAsia="Calibri" w:hAnsi="Times New Roman" w:cs="Times New Roman"/>
      <w:w w:val="108"/>
      <w:sz w:val="18"/>
      <w:szCs w:val="18"/>
    </w:rPr>
  </w:style>
  <w:style w:type="paragraph" w:customStyle="1" w:styleId="08ArticleText">
    <w:name w:val="08 Article Text"/>
    <w:basedOn w:val="Normal"/>
    <w:link w:val="08ArticleTextChar"/>
    <w:qFormat/>
    <w:rsid w:val="00031F52"/>
    <w:pPr>
      <w:tabs>
        <w:tab w:val="left" w:pos="284"/>
      </w:tabs>
      <w:spacing w:after="0" w:line="240" w:lineRule="exact"/>
      <w:jc w:val="both"/>
    </w:pPr>
    <w:rPr>
      <w:rFonts w:ascii="Times New Roman" w:eastAsia="Calibri" w:hAnsi="Times New Roman" w:cs="Times New Roman"/>
      <w:w w:val="108"/>
      <w:sz w:val="18"/>
      <w:szCs w:val="18"/>
    </w:rPr>
  </w:style>
  <w:style w:type="paragraph" w:customStyle="1" w:styleId="TAMainText">
    <w:name w:val="TA_Main_Text"/>
    <w:basedOn w:val="Normal"/>
    <w:rsid w:val="00AC125F"/>
    <w:pPr>
      <w:spacing w:after="0" w:line="480" w:lineRule="auto"/>
      <w:ind w:firstLine="202"/>
      <w:jc w:val="both"/>
    </w:pPr>
    <w:rPr>
      <w:rFonts w:ascii="Times" w:eastAsiaTheme="minorEastAsia" w:hAnsi="Times" w:cs="Times New Roman"/>
      <w:sz w:val="24"/>
      <w:szCs w:val="20"/>
      <w:lang w:val="en-US"/>
    </w:rPr>
  </w:style>
  <w:style w:type="character" w:customStyle="1" w:styleId="RSCB03MathematicsGreeketcChar">
    <w:name w:val="RSC B03 Mathematics/Greek etc Char"/>
    <w:basedOn w:val="DefaultParagraphFont"/>
    <w:link w:val="RSCB03MathematicsGreeketc"/>
    <w:locked/>
    <w:rsid w:val="00FA7069"/>
    <w:rPr>
      <w:rFonts w:ascii="Times New Roman" w:hAnsi="Times New Roman" w:cs="Times New Roman"/>
      <w:sz w:val="18"/>
    </w:rPr>
  </w:style>
  <w:style w:type="paragraph" w:customStyle="1" w:styleId="RSCB03MathematicsGreeketc">
    <w:name w:val="RSC B03 Mathematics/Greek etc"/>
    <w:basedOn w:val="Normal"/>
    <w:link w:val="RSCB03MathematicsGreeketcChar"/>
    <w:qFormat/>
    <w:rsid w:val="00FA7069"/>
    <w:pPr>
      <w:tabs>
        <w:tab w:val="center" w:pos="2268"/>
        <w:tab w:val="right" w:pos="4536"/>
      </w:tabs>
      <w:spacing w:before="160" w:after="160" w:line="240" w:lineRule="auto"/>
    </w:pPr>
    <w:rPr>
      <w:rFonts w:ascii="Times New Roman" w:hAnsi="Times New Roman" w:cs="Times New Roman"/>
      <w:sz w:val="18"/>
    </w:rPr>
  </w:style>
  <w:style w:type="character" w:styleId="Hyperlink">
    <w:name w:val="Hyperlink"/>
    <w:basedOn w:val="DefaultParagraphFont"/>
    <w:uiPriority w:val="99"/>
    <w:semiHidden/>
    <w:unhideWhenUsed/>
    <w:rsid w:val="00FA7069"/>
    <w:rPr>
      <w:color w:val="0000FF" w:themeColor="hyperlink"/>
      <w:u w:val="single"/>
    </w:rPr>
  </w:style>
  <w:style w:type="paragraph" w:customStyle="1" w:styleId="TESupportingInformation">
    <w:name w:val="TE_Supporting_Information"/>
    <w:basedOn w:val="Normal"/>
    <w:next w:val="Normal"/>
    <w:rsid w:val="00FA7069"/>
    <w:pPr>
      <w:spacing w:line="480" w:lineRule="auto"/>
      <w:ind w:firstLine="187"/>
      <w:jc w:val="both"/>
    </w:pPr>
    <w:rPr>
      <w:rFonts w:ascii="Times" w:eastAsiaTheme="minorEastAsia" w:hAnsi="Times" w:cs="Times New Roman"/>
      <w:sz w:val="24"/>
      <w:szCs w:val="20"/>
      <w:lang w:val="en-US"/>
    </w:rPr>
  </w:style>
  <w:style w:type="character" w:customStyle="1" w:styleId="StyleFACorrespondingAuthorFootnote7ptChar">
    <w:name w:val="Style FA_Corresponding_Author_Footnote + 7 pt Char"/>
    <w:link w:val="StyleFACorrespondingAuthorFootnote7pt"/>
    <w:locked/>
    <w:rsid w:val="00FA7069"/>
    <w:rPr>
      <w:rFonts w:ascii="Arno Pro" w:eastAsia="SimSun" w:hAnsi="Arno Pro" w:cs="Times New Roman"/>
      <w:kern w:val="20"/>
      <w:sz w:val="18"/>
      <w:szCs w:val="20"/>
    </w:rPr>
  </w:style>
  <w:style w:type="paragraph" w:customStyle="1" w:styleId="StyleFACorrespondingAuthorFootnote7pt">
    <w:name w:val="Style FA_Corresponding_Author_Footnote + 7 pt"/>
    <w:basedOn w:val="Normal"/>
    <w:next w:val="Normal"/>
    <w:link w:val="StyleFACorrespondingAuthorFootnote7ptChar"/>
    <w:autoRedefine/>
    <w:rsid w:val="00FA7069"/>
    <w:pPr>
      <w:spacing w:after="0" w:line="240" w:lineRule="auto"/>
    </w:pPr>
    <w:rPr>
      <w:rFonts w:ascii="Arno Pro" w:eastAsia="SimSun" w:hAnsi="Arno Pro" w:cs="Times New Roman"/>
      <w:kern w:val="20"/>
      <w:sz w:val="18"/>
      <w:szCs w:val="20"/>
    </w:rPr>
  </w:style>
  <w:style w:type="character" w:customStyle="1" w:styleId="FAAuthorInfoSubtitleChar">
    <w:name w:val="FA_Author_Info_Subtitle Char"/>
    <w:link w:val="FAAuthorInfoSubtitle"/>
    <w:locked/>
    <w:rsid w:val="00FA7069"/>
    <w:rPr>
      <w:rFonts w:ascii="Times" w:eastAsia="SimSun" w:hAnsi="Times" w:cs="Times New Roman"/>
      <w:b/>
      <w:sz w:val="24"/>
      <w:szCs w:val="20"/>
    </w:rPr>
  </w:style>
  <w:style w:type="paragraph" w:customStyle="1" w:styleId="FAAuthorInfoSubtitle">
    <w:name w:val="FA_Author_Info_Subtitle"/>
    <w:basedOn w:val="Normal"/>
    <w:link w:val="FAAuthorInfoSubtitleChar"/>
    <w:autoRedefine/>
    <w:rsid w:val="00FA7069"/>
    <w:pPr>
      <w:spacing w:before="120" w:after="60" w:line="480" w:lineRule="auto"/>
    </w:pPr>
    <w:rPr>
      <w:rFonts w:ascii="Times" w:eastAsia="SimSun" w:hAnsi="Times" w:cs="Times New Roman"/>
      <w:b/>
      <w:sz w:val="24"/>
      <w:szCs w:val="20"/>
    </w:rPr>
  </w:style>
  <w:style w:type="character" w:customStyle="1" w:styleId="RSCR02ReferencesChar">
    <w:name w:val="RSC R02 References Char"/>
    <w:basedOn w:val="DefaultParagraphFont"/>
    <w:link w:val="RSCR02References"/>
    <w:locked/>
    <w:rsid w:val="00FA7069"/>
    <w:rPr>
      <w:rFonts w:ascii="Times New Roman" w:hAnsi="Times New Roman" w:cs="Times New Roman"/>
      <w:w w:val="105"/>
      <w:sz w:val="18"/>
      <w:szCs w:val="18"/>
    </w:rPr>
  </w:style>
  <w:style w:type="paragraph" w:customStyle="1" w:styleId="RSCR02References">
    <w:name w:val="RSC R02 References"/>
    <w:basedOn w:val="Normal"/>
    <w:link w:val="RSCR02ReferencesChar"/>
    <w:qFormat/>
    <w:rsid w:val="00FA7069"/>
    <w:pPr>
      <w:numPr>
        <w:numId w:val="1"/>
      </w:numPr>
      <w:spacing w:after="0" w:line="200" w:lineRule="exact"/>
      <w:ind w:left="284" w:hanging="284"/>
      <w:jc w:val="both"/>
    </w:pPr>
    <w:rPr>
      <w:rFonts w:ascii="Times New Roman" w:hAnsi="Times New Roman" w:cs="Times New Roman"/>
      <w:w w:val="10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29477">
      <w:bodyDiv w:val="1"/>
      <w:marLeft w:val="0"/>
      <w:marRight w:val="0"/>
      <w:marTop w:val="0"/>
      <w:marBottom w:val="0"/>
      <w:divBdr>
        <w:top w:val="none" w:sz="0" w:space="0" w:color="auto"/>
        <w:left w:val="none" w:sz="0" w:space="0" w:color="auto"/>
        <w:bottom w:val="none" w:sz="0" w:space="0" w:color="auto"/>
        <w:right w:val="none" w:sz="0" w:space="0" w:color="auto"/>
      </w:divBdr>
    </w:div>
    <w:div w:id="358747493">
      <w:bodyDiv w:val="1"/>
      <w:marLeft w:val="0"/>
      <w:marRight w:val="0"/>
      <w:marTop w:val="0"/>
      <w:marBottom w:val="0"/>
      <w:divBdr>
        <w:top w:val="none" w:sz="0" w:space="0" w:color="auto"/>
        <w:left w:val="none" w:sz="0" w:space="0" w:color="auto"/>
        <w:bottom w:val="none" w:sz="0" w:space="0" w:color="auto"/>
        <w:right w:val="none" w:sz="0" w:space="0" w:color="auto"/>
      </w:divBdr>
    </w:div>
    <w:div w:id="424573622">
      <w:bodyDiv w:val="1"/>
      <w:marLeft w:val="0"/>
      <w:marRight w:val="0"/>
      <w:marTop w:val="0"/>
      <w:marBottom w:val="0"/>
      <w:divBdr>
        <w:top w:val="none" w:sz="0" w:space="0" w:color="auto"/>
        <w:left w:val="none" w:sz="0" w:space="0" w:color="auto"/>
        <w:bottom w:val="none" w:sz="0" w:space="0" w:color="auto"/>
        <w:right w:val="none" w:sz="0" w:space="0" w:color="auto"/>
      </w:divBdr>
    </w:div>
    <w:div w:id="433326750">
      <w:bodyDiv w:val="1"/>
      <w:marLeft w:val="0"/>
      <w:marRight w:val="0"/>
      <w:marTop w:val="0"/>
      <w:marBottom w:val="0"/>
      <w:divBdr>
        <w:top w:val="none" w:sz="0" w:space="0" w:color="auto"/>
        <w:left w:val="none" w:sz="0" w:space="0" w:color="auto"/>
        <w:bottom w:val="none" w:sz="0" w:space="0" w:color="auto"/>
        <w:right w:val="none" w:sz="0" w:space="0" w:color="auto"/>
      </w:divBdr>
    </w:div>
    <w:div w:id="442844613">
      <w:bodyDiv w:val="1"/>
      <w:marLeft w:val="0"/>
      <w:marRight w:val="0"/>
      <w:marTop w:val="0"/>
      <w:marBottom w:val="0"/>
      <w:divBdr>
        <w:top w:val="none" w:sz="0" w:space="0" w:color="auto"/>
        <w:left w:val="none" w:sz="0" w:space="0" w:color="auto"/>
        <w:bottom w:val="none" w:sz="0" w:space="0" w:color="auto"/>
        <w:right w:val="none" w:sz="0" w:space="0" w:color="auto"/>
      </w:divBdr>
    </w:div>
    <w:div w:id="487674387">
      <w:bodyDiv w:val="1"/>
      <w:marLeft w:val="0"/>
      <w:marRight w:val="0"/>
      <w:marTop w:val="0"/>
      <w:marBottom w:val="0"/>
      <w:divBdr>
        <w:top w:val="none" w:sz="0" w:space="0" w:color="auto"/>
        <w:left w:val="none" w:sz="0" w:space="0" w:color="auto"/>
        <w:bottom w:val="none" w:sz="0" w:space="0" w:color="auto"/>
        <w:right w:val="none" w:sz="0" w:space="0" w:color="auto"/>
      </w:divBdr>
    </w:div>
    <w:div w:id="514923069">
      <w:bodyDiv w:val="1"/>
      <w:marLeft w:val="0"/>
      <w:marRight w:val="0"/>
      <w:marTop w:val="0"/>
      <w:marBottom w:val="0"/>
      <w:divBdr>
        <w:top w:val="none" w:sz="0" w:space="0" w:color="auto"/>
        <w:left w:val="none" w:sz="0" w:space="0" w:color="auto"/>
        <w:bottom w:val="none" w:sz="0" w:space="0" w:color="auto"/>
        <w:right w:val="none" w:sz="0" w:space="0" w:color="auto"/>
      </w:divBdr>
    </w:div>
    <w:div w:id="577403885">
      <w:bodyDiv w:val="1"/>
      <w:marLeft w:val="0"/>
      <w:marRight w:val="0"/>
      <w:marTop w:val="0"/>
      <w:marBottom w:val="0"/>
      <w:divBdr>
        <w:top w:val="none" w:sz="0" w:space="0" w:color="auto"/>
        <w:left w:val="none" w:sz="0" w:space="0" w:color="auto"/>
        <w:bottom w:val="none" w:sz="0" w:space="0" w:color="auto"/>
        <w:right w:val="none" w:sz="0" w:space="0" w:color="auto"/>
      </w:divBdr>
    </w:div>
    <w:div w:id="777913616">
      <w:bodyDiv w:val="1"/>
      <w:marLeft w:val="0"/>
      <w:marRight w:val="0"/>
      <w:marTop w:val="0"/>
      <w:marBottom w:val="0"/>
      <w:divBdr>
        <w:top w:val="none" w:sz="0" w:space="0" w:color="auto"/>
        <w:left w:val="none" w:sz="0" w:space="0" w:color="auto"/>
        <w:bottom w:val="none" w:sz="0" w:space="0" w:color="auto"/>
        <w:right w:val="none" w:sz="0" w:space="0" w:color="auto"/>
      </w:divBdr>
    </w:div>
    <w:div w:id="968971565">
      <w:bodyDiv w:val="1"/>
      <w:marLeft w:val="0"/>
      <w:marRight w:val="0"/>
      <w:marTop w:val="0"/>
      <w:marBottom w:val="0"/>
      <w:divBdr>
        <w:top w:val="none" w:sz="0" w:space="0" w:color="auto"/>
        <w:left w:val="none" w:sz="0" w:space="0" w:color="auto"/>
        <w:bottom w:val="none" w:sz="0" w:space="0" w:color="auto"/>
        <w:right w:val="none" w:sz="0" w:space="0" w:color="auto"/>
      </w:divBdr>
    </w:div>
    <w:div w:id="986711344">
      <w:bodyDiv w:val="1"/>
      <w:marLeft w:val="0"/>
      <w:marRight w:val="0"/>
      <w:marTop w:val="0"/>
      <w:marBottom w:val="0"/>
      <w:divBdr>
        <w:top w:val="none" w:sz="0" w:space="0" w:color="auto"/>
        <w:left w:val="none" w:sz="0" w:space="0" w:color="auto"/>
        <w:bottom w:val="none" w:sz="0" w:space="0" w:color="auto"/>
        <w:right w:val="none" w:sz="0" w:space="0" w:color="auto"/>
      </w:divBdr>
    </w:div>
    <w:div w:id="1004087827">
      <w:bodyDiv w:val="1"/>
      <w:marLeft w:val="0"/>
      <w:marRight w:val="0"/>
      <w:marTop w:val="0"/>
      <w:marBottom w:val="0"/>
      <w:divBdr>
        <w:top w:val="none" w:sz="0" w:space="0" w:color="auto"/>
        <w:left w:val="none" w:sz="0" w:space="0" w:color="auto"/>
        <w:bottom w:val="none" w:sz="0" w:space="0" w:color="auto"/>
        <w:right w:val="none" w:sz="0" w:space="0" w:color="auto"/>
      </w:divBdr>
    </w:div>
    <w:div w:id="1118378104">
      <w:bodyDiv w:val="1"/>
      <w:marLeft w:val="0"/>
      <w:marRight w:val="0"/>
      <w:marTop w:val="0"/>
      <w:marBottom w:val="0"/>
      <w:divBdr>
        <w:top w:val="none" w:sz="0" w:space="0" w:color="auto"/>
        <w:left w:val="none" w:sz="0" w:space="0" w:color="auto"/>
        <w:bottom w:val="none" w:sz="0" w:space="0" w:color="auto"/>
        <w:right w:val="none" w:sz="0" w:space="0" w:color="auto"/>
      </w:divBdr>
    </w:div>
    <w:div w:id="1145510503">
      <w:bodyDiv w:val="1"/>
      <w:marLeft w:val="0"/>
      <w:marRight w:val="0"/>
      <w:marTop w:val="0"/>
      <w:marBottom w:val="0"/>
      <w:divBdr>
        <w:top w:val="none" w:sz="0" w:space="0" w:color="auto"/>
        <w:left w:val="none" w:sz="0" w:space="0" w:color="auto"/>
        <w:bottom w:val="none" w:sz="0" w:space="0" w:color="auto"/>
        <w:right w:val="none" w:sz="0" w:space="0" w:color="auto"/>
      </w:divBdr>
    </w:div>
    <w:div w:id="1275406598">
      <w:bodyDiv w:val="1"/>
      <w:marLeft w:val="0"/>
      <w:marRight w:val="0"/>
      <w:marTop w:val="0"/>
      <w:marBottom w:val="0"/>
      <w:divBdr>
        <w:top w:val="none" w:sz="0" w:space="0" w:color="auto"/>
        <w:left w:val="none" w:sz="0" w:space="0" w:color="auto"/>
        <w:bottom w:val="none" w:sz="0" w:space="0" w:color="auto"/>
        <w:right w:val="none" w:sz="0" w:space="0" w:color="auto"/>
      </w:divBdr>
    </w:div>
    <w:div w:id="1279023806">
      <w:bodyDiv w:val="1"/>
      <w:marLeft w:val="0"/>
      <w:marRight w:val="0"/>
      <w:marTop w:val="0"/>
      <w:marBottom w:val="0"/>
      <w:divBdr>
        <w:top w:val="none" w:sz="0" w:space="0" w:color="auto"/>
        <w:left w:val="none" w:sz="0" w:space="0" w:color="auto"/>
        <w:bottom w:val="none" w:sz="0" w:space="0" w:color="auto"/>
        <w:right w:val="none" w:sz="0" w:space="0" w:color="auto"/>
      </w:divBdr>
    </w:div>
    <w:div w:id="1471942652">
      <w:bodyDiv w:val="1"/>
      <w:marLeft w:val="0"/>
      <w:marRight w:val="0"/>
      <w:marTop w:val="0"/>
      <w:marBottom w:val="0"/>
      <w:divBdr>
        <w:top w:val="none" w:sz="0" w:space="0" w:color="auto"/>
        <w:left w:val="none" w:sz="0" w:space="0" w:color="auto"/>
        <w:bottom w:val="none" w:sz="0" w:space="0" w:color="auto"/>
        <w:right w:val="none" w:sz="0" w:space="0" w:color="auto"/>
      </w:divBdr>
    </w:div>
    <w:div w:id="1521242011">
      <w:bodyDiv w:val="1"/>
      <w:marLeft w:val="0"/>
      <w:marRight w:val="0"/>
      <w:marTop w:val="0"/>
      <w:marBottom w:val="0"/>
      <w:divBdr>
        <w:top w:val="none" w:sz="0" w:space="0" w:color="auto"/>
        <w:left w:val="none" w:sz="0" w:space="0" w:color="auto"/>
        <w:bottom w:val="none" w:sz="0" w:space="0" w:color="auto"/>
        <w:right w:val="none" w:sz="0" w:space="0" w:color="auto"/>
      </w:divBdr>
    </w:div>
    <w:div w:id="1521432168">
      <w:bodyDiv w:val="1"/>
      <w:marLeft w:val="0"/>
      <w:marRight w:val="0"/>
      <w:marTop w:val="0"/>
      <w:marBottom w:val="0"/>
      <w:divBdr>
        <w:top w:val="none" w:sz="0" w:space="0" w:color="auto"/>
        <w:left w:val="none" w:sz="0" w:space="0" w:color="auto"/>
        <w:bottom w:val="none" w:sz="0" w:space="0" w:color="auto"/>
        <w:right w:val="none" w:sz="0" w:space="0" w:color="auto"/>
      </w:divBdr>
    </w:div>
    <w:div w:id="1525558628">
      <w:bodyDiv w:val="1"/>
      <w:marLeft w:val="0"/>
      <w:marRight w:val="0"/>
      <w:marTop w:val="0"/>
      <w:marBottom w:val="0"/>
      <w:divBdr>
        <w:top w:val="none" w:sz="0" w:space="0" w:color="auto"/>
        <w:left w:val="none" w:sz="0" w:space="0" w:color="auto"/>
        <w:bottom w:val="none" w:sz="0" w:space="0" w:color="auto"/>
        <w:right w:val="none" w:sz="0" w:space="0" w:color="auto"/>
      </w:divBdr>
    </w:div>
    <w:div w:id="1604026329">
      <w:bodyDiv w:val="1"/>
      <w:marLeft w:val="0"/>
      <w:marRight w:val="0"/>
      <w:marTop w:val="0"/>
      <w:marBottom w:val="0"/>
      <w:divBdr>
        <w:top w:val="none" w:sz="0" w:space="0" w:color="auto"/>
        <w:left w:val="none" w:sz="0" w:space="0" w:color="auto"/>
        <w:bottom w:val="none" w:sz="0" w:space="0" w:color="auto"/>
        <w:right w:val="none" w:sz="0" w:space="0" w:color="auto"/>
      </w:divBdr>
    </w:div>
    <w:div w:id="1692298497">
      <w:bodyDiv w:val="1"/>
      <w:marLeft w:val="0"/>
      <w:marRight w:val="0"/>
      <w:marTop w:val="0"/>
      <w:marBottom w:val="0"/>
      <w:divBdr>
        <w:top w:val="none" w:sz="0" w:space="0" w:color="auto"/>
        <w:left w:val="none" w:sz="0" w:space="0" w:color="auto"/>
        <w:bottom w:val="none" w:sz="0" w:space="0" w:color="auto"/>
        <w:right w:val="none" w:sz="0" w:space="0" w:color="auto"/>
      </w:divBdr>
    </w:div>
    <w:div w:id="1699549772">
      <w:bodyDiv w:val="1"/>
      <w:marLeft w:val="0"/>
      <w:marRight w:val="0"/>
      <w:marTop w:val="0"/>
      <w:marBottom w:val="0"/>
      <w:divBdr>
        <w:top w:val="none" w:sz="0" w:space="0" w:color="auto"/>
        <w:left w:val="none" w:sz="0" w:space="0" w:color="auto"/>
        <w:bottom w:val="none" w:sz="0" w:space="0" w:color="auto"/>
        <w:right w:val="none" w:sz="0" w:space="0" w:color="auto"/>
      </w:divBdr>
    </w:div>
    <w:div w:id="1831677642">
      <w:bodyDiv w:val="1"/>
      <w:marLeft w:val="0"/>
      <w:marRight w:val="0"/>
      <w:marTop w:val="0"/>
      <w:marBottom w:val="0"/>
      <w:divBdr>
        <w:top w:val="none" w:sz="0" w:space="0" w:color="auto"/>
        <w:left w:val="none" w:sz="0" w:space="0" w:color="auto"/>
        <w:bottom w:val="none" w:sz="0" w:space="0" w:color="auto"/>
        <w:right w:val="none" w:sz="0" w:space="0" w:color="auto"/>
      </w:divBdr>
    </w:div>
    <w:div w:id="1871992997">
      <w:bodyDiv w:val="1"/>
      <w:marLeft w:val="0"/>
      <w:marRight w:val="0"/>
      <w:marTop w:val="0"/>
      <w:marBottom w:val="0"/>
      <w:divBdr>
        <w:top w:val="none" w:sz="0" w:space="0" w:color="auto"/>
        <w:left w:val="none" w:sz="0" w:space="0" w:color="auto"/>
        <w:bottom w:val="none" w:sz="0" w:space="0" w:color="auto"/>
        <w:right w:val="none" w:sz="0" w:space="0" w:color="auto"/>
      </w:divBdr>
    </w:div>
    <w:div w:id="2019771814">
      <w:bodyDiv w:val="1"/>
      <w:marLeft w:val="0"/>
      <w:marRight w:val="0"/>
      <w:marTop w:val="0"/>
      <w:marBottom w:val="0"/>
      <w:divBdr>
        <w:top w:val="none" w:sz="0" w:space="0" w:color="auto"/>
        <w:left w:val="none" w:sz="0" w:space="0" w:color="auto"/>
        <w:bottom w:val="none" w:sz="0" w:space="0" w:color="auto"/>
        <w:right w:val="none" w:sz="0" w:space="0" w:color="auto"/>
      </w:divBdr>
    </w:div>
    <w:div w:id="208568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png"/><Relationship Id="rId3" Type="http://schemas.microsoft.com/office/2007/relationships/stylesWithEffects" Target="stylesWithEffects.xml"/><Relationship Id="rId21" Type="http://schemas.openxmlformats.org/officeDocument/2006/relationships/image" Target="media/image16.wmf"/><Relationship Id="rId34"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image" Target="media/image19.png"/><Relationship Id="rId32"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png"/><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hyperlink" Target="mailto:anthony@imperial.ac.uk" TargetMode="External"/><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30206</Words>
  <Characters>172179</Characters>
  <Application>Microsoft Office Word</Application>
  <DocSecurity>0</DocSecurity>
  <Lines>1434</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Kucernak</dc:creator>
  <cp:lastModifiedBy>Anthony Kucernak</cp:lastModifiedBy>
  <cp:revision>2</cp:revision>
  <dcterms:created xsi:type="dcterms:W3CDTF">2020-09-24T14:08:00Z</dcterms:created>
  <dcterms:modified xsi:type="dcterms:W3CDTF">2020-09-24T14:08:00Z</dcterms:modified>
</cp:coreProperties>
</file>