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AA6A7E" w14:textId="77777777" w:rsidR="00913EEB" w:rsidRPr="007A6415" w:rsidRDefault="009B1161" w:rsidP="00913EEB">
      <w:pPr>
        <w:spacing w:line="480" w:lineRule="auto"/>
        <w:jc w:val="both"/>
        <w:rPr>
          <w:b/>
          <w:sz w:val="24"/>
          <w:szCs w:val="24"/>
          <w:lang w:val="en-US"/>
        </w:rPr>
      </w:pPr>
      <w:r>
        <w:rPr>
          <w:b/>
          <w:sz w:val="24"/>
          <w:szCs w:val="24"/>
          <w:lang w:val="en-US"/>
        </w:rPr>
        <w:t>Stereotactic body radiation therapy as an effective alternative treatment for sorafenib in patients with hepatocellular carcinoma</w:t>
      </w:r>
      <w:r w:rsidR="00924DE2">
        <w:rPr>
          <w:b/>
          <w:sz w:val="24"/>
          <w:szCs w:val="24"/>
          <w:lang w:val="en-US"/>
        </w:rPr>
        <w:t xml:space="preserve">: a propensity score analysis </w:t>
      </w:r>
    </w:p>
    <w:p w14:paraId="26C46327" w14:textId="77777777" w:rsidR="00913EEB" w:rsidRPr="007704A3" w:rsidRDefault="009037CB" w:rsidP="009037CB">
      <w:pPr>
        <w:spacing w:line="480" w:lineRule="auto"/>
        <w:jc w:val="both"/>
        <w:rPr>
          <w:sz w:val="24"/>
          <w:szCs w:val="24"/>
          <w:lang w:val="en-US"/>
        </w:rPr>
      </w:pPr>
      <w:r w:rsidRPr="007704A3">
        <w:rPr>
          <w:sz w:val="24"/>
          <w:szCs w:val="24"/>
          <w:lang w:val="en-US"/>
        </w:rPr>
        <w:t>Dominik Bettinger</w:t>
      </w:r>
      <w:r w:rsidR="007704A3" w:rsidRPr="007704A3">
        <w:rPr>
          <w:sz w:val="24"/>
          <w:szCs w:val="24"/>
          <w:vertAlign w:val="superscript"/>
          <w:lang w:val="en-US"/>
        </w:rPr>
        <w:t>1,2</w:t>
      </w:r>
      <w:r w:rsidR="007704A3" w:rsidRPr="007704A3">
        <w:rPr>
          <w:sz w:val="24"/>
          <w:szCs w:val="24"/>
          <w:lang w:val="en-US"/>
        </w:rPr>
        <w:t>,</w:t>
      </w:r>
      <w:r w:rsidR="00AD246F">
        <w:rPr>
          <w:sz w:val="24"/>
          <w:szCs w:val="24"/>
          <w:lang w:val="en-US"/>
        </w:rPr>
        <w:t xml:space="preserve"> David J. Pinato</w:t>
      </w:r>
      <w:r w:rsidR="009C60EA">
        <w:rPr>
          <w:sz w:val="24"/>
          <w:szCs w:val="24"/>
          <w:vertAlign w:val="superscript"/>
          <w:lang w:val="en-US"/>
        </w:rPr>
        <w:t>3</w:t>
      </w:r>
      <w:r w:rsidR="00AD246F">
        <w:rPr>
          <w:sz w:val="24"/>
          <w:szCs w:val="24"/>
          <w:lang w:val="en-US"/>
        </w:rPr>
        <w:t xml:space="preserve">, </w:t>
      </w:r>
      <w:r w:rsidR="0084176A">
        <w:rPr>
          <w:sz w:val="24"/>
          <w:szCs w:val="24"/>
          <w:lang w:val="en-US"/>
        </w:rPr>
        <w:t>Michael Schultheiss</w:t>
      </w:r>
      <w:r w:rsidR="0084176A">
        <w:rPr>
          <w:sz w:val="24"/>
          <w:szCs w:val="24"/>
          <w:vertAlign w:val="superscript"/>
          <w:lang w:val="en-US"/>
        </w:rPr>
        <w:t>1</w:t>
      </w:r>
      <w:r w:rsidR="009D55D2" w:rsidRPr="0084176A">
        <w:rPr>
          <w:sz w:val="24"/>
          <w:szCs w:val="24"/>
          <w:lang w:val="en-US"/>
        </w:rPr>
        <w:t>,</w:t>
      </w:r>
      <w:r w:rsidR="009B1161">
        <w:rPr>
          <w:sz w:val="24"/>
          <w:szCs w:val="24"/>
          <w:lang w:val="en-US"/>
        </w:rPr>
        <w:t xml:space="preserve"> </w:t>
      </w:r>
      <w:r w:rsidR="009C60EA">
        <w:rPr>
          <w:sz w:val="24"/>
          <w:szCs w:val="24"/>
          <w:lang w:val="en-US"/>
        </w:rPr>
        <w:t>Rohini Sharma</w:t>
      </w:r>
      <w:r w:rsidR="009C60EA">
        <w:rPr>
          <w:sz w:val="24"/>
          <w:szCs w:val="24"/>
          <w:vertAlign w:val="superscript"/>
          <w:lang w:val="en-US"/>
        </w:rPr>
        <w:t>3</w:t>
      </w:r>
      <w:r w:rsidR="009C60EA">
        <w:rPr>
          <w:sz w:val="24"/>
          <w:szCs w:val="24"/>
          <w:lang w:val="en-US"/>
        </w:rPr>
        <w:t>, Lorenza Rimassa</w:t>
      </w:r>
      <w:r w:rsidR="009C60EA">
        <w:rPr>
          <w:sz w:val="24"/>
          <w:szCs w:val="24"/>
          <w:vertAlign w:val="superscript"/>
          <w:lang w:val="en-US"/>
        </w:rPr>
        <w:t>4</w:t>
      </w:r>
      <w:r w:rsidR="009C60EA">
        <w:rPr>
          <w:sz w:val="24"/>
          <w:szCs w:val="24"/>
          <w:lang w:val="en-US"/>
        </w:rPr>
        <w:t xml:space="preserve">, Tiziana </w:t>
      </w:r>
      <w:r w:rsidR="0010523A">
        <w:rPr>
          <w:sz w:val="24"/>
          <w:szCs w:val="24"/>
          <w:lang w:val="en-US"/>
        </w:rPr>
        <w:t>Pr</w:t>
      </w:r>
      <w:r w:rsidR="009C60EA">
        <w:rPr>
          <w:sz w:val="24"/>
          <w:szCs w:val="24"/>
          <w:lang w:val="en-US"/>
        </w:rPr>
        <w:t>essiani</w:t>
      </w:r>
      <w:r w:rsidR="009C60EA">
        <w:rPr>
          <w:sz w:val="24"/>
          <w:szCs w:val="24"/>
          <w:vertAlign w:val="superscript"/>
          <w:lang w:val="en-US"/>
        </w:rPr>
        <w:t>4</w:t>
      </w:r>
      <w:r w:rsidR="009C60EA">
        <w:rPr>
          <w:sz w:val="24"/>
          <w:szCs w:val="24"/>
          <w:lang w:val="en-US"/>
        </w:rPr>
        <w:t>, Michela E. Burlone</w:t>
      </w:r>
      <w:r w:rsidR="009C60EA">
        <w:rPr>
          <w:sz w:val="24"/>
          <w:szCs w:val="24"/>
          <w:vertAlign w:val="superscript"/>
          <w:lang w:val="en-US"/>
        </w:rPr>
        <w:t>5</w:t>
      </w:r>
      <w:r w:rsidR="009C60EA">
        <w:rPr>
          <w:sz w:val="24"/>
          <w:szCs w:val="24"/>
          <w:lang w:val="en-US"/>
        </w:rPr>
        <w:t>, Mario Pirisi</w:t>
      </w:r>
      <w:r w:rsidR="009C60EA">
        <w:rPr>
          <w:sz w:val="24"/>
          <w:szCs w:val="24"/>
          <w:vertAlign w:val="superscript"/>
          <w:lang w:val="en-US"/>
        </w:rPr>
        <w:t>5</w:t>
      </w:r>
      <w:r w:rsidR="009C60EA">
        <w:rPr>
          <w:sz w:val="24"/>
          <w:szCs w:val="24"/>
          <w:lang w:val="en-US"/>
        </w:rPr>
        <w:t>, Masatoshi Kudo</w:t>
      </w:r>
      <w:r w:rsidR="009C60EA">
        <w:rPr>
          <w:sz w:val="24"/>
          <w:szCs w:val="24"/>
          <w:vertAlign w:val="superscript"/>
          <w:lang w:val="en-US"/>
        </w:rPr>
        <w:t>6</w:t>
      </w:r>
      <w:r w:rsidR="009C60EA">
        <w:rPr>
          <w:sz w:val="24"/>
          <w:szCs w:val="24"/>
          <w:lang w:val="en-US"/>
        </w:rPr>
        <w:t>, Joong Won Park</w:t>
      </w:r>
      <w:r w:rsidR="009C60EA" w:rsidRPr="009C60EA">
        <w:rPr>
          <w:sz w:val="24"/>
          <w:szCs w:val="24"/>
          <w:vertAlign w:val="superscript"/>
          <w:lang w:val="en-US"/>
        </w:rPr>
        <w:t>7</w:t>
      </w:r>
      <w:r w:rsidR="009C60EA">
        <w:rPr>
          <w:sz w:val="24"/>
          <w:szCs w:val="24"/>
          <w:lang w:val="en-US"/>
        </w:rPr>
        <w:t>, Nico Buettner</w:t>
      </w:r>
      <w:r w:rsidR="009C60EA">
        <w:rPr>
          <w:sz w:val="24"/>
          <w:szCs w:val="24"/>
          <w:vertAlign w:val="superscript"/>
          <w:lang w:val="en-US"/>
        </w:rPr>
        <w:t>1</w:t>
      </w:r>
      <w:r w:rsidR="009C60EA" w:rsidRPr="00AD246F">
        <w:rPr>
          <w:sz w:val="24"/>
          <w:szCs w:val="24"/>
          <w:lang w:val="en-US"/>
        </w:rPr>
        <w:t>,</w:t>
      </w:r>
      <w:r w:rsidR="009C60EA">
        <w:rPr>
          <w:sz w:val="24"/>
          <w:szCs w:val="24"/>
          <w:vertAlign w:val="superscript"/>
          <w:lang w:val="en-US"/>
        </w:rPr>
        <w:t xml:space="preserve"> </w:t>
      </w:r>
      <w:r w:rsidR="00193787" w:rsidRPr="00193787">
        <w:rPr>
          <w:sz w:val="24"/>
          <w:szCs w:val="24"/>
          <w:lang w:val="en-US"/>
        </w:rPr>
        <w:t>Christop</w:t>
      </w:r>
      <w:r w:rsidR="00F3436F">
        <w:rPr>
          <w:sz w:val="24"/>
          <w:szCs w:val="24"/>
          <w:lang w:val="en-US"/>
        </w:rPr>
        <w:t>h</w:t>
      </w:r>
      <w:r w:rsidR="00193787">
        <w:rPr>
          <w:sz w:val="24"/>
          <w:szCs w:val="24"/>
          <w:lang w:val="en-US"/>
        </w:rPr>
        <w:t xml:space="preserve"> Neumann-Haefelin</w:t>
      </w:r>
      <w:r w:rsidR="00193787">
        <w:rPr>
          <w:sz w:val="24"/>
          <w:szCs w:val="24"/>
          <w:vertAlign w:val="superscript"/>
          <w:lang w:val="en-US"/>
        </w:rPr>
        <w:t>1</w:t>
      </w:r>
      <w:r w:rsidR="00193787">
        <w:rPr>
          <w:sz w:val="24"/>
          <w:szCs w:val="24"/>
          <w:lang w:val="en-US"/>
        </w:rPr>
        <w:t xml:space="preserve">, </w:t>
      </w:r>
      <w:r w:rsidR="009C60EA">
        <w:rPr>
          <w:sz w:val="24"/>
          <w:szCs w:val="24"/>
          <w:lang w:val="en-US"/>
        </w:rPr>
        <w:t>Tobias Boettler</w:t>
      </w:r>
      <w:r w:rsidR="009C60EA">
        <w:rPr>
          <w:sz w:val="24"/>
          <w:szCs w:val="24"/>
          <w:vertAlign w:val="superscript"/>
          <w:lang w:val="en-US"/>
        </w:rPr>
        <w:t>1</w:t>
      </w:r>
      <w:r w:rsidR="00CE4733">
        <w:rPr>
          <w:sz w:val="24"/>
          <w:szCs w:val="24"/>
          <w:lang w:val="en-US"/>
        </w:rPr>
        <w:t xml:space="preserve">, </w:t>
      </w:r>
      <w:r w:rsidR="00F11893" w:rsidRPr="00F11893">
        <w:rPr>
          <w:sz w:val="24"/>
          <w:szCs w:val="24"/>
          <w:lang w:val="en-US"/>
        </w:rPr>
        <w:t>Daniel Habermehl</w:t>
      </w:r>
      <w:r w:rsidR="00CE4733" w:rsidRPr="00F11893">
        <w:rPr>
          <w:sz w:val="24"/>
          <w:szCs w:val="24"/>
          <w:vertAlign w:val="superscript"/>
          <w:lang w:val="en-US"/>
        </w:rPr>
        <w:t>8</w:t>
      </w:r>
      <w:r w:rsidR="00F11893">
        <w:rPr>
          <w:sz w:val="24"/>
          <w:szCs w:val="24"/>
          <w:vertAlign w:val="superscript"/>
          <w:lang w:val="en-US"/>
        </w:rPr>
        <w:t>,9</w:t>
      </w:r>
      <w:r w:rsidR="00CE4733">
        <w:rPr>
          <w:sz w:val="24"/>
          <w:szCs w:val="24"/>
          <w:lang w:val="en-US"/>
        </w:rPr>
        <w:t xml:space="preserve">, </w:t>
      </w:r>
      <w:r w:rsidR="00F11893" w:rsidRPr="00F11893">
        <w:rPr>
          <w:sz w:val="24"/>
          <w:szCs w:val="24"/>
          <w:lang w:val="en-US"/>
        </w:rPr>
        <w:t>Oliver Riesterer</w:t>
      </w:r>
      <w:r w:rsidR="00F11893" w:rsidRPr="00F11893">
        <w:rPr>
          <w:sz w:val="24"/>
          <w:szCs w:val="24"/>
          <w:vertAlign w:val="superscript"/>
          <w:lang w:val="en-US"/>
        </w:rPr>
        <w:t>10</w:t>
      </w:r>
      <w:r w:rsidR="009C60EA">
        <w:rPr>
          <w:sz w:val="24"/>
          <w:szCs w:val="24"/>
          <w:lang w:val="en-US"/>
        </w:rPr>
        <w:t>,</w:t>
      </w:r>
      <w:r w:rsidR="00F11893">
        <w:rPr>
          <w:sz w:val="24"/>
          <w:szCs w:val="24"/>
          <w:lang w:val="en-US"/>
        </w:rPr>
        <w:t xml:space="preserve"> Mathias Guckenberger</w:t>
      </w:r>
      <w:r w:rsidR="00F11893">
        <w:rPr>
          <w:sz w:val="24"/>
          <w:szCs w:val="24"/>
          <w:vertAlign w:val="superscript"/>
          <w:lang w:val="en-US"/>
        </w:rPr>
        <w:t>10</w:t>
      </w:r>
      <w:r w:rsidR="00F11893">
        <w:rPr>
          <w:sz w:val="24"/>
          <w:szCs w:val="24"/>
          <w:lang w:val="en-US"/>
        </w:rPr>
        <w:t xml:space="preserve">, </w:t>
      </w:r>
      <w:r w:rsidR="00F11893" w:rsidRPr="00F11893">
        <w:rPr>
          <w:sz w:val="24"/>
          <w:szCs w:val="24"/>
          <w:lang w:val="en-US"/>
        </w:rPr>
        <w:t>Oliver Blank</w:t>
      </w:r>
      <w:r w:rsidR="00CE4733" w:rsidRPr="00F11893">
        <w:rPr>
          <w:sz w:val="24"/>
          <w:szCs w:val="24"/>
          <w:vertAlign w:val="superscript"/>
          <w:lang w:val="en-US"/>
        </w:rPr>
        <w:t>1</w:t>
      </w:r>
      <w:r w:rsidR="00F11893">
        <w:rPr>
          <w:sz w:val="24"/>
          <w:szCs w:val="24"/>
          <w:vertAlign w:val="superscript"/>
          <w:lang w:val="en-US"/>
        </w:rPr>
        <w:t>1,12</w:t>
      </w:r>
      <w:r w:rsidR="009B1161">
        <w:rPr>
          <w:sz w:val="24"/>
          <w:szCs w:val="24"/>
          <w:lang w:val="en-US"/>
        </w:rPr>
        <w:t>,</w:t>
      </w:r>
      <w:r w:rsidR="00CE4733">
        <w:rPr>
          <w:sz w:val="24"/>
          <w:szCs w:val="24"/>
          <w:lang w:val="en-US"/>
        </w:rPr>
        <w:t xml:space="preserve"> </w:t>
      </w:r>
      <w:r w:rsidR="00F11893">
        <w:rPr>
          <w:sz w:val="24"/>
          <w:szCs w:val="24"/>
          <w:lang w:val="en-US"/>
        </w:rPr>
        <w:t>Jörg Tamihardja</w:t>
      </w:r>
      <w:r w:rsidR="00F11893">
        <w:rPr>
          <w:sz w:val="24"/>
          <w:szCs w:val="24"/>
          <w:vertAlign w:val="superscript"/>
          <w:lang w:val="en-US"/>
        </w:rPr>
        <w:t>13</w:t>
      </w:r>
      <w:r w:rsidR="00F11893">
        <w:rPr>
          <w:sz w:val="24"/>
          <w:szCs w:val="24"/>
          <w:lang w:val="en-US"/>
        </w:rPr>
        <w:t>, Nasrin Abbasi-Senger</w:t>
      </w:r>
      <w:r w:rsidR="00F11893">
        <w:rPr>
          <w:sz w:val="24"/>
          <w:szCs w:val="24"/>
          <w:vertAlign w:val="superscript"/>
          <w:lang w:val="en-US"/>
        </w:rPr>
        <w:t>14</w:t>
      </w:r>
      <w:r w:rsidR="00F11893">
        <w:rPr>
          <w:sz w:val="24"/>
          <w:szCs w:val="24"/>
          <w:lang w:val="en-US"/>
        </w:rPr>
        <w:t>, Sabine Gerum</w:t>
      </w:r>
      <w:r w:rsidR="00F11893">
        <w:rPr>
          <w:sz w:val="24"/>
          <w:szCs w:val="24"/>
          <w:vertAlign w:val="superscript"/>
          <w:lang w:val="en-US"/>
        </w:rPr>
        <w:t>15</w:t>
      </w:r>
      <w:r w:rsidR="00F11893">
        <w:rPr>
          <w:sz w:val="24"/>
          <w:szCs w:val="24"/>
          <w:lang w:val="en-US"/>
        </w:rPr>
        <w:t>, Stefan Wachter</w:t>
      </w:r>
      <w:r w:rsidR="00F11893">
        <w:rPr>
          <w:sz w:val="24"/>
          <w:szCs w:val="24"/>
          <w:vertAlign w:val="superscript"/>
          <w:lang w:val="en-US"/>
        </w:rPr>
        <w:t>16</w:t>
      </w:r>
      <w:r w:rsidR="00F11893">
        <w:rPr>
          <w:sz w:val="24"/>
          <w:szCs w:val="24"/>
          <w:lang w:val="en-US"/>
        </w:rPr>
        <w:t xml:space="preserve">, </w:t>
      </w:r>
      <w:r w:rsidR="005F0766">
        <w:rPr>
          <w:sz w:val="24"/>
          <w:szCs w:val="24"/>
          <w:lang w:val="en-US"/>
        </w:rPr>
        <w:t>Wolfgang Baus</w:t>
      </w:r>
      <w:r w:rsidR="005F0766">
        <w:rPr>
          <w:sz w:val="24"/>
          <w:szCs w:val="24"/>
          <w:vertAlign w:val="superscript"/>
          <w:lang w:val="en-US"/>
        </w:rPr>
        <w:t>17</w:t>
      </w:r>
      <w:r w:rsidR="005F0766" w:rsidRPr="001B6860">
        <w:rPr>
          <w:sz w:val="24"/>
          <w:szCs w:val="24"/>
          <w:lang w:val="en-US"/>
        </w:rPr>
        <w:t>,</w:t>
      </w:r>
      <w:r w:rsidR="00F11893" w:rsidRPr="001B6860">
        <w:rPr>
          <w:sz w:val="24"/>
          <w:szCs w:val="24"/>
          <w:lang w:val="en-US"/>
        </w:rPr>
        <w:t xml:space="preserve"> </w:t>
      </w:r>
      <w:r w:rsidR="001B6860" w:rsidRPr="001B6860">
        <w:rPr>
          <w:sz w:val="24"/>
          <w:szCs w:val="24"/>
          <w:lang w:val="en-US"/>
        </w:rPr>
        <w:t>Horst Alheit</w:t>
      </w:r>
      <w:r w:rsidR="00F3436F" w:rsidRPr="001B6860">
        <w:rPr>
          <w:sz w:val="24"/>
          <w:szCs w:val="24"/>
          <w:vertAlign w:val="superscript"/>
          <w:lang w:val="en-US"/>
        </w:rPr>
        <w:t>18</w:t>
      </w:r>
      <w:r w:rsidR="00F3436F" w:rsidRPr="001B6860">
        <w:rPr>
          <w:sz w:val="24"/>
          <w:szCs w:val="24"/>
          <w:lang w:val="en-US"/>
        </w:rPr>
        <w:t>,</w:t>
      </w:r>
      <w:r w:rsidR="001B6860">
        <w:rPr>
          <w:sz w:val="24"/>
          <w:szCs w:val="24"/>
          <w:lang w:val="en-US"/>
        </w:rPr>
        <w:t xml:space="preserve"> Christian Ostheimer</w:t>
      </w:r>
      <w:r w:rsidR="001B6860">
        <w:rPr>
          <w:sz w:val="24"/>
          <w:szCs w:val="24"/>
          <w:vertAlign w:val="superscript"/>
          <w:lang w:val="en-US"/>
        </w:rPr>
        <w:t>19</w:t>
      </w:r>
      <w:r w:rsidR="001B6860">
        <w:rPr>
          <w:sz w:val="24"/>
          <w:szCs w:val="24"/>
          <w:lang w:val="en-US"/>
        </w:rPr>
        <w:t>,</w:t>
      </w:r>
      <w:r w:rsidR="00F3436F">
        <w:rPr>
          <w:sz w:val="24"/>
          <w:szCs w:val="24"/>
          <w:lang w:val="en-US"/>
        </w:rPr>
        <w:t xml:space="preserve"> </w:t>
      </w:r>
      <w:r w:rsidR="009743E2">
        <w:rPr>
          <w:sz w:val="24"/>
          <w:szCs w:val="24"/>
          <w:lang w:val="en-US"/>
        </w:rPr>
        <w:t>Anca-Ligia Gros</w:t>
      </w:r>
      <w:r>
        <w:rPr>
          <w:sz w:val="24"/>
          <w:szCs w:val="24"/>
          <w:lang w:val="en-US"/>
        </w:rPr>
        <w:t>u</w:t>
      </w:r>
      <w:r w:rsidR="001B6860">
        <w:rPr>
          <w:sz w:val="24"/>
          <w:szCs w:val="24"/>
          <w:vertAlign w:val="superscript"/>
          <w:lang w:val="en-US"/>
        </w:rPr>
        <w:t>20</w:t>
      </w:r>
      <w:r>
        <w:rPr>
          <w:sz w:val="24"/>
          <w:szCs w:val="24"/>
          <w:vertAlign w:val="superscript"/>
          <w:lang w:val="en-US"/>
        </w:rPr>
        <w:t>,</w:t>
      </w:r>
      <w:r w:rsidR="00F3436F">
        <w:rPr>
          <w:sz w:val="24"/>
          <w:szCs w:val="24"/>
          <w:vertAlign w:val="superscript"/>
          <w:lang w:val="en-US"/>
        </w:rPr>
        <w:t>2</w:t>
      </w:r>
      <w:r w:rsidR="001B6860">
        <w:rPr>
          <w:sz w:val="24"/>
          <w:szCs w:val="24"/>
          <w:vertAlign w:val="superscript"/>
          <w:lang w:val="en-US"/>
        </w:rPr>
        <w:t>1</w:t>
      </w:r>
      <w:r>
        <w:rPr>
          <w:sz w:val="24"/>
          <w:szCs w:val="24"/>
          <w:vertAlign w:val="superscript"/>
          <w:lang w:val="en-US"/>
        </w:rPr>
        <w:t>,</w:t>
      </w:r>
      <w:r w:rsidR="005F0766">
        <w:rPr>
          <w:sz w:val="24"/>
          <w:szCs w:val="24"/>
          <w:vertAlign w:val="superscript"/>
          <w:lang w:val="en-US"/>
        </w:rPr>
        <w:t>2</w:t>
      </w:r>
      <w:r w:rsidR="001B6860">
        <w:rPr>
          <w:sz w:val="24"/>
          <w:szCs w:val="24"/>
          <w:vertAlign w:val="superscript"/>
          <w:lang w:val="en-US"/>
        </w:rPr>
        <w:t>2</w:t>
      </w:r>
      <w:r>
        <w:rPr>
          <w:sz w:val="24"/>
          <w:szCs w:val="24"/>
          <w:lang w:val="en-US"/>
        </w:rPr>
        <w:t xml:space="preserve"> Robert Thimme</w:t>
      </w:r>
      <w:r>
        <w:rPr>
          <w:sz w:val="24"/>
          <w:szCs w:val="24"/>
          <w:vertAlign w:val="superscript"/>
          <w:lang w:val="en-US"/>
        </w:rPr>
        <w:t>1</w:t>
      </w:r>
      <w:r>
        <w:rPr>
          <w:sz w:val="24"/>
          <w:szCs w:val="24"/>
          <w:lang w:val="en-US"/>
        </w:rPr>
        <w:t>, Thomas Baptist Brunner</w:t>
      </w:r>
      <w:r w:rsidR="00F3436F">
        <w:rPr>
          <w:sz w:val="24"/>
          <w:szCs w:val="24"/>
          <w:vertAlign w:val="superscript"/>
          <w:lang w:val="en-US"/>
        </w:rPr>
        <w:t>2</w:t>
      </w:r>
      <w:r w:rsidR="001B6860">
        <w:rPr>
          <w:sz w:val="24"/>
          <w:szCs w:val="24"/>
          <w:vertAlign w:val="superscript"/>
          <w:lang w:val="en-US"/>
        </w:rPr>
        <w:t>1</w:t>
      </w:r>
      <w:r>
        <w:rPr>
          <w:sz w:val="24"/>
          <w:szCs w:val="24"/>
          <w:vertAlign w:val="superscript"/>
          <w:lang w:val="en-US"/>
        </w:rPr>
        <w:t>,</w:t>
      </w:r>
      <w:r w:rsidR="005F0766">
        <w:rPr>
          <w:sz w:val="24"/>
          <w:szCs w:val="24"/>
          <w:vertAlign w:val="superscript"/>
          <w:lang w:val="en-US"/>
        </w:rPr>
        <w:t>2</w:t>
      </w:r>
      <w:r w:rsidR="001B6860">
        <w:rPr>
          <w:sz w:val="24"/>
          <w:szCs w:val="24"/>
          <w:vertAlign w:val="superscript"/>
          <w:lang w:val="en-US"/>
        </w:rPr>
        <w:t>2</w:t>
      </w:r>
      <w:r w:rsidR="00CE4733">
        <w:rPr>
          <w:sz w:val="24"/>
          <w:szCs w:val="24"/>
          <w:vertAlign w:val="superscript"/>
          <w:lang w:val="en-US"/>
        </w:rPr>
        <w:t>,2</w:t>
      </w:r>
      <w:r w:rsidR="001B6860">
        <w:rPr>
          <w:sz w:val="24"/>
          <w:szCs w:val="24"/>
          <w:vertAlign w:val="superscript"/>
          <w:lang w:val="en-US"/>
        </w:rPr>
        <w:t>3 *</w:t>
      </w:r>
      <w:r w:rsidR="007704A3">
        <w:rPr>
          <w:sz w:val="24"/>
          <w:szCs w:val="24"/>
          <w:lang w:val="en-US"/>
        </w:rPr>
        <w:t>, Eleni Gkika</w:t>
      </w:r>
      <w:r w:rsidR="001B6860">
        <w:rPr>
          <w:sz w:val="24"/>
          <w:szCs w:val="24"/>
          <w:vertAlign w:val="superscript"/>
          <w:lang w:val="en-US"/>
        </w:rPr>
        <w:t>20 *</w:t>
      </w:r>
    </w:p>
    <w:p w14:paraId="571CA0EA" w14:textId="77777777" w:rsidR="00913EEB" w:rsidRDefault="00913EEB" w:rsidP="00CE4733">
      <w:pPr>
        <w:spacing w:before="100" w:beforeAutospacing="1" w:line="240" w:lineRule="auto"/>
        <w:jc w:val="both"/>
        <w:rPr>
          <w:sz w:val="24"/>
          <w:szCs w:val="24"/>
          <w:lang w:val="en-US"/>
        </w:rPr>
      </w:pPr>
      <w:r w:rsidRPr="00CE4733">
        <w:rPr>
          <w:sz w:val="24"/>
          <w:szCs w:val="24"/>
          <w:vertAlign w:val="superscript"/>
          <w:lang w:val="en-US"/>
        </w:rPr>
        <w:t>1</w:t>
      </w:r>
      <w:r w:rsidRPr="00CE4733">
        <w:rPr>
          <w:sz w:val="24"/>
          <w:szCs w:val="24"/>
          <w:lang w:val="en-US"/>
        </w:rPr>
        <w:t>Department of Medicine II,</w:t>
      </w:r>
      <w:r w:rsidR="003F2034" w:rsidRPr="00CE4733">
        <w:rPr>
          <w:sz w:val="24"/>
          <w:szCs w:val="24"/>
          <w:lang w:val="en-US"/>
        </w:rPr>
        <w:t xml:space="preserve"> Medical Center University of Freiburg,</w:t>
      </w:r>
      <w:r w:rsidRPr="00CE4733">
        <w:rPr>
          <w:sz w:val="24"/>
          <w:szCs w:val="24"/>
          <w:lang w:val="en-US"/>
        </w:rPr>
        <w:t xml:space="preserve"> </w:t>
      </w:r>
      <w:r w:rsidR="00914226" w:rsidRPr="00CE4733">
        <w:rPr>
          <w:sz w:val="24"/>
          <w:szCs w:val="24"/>
          <w:lang w:val="en-US"/>
        </w:rPr>
        <w:t xml:space="preserve">Faculty of Medicine , University of Freiburg, </w:t>
      </w:r>
      <w:r w:rsidRPr="00CE4733">
        <w:rPr>
          <w:sz w:val="24"/>
          <w:szCs w:val="24"/>
          <w:lang w:val="en-US"/>
        </w:rPr>
        <w:t>Hugstetter Str. 55, D-79106 Freiburg, Germany</w:t>
      </w:r>
    </w:p>
    <w:p w14:paraId="0056115F" w14:textId="77777777" w:rsidR="00914226" w:rsidRPr="00CE4733" w:rsidRDefault="00913EEB" w:rsidP="00CE4733">
      <w:pPr>
        <w:spacing w:before="100" w:beforeAutospacing="1" w:line="240" w:lineRule="auto"/>
        <w:jc w:val="both"/>
        <w:rPr>
          <w:rFonts w:cs="Arial"/>
          <w:bCs/>
          <w:sz w:val="24"/>
          <w:szCs w:val="24"/>
          <w:lang w:val="en-US"/>
        </w:rPr>
      </w:pPr>
      <w:r w:rsidRPr="00CE4733">
        <w:rPr>
          <w:sz w:val="24"/>
          <w:szCs w:val="24"/>
          <w:vertAlign w:val="superscript"/>
          <w:lang w:val="en-US"/>
        </w:rPr>
        <w:t>2</w:t>
      </w:r>
      <w:r w:rsidR="00914226" w:rsidRPr="00CE4733">
        <w:rPr>
          <w:rFonts w:cs="Arial"/>
          <w:bCs/>
          <w:sz w:val="24"/>
          <w:szCs w:val="24"/>
          <w:lang w:val="en-US"/>
        </w:rPr>
        <w:t>Berta-Ottenstein-Programme, Faculty of Medicine, University of Freiburg</w:t>
      </w:r>
    </w:p>
    <w:p w14:paraId="00E50D42" w14:textId="77777777" w:rsidR="009C60EA" w:rsidRPr="00CE4733" w:rsidRDefault="009C60EA" w:rsidP="00CE4733">
      <w:pPr>
        <w:autoSpaceDE w:val="0"/>
        <w:autoSpaceDN w:val="0"/>
        <w:adjustRightInd w:val="0"/>
        <w:spacing w:before="100" w:beforeAutospacing="1" w:line="240" w:lineRule="auto"/>
        <w:jc w:val="both"/>
        <w:rPr>
          <w:rFonts w:ascii="SegoeUI" w:hAnsi="SegoeUI" w:cs="SegoeUI"/>
          <w:color w:val="231F20"/>
          <w:sz w:val="24"/>
          <w:szCs w:val="24"/>
          <w:lang w:val="en-US"/>
        </w:rPr>
      </w:pPr>
      <w:r w:rsidRPr="00CE4733">
        <w:rPr>
          <w:rFonts w:ascii="SegoeUI" w:hAnsi="SegoeUI" w:cs="SegoeUI"/>
          <w:color w:val="231F20"/>
          <w:sz w:val="24"/>
          <w:szCs w:val="24"/>
          <w:vertAlign w:val="superscript"/>
          <w:lang w:val="en-US"/>
        </w:rPr>
        <w:t xml:space="preserve">3 </w:t>
      </w:r>
      <w:r w:rsidRPr="00CE4733">
        <w:rPr>
          <w:rFonts w:ascii="SegoeUI" w:hAnsi="SegoeUI" w:cs="SegoeUI"/>
          <w:color w:val="231F20"/>
          <w:sz w:val="24"/>
          <w:szCs w:val="24"/>
          <w:lang w:val="en-US"/>
        </w:rPr>
        <w:t>Department of Surgery and Cancer, Imperial College London, Hammersmith Hospital, London , UK;</w:t>
      </w:r>
    </w:p>
    <w:p w14:paraId="6E3A42BD" w14:textId="77777777" w:rsidR="009C60EA" w:rsidRPr="00CE4733" w:rsidRDefault="009C60EA" w:rsidP="00CE4733">
      <w:pPr>
        <w:autoSpaceDE w:val="0"/>
        <w:autoSpaceDN w:val="0"/>
        <w:adjustRightInd w:val="0"/>
        <w:spacing w:before="100" w:beforeAutospacing="1" w:line="240" w:lineRule="auto"/>
        <w:jc w:val="both"/>
        <w:rPr>
          <w:rFonts w:cs="Arial"/>
          <w:color w:val="231F20"/>
          <w:sz w:val="24"/>
          <w:szCs w:val="24"/>
          <w:lang w:val="en-US"/>
        </w:rPr>
      </w:pPr>
      <w:r w:rsidRPr="00CE4733">
        <w:rPr>
          <w:rFonts w:cs="Arial"/>
          <w:color w:val="231F20"/>
          <w:sz w:val="24"/>
          <w:szCs w:val="24"/>
          <w:vertAlign w:val="superscript"/>
          <w:lang w:val="en-US"/>
        </w:rPr>
        <w:t xml:space="preserve">4 </w:t>
      </w:r>
      <w:r w:rsidRPr="00CE4733">
        <w:rPr>
          <w:rFonts w:cs="Arial"/>
          <w:color w:val="231F20"/>
          <w:sz w:val="24"/>
          <w:szCs w:val="24"/>
          <w:lang w:val="en-US"/>
        </w:rPr>
        <w:t>Medical Oncology and Haematology Unit, Humanitas Cancer Center, Humanitas Clinical and Research Center, Milan , Italy</w:t>
      </w:r>
    </w:p>
    <w:p w14:paraId="4C1F49DA" w14:textId="77777777" w:rsidR="009C60EA" w:rsidRPr="00DA0A5D" w:rsidRDefault="009C60EA" w:rsidP="00CE4733">
      <w:pPr>
        <w:autoSpaceDE w:val="0"/>
        <w:autoSpaceDN w:val="0"/>
        <w:adjustRightInd w:val="0"/>
        <w:spacing w:before="100" w:beforeAutospacing="1" w:line="240" w:lineRule="auto"/>
        <w:jc w:val="both"/>
        <w:rPr>
          <w:rFonts w:cs="Arial"/>
          <w:color w:val="231F20"/>
          <w:sz w:val="24"/>
          <w:szCs w:val="24"/>
          <w:lang w:val="it-IT"/>
        </w:rPr>
      </w:pPr>
      <w:r w:rsidRPr="00DA0A5D">
        <w:rPr>
          <w:rFonts w:cs="Arial"/>
          <w:color w:val="231F20"/>
          <w:sz w:val="24"/>
          <w:szCs w:val="24"/>
          <w:vertAlign w:val="superscript"/>
          <w:lang w:val="it-IT"/>
        </w:rPr>
        <w:t xml:space="preserve">5 </w:t>
      </w:r>
      <w:r w:rsidRPr="00DA0A5D">
        <w:rPr>
          <w:rFonts w:cs="Arial"/>
          <w:color w:val="231F20"/>
          <w:sz w:val="24"/>
          <w:szCs w:val="24"/>
          <w:lang w:val="it-IT"/>
        </w:rPr>
        <w:t>Department of Translational Medicine, Università degli Studi del Piemonte Orientale “A. Avogadro,” Novara , Italy</w:t>
      </w:r>
    </w:p>
    <w:p w14:paraId="676112B9" w14:textId="77777777" w:rsidR="009C60EA" w:rsidRPr="00CE4733" w:rsidRDefault="009C60EA" w:rsidP="00CE4733">
      <w:pPr>
        <w:autoSpaceDE w:val="0"/>
        <w:autoSpaceDN w:val="0"/>
        <w:adjustRightInd w:val="0"/>
        <w:spacing w:before="100" w:beforeAutospacing="1" w:line="240" w:lineRule="auto"/>
        <w:jc w:val="both"/>
        <w:rPr>
          <w:rFonts w:cs="Arial"/>
          <w:color w:val="231F20"/>
          <w:sz w:val="24"/>
          <w:szCs w:val="24"/>
          <w:lang w:val="en-US"/>
        </w:rPr>
      </w:pPr>
      <w:r w:rsidRPr="00CE4733">
        <w:rPr>
          <w:rFonts w:cs="Arial"/>
          <w:color w:val="231F20"/>
          <w:sz w:val="24"/>
          <w:szCs w:val="24"/>
          <w:vertAlign w:val="superscript"/>
          <w:lang w:val="en-US"/>
        </w:rPr>
        <w:t xml:space="preserve">6 </w:t>
      </w:r>
      <w:r w:rsidRPr="00CE4733">
        <w:rPr>
          <w:rFonts w:cs="Arial"/>
          <w:color w:val="231F20"/>
          <w:sz w:val="24"/>
          <w:szCs w:val="24"/>
          <w:lang w:val="en-US"/>
        </w:rPr>
        <w:t>Department of Gastroenterology and Hepatology, Kindai University School of Medicine, Osakasayama , Japan</w:t>
      </w:r>
    </w:p>
    <w:p w14:paraId="12183DF1" w14:textId="77777777" w:rsidR="009C60EA" w:rsidRPr="00CE4733" w:rsidRDefault="009C60EA" w:rsidP="00CE4733">
      <w:pPr>
        <w:autoSpaceDE w:val="0"/>
        <w:autoSpaceDN w:val="0"/>
        <w:adjustRightInd w:val="0"/>
        <w:spacing w:before="100" w:beforeAutospacing="1" w:line="240" w:lineRule="auto"/>
        <w:jc w:val="both"/>
        <w:rPr>
          <w:rFonts w:cs="Arial"/>
          <w:color w:val="231F20"/>
          <w:sz w:val="24"/>
          <w:szCs w:val="24"/>
          <w:lang w:val="en-US"/>
        </w:rPr>
      </w:pPr>
      <w:r w:rsidRPr="00CE4733">
        <w:rPr>
          <w:rFonts w:cs="Arial"/>
          <w:color w:val="231F20"/>
          <w:sz w:val="24"/>
          <w:szCs w:val="24"/>
          <w:vertAlign w:val="superscript"/>
          <w:lang w:val="en-US"/>
        </w:rPr>
        <w:t xml:space="preserve">7 </w:t>
      </w:r>
      <w:r w:rsidRPr="00CE4733">
        <w:rPr>
          <w:rFonts w:cs="Arial"/>
          <w:color w:val="231F20"/>
          <w:sz w:val="24"/>
          <w:szCs w:val="24"/>
          <w:lang w:val="en-US"/>
        </w:rPr>
        <w:t>Center for Liver Cancer, National Cancer Center Hospital, Goyang , South Korea</w:t>
      </w:r>
    </w:p>
    <w:p w14:paraId="470D0E42" w14:textId="77777777" w:rsidR="00F11893" w:rsidRPr="009261FF" w:rsidRDefault="00CE4733" w:rsidP="00CE4733">
      <w:pPr>
        <w:spacing w:before="100" w:beforeAutospacing="1" w:line="240" w:lineRule="auto"/>
        <w:jc w:val="both"/>
        <w:rPr>
          <w:rFonts w:cs="Arial"/>
          <w:sz w:val="24"/>
          <w:szCs w:val="24"/>
          <w:lang w:val="en-US"/>
        </w:rPr>
      </w:pPr>
      <w:r w:rsidRPr="009261FF">
        <w:rPr>
          <w:rFonts w:cs="Arial"/>
          <w:sz w:val="24"/>
          <w:szCs w:val="24"/>
          <w:vertAlign w:val="superscript"/>
          <w:lang w:val="en-US"/>
        </w:rPr>
        <w:t xml:space="preserve">8 </w:t>
      </w:r>
      <w:r w:rsidR="00F11893" w:rsidRPr="009261FF">
        <w:rPr>
          <w:rFonts w:cs="Arial"/>
          <w:sz w:val="24"/>
          <w:szCs w:val="24"/>
          <w:lang w:val="en-US"/>
        </w:rPr>
        <w:t>Institute of Innovative Radiotherapy, Department of Radiation Science, Helmholtz Zentrum Munich, Germany</w:t>
      </w:r>
    </w:p>
    <w:p w14:paraId="5AE8CD4C" w14:textId="77777777" w:rsidR="009C60EA" w:rsidRPr="009261FF" w:rsidRDefault="00F11893" w:rsidP="00CE4733">
      <w:pPr>
        <w:spacing w:before="100" w:beforeAutospacing="1" w:line="240" w:lineRule="auto"/>
        <w:jc w:val="both"/>
        <w:rPr>
          <w:rFonts w:cs="Arial"/>
          <w:sz w:val="24"/>
          <w:szCs w:val="24"/>
          <w:lang w:val="en-US"/>
        </w:rPr>
      </w:pPr>
      <w:r w:rsidRPr="009261FF">
        <w:rPr>
          <w:rFonts w:cs="Arial"/>
          <w:sz w:val="24"/>
          <w:szCs w:val="24"/>
          <w:vertAlign w:val="superscript"/>
          <w:lang w:val="en-US"/>
        </w:rPr>
        <w:t>9</w:t>
      </w:r>
      <w:r w:rsidRPr="009261FF">
        <w:rPr>
          <w:rFonts w:cs="Arial"/>
          <w:sz w:val="24"/>
          <w:szCs w:val="24"/>
          <w:lang w:val="en-US"/>
        </w:rPr>
        <w:t>Department of Radiation Oncology, Klinikum Rechts der Isar, TU Munich, Germany</w:t>
      </w:r>
    </w:p>
    <w:p w14:paraId="3018B5DA" w14:textId="77777777" w:rsidR="009C60EA" w:rsidRPr="00CE4733" w:rsidRDefault="00F11893" w:rsidP="00CE4733">
      <w:pPr>
        <w:spacing w:before="100" w:beforeAutospacing="1" w:line="240" w:lineRule="auto"/>
        <w:jc w:val="both"/>
        <w:rPr>
          <w:rFonts w:cs="Arial"/>
          <w:sz w:val="24"/>
          <w:szCs w:val="24"/>
          <w:lang w:val="en-US"/>
        </w:rPr>
      </w:pPr>
      <w:r>
        <w:rPr>
          <w:rFonts w:cs="Arial"/>
          <w:sz w:val="24"/>
          <w:szCs w:val="24"/>
          <w:vertAlign w:val="superscript"/>
          <w:lang w:val="en-US"/>
        </w:rPr>
        <w:t>10</w:t>
      </w:r>
      <w:r w:rsidR="009C60EA" w:rsidRPr="00CE4733">
        <w:rPr>
          <w:rFonts w:cs="Arial"/>
          <w:sz w:val="24"/>
          <w:szCs w:val="24"/>
          <w:vertAlign w:val="superscript"/>
          <w:lang w:val="en-US"/>
        </w:rPr>
        <w:t xml:space="preserve"> </w:t>
      </w:r>
      <w:r w:rsidR="009C60EA" w:rsidRPr="00CE4733">
        <w:rPr>
          <w:rFonts w:cs="Arial"/>
          <w:sz w:val="24"/>
          <w:szCs w:val="24"/>
          <w:lang w:val="en-US"/>
        </w:rPr>
        <w:t>University Hospital of Zurich, Department of Radiation Oncology</w:t>
      </w:r>
      <w:r>
        <w:rPr>
          <w:rFonts w:cs="Arial"/>
          <w:sz w:val="24"/>
          <w:szCs w:val="24"/>
          <w:lang w:val="en-US"/>
        </w:rPr>
        <w:t>, Zurich, Switzerland</w:t>
      </w:r>
    </w:p>
    <w:p w14:paraId="3F052C7C" w14:textId="77777777" w:rsidR="009C60EA" w:rsidRDefault="00CE4733" w:rsidP="00CE4733">
      <w:pPr>
        <w:spacing w:before="100" w:beforeAutospacing="1" w:line="240" w:lineRule="auto"/>
        <w:jc w:val="both"/>
        <w:rPr>
          <w:rFonts w:cs="Arial"/>
          <w:sz w:val="24"/>
          <w:szCs w:val="24"/>
          <w:lang w:val="en-US"/>
        </w:rPr>
      </w:pPr>
      <w:r>
        <w:rPr>
          <w:rFonts w:cs="Arial"/>
          <w:sz w:val="24"/>
          <w:szCs w:val="24"/>
          <w:vertAlign w:val="superscript"/>
          <w:lang w:val="en-US"/>
        </w:rPr>
        <w:t>1</w:t>
      </w:r>
      <w:r w:rsidR="00F11893">
        <w:rPr>
          <w:rFonts w:cs="Arial"/>
          <w:sz w:val="24"/>
          <w:szCs w:val="24"/>
          <w:vertAlign w:val="superscript"/>
          <w:lang w:val="en-US"/>
        </w:rPr>
        <w:t>1</w:t>
      </w:r>
      <w:r w:rsidRPr="00CE4733">
        <w:rPr>
          <w:rFonts w:cs="Arial"/>
          <w:sz w:val="24"/>
          <w:szCs w:val="24"/>
          <w:vertAlign w:val="superscript"/>
          <w:lang w:val="en-US"/>
        </w:rPr>
        <w:t xml:space="preserve"> </w:t>
      </w:r>
      <w:r w:rsidR="00F11893">
        <w:rPr>
          <w:rFonts w:cs="Arial"/>
          <w:sz w:val="24"/>
          <w:szCs w:val="24"/>
          <w:lang w:val="en-US"/>
        </w:rPr>
        <w:t>Department of Radiation Oncology, University Medical Center Schleswig-Holstein, Campus Kiel, Germany</w:t>
      </w:r>
    </w:p>
    <w:p w14:paraId="4488650B" w14:textId="77777777" w:rsidR="00F11893" w:rsidRPr="00CE4733" w:rsidRDefault="00F11893" w:rsidP="00CE4733">
      <w:pPr>
        <w:spacing w:before="100" w:beforeAutospacing="1" w:line="240" w:lineRule="auto"/>
        <w:jc w:val="both"/>
        <w:rPr>
          <w:rFonts w:cs="Arial"/>
          <w:sz w:val="24"/>
          <w:szCs w:val="24"/>
          <w:lang w:val="en-US"/>
        </w:rPr>
      </w:pPr>
      <w:r>
        <w:rPr>
          <w:rFonts w:cs="Arial"/>
          <w:sz w:val="24"/>
          <w:szCs w:val="24"/>
          <w:vertAlign w:val="superscript"/>
          <w:lang w:val="en-US"/>
        </w:rPr>
        <w:lastRenderedPageBreak/>
        <w:t>12</w:t>
      </w:r>
      <w:r>
        <w:rPr>
          <w:rFonts w:cs="Arial"/>
          <w:sz w:val="24"/>
          <w:szCs w:val="24"/>
          <w:lang w:val="en-US"/>
        </w:rPr>
        <w:t>Saphir Radiosurgery Center Frankfurt and Güstrow, Germany</w:t>
      </w:r>
    </w:p>
    <w:p w14:paraId="3F992239" w14:textId="77777777" w:rsidR="00F11893" w:rsidRDefault="00CE4733" w:rsidP="00CE4733">
      <w:pPr>
        <w:spacing w:before="100" w:beforeAutospacing="1" w:line="240" w:lineRule="auto"/>
        <w:jc w:val="both"/>
        <w:rPr>
          <w:rFonts w:cs="Arial"/>
          <w:sz w:val="24"/>
          <w:szCs w:val="24"/>
          <w:lang w:val="en-US"/>
        </w:rPr>
      </w:pPr>
      <w:r w:rsidRPr="00CE4733">
        <w:rPr>
          <w:rFonts w:cs="Arial"/>
          <w:sz w:val="24"/>
          <w:szCs w:val="24"/>
          <w:vertAlign w:val="superscript"/>
          <w:lang w:val="en-US"/>
        </w:rPr>
        <w:t>1</w:t>
      </w:r>
      <w:r w:rsidR="00F11893">
        <w:rPr>
          <w:rFonts w:cs="Arial"/>
          <w:sz w:val="24"/>
          <w:szCs w:val="24"/>
          <w:vertAlign w:val="superscript"/>
          <w:lang w:val="en-US"/>
        </w:rPr>
        <w:t>3</w:t>
      </w:r>
      <w:r w:rsidRPr="00F11893">
        <w:rPr>
          <w:rFonts w:cs="Arial"/>
          <w:sz w:val="24"/>
          <w:szCs w:val="24"/>
          <w:lang w:val="en-US"/>
        </w:rPr>
        <w:t xml:space="preserve"> </w:t>
      </w:r>
      <w:r w:rsidR="00F11893" w:rsidRPr="00F11893">
        <w:rPr>
          <w:rFonts w:cs="Arial"/>
          <w:sz w:val="24"/>
          <w:szCs w:val="24"/>
          <w:lang w:val="en-US"/>
        </w:rPr>
        <w:t>Department</w:t>
      </w:r>
      <w:r w:rsidR="00F11893">
        <w:rPr>
          <w:rFonts w:cs="Arial"/>
          <w:sz w:val="24"/>
          <w:szCs w:val="24"/>
          <w:lang w:val="en-US"/>
        </w:rPr>
        <w:t xml:space="preserve"> of Radiation Oncology, </w:t>
      </w:r>
      <w:r w:rsidR="009C60EA" w:rsidRPr="00CE4733">
        <w:rPr>
          <w:rFonts w:cs="Arial"/>
          <w:sz w:val="24"/>
          <w:szCs w:val="24"/>
          <w:lang w:val="en-US"/>
        </w:rPr>
        <w:t>University Hospital of Würzburg</w:t>
      </w:r>
      <w:r w:rsidR="00F11893">
        <w:rPr>
          <w:rFonts w:cs="Arial"/>
          <w:sz w:val="24"/>
          <w:szCs w:val="24"/>
          <w:lang w:val="en-US"/>
        </w:rPr>
        <w:t>, Germany</w:t>
      </w:r>
    </w:p>
    <w:p w14:paraId="70C2CCA1" w14:textId="77777777" w:rsidR="009C60EA" w:rsidRPr="00CE4733" w:rsidRDefault="00CE4733" w:rsidP="00CE4733">
      <w:pPr>
        <w:spacing w:before="100" w:beforeAutospacing="1" w:line="240" w:lineRule="auto"/>
        <w:jc w:val="both"/>
        <w:rPr>
          <w:rFonts w:cs="Arial"/>
          <w:sz w:val="24"/>
          <w:szCs w:val="24"/>
          <w:lang w:val="en-US"/>
        </w:rPr>
      </w:pPr>
      <w:r w:rsidRPr="00CE4733">
        <w:rPr>
          <w:rFonts w:cs="Arial"/>
          <w:sz w:val="24"/>
          <w:szCs w:val="24"/>
          <w:vertAlign w:val="superscript"/>
          <w:lang w:val="en-US"/>
        </w:rPr>
        <w:t>1</w:t>
      </w:r>
      <w:r w:rsidR="00F11893">
        <w:rPr>
          <w:rFonts w:cs="Arial"/>
          <w:sz w:val="24"/>
          <w:szCs w:val="24"/>
          <w:vertAlign w:val="superscript"/>
          <w:lang w:val="en-US"/>
        </w:rPr>
        <w:t>4</w:t>
      </w:r>
      <w:r w:rsidRPr="00CE4733">
        <w:rPr>
          <w:rFonts w:cs="Arial"/>
          <w:sz w:val="24"/>
          <w:szCs w:val="24"/>
          <w:lang w:val="en-US"/>
        </w:rPr>
        <w:t xml:space="preserve"> </w:t>
      </w:r>
      <w:r w:rsidR="009C60EA" w:rsidRPr="00CE4733">
        <w:rPr>
          <w:rFonts w:cs="Arial"/>
          <w:sz w:val="24"/>
          <w:szCs w:val="24"/>
          <w:lang w:val="en-US"/>
        </w:rPr>
        <w:t>Department of Radiation Oncology</w:t>
      </w:r>
      <w:r w:rsidR="00F11893">
        <w:rPr>
          <w:rFonts w:cs="Arial"/>
          <w:sz w:val="24"/>
          <w:szCs w:val="24"/>
          <w:lang w:val="en-US"/>
        </w:rPr>
        <w:t>, Friedrich-Schiller-University Jena, Germany</w:t>
      </w:r>
    </w:p>
    <w:p w14:paraId="7C313A37" w14:textId="77777777" w:rsidR="009C60EA" w:rsidRPr="00CE4733" w:rsidRDefault="00CE4733" w:rsidP="00CE4733">
      <w:pPr>
        <w:spacing w:before="100" w:beforeAutospacing="1" w:line="240" w:lineRule="auto"/>
        <w:jc w:val="both"/>
        <w:rPr>
          <w:rFonts w:cs="Arial"/>
          <w:sz w:val="24"/>
          <w:szCs w:val="24"/>
          <w:lang w:val="en-US"/>
        </w:rPr>
      </w:pPr>
      <w:r w:rsidRPr="00CE4733">
        <w:rPr>
          <w:rFonts w:cs="Arial"/>
          <w:sz w:val="24"/>
          <w:szCs w:val="24"/>
          <w:vertAlign w:val="superscript"/>
          <w:lang w:val="en-US"/>
        </w:rPr>
        <w:t>1</w:t>
      </w:r>
      <w:r w:rsidR="00F11893">
        <w:rPr>
          <w:rFonts w:cs="Arial"/>
          <w:sz w:val="24"/>
          <w:szCs w:val="24"/>
          <w:vertAlign w:val="superscript"/>
          <w:lang w:val="en-US"/>
        </w:rPr>
        <w:t>5</w:t>
      </w:r>
      <w:r w:rsidRPr="00CE4733">
        <w:rPr>
          <w:rFonts w:cs="Arial"/>
          <w:sz w:val="24"/>
          <w:szCs w:val="24"/>
          <w:lang w:val="en-US"/>
        </w:rPr>
        <w:t xml:space="preserve"> </w:t>
      </w:r>
      <w:r w:rsidR="00F11893">
        <w:rPr>
          <w:rFonts w:cs="Arial"/>
          <w:sz w:val="24"/>
          <w:szCs w:val="24"/>
          <w:lang w:val="en-US"/>
        </w:rPr>
        <w:t>Depa</w:t>
      </w:r>
      <w:r w:rsidR="009C60EA" w:rsidRPr="00CE4733">
        <w:rPr>
          <w:rFonts w:cs="Arial"/>
          <w:sz w:val="24"/>
          <w:szCs w:val="24"/>
          <w:lang w:val="en-US"/>
        </w:rPr>
        <w:t>rtment of Radiation Oncology</w:t>
      </w:r>
      <w:r w:rsidR="00F11893">
        <w:rPr>
          <w:rFonts w:cs="Arial"/>
          <w:sz w:val="24"/>
          <w:szCs w:val="24"/>
          <w:lang w:val="en-US"/>
        </w:rPr>
        <w:t>, Ludwig-Maximilians-University Munich, Germany</w:t>
      </w:r>
    </w:p>
    <w:p w14:paraId="07934865" w14:textId="77777777" w:rsidR="009C60EA" w:rsidRPr="00CE4733" w:rsidRDefault="00CE4733" w:rsidP="00CE4733">
      <w:pPr>
        <w:spacing w:before="100" w:beforeAutospacing="1" w:line="240" w:lineRule="auto"/>
        <w:jc w:val="both"/>
        <w:rPr>
          <w:rFonts w:cs="Arial"/>
          <w:sz w:val="24"/>
          <w:szCs w:val="24"/>
          <w:lang w:val="en-US"/>
        </w:rPr>
      </w:pPr>
      <w:r w:rsidRPr="00CE4733">
        <w:rPr>
          <w:rFonts w:cs="Arial"/>
          <w:sz w:val="24"/>
          <w:szCs w:val="24"/>
          <w:vertAlign w:val="superscript"/>
          <w:lang w:val="en-US"/>
        </w:rPr>
        <w:t>1</w:t>
      </w:r>
      <w:r w:rsidR="005F0766">
        <w:rPr>
          <w:rFonts w:cs="Arial"/>
          <w:sz w:val="24"/>
          <w:szCs w:val="24"/>
          <w:vertAlign w:val="superscript"/>
          <w:lang w:val="en-US"/>
        </w:rPr>
        <w:t>6</w:t>
      </w:r>
      <w:r w:rsidRPr="00CE4733">
        <w:rPr>
          <w:rFonts w:cs="Arial"/>
          <w:sz w:val="24"/>
          <w:szCs w:val="24"/>
          <w:vertAlign w:val="superscript"/>
          <w:lang w:val="en-US"/>
        </w:rPr>
        <w:t xml:space="preserve"> </w:t>
      </w:r>
      <w:r w:rsidR="005F0766">
        <w:rPr>
          <w:rFonts w:cs="Arial"/>
          <w:sz w:val="24"/>
          <w:szCs w:val="24"/>
          <w:lang w:val="en-US"/>
        </w:rPr>
        <w:t>Klinikum</w:t>
      </w:r>
      <w:r w:rsidR="009C60EA" w:rsidRPr="00CE4733">
        <w:rPr>
          <w:rFonts w:cs="Arial"/>
          <w:sz w:val="24"/>
          <w:szCs w:val="24"/>
          <w:lang w:val="en-US"/>
        </w:rPr>
        <w:t xml:space="preserve"> Passau, Department of Radiation Oncology</w:t>
      </w:r>
      <w:r w:rsidR="005F0766">
        <w:rPr>
          <w:rFonts w:cs="Arial"/>
          <w:sz w:val="24"/>
          <w:szCs w:val="24"/>
          <w:lang w:val="en-US"/>
        </w:rPr>
        <w:t>, Passau, Germany</w:t>
      </w:r>
    </w:p>
    <w:p w14:paraId="384CFA46" w14:textId="77777777" w:rsidR="009C60EA" w:rsidRDefault="00CE4733" w:rsidP="00CE4733">
      <w:pPr>
        <w:spacing w:before="100" w:beforeAutospacing="1" w:line="240" w:lineRule="auto"/>
        <w:jc w:val="both"/>
        <w:rPr>
          <w:rFonts w:cs="Arial"/>
          <w:sz w:val="24"/>
          <w:szCs w:val="24"/>
          <w:lang w:val="en-US"/>
        </w:rPr>
      </w:pPr>
      <w:r w:rsidRPr="00CE4733">
        <w:rPr>
          <w:rFonts w:cs="Arial"/>
          <w:sz w:val="24"/>
          <w:szCs w:val="24"/>
          <w:vertAlign w:val="superscript"/>
          <w:lang w:val="en-US"/>
        </w:rPr>
        <w:t>1</w:t>
      </w:r>
      <w:r w:rsidR="005F0766">
        <w:rPr>
          <w:rFonts w:cs="Arial"/>
          <w:sz w:val="24"/>
          <w:szCs w:val="24"/>
          <w:vertAlign w:val="superscript"/>
          <w:lang w:val="en-US"/>
        </w:rPr>
        <w:t>7</w:t>
      </w:r>
      <w:r w:rsidRPr="005F0766">
        <w:rPr>
          <w:rFonts w:cs="Arial"/>
          <w:sz w:val="24"/>
          <w:szCs w:val="24"/>
          <w:lang w:val="en-US"/>
        </w:rPr>
        <w:t xml:space="preserve"> </w:t>
      </w:r>
      <w:r w:rsidR="005F0766" w:rsidRPr="005F0766">
        <w:rPr>
          <w:rFonts w:cs="Arial"/>
          <w:sz w:val="24"/>
          <w:szCs w:val="24"/>
          <w:lang w:val="en-US"/>
        </w:rPr>
        <w:t xml:space="preserve">University Hospital </w:t>
      </w:r>
      <w:r w:rsidR="005F0766">
        <w:rPr>
          <w:rFonts w:cs="Arial"/>
          <w:sz w:val="24"/>
          <w:szCs w:val="24"/>
          <w:lang w:val="en-US"/>
        </w:rPr>
        <w:t>of Cologne, Department of Radiation Oncology, Cologne, Germany</w:t>
      </w:r>
    </w:p>
    <w:p w14:paraId="7C2A1004" w14:textId="77777777" w:rsidR="00F3436F" w:rsidRPr="00F3436F" w:rsidRDefault="00F3436F" w:rsidP="00CE4733">
      <w:pPr>
        <w:spacing w:before="100" w:beforeAutospacing="1" w:line="240" w:lineRule="auto"/>
        <w:jc w:val="both"/>
        <w:rPr>
          <w:rFonts w:cs="Arial"/>
          <w:sz w:val="24"/>
          <w:szCs w:val="24"/>
          <w:lang w:val="en-US"/>
        </w:rPr>
      </w:pPr>
      <w:r>
        <w:rPr>
          <w:rFonts w:cs="Arial"/>
          <w:sz w:val="24"/>
          <w:szCs w:val="24"/>
          <w:vertAlign w:val="superscript"/>
          <w:lang w:val="en-US"/>
        </w:rPr>
        <w:t>18</w:t>
      </w:r>
      <w:r>
        <w:rPr>
          <w:rFonts w:cs="Arial"/>
          <w:sz w:val="24"/>
          <w:szCs w:val="24"/>
          <w:lang w:val="en-US"/>
        </w:rPr>
        <w:t xml:space="preserve"> </w:t>
      </w:r>
      <w:r w:rsidR="001B6860" w:rsidRPr="001B6860">
        <w:rPr>
          <w:rFonts w:cs="Arial"/>
          <w:sz w:val="24"/>
          <w:szCs w:val="24"/>
          <w:lang w:val="en-US"/>
        </w:rPr>
        <w:t>Radiotherapy Distler, Bautzen, Germany</w:t>
      </w:r>
    </w:p>
    <w:p w14:paraId="74B55951" w14:textId="77777777" w:rsidR="001B6860" w:rsidRDefault="00CE4733" w:rsidP="00CE4733">
      <w:pPr>
        <w:spacing w:before="100" w:beforeAutospacing="1" w:line="240" w:lineRule="auto"/>
        <w:jc w:val="both"/>
        <w:rPr>
          <w:rFonts w:cs="Arial"/>
          <w:sz w:val="24"/>
          <w:szCs w:val="24"/>
          <w:lang w:val="en-US"/>
        </w:rPr>
      </w:pPr>
      <w:r w:rsidRPr="00CE4733">
        <w:rPr>
          <w:rFonts w:cs="Arial"/>
          <w:sz w:val="24"/>
          <w:szCs w:val="24"/>
          <w:vertAlign w:val="superscript"/>
          <w:lang w:val="en-US"/>
        </w:rPr>
        <w:t>1</w:t>
      </w:r>
      <w:r w:rsidR="00F3436F">
        <w:rPr>
          <w:rFonts w:cs="Arial"/>
          <w:sz w:val="24"/>
          <w:szCs w:val="24"/>
          <w:vertAlign w:val="superscript"/>
          <w:lang w:val="en-US"/>
        </w:rPr>
        <w:t>9</w:t>
      </w:r>
      <w:r w:rsidR="001B6860">
        <w:rPr>
          <w:rFonts w:cs="Arial"/>
          <w:sz w:val="24"/>
          <w:szCs w:val="24"/>
          <w:lang w:val="en-US"/>
        </w:rPr>
        <w:t xml:space="preserve"> Martin Luther University Halle Wittenberg, Department of Radiation Oncology, Halle an der Saale, Germany</w:t>
      </w:r>
    </w:p>
    <w:p w14:paraId="6C307FF8" w14:textId="77777777" w:rsidR="009037CB" w:rsidRPr="00CE4733" w:rsidRDefault="001B6860" w:rsidP="00CE4733">
      <w:pPr>
        <w:spacing w:before="100" w:beforeAutospacing="1" w:line="240" w:lineRule="auto"/>
        <w:jc w:val="both"/>
        <w:rPr>
          <w:rFonts w:cs="Arial"/>
          <w:sz w:val="24"/>
          <w:szCs w:val="24"/>
          <w:lang w:val="en-US"/>
        </w:rPr>
      </w:pPr>
      <w:r>
        <w:rPr>
          <w:rFonts w:cs="Arial"/>
          <w:sz w:val="24"/>
          <w:szCs w:val="24"/>
          <w:vertAlign w:val="superscript"/>
          <w:lang w:val="en-US"/>
        </w:rPr>
        <w:t xml:space="preserve">20 </w:t>
      </w:r>
      <w:r w:rsidR="009037CB" w:rsidRPr="00CE4733">
        <w:rPr>
          <w:rFonts w:cs="Arial"/>
          <w:sz w:val="24"/>
          <w:szCs w:val="24"/>
          <w:lang w:val="en-US"/>
        </w:rPr>
        <w:t>Department of Radiation Oncology, Medical Center University of Freiburg, Faculty of Medicine, University of Freiburg, Robert-Koch-Str. 3, D-79106 Freiburg, Germany</w:t>
      </w:r>
    </w:p>
    <w:p w14:paraId="1BAA3D90" w14:textId="77777777" w:rsidR="009037CB" w:rsidRPr="00CE4733" w:rsidRDefault="00F3436F" w:rsidP="00CE4733">
      <w:pPr>
        <w:spacing w:before="100" w:beforeAutospacing="1" w:line="240" w:lineRule="auto"/>
        <w:jc w:val="both"/>
        <w:rPr>
          <w:rFonts w:cs="Arial"/>
          <w:sz w:val="24"/>
          <w:szCs w:val="24"/>
          <w:lang w:val="en-US"/>
        </w:rPr>
      </w:pPr>
      <w:r>
        <w:rPr>
          <w:rFonts w:cs="Arial"/>
          <w:sz w:val="24"/>
          <w:szCs w:val="24"/>
          <w:vertAlign w:val="superscript"/>
          <w:lang w:val="en-US"/>
        </w:rPr>
        <w:t>2</w:t>
      </w:r>
      <w:r w:rsidR="001B6860">
        <w:rPr>
          <w:rFonts w:cs="Arial"/>
          <w:sz w:val="24"/>
          <w:szCs w:val="24"/>
          <w:vertAlign w:val="superscript"/>
          <w:lang w:val="en-US"/>
        </w:rPr>
        <w:t>1</w:t>
      </w:r>
      <w:r w:rsidR="00CE4733" w:rsidRPr="00CE4733">
        <w:rPr>
          <w:rFonts w:cs="Arial"/>
          <w:sz w:val="24"/>
          <w:szCs w:val="24"/>
          <w:lang w:val="en-US"/>
        </w:rPr>
        <w:t xml:space="preserve"> </w:t>
      </w:r>
      <w:r w:rsidR="009037CB" w:rsidRPr="00CE4733">
        <w:rPr>
          <w:rFonts w:cs="Arial"/>
          <w:sz w:val="24"/>
          <w:szCs w:val="24"/>
          <w:lang w:val="en-US"/>
        </w:rPr>
        <w:t>German Cancer Consortium (DKTK), Partner Site Freiburg, Germany</w:t>
      </w:r>
    </w:p>
    <w:p w14:paraId="6D088983" w14:textId="77777777" w:rsidR="009037CB" w:rsidRPr="00CE4733" w:rsidRDefault="005F0766" w:rsidP="00CE4733">
      <w:pPr>
        <w:spacing w:before="100" w:beforeAutospacing="1" w:line="240" w:lineRule="auto"/>
        <w:jc w:val="both"/>
        <w:rPr>
          <w:sz w:val="24"/>
          <w:szCs w:val="24"/>
          <w:u w:val="single"/>
          <w:lang w:val="en-US"/>
        </w:rPr>
      </w:pPr>
      <w:r>
        <w:rPr>
          <w:rFonts w:cs="Arial"/>
          <w:sz w:val="24"/>
          <w:szCs w:val="24"/>
          <w:vertAlign w:val="superscript"/>
          <w:lang w:val="en-US"/>
        </w:rPr>
        <w:t>2</w:t>
      </w:r>
      <w:r w:rsidR="001B6860">
        <w:rPr>
          <w:rFonts w:cs="Arial"/>
          <w:sz w:val="24"/>
          <w:szCs w:val="24"/>
          <w:vertAlign w:val="superscript"/>
          <w:lang w:val="en-US"/>
        </w:rPr>
        <w:t>2</w:t>
      </w:r>
      <w:r w:rsidR="00CE4733" w:rsidRPr="00CE4733">
        <w:rPr>
          <w:rFonts w:cs="Arial"/>
          <w:sz w:val="24"/>
          <w:szCs w:val="24"/>
          <w:vertAlign w:val="superscript"/>
          <w:lang w:val="en-US"/>
        </w:rPr>
        <w:t xml:space="preserve"> </w:t>
      </w:r>
      <w:r w:rsidR="009037CB" w:rsidRPr="00CE4733">
        <w:rPr>
          <w:rFonts w:cs="Arial"/>
          <w:sz w:val="24"/>
          <w:szCs w:val="24"/>
          <w:lang w:val="en-US"/>
        </w:rPr>
        <w:t xml:space="preserve">German </w:t>
      </w:r>
      <w:r w:rsidR="009B1161" w:rsidRPr="00CE4733">
        <w:rPr>
          <w:rFonts w:cs="Arial"/>
          <w:sz w:val="24"/>
          <w:szCs w:val="24"/>
          <w:lang w:val="en-US"/>
        </w:rPr>
        <w:t>C</w:t>
      </w:r>
      <w:r w:rsidR="009037CB" w:rsidRPr="00CE4733">
        <w:rPr>
          <w:rFonts w:cs="Arial"/>
          <w:sz w:val="24"/>
          <w:szCs w:val="24"/>
          <w:lang w:val="en-US"/>
        </w:rPr>
        <w:t>ancer Research Center (DKFZ), Heidelberg, Germany</w:t>
      </w:r>
    </w:p>
    <w:p w14:paraId="7B905C60" w14:textId="77777777" w:rsidR="00CE4733" w:rsidRPr="004F5E33" w:rsidRDefault="00CE4733" w:rsidP="00CE4733">
      <w:pPr>
        <w:spacing w:before="100" w:beforeAutospacing="1" w:line="240" w:lineRule="auto"/>
        <w:jc w:val="both"/>
        <w:rPr>
          <w:sz w:val="24"/>
          <w:szCs w:val="24"/>
          <w:u w:val="single"/>
          <w:lang w:val="en-US"/>
        </w:rPr>
      </w:pPr>
      <w:r>
        <w:rPr>
          <w:sz w:val="24"/>
          <w:szCs w:val="24"/>
          <w:vertAlign w:val="superscript"/>
          <w:lang w:val="en-US"/>
        </w:rPr>
        <w:t>2</w:t>
      </w:r>
      <w:r w:rsidR="001B6860">
        <w:rPr>
          <w:sz w:val="24"/>
          <w:szCs w:val="24"/>
          <w:vertAlign w:val="superscript"/>
          <w:lang w:val="en-US"/>
        </w:rPr>
        <w:t>3</w:t>
      </w:r>
      <w:r w:rsidRPr="00CE4733">
        <w:rPr>
          <w:sz w:val="24"/>
          <w:szCs w:val="24"/>
          <w:vertAlign w:val="superscript"/>
          <w:lang w:val="en-US"/>
        </w:rPr>
        <w:t xml:space="preserve"> </w:t>
      </w:r>
      <w:r w:rsidRPr="00CE4733">
        <w:rPr>
          <w:sz w:val="24"/>
          <w:szCs w:val="24"/>
          <w:lang w:val="en-US"/>
        </w:rPr>
        <w:t>Department of Radiotherapy University of Magdeburg</w:t>
      </w:r>
    </w:p>
    <w:p w14:paraId="6C34BD64" w14:textId="77777777" w:rsidR="009C60EA" w:rsidRPr="009C60EA" w:rsidRDefault="009C60EA" w:rsidP="009C60EA">
      <w:pPr>
        <w:autoSpaceDE w:val="0"/>
        <w:autoSpaceDN w:val="0"/>
        <w:adjustRightInd w:val="0"/>
        <w:spacing w:after="0" w:line="240" w:lineRule="auto"/>
        <w:rPr>
          <w:rFonts w:cs="Arial"/>
          <w:sz w:val="24"/>
          <w:szCs w:val="24"/>
          <w:u w:val="single"/>
          <w:lang w:val="en-US"/>
        </w:rPr>
      </w:pPr>
    </w:p>
    <w:p w14:paraId="3E52A289" w14:textId="77777777" w:rsidR="001B6860" w:rsidRPr="001B6860" w:rsidRDefault="001B6860" w:rsidP="001B6860">
      <w:pPr>
        <w:rPr>
          <w:sz w:val="24"/>
          <w:szCs w:val="24"/>
          <w:lang w:val="en-US"/>
        </w:rPr>
      </w:pPr>
      <w:r w:rsidRPr="001B6860">
        <w:rPr>
          <w:sz w:val="24"/>
          <w:szCs w:val="24"/>
          <w:lang w:val="en-US"/>
        </w:rPr>
        <w:t xml:space="preserve">* </w:t>
      </w:r>
      <w:r>
        <w:rPr>
          <w:sz w:val="24"/>
          <w:szCs w:val="24"/>
          <w:lang w:val="en-US"/>
        </w:rPr>
        <w:t>shared senior autorship</w:t>
      </w:r>
    </w:p>
    <w:p w14:paraId="03322955" w14:textId="77777777" w:rsidR="001B6860" w:rsidRDefault="001B6860" w:rsidP="00913EEB">
      <w:pPr>
        <w:rPr>
          <w:sz w:val="24"/>
          <w:szCs w:val="24"/>
          <w:u w:val="single"/>
          <w:lang w:val="en-US"/>
        </w:rPr>
      </w:pPr>
    </w:p>
    <w:p w14:paraId="366840E6" w14:textId="77777777" w:rsidR="00913EEB" w:rsidRPr="00E55DD2" w:rsidRDefault="00913EEB" w:rsidP="00913EEB">
      <w:pPr>
        <w:rPr>
          <w:sz w:val="24"/>
          <w:szCs w:val="24"/>
          <w:lang w:val="en-US"/>
        </w:rPr>
      </w:pPr>
      <w:r w:rsidRPr="00E55DD2">
        <w:rPr>
          <w:sz w:val="24"/>
          <w:szCs w:val="24"/>
          <w:u w:val="single"/>
          <w:lang w:val="en-US"/>
        </w:rPr>
        <w:t>Corresponding author:</w:t>
      </w:r>
      <w:r w:rsidRPr="00E55DD2">
        <w:rPr>
          <w:sz w:val="24"/>
          <w:szCs w:val="24"/>
          <w:lang w:val="en-US"/>
        </w:rPr>
        <w:t xml:space="preserve"> </w:t>
      </w:r>
      <w:r w:rsidR="00E55DD2" w:rsidRPr="00E55DD2">
        <w:rPr>
          <w:sz w:val="24"/>
          <w:szCs w:val="24"/>
          <w:lang w:val="en-US"/>
        </w:rPr>
        <w:t>Dr. Dominik Bettinger</w:t>
      </w:r>
    </w:p>
    <w:p w14:paraId="588E990A" w14:textId="77777777" w:rsidR="003F2034" w:rsidRPr="00E55DD2" w:rsidRDefault="00913EEB" w:rsidP="00913EEB">
      <w:pPr>
        <w:rPr>
          <w:sz w:val="24"/>
          <w:szCs w:val="24"/>
          <w:lang w:val="en-US"/>
        </w:rPr>
      </w:pPr>
      <w:r w:rsidRPr="00E55DD2">
        <w:rPr>
          <w:sz w:val="24"/>
          <w:szCs w:val="24"/>
          <w:lang w:val="en-US"/>
        </w:rPr>
        <w:t xml:space="preserve">                                     </w:t>
      </w:r>
      <w:r w:rsidR="003F2034" w:rsidRPr="00E55DD2">
        <w:rPr>
          <w:sz w:val="24"/>
          <w:szCs w:val="24"/>
          <w:lang w:val="en-US"/>
        </w:rPr>
        <w:t>Medical Center University of Freiburg</w:t>
      </w:r>
      <w:r w:rsidRPr="00E55DD2">
        <w:rPr>
          <w:sz w:val="24"/>
          <w:szCs w:val="24"/>
          <w:lang w:val="en-US"/>
        </w:rPr>
        <w:t xml:space="preserve">, Department of </w:t>
      </w:r>
    </w:p>
    <w:p w14:paraId="7191EB2C" w14:textId="77777777" w:rsidR="00913EEB" w:rsidRPr="00E55DD2" w:rsidRDefault="003F2034" w:rsidP="00913EEB">
      <w:pPr>
        <w:rPr>
          <w:sz w:val="24"/>
          <w:szCs w:val="24"/>
        </w:rPr>
      </w:pPr>
      <w:r w:rsidRPr="00E55DD2">
        <w:rPr>
          <w:sz w:val="24"/>
          <w:szCs w:val="24"/>
          <w:lang w:val="en-US"/>
        </w:rPr>
        <w:t xml:space="preserve">                                     </w:t>
      </w:r>
      <w:r w:rsidR="00913EEB" w:rsidRPr="00E55DD2">
        <w:rPr>
          <w:sz w:val="24"/>
          <w:szCs w:val="24"/>
        </w:rPr>
        <w:t>Medicine II</w:t>
      </w:r>
    </w:p>
    <w:p w14:paraId="05F7EF53" w14:textId="77777777" w:rsidR="00913EEB" w:rsidRPr="00E55DD2" w:rsidRDefault="003F2034" w:rsidP="00913EEB">
      <w:pPr>
        <w:rPr>
          <w:sz w:val="24"/>
          <w:szCs w:val="24"/>
        </w:rPr>
      </w:pPr>
      <w:r w:rsidRPr="00E55DD2">
        <w:rPr>
          <w:sz w:val="24"/>
          <w:szCs w:val="24"/>
        </w:rPr>
        <w:t xml:space="preserve">                                    </w:t>
      </w:r>
      <w:r w:rsidR="00913EEB" w:rsidRPr="00E55DD2">
        <w:rPr>
          <w:sz w:val="24"/>
          <w:szCs w:val="24"/>
        </w:rPr>
        <w:t>Hugstetter Str. 55</w:t>
      </w:r>
    </w:p>
    <w:p w14:paraId="13A4EBD7" w14:textId="77777777" w:rsidR="00913EEB" w:rsidRPr="00E55DD2" w:rsidRDefault="00913EEB" w:rsidP="00913EEB">
      <w:pPr>
        <w:rPr>
          <w:sz w:val="24"/>
          <w:szCs w:val="24"/>
        </w:rPr>
      </w:pPr>
      <w:r w:rsidRPr="00E55DD2">
        <w:rPr>
          <w:sz w:val="24"/>
          <w:szCs w:val="24"/>
        </w:rPr>
        <w:t xml:space="preserve">                                     D- 79106 Freiburg, Germany</w:t>
      </w:r>
    </w:p>
    <w:p w14:paraId="38F862C9" w14:textId="77777777" w:rsidR="00913EEB" w:rsidRPr="00E55DD2" w:rsidRDefault="00913EEB" w:rsidP="00913EEB">
      <w:pPr>
        <w:rPr>
          <w:sz w:val="24"/>
          <w:szCs w:val="24"/>
        </w:rPr>
      </w:pPr>
      <w:r w:rsidRPr="00E55DD2">
        <w:rPr>
          <w:sz w:val="24"/>
          <w:szCs w:val="24"/>
        </w:rPr>
        <w:t xml:space="preserve">                                     Tel: +49 761/270-340</w:t>
      </w:r>
      <w:r w:rsidR="0074099D" w:rsidRPr="00E55DD2">
        <w:rPr>
          <w:sz w:val="24"/>
          <w:szCs w:val="24"/>
        </w:rPr>
        <w:t>1</w:t>
      </w:r>
      <w:r w:rsidRPr="00E55DD2">
        <w:rPr>
          <w:sz w:val="24"/>
          <w:szCs w:val="24"/>
        </w:rPr>
        <w:t>0</w:t>
      </w:r>
    </w:p>
    <w:p w14:paraId="2BF27E08" w14:textId="77777777" w:rsidR="00913EEB" w:rsidRPr="00E55DD2" w:rsidRDefault="003F2034" w:rsidP="00913EEB">
      <w:pPr>
        <w:rPr>
          <w:sz w:val="24"/>
          <w:szCs w:val="24"/>
        </w:rPr>
      </w:pPr>
      <w:r w:rsidRPr="00E55DD2">
        <w:rPr>
          <w:sz w:val="24"/>
          <w:szCs w:val="24"/>
        </w:rPr>
        <w:t xml:space="preserve">                                     </w:t>
      </w:r>
      <w:r w:rsidR="00913EEB" w:rsidRPr="00E55DD2">
        <w:rPr>
          <w:sz w:val="24"/>
          <w:szCs w:val="24"/>
        </w:rPr>
        <w:t xml:space="preserve">@: </w:t>
      </w:r>
      <w:r w:rsidR="00E55DD2" w:rsidRPr="00E55DD2">
        <w:rPr>
          <w:sz w:val="24"/>
          <w:szCs w:val="24"/>
        </w:rPr>
        <w:t>dominik.bettinger</w:t>
      </w:r>
      <w:r w:rsidR="00913EEB" w:rsidRPr="00E55DD2">
        <w:rPr>
          <w:sz w:val="24"/>
          <w:szCs w:val="24"/>
        </w:rPr>
        <w:t xml:space="preserve">@uniklinik-freiburg.de </w:t>
      </w:r>
    </w:p>
    <w:p w14:paraId="10D9B78D" w14:textId="77777777" w:rsidR="00913EEB" w:rsidRPr="007E649E" w:rsidRDefault="00913EEB" w:rsidP="00913EEB">
      <w:pPr>
        <w:rPr>
          <w:sz w:val="24"/>
          <w:szCs w:val="24"/>
          <w:lang w:val="en-US"/>
        </w:rPr>
      </w:pPr>
      <w:r w:rsidRPr="007E649E">
        <w:rPr>
          <w:sz w:val="24"/>
          <w:szCs w:val="24"/>
          <w:lang w:val="en-US"/>
        </w:rPr>
        <w:t xml:space="preserve">electronic word count: </w:t>
      </w:r>
      <w:r w:rsidR="00E03366">
        <w:rPr>
          <w:sz w:val="24"/>
          <w:szCs w:val="24"/>
          <w:lang w:val="en-US"/>
        </w:rPr>
        <w:t>4 000 excl</w:t>
      </w:r>
      <w:r w:rsidR="007A6415" w:rsidRPr="007E649E">
        <w:rPr>
          <w:sz w:val="24"/>
          <w:szCs w:val="24"/>
          <w:lang w:val="en-US"/>
        </w:rPr>
        <w:t>. abstract</w:t>
      </w:r>
      <w:r w:rsidR="00F70FA4" w:rsidRPr="007E649E">
        <w:rPr>
          <w:sz w:val="24"/>
          <w:szCs w:val="24"/>
          <w:lang w:val="en-US"/>
        </w:rPr>
        <w:t xml:space="preserve">   (abstract: </w:t>
      </w:r>
      <w:r w:rsidR="001D3B73">
        <w:rPr>
          <w:sz w:val="24"/>
          <w:szCs w:val="24"/>
          <w:lang w:val="en-US"/>
        </w:rPr>
        <w:t>2</w:t>
      </w:r>
      <w:r w:rsidR="00E03366">
        <w:rPr>
          <w:sz w:val="24"/>
          <w:szCs w:val="24"/>
          <w:lang w:val="en-US"/>
        </w:rPr>
        <w:t>27</w:t>
      </w:r>
      <w:r w:rsidR="00F70FA4" w:rsidRPr="007E649E">
        <w:rPr>
          <w:sz w:val="24"/>
          <w:szCs w:val="24"/>
          <w:lang w:val="en-US"/>
        </w:rPr>
        <w:t>)</w:t>
      </w:r>
    </w:p>
    <w:p w14:paraId="0B634A02" w14:textId="77777777" w:rsidR="00913EEB" w:rsidRPr="009261FF" w:rsidRDefault="00913EEB" w:rsidP="00913EEB">
      <w:pPr>
        <w:tabs>
          <w:tab w:val="left" w:pos="1182"/>
        </w:tabs>
        <w:spacing w:after="0" w:line="360" w:lineRule="auto"/>
        <w:rPr>
          <w:rFonts w:cs="Arial"/>
          <w:sz w:val="24"/>
          <w:szCs w:val="24"/>
          <w:lang w:val="en-US"/>
        </w:rPr>
      </w:pPr>
      <w:r w:rsidRPr="009261FF">
        <w:rPr>
          <w:rFonts w:cs="Arial"/>
          <w:sz w:val="24"/>
          <w:szCs w:val="24"/>
          <w:lang w:val="en-US"/>
        </w:rPr>
        <w:t>Figures:</w:t>
      </w:r>
      <w:r w:rsidR="00A257F2" w:rsidRPr="009261FF">
        <w:rPr>
          <w:rFonts w:cs="Arial"/>
          <w:sz w:val="24"/>
          <w:szCs w:val="24"/>
          <w:lang w:val="en-US"/>
        </w:rPr>
        <w:t xml:space="preserve"> </w:t>
      </w:r>
      <w:r w:rsidR="00C50786" w:rsidRPr="009261FF">
        <w:rPr>
          <w:rFonts w:cs="Arial"/>
          <w:sz w:val="24"/>
          <w:szCs w:val="24"/>
          <w:lang w:val="en-US"/>
        </w:rPr>
        <w:t>2</w:t>
      </w:r>
    </w:p>
    <w:p w14:paraId="7B1AE186" w14:textId="77777777" w:rsidR="00913EEB" w:rsidRPr="009261FF" w:rsidRDefault="00913EEB" w:rsidP="00E10E55">
      <w:pPr>
        <w:tabs>
          <w:tab w:val="left" w:pos="1182"/>
        </w:tabs>
        <w:spacing w:after="0" w:line="360" w:lineRule="auto"/>
        <w:rPr>
          <w:rFonts w:cs="Arial"/>
          <w:sz w:val="24"/>
          <w:szCs w:val="24"/>
          <w:lang w:val="en-US"/>
        </w:rPr>
        <w:sectPr w:rsidR="00913EEB" w:rsidRPr="009261FF">
          <w:headerReference w:type="default" r:id="rId8"/>
          <w:pgSz w:w="11906" w:h="16838"/>
          <w:pgMar w:top="1417" w:right="1417" w:bottom="1134" w:left="1417" w:header="708" w:footer="708" w:gutter="0"/>
          <w:cols w:space="720"/>
        </w:sectPr>
      </w:pPr>
      <w:r w:rsidRPr="009261FF">
        <w:rPr>
          <w:rFonts w:cs="Arial"/>
          <w:sz w:val="24"/>
          <w:szCs w:val="24"/>
          <w:lang w:val="en-US"/>
        </w:rPr>
        <w:t>Tables:</w:t>
      </w:r>
      <w:r w:rsidR="00A257F2" w:rsidRPr="009261FF">
        <w:rPr>
          <w:rFonts w:cs="Arial"/>
          <w:sz w:val="24"/>
          <w:szCs w:val="24"/>
          <w:lang w:val="en-US"/>
        </w:rPr>
        <w:t xml:space="preserve"> </w:t>
      </w:r>
      <w:r w:rsidR="00CE4733" w:rsidRPr="009261FF">
        <w:rPr>
          <w:rFonts w:cs="Arial"/>
          <w:sz w:val="24"/>
          <w:szCs w:val="24"/>
          <w:lang w:val="en-US"/>
        </w:rPr>
        <w:t>4</w:t>
      </w:r>
      <w:r w:rsidR="00E10E55" w:rsidRPr="009261FF">
        <w:rPr>
          <w:rFonts w:cs="Arial"/>
          <w:sz w:val="24"/>
          <w:szCs w:val="24"/>
          <w:lang w:val="en-US"/>
        </w:rPr>
        <w:t xml:space="preserve">, supplementary tables: </w:t>
      </w:r>
      <w:r w:rsidR="00D91449" w:rsidRPr="009261FF">
        <w:rPr>
          <w:rFonts w:cs="Arial"/>
          <w:sz w:val="24"/>
          <w:szCs w:val="24"/>
          <w:lang w:val="en-US"/>
        </w:rPr>
        <w:t>1</w:t>
      </w:r>
    </w:p>
    <w:p w14:paraId="514AD7BA" w14:textId="77777777" w:rsidR="00913EEB" w:rsidRPr="009261FF" w:rsidRDefault="005C7993" w:rsidP="00913EEB">
      <w:pPr>
        <w:tabs>
          <w:tab w:val="left" w:pos="1182"/>
        </w:tabs>
        <w:spacing w:line="480" w:lineRule="auto"/>
        <w:jc w:val="both"/>
        <w:rPr>
          <w:rFonts w:cs="Arial"/>
          <w:sz w:val="18"/>
          <w:szCs w:val="18"/>
          <w:lang w:val="en-US"/>
        </w:rPr>
      </w:pPr>
      <w:r w:rsidRPr="009261FF">
        <w:rPr>
          <w:rFonts w:cs="Arial"/>
          <w:b/>
          <w:sz w:val="24"/>
          <w:szCs w:val="24"/>
          <w:lang w:val="en-US"/>
        </w:rPr>
        <w:lastRenderedPageBreak/>
        <w:t>Abbreviations</w:t>
      </w:r>
      <w:r w:rsidR="00D469A2" w:rsidRPr="009261FF">
        <w:rPr>
          <w:rFonts w:cs="Arial"/>
          <w:b/>
          <w:sz w:val="24"/>
          <w:szCs w:val="24"/>
          <w:lang w:val="en-US"/>
        </w:rPr>
        <w:t xml:space="preserve"> </w:t>
      </w:r>
      <w:r w:rsidR="00D469A2" w:rsidRPr="009261FF">
        <w:rPr>
          <w:rFonts w:cs="Arial"/>
          <w:sz w:val="24"/>
          <w:szCs w:val="24"/>
          <w:lang w:val="en-US"/>
        </w:rPr>
        <w:t xml:space="preserve">   </w:t>
      </w:r>
    </w:p>
    <w:p w14:paraId="3F42D2C3" w14:textId="77777777" w:rsidR="007C7331" w:rsidRPr="00803FFE" w:rsidRDefault="008A4866" w:rsidP="00D469A2">
      <w:pPr>
        <w:tabs>
          <w:tab w:val="left" w:pos="1182"/>
        </w:tabs>
        <w:spacing w:line="480" w:lineRule="auto"/>
        <w:jc w:val="both"/>
        <w:rPr>
          <w:sz w:val="24"/>
          <w:szCs w:val="24"/>
          <w:lang w:val="en-US"/>
        </w:rPr>
      </w:pPr>
      <w:r w:rsidRPr="008A4866">
        <w:rPr>
          <w:sz w:val="24"/>
          <w:szCs w:val="24"/>
          <w:lang w:val="en-US"/>
        </w:rPr>
        <w:t>SBRT</w:t>
      </w:r>
      <w:r>
        <w:rPr>
          <w:sz w:val="24"/>
          <w:szCs w:val="24"/>
          <w:lang w:val="en-US"/>
        </w:rPr>
        <w:t xml:space="preserve">, stereotactic body radiation therapy; HCC, hepatocellular carcinoma; OS, overall survival; PD-1, programmed cell death protein-1; EASL, European Association for the Study of the Liver; AASLD, American Association for the Study of the Liver; TACE, transarterial chemoembolization; CT, computer tomography; MRT, magnetic resonance imaging; BCLC, Barcelona Clinic Liver Cancer; </w:t>
      </w:r>
      <w:r w:rsidR="0006642E">
        <w:rPr>
          <w:sz w:val="24"/>
          <w:szCs w:val="24"/>
          <w:lang w:val="en-US"/>
        </w:rPr>
        <w:t xml:space="preserve">DEGRO, German Society of Radiation Oncology; SIP, simultaneous integraded protection; </w:t>
      </w:r>
      <w:r w:rsidR="0006642E" w:rsidRPr="00B14324">
        <w:rPr>
          <w:sz w:val="24"/>
          <w:szCs w:val="24"/>
          <w:lang w:val="en-US"/>
        </w:rPr>
        <w:t xml:space="preserve">PTV, </w:t>
      </w:r>
      <w:r w:rsidR="00B14324" w:rsidRPr="00B14324">
        <w:rPr>
          <w:sz w:val="24"/>
          <w:szCs w:val="24"/>
          <w:lang w:val="en-US"/>
        </w:rPr>
        <w:t>planning target volume</w:t>
      </w:r>
      <w:r w:rsidR="0006642E" w:rsidRPr="00B14324">
        <w:rPr>
          <w:sz w:val="24"/>
          <w:szCs w:val="24"/>
          <w:lang w:val="en-US"/>
        </w:rPr>
        <w:t>;</w:t>
      </w:r>
      <w:r w:rsidR="0006642E" w:rsidRPr="0006642E">
        <w:rPr>
          <w:sz w:val="24"/>
          <w:szCs w:val="24"/>
          <w:lang w:val="en-US"/>
        </w:rPr>
        <w:t xml:space="preserve"> D</w:t>
      </w:r>
      <w:r w:rsidR="0006642E">
        <w:rPr>
          <w:sz w:val="24"/>
          <w:szCs w:val="24"/>
          <w:vertAlign w:val="subscript"/>
          <w:lang w:val="en-US"/>
        </w:rPr>
        <w:t>mean</w:t>
      </w:r>
      <w:r w:rsidR="0006642E" w:rsidRPr="0006642E">
        <w:rPr>
          <w:sz w:val="24"/>
          <w:szCs w:val="24"/>
          <w:lang w:val="en-US"/>
        </w:rPr>
        <w:t>,</w:t>
      </w:r>
      <w:r w:rsidR="00B14324">
        <w:rPr>
          <w:sz w:val="24"/>
          <w:szCs w:val="24"/>
          <w:lang w:val="en-US"/>
        </w:rPr>
        <w:t xml:space="preserve"> mean dose;</w:t>
      </w:r>
      <w:r w:rsidR="0006642E" w:rsidRPr="004E3897">
        <w:rPr>
          <w:sz w:val="24"/>
          <w:szCs w:val="24"/>
          <w:lang w:val="en-US"/>
        </w:rPr>
        <w:t xml:space="preserve"> </w:t>
      </w:r>
      <w:r w:rsidR="004E3897" w:rsidRPr="004E3897">
        <w:rPr>
          <w:sz w:val="24"/>
          <w:szCs w:val="24"/>
          <w:lang w:val="en-US"/>
        </w:rPr>
        <w:t>OAR</w:t>
      </w:r>
      <w:r w:rsidR="004E3897">
        <w:rPr>
          <w:sz w:val="24"/>
          <w:szCs w:val="24"/>
          <w:lang w:val="en-US"/>
        </w:rPr>
        <w:t xml:space="preserve">, </w:t>
      </w:r>
      <w:r w:rsidR="00B14324">
        <w:rPr>
          <w:sz w:val="24"/>
          <w:szCs w:val="24"/>
          <w:lang w:val="en-US"/>
        </w:rPr>
        <w:t>organs at risk</w:t>
      </w:r>
      <w:r w:rsidR="004E3897" w:rsidRPr="004E3897">
        <w:rPr>
          <w:sz w:val="24"/>
          <w:szCs w:val="24"/>
          <w:lang w:val="en-US"/>
        </w:rPr>
        <w:t>;</w:t>
      </w:r>
      <w:r w:rsidR="004E3897">
        <w:rPr>
          <w:sz w:val="24"/>
          <w:szCs w:val="24"/>
          <w:lang w:val="en-US"/>
        </w:rPr>
        <w:t xml:space="preserve"> IMRT, intensity modulated radiotherapy; ECOG, Eastern Cooperati</w:t>
      </w:r>
      <w:r w:rsidR="007C1DC6">
        <w:rPr>
          <w:sz w:val="24"/>
          <w:szCs w:val="24"/>
          <w:lang w:val="en-US"/>
        </w:rPr>
        <w:t>ve</w:t>
      </w:r>
      <w:r w:rsidR="004E3897">
        <w:rPr>
          <w:sz w:val="24"/>
          <w:szCs w:val="24"/>
          <w:lang w:val="en-US"/>
        </w:rPr>
        <w:t xml:space="preserve"> Oncology Group; </w:t>
      </w:r>
      <w:r w:rsidR="00407C0B">
        <w:rPr>
          <w:sz w:val="24"/>
          <w:szCs w:val="24"/>
          <w:lang w:val="en-US"/>
        </w:rPr>
        <w:t xml:space="preserve">PVT, portal vein thrombosis; </w:t>
      </w:r>
      <w:r w:rsidR="00803FFE">
        <w:rPr>
          <w:sz w:val="24"/>
          <w:szCs w:val="24"/>
          <w:lang w:val="en-US"/>
        </w:rPr>
        <w:t>D</w:t>
      </w:r>
      <w:r w:rsidR="00803FFE">
        <w:rPr>
          <w:sz w:val="24"/>
          <w:szCs w:val="24"/>
          <w:vertAlign w:val="subscript"/>
          <w:lang w:val="en-US"/>
        </w:rPr>
        <w:t>max</w:t>
      </w:r>
      <w:r w:rsidR="00803FFE">
        <w:rPr>
          <w:sz w:val="24"/>
          <w:szCs w:val="24"/>
          <w:lang w:val="en-US"/>
        </w:rPr>
        <w:t>; median maximum dose; IQR, interquartile range; BED</w:t>
      </w:r>
      <w:r w:rsidR="00803FFE">
        <w:rPr>
          <w:sz w:val="24"/>
          <w:szCs w:val="24"/>
          <w:vertAlign w:val="subscript"/>
          <w:lang w:val="en-US"/>
        </w:rPr>
        <w:t>10</w:t>
      </w:r>
      <w:r w:rsidR="00803FFE">
        <w:rPr>
          <w:sz w:val="24"/>
          <w:szCs w:val="24"/>
          <w:lang w:val="en-US"/>
        </w:rPr>
        <w:t xml:space="preserve">, median biological effective dose; CTCAE, Common Toxicity Criteria Adverse Events; </w:t>
      </w:r>
      <w:r w:rsidR="007C1DC6">
        <w:rPr>
          <w:sz w:val="24"/>
          <w:szCs w:val="24"/>
          <w:lang w:val="en-US"/>
        </w:rPr>
        <w:t>95% CI, 95% confidence interval; HR, Hazard ratio; ESMO, European Society for Medical Oncology; SIRT, selective internal radiation therapy; AST; aspartat aminotransferase; ALT, alanine aminotransferase; AFP, alpha-fetoprotein; OR, Odds ratio</w:t>
      </w:r>
    </w:p>
    <w:p w14:paraId="019C54AA" w14:textId="77777777" w:rsidR="00D469A2" w:rsidRPr="00643251" w:rsidRDefault="0043615C" w:rsidP="00D469A2">
      <w:pPr>
        <w:tabs>
          <w:tab w:val="left" w:pos="1182"/>
        </w:tabs>
        <w:spacing w:line="480" w:lineRule="auto"/>
        <w:jc w:val="both"/>
        <w:rPr>
          <w:rFonts w:cs="Arial"/>
          <w:sz w:val="18"/>
          <w:szCs w:val="18"/>
          <w:lang w:val="en-US"/>
        </w:rPr>
      </w:pPr>
      <w:r w:rsidRPr="001B6860">
        <w:rPr>
          <w:b/>
          <w:sz w:val="24"/>
          <w:szCs w:val="24"/>
          <w:lang w:val="en-US"/>
        </w:rPr>
        <w:t>Author contribution</w:t>
      </w:r>
      <w:r w:rsidR="00482DBA" w:rsidRPr="001B6860">
        <w:rPr>
          <w:b/>
          <w:sz w:val="24"/>
          <w:szCs w:val="24"/>
          <w:lang w:val="en-US"/>
        </w:rPr>
        <w:t>s</w:t>
      </w:r>
      <w:r w:rsidR="00D469A2" w:rsidRPr="00643251">
        <w:rPr>
          <w:b/>
          <w:sz w:val="24"/>
          <w:szCs w:val="24"/>
          <w:lang w:val="en-US"/>
        </w:rPr>
        <w:t xml:space="preserve">    </w:t>
      </w:r>
    </w:p>
    <w:p w14:paraId="6568BEB8" w14:textId="77777777" w:rsidR="00DD3E44" w:rsidRPr="00482DBA" w:rsidRDefault="005C7993" w:rsidP="00913EEB">
      <w:pPr>
        <w:spacing w:line="480" w:lineRule="auto"/>
        <w:rPr>
          <w:sz w:val="24"/>
          <w:szCs w:val="24"/>
          <w:lang w:val="en-US"/>
        </w:rPr>
      </w:pPr>
      <w:r w:rsidRPr="00482DBA">
        <w:rPr>
          <w:sz w:val="24"/>
          <w:szCs w:val="24"/>
          <w:lang w:val="en-US"/>
        </w:rPr>
        <w:t xml:space="preserve">Study concept and design: </w:t>
      </w:r>
      <w:r w:rsidR="001B6860">
        <w:rPr>
          <w:sz w:val="24"/>
          <w:szCs w:val="24"/>
          <w:lang w:val="en-US"/>
        </w:rPr>
        <w:t>DB, TBB, EG</w:t>
      </w:r>
    </w:p>
    <w:p w14:paraId="7E698530" w14:textId="77777777" w:rsidR="005C7993" w:rsidRPr="00482DBA" w:rsidRDefault="005C7993" w:rsidP="00913EEB">
      <w:pPr>
        <w:spacing w:line="480" w:lineRule="auto"/>
        <w:rPr>
          <w:sz w:val="24"/>
          <w:szCs w:val="24"/>
          <w:lang w:val="en-US"/>
        </w:rPr>
      </w:pPr>
      <w:r w:rsidRPr="00482DBA">
        <w:rPr>
          <w:sz w:val="24"/>
          <w:szCs w:val="24"/>
          <w:lang w:val="en-US"/>
        </w:rPr>
        <w:t xml:space="preserve">Acquisition of data: </w:t>
      </w:r>
      <w:r w:rsidR="001B6860">
        <w:rPr>
          <w:sz w:val="24"/>
          <w:szCs w:val="24"/>
          <w:lang w:val="en-US"/>
        </w:rPr>
        <w:t>DB, DJP, LR, TR, MEB, MP, MK, JWP, DH, OR, MG, OP, JT, NAS, SG, SW, WB, HA, CO</w:t>
      </w:r>
    </w:p>
    <w:p w14:paraId="312780C5" w14:textId="77777777" w:rsidR="005C7993" w:rsidRPr="00482DBA" w:rsidRDefault="005C7993" w:rsidP="00913EEB">
      <w:pPr>
        <w:spacing w:line="480" w:lineRule="auto"/>
        <w:rPr>
          <w:sz w:val="24"/>
          <w:szCs w:val="24"/>
          <w:lang w:val="en-US"/>
        </w:rPr>
      </w:pPr>
      <w:r w:rsidRPr="00482DBA">
        <w:rPr>
          <w:sz w:val="24"/>
          <w:szCs w:val="24"/>
          <w:lang w:val="en-US"/>
        </w:rPr>
        <w:t xml:space="preserve">Interpretation of data: </w:t>
      </w:r>
      <w:r w:rsidR="001B6860">
        <w:rPr>
          <w:sz w:val="24"/>
          <w:szCs w:val="24"/>
          <w:lang w:val="en-US"/>
        </w:rPr>
        <w:t>DB, MS, NB, TBB, EG</w:t>
      </w:r>
    </w:p>
    <w:p w14:paraId="5383C2A2" w14:textId="77777777" w:rsidR="005C7993" w:rsidRPr="00482DBA" w:rsidRDefault="005C7993" w:rsidP="00913EEB">
      <w:pPr>
        <w:spacing w:line="480" w:lineRule="auto"/>
        <w:rPr>
          <w:sz w:val="24"/>
          <w:szCs w:val="24"/>
          <w:lang w:val="en-US"/>
        </w:rPr>
      </w:pPr>
      <w:r w:rsidRPr="00482DBA">
        <w:rPr>
          <w:sz w:val="24"/>
          <w:szCs w:val="24"/>
          <w:lang w:val="en-US"/>
        </w:rPr>
        <w:t xml:space="preserve">Statistical analyses: </w:t>
      </w:r>
      <w:r w:rsidR="001B6860">
        <w:rPr>
          <w:sz w:val="24"/>
          <w:szCs w:val="24"/>
          <w:lang w:val="en-US"/>
        </w:rPr>
        <w:t>DB, EG</w:t>
      </w:r>
    </w:p>
    <w:p w14:paraId="00CE9C1E" w14:textId="77777777" w:rsidR="005C7993" w:rsidRPr="00482DBA" w:rsidRDefault="005C7993" w:rsidP="00913EEB">
      <w:pPr>
        <w:spacing w:line="480" w:lineRule="auto"/>
        <w:rPr>
          <w:sz w:val="24"/>
          <w:szCs w:val="24"/>
          <w:lang w:val="en-US"/>
        </w:rPr>
      </w:pPr>
      <w:r w:rsidRPr="00482DBA">
        <w:rPr>
          <w:sz w:val="24"/>
          <w:szCs w:val="24"/>
          <w:lang w:val="en-US"/>
        </w:rPr>
        <w:t xml:space="preserve">Drafting the manuscript: </w:t>
      </w:r>
      <w:r w:rsidR="001B6860">
        <w:rPr>
          <w:sz w:val="24"/>
          <w:szCs w:val="24"/>
          <w:lang w:val="en-US"/>
        </w:rPr>
        <w:t>DB, TBB, EG</w:t>
      </w:r>
    </w:p>
    <w:p w14:paraId="1147E785" w14:textId="77777777" w:rsidR="001B6860" w:rsidRPr="00482DBA" w:rsidRDefault="005C7993" w:rsidP="001B6860">
      <w:pPr>
        <w:spacing w:line="480" w:lineRule="auto"/>
        <w:rPr>
          <w:sz w:val="24"/>
          <w:szCs w:val="24"/>
          <w:lang w:val="en-US"/>
        </w:rPr>
      </w:pPr>
      <w:r w:rsidRPr="00482DBA">
        <w:rPr>
          <w:sz w:val="24"/>
          <w:szCs w:val="24"/>
          <w:lang w:val="en-US"/>
        </w:rPr>
        <w:lastRenderedPageBreak/>
        <w:t>Critical revision of the manuscript for important intellectual content:</w:t>
      </w:r>
      <w:r w:rsidR="001B6860" w:rsidRPr="001B6860">
        <w:rPr>
          <w:sz w:val="24"/>
          <w:szCs w:val="24"/>
          <w:lang w:val="en-US"/>
        </w:rPr>
        <w:t xml:space="preserve"> </w:t>
      </w:r>
      <w:r w:rsidR="001B6860">
        <w:rPr>
          <w:sz w:val="24"/>
          <w:szCs w:val="24"/>
          <w:lang w:val="en-US"/>
        </w:rPr>
        <w:t>MS, DJP, LR, TR, MEB, MP, MK, JWP, NB, CNH, TB, DH, OR, MG, OP, JT, NAS, SG, SW, WB, HA, CO, ALG, RT</w:t>
      </w:r>
    </w:p>
    <w:p w14:paraId="0E898AC6" w14:textId="77777777" w:rsidR="005C7993" w:rsidRPr="00DD3E44" w:rsidRDefault="005C7993" w:rsidP="00913EEB">
      <w:pPr>
        <w:spacing w:line="480" w:lineRule="auto"/>
        <w:rPr>
          <w:sz w:val="24"/>
          <w:szCs w:val="24"/>
          <w:lang w:val="en-US"/>
        </w:rPr>
      </w:pPr>
    </w:p>
    <w:p w14:paraId="4D9D8869" w14:textId="77777777" w:rsidR="008968A4" w:rsidRPr="003A2C35" w:rsidRDefault="008968A4" w:rsidP="008968A4">
      <w:pPr>
        <w:autoSpaceDE w:val="0"/>
        <w:autoSpaceDN w:val="0"/>
        <w:adjustRightInd w:val="0"/>
        <w:spacing w:after="0" w:line="480" w:lineRule="auto"/>
        <w:jc w:val="both"/>
        <w:rPr>
          <w:rFonts w:cs="Arial"/>
          <w:b/>
          <w:sz w:val="24"/>
          <w:szCs w:val="24"/>
          <w:lang w:val="en-US" w:eastAsia="de-DE"/>
        </w:rPr>
      </w:pPr>
      <w:r w:rsidRPr="003A2C35">
        <w:rPr>
          <w:rFonts w:cs="Arial"/>
          <w:b/>
          <w:sz w:val="24"/>
          <w:szCs w:val="24"/>
          <w:lang w:val="en-US" w:eastAsia="de-DE"/>
        </w:rPr>
        <w:t xml:space="preserve">All authors approved the final version of the article, including the authorship. </w:t>
      </w:r>
    </w:p>
    <w:p w14:paraId="2F87085D" w14:textId="77777777" w:rsidR="00674BE6" w:rsidRDefault="00674BE6" w:rsidP="008968A4">
      <w:pPr>
        <w:autoSpaceDE w:val="0"/>
        <w:autoSpaceDN w:val="0"/>
        <w:adjustRightInd w:val="0"/>
        <w:spacing w:after="0" w:line="480" w:lineRule="auto"/>
        <w:rPr>
          <w:rFonts w:cs="Arial"/>
          <w:sz w:val="24"/>
          <w:szCs w:val="24"/>
          <w:u w:val="single"/>
          <w:lang w:val="en-US" w:eastAsia="de-DE"/>
        </w:rPr>
      </w:pPr>
    </w:p>
    <w:p w14:paraId="6A589C44" w14:textId="77777777" w:rsidR="008968A4" w:rsidRPr="00BC23CD" w:rsidRDefault="008968A4" w:rsidP="008968A4">
      <w:pPr>
        <w:autoSpaceDE w:val="0"/>
        <w:autoSpaceDN w:val="0"/>
        <w:adjustRightInd w:val="0"/>
        <w:spacing w:after="0" w:line="480" w:lineRule="auto"/>
        <w:rPr>
          <w:rFonts w:cs="Arial"/>
          <w:sz w:val="24"/>
          <w:szCs w:val="24"/>
          <w:u w:val="single"/>
          <w:lang w:val="en-US" w:eastAsia="de-DE"/>
        </w:rPr>
      </w:pPr>
      <w:r w:rsidRPr="00BC23CD">
        <w:rPr>
          <w:rFonts w:cs="Arial"/>
          <w:sz w:val="24"/>
          <w:szCs w:val="24"/>
          <w:u w:val="single"/>
          <w:lang w:val="en-US" w:eastAsia="de-DE"/>
        </w:rPr>
        <w:t>Financial support:</w:t>
      </w:r>
    </w:p>
    <w:p w14:paraId="646FDDA7" w14:textId="77777777" w:rsidR="0043615C" w:rsidRDefault="00924DE2" w:rsidP="00913EEB">
      <w:pPr>
        <w:spacing w:line="480" w:lineRule="auto"/>
        <w:rPr>
          <w:b/>
          <w:sz w:val="24"/>
          <w:szCs w:val="24"/>
          <w:lang w:val="en-US"/>
        </w:rPr>
      </w:pPr>
      <w:r>
        <w:rPr>
          <w:sz w:val="24"/>
          <w:szCs w:val="24"/>
          <w:lang w:val="en-US"/>
        </w:rPr>
        <w:t>DB receives teaching and speaking fees from Bayer Healthcare</w:t>
      </w:r>
    </w:p>
    <w:p w14:paraId="329740A9" w14:textId="77777777" w:rsidR="008968A4" w:rsidRDefault="008968A4" w:rsidP="00913EEB">
      <w:pPr>
        <w:spacing w:line="480" w:lineRule="auto"/>
        <w:rPr>
          <w:b/>
          <w:sz w:val="24"/>
          <w:szCs w:val="24"/>
          <w:lang w:val="en-US"/>
        </w:rPr>
      </w:pPr>
    </w:p>
    <w:p w14:paraId="6F9869EF" w14:textId="77777777" w:rsidR="00674BE6" w:rsidRDefault="00674BE6" w:rsidP="00913EEB">
      <w:pPr>
        <w:spacing w:line="480" w:lineRule="auto"/>
        <w:rPr>
          <w:b/>
          <w:sz w:val="24"/>
          <w:szCs w:val="24"/>
          <w:lang w:val="en-US"/>
        </w:rPr>
      </w:pPr>
    </w:p>
    <w:p w14:paraId="4524EE29" w14:textId="77777777" w:rsidR="00674BE6" w:rsidRDefault="00674BE6" w:rsidP="00913EEB">
      <w:pPr>
        <w:spacing w:line="480" w:lineRule="auto"/>
        <w:rPr>
          <w:b/>
          <w:sz w:val="24"/>
          <w:szCs w:val="24"/>
          <w:lang w:val="en-US"/>
        </w:rPr>
      </w:pPr>
    </w:p>
    <w:p w14:paraId="34D169F2" w14:textId="77777777" w:rsidR="00674BE6" w:rsidRDefault="00674BE6" w:rsidP="00913EEB">
      <w:pPr>
        <w:spacing w:line="480" w:lineRule="auto"/>
        <w:rPr>
          <w:b/>
          <w:sz w:val="24"/>
          <w:szCs w:val="24"/>
          <w:lang w:val="en-US"/>
        </w:rPr>
      </w:pPr>
    </w:p>
    <w:p w14:paraId="60DA3497" w14:textId="77777777" w:rsidR="00674BE6" w:rsidRDefault="00674BE6" w:rsidP="00913EEB">
      <w:pPr>
        <w:spacing w:line="480" w:lineRule="auto"/>
        <w:rPr>
          <w:b/>
          <w:sz w:val="24"/>
          <w:szCs w:val="24"/>
          <w:lang w:val="en-US"/>
        </w:rPr>
      </w:pPr>
    </w:p>
    <w:p w14:paraId="2E20703B" w14:textId="77777777" w:rsidR="00674BE6" w:rsidRDefault="00674BE6" w:rsidP="00913EEB">
      <w:pPr>
        <w:spacing w:line="480" w:lineRule="auto"/>
        <w:rPr>
          <w:b/>
          <w:sz w:val="24"/>
          <w:szCs w:val="24"/>
          <w:lang w:val="en-US"/>
        </w:rPr>
      </w:pPr>
    </w:p>
    <w:p w14:paraId="2D7E4613" w14:textId="77777777" w:rsidR="00674BE6" w:rsidRDefault="00674BE6" w:rsidP="00913EEB">
      <w:pPr>
        <w:spacing w:line="480" w:lineRule="auto"/>
        <w:rPr>
          <w:b/>
          <w:sz w:val="24"/>
          <w:szCs w:val="24"/>
          <w:lang w:val="en-US"/>
        </w:rPr>
      </w:pPr>
    </w:p>
    <w:p w14:paraId="60531B0C" w14:textId="77777777" w:rsidR="00674BE6" w:rsidRDefault="00674BE6" w:rsidP="00913EEB">
      <w:pPr>
        <w:spacing w:line="480" w:lineRule="auto"/>
        <w:rPr>
          <w:b/>
          <w:sz w:val="24"/>
          <w:szCs w:val="24"/>
          <w:lang w:val="en-US"/>
        </w:rPr>
      </w:pPr>
    </w:p>
    <w:p w14:paraId="6F417485" w14:textId="77777777" w:rsidR="007C1DC6" w:rsidRDefault="007C1DC6" w:rsidP="00913EEB">
      <w:pPr>
        <w:spacing w:line="480" w:lineRule="auto"/>
        <w:rPr>
          <w:b/>
          <w:sz w:val="24"/>
          <w:szCs w:val="24"/>
          <w:lang w:val="en-US"/>
        </w:rPr>
      </w:pPr>
    </w:p>
    <w:p w14:paraId="3D20185D" w14:textId="77777777" w:rsidR="007C1DC6" w:rsidRDefault="007C1DC6" w:rsidP="00913EEB">
      <w:pPr>
        <w:spacing w:line="480" w:lineRule="auto"/>
        <w:rPr>
          <w:b/>
          <w:sz w:val="24"/>
          <w:szCs w:val="24"/>
          <w:lang w:val="en-US"/>
        </w:rPr>
      </w:pPr>
    </w:p>
    <w:p w14:paraId="13537FFB" w14:textId="77777777" w:rsidR="007C1DC6" w:rsidRDefault="007C1DC6" w:rsidP="00913EEB">
      <w:pPr>
        <w:spacing w:line="480" w:lineRule="auto"/>
        <w:rPr>
          <w:b/>
          <w:sz w:val="24"/>
          <w:szCs w:val="24"/>
          <w:lang w:val="en-US"/>
        </w:rPr>
      </w:pPr>
    </w:p>
    <w:p w14:paraId="05616BA5" w14:textId="77777777" w:rsidR="007C1DC6" w:rsidRDefault="007C1DC6" w:rsidP="00913EEB">
      <w:pPr>
        <w:spacing w:line="480" w:lineRule="auto"/>
        <w:rPr>
          <w:b/>
          <w:sz w:val="24"/>
          <w:szCs w:val="24"/>
          <w:lang w:val="en-US"/>
        </w:rPr>
      </w:pPr>
    </w:p>
    <w:p w14:paraId="056B59E8" w14:textId="77777777" w:rsidR="00482DBA" w:rsidRPr="00553B5E" w:rsidRDefault="00482DBA" w:rsidP="00482DBA">
      <w:pPr>
        <w:rPr>
          <w:b/>
          <w:sz w:val="24"/>
          <w:szCs w:val="24"/>
          <w:lang w:val="en-US"/>
        </w:rPr>
      </w:pPr>
      <w:r w:rsidRPr="00553B5E">
        <w:rPr>
          <w:b/>
          <w:sz w:val="24"/>
          <w:szCs w:val="24"/>
          <w:lang w:val="en-US"/>
        </w:rPr>
        <w:lastRenderedPageBreak/>
        <w:t>Abstract</w:t>
      </w:r>
    </w:p>
    <w:p w14:paraId="0264DF45" w14:textId="77777777" w:rsidR="00482DBA" w:rsidRDefault="00482DBA" w:rsidP="00482DBA">
      <w:pPr>
        <w:tabs>
          <w:tab w:val="left" w:pos="2415"/>
        </w:tabs>
        <w:spacing w:line="480" w:lineRule="auto"/>
        <w:jc w:val="both"/>
        <w:rPr>
          <w:rFonts w:cs="Arial"/>
          <w:b/>
          <w:sz w:val="24"/>
          <w:szCs w:val="24"/>
          <w:lang w:val="en-US"/>
        </w:rPr>
      </w:pPr>
      <w:r>
        <w:rPr>
          <w:rFonts w:cs="Arial"/>
          <w:b/>
          <w:sz w:val="24"/>
          <w:szCs w:val="24"/>
          <w:lang w:val="en-US"/>
        </w:rPr>
        <w:t>Background and aims</w:t>
      </w:r>
      <w:r w:rsidRPr="00553B5E">
        <w:rPr>
          <w:rFonts w:cs="Arial"/>
          <w:b/>
          <w:sz w:val="24"/>
          <w:szCs w:val="24"/>
          <w:lang w:val="en-US"/>
        </w:rPr>
        <w:t>:</w:t>
      </w:r>
    </w:p>
    <w:p w14:paraId="72D60034" w14:textId="77777777" w:rsidR="00482DBA" w:rsidRPr="00482DBA" w:rsidRDefault="00482DBA" w:rsidP="00482DBA">
      <w:pPr>
        <w:tabs>
          <w:tab w:val="left" w:pos="2415"/>
        </w:tabs>
        <w:spacing w:line="480" w:lineRule="auto"/>
        <w:jc w:val="both"/>
        <w:rPr>
          <w:rFonts w:cs="Arial"/>
          <w:sz w:val="24"/>
          <w:szCs w:val="24"/>
          <w:lang w:val="en-US"/>
        </w:rPr>
      </w:pPr>
      <w:r w:rsidRPr="00482DBA">
        <w:rPr>
          <w:rFonts w:cs="Arial"/>
          <w:sz w:val="24"/>
          <w:szCs w:val="24"/>
          <w:lang w:val="en-US"/>
        </w:rPr>
        <w:t xml:space="preserve">Stereotactic body radiation therapy (SBRT) has </w:t>
      </w:r>
      <w:r w:rsidR="00FD72DD">
        <w:rPr>
          <w:rFonts w:cs="Arial"/>
          <w:sz w:val="24"/>
          <w:szCs w:val="24"/>
          <w:lang w:val="en-US"/>
        </w:rPr>
        <w:t xml:space="preserve">emerged as a safe and effective treatment </w:t>
      </w:r>
      <w:r w:rsidR="004F4710">
        <w:rPr>
          <w:rFonts w:cs="Arial"/>
          <w:sz w:val="24"/>
          <w:szCs w:val="24"/>
          <w:lang w:val="en-US"/>
        </w:rPr>
        <w:t>for</w:t>
      </w:r>
      <w:r w:rsidR="00FD72DD">
        <w:rPr>
          <w:rFonts w:cs="Arial"/>
          <w:sz w:val="24"/>
          <w:szCs w:val="24"/>
          <w:lang w:val="en-US"/>
        </w:rPr>
        <w:t xml:space="preserve"> patients with hepatocellular carcinoma (HCC), but its role in patients with advanced HCC is not yet defined. </w:t>
      </w:r>
      <w:r w:rsidR="009261FF">
        <w:rPr>
          <w:rFonts w:cs="Arial"/>
          <w:sz w:val="24"/>
          <w:szCs w:val="24"/>
          <w:lang w:val="en-US"/>
        </w:rPr>
        <w:t>We designed this study</w:t>
      </w:r>
      <w:r w:rsidR="00FD72DD">
        <w:rPr>
          <w:rFonts w:cs="Arial"/>
          <w:sz w:val="24"/>
          <w:szCs w:val="24"/>
          <w:lang w:val="en-US"/>
        </w:rPr>
        <w:t xml:space="preserve"> to assess the efficacy and safety of SBRT in comparison to sorafenib treatment in patient</w:t>
      </w:r>
      <w:r w:rsidR="008F634C">
        <w:rPr>
          <w:rFonts w:cs="Arial"/>
          <w:sz w:val="24"/>
          <w:szCs w:val="24"/>
          <w:lang w:val="en-US"/>
        </w:rPr>
        <w:t>s</w:t>
      </w:r>
      <w:r w:rsidR="00FD72DD">
        <w:rPr>
          <w:rFonts w:cs="Arial"/>
          <w:sz w:val="24"/>
          <w:szCs w:val="24"/>
          <w:lang w:val="en-US"/>
        </w:rPr>
        <w:t xml:space="preserve"> with </w:t>
      </w:r>
      <w:r w:rsidRPr="00482DBA">
        <w:rPr>
          <w:rFonts w:cs="Arial"/>
          <w:sz w:val="24"/>
          <w:szCs w:val="24"/>
          <w:lang w:val="en-US"/>
        </w:rPr>
        <w:t xml:space="preserve">advanced HCC. </w:t>
      </w:r>
    </w:p>
    <w:p w14:paraId="16D2B631" w14:textId="77777777" w:rsidR="00482DBA" w:rsidRPr="00482DBA" w:rsidRDefault="00482DBA" w:rsidP="00482DBA">
      <w:pPr>
        <w:tabs>
          <w:tab w:val="left" w:pos="1182"/>
        </w:tabs>
        <w:spacing w:line="480" w:lineRule="auto"/>
        <w:jc w:val="both"/>
        <w:rPr>
          <w:rFonts w:cs="Arial"/>
          <w:b/>
          <w:sz w:val="24"/>
          <w:szCs w:val="24"/>
          <w:lang w:val="en-US"/>
        </w:rPr>
      </w:pPr>
      <w:r w:rsidRPr="00482DBA">
        <w:rPr>
          <w:rFonts w:cs="Arial"/>
          <w:b/>
          <w:sz w:val="24"/>
          <w:szCs w:val="24"/>
          <w:lang w:val="en-US"/>
        </w:rPr>
        <w:t xml:space="preserve">Methods: </w:t>
      </w:r>
    </w:p>
    <w:p w14:paraId="2CA4448D" w14:textId="77777777" w:rsidR="00482DBA" w:rsidRPr="00482DBA" w:rsidRDefault="00FD72DD" w:rsidP="00482DBA">
      <w:pPr>
        <w:tabs>
          <w:tab w:val="left" w:pos="1182"/>
        </w:tabs>
        <w:spacing w:line="480" w:lineRule="auto"/>
        <w:jc w:val="both"/>
        <w:rPr>
          <w:rFonts w:cs="Arial"/>
          <w:sz w:val="24"/>
          <w:szCs w:val="24"/>
          <w:lang w:val="en-US"/>
        </w:rPr>
      </w:pPr>
      <w:r>
        <w:rPr>
          <w:rFonts w:cs="Arial"/>
          <w:sz w:val="24"/>
          <w:szCs w:val="24"/>
          <w:lang w:val="en-US"/>
        </w:rPr>
        <w:t xml:space="preserve">We included 901 patients treated with sorafenib at </w:t>
      </w:r>
      <w:r w:rsidR="009261FF">
        <w:rPr>
          <w:rFonts w:cs="Arial"/>
          <w:sz w:val="24"/>
          <w:szCs w:val="24"/>
          <w:lang w:val="en-US"/>
        </w:rPr>
        <w:t xml:space="preserve">six </w:t>
      </w:r>
      <w:r w:rsidR="00B34B2F">
        <w:rPr>
          <w:rFonts w:cs="Arial"/>
          <w:sz w:val="24"/>
          <w:szCs w:val="24"/>
          <w:lang w:val="en-US"/>
        </w:rPr>
        <w:t>tertiary</w:t>
      </w:r>
      <w:r>
        <w:rPr>
          <w:rFonts w:cs="Arial"/>
          <w:sz w:val="24"/>
          <w:szCs w:val="24"/>
          <w:lang w:val="en-US"/>
        </w:rPr>
        <w:t xml:space="preserve"> centers in Europe and Asia and 122 patients treated with SBRT from </w:t>
      </w:r>
      <w:r w:rsidR="00B34B2F">
        <w:rPr>
          <w:rFonts w:cs="Arial"/>
          <w:sz w:val="24"/>
          <w:szCs w:val="24"/>
          <w:lang w:val="en-US"/>
        </w:rPr>
        <w:t xml:space="preserve">13 </w:t>
      </w:r>
      <w:r>
        <w:rPr>
          <w:rFonts w:cs="Arial"/>
          <w:sz w:val="24"/>
          <w:szCs w:val="24"/>
          <w:lang w:val="en-US"/>
        </w:rPr>
        <w:t>centers in Germany and Switzerland.</w:t>
      </w:r>
      <w:r w:rsidR="008F634C">
        <w:rPr>
          <w:rFonts w:cs="Arial"/>
          <w:sz w:val="24"/>
          <w:szCs w:val="24"/>
          <w:lang w:val="en-US"/>
        </w:rPr>
        <w:t xml:space="preserve"> </w:t>
      </w:r>
      <w:r>
        <w:rPr>
          <w:rFonts w:cs="Arial"/>
          <w:sz w:val="24"/>
          <w:szCs w:val="24"/>
          <w:lang w:val="en-US"/>
        </w:rPr>
        <w:t>Medi</w:t>
      </w:r>
      <w:r w:rsidR="00B34B2F">
        <w:rPr>
          <w:rFonts w:cs="Arial"/>
          <w:sz w:val="24"/>
          <w:szCs w:val="24"/>
          <w:lang w:val="en-US"/>
        </w:rPr>
        <w:t>c</w:t>
      </w:r>
      <w:r>
        <w:rPr>
          <w:rFonts w:cs="Arial"/>
          <w:sz w:val="24"/>
          <w:szCs w:val="24"/>
          <w:lang w:val="en-US"/>
        </w:rPr>
        <w:t xml:space="preserve">al records were reviewed including laboratory parameters, treatment characteristics and development of adverse events. </w:t>
      </w:r>
      <w:r w:rsidR="00482DBA" w:rsidRPr="00482DBA">
        <w:rPr>
          <w:rFonts w:cs="Arial"/>
          <w:sz w:val="24"/>
          <w:szCs w:val="24"/>
          <w:lang w:val="en-US"/>
        </w:rPr>
        <w:t xml:space="preserve">Propensity score matching was performed to adjust for differences in baseline characteristics. The primary endpoints </w:t>
      </w:r>
      <w:r>
        <w:rPr>
          <w:rFonts w:cs="Arial"/>
          <w:sz w:val="24"/>
          <w:szCs w:val="24"/>
          <w:lang w:val="en-US"/>
        </w:rPr>
        <w:t>was overall survival</w:t>
      </w:r>
      <w:r w:rsidR="007B4899">
        <w:rPr>
          <w:rFonts w:cs="Arial"/>
          <w:sz w:val="24"/>
          <w:szCs w:val="24"/>
          <w:lang w:val="en-US"/>
        </w:rPr>
        <w:t xml:space="preserve"> (OS)</w:t>
      </w:r>
      <w:r>
        <w:rPr>
          <w:rFonts w:cs="Arial"/>
          <w:sz w:val="24"/>
          <w:szCs w:val="24"/>
          <w:lang w:val="en-US"/>
        </w:rPr>
        <w:t xml:space="preserve">. </w:t>
      </w:r>
    </w:p>
    <w:p w14:paraId="34E6AB64" w14:textId="77777777" w:rsidR="00482DBA" w:rsidRPr="00482DBA" w:rsidRDefault="00482DBA" w:rsidP="00482DBA">
      <w:pPr>
        <w:tabs>
          <w:tab w:val="left" w:pos="1182"/>
        </w:tabs>
        <w:spacing w:line="480" w:lineRule="auto"/>
        <w:jc w:val="both"/>
        <w:rPr>
          <w:rFonts w:cs="Arial"/>
          <w:b/>
          <w:sz w:val="24"/>
          <w:szCs w:val="24"/>
          <w:lang w:val="en-US"/>
        </w:rPr>
      </w:pPr>
      <w:r w:rsidRPr="00482DBA">
        <w:rPr>
          <w:rFonts w:cs="Arial"/>
          <w:b/>
          <w:sz w:val="24"/>
          <w:szCs w:val="24"/>
          <w:lang w:val="en-US"/>
        </w:rPr>
        <w:t>Results:</w:t>
      </w:r>
    </w:p>
    <w:p w14:paraId="1049F0D3" w14:textId="297F40B6" w:rsidR="007B4899" w:rsidRDefault="00D31259" w:rsidP="00482DBA">
      <w:pPr>
        <w:tabs>
          <w:tab w:val="left" w:pos="1182"/>
        </w:tabs>
        <w:spacing w:line="480" w:lineRule="auto"/>
        <w:jc w:val="both"/>
        <w:rPr>
          <w:rFonts w:cs="Arial"/>
          <w:sz w:val="24"/>
          <w:szCs w:val="24"/>
          <w:lang w:val="en-US"/>
        </w:rPr>
      </w:pPr>
      <w:r>
        <w:rPr>
          <w:rFonts w:cs="Arial"/>
          <w:sz w:val="24"/>
          <w:szCs w:val="24"/>
          <w:lang w:val="en-US"/>
        </w:rPr>
        <w:t>M</w:t>
      </w:r>
      <w:r w:rsidR="00523736">
        <w:rPr>
          <w:rFonts w:cs="Arial"/>
          <w:sz w:val="24"/>
          <w:szCs w:val="24"/>
          <w:lang w:val="en-US"/>
        </w:rPr>
        <w:t>edian</w:t>
      </w:r>
      <w:r w:rsidR="007B4899">
        <w:rPr>
          <w:rFonts w:cs="Arial"/>
          <w:sz w:val="24"/>
          <w:szCs w:val="24"/>
          <w:lang w:val="en-US"/>
        </w:rPr>
        <w:t xml:space="preserve"> OS of </w:t>
      </w:r>
      <w:r w:rsidR="00BC506C">
        <w:rPr>
          <w:rFonts w:cs="Arial"/>
          <w:sz w:val="24"/>
          <w:szCs w:val="24"/>
          <w:lang w:val="en-US"/>
        </w:rPr>
        <w:t xml:space="preserve">SBRT patients was 18.1 [10.3 - 25.9] months compared to 8.8 [8.2 - 9.5] months in </w:t>
      </w:r>
      <w:r w:rsidR="007B4899">
        <w:rPr>
          <w:rFonts w:cs="Arial"/>
          <w:sz w:val="24"/>
          <w:szCs w:val="24"/>
          <w:lang w:val="en-US"/>
        </w:rPr>
        <w:t xml:space="preserve">sorafenib patients. </w:t>
      </w:r>
      <w:r w:rsidR="00523736">
        <w:rPr>
          <w:rFonts w:cs="Arial"/>
          <w:sz w:val="24"/>
          <w:szCs w:val="24"/>
          <w:lang w:val="en-US"/>
        </w:rPr>
        <w:t xml:space="preserve">After adjusting for different </w:t>
      </w:r>
      <w:r w:rsidR="00B34B2F">
        <w:rPr>
          <w:rFonts w:cs="Arial"/>
          <w:sz w:val="24"/>
          <w:szCs w:val="24"/>
          <w:lang w:val="en-US"/>
        </w:rPr>
        <w:t>baseline</w:t>
      </w:r>
      <w:r w:rsidR="00523736">
        <w:rPr>
          <w:rFonts w:cs="Arial"/>
          <w:sz w:val="24"/>
          <w:szCs w:val="24"/>
          <w:lang w:val="en-US"/>
        </w:rPr>
        <w:t xml:space="preserve"> characteristics, the survival benefit for patients treated with SBRT was still </w:t>
      </w:r>
      <w:r w:rsidR="00B34B2F">
        <w:rPr>
          <w:rFonts w:cs="Arial"/>
          <w:sz w:val="24"/>
          <w:szCs w:val="24"/>
          <w:lang w:val="en-US"/>
        </w:rPr>
        <w:t>preserved</w:t>
      </w:r>
      <w:r w:rsidR="00523736">
        <w:rPr>
          <w:rFonts w:cs="Arial"/>
          <w:sz w:val="24"/>
          <w:szCs w:val="24"/>
          <w:lang w:val="en-US"/>
        </w:rPr>
        <w:t xml:space="preserve"> with a median OS of 17.0 [10.8 - 23.2] months compared to 9.6 [8.6 - 10.7] months in sorafenib patients. </w:t>
      </w:r>
      <w:r w:rsidR="004F4710">
        <w:rPr>
          <w:rFonts w:cs="Arial"/>
          <w:sz w:val="24"/>
          <w:szCs w:val="24"/>
          <w:lang w:val="en-US"/>
        </w:rPr>
        <w:t xml:space="preserve">SBRT treatment of intrahepatic lesions in patients with extrahepatic metastases was also associated with improved OS compared to </w:t>
      </w:r>
      <w:r w:rsidR="0046411C">
        <w:rPr>
          <w:rFonts w:cs="Arial"/>
          <w:sz w:val="24"/>
          <w:szCs w:val="24"/>
          <w:lang w:val="en-US"/>
        </w:rPr>
        <w:t>patients</w:t>
      </w:r>
      <w:r w:rsidR="008F634C">
        <w:rPr>
          <w:rFonts w:cs="Arial"/>
          <w:sz w:val="24"/>
          <w:szCs w:val="24"/>
          <w:lang w:val="en-US"/>
        </w:rPr>
        <w:t xml:space="preserve"> treated with sorafenib in the same setting</w:t>
      </w:r>
      <w:r w:rsidR="0046411C">
        <w:rPr>
          <w:rFonts w:cs="Arial"/>
          <w:sz w:val="24"/>
          <w:szCs w:val="24"/>
          <w:lang w:val="en-US"/>
        </w:rPr>
        <w:t xml:space="preserve"> </w:t>
      </w:r>
      <w:r>
        <w:rPr>
          <w:rFonts w:cs="Arial"/>
          <w:sz w:val="24"/>
          <w:szCs w:val="24"/>
          <w:lang w:val="en-US"/>
        </w:rPr>
        <w:t>(</w:t>
      </w:r>
      <w:r w:rsidR="000C0D67">
        <w:rPr>
          <w:rFonts w:cs="Arial"/>
          <w:sz w:val="24"/>
          <w:szCs w:val="24"/>
          <w:lang w:val="en-US"/>
        </w:rPr>
        <w:t>17.0 vs 10. months, p=0.012)</w:t>
      </w:r>
      <w:r w:rsidR="001D3B73">
        <w:rPr>
          <w:rFonts w:cs="Arial"/>
          <w:sz w:val="24"/>
          <w:szCs w:val="24"/>
          <w:lang w:val="en-US"/>
        </w:rPr>
        <w:t>.</w:t>
      </w:r>
    </w:p>
    <w:p w14:paraId="7FA88BCA" w14:textId="77777777" w:rsidR="00B34B2F" w:rsidRDefault="00B34B2F" w:rsidP="00482DBA">
      <w:pPr>
        <w:tabs>
          <w:tab w:val="left" w:pos="1182"/>
        </w:tabs>
        <w:spacing w:line="480" w:lineRule="auto"/>
        <w:jc w:val="both"/>
        <w:rPr>
          <w:rFonts w:cs="Arial"/>
          <w:b/>
          <w:sz w:val="24"/>
          <w:szCs w:val="24"/>
          <w:lang w:val="en-US"/>
        </w:rPr>
      </w:pPr>
    </w:p>
    <w:p w14:paraId="0007CCFB" w14:textId="77777777" w:rsidR="00482DBA" w:rsidRPr="00482DBA" w:rsidRDefault="00B34B2F" w:rsidP="00482DBA">
      <w:pPr>
        <w:tabs>
          <w:tab w:val="left" w:pos="1182"/>
        </w:tabs>
        <w:spacing w:line="480" w:lineRule="auto"/>
        <w:jc w:val="both"/>
        <w:rPr>
          <w:rFonts w:cs="Arial"/>
          <w:b/>
          <w:sz w:val="24"/>
          <w:szCs w:val="24"/>
          <w:lang w:val="en-US"/>
        </w:rPr>
      </w:pPr>
      <w:r>
        <w:rPr>
          <w:rFonts w:cs="Arial"/>
          <w:b/>
          <w:sz w:val="24"/>
          <w:szCs w:val="24"/>
          <w:lang w:val="en-US"/>
        </w:rPr>
        <w:lastRenderedPageBreak/>
        <w:t>C</w:t>
      </w:r>
      <w:r w:rsidR="00482DBA" w:rsidRPr="00482DBA">
        <w:rPr>
          <w:rFonts w:cs="Arial"/>
          <w:b/>
          <w:sz w:val="24"/>
          <w:szCs w:val="24"/>
          <w:lang w:val="en-US"/>
        </w:rPr>
        <w:t>onclusions:</w:t>
      </w:r>
    </w:p>
    <w:p w14:paraId="464F71C1" w14:textId="11E23FBD" w:rsidR="007B4899" w:rsidRDefault="00B34B2F" w:rsidP="00482DBA">
      <w:pPr>
        <w:spacing w:line="480" w:lineRule="auto"/>
        <w:rPr>
          <w:rFonts w:cs="Arial"/>
          <w:sz w:val="24"/>
          <w:szCs w:val="24"/>
          <w:lang w:val="en-US"/>
        </w:rPr>
      </w:pPr>
      <w:r>
        <w:rPr>
          <w:rFonts w:cs="Arial"/>
          <w:sz w:val="24"/>
          <w:szCs w:val="24"/>
          <w:lang w:val="en-US"/>
        </w:rPr>
        <w:t xml:space="preserve">In this retrospective comparative study, </w:t>
      </w:r>
      <w:r w:rsidR="000C0D67">
        <w:rPr>
          <w:rFonts w:cs="Arial"/>
          <w:sz w:val="24"/>
          <w:szCs w:val="24"/>
          <w:lang w:val="en-US"/>
        </w:rPr>
        <w:t>SBRT show</w:t>
      </w:r>
      <w:r w:rsidR="00BC506C">
        <w:rPr>
          <w:rFonts w:cs="Arial"/>
          <w:sz w:val="24"/>
          <w:szCs w:val="24"/>
          <w:lang w:val="en-US"/>
        </w:rPr>
        <w:t>ed</w:t>
      </w:r>
      <w:r w:rsidR="000C0D67">
        <w:rPr>
          <w:rFonts w:cs="Arial"/>
          <w:sz w:val="24"/>
          <w:szCs w:val="24"/>
          <w:lang w:val="en-US"/>
        </w:rPr>
        <w:t xml:space="preserve"> superior efficacy in patients with advanced HCC compared to patients with sorafenib. </w:t>
      </w:r>
    </w:p>
    <w:p w14:paraId="70CBD845" w14:textId="77777777" w:rsidR="007B4899" w:rsidRDefault="007B4899" w:rsidP="00482DBA">
      <w:pPr>
        <w:spacing w:line="480" w:lineRule="auto"/>
        <w:rPr>
          <w:rFonts w:cs="Arial"/>
          <w:sz w:val="24"/>
          <w:szCs w:val="24"/>
          <w:lang w:val="en-US"/>
        </w:rPr>
      </w:pPr>
    </w:p>
    <w:p w14:paraId="5734D0C4" w14:textId="77777777" w:rsidR="00E0493E" w:rsidRDefault="00E0493E" w:rsidP="00482DBA">
      <w:pPr>
        <w:spacing w:line="480" w:lineRule="auto"/>
        <w:rPr>
          <w:sz w:val="24"/>
          <w:szCs w:val="24"/>
          <w:lang w:val="en-US"/>
        </w:rPr>
      </w:pPr>
      <w:r w:rsidRPr="00E0493E">
        <w:rPr>
          <w:b/>
          <w:sz w:val="24"/>
          <w:szCs w:val="24"/>
          <w:lang w:val="en-US"/>
        </w:rPr>
        <w:t>keywords</w:t>
      </w:r>
      <w:r w:rsidRPr="005B09A9">
        <w:rPr>
          <w:sz w:val="24"/>
          <w:szCs w:val="24"/>
          <w:lang w:val="en-US"/>
        </w:rPr>
        <w:t xml:space="preserve">: </w:t>
      </w:r>
      <w:r w:rsidR="008B6FC4">
        <w:rPr>
          <w:sz w:val="24"/>
          <w:szCs w:val="24"/>
          <w:lang w:val="en-US"/>
        </w:rPr>
        <w:t xml:space="preserve"> hepatocellular carcinoma, </w:t>
      </w:r>
      <w:r w:rsidR="007704A3">
        <w:rPr>
          <w:sz w:val="24"/>
          <w:szCs w:val="24"/>
          <w:lang w:val="en-US"/>
        </w:rPr>
        <w:t>sorafenib</w:t>
      </w:r>
      <w:r w:rsidR="008B6FC4">
        <w:rPr>
          <w:sz w:val="24"/>
          <w:szCs w:val="24"/>
          <w:lang w:val="en-US"/>
        </w:rPr>
        <w:t xml:space="preserve">, stereotactic body radiation therapy, </w:t>
      </w:r>
      <w:r w:rsidR="00D91449">
        <w:rPr>
          <w:sz w:val="24"/>
          <w:szCs w:val="24"/>
          <w:lang w:val="en-US"/>
        </w:rPr>
        <w:t xml:space="preserve">sorafenib, </w:t>
      </w:r>
      <w:r w:rsidR="008B6FC4">
        <w:rPr>
          <w:sz w:val="24"/>
          <w:szCs w:val="24"/>
          <w:lang w:val="en-US"/>
        </w:rPr>
        <w:t xml:space="preserve">propensity score analysis, overall survival. </w:t>
      </w:r>
    </w:p>
    <w:p w14:paraId="2039D93B" w14:textId="77777777" w:rsidR="00913EEB" w:rsidRDefault="00913EEB" w:rsidP="00913EEB">
      <w:pPr>
        <w:rPr>
          <w:b/>
          <w:sz w:val="24"/>
          <w:szCs w:val="24"/>
          <w:lang w:val="en-US"/>
        </w:rPr>
      </w:pPr>
    </w:p>
    <w:p w14:paraId="664F60BB" w14:textId="77777777" w:rsidR="00913EEB" w:rsidRDefault="00913EEB" w:rsidP="00913EEB">
      <w:pPr>
        <w:rPr>
          <w:b/>
          <w:sz w:val="24"/>
          <w:szCs w:val="24"/>
          <w:lang w:val="en-US"/>
        </w:rPr>
      </w:pPr>
    </w:p>
    <w:p w14:paraId="0E3EDDE6" w14:textId="77777777" w:rsidR="007704A3" w:rsidRDefault="007704A3" w:rsidP="00913EEB">
      <w:pPr>
        <w:rPr>
          <w:b/>
          <w:sz w:val="24"/>
          <w:szCs w:val="24"/>
          <w:lang w:val="en-US"/>
        </w:rPr>
      </w:pPr>
    </w:p>
    <w:p w14:paraId="1CD36C9D" w14:textId="77777777" w:rsidR="007704A3" w:rsidRDefault="007704A3" w:rsidP="00913EEB">
      <w:pPr>
        <w:rPr>
          <w:b/>
          <w:sz w:val="24"/>
          <w:szCs w:val="24"/>
          <w:lang w:val="en-US"/>
        </w:rPr>
      </w:pPr>
    </w:p>
    <w:p w14:paraId="75FA9561" w14:textId="77777777" w:rsidR="007704A3" w:rsidRDefault="007704A3" w:rsidP="00913EEB">
      <w:pPr>
        <w:rPr>
          <w:b/>
          <w:sz w:val="24"/>
          <w:szCs w:val="24"/>
          <w:lang w:val="en-US"/>
        </w:rPr>
      </w:pPr>
    </w:p>
    <w:p w14:paraId="29419BFB" w14:textId="77777777" w:rsidR="007704A3" w:rsidRDefault="007704A3" w:rsidP="00913EEB">
      <w:pPr>
        <w:rPr>
          <w:b/>
          <w:sz w:val="24"/>
          <w:szCs w:val="24"/>
          <w:lang w:val="en-US"/>
        </w:rPr>
      </w:pPr>
    </w:p>
    <w:p w14:paraId="5509BBD5" w14:textId="77777777" w:rsidR="007704A3" w:rsidRDefault="007704A3" w:rsidP="00913EEB">
      <w:pPr>
        <w:rPr>
          <w:b/>
          <w:sz w:val="24"/>
          <w:szCs w:val="24"/>
          <w:lang w:val="en-US"/>
        </w:rPr>
      </w:pPr>
    </w:p>
    <w:p w14:paraId="7177B770" w14:textId="77777777" w:rsidR="007704A3" w:rsidRDefault="007704A3" w:rsidP="00913EEB">
      <w:pPr>
        <w:rPr>
          <w:b/>
          <w:sz w:val="24"/>
          <w:szCs w:val="24"/>
          <w:lang w:val="en-US"/>
        </w:rPr>
      </w:pPr>
    </w:p>
    <w:p w14:paraId="18C53475" w14:textId="77777777" w:rsidR="007704A3" w:rsidRDefault="007704A3" w:rsidP="00913EEB">
      <w:pPr>
        <w:rPr>
          <w:b/>
          <w:sz w:val="24"/>
          <w:szCs w:val="24"/>
          <w:lang w:val="en-US"/>
        </w:rPr>
      </w:pPr>
    </w:p>
    <w:p w14:paraId="607A2E37" w14:textId="77777777" w:rsidR="007704A3" w:rsidRDefault="007704A3" w:rsidP="00913EEB">
      <w:pPr>
        <w:rPr>
          <w:b/>
          <w:sz w:val="24"/>
          <w:szCs w:val="24"/>
          <w:lang w:val="en-US"/>
        </w:rPr>
      </w:pPr>
    </w:p>
    <w:p w14:paraId="4A4BD949" w14:textId="77777777" w:rsidR="00913EEB" w:rsidRDefault="00913EEB" w:rsidP="00913EEB">
      <w:pPr>
        <w:rPr>
          <w:b/>
          <w:sz w:val="24"/>
          <w:szCs w:val="24"/>
          <w:lang w:val="en-US"/>
        </w:rPr>
      </w:pPr>
    </w:p>
    <w:p w14:paraId="5ADB8F2C" w14:textId="77777777" w:rsidR="0043615C" w:rsidRDefault="0043615C" w:rsidP="00913EEB">
      <w:pPr>
        <w:rPr>
          <w:b/>
          <w:sz w:val="24"/>
          <w:szCs w:val="24"/>
          <w:lang w:val="en-US"/>
        </w:rPr>
      </w:pPr>
    </w:p>
    <w:p w14:paraId="34107A07" w14:textId="77777777" w:rsidR="0043615C" w:rsidRDefault="0043615C" w:rsidP="00913EEB">
      <w:pPr>
        <w:rPr>
          <w:b/>
          <w:sz w:val="24"/>
          <w:szCs w:val="24"/>
          <w:lang w:val="en-US"/>
        </w:rPr>
      </w:pPr>
    </w:p>
    <w:p w14:paraId="77263FB9" w14:textId="77777777" w:rsidR="0043615C" w:rsidRDefault="0043615C" w:rsidP="00913EEB">
      <w:pPr>
        <w:rPr>
          <w:b/>
          <w:sz w:val="24"/>
          <w:szCs w:val="24"/>
          <w:lang w:val="en-US"/>
        </w:rPr>
      </w:pPr>
    </w:p>
    <w:p w14:paraId="11678C9A" w14:textId="77777777" w:rsidR="000C0D67" w:rsidRDefault="000C0D67" w:rsidP="00913EEB">
      <w:pPr>
        <w:rPr>
          <w:b/>
          <w:sz w:val="24"/>
          <w:szCs w:val="24"/>
          <w:lang w:val="en-US"/>
        </w:rPr>
      </w:pPr>
    </w:p>
    <w:p w14:paraId="4C89B51B" w14:textId="77777777" w:rsidR="000C0D67" w:rsidRDefault="000C0D67" w:rsidP="00913EEB">
      <w:pPr>
        <w:rPr>
          <w:b/>
          <w:sz w:val="24"/>
          <w:szCs w:val="24"/>
          <w:lang w:val="en-US"/>
        </w:rPr>
      </w:pPr>
    </w:p>
    <w:p w14:paraId="59F59962" w14:textId="77777777" w:rsidR="000C0D67" w:rsidRDefault="000C0D67" w:rsidP="00913EEB">
      <w:pPr>
        <w:rPr>
          <w:b/>
          <w:sz w:val="24"/>
          <w:szCs w:val="24"/>
          <w:lang w:val="en-US"/>
        </w:rPr>
      </w:pPr>
    </w:p>
    <w:p w14:paraId="3E0A36DE" w14:textId="77777777" w:rsidR="001D3B73" w:rsidRDefault="001D3B73" w:rsidP="00913EEB">
      <w:pPr>
        <w:rPr>
          <w:b/>
          <w:sz w:val="24"/>
          <w:szCs w:val="24"/>
          <w:lang w:val="en-US"/>
        </w:rPr>
      </w:pPr>
    </w:p>
    <w:p w14:paraId="28E7BC90" w14:textId="77777777" w:rsidR="002565DD" w:rsidRDefault="002565DD" w:rsidP="00913EEB">
      <w:pPr>
        <w:rPr>
          <w:b/>
          <w:sz w:val="24"/>
          <w:szCs w:val="24"/>
          <w:lang w:val="en-US"/>
        </w:rPr>
      </w:pPr>
    </w:p>
    <w:p w14:paraId="5D39B8F4" w14:textId="77777777" w:rsidR="002565DD" w:rsidRDefault="002565DD" w:rsidP="00913EEB">
      <w:pPr>
        <w:rPr>
          <w:b/>
          <w:sz w:val="24"/>
          <w:szCs w:val="24"/>
          <w:lang w:val="en-US"/>
        </w:rPr>
      </w:pPr>
    </w:p>
    <w:p w14:paraId="0A793DEA" w14:textId="77777777" w:rsidR="00913EEB" w:rsidRDefault="00913EEB" w:rsidP="00913EEB">
      <w:pPr>
        <w:rPr>
          <w:b/>
          <w:sz w:val="24"/>
          <w:szCs w:val="24"/>
          <w:lang w:val="en-US"/>
        </w:rPr>
      </w:pPr>
      <w:r>
        <w:rPr>
          <w:b/>
          <w:sz w:val="24"/>
          <w:szCs w:val="24"/>
          <w:lang w:val="en-US"/>
        </w:rPr>
        <w:lastRenderedPageBreak/>
        <w:t>Introduction</w:t>
      </w:r>
    </w:p>
    <w:p w14:paraId="6848E23E" w14:textId="77777777" w:rsidR="00D66623" w:rsidRPr="00FC1223" w:rsidRDefault="00D66623" w:rsidP="00044C71">
      <w:pPr>
        <w:spacing w:line="480" w:lineRule="auto"/>
        <w:jc w:val="both"/>
        <w:rPr>
          <w:sz w:val="24"/>
          <w:szCs w:val="24"/>
          <w:highlight w:val="green"/>
          <w:lang w:val="en-US"/>
        </w:rPr>
      </w:pPr>
      <w:r>
        <w:rPr>
          <w:sz w:val="24"/>
          <w:szCs w:val="24"/>
          <w:lang w:val="en-US"/>
        </w:rPr>
        <w:t>The incidence and m</w:t>
      </w:r>
      <w:r w:rsidRPr="00D66623">
        <w:rPr>
          <w:sz w:val="24"/>
          <w:szCs w:val="24"/>
          <w:lang w:val="en-US"/>
        </w:rPr>
        <w:t xml:space="preserve">ortality of hepatocellular carcinoma (HCC) </w:t>
      </w:r>
      <w:r>
        <w:rPr>
          <w:sz w:val="24"/>
          <w:szCs w:val="24"/>
          <w:lang w:val="en-US"/>
        </w:rPr>
        <w:t>is increasing and it has emerged to the second most common cause of cancer death worldwide</w:t>
      </w:r>
      <w:r w:rsidR="000E1FF0">
        <w:rPr>
          <w:sz w:val="24"/>
          <w:szCs w:val="24"/>
          <w:lang w:val="en-US"/>
        </w:rPr>
        <w:fldChar w:fldCharType="begin" w:fldLock="1"/>
      </w:r>
      <w:r w:rsidR="00D31259">
        <w:rPr>
          <w:sz w:val="24"/>
          <w:szCs w:val="24"/>
          <w:lang w:val="en-US"/>
        </w:rPr>
        <w:instrText>ADDIN CSL_CITATION { "citationItems" : [ { "id" : "ITEM-1", "itemData" : { "DOI" : "10.1586/17474124.2015.1028363", "ISSN" : "1747-4132 (Electronic)", "PMID" : "25827821", "abstract" : "Primary liver cancer, the majority of which are hepatocellular carcinomas, is now the second leading cause of cancer death worldwide. Hepatocellular carcinoma is a unique cancer that typically arises in the setting of chronic liver disease at a rate dependent upon the complex interplay between the host, disease and environmental factors. Infection with chronic hepatitis B or C virus is currently the dominant risk factor worldwide. However, changing lifestyle and environmental factors in western countries plus rising neonatal hepatitis B vaccination rates and decreasing exposure to dietary aflatoxins in developing countries are driving an evolution of the epidemiology of this cancer. An understanding of this change is crucial in combating the rising incidence currently being seen in western regions and will underpin the efforts to reduce the mortality rates associated with this cancer.", "author" : [ { "dropping-particle" : "", "family" : "Wallace", "given" : "Michael C", "non-dropping-particle" : "", "parse-names" : false, "suffix" : "" }, { "dropping-particle" : "", "family" : "Preen", "given" : "David", "non-dropping-particle" : "", "parse-names" : false, "suffix" : "" }, { "dropping-particle" : "", "family" : "Jeffrey", "given" : "Gary P", "non-dropping-particle" : "", "parse-names" : false, "suffix" : "" }, { "dropping-particle" : "", "family" : "Adams", "given" : "Leon A", "non-dropping-particle" : "", "parse-names" : false, "suffix" : "" } ], "container-title" : "Expert review of gastroenterology &amp; hepatology", "id" : "ITEM-1", "issue" : "6", "issued" : { "date-parts" : [ [ "2015", "6" ] ] }, "language" : "eng", "page" : "765-779", "publisher-place" : "England", "title" : "The evolving epidemiology of hepatocellular carcinoma: a global perspective.", "type" : "article-journal", "volume" : "9" }, "uris" : [ "http://www.mendeley.com/documents/?uuid=41fb1684-3bc0-4f1f-b3fc-09ad6a1ee6a3" ] }, { "id" : "ITEM-2", "itemData" : { "DOI" : "10.1136/gutjnl-2013-306627 [doi]", "ISBN" : "6176321972", "ISSN" : "1468-3288; 0017-5749", "PMID" : "24531850", "abstract" : "Hepatocellular carcinoma (HCC) is one of the leading causes of cancer-related death and is currently the main event leading to death in patients with cirrhosis. Evolving information suggests that the metabolic syndrome with non-alcoholic liver disease may be an important cause of HCC in addition to viral hepatitis and alcohol-induced liver disease. The molecular pathogenesis is extremely complex and heterogeneous. To date the molecular information has not impacted on treatment decisions. Periodic surveillance imaging of patients with cirrhosis is widely practiced, especially because diagnostic, radiographic criteria for early-stage HCC have been defined (including nodules between 1 and 2 cm) and effective treatment is available for tumours detected at an early stage. Worldwide the approach to resection versus transplantation varies depending upon local resources, expertise and donor availability. The criteria for transplantation are discussed, and the controversial areas highlighted with evidence-based recommendations provided. Several approaches are available for intermediate stage disease, including radiofrequency ablation, transarterial chemoembolisation and radioembolisation; the rationale for these therapies is buttressed by appropriate outcome-based studies. For advanced disease, systemic therapy with sorafenib remains the option best supported by current data. Thus, while several trials have failed to improve the benefits of established therapies, studies assessing the sequential or combined application of those already known to be beneficial are needed. Also, new concepts are provided in regards to selecting and stratifying patients for second-line studies, which may help explain the failure of prior studies.", "author" : [ { "dropping-particle" : "", "family" : "Bruix", "given" : "J", "non-dropping-particle" : "", "parse-names" : false, "suffix" : "" }, { "dropping-particle" : "", "family" : "Gores", "given" : "G J", "non-dropping-particle" : "", "parse-names" : false, "suffix" : "" }, { "dropping-particle" : "", "family" : "Mazzaferro", "given" : "V", "non-dropping-particle" : "", "parse-names" : false, "suffix" : "" } ], "container-title" : "Gut", "id" : "ITEM-2", "issue" : "5", "issued" : { "date-parts" : [ [ "2014" ] ] }, "page" : "844-855", "title" : "Hepatocellular carcinoma: clinical frontiers and perspectives", "type" : "article-journal", "volume" : "63" }, "uris" : [ "http://www.mendeley.com/documents/?uuid=5e5117e3-ca7b-48c5-afec-ee76e2cd12cb" ] } ], "mendeley" : { "formattedCitation" : "[1,2]", "plainTextFormattedCitation" : "[1,2]", "previouslyFormattedCitation" : "[1,2]" }, "properties" : {  }, "schema" : "https://github.com/citation-style-language/schema/raw/master/csl-citation.json" }</w:instrText>
      </w:r>
      <w:r w:rsidR="000E1FF0">
        <w:rPr>
          <w:sz w:val="24"/>
          <w:szCs w:val="24"/>
          <w:lang w:val="en-US"/>
        </w:rPr>
        <w:fldChar w:fldCharType="separate"/>
      </w:r>
      <w:r w:rsidR="00D31259" w:rsidRPr="00D31259">
        <w:rPr>
          <w:noProof/>
          <w:sz w:val="24"/>
          <w:szCs w:val="24"/>
          <w:lang w:val="en-US"/>
        </w:rPr>
        <w:t>[1,2]</w:t>
      </w:r>
      <w:r w:rsidR="000E1FF0">
        <w:rPr>
          <w:sz w:val="24"/>
          <w:szCs w:val="24"/>
          <w:lang w:val="en-US"/>
        </w:rPr>
        <w:fldChar w:fldCharType="end"/>
      </w:r>
      <w:r>
        <w:rPr>
          <w:sz w:val="24"/>
          <w:szCs w:val="24"/>
          <w:lang w:val="en-US"/>
        </w:rPr>
        <w:t xml:space="preserve">. Although surveillance programs have improved, diagnosis of HCC is still made in advanced stages where treatment options are limited. </w:t>
      </w:r>
      <w:r w:rsidR="004F4710">
        <w:rPr>
          <w:sz w:val="24"/>
          <w:szCs w:val="24"/>
          <w:lang w:val="en-US"/>
        </w:rPr>
        <w:t>Of note</w:t>
      </w:r>
      <w:r w:rsidR="00EB024A">
        <w:rPr>
          <w:sz w:val="24"/>
          <w:szCs w:val="24"/>
          <w:lang w:val="en-US"/>
        </w:rPr>
        <w:t xml:space="preserve">, during the last years there have been research efforts leading to the development of immunotherapies </w:t>
      </w:r>
      <w:r w:rsidR="00EB024A" w:rsidRPr="00AD571B">
        <w:rPr>
          <w:rFonts w:cs="Arial"/>
          <w:sz w:val="24"/>
          <w:szCs w:val="24"/>
          <w:lang w:val="en-US"/>
        </w:rPr>
        <w:t xml:space="preserve">targeting </w:t>
      </w:r>
      <w:r w:rsidR="00EB024A" w:rsidRPr="00AD571B">
        <w:rPr>
          <w:rFonts w:cs="ScalaLancetPro"/>
          <w:color w:val="000000"/>
          <w:sz w:val="24"/>
          <w:szCs w:val="24"/>
          <w:lang w:val="en-US"/>
        </w:rPr>
        <w:t xml:space="preserve">programmed cell death protein-1 (PD-1) </w:t>
      </w:r>
      <w:r w:rsidR="00EB024A">
        <w:rPr>
          <w:rFonts w:cs="ScalaLancetPro"/>
          <w:color w:val="000000"/>
          <w:sz w:val="24"/>
          <w:szCs w:val="24"/>
          <w:lang w:val="en-US"/>
        </w:rPr>
        <w:t>showing promising efficacy</w:t>
      </w:r>
      <w:r w:rsidR="00FC1223">
        <w:rPr>
          <w:rFonts w:cs="ScalaLancetPro"/>
          <w:color w:val="000000"/>
          <w:sz w:val="24"/>
          <w:szCs w:val="24"/>
          <w:lang w:val="en-US"/>
        </w:rPr>
        <w:t xml:space="preserve"> </w:t>
      </w:r>
      <w:r w:rsidR="00232E16">
        <w:rPr>
          <w:rFonts w:cs="ScalaLancetPro"/>
          <w:color w:val="000000"/>
          <w:sz w:val="24"/>
          <w:szCs w:val="24"/>
          <w:lang w:val="en-US"/>
        </w:rPr>
        <w:fldChar w:fldCharType="begin" w:fldLock="1"/>
      </w:r>
      <w:r w:rsidR="00D31259">
        <w:rPr>
          <w:rFonts w:cs="ScalaLancetPro"/>
          <w:color w:val="000000"/>
          <w:sz w:val="24"/>
          <w:szCs w:val="24"/>
          <w:lang w:val="en-US"/>
        </w:rPr>
        <w:instrText>ADDIN CSL_CITATION { "citationItems" : [ { "id" : "ITEM-1", "itemData" : { "DOI" : "10.1016/S0140-6736(17)31046-2", "abstract" : "Background For patients with advanced hepatocellular carcinoma, sorafenib is the only approved drug worldwide, and outcomes remain poor. We aimed to assess the safety and efficacy of nivolumab, a programmed cell death protein-1 (PD-1) immune checkpoint inhibitor, in patients with advanced hepatocellular carcinoma with or without chronic viral hepatitis. Methods We did a phase 1/2, open-label, non-comparative, dose escalation and expansion trial (CheckMate 040) of nivolumab in adults (\u226518 years) with histologically confirmed advanced hepatocellular carcinoma with or without hepatitis C or B (HCV or HBV) infection. Previous sorafenib treatment was allowed. A dose-escalation phase was conducted at seven hospitals or academic centres in four countries or territories (USA, Spain, Hong Kong, and Singapore) and a dose-expansion phase was conducted at an additional 39 sites in 11 countries (Canada, UK, Germany, Italy, Japan, South Korea, Taiwan). At screening, eligible patients had Child-Pugh scores of 7 or less (Child-Pugh A or B7) for the dose-escalation phase and 6 or less (Child-Pugh A) for the dose-expansion phase, and an Eastern Cooperative Oncology Group performance status of 1 or less. Patients with HBV infection had to be receiving effective antiviral therapy (viral load &lt;100 IU/mL); antiviral therapy was not required for patients with HCV infection. We excluded patients previously treated with an agent targeting T-cell costimulation or checkpoint pathways. Patients received intravenous nivolumab 0\u00b71\u201310 mg/kg every 2 weeks in the dose-escalation phase (3+3 design). Nivolumab 3 mg/kg was given every 2 weeks in the dose-expansion phase to patients in four cohorts: sorafenib untreated or intolerant without viral hepatitis, sorafenib progressor without viral hepatitis, HCV infected, and HBV infected. Primary endpoints were safety and tolerability for the escalation phase and objective response rate (Response Evaluation Criteria In Solid Tumors version 1.1) for the expansion phase. This study is registered with ClinicalTrials.gov, number NCT01658878. Findings Between Nov 26, 2012, and Aug 8, 2016, 262 eligible patients were treated (48 patients in the dose-escalation phase and 214 in the dose-expansion phase). 202 (77%) of 262 patients have completed treatment and follow-up is ongoing. During dose escalation, nivolumab showed a manageable safety profile, including acceptable tolerability. In this phase, 46 (96%) of 48 patients discontinued treatment, 42 (88\u2026", "author" : [ { "dropping-particle" : "", "family" : "El-Khoueiry", "given" : "Anthony B", "non-dropping-particle" : "", "parse-names" : false, "suffix" : "" }, { "dropping-particle" : "", "family" : "Sangro", "given" : "Bruno", "non-dropping-particle" : "", "parse-names" : false, "suffix" : "" }, { "dropping-particle" : "", "family" : "Yau", "given" : "Thomas", "non-dropping-particle" : "", "parse-names" : false, "suffix" : "" }, { "dropping-particle" : "", "family" : "Crocenzi", "given" : "Todd S", "non-dropping-particle" : "", "parse-names" : false, "suffix" : "" }, { "dropping-particle" : "", "family" : "Kudo", "given" : "Masatoshi", "non-dropping-particle" : "", "parse-names" : false, "suffix" : "" }, { "dropping-particle" : "", "family" : "Hsu", "given" : "Chiun", "non-dropping-particle" : "", "parse-names" : false, "suffix" : "" }, { "dropping-particle" : "", "family" : "Kim", "given" : "Tae-You", "non-dropping-particle" : "", "parse-names" : false, "suffix" : "" }, { "dropping-particle" : "", "family" : "Choo", "given" : "Su-Pin", "non-dropping-particle" : "", "parse-names" : false, "suffix" : "" }, { "dropping-particle" : "", "family" : "Trojan", "given" : "J\u00f6rg", "non-dropping-particle" : "", "parse-names" : false, "suffix" : "" }, { "dropping-particle" : "", "family" : "Welling", "given" : "Theodore H", "non-dropping-particle" : "", "parse-names" : false, "suffix" : "" }, { "dropping-particle" : "", "family" : "Meyer", "given" : "Tim", "non-dropping-particle" : "", "parse-names" : false, "suffix" : "" }, { "dropping-particle" : "", "family" : "Kang", "given" : "Yoon-Koo", "non-dropping-particle" : "", "parse-names" : false, "suffix" : "" }, { "dropping-particle" : "", "family" : "Yeo", "given" : "Winnie", "non-dropping-particle" : "", "parse-names" : false, "suffix" : "" }, { "dropping-particle" : "", "family" : "Chopra", "given" : "Akhil", "non-dropping-particle" : "", "parse-names" : false, "suffix" : "" }, { "dropping-particle" : "", "family" : "Anderson", "given" : "Jeffrey", "non-dropping-particle" : "", "parse-names" : false, "suffix" : "" }, { "dropping-particle" : "Dela", "family" : "Cruz", "given" : "Christine", "non-dropping-particle" : "", "parse-names" : false, "suffix" : "" }, { "dropping-particle" : "", "family" : "Lang", "given" : "Lixin", "non-dropping-particle" : "", "parse-names" : false, "suffix" : "" }, { "dropping-particle" : "", "family" : "Neely", "given" : "Jaclyn", "non-dropping-particle" : "", "parse-names" : false, "suffix" : "" }, { "dropping-particle" : "", "family" : "Tang", "given" : "Hao", "non-dropping-particle" : "", "parse-names" : false, "suffix" : "" }, { "dropping-particle" : "", "family" : "Dastani", "given" : "Homa B", "non-dropping-particle" : "", "parse-names" : false, "suffix" : "" }, { "dropping-particle" : "", "family" : "Melero", "given" : "Ignacio", "non-dropping-particle" : "", "parse-names" : false, "suffix" : "" } ], "id" : "ITEM-1", "issued" : { "date-parts" : [ [ "2017" ] ] }, "title" : "Articles Nivolumab in patients with advanced hepatocellular carcinoma (CheckMate 040): an open-label, non-comparative, phase 1/2 dose escalation and expansion trial", "type" : "article-journal" }, "uris" : [ "http://www.mendeley.com/documents/?uuid=cd580d2d-ba46-368f-96b6-1ad7d6df7e84" ] } ], "mendeley" : { "formattedCitation" : "[3]", "plainTextFormattedCitation" : "[3]", "previouslyFormattedCitation" : "[3]" }, "properties" : {  }, "schema" : "https://github.com/citation-style-language/schema/raw/master/csl-citation.json" }</w:instrText>
      </w:r>
      <w:r w:rsidR="00232E16">
        <w:rPr>
          <w:rFonts w:cs="ScalaLancetPro"/>
          <w:color w:val="000000"/>
          <w:sz w:val="24"/>
          <w:szCs w:val="24"/>
          <w:lang w:val="en-US"/>
        </w:rPr>
        <w:fldChar w:fldCharType="separate"/>
      </w:r>
      <w:r w:rsidR="00D31259" w:rsidRPr="00D31259">
        <w:rPr>
          <w:rFonts w:cs="ScalaLancetPro"/>
          <w:noProof/>
          <w:color w:val="000000"/>
          <w:sz w:val="24"/>
          <w:szCs w:val="24"/>
          <w:lang w:val="en-US"/>
        </w:rPr>
        <w:t>[3]</w:t>
      </w:r>
      <w:r w:rsidR="00232E16">
        <w:rPr>
          <w:rFonts w:cs="ScalaLancetPro"/>
          <w:color w:val="000000"/>
          <w:sz w:val="24"/>
          <w:szCs w:val="24"/>
          <w:lang w:val="en-US"/>
        </w:rPr>
        <w:fldChar w:fldCharType="end"/>
      </w:r>
      <w:r w:rsidR="004F4710">
        <w:rPr>
          <w:rFonts w:cs="ScalaLancetPro"/>
          <w:color w:val="000000"/>
          <w:sz w:val="24"/>
          <w:szCs w:val="24"/>
          <w:lang w:val="en-US"/>
        </w:rPr>
        <w:t>. However,</w:t>
      </w:r>
      <w:r w:rsidR="00EB024A">
        <w:rPr>
          <w:rFonts w:cs="ScalaLancetPro"/>
          <w:color w:val="000000"/>
          <w:sz w:val="24"/>
          <w:szCs w:val="24"/>
          <w:lang w:val="en-US"/>
        </w:rPr>
        <w:t xml:space="preserve"> currently, according to the current </w:t>
      </w:r>
      <w:r w:rsidR="008F634C">
        <w:rPr>
          <w:rFonts w:cs="ScalaLancetPro"/>
          <w:color w:val="000000"/>
          <w:sz w:val="24"/>
          <w:szCs w:val="24"/>
          <w:lang w:val="en-US"/>
        </w:rPr>
        <w:t xml:space="preserve">EASL and </w:t>
      </w:r>
      <w:r w:rsidR="008F634C" w:rsidRPr="001B6860">
        <w:rPr>
          <w:rFonts w:cs="ScalaLancetPro"/>
          <w:color w:val="000000"/>
          <w:sz w:val="24"/>
          <w:szCs w:val="24"/>
          <w:lang w:val="en-US"/>
        </w:rPr>
        <w:t xml:space="preserve">AASLD </w:t>
      </w:r>
      <w:r w:rsidR="001B6860" w:rsidRPr="001B6860">
        <w:rPr>
          <w:rFonts w:cs="ScalaLancetPro"/>
          <w:color w:val="000000"/>
          <w:sz w:val="24"/>
          <w:szCs w:val="24"/>
          <w:lang w:val="en-US"/>
        </w:rPr>
        <w:t>guidelines</w:t>
      </w:r>
      <w:r w:rsidR="00EB024A" w:rsidRPr="001B6860">
        <w:rPr>
          <w:rFonts w:cs="ScalaLancetPro"/>
          <w:color w:val="000000"/>
          <w:sz w:val="24"/>
          <w:szCs w:val="24"/>
          <w:lang w:val="en-US"/>
        </w:rPr>
        <w:t xml:space="preserve">, </w:t>
      </w:r>
      <w:r w:rsidR="00EB024A" w:rsidRPr="001B6860">
        <w:rPr>
          <w:sz w:val="24"/>
          <w:szCs w:val="24"/>
          <w:lang w:val="en-US"/>
        </w:rPr>
        <w:t>the oral</w:t>
      </w:r>
      <w:r w:rsidR="00EB024A">
        <w:rPr>
          <w:sz w:val="24"/>
          <w:szCs w:val="24"/>
          <w:lang w:val="en-US"/>
        </w:rPr>
        <w:t xml:space="preserve"> multi-tyrosine kinase inhibitor sorafenib is the only recommended systemic treatment in patients with advanced HCC</w:t>
      </w:r>
      <w:r w:rsidR="00232E16">
        <w:rPr>
          <w:sz w:val="24"/>
          <w:szCs w:val="24"/>
          <w:lang w:val="en-US"/>
        </w:rPr>
        <w:fldChar w:fldCharType="begin" w:fldLock="1"/>
      </w:r>
      <w:r w:rsidR="00D31259">
        <w:rPr>
          <w:sz w:val="24"/>
          <w:szCs w:val="24"/>
          <w:lang w:val="en-US"/>
        </w:rPr>
        <w:instrText>ADDIN CSL_CITATION { "citationItems" : [ { "id" : "ITEM-1", "itemData" : { "author" : [ { "dropping-particle" : "", "family" : "Llovet", "given" : "Josep M", "non-dropping-particle" : "", "parse-names" : false, "suffix" : "" }, { "dropping-particle" : "", "family" : "Ricci", "given" : "Sergio", "non-dropping-particle" : "", "parse-names" : false, "suffix" : "" }, { "dropping-particle" : "", "family" : "Mazzaferro", "given" : "Vincenzo", "non-dropping-particle" : "", "parse-names" : false, "suffix" : "" }, { "dropping-particle" : "", "family" : "Hilgard", "given" : "Philip", "non-dropping-particle" : "", "parse-names" : false, "suffix" : "" }, { "dropping-particle" : "", "family" : "Gane", "given" : "Edward", "non-dropping-particle" : "", "parse-names" : false, "suffix" : "" }, { "dropping-particle" : "", "family" : "Blanc", "given" : "Jean-Fr\u00e9d\u00e9ric", "non-dropping-particle" : "", "parse-names" : false, "suffix" : "" }, { "dropping-particle" : "", "family" : "Cosme De Oliveira", "given" : "Andre", "non-dropping-particle" : "", "parse-names" : false, "suffix" : "" }, { "dropping-particle" : "", "family" : "Santoro", "given" : "Armando", "non-dropping-particle" : "", "parse-names" : false, "suffix" : "" }, { "dropping-particle" : "", "family" : "Raoul", "given" : "Jean-Luc", "non-dropping-particle" : "", "parse-names" : false, "suffix" : "" }, { "dropping-particle" : "", "family" : "Forner", "given" : "Alejandro", "non-dropping-particle" : "", "parse-names" : false, "suffix" : "" }, { "dropping-particle" : "", "family" : "Schwartz", "given" : "Myron", "non-dropping-particle" : "", "parse-names" : false, "suffix" : "" }, { "dropping-particle" : "", "family" : "Porta", "given" : "Camillo", "non-dropping-particle" : "", "parse-names" : false, "suffix" : "" }, { "dropping-particle" : "", "family" : "Zeuzem", "given" : "Stefan", "non-dropping-particle" : "", "parse-names" : false, "suffix" : "" }, { "dropping-particle" : "", "family" : "Bolondi", "given" : "Luigi", "non-dropping-particle" : "", "parse-names" : false, "suffix" : "" }, { "dropping-particle" : "", "family" : "Greten", "given" : "Tim F", "non-dropping-particle" : "", "parse-names" : false, "suffix" : "" }, { "dropping-particle" : "", "family" : "Galle", "given" : "Peter R", "non-dropping-particle" : "", "parse-names" : false, "suffix" : "" }, { "dropping-particle" : "", "family" : "Seitz", "given" : "Jean-Fran\u00e7ois", "non-dropping-particle" : "", "parse-names" : false, "suffix" : "" }, { "dropping-particle" : "", "family" : "Borbath", "given" : "Ivan", "non-dropping-particle" : "", "parse-names" : false, "suffix" : "" }, { "dropping-particle" : "", "family" : "H\u00e4ussinger", "given" : "Dieter", "non-dropping-particle" : "", "parse-names" : false, "suffix" : "" }, { "dropping-particle" : "", "family" : "Giannaris", "given" : "Tom", "non-dropping-particle" : "", "parse-names" : false, "suffix" : "" }, { "dropping-particle" : "", "family" : "Shan", "given" : "Minghua", "non-dropping-particle" : "", "parse-names" : false, "suffix" : "" }, { "dropping-particle" : "", "family" : "Moscovici", "given" : "Marius", "non-dropping-particle" : "", "parse-names" : false, "suffix" : "" }, { "dropping-particle" : "", "family" : "Voliotis", "given" : "Dimitris", "non-dropping-particle" : "", "parse-names" : false, "suffix" : "" }, { "dropping-particle" : "", "family" : "Bruix", "given" : "Jordi", "non-dropping-particle" : "", "parse-names" : false, "suffix" : "" } ], "container-title" : "N Engl J Med", "id" : "ITEM-1", "issued" : { "date-parts" : [ [ "2008" ] ] }, "page" : "378-90", "title" : "Sorafenib in Advanced Hepatocellular Carcinoma", "type" : "article-journal", "volume" : "359" }, "uris" : [ "http://www.mendeley.com/documents/?uuid=c70d432e-5d3f-3cba-a274-883ea3eb9eb7" ] }, { "id" : "ITEM-2", "itemData" : { "DOI" : "10.1016/S0140-6736(11)61347-0", "ISSN" : "01406736", "PMID" : "22353262", "abstract" : "Hepatocellular carcinoma is the sixth most prevalent cancer and the third most frequent cause of cancer-related death. Patients with cirrhosis are at highest risk of developing this malignant disease, and ultrasonography every 6 months is recommended. Surveillance with ultrasonography allows diagnosis at early stages when the tumour might be curable by resection, liver transplantation, or ablation, and 5-year survival higher than 50 can be achieved. Patients with small solitary tumours and very well preserved liver function are the best candidates for surgical resection. Liver transplantation is most beneficial for individuals who are not good candidates for resection, especially those within Milano criteria (solitary tumour \u22645 cm and up to three nodules \u22643 cm). Donor shortage greatly limits its applicability. Percutaneous ablation is the most frequently used treatment but its effectiveness is limited by tumour size and localisation. In asymptomatic patients with multifocal disease without vascular invasion or extrahepatic spread not amenable to curative treatments, chemoembolisation can provide survival benefit. Findings of randomised trials of sorafenib have shown survival benefits for individuals with advanced hepatocellular carcinoma, suggesting that molecular-targeted therapies could be effective in this chemoresistant cancer. Research is active in the area of pathogenesis and treatment of hepatocellular carcinoma. \u00a9 2012 Elsevier Ltd.", "author" : [ { "dropping-particle" : "", "family" : "Forner", "given" : "Alejandro", "non-dropping-particle" : "", "parse-names" : false, "suffix" : "" }, { "dropping-particle" : "", "family" : "Llovet", "given" : "Josep M.", "non-dropping-particle" : "", "parse-names" : false, "suffix" : "" }, { "dropping-particle" : "", "family" : "Bruix", "given" : "Jordi", "non-dropping-particle" : "", "parse-names" : false, "suffix" : "" } ], "container-title" : "The Lancet", "id" : "ITEM-2", "issue" : "9822", "issued" : { "date-parts" : [ [ "2012" ] ] }, "page" : "1245-1255", "publisher" : "Elsevier Ltd", "title" : "Hepatocellular carcinoma", "type" : "article-journal", "volume" : "379" }, "uris" : [ "http://www.mendeley.com/documents/?uuid=9027faf6-3bb3-4f8b-9723-227401d0c702" ] }, { "id" : "ITEM-3", "itemData" : { "DOI" : "10.1016/j.jhep.2011.12.001", "ISBN" : "0168-8278", "ISSN" : "01688278", "PMID" : "22424438", "abstract" : "EASLEORTC Clinical Practice Guidelines (CPG) on the management of hepatocellular carcinoma (HCC) define the use of surveillance, diagnosis, and therapeutic strategies recommended for patients with this type of cancer. This is the first European joint effort by the European Association for the Study of the Liver (EASL) and the European Organization for Research and Treatment of Cancer (EORTC) to provide common guidelines for the management of hepatocellular carcinoma. These guidelines update the recommendations reported by the EASL panel of experts in HCC published in 2001 1. Several clinical and scientific advances have occurred during the past decade and, thus, a modern version of the document is urgently needed.", "author" : [ { "dropping-particle" : "", "family" : "Dufour", "given" : "Jean Francois", "non-dropping-particle" : "", "parse-names" : false, "suffix" : "" }, { "dropping-particle" : "", "family" : "Greten", "given" : "Tim F", "non-dropping-particle" : "", "parse-names" : false, "suffix" : "" }, { "dropping-particle" : "", "family" : "Raymond", "given" : "Eric", "non-dropping-particle" : "", "parse-names" : false, "suffix" : "" }, { "dropping-particle" : "", "family" : "Roskams", "given" : "Tania", "non-dropping-particle" : "", "parse-names" : false, "suffix" : "" }, { "dropping-particle" : "", "family" : "De", "given" : "Thierry", "non-dropping-particle" : "", "parse-names" : false, "suffix" : "" }, { "dropping-particle" : "", "family" : "Ducreux", "given" : "Michel", "non-dropping-particle" : "", "parse-names" : false, "suffix" : "" }, { "dropping-particle" : "", "family" : "Mazzaferro", "given" : "Vincenzo", "non-dropping-particle" : "", "parse-names" : false, "suffix" : "" }, { "dropping-particle" : "", "family" : "Governing", "given" : "Easl", "non-dropping-particle" : "", "parse-names" : false, "suffix" : "" } ], "container-title" : "Journal of Hepatology", "id" : "ITEM-3", "issue" : "4", "issued" : { "date-parts" : [ [ "2012" ] ] }, "page" : "908-43", "title" : "Clinical Practice Guidelines EASL \u2013 EORTC Clinical Practice Guidelines : Management of hepatocellular carcinoma European Organisation for Research and Treatment of Cancer", "type" : "article-journal", "volume" : "56" }, "uris" : [ "http://www.mendeley.com/documents/?uuid=dc711baf-031c-4038-b97c-c7652f3b6193" ] }, { "id" : "ITEM-4", "itemData" : { "DOI" : "10.1159/000365993", "ISSN" : "1423-0232 (Electronic)", "PMID" : "25227534", "abstract" : "OBJECTIVE: We compared the benefits of sorafenib therapy with continued transarterial chemoembolization (TACE) in TACE-refractory patients with intermediate-stage hepatocellular carcinoma (HCC). METHODS: This retrospective study reviewed intermediate-stage HCC patients who underwent the first TACE. Patients were defined as TACE-refractory and divided into two cohorts: (1) patients who switched from TACE to sorafenib and (2) those who continued TACE. We evaluated the patient overall survival (OS) and time to disease progression (TTDP; the time patients reached Child-Pugh C or developed advanced-stage HCC). RESULTS: A total of 509 patients with HCC underwent TACE. Of 249 intermediate-stage HCC patients undergoing the first TACE, 122 were deemed refractory. At the time they were identified as refractory, 20 patients converted to sorafenib, whereas 36 patients continued TACE. We excluded patients with Child-Pugh scores of &gt;/= 8, those with advanced-stage HCC, those who had undergone hepatic arterial infusion chemotherapy or other systemic therapy, and those treated with best supportive care alone. The median TTDP and OS were 22.3 and 25.4 months, respectively, in the conversion group, and 7.7 and 11.5 months, respectively, in the continued group (p = 0.001 and p = 0.003, respectively). CONCLUSIONS: It is possible that sorafenib conversion might prolong OS and TTDP in TACE-refractory patients with intermediate-stage HCC.", "author" : [ { "dropping-particle" : "", "family" : "Ogasawara", "given" : "Sadahisa", "non-dropping-particle" : "", "parse-names" : false, "suffix" : "" }, { "dropping-particle" : "", "family" : "Chiba", "given" : "Tetsuhiro", "non-dropping-particle" : "", "parse-names" : false, "suffix" : "" }, { "dropping-particle" : "", "family" : "Ooka", "given" : "Yoshihiko", "non-dropping-particle" : "", "parse-names" : false, "suffix" : "" }, { "dropping-particle" : "", "family" : "Kanogawa", "given" : "Naoya", "non-dropping-particle" : "", "parse-names" : false, "suffix" : "" }, { "dropping-particle" : "", "family" : "Motoyama", "given" : "Tenyu", "non-dropping-particle" : "", "parse-names" : false, "suffix" : "" }, { "dropping-particle" : "", "family" : "Suzuki", "given" : "Eiichiro", "non-dropping-particle" : "", "parse-names" : false, "suffix" : "" }, { "dropping-particle" : "", "family" : "Tawada", "given" : "Akinobu", "non-dropping-particle" : "", "parse-names" : false, "suffix" : "" }, { "dropping-particle" : "", "family" : "Kanai", "given" : "Fumihiko", "non-dropping-particle" : "", "parse-names" : false, "suffix" : "" }, { "dropping-particle" : "", "family" : "Yoshikawa", "given" : "Masaharu", "non-dropping-particle" : "", "parse-names" : false, "suffix" : "" }, { "dropping-particle" : "", "family" : "Yokosuka", "given" : "Osamu", "non-dropping-particle" : "", "parse-names" : false, "suffix" : "" } ], "container-title" : "Oncology", "id" : "ITEM-4", "issue" : "6", "issued" : { "date-parts" : [ [ "2014" ] ] }, "language" : "eng", "page" : "330-341", "publisher-place" : "Switzerland", "title" : "Efficacy of sorafenib in intermediate-stage hepatocellular carcinoma patients refractory to transarterial chemoembolization.", "type" : "article-journal", "volume" : "87" }, "uris" : [ "http://www.mendeley.com/documents/?uuid=409fbf71-6ddf-4445-850d-0bdb94812129" ] } ], "mendeley" : { "formattedCitation" : "[4\u20137]", "plainTextFormattedCitation" : "[4\u20137]", "previouslyFormattedCitation" : "[4\u20137]" }, "properties" : {  }, "schema" : "https://github.com/citation-style-language/schema/raw/master/csl-citation.json" }</w:instrText>
      </w:r>
      <w:r w:rsidR="00232E16">
        <w:rPr>
          <w:sz w:val="24"/>
          <w:szCs w:val="24"/>
          <w:lang w:val="en-US"/>
        </w:rPr>
        <w:fldChar w:fldCharType="separate"/>
      </w:r>
      <w:r w:rsidR="00D31259" w:rsidRPr="00D31259">
        <w:rPr>
          <w:noProof/>
          <w:sz w:val="24"/>
          <w:szCs w:val="24"/>
          <w:lang w:val="en-US"/>
        </w:rPr>
        <w:t>[4–7]</w:t>
      </w:r>
      <w:r w:rsidR="00232E16">
        <w:rPr>
          <w:sz w:val="24"/>
          <w:szCs w:val="24"/>
          <w:lang w:val="en-US"/>
        </w:rPr>
        <w:fldChar w:fldCharType="end"/>
      </w:r>
      <w:r w:rsidR="00EB024A">
        <w:rPr>
          <w:sz w:val="24"/>
          <w:szCs w:val="24"/>
          <w:lang w:val="en-US"/>
        </w:rPr>
        <w:t xml:space="preserve">. </w:t>
      </w:r>
      <w:r w:rsidR="00E8066E">
        <w:rPr>
          <w:sz w:val="24"/>
          <w:szCs w:val="24"/>
          <w:lang w:val="en-US"/>
        </w:rPr>
        <w:t>Previous</w:t>
      </w:r>
      <w:r w:rsidR="00EB024A">
        <w:rPr>
          <w:sz w:val="24"/>
          <w:szCs w:val="24"/>
          <w:lang w:val="en-US"/>
        </w:rPr>
        <w:t xml:space="preserve"> studies have shown only a modest improvement of overall survival (OS) with a high incidence of sorafenib-related adverse</w:t>
      </w:r>
      <w:r w:rsidR="00E8066E">
        <w:rPr>
          <w:sz w:val="24"/>
          <w:szCs w:val="24"/>
          <w:lang w:val="en-US"/>
        </w:rPr>
        <w:t xml:space="preserve"> events </w:t>
      </w:r>
      <w:r w:rsidR="004F4710">
        <w:rPr>
          <w:sz w:val="24"/>
          <w:szCs w:val="24"/>
          <w:lang w:val="en-US"/>
        </w:rPr>
        <w:t>that</w:t>
      </w:r>
      <w:r w:rsidR="00E8066E">
        <w:rPr>
          <w:sz w:val="24"/>
          <w:szCs w:val="24"/>
          <w:lang w:val="en-US"/>
        </w:rPr>
        <w:t xml:space="preserve"> worsen </w:t>
      </w:r>
      <w:r w:rsidR="00EB024A">
        <w:rPr>
          <w:sz w:val="24"/>
          <w:szCs w:val="24"/>
          <w:lang w:val="en-US"/>
        </w:rPr>
        <w:t>quality of life and often lead to dose reduction and even early cessation of sorafenib treatment</w:t>
      </w:r>
      <w:r w:rsidR="00FC1223">
        <w:rPr>
          <w:sz w:val="24"/>
          <w:szCs w:val="24"/>
          <w:lang w:val="en-US"/>
        </w:rPr>
        <w:t xml:space="preserve"> </w:t>
      </w:r>
      <w:r w:rsidR="00232E16">
        <w:rPr>
          <w:sz w:val="24"/>
          <w:szCs w:val="24"/>
          <w:lang w:val="en-US"/>
        </w:rPr>
        <w:fldChar w:fldCharType="begin" w:fldLock="1"/>
      </w:r>
      <w:r w:rsidR="00D31259">
        <w:rPr>
          <w:sz w:val="24"/>
          <w:szCs w:val="24"/>
          <w:lang w:val="en-US"/>
        </w:rPr>
        <w:instrText>ADDIN CSL_CITATION { "citationItems" : [ { "id" : "ITEM-1", "itemData" : { "DOI" : "10.1159/000365993", "ISBN" : "0030-2414", "ISSN" : "14230232", "PMID" : "25227534", "abstract" : "OBJECTIVE: We compared the benefits of sorafenib therapy with continued transarterial chemoembolization (TACE) in TACE-refractory patients with intermediate-stage hepatocellular carcinoma (HCC).  METHODS: This retrospective study reviewed intermediate-stage HCC patients who underwent the first TACE. Patients were defined as TACE-refractory and divided into two cohorts: (1) patients who switched from TACE to sorafenib and (2) those who continued TACE. We evaluated the patient overall survival (OS) and time to disease progression (TTDP; the time patients reached Child-Pugh C or developed advanced-stage HCC).  RESULTS: A total of 509 patients with HCC underwent TACE. Of 249 intermediate-stage HCC patients undergoing the first TACE, 122 were deemed refractory. At the time they were identified as refractory, 20 patients converted to sorafenib, whereas 36 patients continued TACE. We excluded patients with Child-Pugh scores of \u2265 8, those with advanced-stage HCC, those who had undergone hepatic arterial infusion chemotherapy or other systemic therapy, and those treated with best supportive care alone. The median TTDP and OS were 22.3 and 25.4 months, respectively, in the conversion group, and 7.7 and 11.5 months, respectively, in the continued group (p = 0.001 and p = 0.003, respectively).  CONCLUSIONS: It is possible that sorafenib conversion might prolong OS and TTDP in TACE-refractory patients with intermediate-stage HCC.", "author" : [ { "dropping-particle" : "", "family" : "Ogasawara", "given" : "Sadahisa", "non-dropping-particle" : "", "parse-names" : false, "suffix" : "" }, { "dropping-particle" : "", "family" : "Chiba", "given" : "Tetsuhiro", "non-dropping-particle" : "", "parse-names" : false, "suffix" : "" }, { "dropping-particle" : "", "family" : "Ooka", "given" : "Yoshihiko", "non-dropping-particle" : "", "parse-names" : false, "suffix" : "" }, { "dropping-particle" : "", "family" : "Kanogawa", "given" : "Naoya", "non-dropping-particle" : "", "parse-names" : false, "suffix" : "" }, { "dropping-particle" : "", "family" : "Motoyama", "given" : "Tenyu", "non-dropping-particle" : "", "parse-names" : false, "suffix" : "" }, { "dropping-particle" : "", "family" : "Suzuki", "given" : "Eiichiro", "non-dropping-particle" : "", "parse-names" : false, "suffix" : "" }, { "dropping-particle" : "", "family" : "Tawada", "given" : "Akinobu", "non-dropping-particle" : "", "parse-names" : false, "suffix" : "" }, { "dropping-particle" : "", "family" : "Kanai", "given" : "Fumihiko", "non-dropping-particle" : "", "parse-names" : false, "suffix" : "" }, { "dropping-particle" : "", "family" : "Yoshikawa", "given" : "Masaharu", "non-dropping-particle" : "", "parse-names" : false, "suffix" : "" }, { "dropping-particle" : "", "family" : "Yokosuka", "given" : "Osamu", "non-dropping-particle" : "", "parse-names" : false, "suffix" : "" } ], "container-title" : "Oncology (Switzerland)", "id" : "ITEM-1", "issued" : { "date-parts" : [ [ "2014" ] ] }, "title" : "Efficacy of sorafenib in intermediate-stage hepatocellular carcinoma patients refractory to transarterial chemoembolization", "type" : "article-journal" }, "uris" : [ "http://www.mendeley.com/documents/?uuid=a3c95d13-cb33-315f-bf38-36bb6b61f134" ] }, { "id" : "ITEM-2", "itemData" : { "DOI" : "10.1111/apt.13977", "ISSN" : "13652036", "abstract" : "\u00a9 2017 John Wiley  &amp;  Sons Ltd Background: Hepatocellular carcinoma (HCC) is the sixth most common cancer worldwide and has high mortality despite treatment. While sorafenib has a survival benefit for patients with advanced HCC, clinical response is highly variable. Aim: To determine whether development of sorafenib toxicity is a prognostic marker of survival in HCC. Methods: In this prospective multicentre cohort study, patients with advanced-stage HCC receiving sorafenib were recruited from five international specialist centres. Demographic and clinical data including development and grade of sorafenib toxicity during treatment, radiological response to sorafenib and survival time (months) were recorded prospectively. Results: A total of 634 patients with advanced-stage HCC receiving sorafenib were recruited to the study, with a median follow-up of 6692.3 person-months at risk. The majority of patients were male (81%) with Child\u2013Pugh A stage liver disease (74%) and Barcelona Clinic Liver Cancer stage C HCC (64%). Median survival time was 8.1 months (IQR 3.8\u201318.6 months). 94% experienced at least one sorafenib-related toxicity: 34% diarrhoea, 16% hypertension and 37% hand-foot syndrome (HFS). Twenty-one per cent ceased sorafenib due to toxicity and 59% ceased treatment due to progressive disease or death. On multivariate analysis, sorafenib-related diarrhoea (HR 0.76, 95% CI 0.61\u20130.95, P = 0.017), hypertension (HR 0.531, 95% CI 0.37\u20130.76, P  &lt;  0.0001) and HFS (HR 0.65, 95% CI 0.51\u20130.81, P  &lt;  0.0001) were all significant independent predictors of overall survival after adjusting for age, severity of liver disease, tumour stage and sorafenib dose. Conclusion: Development of sorafenib-related toxicity including diarrhoea, hypertension and hand-foot syndrome is associated with prolonged overall survival in patients with advanced-stage HCC on sorafenib.", "author" : [ { "dropping-particle" : "", "family" : "Howell", "given" : "J.", "non-dropping-particle" : "", "parse-names" : false, "suffix" : "" }, { "dropping-particle" : "", "family" : "Pinato", "given" : "D.J.", "non-dropping-particle" : "", "parse-names" : false, "suffix" : "" }, { "dropping-particle" : "", "family" : "Ramaswami", "given" : "R.", "non-dropping-particle" : "", "parse-names" : false, "suffix" : "" }, { "dropping-particle" : "", "family" : "Bettinger", "given" : "D.", "non-dropping-particle" : "", "parse-names" : false, "suffix" : "" }, { "dropping-particle" : "", "family" : "Arizumi", "given" : "T.", "non-dropping-particle" : "", "parse-names" : false, "suffix" : "" }, { "dropping-particle" : "", "family" : "Ferrari", "given" : "C.", "non-dropping-particle" : "", "parse-names" : false, "suffix" : "" }, { "dropping-particle" : "", "family" : "Yen", "given" : "C.", "non-dropping-particle" : "", "parse-names" : false, "suffix" : "" }, { "dropping-particle" : "", "family" : "Gibbin", "given" : "A.", "non-dropping-particle" : "", "parse-names" : false, "suffix" : "" }, { "dropping-particle" : "", "family" : "Burlone", "given" : "M.E.", "non-dropping-particle" : "", "parse-names" : false, "suffix" : "" }, { "dropping-particle" : "", "family" : "Guaschino", "given" : "G.", "non-dropping-particle" : "", "parse-names" : false, "suffix" : "" }, { "dropping-particle" : "", "family" : "Sellers", "given" : "L.", "non-dropping-particle" : "", "parse-names" : false, "suffix" : "" }, { "dropping-particle" : "", "family" : "Black", "given" : "J.", "non-dropping-particle" : "", "parse-names" : false, "suffix" : "" }, { "dropping-particle" : "", "family" : "Pirisi", "given" : "M.", "non-dropping-particle" : "", "parse-names" : false, "suffix" : "" }, { "dropping-particle" : "", "family" : "Kudo", "given" : "M.", "non-dropping-particle" : "", "parse-names" : false, "suffix" : "" }, { "dropping-particle" : "", "family" : "Thimme", "given" : "R.", "non-dropping-particle" : "", "parse-names" : false, "suffix" : "" }, { "dropping-particle" : "", "family" : "Park", "given" : "J.-W.", "non-dropping-particle" : "", "parse-names" : false, "suffix" : "" }, { "dropping-particle" : "", "family" : "Sharma", "given" : "R.", "non-dropping-particle" : "", "parse-names" : false, "suffix" : "" } ], "container-title" : "Alimentary Pharmacology and Therapeutics", "id" : "ITEM-2", "issue" : "8", "issued" : { "date-parts" : [ [ "2017" ] ] }, "title" : "On-target sorafenib toxicity predicts improved survival in hepatocellular carcinoma: a multi-centre, prospective study", "type" : "article-journal", "volume" : "45" }, "uris" : [ "http://www.mendeley.com/documents/?uuid=7a79673a-391f-36f9-b6ff-5a4a528289cb" ] } ], "mendeley" : { "formattedCitation" : "[8,9]", "plainTextFormattedCitation" : "[8,9]", "previouslyFormattedCitation" : "[8,9]" }, "properties" : {  }, "schema" : "https://github.com/citation-style-language/schema/raw/master/csl-citation.json" }</w:instrText>
      </w:r>
      <w:r w:rsidR="00232E16">
        <w:rPr>
          <w:sz w:val="24"/>
          <w:szCs w:val="24"/>
          <w:lang w:val="en-US"/>
        </w:rPr>
        <w:fldChar w:fldCharType="separate"/>
      </w:r>
      <w:r w:rsidR="00D31259" w:rsidRPr="00D31259">
        <w:rPr>
          <w:noProof/>
          <w:sz w:val="24"/>
          <w:szCs w:val="24"/>
          <w:lang w:val="en-US"/>
        </w:rPr>
        <w:t>[8,9]</w:t>
      </w:r>
      <w:r w:rsidR="00232E16">
        <w:rPr>
          <w:sz w:val="24"/>
          <w:szCs w:val="24"/>
          <w:lang w:val="en-US"/>
        </w:rPr>
        <w:fldChar w:fldCharType="end"/>
      </w:r>
      <w:r w:rsidR="00EB024A">
        <w:rPr>
          <w:sz w:val="24"/>
          <w:szCs w:val="24"/>
          <w:lang w:val="en-US"/>
        </w:rPr>
        <w:t xml:space="preserve">. </w:t>
      </w:r>
      <w:r w:rsidR="0043547E">
        <w:rPr>
          <w:sz w:val="24"/>
          <w:szCs w:val="24"/>
          <w:lang w:val="en-US"/>
        </w:rPr>
        <w:t>Therefore, alternative treatment options for patients with advanced HCC are urgently needed.</w:t>
      </w:r>
      <w:r w:rsidR="00FC1223">
        <w:rPr>
          <w:sz w:val="24"/>
          <w:szCs w:val="24"/>
          <w:lang w:val="en-US"/>
        </w:rPr>
        <w:t xml:space="preserve"> Selective internal radiotherapy (SIRT) has shown early evidence of efficacy and better safety in HCC patients, therefore suggesting </w:t>
      </w:r>
      <w:r w:rsidR="004F4710">
        <w:rPr>
          <w:sz w:val="24"/>
          <w:szCs w:val="24"/>
          <w:lang w:val="en-US"/>
        </w:rPr>
        <w:t xml:space="preserve">HCC </w:t>
      </w:r>
      <w:r w:rsidR="00FC1223">
        <w:rPr>
          <w:sz w:val="24"/>
          <w:szCs w:val="24"/>
          <w:lang w:val="en-US"/>
        </w:rPr>
        <w:t xml:space="preserve">radiosensitivity </w:t>
      </w:r>
      <w:r w:rsidR="004F4710">
        <w:rPr>
          <w:sz w:val="24"/>
          <w:szCs w:val="24"/>
          <w:lang w:val="en-US"/>
        </w:rPr>
        <w:t xml:space="preserve">in </w:t>
      </w:r>
      <w:r w:rsidR="00FC1223">
        <w:rPr>
          <w:sz w:val="24"/>
          <w:szCs w:val="24"/>
          <w:lang w:val="en-US"/>
        </w:rPr>
        <w:t>a proportion of patients</w:t>
      </w:r>
      <w:r w:rsidR="00FC6AC8">
        <w:rPr>
          <w:sz w:val="24"/>
          <w:szCs w:val="24"/>
          <w:lang w:val="en-US"/>
        </w:rPr>
        <w:t xml:space="preserve"> </w:t>
      </w:r>
      <w:r w:rsidR="00FC6AC8">
        <w:rPr>
          <w:sz w:val="24"/>
          <w:szCs w:val="24"/>
          <w:lang w:val="en-US"/>
        </w:rPr>
        <w:fldChar w:fldCharType="begin" w:fldLock="1"/>
      </w:r>
      <w:r w:rsidR="00FC6AC8">
        <w:rPr>
          <w:sz w:val="24"/>
          <w:szCs w:val="24"/>
          <w:lang w:val="en-US"/>
        </w:rPr>
        <w:instrText>ADDIN CSL_CITATION { "citationItems" : [ { "id" : "ITEM-1", "itemData" : { "DOI" : "10.1016/S1470-2045(17)30683-6", "ISSN" : "14745488", "PMID" : "29107679", "abstract" : "Background Sorafenib is the recommended treatment for patients with advanced hepatocellular carcinoma. We aimed to compare the efficacy and safety of sorafenib to that of selective internal radiotherapy (SIRT) with yttrium-90 (90Y) resin microspheres in patients with hepatocellular carcinoma. Methods SARAH was a multicentre, open-label, randomised, controlled, investigator-initiated, phase 3 trial done at 25 centres specialising in liver diseases in France. Patients were eligible if they were aged at least 18 years with a life expectancy greater than 3 months, had an Eastern Cooperative Oncology Group (ECOG) performance status of 0 or 1, Child-Pugh liver function class A or B score of 7 or lower, and locally advanced hepatocellular carcinoma (Barcelona Clinic Liver Cancer [BCLC] stage C), or new hepatocellular carcinoma not eligible for surgical resection, liver transplantation, or thermal ablation after a previously cured hepatocellular carcinoma (cured by surgery or thermoablative therapy), or hepatocellular carcinoma with two unsuccessful rounds of transarterial chemoembolisation. Patients were randomly assigned (1:1) by a permutated block method with block sizes two and four to receive continuous oral sorafenib (400 mg twice daily) or SIRT with90Y-loaded resin microspheres 2\u20135 weeks after randomisation. Patients were stratified according to randomising centre, ECOG performance status, previous transarterial chemoembolisation, and presence of macroscopic vascular invasion. The primary endpoint was overall survival. Analyses were done on the intention-to-treat population; safety was assessed in all patients who received at least one dose of sorafenib or underwent at least one of the SIRT work-up exams. This study has been completed and the final results are reported here. The trial is registered with ClinicalTrials.gov, number NCT01482442. Findings Between Dec 5, 2011, and March 12, 2015, 467 patients were randomly assigned; after eight patients withdrew consent, 237 were assigned to SIRT and 222 to sorafenib. In the SIRT group, 53 (22%) of 237 patients did not receive SIRT; 26 (49%) of these 53 patients were treated with sorafenib. Median follow-up was 27\u00b79 months (IQR 21\u00b79\u201333\u00b76) in the SIRT group and 28\u00b71 months (20\u00b70\u201335\u00b73) in the sorafenib group. Median overall survival was 8\u00b70 months (95% CI 6\u00b77\u20139\u00b79) in the SIRT group versus 9\u00b79 months (8\u00b77\u201311\u00b74) in the sorafenib group (hazard ratio 1\u00b715 [95% CI 0\u00b794\u20131\u00b741] for SIRT vs sorafenib; p=0\u00b718). In the sa\u2026", "author" : [ { "dropping-particle" : "", "family" : "Vilgrain", "given" : "Val\u00e9rie", "non-dropping-particle" : "", "parse-names" : false, "suffix" : "" }, { "dropping-particle" : "", "family" : "Pereira", "given" : "Helena", "non-dropping-particle" : "", "parse-names" : false, "suffix" : "" }, { "dropping-particle" : "", "family" : "Assenat", "given" : "Eric", "non-dropping-particle" : "", "parse-names" : false, "suffix" : "" }, { "dropping-particle" : "", "family" : "Guiu", "given" : "Boris", "non-dropping-particle" : "", "parse-names" : false, "suffix" : "" }, { "dropping-particle" : "", "family" : "Ilonca", "given" : "Alina Diana", "non-dropping-particle" : "", "parse-names" : false, "suffix" : "" }, { "dropping-particle" : "", "family" : "Pageaux", "given" : "Georges Philippe", "non-dropping-particle" : "", "parse-names" : false, "suffix" : "" }, { "dropping-particle" : "", "family" : "Sibert", "given" : "Annie", "non-dropping-particle" : "", "parse-names" : false, "suffix" : "" }, { "dropping-particle" : "", "family" : "Bouattour", "given" : "Mohamed", "non-dropping-particle" : "", "parse-names" : false, "suffix" : "" }, { "dropping-particle" : "", "family" : "Lebtahi", "given" : "Rachida", "non-dropping-particle" : "", "parse-names" : false, "suffix" : "" }, { "dropping-particle" : "", "family" : "Allaham", "given" : "Wassim", "non-dropping-particle" : "", "parse-names" : false, "suffix" : "" }, { "dropping-particle" : "", "family" : "Barraud", "given" : "H\u00e9l\u00e8ne", "non-dropping-particle" : "", "parse-names" : false, "suffix" : "" }, { "dropping-particle" : "", "family" : "Laurent", "given" : "Val\u00e9rie", "non-dropping-particle" : "", "parse-names" : false, "suffix" : "" }, { "dropping-particle" : "", "family" : "Mathias", "given" : "Elodie", "non-dropping-particle" : "", "parse-names" : false, "suffix" : "" }, { "dropping-particle" : "", "family" : "Bronowicki", "given" : "Jean Pierre", "non-dropping-particle" : "", "parse-names" : false, "suffix" : "" }, { "dropping-particle" : "", "family" : "Tasu", "given" : "Jean Pierre", "non-dropping-particle" : "", "parse-names" : false, "suffix" : "" }, { "dropping-particle" : "", "family" : "Perdrisot", "given" : "R\u00e9my", "non-dropping-particle" : "", "parse-names" : false, "suffix" : "" }, { "dropping-particle" : "", "family" : "Silvain", "given" : "Christine", "non-dropping-particle" : "", "parse-names" : false, "suffix" : "" }, { "dropping-particle" : "", "family" : "Gerolami", "given" : "Ren\u00e9", "non-dropping-particle" : "", "parse-names" : false, "suffix" : "" }, { "dropping-particle" : "", "family" : "Mundler", "given" : "Olivier", "non-dropping-particle" : "", "parse-names" : false, "suffix" : "" }, { "dropping-particle" : "", "family" : "Seitz", "given" : "Jean Francois", "non-dropping-particle" : "", "parse-names" : false, "suffix" : "" }, { "dropping-particle" : "", "family" : "Vidal", "given" : "Vincent", "non-dropping-particle" : "", "parse-names" : false, "suffix" : "" }, { "dropping-particle" : "", "family" : "Aub\u00e9", "given" : "Christophe", "non-dropping-particle" : "", "parse-names" : false, "suffix" : "" }, { "dropping-particle" : "", "family" : "Oberti", "given" : "Fr\u00e9d\u00e9ric", "non-dropping-particle" : "", "parse-names" : false, "suffix" : "" }, { "dropping-particle" : "", "family" : "Couturier", "given" : "Olivier", "non-dropping-particle" : "", "parse-names" : false, "suffix" : "" }, { "dropping-particle" : "", "family" : "Brenot-Rossi", "given" : "Isabelle", "non-dropping-particle" : "", "parse-names" : false, "suffix" : "" }, { "dropping-particle" : "", "family" : "Raoul", "given" : "Jean Luc", "non-dropping-particle" : "", "parse-names" : false, "suffix" : "" }, { "dropping-particle" : "", "family" : "Sarran", "given" : "Anthony", "non-dropping-particle" : "", "parse-names" : false, "suffix" : "" }, { "dropping-particle" : "", "family" : "Costentin", "given" : "Charlotte", "non-dropping-particle" : "", "parse-names" : false, "suffix" : "" }, { "dropping-particle" : "", "family" : "Itti", "given" : "Emmanuel", "non-dropping-particle" : "", "parse-names" : false, "suffix" : "" }, { "dropping-particle" : "", "family" : "Luciani", "given" : "Alain", "non-dropping-particle" : "", "parse-names" : false, "suffix" : "" }, { "dropping-particle" : "", "family" : "Adam", "given" : "Ren\u00e9", "non-dropping-particle" : "", "parse-names" : false, "suffix" : "" }, { "dropping-particle" : "", "family" : "Lewin", "given" : "Ma\u00eft\u00e9", "non-dropping-particle" : "", "parse-names" : false, "suffix" : "" }, { "dropping-particle" : "", "family" : "Samuel", "given" : "Didier", "non-dropping-particle" : "", "parse-names" : false, "suffix" : "" }, { "dropping-particle" : "", "family" : "Ronot", "given" : "Maxime", "non-dropping-particle" : "", "parse-names" : false, "suffix" : "" }, { "dropping-particle" : "", "family" : "Dinut", "given" : "Aurelia", "non-dropping-particle" : "", "parse-names" : false, "suffix" : "" }, { "dropping-particle" : "", "family" : "Castera", "given" : "Laurent", "non-dropping-particle" : "", "parse-names" : false, "suffix" : "" }, { "dropping-particle" : "", "family" : "Chatellier", "given" : "Gilles", "non-dropping-particle" : "", "parse-names" : false, "suffix" : "" }, { "dropping-particle" : "", "family" : "Assenat", "given" : "Eric", "non-dropping-particle" : "", "parse-names" : false, "suffix" : "" }, { "dropping-particle" : "", "family" : "Delhom - Christol", "given" : "Elisabeth", "non-dropping-particle" : "", "parse-names" : false, "suffix" : "" }, { "dropping-particle" : "", "family" : "Guiu", "given" : "Boris", "non-dropping-particle" : "", "parse-names" : false, "suffix" : "" }, { "dropping-particle" : "", "family" : "Ilonca", "given" : "Alina D.", "non-dropping-particle" : "", "parse-names" : false, "suffix" : "" }, { "dropping-particle" : "", "family" : "Lonjon", "given" : "Julie", "non-dropping-particle" : "", "parse-names" : false, "suffix" : "" }, { "dropping-particle" : "", "family" : "Pageaux", "given" : "Georges Philippe", "non-dropping-particle" : "", "parse-names" : false, "suffix" : "" }, { "dropping-particle" : "", "family" : "Abdel-Rehim", "given" : "Mohamed", "non-dropping-particle" : "", "parse-names" : false, "suffix" : "" }, { "dropping-particle" : "", "family" : "Allaham", "given" : "Wassim", "non-dropping-particle" : "", "parse-names" : false, "suffix" : "" }, { "dropping-particle" : "", "family" : "Bouattour", "given" : "Mohamed", "non-dropping-particle" : "", "parse-names" : false, "suffix" : "" }, { "dropping-particle" : "", "family" : "Castera", "given" : "Laurent", "non-dropping-particle" : "", "parse-names" : false, "suffix" : "" }, { "dropping-particle" : "", "family" : "Dieudonn\u00e9", "given" : "Arnaud", "non-dropping-particle" : "", "parse-names" : false, "suffix" : "" }, { "dropping-particle" : "", "family" : "Lebtahi", "given" : "Rachida", "non-dropping-particle" : "", "parse-names" : false, "suffix" : "" }, { "dropping-particle" : "", "family" : "Ronot", "given" : "Maxime", "non-dropping-particle" : "", "parse-names" : false, "suffix" : "" }, { "dropping-particle" : "", "family" : "Sibert", "given" : "Annie", "non-dropping-particle" : "", "parse-names" : false, "suffix" : "" }, { "dropping-particle" : "", "family" : "Vilgrain", "given" : "Val\u00e9rie", "non-dropping-particle" : "", "parse-names" : false, "suffix" : "" }, { "dropping-particle" : "", "family" : "Barraud", "given" : "H\u00e9l\u00e8ne", "non-dropping-particle" : "", "parse-names" : false, "suffix" : "" }, { "dropping-particle" : "", "family" : "Bazin", "given" : "Christophe", "non-dropping-particle" : "", "parse-names" : false, "suffix" : "" }, { "dropping-particle" : "", "family" : "Bronowicki", "given" : "Jean Pierre", "non-dropping-particle" : "", "parse-names" : false, "suffix" : "" }, { "dropping-particle" : "", "family" : "Laurent", "given" : "Val\u00e9rie", "non-dropping-particle" : "", "parse-names" : false, "suffix" : "" }, { "dropping-particle" : "", "family" : "Mathias", "given" : "Elodie", "non-dropping-particle" : "", "parse-names" : false, "suffix" : "" }, { "dropping-particle" : "", "family" : "Chagneau-Derrode", "given" : "Carine", "non-dropping-particle" : "", "parse-names" : false, "suffix" : "" }, { "dropping-particle" : "", "family" : "Perdrisot", "given" : "R\u00e9my", "non-dropping-particle" : "", "parse-names" : false, "suffix" : "" }, { "dropping-particle" : "", "family" : "Silvain", "given" : "Christine", "non-dropping-particle" : "", "parse-names" : false, "suffix" : "" }, { "dropping-particle" : "", "family" : "Tasu", "given" : "Jean Pierre", "non-dropping-particle" : "", "parse-names" : false, "suffix" : "" }, { "dropping-particle" : "", "family" : "Borentain", "given" : "Patrick", "non-dropping-particle" : "", "parse-names" : false, "suffix" : "" }, { "dropping-particle" : "", "family" : "Gerolami", "given" : "Ren\u00e9", "non-dropping-particle" : "", "parse-names" : false, "suffix" : "" }, { "dropping-particle" : "", "family" : "Mundler", "given" : "Olivier", "non-dropping-particle" : "", "parse-names" : false, "suffix" : "" }, { "dropping-particle" : "", "family" : "Seitz", "given" : "Jean Francois", "non-dropping-particle" : "", "parse-names" : false, "suffix" : "" }, { "dropping-particle" : "", "family" : "Vidal", "given" : "Vincent", "non-dropping-particle" : "", "parse-names" : false, "suffix" : "" }, { "dropping-particle" : "", "family" : "Aub\u00e9", "given" : "Christophe", "non-dropping-particle" : "", "parse-names" : false, "suffix" : "" }, { "dropping-particle" : "", "family" : "Bouvier", "given" : "Antoine", "non-dropping-particle" : "", "parse-names" : false, "suffix" : "" }, { "dropping-particle" : "", "family" : "Couturier", "given" : "Olivier", "non-dropping-particle" : "", "parse-names" : false, "suffix" : "" }, { "dropping-particle" : "", "family" : "Oberti", "given" : "Fr\u00e9d\u00e9ric", "non-dropping-particle" : "", "parse-names" : false, "suffix" : "" }, { "dropping-particle" : "", "family" : "Vervueren", "given" : "Laurent", "non-dropping-particle" : "", "parse-names" : false, "suffix" : "" }, { "dropping-particle" : "", "family" : "Brenot-Rossi", "given" : "Isabelle", "non-dropping-particle" : "", "parse-names" : false, "suffix" : "" }, { "dropping-particle" : "", "family" : "Raoul", "given" : "Jean Luc", "non-dropping-particle" : "", "parse-names" : false, "suffix" : "" }, { "dropping-particle" : "", "family" : "Sarran", "given" : "Anthony", "non-dropping-particle" : "", "parse-names" : false, "suffix" : "" }, { "dropping-particle" : "", "family" : "Chalaye", "given" : "Julia", "non-dropping-particle" : "", "parse-names" : false, "suffix" : "" }, { "dropping-particle" : "", "family" : "Costentin", "given" : "Charlotte", "non-dropping-particle" : "", "parse-names" : false, "suffix" : "" }, { "dropping-particle" : "", "family" : "Itti", "given" : "Emmanuel", "non-dropping-particle" : "", "parse-names" : false, "suffix" : "" }, { "dropping-particle" : "", "family" : "Kobeiter", "given" : "Hicham", "non-dropping-particle" : "", "parse-names" : false, "suffix" : "" }, { "dropping-particle" : "", "family" : "Luciani", "given" : "Alain", "non-dropping-particle" : "", "parse-names" : false, "suffix" : "" }, { "dropping-particle" : "", "family" : "Adam", "given" : "Ren\u00e9", "non-dropping-particle" : "", "parse-names" : false, "suffix" : "" }, { "dropping-particle" : "", "family" : "Lewin", "given" : "Ma\u00eft\u00e9", "non-dropping-particle" : "", "parse-names" : false, "suffix" : "" }, { "dropping-particle" : "", "family" : "Samuel", "given" : "Didier", "non-dropping-particle" : "", "parse-names" : false, "suffix" : "" }, { "dropping-particle" : "", "family" : "Edeline", "given" : "Julien", "non-dropping-particle" : "", "parse-names" : false, "suffix" : "" }, { "dropping-particle" : "", "family" : "Garin", "given" : "Etienne", "non-dropping-particle" : "", "parse-names" : false, "suffix" : "" }, { "dropping-particle" : "", "family" : "Rolland", "given" : "Yan", "non-dropping-particle" : "", "parse-names" : false, "suffix" : "" }, { "dropping-particle" : "", "family" : "Archambeaud", "given" : "Isabelle", "non-dropping-particle" : "", "parse-names" : false, "suffix" : "" }, { "dropping-particle" : "", "family" : "Eugene", "given" : "Thomas", "non-dropping-particle" : "", "parse-names" : false, "suffix" : "" }, { "dropping-particle" : "", "family" : "Frampas", "given" : "Eric", "non-dropping-particle" : "", "parse-names" : false, "suffix" : "" }, { "dropping-particle" : "", "family" : "Cassinotto", "given" : "Christophe", "non-dropping-particle" : "", "parse-names" : false, "suffix" : "" }, { "dropping-particle" : "", "family" : "Guyot", "given" : "Martine", "non-dropping-particle" : "", "parse-names" : false, "suffix" : "" }, { "dropping-particle" : "", "family" : "Hiriart", "given" : "Jean Baptiste", "non-dropping-particle" : "", "parse-names" : false, "suffix" : "" }, { "dropping-particle" : "", "family" : "Lapuyade", "given" : "Bruno", "non-dropping-particle" : "", "parse-names" : false, "suffix" : "" }, { "dropping-particle" : "", "family" : "Vergniol", "given" : "Julien", "non-dropping-particle" : "", "parse-names" : false, "suffix" : "" }, { "dropping-particle" : "", "family" : "Bachellier", "given" : "Philippe", "non-dropping-particle" : "", "parse-names" : false, "suffix" : "" }, { "dropping-particle" : "", "family" : "Detour", "given" : "Julien", "non-dropping-particle" : "", "parse-names" : false, "suffix" : "" }, { "dropping-particle" : "", "family" : "Duclos", "given" : "Bernard", "non-dropping-particle" : "", "parse-names" : false, "suffix" : "" }, { "dropping-particle" : "", "family" : "Greget", "given" : "Michel", "non-dropping-particle" : "", "parse-names" : false, "suffix" : "" }, { "dropping-particle" : "", "family" : "Habersetzer", "given" : "Francois", "non-dropping-particle" : "", "parse-names" : false, "suffix" : "" }, { "dropping-particle" : "", "family" : "Imperiale", "given" : "Alessio", "non-dropping-particle" : "", "parse-names" : false, "suffix" : "" }, { "dropping-particle" : "", "family" : "Merle", "given" : "Philippe", "non-dropping-particle" : "", "parse-names" : false, "suffix" : "" }, { "dropping-particle" : "", "family" : "Rode", "given" : "Agn\u00e8s", "non-dropping-particle" : "", "parse-names" : false, "suffix" : "" }, { "dropping-particle" : "", "family" : "Morvan", "given" : "Julie", "non-dropping-particle" : "", "parse-names" : false, "suffix" : "" }, { "dropping-particle" : "", "family" : "Nguyen-Khac", "given" : "Eric", "non-dropping-particle" : "", "parse-names" : false, "suffix" : "" }, { "dropping-particle" : "", "family" : "Yzet", "given" : "Thierry", "non-dropping-particle" : "", "parse-names" : false, "suffix" : "" }, { "dropping-particle" : "", "family" : "Baudin", "given" : "Guillaume", "non-dropping-particle" : "", "parse-names" : false, "suffix" : "" }, { "dropping-particle" : "", "family" : "Chevallier", "given" : "Patrick", "non-dropping-particle" : "", "parse-names" : false, "suffix" : "" }, { "dropping-particle" : "", "family" : "Mahamat", "given" : "Abakar", "non-dropping-particle" : "", "parse-names" : false, "suffix" : "" }, { "dropping-particle" : "", "family" : "Piche", "given" : "Thierry", "non-dropping-particle" : "", "parse-names" : false, "suffix" : "" }, { "dropping-particle" : "", "family" : "Razzouk", "given" : "Micheline", "non-dropping-particle" : "", "parse-names" : false, "suffix" : "" }, { "dropping-particle" : "", "family" : "Hillon", "given" : "Patrick", "non-dropping-particle" : "", "parse-names" : false, "suffix" : "" }, { "dropping-particle" : "", "family" : "Loffroy", "given" : "Romaric", "non-dropping-particle" : "", "parse-names" : false, "suffix" : "" }, { "dropping-particle" : "", "family" : "Toubeau", "given" : "Michel", "non-dropping-particle" : "", "parse-names" : false, "suffix" : "" }, { "dropping-particle" : "", "family" : "Vincent", "given" : "Julie", "non-dropping-particle" : "", "parse-names" : false, "suffix" : "" }, { "dropping-particle" : "", "family" : "Barabino", "given" : "Gabriele", "non-dropping-particle" : "", "parse-names" : false, "suffix" : "" }, { "dropping-particle" : "", "family" : "Bouarioua", "given" : "Nadia", "non-dropping-particle" : "", "parse-names" : false, "suffix" : "" }, { "dropping-particle" : "", "family" : "Cuilleron", "given" : "Muriel", "non-dropping-particle" : "", "parse-names" : false, "suffix" : "" }, { "dropping-particle" : "", "family" : "Ecochard", "given" : "Marie", "non-dropping-particle" : "", "parse-names" : false, "suffix" : "" }, { "dropping-particle" : "", "family" : "Prevot-Bitot", "given" : "Nathalie", "non-dropping-particle" : "", "parse-names" : false, "suffix" : "" }, { "dropping-particle" : "", "family" : "Leroy", "given" : "Vincent", "non-dropping-particle" : "", "parse-names" : false, "suffix" : "" }, { "dropping-particle" : "", "family" : "Roux", "given" : "Julie", "non-dropping-particle" : "", "parse-names" : false, "suffix" : "" }, { "dropping-particle" : "", "family" : "Sengel", "given" : "Christian", "non-dropping-particle" : "", "parse-names" : false, "suffix" : "" }, { "dropping-particle" : "", "family" : "Bourcier", "given" : "Val\u00e9rie", "non-dropping-particle" : "", "parse-names" : false, "suffix" : "" }, { "dropping-particle" : "", "family" : "Ganne-Carrie", "given" : "Nathalie", "non-dropping-particle" : "", "parse-names" : false, "suffix" : "" }, { "dropping-particle" : "", "family" : "Seror", "given" : "Olivier", "non-dropping-particle" : "", "parse-names" : false, "suffix" : "" }, { "dropping-particle" : "", "family" : "Costo", "given" : "Sylvie", "non-dropping-particle" : "", "parse-names" : false, "suffix" : "" }, { "dropping-particle" : "", "family" : "Dao", "given" : "Th\u00f4ng", "non-dropping-particle" : "", "parse-names" : false, "suffix" : "" }, { "dropping-particle" : "", "family" : "Pelage", "given" : "Jean Pierre", "non-dropping-particle" : "", "parse-names" : false, "suffix" : "" }, { "dropping-particle" : "", "family" : "Dumortier", "given" : "J\u00e9r\u00f4me", "non-dropping-particle" : "", "parse-names" : false, "suffix" : "" }, { "dropping-particle" : "", "family" : "Giammarile", "given" : "Francesco", "non-dropping-particle" : "", "parse-names" : false, "suffix" : "" }, { "dropping-particle" : "", "family" : "Valette", "given" : "Pierre Jean", "non-dropping-particle" : "", "parse-names" : false, "suffix" : "" }, { "dropping-particle" : "", "family" : "Ghazzar", "given" : "Nadia", "non-dropping-particle" : "", "parse-names" : false, "suffix" : "" }, { "dropping-particle" : "", "family" : "Pellerin", "given" : "Olivier", "non-dropping-particle" : "", "parse-names" : false, "suffix" : "" }, { "dropping-particle" : "", "family" : "Taieb", "given" : "Julien", "non-dropping-particle" : "", "parse-names" : false, "suffix" : "" }, { "dropping-particle" : "", "family" : "Weinmann", "given" : "Pierre", "non-dropping-particle" : "", "parse-names" : false, "suffix" : "" }, { "dropping-particle" : "", "family" : "Heurgue-Berlot", "given" : "Alexandra", "non-dropping-particle" : "", "parse-names" : false, "suffix" : "" }, { "dropping-particle" : "", "family" : "Marcus", "given" : "Claude", "non-dropping-particle" : "", "parse-names" : false, "suffix" : "" }, { "dropping-particle" : "", "family" : "Sommacale", "given" : "Daniele", "non-dropping-particle" : "", "parse-names" : false, "suffix" : "" }, { "dropping-particle" : "", "family" : "Castilla-Li\u00e8vre", "given" : "Maria Ang\u00e9la", "non-dropping-particle" : "", "parse-names" : false, "suffix" : "" }, { "dropping-particle" : "", "family" : "Maitre", "given" : "Sophie", "non-dropping-particle" : "", "parse-names" : false, "suffix" : "" }, { "dropping-particle" : "", "family" : "Marthey", "given" : "Lysiane", "non-dropping-particle" : "", "parse-names" : false, "suffix" : "" } ], "container-title" : "The Lancet Oncology", "id" : "ITEM-1", "issue" : "12", "issued" : { "date-parts" : [ [ "2017" ] ] }, "page" : "1624-1636", "title" : "Efficacy and safety of selective internal radiotherapy with yttrium-90 resin microspheres compared with sorafenib in locally advanced and inoperable hepatocellular carcinoma (SARAH): an open-label randomised controlled phase 3 trial", "type" : "article-journal", "volume" : "18" }, "uris" : [ "http://www.mendeley.com/documents/?uuid=ed4e08b8-bf69-43db-8bf5-d0333defdeee" ] } ], "mendeley" : { "formattedCitation" : "[10]", "plainTextFormattedCitation" : "[10]", "previouslyFormattedCitation" : "[10]" }, "properties" : {  }, "schema" : "https://github.com/citation-style-language/schema/raw/master/csl-citation.json" }</w:instrText>
      </w:r>
      <w:r w:rsidR="00FC6AC8">
        <w:rPr>
          <w:sz w:val="24"/>
          <w:szCs w:val="24"/>
          <w:lang w:val="en-US"/>
        </w:rPr>
        <w:fldChar w:fldCharType="separate"/>
      </w:r>
      <w:r w:rsidR="00FC6AC8" w:rsidRPr="00FC6AC8">
        <w:rPr>
          <w:noProof/>
          <w:sz w:val="24"/>
          <w:szCs w:val="24"/>
          <w:lang w:val="en-US"/>
        </w:rPr>
        <w:t>[10]</w:t>
      </w:r>
      <w:r w:rsidR="00FC6AC8">
        <w:rPr>
          <w:sz w:val="24"/>
          <w:szCs w:val="24"/>
          <w:lang w:val="en-US"/>
        </w:rPr>
        <w:fldChar w:fldCharType="end"/>
      </w:r>
      <w:r w:rsidR="00FC1223">
        <w:rPr>
          <w:sz w:val="24"/>
          <w:szCs w:val="24"/>
          <w:lang w:val="en-US"/>
        </w:rPr>
        <w:t xml:space="preserve">. </w:t>
      </w:r>
      <w:r w:rsidR="0043547E">
        <w:rPr>
          <w:sz w:val="24"/>
          <w:szCs w:val="24"/>
          <w:lang w:val="en-US"/>
        </w:rPr>
        <w:t xml:space="preserve"> </w:t>
      </w:r>
    </w:p>
    <w:p w14:paraId="4F1C531E" w14:textId="1350CC33" w:rsidR="004727E1" w:rsidRDefault="00416BE5" w:rsidP="00B41370">
      <w:pPr>
        <w:spacing w:line="480" w:lineRule="auto"/>
        <w:jc w:val="both"/>
        <w:rPr>
          <w:sz w:val="24"/>
          <w:szCs w:val="24"/>
          <w:highlight w:val="yellow"/>
          <w:lang w:val="en-US"/>
        </w:rPr>
      </w:pPr>
      <w:r w:rsidRPr="0043547E">
        <w:rPr>
          <w:sz w:val="24"/>
          <w:szCs w:val="24"/>
          <w:lang w:val="en-US"/>
        </w:rPr>
        <w:t xml:space="preserve">During the last years, stereotactic body radiation therapy (SBRT) has </w:t>
      </w:r>
      <w:r w:rsidR="005356C6" w:rsidRPr="0043547E">
        <w:rPr>
          <w:sz w:val="24"/>
          <w:szCs w:val="24"/>
          <w:lang w:val="en-US"/>
        </w:rPr>
        <w:t>emerged</w:t>
      </w:r>
      <w:r w:rsidRPr="0043547E">
        <w:rPr>
          <w:sz w:val="24"/>
          <w:szCs w:val="24"/>
          <w:lang w:val="en-US"/>
        </w:rPr>
        <w:t xml:space="preserve"> as </w:t>
      </w:r>
      <w:r w:rsidR="0043547E">
        <w:rPr>
          <w:sz w:val="24"/>
          <w:szCs w:val="24"/>
          <w:lang w:val="en-US"/>
        </w:rPr>
        <w:t xml:space="preserve">an effective non-invasive </w:t>
      </w:r>
      <w:r w:rsidRPr="0043547E">
        <w:rPr>
          <w:sz w:val="24"/>
          <w:szCs w:val="24"/>
          <w:lang w:val="en-US"/>
        </w:rPr>
        <w:t xml:space="preserve">treatment </w:t>
      </w:r>
      <w:r w:rsidR="004A4097">
        <w:rPr>
          <w:sz w:val="24"/>
          <w:szCs w:val="24"/>
          <w:lang w:val="en-US"/>
        </w:rPr>
        <w:t xml:space="preserve">modality </w:t>
      </w:r>
      <w:r w:rsidR="00232E16">
        <w:rPr>
          <w:sz w:val="24"/>
          <w:szCs w:val="24"/>
          <w:lang w:val="en-US"/>
        </w:rPr>
        <w:fldChar w:fldCharType="begin" w:fldLock="1"/>
      </w:r>
      <w:r w:rsidR="00FC6AC8">
        <w:rPr>
          <w:sz w:val="24"/>
          <w:szCs w:val="24"/>
          <w:lang w:val="en-US"/>
        </w:rPr>
        <w:instrText>ADDIN CSL_CITATION { "citationItems" : [ { "id" : "ITEM-1", "itemData" : { "DOI" : "10.1186/s13014-017-0851-7", "ISSN" : "1748-717X", "author" : [ { "dropping-particle" : "", "family" : "Gkika", "given" : "Eleni", "non-dropping-particle" : "", "parse-names" : false, "suffix" : "" }, { "dropping-particle" : "", "family" : "Schultheiss", "given" : "Michael", "non-dropping-particle" : "", "parse-names" : false, "suffix" : "" }, { "dropping-particle" : "", "family" : "Bettinger", "given" : "Dominik", "non-dropping-particle" : "", "parse-names" : false, "suffix" : "" }, { "dropping-particle" : "", "family" : "Maruschke", "given" : "Lars", "non-dropping-particle" : "", "parse-names" : false, "suffix" : "" }, { "dropping-particle" : "", "family" : "Neeff", "given" : "Hannes Philipp", "non-dropping-particle" : "", "parse-names" : false, "suffix" : "" }, { "dropping-particle" : "", "family" : "Schulenburg", "given" : "Michaela", "non-dropping-particle" : "", "parse-names" : false, "suffix" : "" }, { "dropping-particle" : "", "family" : "Adebahr", "given" : "Sonja", "non-dropping-particle" : "", "parse-names" : false, "suffix" : "" }, { "dropping-particle" : "", "family" : "Kirste", "given" : "Simon", "non-dropping-particle" : "", "parse-names" : false, "suffix" : "" }, { "dropping-particle" : "", "family" : "Nestle", "given" : "Ursula", "non-dropping-particle" : "", "parse-names" : false, "suffix" : "" }, { "dropping-particle" : "", "family" : "Thimme", "given" : "Robert", "non-dropping-particle" : "", "parse-names" : false, "suffix" : "" }, { "dropping-particle" : "", "family" : "Grosu", "given" : "Anca-Ligia", "non-dropping-particle" : "", "parse-names" : false, "suffix" : "" }, { "dropping-particle" : "", "family" : "Brunner", "given" : "Thomas Baptist", "non-dropping-particle" : "", "parse-names" : false, "suffix" : "" } ], "container-title" : "Radiation Oncology", "id" : "ITEM-1", "issue" : "1", "issued" : { "date-parts" : [ [ "2017" ] ] }, "page" : "116", "publisher" : "Radiation Oncology", "title" : "Excellent local control and tolerance profile after stereotactic body radiotherapy of advanced hepatocellular carcinoma", "type" : "article-journal", "volume" : "12" }, "uris" : [ "http://www.mendeley.com/documents/?uuid=e24709d6-04b3-4009-b7dc-10e9dd881eaf" ] }, { "id" : "ITEM-2", "itemData" : { "DOI" : "10.1016/j.bpg.2016.06.003", "ISSN" : "1532-1916 (Electronic)", "PMID" : "27644908", "abstract" : "Technical developments allowed stereotactic body radiation therapy (SBRT) to deliver effective doses of irradiation with high precision in a small number of fractions. This paper reviews the role of SBRT for liver metastases, hepatocellular carcinoma and cholangiocarcinoma, paying special attention to patient eligibility and treatment outcomes regarding local control, toxicity and quality of life. As well as discussing specific issues of these different tumors, such as the presence of underlying liver cirrhosis and the impact on toxicity, it outlines the limitations of SBRT and future areas of development and research.", "author" : [ { "dropping-particle" : "", "family" : "Mendez Romero", "given" : "Alejandra", "non-dropping-particle" : "", "parse-names" : false, "suffix" : "" }, { "dropping-particle" : "", "family" : "Man", "given" : "Robert A", "non-dropping-particle" : "de", "parse-names" : false, "suffix" : "" } ], "container-title" : "Best practice &amp; research. Clinical gastroenterology", "id" : "ITEM-2", "issue" : "4", "issued" : { "date-parts" : [ [ "2016", "8" ] ] }, "language" : "eng", "page" : "603-616", "publisher-place" : "Netherlands", "title" : "Stereotactic body radiation therapy for primary and metastatic liver tumors: From technological evolution to improved patient care.", "type" : "article-journal", "volume" : "30" }, "uris" : [ "http://www.mendeley.com/documents/?uuid=0ec39c9a-a03e-4b3e-b773-e57af302ea48" ] }, { "id" : "ITEM-3", "itemData" : { "DOI" : "10.1200/JCO.2007.14.3529", "ISSN" : "0732183X", "PMID" : "18172187", "abstract" : "PURPOSE: To report outcomes of a phase I study of individualized stereotactic body radiotherapy treatment (SBRT) for unresectable hepatocellular carcinoma (HCC) and intrahepatic cholangiocarcinoma (IHC).\\n\\nPATIENTS AND METHODS: Patients with unresectable HCC or IHC, and who are not suitable for standard therapies, were eligible for six-fraction SBRT during 2 weeks. Radiation dose was dependent on the volume of liver irradiated and the estimated risk of liver toxicity based on a normal tissue complication model. Toxicity risk was escalated from 5% to 10% and 20%, within three liver volume-irradiated strata, provided at least three patients were without toxicity at 3 months after SBRT.\\n\\nRESULTS: Forty-one patients with unresectable Child-Pugh A HCC (n = 31) or IHC (n = 10) completed six-fraction SBRT. Five patients (12%) had grade 3 liver enzymes at baseline. The median tumor size was 173 mL (9 to 1,913 mL). The median dose was 36.0 Gy (24.0 to 54.0 Gy). No radiation-induced liver disease or treatment-related grade 4/5 toxicity was seen within 3 months after SBRT. Grade 3 liver enzymes were seen in five patients (12%). Two patients (5%) with IHC developed transient biliary obstruction after the first few fractions. Seven patients (five HCC, two IHC) had decline in liver function from Child-Pugh class A to B within 3 months after SBRT. Median survival of HCC and IHC patients was 11.7 months (95% CI, 9.2 to 21.6 months) and 15.0 months (95% CI, 6.5 to 29.0 months), respectively.\\n\\nCONCLUSION: Individualized six-fraction SBRT is a safe treatment for unresectable HCC and IHC.", "author" : [ { "dropping-particle" : "V.", "family" : "Tse", "given" : "Regina", "non-dropping-particle" : "", "parse-names" : false, "suffix" : "" }, { "dropping-particle" : "", "family" : "Hawkins", "given" : "Maria", "non-dropping-particle" : "", "parse-names" : false, "suffix" : "" }, { "dropping-particle" : "", "family" : "Lockwood", "given" : "Gina", "non-dropping-particle" : "", "parse-names" : false, "suffix" : "" }, { "dropping-particle" : "", "family" : "Kim", "given" : "John J.", "non-dropping-particle" : "", "parse-names" : false, "suffix" : "" }, { "dropping-particle" : "", "family" : "Cummings", "given" : "Bernard", "non-dropping-particle" : "", "parse-names" : false, "suffix" : "" }, { "dropping-particle" : "", "family" : "Knox", "given" : "Jennifer", "non-dropping-particle" : "", "parse-names" : false, "suffix" : "" }, { "dropping-particle" : "", "family" : "Sherman", "given" : "Morris", "non-dropping-particle" : "", "parse-names" : false, "suffix" : "" }, { "dropping-particle" : "", "family" : "Dawson", "given" : "Laura A.", "non-dropping-particle" : "", "parse-names" : false, "suffix" : "" } ], "container-title" : "Journal of Clinical Oncology", "id" : "ITEM-3", "issue" : "4", "issued" : { "date-parts" : [ [ "2008" ] ] }, "page" : "657-664", "title" : "Phase I study of individualized stereotactic body radiotherapy for hepatocellular carcinoma and intrahepatic cholangiocarcinoma", "type" : "article-journal", "volume" : "26" }, "uris" : [ "http://www.mendeley.com/documents/?uuid=9ee311b3-7afd-4f26-9e73-f5e256b462db" ] }, { "id" : "ITEM-4", "itemData" : { "DOI" : "10.1007/s00066-014-0714-1", "ISSN" : "1439-099X (Electronic)", "PMID" : "25091267", "abstract" : "PURPOSE: This report of the Working Group on Stereotactic Radiotherapy of the German Society of Radiation Oncology (DEGRO) aims to provide a practical guideline for safe and effective stereotactic body radiotherapy (SBRT) of liver tumors. METHODS: The literature on the clinical evidence of SBRT for both primary liver tumors and liver metastases was reviewed and analyzed focusing on both physical requirements and special biological characteristics. RESULTS: Recommendations were developed for patient selection, imaging, planning, treatment delivery, motion management, dose reporting, and follow-up. Radiation dose constraints to critical organs at risk are provided. CONCLUSION: SBRT is a well-established treatment option for primary and secondary liver tumors associated with low morbidity.", "author" : [ { "dropping-particle" : "", "family" : "Sterzing", "given" : "Florian", "non-dropping-particle" : "", "parse-names" : false, "suffix" : "" }, { "dropping-particle" : "", "family" : "Brunner", "given" : "Thomas B", "non-dropping-particle" : "", "parse-names" : false, "suffix" : "" }, { "dropping-particle" : "", "family" : "Ernst", "given" : "Iris", "non-dropping-particle" : "", "parse-names" : false, "suffix" : "" }, { "dropping-particle" : "", "family" : "Baus", "given" : "Wolfgang W", "non-dropping-particle" : "", "parse-names" : false, "suffix" : "" }, { "dropping-particle" : "", "family" : "Greve", "given" : "Burkhard", "non-dropping-particle" : "", "parse-names" : false, "suffix" : "" }, { "dropping-particle" : "", "family" : "Herfarth", "given" : "Klaus", "non-dropping-particle" : "", "parse-names" : false, "suffix" : "" }, { "dropping-particle" : "", "family" : "Guckenberger", "given" : "Matthias", "non-dropping-particle" : "", "parse-names" : false, "suffix" : "" } ], "container-title" : "Strahlentherapie und Onkologie : Organ der Deutschen Rontgengesellschaft ... [et  al]", "id" : "ITEM-4", "issue" : "10", "issued" : { "date-parts" : [ [ "2014", "10" ] ] }, "language" : "eng", "page" : "872-881", "publisher-place" : "Germany", "title" : "Stereotactic body radiotherapy for liver tumors: principles and practical guidelines of the DEGRO Working Group on Stereotactic Radiotherapy.", "type" : "article-journal", "volume" : "190" }, "uris" : [ "http://www.mendeley.com/documents/?uuid=ae910142-68c7-4ece-affa-5212d751e0a1" ] }, { "id" : "ITEM-5", "itemData" : { "DOI" : "10.1200/JCO.2012.44.1659", "ISSN" : "15277755", "PMID" : "23547075", "abstract" : "PURPOSE: To describe outcomes of prospective trials of stereotactic body radiotherapy (SBRT) for hepatocellular carcinoma (HCC). PATIENTS AND METHODS: Two trials of SBRT for patients with active HCC unsuitable for standard locoregional therapies were conducted from 2004 to 2010. All patients had Child-Turcotte-Pugh class A disease, with at least 700 mL of non-HCC liver. The SBRT dose range was 24 to 54 Gy in six fractions. Primary end points were toxicity and local control at 1 year (LC1y), defined as no progressive disease (PD) of irradiated HCC by RECIST (Response Evaluation Criteria in Solid Tumors). RESULTS: A total of 102 patients were evaluable (Trial 1, 2004 to 2007: n = 50; Trial 2, 2007 to 2010: n = 52). Underlying liver disease was hepatitis B in 38% of patients, hepatitis C in 38%, alcohol related in 25%, other in 14%, and none in 7%. Fifty-two percent received prior therapies (no prior sorafenib). TNM stage was III in 66%, and 61% had multiple lesions. Median gross tumor volume was 117.0 mL (range, 1.3 to 1,913.4 mL). Tumor vascular thrombosis (TVT) was present in 55%, and extrahepatic disease was present in 12%. LC1y was 87% (95% CI, 78% to 93%). SBRT dose (hazard ratio [HR] = 0.96; P = .02) and being in Trial 2 (HR = 0.38; P = .03) were associated with LC1y on univariate analysis. Toxicity \u2265 grade 3 was seen in 30% of patients. In seven patients (two with TVT PD), death was possibly related to treatment (1.1 to 7.7 months after SBRT). Median overall survival was 17.0 months (95% CI, 10.4 to 21.3 months), for which only TVT (HR = 2.47; P = .01) and being in Trial 2 (HR = 0.49; P = .01) were significant on multivariate analysis. CONCLUSION: These results provide strong rationale for studying SBRT for HCC in a randomized trial.", "author" : [ { "dropping-particle" : "", "family" : "Bujold", "given" : "Alexis", "non-dropping-particle" : "", "parse-names" : false, "suffix" : "" }, { "dropping-particle" : "", "family" : "Massey", "given" : "Christine A.", "non-dropping-particle" : "", "parse-names" : false, "suffix" : "" }, { "dropping-particle" : "", "family" : "Kim", "given" : "John J.", "non-dropping-particle" : "", "parse-names" : false, "suffix" : "" }, { "dropping-particle" : "", "family" : "Brierley", "given" : "James", "non-dropping-particle" : "", "parse-names" : false, "suffix" : "" }, { "dropping-particle" : "", "family" : "Cho", "given" : "Charles", "non-dropping-particle" : "", "parse-names" : false, "suffix" : "" }, { "dropping-particle" : "", "family" : "Wong", "given" : "Rebecca K S", "non-dropping-particle" : "", "parse-names" : false, "suffix" : "" }, { "dropping-particle" : "", "family" : "Dinniwell", "given" : "Rob E.", "non-dropping-particle" : "", "parse-names" : false, "suffix" : "" }, { "dropping-particle" : "", "family" : "Kassam", "given" : "Zahra", "non-dropping-particle" : "", "parse-names" : false, "suffix" : "" }, { "dropping-particle" : "", "family" : "Ringash", "given" : "Jolie", "non-dropping-particle" : "", "parse-names" : false, "suffix" : "" }, { "dropping-particle" : "", "family" : "Cummings", "given" : "Bernard", "non-dropping-particle" : "", "parse-names" : false, "suffix" : "" }, { "dropping-particle" : "", "family" : "Sykes", "given" : "Jenna", "non-dropping-particle" : "", "parse-names" : false, "suffix" : "" }, { "dropping-particle" : "", "family" : "Sherman", "given" : "Morris", "non-dropping-particle" : "", "parse-names" : false, "suffix" : "" }, { "dropping-particle" : "", "family" : "Knox", "given" : "Jennifer J.", "non-dropping-particle" : "", "parse-names" : false, "suffix" : "" }, { "dropping-particle" : "", "family" : "Dawson", "given" : "Laura A.", "non-dropping-particle" : "", "parse-names" : false, "suffix" : "" } ], "container-title" : "Journal of clinical oncology : official journal of the American Society of Clinical Oncology", "id" : "ITEM-5", "issue" : "13", "issued" : { "date-parts" : [ [ "2013" ] ] }, "page" : "1631-1639", "title" : "Sequential phase I and II trials of stereotactic body radiotherapy for locally advanced hepatocellular carcinoma.", "type" : "article-journal", "volume" : "31" }, "uris" : [ "http://www.mendeley.com/documents/?uuid=47de0fd6-a73b-4d9f-8730-1e8ddb7d5270" ] }, { "id" : "ITEM-6", "itemData" : { "DOI" : "10.1007/s12029-017-9990-1", "ISSN" : "1941-6636 (Electronic)", "PMID" : "28710606", "abstract" : "PURPOSE: The study aimed to evaluate stereotactic body radiotherapy (SBRT) for hepatocellular carcinoma (HCC) in patients not eligible for liver transplant (LT). METHODS: We retrospectively identified transplant-ineligible HCC patients treated with SBRT to the liver between 2004 and 2013. Our primary endpoint was overall survival (OS). We also report treatment toxicities using CTCAE 3.0, radiographic response, and patterns of failure. RESULTS: We identified 93 patients with median age at SBRT of 65.8 years. Forty-six percent were classified as Child-Pugh B or C and 85% had an Eastern Cooperative Oncology Group performance status of 1-2. After SBRT, 86% of patients experienced no or mild treatment-related adverse events. Only 8% of patients experienced grade 3 and 2% of patients experienced grade 4 adverse events. Overall radiographic response was complete in 1.2%, partial in 35.4%, stable in 43.9%, and progressive disease in 19.5%. Median OS was 8.8 months with 1-, 2-, and 3-year OS rates of 38.0, 29.8 and 21.2%, respectively. The Cancer of the Liver Italian Program (CLIP) score was found to strongly correlate with survival. Median OS for patients with CLIP scores of 0, 1, 2, and 3 was 21.1, 8.5, 5.1, and 7.1 months, respectively (p = 0.003). CONCLUSION: Our series demonstrates that SBRT is generally safe for HCC patients, even those with advanced liver failure. Although survival is generally poor, we were able to identify a group of patients with good liver function and early tumor stage who can achieve median OS of close to 2 years with SBRT.", "author" : [ { "dropping-particle" : "", "family" : "Qiu", "given" : "Haoming", "non-dropping-particle" : "", "parse-names" : false, "suffix" : "" }, { "dropping-particle" : "", "family" : "Moravan", "given" : "Michael J", "non-dropping-particle" : "", "parse-names" : false, "suffix" : "" }, { "dropping-particle" : "", "family" : "Milano", "given" : "Michael T", "non-dropping-particle" : "", "parse-names" : false, "suffix" : "" }, { "dropping-particle" : "", "family" : "Usuki", "given" : "Kenneth Y", "non-dropping-particle" : "", "parse-names" : false, "suffix" : "" }, { "dropping-particle" : "", "family" : "Katz", "given" : "Alan W", "non-dropping-particle" : "", "parse-names" : false, "suffix" : "" } ], "container-title" : "Journal of gastrointestinal cancer", "id" : "ITEM-6", "issued" : { "date-parts" : [ [ "2017", "7" ] ] }, "language" : "eng", "publisher-place" : "United States", "title" : "SBRT for Hepatocellular Carcinoma: 8-Year Experience from a Regional Transplant Center.", "type" : "article-journal" }, "uris" : [ "http://www.mendeley.com/documents/?uuid=ce2c862f-55df-4910-814b-80c066fccbba" ] }, { "id" : "ITEM-7", "itemData" : { "DOI" : "10.1016/j.semradonc.2017.02.002", "ISSN" : "10534296", "PMID" : "28577832", "author" : [ { "dropping-particle" : "", "family" : "Murray", "given" : "Louise J.", "non-dropping-particle" : "", "parse-names" : false, "suffix" : "" }, { "dropping-particle" : "", "family" : "Dawson", "given" : "Laura A.", "non-dropping-particle" : "", "parse-names" : false, "suffix" : "" } ], "container-title" : "Seminars in Radiation Oncology", "id" : "ITEM-7", "issue" : "3", "issued" : { "date-parts" : [ [ "2017" ] ] }, "page" : "247-255", "publisher" : "Elsevier", "title" : "Advances in Stereotactic Body Radiation Therapy for Hepatocellular Carcinoma", "type" : "article-journal", "volume" : "27" }, "uris" : [ "http://www.mendeley.com/documents/?uuid=5ecab533-ef97-4137-9650-ec0fcda5a957" ] } ], "mendeley" : { "formattedCitation" : "[11\u201317]", "plainTextFormattedCitation" : "[11\u201317]", "previouslyFormattedCitation" : "[11\u201317]" }, "properties" : {  }, "schema" : "https://github.com/citation-style-language/schema/raw/master/csl-citation.json" }</w:instrText>
      </w:r>
      <w:r w:rsidR="00232E16">
        <w:rPr>
          <w:sz w:val="24"/>
          <w:szCs w:val="24"/>
          <w:lang w:val="en-US"/>
        </w:rPr>
        <w:fldChar w:fldCharType="separate"/>
      </w:r>
      <w:r w:rsidR="00FC6AC8" w:rsidRPr="00FC6AC8">
        <w:rPr>
          <w:noProof/>
          <w:sz w:val="24"/>
          <w:szCs w:val="24"/>
          <w:lang w:val="en-US"/>
        </w:rPr>
        <w:t>[11–17]</w:t>
      </w:r>
      <w:r w:rsidR="00232E16">
        <w:rPr>
          <w:sz w:val="24"/>
          <w:szCs w:val="24"/>
          <w:lang w:val="en-US"/>
        </w:rPr>
        <w:fldChar w:fldCharType="end"/>
      </w:r>
      <w:r w:rsidR="0043547E">
        <w:rPr>
          <w:sz w:val="24"/>
          <w:szCs w:val="24"/>
          <w:lang w:val="en-US"/>
        </w:rPr>
        <w:t xml:space="preserve">. Although </w:t>
      </w:r>
      <w:r w:rsidR="00BC506C">
        <w:rPr>
          <w:sz w:val="24"/>
          <w:szCs w:val="24"/>
          <w:lang w:val="en-US"/>
        </w:rPr>
        <w:t xml:space="preserve">radiation therapy of </w:t>
      </w:r>
      <w:r w:rsidR="0043547E">
        <w:rPr>
          <w:sz w:val="24"/>
          <w:szCs w:val="24"/>
          <w:lang w:val="en-US"/>
        </w:rPr>
        <w:t xml:space="preserve">liver </w:t>
      </w:r>
      <w:r w:rsidR="00BC506C">
        <w:rPr>
          <w:sz w:val="24"/>
          <w:szCs w:val="24"/>
          <w:lang w:val="en-US"/>
        </w:rPr>
        <w:t xml:space="preserve">tumors </w:t>
      </w:r>
      <w:r w:rsidR="0043547E">
        <w:rPr>
          <w:sz w:val="24"/>
          <w:szCs w:val="24"/>
          <w:lang w:val="en-US"/>
        </w:rPr>
        <w:t xml:space="preserve">has historically </w:t>
      </w:r>
      <w:r w:rsidR="00BC506C">
        <w:rPr>
          <w:sz w:val="24"/>
          <w:szCs w:val="24"/>
          <w:lang w:val="en-US"/>
        </w:rPr>
        <w:t>been performed rarely and with mostly a short-term palliative intent</w:t>
      </w:r>
      <w:r w:rsidR="0043547E">
        <w:rPr>
          <w:sz w:val="24"/>
          <w:szCs w:val="24"/>
          <w:lang w:val="en-US"/>
        </w:rPr>
        <w:t xml:space="preserve"> </w:t>
      </w:r>
      <w:r w:rsidR="0043547E" w:rsidRPr="0043547E">
        <w:rPr>
          <w:sz w:val="24"/>
          <w:szCs w:val="24"/>
          <w:lang w:val="en-US"/>
        </w:rPr>
        <w:t>due</w:t>
      </w:r>
      <w:r w:rsidR="0043547E">
        <w:rPr>
          <w:sz w:val="24"/>
          <w:szCs w:val="24"/>
          <w:lang w:val="en-US"/>
        </w:rPr>
        <w:t xml:space="preserve"> to</w:t>
      </w:r>
      <w:r w:rsidR="0043547E" w:rsidRPr="0043547E">
        <w:rPr>
          <w:sz w:val="24"/>
          <w:szCs w:val="24"/>
          <w:lang w:val="en-US"/>
        </w:rPr>
        <w:t xml:space="preserve"> relative low tolerance of the whole liver to irradiation</w:t>
      </w:r>
      <w:r w:rsidR="0043547E">
        <w:rPr>
          <w:sz w:val="24"/>
          <w:szCs w:val="24"/>
          <w:lang w:val="en-US"/>
        </w:rPr>
        <w:t xml:space="preserve">, extensive research </w:t>
      </w:r>
      <w:r w:rsidR="004F4710">
        <w:rPr>
          <w:sz w:val="24"/>
          <w:szCs w:val="24"/>
          <w:lang w:val="en-US"/>
        </w:rPr>
        <w:t>has shown</w:t>
      </w:r>
      <w:r w:rsidR="0043547E" w:rsidRPr="0043547E">
        <w:rPr>
          <w:sz w:val="24"/>
          <w:szCs w:val="24"/>
          <w:lang w:val="en-US"/>
        </w:rPr>
        <w:t xml:space="preserve"> that partial liver volumes </w:t>
      </w:r>
      <w:r w:rsidR="004F4710">
        <w:rPr>
          <w:sz w:val="24"/>
          <w:szCs w:val="24"/>
          <w:lang w:val="en-US"/>
        </w:rPr>
        <w:t>can indeed</w:t>
      </w:r>
      <w:r w:rsidR="0043547E" w:rsidRPr="0043547E">
        <w:rPr>
          <w:sz w:val="24"/>
          <w:szCs w:val="24"/>
          <w:lang w:val="en-US"/>
        </w:rPr>
        <w:t xml:space="preserve"> tolerate very high doses</w:t>
      </w:r>
      <w:r w:rsidR="00232E16">
        <w:rPr>
          <w:sz w:val="24"/>
          <w:szCs w:val="24"/>
          <w:lang w:val="en-US"/>
        </w:rPr>
        <w:fldChar w:fldCharType="begin" w:fldLock="1"/>
      </w:r>
      <w:r w:rsidR="00FC6AC8">
        <w:rPr>
          <w:sz w:val="24"/>
          <w:szCs w:val="24"/>
          <w:lang w:val="en-US"/>
        </w:rPr>
        <w:instrText>ADDIN CSL_CITATION { "citationItems" : [ { "id" : "ITEM-1", "itemData" : { "DOI" : "10.1016/0360-3016(92)90651-W", "ISSN" : "0360-3016", "PMID" : "1618671", "abstract" : "Although it is well known that the tolerance of the liver to external beam irradiation depends on the volume of liver irradiated, few data exist which quantify this dependence. Therefore, a review was carried out of our clinical trial for the treatment of intrahepatic malignancies in which the dose of radiation delivered depended on the volume of normal liver treated. Three dimensional treatment planning using dose-volume histogram analysis of the normal liver was used for all patients. Nine of the 79 patients treated developed clinical radiation hepatitis. None of the patient related variables assessed were associated with radiation hepatitis. All patients who developed radiation hepatitis received whole liver irradiation, as all or part of their treatment, which produced a mean dose greater than or equal to 37 Gy. Dose volume histograms were used to calculate normal tissue complication probabilities based on parameters derived from the literature. The risk of complication was greatly overestimated among patients receiving a high dose of radiation to part of the liver without whole liver treatment. An estimation of model parameters based on the clinical results indicated a larger magnitude for the \"volume effect parameter\" than the literature estimate (n = 0.69 +/- 0.05 vs 0.32; p less than 0.001). Computation of the normal tissue complication probabilities using the larger value of n produced a good description of the observed risk of radiation hepatitis. These findings suggest that dose volume histogram analysis can be used to quantify the tolerance of the liver to radiation. The predictive value of this parameterization of the normal tissue complication probability model will need to be tested with liver tolerance and dose volume histogram data from an independent clinical trial.", "author" : [ { "dropping-particle" : "", "family" : "Lawrence", "given" : "T S", "non-dropping-particle" : "", "parse-names" : false, "suffix" : "" }, { "dropping-particle" : "", "family" : "Haken", "given" : "R K", "non-dropping-particle" : "Ten", "parse-names" : false, "suffix" : "" }, { "dropping-particle" : "", "family" : "Kessler", "given" : "M L", "non-dropping-particle" : "", "parse-names" : false, "suffix" : "" }, { "dropping-particle" : "", "family" : "Robertson", "given" : "J M", "non-dropping-particle" : "", "parse-names" : false, "suffix" : "" }, { "dropping-particle" : "", "family" : "Lyman", "given" : "J T", "non-dropping-particle" : "", "parse-names" : false, "suffix" : "" }, { "dropping-particle" : "", "family" : "Lavigne", "given" : "M L", "non-dropping-particle" : "", "parse-names" : false, "suffix" : "" }, { "dropping-particle" : "", "family" : "Brown", "given" : "M B", "non-dropping-particle" : "", "parse-names" : false, "suffix" : "" }, { "dropping-particle" : "", "family" : "DuRoss", "given" : "D J", "non-dropping-particle" : "", "parse-names" : false, "suffix" : "" }, { "dropping-particle" : "", "family" : "Andrews", "given" : "J C", "non-dropping-particle" : "", "parse-names" : false, "suffix" : "" }, { "dropping-particle" : "", "family" : "Ensminger", "given" : "W D", "non-dropping-particle" : "", "parse-names" : false, "suffix" : "" } ], "container-title" : "International journal of radiation oncology, biology, physics", "id" : "ITEM-1", "issue" : "4", "issued" : { "date-parts" : [ [ "1992" ] ] }, "page" : "781-788", "title" : "The use of 3-D dose volume analysis to predict radiation hepatitis.", "type" : "article-journal", "volume" : "23" }, "uris" : [ "http://www.mendeley.com/documents/?uuid=fa0eebe2-497b-470c-9f79-151d34947a36" ] } ], "mendeley" : { "formattedCitation" : "[18]", "plainTextFormattedCitation" : "[18]", "previouslyFormattedCitation" : "[18]" }, "properties" : {  }, "schema" : "https://github.com/citation-style-language/schema/raw/master/csl-citation.json" }</w:instrText>
      </w:r>
      <w:r w:rsidR="00232E16">
        <w:rPr>
          <w:sz w:val="24"/>
          <w:szCs w:val="24"/>
          <w:lang w:val="en-US"/>
        </w:rPr>
        <w:fldChar w:fldCharType="separate"/>
      </w:r>
      <w:r w:rsidR="00FC6AC8" w:rsidRPr="00FC6AC8">
        <w:rPr>
          <w:noProof/>
          <w:sz w:val="24"/>
          <w:szCs w:val="24"/>
          <w:lang w:val="en-US"/>
        </w:rPr>
        <w:t>[18]</w:t>
      </w:r>
      <w:r w:rsidR="00232E16">
        <w:rPr>
          <w:sz w:val="24"/>
          <w:szCs w:val="24"/>
          <w:lang w:val="en-US"/>
        </w:rPr>
        <w:fldChar w:fldCharType="end"/>
      </w:r>
      <w:r w:rsidR="0043547E">
        <w:rPr>
          <w:sz w:val="24"/>
          <w:szCs w:val="24"/>
          <w:lang w:val="en-US"/>
        </w:rPr>
        <w:t xml:space="preserve">. </w:t>
      </w:r>
      <w:r w:rsidR="00DC0500" w:rsidRPr="0043547E">
        <w:rPr>
          <w:sz w:val="24"/>
          <w:szCs w:val="24"/>
          <w:lang w:val="en-US"/>
        </w:rPr>
        <w:t xml:space="preserve">The emergence of </w:t>
      </w:r>
      <w:r w:rsidR="00E8066E">
        <w:rPr>
          <w:sz w:val="24"/>
          <w:szCs w:val="24"/>
          <w:lang w:val="en-US"/>
        </w:rPr>
        <w:t>SBRT</w:t>
      </w:r>
      <w:r w:rsidRPr="0043547E">
        <w:rPr>
          <w:sz w:val="24"/>
          <w:szCs w:val="24"/>
          <w:lang w:val="en-US"/>
        </w:rPr>
        <w:t xml:space="preserve"> </w:t>
      </w:r>
      <w:r w:rsidR="00DC0500" w:rsidRPr="0043547E">
        <w:rPr>
          <w:sz w:val="24"/>
          <w:szCs w:val="24"/>
          <w:lang w:val="en-US"/>
        </w:rPr>
        <w:t xml:space="preserve">allowed </w:t>
      </w:r>
      <w:r w:rsidR="007C7FC3" w:rsidRPr="0043547E">
        <w:rPr>
          <w:sz w:val="24"/>
          <w:szCs w:val="24"/>
          <w:lang w:val="en-US"/>
        </w:rPr>
        <w:t>delivering ablative doses while</w:t>
      </w:r>
      <w:r w:rsidRPr="0043547E">
        <w:rPr>
          <w:sz w:val="24"/>
          <w:szCs w:val="24"/>
          <w:lang w:val="en-US"/>
        </w:rPr>
        <w:t xml:space="preserve"> preserving the surrounding liver tissue</w:t>
      </w:r>
      <w:r w:rsidR="0043547E">
        <w:rPr>
          <w:sz w:val="24"/>
          <w:szCs w:val="24"/>
          <w:lang w:val="en-US"/>
        </w:rPr>
        <w:t>.</w:t>
      </w:r>
      <w:r w:rsidRPr="0043547E">
        <w:rPr>
          <w:sz w:val="24"/>
          <w:szCs w:val="24"/>
          <w:lang w:val="en-US"/>
        </w:rPr>
        <w:t xml:space="preserve"> </w:t>
      </w:r>
      <w:r w:rsidR="00DC0500" w:rsidRPr="003B71F0">
        <w:rPr>
          <w:sz w:val="24"/>
          <w:szCs w:val="24"/>
          <w:lang w:val="en-US"/>
        </w:rPr>
        <w:t xml:space="preserve">Although </w:t>
      </w:r>
      <w:r w:rsidRPr="003B71F0">
        <w:rPr>
          <w:sz w:val="24"/>
          <w:szCs w:val="24"/>
          <w:lang w:val="en-US"/>
        </w:rPr>
        <w:t xml:space="preserve">these reports have shown that SBRT is a feasible and well-tolerated treatment option for patients with HCC, </w:t>
      </w:r>
      <w:r w:rsidR="00C22506" w:rsidRPr="003B71F0">
        <w:rPr>
          <w:sz w:val="24"/>
          <w:szCs w:val="24"/>
          <w:lang w:val="en-US"/>
        </w:rPr>
        <w:t>there is no consensus</w:t>
      </w:r>
      <w:r w:rsidRPr="003B71F0">
        <w:rPr>
          <w:sz w:val="24"/>
          <w:szCs w:val="24"/>
          <w:lang w:val="en-US"/>
        </w:rPr>
        <w:t xml:space="preserve"> </w:t>
      </w:r>
      <w:r w:rsidR="003001A9" w:rsidRPr="003B71F0">
        <w:rPr>
          <w:sz w:val="24"/>
          <w:szCs w:val="24"/>
          <w:lang w:val="en-US"/>
        </w:rPr>
        <w:t xml:space="preserve">in which </w:t>
      </w:r>
      <w:r w:rsidR="004F4710">
        <w:rPr>
          <w:sz w:val="24"/>
          <w:szCs w:val="24"/>
          <w:lang w:val="en-US"/>
        </w:rPr>
        <w:t xml:space="preserve">clinical </w:t>
      </w:r>
      <w:r w:rsidR="003001A9" w:rsidRPr="003B71F0">
        <w:rPr>
          <w:sz w:val="24"/>
          <w:szCs w:val="24"/>
          <w:lang w:val="en-US"/>
        </w:rPr>
        <w:t>setting</w:t>
      </w:r>
      <w:r w:rsidRPr="003B71F0">
        <w:rPr>
          <w:sz w:val="24"/>
          <w:szCs w:val="24"/>
          <w:lang w:val="en-US"/>
        </w:rPr>
        <w:t xml:space="preserve"> </w:t>
      </w:r>
      <w:r w:rsidR="007C7FC3" w:rsidRPr="003B71F0">
        <w:rPr>
          <w:sz w:val="24"/>
          <w:szCs w:val="24"/>
          <w:lang w:val="en-US"/>
        </w:rPr>
        <w:t>SBRT</w:t>
      </w:r>
      <w:r w:rsidRPr="003B71F0">
        <w:rPr>
          <w:sz w:val="24"/>
          <w:szCs w:val="24"/>
          <w:lang w:val="en-US"/>
        </w:rPr>
        <w:t xml:space="preserve"> should be used in patients with HCC</w:t>
      </w:r>
      <w:r w:rsidR="005810FB" w:rsidRPr="003B71F0">
        <w:rPr>
          <w:sz w:val="24"/>
          <w:szCs w:val="24"/>
          <w:lang w:val="en-US"/>
        </w:rPr>
        <w:t>.</w:t>
      </w:r>
      <w:r w:rsidR="00C22506" w:rsidRPr="003B71F0">
        <w:rPr>
          <w:sz w:val="24"/>
          <w:szCs w:val="24"/>
          <w:lang w:val="en-US"/>
        </w:rPr>
        <w:t xml:space="preserve"> </w:t>
      </w:r>
      <w:r w:rsidR="004727E1">
        <w:rPr>
          <w:sz w:val="24"/>
          <w:szCs w:val="24"/>
          <w:lang w:val="en-US"/>
        </w:rPr>
        <w:t>In order to assess the role of SBRT in comparison to sorafenib treatment, we performed a</w:t>
      </w:r>
      <w:r w:rsidR="008E73C8">
        <w:rPr>
          <w:sz w:val="24"/>
          <w:szCs w:val="24"/>
          <w:lang w:val="en-US"/>
        </w:rPr>
        <w:t>n international</w:t>
      </w:r>
      <w:r w:rsidR="004727E1">
        <w:rPr>
          <w:sz w:val="24"/>
          <w:szCs w:val="24"/>
          <w:lang w:val="en-US"/>
        </w:rPr>
        <w:t xml:space="preserve"> </w:t>
      </w:r>
      <w:r w:rsidR="00B41370">
        <w:rPr>
          <w:sz w:val="24"/>
          <w:szCs w:val="24"/>
          <w:lang w:val="en-US"/>
        </w:rPr>
        <w:lastRenderedPageBreak/>
        <w:t>multi-center</w:t>
      </w:r>
      <w:r w:rsidR="004727E1" w:rsidRPr="004727E1">
        <w:rPr>
          <w:sz w:val="24"/>
          <w:szCs w:val="24"/>
          <w:lang w:val="en-US"/>
        </w:rPr>
        <w:t>, retrospective</w:t>
      </w:r>
      <w:r w:rsidR="004727E1">
        <w:rPr>
          <w:sz w:val="24"/>
          <w:szCs w:val="24"/>
          <w:lang w:val="en-US"/>
        </w:rPr>
        <w:t xml:space="preserve"> analysis by using propensity score matching</w:t>
      </w:r>
      <w:r w:rsidR="00E8066E">
        <w:rPr>
          <w:sz w:val="24"/>
          <w:szCs w:val="24"/>
          <w:lang w:val="en-US"/>
        </w:rPr>
        <w:t>. We set out to</w:t>
      </w:r>
      <w:r w:rsidR="004727E1">
        <w:rPr>
          <w:sz w:val="24"/>
          <w:szCs w:val="24"/>
          <w:lang w:val="en-US"/>
        </w:rPr>
        <w:t xml:space="preserve"> analyz</w:t>
      </w:r>
      <w:r w:rsidR="00E8066E">
        <w:rPr>
          <w:sz w:val="24"/>
          <w:szCs w:val="24"/>
          <w:lang w:val="en-US"/>
        </w:rPr>
        <w:t>e</w:t>
      </w:r>
      <w:r w:rsidR="004727E1">
        <w:rPr>
          <w:sz w:val="24"/>
          <w:szCs w:val="24"/>
          <w:lang w:val="en-US"/>
        </w:rPr>
        <w:t xml:space="preserve"> toxicity profiles and overall survival in patients with HCC who are not eligible for</w:t>
      </w:r>
      <w:r w:rsidR="00B41370">
        <w:rPr>
          <w:sz w:val="24"/>
          <w:szCs w:val="24"/>
          <w:lang w:val="en-US"/>
        </w:rPr>
        <w:t xml:space="preserve"> local ablative treatments or t</w:t>
      </w:r>
      <w:r w:rsidR="004727E1">
        <w:rPr>
          <w:sz w:val="24"/>
          <w:szCs w:val="24"/>
          <w:lang w:val="en-US"/>
        </w:rPr>
        <w:t>r</w:t>
      </w:r>
      <w:r w:rsidR="00B41370">
        <w:rPr>
          <w:sz w:val="24"/>
          <w:szCs w:val="24"/>
          <w:lang w:val="en-US"/>
        </w:rPr>
        <w:t>a</w:t>
      </w:r>
      <w:r w:rsidR="004727E1">
        <w:rPr>
          <w:sz w:val="24"/>
          <w:szCs w:val="24"/>
          <w:lang w:val="en-US"/>
        </w:rPr>
        <w:t xml:space="preserve">nsarterial chemoembolisation (TACE). </w:t>
      </w:r>
    </w:p>
    <w:p w14:paraId="0CAD83A3" w14:textId="77777777" w:rsidR="003B71F0" w:rsidRDefault="003B71F0" w:rsidP="00395F50">
      <w:pPr>
        <w:tabs>
          <w:tab w:val="left" w:pos="1182"/>
        </w:tabs>
        <w:spacing w:line="480" w:lineRule="auto"/>
        <w:jc w:val="both"/>
        <w:rPr>
          <w:sz w:val="24"/>
          <w:szCs w:val="24"/>
          <w:highlight w:val="yellow"/>
          <w:lang w:val="en-US"/>
        </w:rPr>
      </w:pPr>
    </w:p>
    <w:p w14:paraId="779FC09B" w14:textId="77777777" w:rsidR="003B71F0" w:rsidRDefault="003B71F0" w:rsidP="00395F50">
      <w:pPr>
        <w:tabs>
          <w:tab w:val="left" w:pos="1182"/>
        </w:tabs>
        <w:spacing w:line="480" w:lineRule="auto"/>
        <w:jc w:val="both"/>
        <w:rPr>
          <w:sz w:val="24"/>
          <w:szCs w:val="24"/>
          <w:highlight w:val="yellow"/>
          <w:lang w:val="en-US"/>
        </w:rPr>
      </w:pPr>
    </w:p>
    <w:p w14:paraId="46ACE395" w14:textId="77777777" w:rsidR="003B71F0" w:rsidRDefault="003B71F0" w:rsidP="00395F50">
      <w:pPr>
        <w:tabs>
          <w:tab w:val="left" w:pos="1182"/>
        </w:tabs>
        <w:spacing w:line="480" w:lineRule="auto"/>
        <w:jc w:val="both"/>
        <w:rPr>
          <w:sz w:val="24"/>
          <w:szCs w:val="24"/>
          <w:highlight w:val="yellow"/>
          <w:lang w:val="en-US"/>
        </w:rPr>
      </w:pPr>
    </w:p>
    <w:p w14:paraId="71A3ACE8" w14:textId="77777777" w:rsidR="00B61996" w:rsidRDefault="00B61996" w:rsidP="00A82EB5">
      <w:pPr>
        <w:spacing w:line="480" w:lineRule="auto"/>
        <w:rPr>
          <w:b/>
          <w:sz w:val="24"/>
          <w:szCs w:val="24"/>
          <w:lang w:val="en-US"/>
        </w:rPr>
      </w:pPr>
    </w:p>
    <w:p w14:paraId="2F2D420F" w14:textId="77777777" w:rsidR="004727E1" w:rsidRDefault="004727E1" w:rsidP="00A82EB5">
      <w:pPr>
        <w:spacing w:line="480" w:lineRule="auto"/>
        <w:rPr>
          <w:b/>
          <w:sz w:val="24"/>
          <w:szCs w:val="24"/>
          <w:lang w:val="en-US"/>
        </w:rPr>
      </w:pPr>
    </w:p>
    <w:p w14:paraId="764C0400" w14:textId="77777777" w:rsidR="004727E1" w:rsidRDefault="004727E1" w:rsidP="00A82EB5">
      <w:pPr>
        <w:spacing w:line="480" w:lineRule="auto"/>
        <w:rPr>
          <w:b/>
          <w:sz w:val="24"/>
          <w:szCs w:val="24"/>
          <w:lang w:val="en-US"/>
        </w:rPr>
      </w:pPr>
    </w:p>
    <w:p w14:paraId="5D4269F0" w14:textId="77777777" w:rsidR="007B6020" w:rsidRDefault="007B6020" w:rsidP="00A82EB5">
      <w:pPr>
        <w:spacing w:line="480" w:lineRule="auto"/>
        <w:rPr>
          <w:b/>
          <w:sz w:val="24"/>
          <w:szCs w:val="24"/>
          <w:lang w:val="en-US"/>
        </w:rPr>
      </w:pPr>
    </w:p>
    <w:p w14:paraId="57E6F26E" w14:textId="77777777" w:rsidR="007B6020" w:rsidRDefault="007B6020" w:rsidP="00A82EB5">
      <w:pPr>
        <w:spacing w:line="480" w:lineRule="auto"/>
        <w:rPr>
          <w:b/>
          <w:sz w:val="24"/>
          <w:szCs w:val="24"/>
          <w:lang w:val="en-US"/>
        </w:rPr>
      </w:pPr>
    </w:p>
    <w:p w14:paraId="51EF426C" w14:textId="77777777" w:rsidR="007B6020" w:rsidRDefault="007B6020" w:rsidP="00A82EB5">
      <w:pPr>
        <w:spacing w:line="480" w:lineRule="auto"/>
        <w:rPr>
          <w:b/>
          <w:sz w:val="24"/>
          <w:szCs w:val="24"/>
          <w:lang w:val="en-US"/>
        </w:rPr>
      </w:pPr>
    </w:p>
    <w:p w14:paraId="62D4089E" w14:textId="77777777" w:rsidR="006223EA" w:rsidRDefault="006223EA" w:rsidP="00A82EB5">
      <w:pPr>
        <w:spacing w:line="480" w:lineRule="auto"/>
        <w:rPr>
          <w:b/>
          <w:sz w:val="24"/>
          <w:szCs w:val="24"/>
          <w:lang w:val="en-US"/>
        </w:rPr>
      </w:pPr>
    </w:p>
    <w:p w14:paraId="7B5B7800" w14:textId="77777777" w:rsidR="007B6020" w:rsidRDefault="007B6020" w:rsidP="00A82EB5">
      <w:pPr>
        <w:spacing w:line="480" w:lineRule="auto"/>
        <w:rPr>
          <w:b/>
          <w:sz w:val="24"/>
          <w:szCs w:val="24"/>
          <w:lang w:val="en-US"/>
        </w:rPr>
      </w:pPr>
    </w:p>
    <w:p w14:paraId="7F1799B3" w14:textId="77777777" w:rsidR="00B41370" w:rsidRDefault="00B41370" w:rsidP="00A82EB5">
      <w:pPr>
        <w:spacing w:line="480" w:lineRule="auto"/>
        <w:rPr>
          <w:b/>
          <w:sz w:val="24"/>
          <w:szCs w:val="24"/>
          <w:lang w:val="en-US"/>
        </w:rPr>
      </w:pPr>
    </w:p>
    <w:p w14:paraId="4770520D" w14:textId="77777777" w:rsidR="00B41370" w:rsidRDefault="00B41370" w:rsidP="00A82EB5">
      <w:pPr>
        <w:spacing w:line="480" w:lineRule="auto"/>
        <w:rPr>
          <w:b/>
          <w:sz w:val="24"/>
          <w:szCs w:val="24"/>
          <w:lang w:val="en-US"/>
        </w:rPr>
      </w:pPr>
    </w:p>
    <w:p w14:paraId="3B089776" w14:textId="77777777" w:rsidR="00B41370" w:rsidRDefault="00B41370" w:rsidP="00A82EB5">
      <w:pPr>
        <w:spacing w:line="480" w:lineRule="auto"/>
        <w:rPr>
          <w:b/>
          <w:sz w:val="24"/>
          <w:szCs w:val="24"/>
          <w:lang w:val="en-US"/>
        </w:rPr>
      </w:pPr>
    </w:p>
    <w:p w14:paraId="53A7626E" w14:textId="77777777" w:rsidR="00A06175" w:rsidRDefault="00A06175" w:rsidP="00A82EB5">
      <w:pPr>
        <w:spacing w:line="480" w:lineRule="auto"/>
        <w:rPr>
          <w:b/>
          <w:sz w:val="24"/>
          <w:szCs w:val="24"/>
          <w:lang w:val="en-US"/>
        </w:rPr>
      </w:pPr>
    </w:p>
    <w:p w14:paraId="57780AA0" w14:textId="77777777" w:rsidR="00A06175" w:rsidRDefault="00A06175" w:rsidP="00A82EB5">
      <w:pPr>
        <w:spacing w:line="480" w:lineRule="auto"/>
        <w:rPr>
          <w:b/>
          <w:sz w:val="24"/>
          <w:szCs w:val="24"/>
          <w:lang w:val="en-US"/>
        </w:rPr>
      </w:pPr>
    </w:p>
    <w:p w14:paraId="333C6ED9" w14:textId="77777777" w:rsidR="00A06175" w:rsidRDefault="00A06175" w:rsidP="00A82EB5">
      <w:pPr>
        <w:spacing w:line="480" w:lineRule="auto"/>
        <w:rPr>
          <w:b/>
          <w:sz w:val="24"/>
          <w:szCs w:val="24"/>
          <w:lang w:val="en-US"/>
        </w:rPr>
      </w:pPr>
    </w:p>
    <w:p w14:paraId="307542B1" w14:textId="77777777" w:rsidR="00913EEB" w:rsidRDefault="00B61996" w:rsidP="00913EEB">
      <w:pPr>
        <w:rPr>
          <w:b/>
          <w:sz w:val="24"/>
          <w:szCs w:val="24"/>
          <w:lang w:val="en-US"/>
        </w:rPr>
      </w:pPr>
      <w:r>
        <w:rPr>
          <w:b/>
          <w:sz w:val="24"/>
          <w:szCs w:val="24"/>
          <w:lang w:val="en-US"/>
        </w:rPr>
        <w:lastRenderedPageBreak/>
        <w:t>P</w:t>
      </w:r>
      <w:r w:rsidR="00913EEB">
        <w:rPr>
          <w:b/>
          <w:sz w:val="24"/>
          <w:szCs w:val="24"/>
          <w:lang w:val="en-US"/>
        </w:rPr>
        <w:t>atients and methods</w:t>
      </w:r>
    </w:p>
    <w:p w14:paraId="1D8C3B32" w14:textId="77777777" w:rsidR="000E53F8" w:rsidRDefault="000E53F8" w:rsidP="000E53F8">
      <w:pPr>
        <w:tabs>
          <w:tab w:val="left" w:pos="1182"/>
        </w:tabs>
        <w:spacing w:line="480" w:lineRule="auto"/>
        <w:jc w:val="both"/>
        <w:rPr>
          <w:rFonts w:cs="Arial"/>
          <w:b/>
          <w:i/>
          <w:sz w:val="24"/>
          <w:szCs w:val="24"/>
          <w:lang w:val="en-US"/>
        </w:rPr>
      </w:pPr>
      <w:r w:rsidRPr="00925E3D">
        <w:rPr>
          <w:rFonts w:cs="Arial"/>
          <w:b/>
          <w:i/>
          <w:sz w:val="24"/>
          <w:szCs w:val="24"/>
          <w:lang w:val="en-US"/>
        </w:rPr>
        <w:t xml:space="preserve">Selection of patients </w:t>
      </w:r>
    </w:p>
    <w:p w14:paraId="27C7BE2A" w14:textId="77777777" w:rsidR="00B61996" w:rsidRPr="007F7825" w:rsidRDefault="00B61996" w:rsidP="00B61996">
      <w:pPr>
        <w:tabs>
          <w:tab w:val="left" w:pos="1182"/>
        </w:tabs>
        <w:spacing w:line="480" w:lineRule="auto"/>
        <w:jc w:val="both"/>
        <w:rPr>
          <w:rFonts w:cs="Arial"/>
          <w:sz w:val="24"/>
          <w:szCs w:val="24"/>
          <w:lang w:val="en-US"/>
        </w:rPr>
      </w:pPr>
      <w:r w:rsidRPr="007F7825">
        <w:rPr>
          <w:rFonts w:cs="Arial"/>
          <w:sz w:val="24"/>
          <w:szCs w:val="24"/>
          <w:lang w:val="en-US"/>
        </w:rPr>
        <w:t xml:space="preserve">The </w:t>
      </w:r>
      <w:r w:rsidR="007F7825">
        <w:rPr>
          <w:rFonts w:cs="Arial"/>
          <w:sz w:val="24"/>
          <w:szCs w:val="24"/>
          <w:lang w:val="en-US"/>
        </w:rPr>
        <w:t>sorafenib</w:t>
      </w:r>
      <w:r w:rsidRPr="007F7825">
        <w:rPr>
          <w:rFonts w:cs="Arial"/>
          <w:sz w:val="24"/>
          <w:szCs w:val="24"/>
          <w:lang w:val="en-US"/>
        </w:rPr>
        <w:t xml:space="preserve"> cohort consisted of patients </w:t>
      </w:r>
      <w:r w:rsidR="007F7825">
        <w:rPr>
          <w:rFonts w:cs="Arial"/>
          <w:sz w:val="24"/>
          <w:szCs w:val="24"/>
          <w:lang w:val="en-US"/>
        </w:rPr>
        <w:t>from</w:t>
      </w:r>
      <w:r w:rsidRPr="007F7825">
        <w:rPr>
          <w:rFonts w:cs="Arial"/>
          <w:sz w:val="24"/>
          <w:szCs w:val="24"/>
          <w:lang w:val="en-US"/>
        </w:rPr>
        <w:t xml:space="preserve"> </w:t>
      </w:r>
      <w:r w:rsidR="004A4097">
        <w:rPr>
          <w:rFonts w:cs="Arial"/>
          <w:sz w:val="24"/>
          <w:szCs w:val="24"/>
          <w:lang w:val="en-US"/>
        </w:rPr>
        <w:t xml:space="preserve">prospectively maintained databases from </w:t>
      </w:r>
      <w:r w:rsidRPr="007F7825">
        <w:rPr>
          <w:rFonts w:cs="Arial"/>
          <w:sz w:val="24"/>
          <w:szCs w:val="24"/>
          <w:lang w:val="en-US"/>
        </w:rPr>
        <w:t xml:space="preserve">the University Hospital Freiburg, </w:t>
      </w:r>
      <w:r w:rsidR="00AE240B">
        <w:rPr>
          <w:rFonts w:cs="Arial"/>
          <w:sz w:val="24"/>
          <w:szCs w:val="24"/>
          <w:lang w:val="en-US"/>
        </w:rPr>
        <w:t>(</w:t>
      </w:r>
      <w:r w:rsidRPr="007F7825">
        <w:rPr>
          <w:rFonts w:cs="Arial"/>
          <w:sz w:val="24"/>
          <w:szCs w:val="24"/>
          <w:lang w:val="en-US"/>
        </w:rPr>
        <w:t>Germany</w:t>
      </w:r>
      <w:r w:rsidR="00AE240B">
        <w:rPr>
          <w:rFonts w:cs="Arial"/>
          <w:sz w:val="24"/>
          <w:szCs w:val="24"/>
          <w:lang w:val="en-US"/>
        </w:rPr>
        <w:t>, n</w:t>
      </w:r>
      <w:r w:rsidR="00B41370">
        <w:rPr>
          <w:rFonts w:cs="Arial"/>
          <w:sz w:val="24"/>
          <w:szCs w:val="24"/>
          <w:lang w:val="en-US"/>
        </w:rPr>
        <w:t xml:space="preserve">=183), the </w:t>
      </w:r>
      <w:r w:rsidR="00B41370" w:rsidRPr="005C4844">
        <w:rPr>
          <w:rFonts w:cs="Arial"/>
          <w:color w:val="231F20"/>
          <w:sz w:val="24"/>
          <w:szCs w:val="24"/>
          <w:lang w:val="en-US"/>
        </w:rPr>
        <w:t>Imperial College London</w:t>
      </w:r>
      <w:r w:rsidR="00B41370">
        <w:rPr>
          <w:rFonts w:cs="Arial"/>
          <w:color w:val="231F20"/>
          <w:sz w:val="24"/>
          <w:szCs w:val="24"/>
          <w:lang w:val="en-US"/>
        </w:rPr>
        <w:t xml:space="preserve"> (n=</w:t>
      </w:r>
      <w:r w:rsidR="00AE240B">
        <w:rPr>
          <w:rFonts w:cs="Arial"/>
          <w:color w:val="231F20"/>
          <w:sz w:val="24"/>
          <w:szCs w:val="24"/>
          <w:lang w:val="en-US"/>
        </w:rPr>
        <w:t>96</w:t>
      </w:r>
      <w:r w:rsidR="00B41370">
        <w:rPr>
          <w:rFonts w:cs="Arial"/>
          <w:color w:val="231F20"/>
          <w:sz w:val="24"/>
          <w:szCs w:val="24"/>
          <w:lang w:val="en-US"/>
        </w:rPr>
        <w:t>), the Academic Liver Unit in Novara (Italy, n=</w:t>
      </w:r>
      <w:r w:rsidR="00AE240B">
        <w:rPr>
          <w:rFonts w:cs="Arial"/>
          <w:color w:val="231F20"/>
          <w:sz w:val="24"/>
          <w:szCs w:val="24"/>
          <w:lang w:val="en-US"/>
        </w:rPr>
        <w:t>53</w:t>
      </w:r>
      <w:r w:rsidR="00B41370">
        <w:rPr>
          <w:rFonts w:cs="Arial"/>
          <w:color w:val="231F20"/>
          <w:sz w:val="24"/>
          <w:szCs w:val="24"/>
          <w:lang w:val="en-US"/>
        </w:rPr>
        <w:t>),</w:t>
      </w:r>
      <w:r w:rsidR="00AE240B">
        <w:rPr>
          <w:rFonts w:cs="Arial"/>
          <w:color w:val="231F20"/>
          <w:sz w:val="24"/>
          <w:szCs w:val="24"/>
          <w:lang w:val="en-US"/>
        </w:rPr>
        <w:t xml:space="preserve"> the </w:t>
      </w:r>
      <w:r w:rsidR="00AE240B" w:rsidRPr="005C4844">
        <w:rPr>
          <w:rFonts w:cs="Arial"/>
          <w:color w:val="231F20"/>
          <w:sz w:val="24"/>
          <w:szCs w:val="24"/>
          <w:lang w:val="en-US"/>
        </w:rPr>
        <w:t>Humanitas Clinical and Research Center, Milan</w:t>
      </w:r>
      <w:r w:rsidR="00AE240B">
        <w:rPr>
          <w:rFonts w:cs="Arial"/>
          <w:color w:val="231F20"/>
          <w:sz w:val="24"/>
          <w:szCs w:val="24"/>
          <w:lang w:val="en-US"/>
        </w:rPr>
        <w:t xml:space="preserve"> (Italy, n=263),</w:t>
      </w:r>
      <w:r w:rsidR="00B41370">
        <w:rPr>
          <w:rFonts w:cs="Arial"/>
          <w:color w:val="231F20"/>
          <w:sz w:val="24"/>
          <w:szCs w:val="24"/>
          <w:lang w:val="en-US"/>
        </w:rPr>
        <w:t xml:space="preserve"> the </w:t>
      </w:r>
      <w:r w:rsidR="00B41370" w:rsidRPr="005C4844">
        <w:rPr>
          <w:rFonts w:cs="Arial"/>
          <w:color w:val="231F20"/>
          <w:sz w:val="24"/>
          <w:szCs w:val="24"/>
          <w:lang w:val="en-US"/>
        </w:rPr>
        <w:t>Kindai University School of Medicine</w:t>
      </w:r>
      <w:r w:rsidR="00B41370">
        <w:rPr>
          <w:rFonts w:cs="Arial"/>
          <w:color w:val="231F20"/>
          <w:sz w:val="24"/>
          <w:szCs w:val="24"/>
          <w:lang w:val="en-US"/>
        </w:rPr>
        <w:t xml:space="preserve"> in Osaka (Japan, n=</w:t>
      </w:r>
      <w:r w:rsidR="00AE240B">
        <w:rPr>
          <w:rFonts w:cs="Arial"/>
          <w:color w:val="231F20"/>
          <w:sz w:val="24"/>
          <w:szCs w:val="24"/>
          <w:lang w:val="en-US"/>
        </w:rPr>
        <w:t>192</w:t>
      </w:r>
      <w:r w:rsidR="00B41370">
        <w:rPr>
          <w:rFonts w:cs="Arial"/>
          <w:color w:val="231F20"/>
          <w:sz w:val="24"/>
          <w:szCs w:val="24"/>
          <w:lang w:val="en-US"/>
        </w:rPr>
        <w:t>)</w:t>
      </w:r>
      <w:r w:rsidR="00AE240B">
        <w:rPr>
          <w:rFonts w:cs="Arial"/>
          <w:color w:val="231F20"/>
          <w:sz w:val="24"/>
          <w:szCs w:val="24"/>
          <w:lang w:val="en-US"/>
        </w:rPr>
        <w:t xml:space="preserve"> and the </w:t>
      </w:r>
      <w:r w:rsidR="00B41370" w:rsidRPr="005C4844">
        <w:rPr>
          <w:rFonts w:cs="Arial"/>
          <w:color w:val="231F20"/>
          <w:sz w:val="24"/>
          <w:szCs w:val="24"/>
          <w:lang w:val="en-US"/>
        </w:rPr>
        <w:t>National Cancer Center Hospital</w:t>
      </w:r>
      <w:r w:rsidR="00AE240B">
        <w:rPr>
          <w:rFonts w:cs="Arial"/>
          <w:color w:val="231F20"/>
          <w:sz w:val="24"/>
          <w:szCs w:val="24"/>
          <w:lang w:val="en-US"/>
        </w:rPr>
        <w:t xml:space="preserve"> in</w:t>
      </w:r>
      <w:r w:rsidR="00B41370" w:rsidRPr="005C4844">
        <w:rPr>
          <w:rFonts w:cs="Arial"/>
          <w:color w:val="231F20"/>
          <w:sz w:val="24"/>
          <w:szCs w:val="24"/>
          <w:lang w:val="en-US"/>
        </w:rPr>
        <w:t xml:space="preserve"> Goyang</w:t>
      </w:r>
      <w:r w:rsidR="00AE240B">
        <w:rPr>
          <w:rFonts w:cs="Arial"/>
          <w:color w:val="231F20"/>
          <w:sz w:val="24"/>
          <w:szCs w:val="24"/>
          <w:lang w:val="en-US"/>
        </w:rPr>
        <w:t xml:space="preserve"> (</w:t>
      </w:r>
      <w:r w:rsidR="00B41370" w:rsidRPr="005C4844">
        <w:rPr>
          <w:rFonts w:cs="Arial"/>
          <w:color w:val="231F20"/>
          <w:sz w:val="24"/>
          <w:szCs w:val="24"/>
          <w:lang w:val="en-US"/>
        </w:rPr>
        <w:t>South</w:t>
      </w:r>
      <w:r w:rsidR="00B41370">
        <w:rPr>
          <w:rFonts w:cs="Arial"/>
          <w:color w:val="231F20"/>
          <w:sz w:val="24"/>
          <w:szCs w:val="24"/>
          <w:lang w:val="en-US"/>
        </w:rPr>
        <w:t xml:space="preserve"> </w:t>
      </w:r>
      <w:r w:rsidR="00B41370" w:rsidRPr="005C4844">
        <w:rPr>
          <w:rFonts w:cs="Arial"/>
          <w:color w:val="231F20"/>
          <w:sz w:val="24"/>
          <w:szCs w:val="24"/>
          <w:lang w:val="en-US"/>
        </w:rPr>
        <w:t>Korea</w:t>
      </w:r>
      <w:r w:rsidR="00AE240B">
        <w:rPr>
          <w:rFonts w:cs="Arial"/>
          <w:color w:val="231F20"/>
          <w:sz w:val="24"/>
          <w:szCs w:val="24"/>
          <w:lang w:val="en-US"/>
        </w:rPr>
        <w:t>, n=114).</w:t>
      </w:r>
      <w:r w:rsidRPr="007F7825">
        <w:rPr>
          <w:rFonts w:cs="Arial"/>
          <w:sz w:val="24"/>
          <w:szCs w:val="24"/>
          <w:lang w:val="en-US"/>
        </w:rPr>
        <w:t xml:space="preserve"> </w:t>
      </w:r>
      <w:r w:rsidR="004F4710">
        <w:rPr>
          <w:rFonts w:cs="Arial"/>
          <w:sz w:val="24"/>
          <w:szCs w:val="24"/>
          <w:lang w:val="en-US"/>
        </w:rPr>
        <w:t>A</w:t>
      </w:r>
      <w:r w:rsidR="007F7825">
        <w:rPr>
          <w:rFonts w:cs="Arial"/>
          <w:sz w:val="24"/>
          <w:szCs w:val="24"/>
          <w:lang w:val="en-US"/>
        </w:rPr>
        <w:t>dult patients (</w:t>
      </w:r>
      <w:r w:rsidR="004A4097">
        <w:rPr>
          <w:rFonts w:cs="Arial"/>
          <w:sz w:val="24"/>
          <w:szCs w:val="24"/>
          <w:lang w:val="en-US"/>
        </w:rPr>
        <w:t>&gt;</w:t>
      </w:r>
      <w:r w:rsidR="007F7825">
        <w:rPr>
          <w:rFonts w:cs="Arial"/>
          <w:sz w:val="24"/>
          <w:szCs w:val="24"/>
          <w:lang w:val="en-US"/>
        </w:rPr>
        <w:t xml:space="preserve"> 18 years) with confirmed HCC </w:t>
      </w:r>
      <w:r w:rsidR="004A4097">
        <w:rPr>
          <w:rFonts w:cs="Arial"/>
          <w:sz w:val="24"/>
          <w:szCs w:val="24"/>
          <w:lang w:val="en-US"/>
        </w:rPr>
        <w:t xml:space="preserve">eligible </w:t>
      </w:r>
      <w:r w:rsidR="004F4710">
        <w:rPr>
          <w:rFonts w:cs="Arial"/>
          <w:sz w:val="24"/>
          <w:szCs w:val="24"/>
          <w:lang w:val="en-US"/>
        </w:rPr>
        <w:t>for</w:t>
      </w:r>
      <w:r w:rsidR="004A4097">
        <w:rPr>
          <w:rFonts w:cs="Arial"/>
          <w:sz w:val="24"/>
          <w:szCs w:val="24"/>
          <w:lang w:val="en-US"/>
        </w:rPr>
        <w:t xml:space="preserve"> sorafenib</w:t>
      </w:r>
      <w:r w:rsidR="007F7825">
        <w:rPr>
          <w:rFonts w:cs="Arial"/>
          <w:sz w:val="24"/>
          <w:szCs w:val="24"/>
          <w:lang w:val="en-US"/>
        </w:rPr>
        <w:t xml:space="preserve"> treatment</w:t>
      </w:r>
      <w:r w:rsidR="004F4710">
        <w:rPr>
          <w:rFonts w:cs="Arial"/>
          <w:sz w:val="24"/>
          <w:szCs w:val="24"/>
          <w:lang w:val="en-US"/>
        </w:rPr>
        <w:t xml:space="preserve"> were included in the study</w:t>
      </w:r>
      <w:r w:rsidR="007F7825">
        <w:rPr>
          <w:rFonts w:cs="Arial"/>
          <w:sz w:val="24"/>
          <w:szCs w:val="24"/>
          <w:lang w:val="en-US"/>
        </w:rPr>
        <w:t xml:space="preserve">. In summary, </w:t>
      </w:r>
      <w:r w:rsidR="00AE240B">
        <w:rPr>
          <w:rFonts w:cs="Arial"/>
          <w:sz w:val="24"/>
          <w:szCs w:val="24"/>
          <w:lang w:val="en-US"/>
        </w:rPr>
        <w:t>901</w:t>
      </w:r>
      <w:r w:rsidR="007F7825">
        <w:rPr>
          <w:rFonts w:cs="Arial"/>
          <w:sz w:val="24"/>
          <w:szCs w:val="24"/>
          <w:lang w:val="en-US"/>
        </w:rPr>
        <w:t xml:space="preserve"> patients treated with sorafenib were included in the analyses. </w:t>
      </w:r>
      <w:r w:rsidRPr="007F7825">
        <w:rPr>
          <w:rFonts w:cs="Arial"/>
          <w:sz w:val="24"/>
          <w:szCs w:val="24"/>
          <w:lang w:val="en-US"/>
        </w:rPr>
        <w:t xml:space="preserve"> </w:t>
      </w:r>
    </w:p>
    <w:p w14:paraId="34D7124C" w14:textId="77777777" w:rsidR="00FC41D8" w:rsidRDefault="006A66A8" w:rsidP="006A66A8">
      <w:pPr>
        <w:tabs>
          <w:tab w:val="left" w:pos="1182"/>
        </w:tabs>
        <w:spacing w:line="480" w:lineRule="auto"/>
        <w:jc w:val="both"/>
        <w:rPr>
          <w:rFonts w:cs="Arial"/>
          <w:sz w:val="24"/>
          <w:szCs w:val="24"/>
          <w:lang w:val="en-US"/>
        </w:rPr>
      </w:pPr>
      <w:r w:rsidRPr="007F7825">
        <w:rPr>
          <w:rFonts w:cs="Arial"/>
          <w:sz w:val="24"/>
          <w:szCs w:val="24"/>
          <w:lang w:val="en-US"/>
        </w:rPr>
        <w:t xml:space="preserve">The SBRT cohort </w:t>
      </w:r>
      <w:r w:rsidR="00F12CFB" w:rsidRPr="007F7825">
        <w:rPr>
          <w:rFonts w:cs="Arial"/>
          <w:sz w:val="24"/>
          <w:szCs w:val="24"/>
          <w:lang w:val="en-US"/>
        </w:rPr>
        <w:t>consisted of</w:t>
      </w:r>
      <w:r w:rsidRPr="007F7825">
        <w:rPr>
          <w:rFonts w:cs="Arial"/>
          <w:sz w:val="24"/>
          <w:szCs w:val="24"/>
          <w:lang w:val="en-US"/>
        </w:rPr>
        <w:t xml:space="preserve"> </w:t>
      </w:r>
      <w:r w:rsidR="004D56D3">
        <w:rPr>
          <w:rFonts w:cs="Arial"/>
          <w:sz w:val="24"/>
          <w:szCs w:val="24"/>
          <w:lang w:val="en-US"/>
        </w:rPr>
        <w:t>122</w:t>
      </w:r>
      <w:r w:rsidRPr="007F7825">
        <w:rPr>
          <w:rFonts w:cs="Arial"/>
          <w:sz w:val="24"/>
          <w:szCs w:val="24"/>
          <w:lang w:val="en-US"/>
        </w:rPr>
        <w:t xml:space="preserve"> patients </w:t>
      </w:r>
      <w:r w:rsidRPr="00FC41D8">
        <w:rPr>
          <w:rFonts w:cs="Arial"/>
          <w:sz w:val="24"/>
          <w:szCs w:val="24"/>
          <w:lang w:val="en-US"/>
        </w:rPr>
        <w:t xml:space="preserve">with </w:t>
      </w:r>
      <w:r w:rsidR="00FC41D8" w:rsidRPr="00FC41D8">
        <w:rPr>
          <w:rFonts w:cs="Arial"/>
          <w:sz w:val="24"/>
          <w:szCs w:val="24"/>
          <w:lang w:val="en-US"/>
        </w:rPr>
        <w:t>122</w:t>
      </w:r>
      <w:r w:rsidRPr="007F7825">
        <w:rPr>
          <w:rFonts w:cs="Arial"/>
          <w:sz w:val="24"/>
          <w:szCs w:val="24"/>
          <w:lang w:val="en-US"/>
        </w:rPr>
        <w:t xml:space="preserve"> </w:t>
      </w:r>
      <w:r w:rsidR="0037410E" w:rsidRPr="007F7825">
        <w:rPr>
          <w:rFonts w:cs="Arial"/>
          <w:sz w:val="24"/>
          <w:szCs w:val="24"/>
          <w:lang w:val="en-US"/>
        </w:rPr>
        <w:t xml:space="preserve">HCC </w:t>
      </w:r>
      <w:r w:rsidR="00AB3EA2" w:rsidRPr="007F7825">
        <w:rPr>
          <w:rFonts w:cs="Arial"/>
          <w:sz w:val="24"/>
          <w:szCs w:val="24"/>
          <w:lang w:val="en-US"/>
        </w:rPr>
        <w:t xml:space="preserve">lesions </w:t>
      </w:r>
      <w:r w:rsidR="00AE240B">
        <w:rPr>
          <w:rFonts w:cs="Arial"/>
          <w:sz w:val="24"/>
          <w:szCs w:val="24"/>
          <w:lang w:val="en-US"/>
        </w:rPr>
        <w:t>treated</w:t>
      </w:r>
      <w:r w:rsidR="00FC41D8">
        <w:rPr>
          <w:rFonts w:cs="Arial"/>
          <w:sz w:val="24"/>
          <w:szCs w:val="24"/>
          <w:lang w:val="en-US"/>
        </w:rPr>
        <w:t xml:space="preserve"> </w:t>
      </w:r>
      <w:r w:rsidR="00FC41D8" w:rsidRPr="007F7825">
        <w:rPr>
          <w:rFonts w:cs="Arial"/>
          <w:sz w:val="24"/>
          <w:szCs w:val="24"/>
          <w:lang w:val="en-US"/>
        </w:rPr>
        <w:t>between 2013 and 201</w:t>
      </w:r>
      <w:r w:rsidR="00FC41D8">
        <w:rPr>
          <w:rFonts w:cs="Arial"/>
          <w:sz w:val="24"/>
          <w:szCs w:val="24"/>
          <w:lang w:val="en-US"/>
        </w:rPr>
        <w:t xml:space="preserve">7 </w:t>
      </w:r>
      <w:r w:rsidR="00AE240B">
        <w:rPr>
          <w:rFonts w:cs="Arial"/>
          <w:sz w:val="24"/>
          <w:szCs w:val="24"/>
          <w:lang w:val="en-US"/>
        </w:rPr>
        <w:t>in the Department of Radiation O</w:t>
      </w:r>
      <w:r w:rsidRPr="007F7825">
        <w:rPr>
          <w:rFonts w:cs="Arial"/>
          <w:sz w:val="24"/>
          <w:szCs w:val="24"/>
          <w:lang w:val="en-US"/>
        </w:rPr>
        <w:t>ncology</w:t>
      </w:r>
      <w:r w:rsidR="0037410E" w:rsidRPr="007F7825">
        <w:rPr>
          <w:rFonts w:cs="Arial"/>
          <w:sz w:val="24"/>
          <w:szCs w:val="24"/>
          <w:lang w:val="en-US"/>
        </w:rPr>
        <w:t xml:space="preserve"> of the University Hospital Freiburg</w:t>
      </w:r>
      <w:r w:rsidRPr="007F7825">
        <w:rPr>
          <w:rFonts w:cs="Arial"/>
          <w:sz w:val="24"/>
          <w:szCs w:val="24"/>
          <w:lang w:val="en-US"/>
        </w:rPr>
        <w:t xml:space="preserve"> </w:t>
      </w:r>
      <w:r w:rsidR="00FC41D8">
        <w:rPr>
          <w:rFonts w:cs="Arial"/>
          <w:sz w:val="24"/>
          <w:szCs w:val="24"/>
          <w:lang w:val="en-US"/>
        </w:rPr>
        <w:t xml:space="preserve">(n=46), </w:t>
      </w:r>
      <w:r w:rsidR="004F4710">
        <w:rPr>
          <w:rFonts w:cs="Arial"/>
          <w:sz w:val="24"/>
          <w:szCs w:val="24"/>
          <w:lang w:val="en-US"/>
        </w:rPr>
        <w:t xml:space="preserve">the </w:t>
      </w:r>
      <w:r w:rsidR="00FC41D8">
        <w:rPr>
          <w:rFonts w:cs="Arial"/>
          <w:sz w:val="24"/>
          <w:szCs w:val="24"/>
          <w:lang w:val="en-US"/>
        </w:rPr>
        <w:t xml:space="preserve">Ludwigs-Maximilians-University Munich (n=21), </w:t>
      </w:r>
      <w:r w:rsidR="004F4710">
        <w:rPr>
          <w:rFonts w:cs="Arial"/>
          <w:sz w:val="24"/>
          <w:szCs w:val="24"/>
          <w:lang w:val="en-US"/>
        </w:rPr>
        <w:t xml:space="preserve">the </w:t>
      </w:r>
      <w:r w:rsidR="00FC41D8">
        <w:rPr>
          <w:rFonts w:cs="Arial"/>
          <w:sz w:val="24"/>
          <w:szCs w:val="24"/>
          <w:lang w:val="en-US"/>
        </w:rPr>
        <w:t xml:space="preserve">Technical University of Munich, Rechts der Isar (n=18), </w:t>
      </w:r>
      <w:r w:rsidR="004F4710">
        <w:rPr>
          <w:rFonts w:cs="Arial"/>
          <w:sz w:val="24"/>
          <w:szCs w:val="24"/>
          <w:lang w:val="en-US"/>
        </w:rPr>
        <w:t xml:space="preserve">the </w:t>
      </w:r>
      <w:r w:rsidR="00FC41D8">
        <w:rPr>
          <w:rFonts w:cs="Arial"/>
          <w:sz w:val="24"/>
          <w:szCs w:val="24"/>
          <w:lang w:val="en-US"/>
        </w:rPr>
        <w:t xml:space="preserve">University Hospital Jena (n=17), </w:t>
      </w:r>
      <w:r w:rsidR="004F4710">
        <w:rPr>
          <w:rFonts w:cs="Arial"/>
          <w:sz w:val="24"/>
          <w:szCs w:val="24"/>
          <w:lang w:val="en-US"/>
        </w:rPr>
        <w:t xml:space="preserve">the </w:t>
      </w:r>
      <w:r w:rsidR="00FC41D8">
        <w:rPr>
          <w:rFonts w:cs="Arial"/>
          <w:sz w:val="24"/>
          <w:szCs w:val="24"/>
          <w:lang w:val="en-US"/>
        </w:rPr>
        <w:t>Unive</w:t>
      </w:r>
      <w:r w:rsidR="004F4710">
        <w:rPr>
          <w:rFonts w:cs="Arial"/>
          <w:sz w:val="24"/>
          <w:szCs w:val="24"/>
          <w:lang w:val="en-US"/>
        </w:rPr>
        <w:t>rsity Hospital Würzburg (n=9), the S</w:t>
      </w:r>
      <w:r w:rsidR="00FC41D8">
        <w:rPr>
          <w:rFonts w:cs="Arial"/>
          <w:sz w:val="24"/>
          <w:szCs w:val="24"/>
          <w:lang w:val="en-US"/>
        </w:rPr>
        <w:t xml:space="preserve">aphir Radiosurgery Center Frankfurt and Güstrow (n=3), </w:t>
      </w:r>
      <w:r w:rsidR="004F4710">
        <w:rPr>
          <w:rFonts w:cs="Arial"/>
          <w:sz w:val="24"/>
          <w:szCs w:val="24"/>
          <w:lang w:val="en-US"/>
        </w:rPr>
        <w:t xml:space="preserve">the </w:t>
      </w:r>
      <w:r w:rsidR="00FC41D8">
        <w:rPr>
          <w:rFonts w:cs="Arial"/>
          <w:sz w:val="24"/>
          <w:szCs w:val="24"/>
          <w:lang w:val="en-US"/>
        </w:rPr>
        <w:t>University Hospital Halle (n=3</w:t>
      </w:r>
      <w:r w:rsidR="001B6860">
        <w:rPr>
          <w:rFonts w:cs="Arial"/>
          <w:sz w:val="24"/>
          <w:szCs w:val="24"/>
          <w:lang w:val="en-US"/>
        </w:rPr>
        <w:t>)</w:t>
      </w:r>
      <w:r w:rsidR="002E1BD7">
        <w:rPr>
          <w:rFonts w:cs="Arial"/>
          <w:sz w:val="24"/>
          <w:szCs w:val="24"/>
          <w:lang w:val="en-US"/>
        </w:rPr>
        <w:t xml:space="preserve">, </w:t>
      </w:r>
      <w:r w:rsidR="004F4710">
        <w:rPr>
          <w:rFonts w:cs="Arial"/>
          <w:sz w:val="24"/>
          <w:szCs w:val="24"/>
          <w:lang w:val="en-US"/>
        </w:rPr>
        <w:t xml:space="preserve">the </w:t>
      </w:r>
      <w:r w:rsidR="00F34C8E">
        <w:rPr>
          <w:rFonts w:cs="Arial"/>
          <w:sz w:val="24"/>
          <w:szCs w:val="24"/>
          <w:lang w:val="en-US"/>
        </w:rPr>
        <w:t xml:space="preserve">University Hospital Zurich (n=2), </w:t>
      </w:r>
      <w:r w:rsidR="004F4710">
        <w:rPr>
          <w:rFonts w:cs="Arial"/>
          <w:sz w:val="24"/>
          <w:szCs w:val="24"/>
          <w:lang w:val="en-US"/>
        </w:rPr>
        <w:t xml:space="preserve">the </w:t>
      </w:r>
      <w:r w:rsidR="00F34C8E">
        <w:rPr>
          <w:rFonts w:cs="Arial"/>
          <w:sz w:val="24"/>
          <w:szCs w:val="24"/>
          <w:lang w:val="en-US"/>
        </w:rPr>
        <w:t>Uni</w:t>
      </w:r>
      <w:r w:rsidR="004F4710">
        <w:rPr>
          <w:rFonts w:cs="Arial"/>
          <w:sz w:val="24"/>
          <w:szCs w:val="24"/>
          <w:lang w:val="en-US"/>
        </w:rPr>
        <w:t xml:space="preserve">versity Hospital Cologne (n=2) and at the </w:t>
      </w:r>
      <w:r w:rsidR="00F34C8E">
        <w:rPr>
          <w:rFonts w:cs="Arial"/>
          <w:sz w:val="24"/>
          <w:szCs w:val="24"/>
          <w:lang w:val="en-US"/>
        </w:rPr>
        <w:t xml:space="preserve">Klinikum Bautzen </w:t>
      </w:r>
      <w:r w:rsidR="007C7331">
        <w:rPr>
          <w:rFonts w:cs="Arial"/>
          <w:sz w:val="24"/>
          <w:szCs w:val="24"/>
          <w:lang w:val="en-US"/>
        </w:rPr>
        <w:t>(</w:t>
      </w:r>
      <w:r w:rsidR="00F34C8E">
        <w:rPr>
          <w:rFonts w:cs="Arial"/>
          <w:sz w:val="24"/>
          <w:szCs w:val="24"/>
          <w:lang w:val="en-US"/>
        </w:rPr>
        <w:t xml:space="preserve">n=1). </w:t>
      </w:r>
    </w:p>
    <w:p w14:paraId="39E5BA90" w14:textId="1DB6780D" w:rsidR="006A66A8" w:rsidRDefault="004F4710" w:rsidP="006A66A8">
      <w:pPr>
        <w:tabs>
          <w:tab w:val="left" w:pos="1182"/>
        </w:tabs>
        <w:spacing w:line="480" w:lineRule="auto"/>
        <w:jc w:val="both"/>
        <w:rPr>
          <w:rFonts w:cs="Arial"/>
          <w:sz w:val="24"/>
          <w:szCs w:val="24"/>
          <w:lang w:val="en-US"/>
        </w:rPr>
      </w:pPr>
      <w:r>
        <w:rPr>
          <w:rFonts w:cs="Arial"/>
          <w:sz w:val="24"/>
          <w:szCs w:val="24"/>
          <w:lang w:val="en-US"/>
        </w:rPr>
        <w:t xml:space="preserve">Data from these </w:t>
      </w:r>
      <w:r w:rsidR="00AE240B" w:rsidRPr="005C4844">
        <w:rPr>
          <w:rFonts w:cs="Arial"/>
          <w:sz w:val="24"/>
          <w:szCs w:val="24"/>
          <w:lang w:val="en-US"/>
        </w:rPr>
        <w:t xml:space="preserve">patients </w:t>
      </w:r>
      <w:r>
        <w:rPr>
          <w:rFonts w:cs="Arial"/>
          <w:sz w:val="24"/>
          <w:szCs w:val="24"/>
          <w:lang w:val="en-US"/>
        </w:rPr>
        <w:t>were</w:t>
      </w:r>
      <w:r w:rsidR="00AE240B" w:rsidRPr="005C4844">
        <w:rPr>
          <w:rFonts w:cs="Arial"/>
          <w:sz w:val="24"/>
          <w:szCs w:val="24"/>
          <w:lang w:val="en-US"/>
        </w:rPr>
        <w:t xml:space="preserve"> collected retrospectively </w:t>
      </w:r>
      <w:r w:rsidR="004A4097">
        <w:rPr>
          <w:rFonts w:cs="Arial"/>
          <w:sz w:val="24"/>
          <w:szCs w:val="24"/>
          <w:lang w:val="en-US"/>
        </w:rPr>
        <w:t xml:space="preserve">in a common </w:t>
      </w:r>
      <w:r w:rsidR="00E4697F">
        <w:rPr>
          <w:rFonts w:cs="Arial"/>
          <w:sz w:val="24"/>
          <w:szCs w:val="24"/>
          <w:lang w:val="en-US"/>
        </w:rPr>
        <w:t xml:space="preserve">database </w:t>
      </w:r>
      <w:r w:rsidR="004A4097">
        <w:rPr>
          <w:rFonts w:cs="Arial"/>
          <w:sz w:val="24"/>
          <w:szCs w:val="24"/>
          <w:lang w:val="en-US"/>
        </w:rPr>
        <w:t>report form</w:t>
      </w:r>
      <w:r w:rsidR="00AE240B" w:rsidRPr="005C4844">
        <w:rPr>
          <w:rFonts w:cs="Arial"/>
          <w:sz w:val="24"/>
          <w:szCs w:val="24"/>
          <w:lang w:val="en-US"/>
        </w:rPr>
        <w:t xml:space="preserve">. </w:t>
      </w:r>
      <w:r w:rsidR="006A66A8" w:rsidRPr="007F7825">
        <w:rPr>
          <w:rFonts w:cs="Arial"/>
          <w:sz w:val="24"/>
          <w:szCs w:val="24"/>
          <w:lang w:val="en-US"/>
        </w:rPr>
        <w:t>SBRT was performed after TACE failure</w:t>
      </w:r>
      <w:r w:rsidR="004A4097">
        <w:rPr>
          <w:rFonts w:cs="Arial"/>
          <w:sz w:val="24"/>
          <w:szCs w:val="24"/>
          <w:lang w:val="en-US"/>
        </w:rPr>
        <w:t xml:space="preserve"> (n=51)</w:t>
      </w:r>
      <w:r w:rsidR="006A66A8" w:rsidRPr="007F7825">
        <w:rPr>
          <w:rFonts w:cs="Arial"/>
          <w:sz w:val="24"/>
          <w:szCs w:val="24"/>
          <w:lang w:val="en-US"/>
        </w:rPr>
        <w:t>, as an</w:t>
      </w:r>
      <w:r w:rsidR="0037410E" w:rsidRPr="007F7825">
        <w:rPr>
          <w:rFonts w:cs="Arial"/>
          <w:sz w:val="24"/>
          <w:szCs w:val="24"/>
          <w:lang w:val="en-US"/>
        </w:rPr>
        <w:t xml:space="preserve"> alternative to systemic treatment</w:t>
      </w:r>
      <w:r w:rsidR="006A66A8" w:rsidRPr="007F7825">
        <w:rPr>
          <w:rFonts w:cs="Arial"/>
          <w:sz w:val="24"/>
          <w:szCs w:val="24"/>
          <w:lang w:val="en-US"/>
        </w:rPr>
        <w:t xml:space="preserve"> with sorafenib</w:t>
      </w:r>
      <w:r w:rsidR="004A4097">
        <w:rPr>
          <w:rFonts w:cs="Arial"/>
          <w:sz w:val="24"/>
          <w:szCs w:val="24"/>
          <w:lang w:val="en-US"/>
        </w:rPr>
        <w:t xml:space="preserve"> (n=50)</w:t>
      </w:r>
      <w:r w:rsidR="006A66A8" w:rsidRPr="007F7825">
        <w:rPr>
          <w:rFonts w:cs="Arial"/>
          <w:sz w:val="24"/>
          <w:szCs w:val="24"/>
          <w:lang w:val="en-US"/>
        </w:rPr>
        <w:t xml:space="preserve"> or after progression </w:t>
      </w:r>
      <w:r w:rsidR="0037410E" w:rsidRPr="007F7825">
        <w:rPr>
          <w:rFonts w:cs="Arial"/>
          <w:sz w:val="24"/>
          <w:szCs w:val="24"/>
          <w:lang w:val="en-US"/>
        </w:rPr>
        <w:t>during</w:t>
      </w:r>
      <w:r w:rsidR="006A66A8" w:rsidRPr="007F7825">
        <w:rPr>
          <w:rFonts w:cs="Arial"/>
          <w:sz w:val="24"/>
          <w:szCs w:val="24"/>
          <w:lang w:val="en-US"/>
        </w:rPr>
        <w:t xml:space="preserve"> sorafenib</w:t>
      </w:r>
      <w:r w:rsidR="004A4097">
        <w:rPr>
          <w:rFonts w:cs="Arial"/>
          <w:sz w:val="24"/>
          <w:szCs w:val="24"/>
          <w:lang w:val="en-US"/>
        </w:rPr>
        <w:t xml:space="preserve"> (n=21)</w:t>
      </w:r>
      <w:r w:rsidR="006A66A8" w:rsidRPr="007F7825">
        <w:rPr>
          <w:rFonts w:cs="Arial"/>
          <w:sz w:val="24"/>
          <w:szCs w:val="24"/>
          <w:lang w:val="en-US"/>
        </w:rPr>
        <w:t>.</w:t>
      </w:r>
    </w:p>
    <w:p w14:paraId="3D32EEB2" w14:textId="77777777" w:rsidR="004A4097" w:rsidRPr="009261FF" w:rsidRDefault="004A4097" w:rsidP="004A4097">
      <w:pPr>
        <w:tabs>
          <w:tab w:val="left" w:pos="1182"/>
        </w:tabs>
        <w:spacing w:line="480" w:lineRule="auto"/>
        <w:jc w:val="both"/>
        <w:rPr>
          <w:rFonts w:cs="Arial"/>
          <w:color w:val="FF0000"/>
          <w:sz w:val="18"/>
          <w:szCs w:val="18"/>
          <w:lang w:val="en-US"/>
        </w:rPr>
      </w:pPr>
      <w:r w:rsidRPr="009261FF">
        <w:rPr>
          <w:rFonts w:cs="Arial"/>
          <w:b/>
          <w:i/>
          <w:sz w:val="24"/>
          <w:szCs w:val="24"/>
          <w:lang w:val="en-US"/>
        </w:rPr>
        <w:t xml:space="preserve">SBRT techniques     </w:t>
      </w:r>
    </w:p>
    <w:p w14:paraId="65FBE7F9" w14:textId="77777777" w:rsidR="004A4097" w:rsidRPr="00687777" w:rsidRDefault="004A4097" w:rsidP="004A4097">
      <w:pPr>
        <w:autoSpaceDE w:val="0"/>
        <w:autoSpaceDN w:val="0"/>
        <w:adjustRightInd w:val="0"/>
        <w:spacing w:after="0" w:line="480" w:lineRule="auto"/>
        <w:jc w:val="both"/>
        <w:rPr>
          <w:sz w:val="24"/>
          <w:szCs w:val="24"/>
          <w:lang w:val="en-US"/>
        </w:rPr>
      </w:pPr>
      <w:r>
        <w:rPr>
          <w:sz w:val="24"/>
          <w:szCs w:val="24"/>
          <w:lang w:val="en-US"/>
        </w:rPr>
        <w:t xml:space="preserve">The analysis was performed on a multi-center SBRT database that was organized by the ‘Working Group Stereotactic Radiotherapy’ of the German Society of Radiation </w:t>
      </w:r>
      <w:r>
        <w:rPr>
          <w:sz w:val="24"/>
          <w:szCs w:val="24"/>
          <w:lang w:val="en-US"/>
        </w:rPr>
        <w:lastRenderedPageBreak/>
        <w:t xml:space="preserve">Oncology (DEGRO) on primary liver cancer. </w:t>
      </w:r>
      <w:r w:rsidRPr="00687777">
        <w:rPr>
          <w:sz w:val="24"/>
          <w:szCs w:val="24"/>
          <w:lang w:val="en-US"/>
        </w:rPr>
        <w:t>This database was designed as a SBRT patterns-of-care</w:t>
      </w:r>
      <w:r>
        <w:rPr>
          <w:sz w:val="24"/>
          <w:szCs w:val="24"/>
          <w:lang w:val="en-US"/>
        </w:rPr>
        <w:t xml:space="preserve"> </w:t>
      </w:r>
      <w:r w:rsidRPr="00687777">
        <w:rPr>
          <w:sz w:val="24"/>
          <w:szCs w:val="24"/>
          <w:lang w:val="en-US"/>
        </w:rPr>
        <w:t>database within the DEGRO initiative and headed by the DEGRO</w:t>
      </w:r>
    </w:p>
    <w:p w14:paraId="0BFF15F9" w14:textId="77777777" w:rsidR="004A4097" w:rsidRDefault="004A4097" w:rsidP="004A4097">
      <w:pPr>
        <w:autoSpaceDE w:val="0"/>
        <w:autoSpaceDN w:val="0"/>
        <w:adjustRightInd w:val="0"/>
        <w:spacing w:after="0" w:line="480" w:lineRule="auto"/>
        <w:jc w:val="both"/>
        <w:rPr>
          <w:sz w:val="24"/>
          <w:szCs w:val="24"/>
          <w:lang w:val="en-US"/>
        </w:rPr>
      </w:pPr>
      <w:r w:rsidRPr="00687777">
        <w:rPr>
          <w:sz w:val="24"/>
          <w:szCs w:val="24"/>
          <w:lang w:val="en-US"/>
        </w:rPr>
        <w:t>SBRT working group. A detailed description of patient, tumor and treatment characteristics was collected retrospectively and collated in a tabular data structure.</w:t>
      </w:r>
      <w:r w:rsidRPr="00593582">
        <w:rPr>
          <w:sz w:val="24"/>
          <w:szCs w:val="24"/>
          <w:lang w:val="en-US"/>
        </w:rPr>
        <w:t xml:space="preserve"> </w:t>
      </w:r>
    </w:p>
    <w:p w14:paraId="53FAB51E" w14:textId="77777777" w:rsidR="004A4097" w:rsidRDefault="004A4097" w:rsidP="004A4097">
      <w:pPr>
        <w:autoSpaceDE w:val="0"/>
        <w:autoSpaceDN w:val="0"/>
        <w:adjustRightInd w:val="0"/>
        <w:spacing w:after="0" w:line="480" w:lineRule="auto"/>
        <w:jc w:val="both"/>
        <w:rPr>
          <w:rFonts w:eastAsia="Arial Unicode MS" w:cs="Arial"/>
          <w:sz w:val="24"/>
          <w:szCs w:val="24"/>
          <w:shd w:val="clear" w:color="auto" w:fill="FFFFFF"/>
          <w:lang w:val="en-US"/>
        </w:rPr>
      </w:pPr>
      <w:r>
        <w:rPr>
          <w:sz w:val="24"/>
          <w:szCs w:val="24"/>
          <w:lang w:val="en-US"/>
        </w:rPr>
        <w:t xml:space="preserve">The median number of fractions was 7 (range 3-12). Dose was prescribed most frequently to the 80% isodose (median) with an inhomogenous dose profile as typical for SBRT treatments. Prescribed dose Dmean was available for all lesions. </w:t>
      </w:r>
      <w:r w:rsidR="00B14324">
        <w:rPr>
          <w:sz w:val="24"/>
          <w:szCs w:val="24"/>
          <w:lang w:val="en-US"/>
        </w:rPr>
        <w:t>Planning target volumes</w:t>
      </w:r>
      <w:r w:rsidR="00E4697F">
        <w:rPr>
          <w:sz w:val="24"/>
          <w:szCs w:val="24"/>
          <w:lang w:val="en-US"/>
        </w:rPr>
        <w:t xml:space="preserve"> </w:t>
      </w:r>
      <w:r>
        <w:rPr>
          <w:sz w:val="24"/>
          <w:szCs w:val="24"/>
          <w:lang w:val="en-US"/>
        </w:rPr>
        <w:t xml:space="preserve">(PTV) were chosen as surrogate tumor volumes which were available in all </w:t>
      </w:r>
      <w:r w:rsidRPr="009261FF">
        <w:rPr>
          <w:sz w:val="24"/>
          <w:szCs w:val="24"/>
          <w:lang w:val="en-US"/>
        </w:rPr>
        <w:t xml:space="preserve">cases. Dose algorithm for treatment planning was classified into pencil beam, and more advanced algorithms. Motion management was categorized into simple (free breathing, abdominal compression) versus advanced (breath-hold, gating, tracking). </w:t>
      </w:r>
      <w:r w:rsidRPr="009261FF">
        <w:rPr>
          <w:rFonts w:eastAsia="Arial Unicode MS" w:cs="Arial"/>
          <w:sz w:val="24"/>
          <w:szCs w:val="24"/>
          <w:shd w:val="clear" w:color="auto" w:fill="FFFFFF"/>
          <w:lang w:val="en-US"/>
        </w:rPr>
        <w:t xml:space="preserve">For lesions where dose constraints for the OARs could not be achieved due to small overlaps with the PTV, a simultaneous integrated protection (SIP) dose prescription was employed instead of reducing the dose to the entire PTV. The SIP approach is an intensity modulated radiotherapy (IMRT) technique described in detail elsewhere </w:t>
      </w:r>
      <w:r w:rsidRPr="009261FF">
        <w:rPr>
          <w:rFonts w:eastAsia="Arial Unicode MS" w:cs="Arial"/>
          <w:sz w:val="24"/>
          <w:szCs w:val="24"/>
          <w:shd w:val="clear" w:color="auto" w:fill="FFFFFF"/>
          <w:lang w:val="en-US"/>
        </w:rPr>
        <w:fldChar w:fldCharType="begin" w:fldLock="1"/>
      </w:r>
      <w:r w:rsidR="00FC6AC8">
        <w:rPr>
          <w:rFonts w:eastAsia="Arial Unicode MS" w:cs="Arial"/>
          <w:sz w:val="24"/>
          <w:szCs w:val="24"/>
          <w:shd w:val="clear" w:color="auto" w:fill="FFFFFF"/>
          <w:lang w:val="en-US"/>
        </w:rPr>
        <w:instrText>ADDIN CSL_CITATION { "citationItems" : [ { "id" : "ITEM-1", "itemData" : { "DOI" : "10.1007/s00066-016-1057-x", "ISSN" : "0179-7158", "author" : [ { "dropping-particle" : "", "family" : "Brunner", "given" : "Thomas B.", "non-dropping-particle" : "", "parse-names" : false, "suffix" : "" }, { "dropping-particle" : "", "family" : "Nestle", "given" : "Ursula", "non-dropping-particle" : "", "parse-names" : false, "suffix" : "" }, { "dropping-particle" : "", "family" : "Adebahr", "given" : "Sonja", "non-dropping-particle" : "", "parse-names" : false, "suffix" : "" }, { "dropping-particle" : "", "family" : "Gkika", "given" : "Eleni", "non-dropping-particle" : "", "parse-names" : false, "suffix" : "" }, { "dropping-particle" : "", "family" : "Wiehle", "given" : "Rolf", "non-dropping-particle" : "", "parse-names" : false, "suffix" : "" }, { "dropping-particle" : "", "family" : "Baltas", "given" : "Dimos", "non-dropping-particle" : "", "parse-names" : false, "suffix" : "" }, { "dropping-particle" : "", "family" : "Grosu", "given" : "Anca-Ligia", "non-dropping-particle" : "", "parse-names" : false, "suffix" : "" } ], "container-title" : "Strahlentherapie und Onkologie", "id" : "ITEM-1", "issue" : "12", "issued" : { "date-parts" : [ [ "2016" ] ] }, "page" : "886-894", "title" : "Simultaneous integrated protection", "type" : "article-journal", "volume" : "192" }, "uris" : [ "http://www.mendeley.com/documents/?uuid=89d18515-f170-4df5-a3fc-7ef1976fb435" ] } ], "mendeley" : { "formattedCitation" : "[19]", "plainTextFormattedCitation" : "[19]", "previouslyFormattedCitation" : "[19]" }, "properties" : {  }, "schema" : "https://github.com/citation-style-language/schema/raw/master/csl-citation.json" }</w:instrText>
      </w:r>
      <w:r w:rsidRPr="009261FF">
        <w:rPr>
          <w:rFonts w:eastAsia="Arial Unicode MS" w:cs="Arial"/>
          <w:sz w:val="24"/>
          <w:szCs w:val="24"/>
          <w:shd w:val="clear" w:color="auto" w:fill="FFFFFF"/>
          <w:lang w:val="en-US"/>
        </w:rPr>
        <w:fldChar w:fldCharType="separate"/>
      </w:r>
      <w:r w:rsidR="00FC6AC8" w:rsidRPr="00FC6AC8">
        <w:rPr>
          <w:rFonts w:eastAsia="Arial Unicode MS" w:cs="Arial"/>
          <w:noProof/>
          <w:sz w:val="24"/>
          <w:szCs w:val="24"/>
          <w:shd w:val="clear" w:color="auto" w:fill="FFFFFF"/>
          <w:lang w:val="en-US"/>
        </w:rPr>
        <w:t>[19]</w:t>
      </w:r>
      <w:r w:rsidRPr="009261FF">
        <w:rPr>
          <w:rFonts w:eastAsia="Arial Unicode MS" w:cs="Arial"/>
          <w:sz w:val="24"/>
          <w:szCs w:val="24"/>
          <w:shd w:val="clear" w:color="auto" w:fill="FFFFFF"/>
          <w:lang w:val="en-US"/>
        </w:rPr>
        <w:fldChar w:fldCharType="end"/>
      </w:r>
      <w:r w:rsidRPr="009261FF">
        <w:rPr>
          <w:rFonts w:eastAsia="Arial Unicode MS" w:cs="Arial"/>
          <w:sz w:val="24"/>
          <w:szCs w:val="24"/>
          <w:shd w:val="clear" w:color="auto" w:fill="FFFFFF"/>
          <w:lang w:val="en-US"/>
        </w:rPr>
        <w:t>.</w:t>
      </w:r>
      <w:r>
        <w:rPr>
          <w:rFonts w:eastAsia="Arial Unicode MS" w:cs="Arial"/>
          <w:sz w:val="24"/>
          <w:szCs w:val="24"/>
          <w:shd w:val="clear" w:color="auto" w:fill="FFFFFF"/>
          <w:lang w:val="en-US"/>
        </w:rPr>
        <w:t xml:space="preserve">   </w:t>
      </w:r>
    </w:p>
    <w:p w14:paraId="54031A90" w14:textId="77777777" w:rsidR="004A4097" w:rsidRDefault="004A4097" w:rsidP="004A4097">
      <w:pPr>
        <w:tabs>
          <w:tab w:val="left" w:pos="1182"/>
        </w:tabs>
        <w:spacing w:line="480" w:lineRule="auto"/>
        <w:jc w:val="both"/>
        <w:rPr>
          <w:rFonts w:cs="Arial"/>
          <w:b/>
          <w:i/>
          <w:sz w:val="24"/>
          <w:szCs w:val="24"/>
          <w:lang w:val="en-US"/>
        </w:rPr>
      </w:pPr>
      <w:r>
        <w:rPr>
          <w:rFonts w:cs="Arial"/>
          <w:b/>
          <w:i/>
          <w:sz w:val="24"/>
          <w:szCs w:val="24"/>
          <w:lang w:val="en-US"/>
        </w:rPr>
        <w:t>Sorafenib treatment and toxicity</w:t>
      </w:r>
    </w:p>
    <w:p w14:paraId="161ED7EA" w14:textId="77777777" w:rsidR="004A4097" w:rsidRPr="00761BF0" w:rsidRDefault="004A4097" w:rsidP="004A4097">
      <w:pPr>
        <w:tabs>
          <w:tab w:val="left" w:pos="1182"/>
        </w:tabs>
        <w:spacing w:line="480" w:lineRule="auto"/>
        <w:jc w:val="both"/>
        <w:rPr>
          <w:rFonts w:cs="Arial"/>
          <w:sz w:val="24"/>
          <w:szCs w:val="24"/>
          <w:lang w:val="en-US"/>
        </w:rPr>
      </w:pPr>
      <w:r>
        <w:rPr>
          <w:rFonts w:cs="Arial"/>
          <w:sz w:val="24"/>
          <w:szCs w:val="24"/>
          <w:lang w:val="en-US"/>
        </w:rPr>
        <w:t xml:space="preserve">Sorafenib treatment was initiated after multidisciplinary discussion as the first tumor therapy or in patients who had relapse, failure or ineligibility to surgical or locoregional treatments. After </w:t>
      </w:r>
      <w:r w:rsidR="004F4710">
        <w:rPr>
          <w:rFonts w:cs="Arial"/>
          <w:sz w:val="24"/>
          <w:szCs w:val="24"/>
          <w:lang w:val="en-US"/>
        </w:rPr>
        <w:t xml:space="preserve">initiation of </w:t>
      </w:r>
      <w:r>
        <w:rPr>
          <w:rFonts w:cs="Arial"/>
          <w:sz w:val="24"/>
          <w:szCs w:val="24"/>
          <w:lang w:val="en-US"/>
        </w:rPr>
        <w:t>sorafenib</w:t>
      </w:r>
      <w:r w:rsidR="004F4710">
        <w:rPr>
          <w:rFonts w:cs="Arial"/>
          <w:sz w:val="24"/>
          <w:szCs w:val="24"/>
          <w:lang w:val="en-US"/>
        </w:rPr>
        <w:t xml:space="preserve"> therapy,</w:t>
      </w:r>
      <w:r>
        <w:rPr>
          <w:rFonts w:cs="Arial"/>
          <w:sz w:val="24"/>
          <w:szCs w:val="24"/>
          <w:lang w:val="en-US"/>
        </w:rPr>
        <w:t xml:space="preserve"> patients were followed-up after 4 weeks and thereafter every 3 months. During follow-up</w:t>
      </w:r>
      <w:r w:rsidR="004F4710">
        <w:rPr>
          <w:rFonts w:cs="Arial"/>
          <w:sz w:val="24"/>
          <w:szCs w:val="24"/>
          <w:lang w:val="en-US"/>
        </w:rPr>
        <w:t>,</w:t>
      </w:r>
      <w:r>
        <w:rPr>
          <w:rFonts w:cs="Arial"/>
          <w:sz w:val="24"/>
          <w:szCs w:val="24"/>
          <w:lang w:val="en-US"/>
        </w:rPr>
        <w:t xml:space="preserve"> safety and tolerability was reviewed</w:t>
      </w:r>
      <w:r w:rsidRPr="00007970">
        <w:rPr>
          <w:rFonts w:cs="Arial"/>
          <w:sz w:val="24"/>
          <w:szCs w:val="24"/>
          <w:lang w:val="en-US"/>
        </w:rPr>
        <w:t>. The cause for</w:t>
      </w:r>
      <w:r>
        <w:rPr>
          <w:rFonts w:cs="Arial"/>
          <w:sz w:val="24"/>
          <w:szCs w:val="24"/>
          <w:lang w:val="en-US"/>
        </w:rPr>
        <w:t xml:space="preserve"> cessation of sorafenib treatment due to progressive disease, death, toxicity or patient preference was recorded. The occurrence of adverse events were recorded and graded according to the Common Toxicity Criteria Adverse Events (CTCAE, version 4.0). Treatment-associated toxicity </w:t>
      </w:r>
      <w:r>
        <w:rPr>
          <w:rFonts w:cs="Arial"/>
          <w:sz w:val="24"/>
          <w:szCs w:val="24"/>
          <w:lang w:val="en-US"/>
        </w:rPr>
        <w:lastRenderedPageBreak/>
        <w:t xml:space="preserve">was defined as occurrence of adverse events after the beginning of SBRT or sorafenib treatment. </w:t>
      </w:r>
    </w:p>
    <w:p w14:paraId="384DD811" w14:textId="77777777" w:rsidR="00922A2A" w:rsidRPr="00B61996" w:rsidRDefault="00922A2A" w:rsidP="00922A2A">
      <w:pPr>
        <w:tabs>
          <w:tab w:val="left" w:pos="1182"/>
        </w:tabs>
        <w:spacing w:line="480" w:lineRule="auto"/>
        <w:jc w:val="both"/>
        <w:rPr>
          <w:rFonts w:cs="Arial"/>
          <w:sz w:val="24"/>
          <w:szCs w:val="24"/>
          <w:lang w:val="en-US"/>
        </w:rPr>
      </w:pPr>
      <w:r w:rsidRPr="00925E3D">
        <w:rPr>
          <w:rFonts w:cs="Arial"/>
          <w:b/>
          <w:i/>
          <w:sz w:val="24"/>
          <w:szCs w:val="24"/>
          <w:lang w:val="en-US"/>
        </w:rPr>
        <w:t xml:space="preserve">Definitions </w:t>
      </w:r>
    </w:p>
    <w:p w14:paraId="1D66D686" w14:textId="77777777" w:rsidR="005540B6" w:rsidRPr="007F7825" w:rsidRDefault="003F4731" w:rsidP="005540B6">
      <w:pPr>
        <w:tabs>
          <w:tab w:val="left" w:pos="1182"/>
        </w:tabs>
        <w:spacing w:line="480" w:lineRule="auto"/>
        <w:jc w:val="both"/>
        <w:rPr>
          <w:rFonts w:cs="Arial"/>
          <w:sz w:val="24"/>
          <w:szCs w:val="24"/>
          <w:lang w:val="en-US"/>
        </w:rPr>
      </w:pPr>
      <w:r w:rsidRPr="007F7825">
        <w:rPr>
          <w:rFonts w:cs="Arial"/>
          <w:sz w:val="24"/>
          <w:szCs w:val="24"/>
          <w:lang w:val="en-US"/>
        </w:rPr>
        <w:t>HCC was diagnosed according to current guidelines by histopathology or computerized tomography (CT) scan or dynamic contrast-enhanced magnetic resonance imaging (MRI) showing the typical hallmark of HCC imaging (hypervascularity in the arterial phase with washout in the portal venous or delayed phases)</w:t>
      </w:r>
      <w:r w:rsidR="00E4697F">
        <w:rPr>
          <w:rFonts w:cs="Arial"/>
          <w:sz w:val="24"/>
          <w:szCs w:val="24"/>
          <w:lang w:val="en-US"/>
        </w:rPr>
        <w:t xml:space="preserve"> </w:t>
      </w:r>
      <w:r w:rsidR="00232E16">
        <w:rPr>
          <w:rFonts w:cs="Arial"/>
          <w:sz w:val="24"/>
          <w:szCs w:val="24"/>
          <w:lang w:val="en-US"/>
        </w:rPr>
        <w:fldChar w:fldCharType="begin" w:fldLock="1"/>
      </w:r>
      <w:r w:rsidR="00FC6AC8">
        <w:rPr>
          <w:rFonts w:cs="Arial"/>
          <w:sz w:val="24"/>
          <w:szCs w:val="24"/>
          <w:lang w:val="en-US"/>
        </w:rPr>
        <w:instrText>ADDIN CSL_CITATION { "citationItems" : [ { "id" : "ITEM-1", "itemData" : { "DOI" : "10.1016/S0140-6736(11)61347-0", "ISSN" : "01406736", "PMID" : "22353262", "abstract" : "Hepatocellular carcinoma is the sixth most prevalent cancer and the third most frequent cause of cancer-related death. Patients with cirrhosis are at highest risk of developing this malignant disease, and ultrasonography every 6 months is recommended. Surveillance with ultrasonography allows diagnosis at early stages when the tumour might be curable by resection, liver transplantation, or ablation, and 5-year survival higher than 50 can be achieved. Patients with small solitary tumours and very well preserved liver function are the best candidates for surgical resection. Liver transplantation is most beneficial for individuals who are not good candidates for resection, especially those within Milano criteria (solitary tumour \u22645 cm and up to three nodules \u22643 cm). Donor shortage greatly limits its applicability. Percutaneous ablation is the most frequently used treatment but its effectiveness is limited by tumour size and localisation. In asymptomatic patients with multifocal disease without vascular invasion or extrahepatic spread not amenable to curative treatments, chemoembolisation can provide survival benefit. Findings of randomised trials of sorafenib have shown survival benefits for individuals with advanced hepatocellular carcinoma, suggesting that molecular-targeted therapies could be effective in this chemoresistant cancer. Research is active in the area of pathogenesis and treatment of hepatocellular carcinoma. \u00a9 2012 Elsevier Ltd.", "author" : [ { "dropping-particle" : "", "family" : "Forner", "given" : "Alejandro", "non-dropping-particle" : "", "parse-names" : false, "suffix" : "" }, { "dropping-particle" : "", "family" : "Llovet", "given" : "Josep M.", "non-dropping-particle" : "", "parse-names" : false, "suffix" : "" }, { "dropping-particle" : "", "family" : "Bruix", "given" : "Jordi", "non-dropping-particle" : "", "parse-names" : false, "suffix" : "" } ], "container-title" : "The Lancet", "id" : "ITEM-1", "issue" : "9822", "issued" : { "date-parts" : [ [ "2012" ] ] }, "page" : "1245-1255", "publisher" : "Elsevier Ltd", "title" : "Hepatocellular carcinoma", "type" : "article-journal", "volume" : "379" }, "uris" : [ "http://www.mendeley.com/documents/?uuid=9027faf6-3bb3-4f8b-9723-227401d0c702" ] }, { "id" : "ITEM-2", "itemData" : { "DOI" : "10.1002/hep.24199", "ISSN" : "1527-3350 (Electronic)", "PMID" : "21374666", "author" : [ { "dropping-particle" : "", "family" : "Bruix", "given" : "Jordi", "non-dropping-particle" : "", "parse-names" : false, "suffix" : "" }, { "dropping-particle" : "", "family" : "Sherman", "given" : "Morris", "non-dropping-particle" : "", "parse-names" : false, "suffix" : "" } ], "container-title" : "Hepatology (Baltimore, Md.)", "id" : "ITEM-2", "issue" : "3", "issued" : { "date-parts" : [ [ "2011", "3" ] ] }, "language" : "eng", "page" : "1020-1022", "publisher-place" : "United States", "title" : "Management of hepatocellular carcinoma: an update.", "type" : "article-journal", "volume" : "53" }, "uris" : [ "http://www.mendeley.com/documents/?uuid=8ca01e75-9bbf-47a1-be10-9486048c05d2" ] }, { "id" : "ITEM-3", "itemData" : { "DOI" : "10.1016/j.jhep.2011.12.001", "ISSN" : "1600-0641 (Electronic)", "PMID" : "22424438", "container-title" : "Journal of hepatology", "id" : "ITEM-3", "issue" : "4", "issued" : { "date-parts" : [ [ "2012", "4" ] ] }, "language" : "eng", "page" : "908-943", "publisher-place" : "Netherlands", "title" : "EASL-EORTC clinical practice guidelines: management of hepatocellular carcinoma.", "type" : "article-journal", "volume" : "56" }, "uris" : [ "http://www.mendeley.com/documents/?uuid=424d43c3-aae9-4b74-8e7b-5ec96aa68f80" ] } ], "mendeley" : { "formattedCitation" : "[5,20,21]", "plainTextFormattedCitation" : "[5,20,21]", "previouslyFormattedCitation" : "[5,20,21]" }, "properties" : {  }, "schema" : "https://github.com/citation-style-language/schema/raw/master/csl-citation.json" }</w:instrText>
      </w:r>
      <w:r w:rsidR="00232E16">
        <w:rPr>
          <w:rFonts w:cs="Arial"/>
          <w:sz w:val="24"/>
          <w:szCs w:val="24"/>
          <w:lang w:val="en-US"/>
        </w:rPr>
        <w:fldChar w:fldCharType="separate"/>
      </w:r>
      <w:r w:rsidR="00FC6AC8" w:rsidRPr="00FC6AC8">
        <w:rPr>
          <w:rFonts w:cs="Arial"/>
          <w:noProof/>
          <w:sz w:val="24"/>
          <w:szCs w:val="24"/>
          <w:lang w:val="en-US"/>
        </w:rPr>
        <w:t>[5,20,21]</w:t>
      </w:r>
      <w:r w:rsidR="00232E16">
        <w:rPr>
          <w:rFonts w:cs="Arial"/>
          <w:sz w:val="24"/>
          <w:szCs w:val="24"/>
          <w:lang w:val="en-US"/>
        </w:rPr>
        <w:fldChar w:fldCharType="end"/>
      </w:r>
      <w:r w:rsidRPr="007F7825">
        <w:rPr>
          <w:rFonts w:cs="Arial"/>
          <w:sz w:val="24"/>
          <w:szCs w:val="24"/>
          <w:lang w:val="en-US"/>
        </w:rPr>
        <w:t>. The number of focal hepatic lesions, the maximum tumor diameter and portal vein thrombosis and its extent were detected during contrast enhancement. The numbers of intrahepatic lesions are summarized in oligonodular (one or two intrahepatic lesions) and in multifocal HCC (three or more lesions or diffuse HCC growth pattern).</w:t>
      </w:r>
      <w:r w:rsidR="004E1036" w:rsidRPr="007F7825">
        <w:rPr>
          <w:rFonts w:cs="Arial"/>
          <w:sz w:val="24"/>
          <w:szCs w:val="24"/>
          <w:lang w:val="en-US"/>
        </w:rPr>
        <w:t xml:space="preserve"> </w:t>
      </w:r>
      <w:r w:rsidR="005540B6" w:rsidRPr="007F7825">
        <w:rPr>
          <w:rFonts w:cs="Arial"/>
          <w:sz w:val="24"/>
          <w:szCs w:val="24"/>
          <w:lang w:val="en-US"/>
        </w:rPr>
        <w:t xml:space="preserve">HCC was staged according to the Barcelona Clinic Liver Cancer (BCLC) classification. </w:t>
      </w:r>
      <w:r w:rsidR="00761BF0">
        <w:rPr>
          <w:rFonts w:cs="Arial"/>
          <w:sz w:val="24"/>
          <w:szCs w:val="24"/>
          <w:lang w:val="en-US"/>
        </w:rPr>
        <w:t xml:space="preserve">Liver function was assessed using the Child score. </w:t>
      </w:r>
    </w:p>
    <w:p w14:paraId="0D409E10" w14:textId="77777777" w:rsidR="006F4664" w:rsidRPr="00761BF0" w:rsidRDefault="00AE240B" w:rsidP="000E53F8">
      <w:pPr>
        <w:tabs>
          <w:tab w:val="left" w:pos="1182"/>
        </w:tabs>
        <w:spacing w:line="480" w:lineRule="auto"/>
        <w:jc w:val="both"/>
        <w:rPr>
          <w:rFonts w:cs="Arial"/>
          <w:b/>
          <w:i/>
          <w:sz w:val="24"/>
          <w:szCs w:val="24"/>
          <w:lang w:val="en-US"/>
        </w:rPr>
      </w:pPr>
      <w:r>
        <w:rPr>
          <w:rFonts w:cs="Arial"/>
          <w:b/>
          <w:i/>
          <w:sz w:val="24"/>
          <w:szCs w:val="24"/>
          <w:lang w:val="en-US"/>
        </w:rPr>
        <w:t>E</w:t>
      </w:r>
      <w:r w:rsidR="00990796" w:rsidRPr="00761BF0">
        <w:rPr>
          <w:rFonts w:cs="Arial"/>
          <w:b/>
          <w:i/>
          <w:sz w:val="24"/>
          <w:szCs w:val="24"/>
          <w:lang w:val="en-US"/>
        </w:rPr>
        <w:t>thics approval</w:t>
      </w:r>
    </w:p>
    <w:p w14:paraId="02FC74F4" w14:textId="77777777" w:rsidR="00990796" w:rsidRPr="00990796" w:rsidRDefault="00990796" w:rsidP="000E53F8">
      <w:pPr>
        <w:tabs>
          <w:tab w:val="left" w:pos="1182"/>
        </w:tabs>
        <w:spacing w:line="480" w:lineRule="auto"/>
        <w:jc w:val="both"/>
        <w:rPr>
          <w:rFonts w:cs="Arial"/>
          <w:sz w:val="24"/>
          <w:szCs w:val="24"/>
          <w:lang w:val="en-US"/>
        </w:rPr>
      </w:pPr>
      <w:r>
        <w:rPr>
          <w:rFonts w:cs="Arial"/>
          <w:sz w:val="24"/>
          <w:szCs w:val="24"/>
          <w:lang w:val="en-US"/>
        </w:rPr>
        <w:t xml:space="preserve">All patients provided written </w:t>
      </w:r>
      <w:r w:rsidR="00853416">
        <w:rPr>
          <w:rFonts w:cs="Arial"/>
          <w:sz w:val="24"/>
          <w:szCs w:val="24"/>
          <w:lang w:val="en-US"/>
        </w:rPr>
        <w:t>inform</w:t>
      </w:r>
      <w:r>
        <w:rPr>
          <w:rFonts w:cs="Arial"/>
          <w:sz w:val="24"/>
          <w:szCs w:val="24"/>
          <w:lang w:val="en-US"/>
        </w:rPr>
        <w:t xml:space="preserve"> consent for </w:t>
      </w:r>
      <w:r w:rsidR="001060E6">
        <w:rPr>
          <w:rFonts w:cs="Arial"/>
          <w:sz w:val="24"/>
          <w:szCs w:val="24"/>
          <w:lang w:val="en-US"/>
        </w:rPr>
        <w:t>sorafenib treatment</w:t>
      </w:r>
      <w:r>
        <w:rPr>
          <w:rFonts w:cs="Arial"/>
          <w:sz w:val="24"/>
          <w:szCs w:val="24"/>
          <w:lang w:val="en-US"/>
        </w:rPr>
        <w:t xml:space="preserve"> or SBRT and for data collection. This study was performed in accordance with the Declaration of Helsinki and it has been approved by the local ethics committee of the University Hospital of Freiburg (no</w:t>
      </w:r>
      <w:r w:rsidRPr="007F7825">
        <w:rPr>
          <w:rFonts w:cs="Arial"/>
          <w:sz w:val="24"/>
          <w:szCs w:val="24"/>
          <w:lang w:val="en-US"/>
        </w:rPr>
        <w:t xml:space="preserve">. EK </w:t>
      </w:r>
      <w:r w:rsidR="004A4097">
        <w:rPr>
          <w:rFonts w:cs="Arial"/>
          <w:sz w:val="24"/>
          <w:szCs w:val="24"/>
          <w:lang w:val="en-US"/>
        </w:rPr>
        <w:t>595/17</w:t>
      </w:r>
      <w:r>
        <w:rPr>
          <w:rFonts w:cs="Arial"/>
          <w:sz w:val="24"/>
          <w:szCs w:val="24"/>
          <w:lang w:val="en-US"/>
        </w:rPr>
        <w:t>)</w:t>
      </w:r>
    </w:p>
    <w:p w14:paraId="2A1F5D67" w14:textId="77777777" w:rsidR="000E53F8" w:rsidRPr="00C66585" w:rsidRDefault="000E53F8" w:rsidP="000E53F8">
      <w:pPr>
        <w:tabs>
          <w:tab w:val="left" w:pos="1182"/>
        </w:tabs>
        <w:spacing w:line="480" w:lineRule="auto"/>
        <w:jc w:val="both"/>
        <w:rPr>
          <w:rFonts w:cs="Arial"/>
          <w:b/>
          <w:i/>
          <w:sz w:val="24"/>
          <w:szCs w:val="24"/>
          <w:lang w:val="en-US"/>
        </w:rPr>
      </w:pPr>
      <w:r w:rsidRPr="00C66585">
        <w:rPr>
          <w:rFonts w:cs="Arial"/>
          <w:b/>
          <w:i/>
          <w:sz w:val="24"/>
          <w:szCs w:val="24"/>
          <w:lang w:val="en-US"/>
        </w:rPr>
        <w:t>Statistical analyses</w:t>
      </w:r>
    </w:p>
    <w:p w14:paraId="104F0B12" w14:textId="77777777" w:rsidR="004E1036" w:rsidRPr="001060E6" w:rsidRDefault="00DD3E44" w:rsidP="00DD3E44">
      <w:pPr>
        <w:autoSpaceDE w:val="0"/>
        <w:autoSpaceDN w:val="0"/>
        <w:adjustRightInd w:val="0"/>
        <w:spacing w:line="480" w:lineRule="auto"/>
        <w:jc w:val="both"/>
        <w:rPr>
          <w:rFonts w:cs="Arial"/>
          <w:sz w:val="24"/>
          <w:szCs w:val="24"/>
          <w:lang w:val="en-GB"/>
        </w:rPr>
      </w:pPr>
      <w:r w:rsidRPr="001060E6">
        <w:rPr>
          <w:rFonts w:cs="Arial"/>
          <w:sz w:val="24"/>
          <w:szCs w:val="24"/>
          <w:lang w:val="en-US"/>
        </w:rPr>
        <w:t xml:space="preserve">Baseline characteristics of the patients were analyzed </w:t>
      </w:r>
      <w:r w:rsidR="0008188F" w:rsidRPr="001060E6">
        <w:rPr>
          <w:rFonts w:cs="Arial"/>
          <w:sz w:val="24"/>
          <w:szCs w:val="24"/>
          <w:lang w:val="en-US"/>
        </w:rPr>
        <w:t xml:space="preserve">before </w:t>
      </w:r>
      <w:r w:rsidR="001060E6" w:rsidRPr="001060E6">
        <w:rPr>
          <w:rFonts w:cs="Arial"/>
          <w:sz w:val="24"/>
          <w:szCs w:val="24"/>
          <w:lang w:val="en-US"/>
        </w:rPr>
        <w:t xml:space="preserve">sorafenib treatment </w:t>
      </w:r>
      <w:r w:rsidR="004E1036" w:rsidRPr="001060E6">
        <w:rPr>
          <w:rFonts w:cs="Arial"/>
          <w:sz w:val="24"/>
          <w:szCs w:val="24"/>
          <w:lang w:val="en-US"/>
        </w:rPr>
        <w:t>or SBRT</w:t>
      </w:r>
      <w:r w:rsidRPr="001060E6">
        <w:rPr>
          <w:rFonts w:cs="Arial"/>
          <w:sz w:val="24"/>
          <w:szCs w:val="24"/>
          <w:lang w:val="en-US"/>
        </w:rPr>
        <w:t xml:space="preserve">. </w:t>
      </w:r>
      <w:r w:rsidR="0008188F" w:rsidRPr="001060E6">
        <w:rPr>
          <w:rFonts w:cs="Arial"/>
          <w:sz w:val="24"/>
          <w:szCs w:val="24"/>
          <w:lang w:val="en-US"/>
        </w:rPr>
        <w:t xml:space="preserve">The primary outcome in our analysis </w:t>
      </w:r>
      <w:r w:rsidR="001060E6">
        <w:rPr>
          <w:rFonts w:cs="Arial"/>
          <w:sz w:val="24"/>
          <w:szCs w:val="24"/>
          <w:lang w:val="en-US"/>
        </w:rPr>
        <w:t xml:space="preserve">was </w:t>
      </w:r>
      <w:r w:rsidR="009E01A4" w:rsidRPr="001060E6">
        <w:rPr>
          <w:rFonts w:cs="Arial"/>
          <w:sz w:val="24"/>
          <w:szCs w:val="24"/>
          <w:lang w:val="en-US"/>
        </w:rPr>
        <w:t>overall survival (OS</w:t>
      </w:r>
      <w:r w:rsidR="001060E6">
        <w:rPr>
          <w:rFonts w:cs="Arial"/>
          <w:sz w:val="24"/>
          <w:szCs w:val="24"/>
          <w:lang w:val="en-US"/>
        </w:rPr>
        <w:t>)</w:t>
      </w:r>
      <w:r w:rsidR="009E01A4" w:rsidRPr="001060E6">
        <w:rPr>
          <w:rFonts w:cs="Arial"/>
          <w:sz w:val="24"/>
          <w:szCs w:val="24"/>
          <w:lang w:val="en-US"/>
        </w:rPr>
        <w:t xml:space="preserve"> and </w:t>
      </w:r>
      <w:r w:rsidR="001060E6">
        <w:rPr>
          <w:rFonts w:cs="Arial"/>
          <w:sz w:val="24"/>
          <w:szCs w:val="24"/>
          <w:lang w:val="en-US"/>
        </w:rPr>
        <w:t xml:space="preserve">treatment-associated </w:t>
      </w:r>
      <w:r w:rsidR="009E01A4" w:rsidRPr="001060E6">
        <w:rPr>
          <w:rFonts w:cs="Arial"/>
          <w:sz w:val="24"/>
          <w:szCs w:val="24"/>
          <w:lang w:val="en-US"/>
        </w:rPr>
        <w:t>toxicity</w:t>
      </w:r>
      <w:r w:rsidR="001060E6">
        <w:rPr>
          <w:rFonts w:cs="Arial"/>
          <w:sz w:val="24"/>
          <w:szCs w:val="24"/>
          <w:lang w:val="en-US"/>
        </w:rPr>
        <w:t xml:space="preserve"> </w:t>
      </w:r>
      <w:r w:rsidR="000E474A">
        <w:rPr>
          <w:rFonts w:cs="Arial"/>
          <w:sz w:val="24"/>
          <w:szCs w:val="24"/>
          <w:lang w:val="en-US"/>
        </w:rPr>
        <w:t>was defined as</w:t>
      </w:r>
      <w:r w:rsidR="001060E6">
        <w:rPr>
          <w:rFonts w:cs="Arial"/>
          <w:sz w:val="24"/>
          <w:szCs w:val="24"/>
          <w:lang w:val="en-US"/>
        </w:rPr>
        <w:t xml:space="preserve"> the secondary endpoint</w:t>
      </w:r>
      <w:r w:rsidR="0008188F" w:rsidRPr="001060E6">
        <w:rPr>
          <w:rFonts w:cs="Arial"/>
          <w:sz w:val="24"/>
          <w:szCs w:val="24"/>
          <w:lang w:val="en-US"/>
        </w:rPr>
        <w:t xml:space="preserve">. </w:t>
      </w:r>
      <w:r w:rsidRPr="001060E6">
        <w:rPr>
          <w:rFonts w:eastAsia="Calibri" w:cs="Arial"/>
          <w:sz w:val="24"/>
          <w:szCs w:val="24"/>
          <w:lang w:val="en-GB"/>
        </w:rPr>
        <w:t xml:space="preserve">Continuous variables are expressed as </w:t>
      </w:r>
      <w:r w:rsidR="004E1036" w:rsidRPr="001060E6">
        <w:rPr>
          <w:rFonts w:cs="Arial"/>
          <w:sz w:val="24"/>
          <w:szCs w:val="24"/>
          <w:lang w:val="en-GB"/>
        </w:rPr>
        <w:t>mean with standard deviation</w:t>
      </w:r>
      <w:r w:rsidRPr="001060E6">
        <w:rPr>
          <w:rFonts w:eastAsia="Calibri" w:cs="Arial"/>
          <w:sz w:val="24"/>
          <w:szCs w:val="24"/>
          <w:lang w:val="en-GB"/>
        </w:rPr>
        <w:t xml:space="preserve"> whereas categori</w:t>
      </w:r>
      <w:r w:rsidR="00853416" w:rsidRPr="001060E6">
        <w:rPr>
          <w:rFonts w:eastAsia="Calibri" w:cs="Arial"/>
          <w:sz w:val="24"/>
          <w:szCs w:val="24"/>
          <w:lang w:val="en-GB"/>
        </w:rPr>
        <w:t>c</w:t>
      </w:r>
      <w:r w:rsidRPr="001060E6">
        <w:rPr>
          <w:rFonts w:eastAsia="Calibri" w:cs="Arial"/>
          <w:sz w:val="24"/>
          <w:szCs w:val="24"/>
          <w:lang w:val="en-GB"/>
        </w:rPr>
        <w:t xml:space="preserve">al variables are reported as frequencies and percentages unless stated otherwise. </w:t>
      </w:r>
      <w:r w:rsidRPr="001060E6">
        <w:rPr>
          <w:rFonts w:cs="Arial"/>
          <w:sz w:val="24"/>
          <w:szCs w:val="24"/>
          <w:lang w:val="en-GB"/>
        </w:rPr>
        <w:t xml:space="preserve">For continuous </w:t>
      </w:r>
      <w:r w:rsidRPr="001060E6">
        <w:rPr>
          <w:rFonts w:cs="Arial"/>
          <w:sz w:val="24"/>
          <w:szCs w:val="24"/>
          <w:lang w:val="en-GB"/>
        </w:rPr>
        <w:lastRenderedPageBreak/>
        <w:t xml:space="preserve">variables, </w:t>
      </w:r>
      <w:r w:rsidR="000624BD" w:rsidRPr="001060E6">
        <w:rPr>
          <w:rFonts w:cs="Arial"/>
          <w:sz w:val="24"/>
          <w:szCs w:val="24"/>
          <w:lang w:val="en-US"/>
        </w:rPr>
        <w:t>differences</w:t>
      </w:r>
      <w:r w:rsidRPr="001060E6">
        <w:rPr>
          <w:rFonts w:cs="Arial"/>
          <w:sz w:val="24"/>
          <w:szCs w:val="24"/>
          <w:lang w:val="en-US"/>
        </w:rPr>
        <w:t xml:space="preserve"> </w:t>
      </w:r>
      <w:r w:rsidRPr="001060E6">
        <w:rPr>
          <w:rFonts w:cs="Arial"/>
          <w:sz w:val="24"/>
          <w:szCs w:val="24"/>
          <w:lang w:val="en-GB"/>
        </w:rPr>
        <w:t xml:space="preserve">were determined using </w:t>
      </w:r>
      <w:r w:rsidRPr="001060E6">
        <w:rPr>
          <w:rFonts w:eastAsia="Calibri" w:cs="Arial"/>
          <w:sz w:val="24"/>
          <w:szCs w:val="24"/>
          <w:lang w:val="en-US"/>
        </w:rPr>
        <w:t xml:space="preserve">Wilcoxon-Mann-Whitney and Kruskal-Wallis tests as there was no Gaussian distribution of the data confirmed by the Kolmogorov-Smirnov test. </w:t>
      </w:r>
      <w:r w:rsidRPr="001060E6">
        <w:rPr>
          <w:rFonts w:cs="Arial"/>
          <w:sz w:val="24"/>
          <w:szCs w:val="24"/>
          <w:lang w:val="en-GB"/>
        </w:rPr>
        <w:t>χ</w:t>
      </w:r>
      <w:r w:rsidRPr="001060E6">
        <w:rPr>
          <w:rFonts w:cs="Arial"/>
          <w:sz w:val="24"/>
          <w:szCs w:val="24"/>
          <w:vertAlign w:val="superscript"/>
          <w:lang w:val="en-GB"/>
        </w:rPr>
        <w:t>2</w:t>
      </w:r>
      <w:r w:rsidRPr="001060E6">
        <w:rPr>
          <w:rFonts w:cs="Arial"/>
          <w:sz w:val="24"/>
          <w:szCs w:val="24"/>
          <w:lang w:val="en-GB"/>
        </w:rPr>
        <w:t xml:space="preserve"> tests or Fisher’s Exact tests were used for </w:t>
      </w:r>
      <w:r w:rsidR="00853416" w:rsidRPr="001060E6">
        <w:rPr>
          <w:rFonts w:cs="Arial"/>
          <w:sz w:val="24"/>
          <w:szCs w:val="24"/>
          <w:lang w:val="en-GB"/>
        </w:rPr>
        <w:t>categorical</w:t>
      </w:r>
      <w:r w:rsidRPr="001060E6">
        <w:rPr>
          <w:rFonts w:cs="Arial"/>
          <w:sz w:val="24"/>
          <w:szCs w:val="24"/>
          <w:lang w:val="en-GB"/>
        </w:rPr>
        <w:t xml:space="preserve"> variables. P values &lt; 0.05 were considered being significant.</w:t>
      </w:r>
    </w:p>
    <w:p w14:paraId="43686311" w14:textId="77777777" w:rsidR="001060E6" w:rsidRDefault="00DD3E44" w:rsidP="00DD3E44">
      <w:pPr>
        <w:autoSpaceDE w:val="0"/>
        <w:autoSpaceDN w:val="0"/>
        <w:adjustRightInd w:val="0"/>
        <w:spacing w:line="480" w:lineRule="auto"/>
        <w:jc w:val="both"/>
        <w:rPr>
          <w:rFonts w:cs="Arial"/>
          <w:sz w:val="24"/>
          <w:szCs w:val="24"/>
          <w:lang w:val="en-GB"/>
        </w:rPr>
      </w:pPr>
      <w:r w:rsidRPr="001060E6">
        <w:rPr>
          <w:rFonts w:cs="Arial"/>
          <w:sz w:val="24"/>
          <w:szCs w:val="24"/>
          <w:lang w:val="en-GB"/>
        </w:rPr>
        <w:t xml:space="preserve">Overall survival was </w:t>
      </w:r>
      <w:r w:rsidR="006C2853" w:rsidRPr="001060E6">
        <w:rPr>
          <w:rFonts w:cs="Arial"/>
          <w:sz w:val="24"/>
          <w:szCs w:val="24"/>
          <w:lang w:val="en-GB"/>
        </w:rPr>
        <w:t>defined</w:t>
      </w:r>
      <w:r w:rsidRPr="001060E6">
        <w:rPr>
          <w:rFonts w:cs="Arial"/>
          <w:sz w:val="24"/>
          <w:szCs w:val="24"/>
          <w:lang w:val="en-GB"/>
        </w:rPr>
        <w:t xml:space="preserve"> </w:t>
      </w:r>
      <w:r w:rsidR="001060E6">
        <w:rPr>
          <w:rFonts w:cs="Arial"/>
          <w:sz w:val="24"/>
          <w:szCs w:val="24"/>
          <w:lang w:val="en-GB"/>
        </w:rPr>
        <w:t>from the day of initiation of sorafenib treatment</w:t>
      </w:r>
      <w:r w:rsidR="004E1036" w:rsidRPr="001060E6">
        <w:rPr>
          <w:rFonts w:cs="Arial"/>
          <w:sz w:val="24"/>
          <w:szCs w:val="24"/>
          <w:lang w:val="en-GB"/>
        </w:rPr>
        <w:t xml:space="preserve"> or SBRT un</w:t>
      </w:r>
      <w:r w:rsidR="00117982" w:rsidRPr="001060E6">
        <w:rPr>
          <w:rFonts w:cs="Arial"/>
          <w:sz w:val="24"/>
          <w:szCs w:val="24"/>
          <w:lang w:val="en-GB"/>
        </w:rPr>
        <w:t>til death or last follow-up.</w:t>
      </w:r>
      <w:r w:rsidR="003B2A0B" w:rsidRPr="001060E6">
        <w:rPr>
          <w:rFonts w:cs="Arial"/>
          <w:sz w:val="24"/>
          <w:szCs w:val="24"/>
          <w:lang w:val="en-GB"/>
        </w:rPr>
        <w:t xml:space="preserve"> At the end of the observation period (01/0</w:t>
      </w:r>
      <w:r w:rsidR="001060E6">
        <w:rPr>
          <w:rFonts w:cs="Arial"/>
          <w:sz w:val="24"/>
          <w:szCs w:val="24"/>
          <w:lang w:val="en-GB"/>
        </w:rPr>
        <w:t>9</w:t>
      </w:r>
      <w:r w:rsidR="003B2A0B" w:rsidRPr="001060E6">
        <w:rPr>
          <w:rFonts w:cs="Arial"/>
          <w:sz w:val="24"/>
          <w:szCs w:val="24"/>
          <w:lang w:val="en-GB"/>
        </w:rPr>
        <w:t xml:space="preserve">/2017) </w:t>
      </w:r>
      <w:r w:rsidR="00B670D4">
        <w:rPr>
          <w:rFonts w:cs="Arial"/>
          <w:sz w:val="24"/>
          <w:szCs w:val="24"/>
          <w:lang w:val="en-GB"/>
        </w:rPr>
        <w:t>814</w:t>
      </w:r>
      <w:r w:rsidR="001060E6">
        <w:rPr>
          <w:rFonts w:cs="Arial"/>
          <w:sz w:val="24"/>
          <w:szCs w:val="24"/>
          <w:lang w:val="en-GB"/>
        </w:rPr>
        <w:t xml:space="preserve"> </w:t>
      </w:r>
      <w:r w:rsidR="003B2A0B" w:rsidRPr="001060E6">
        <w:rPr>
          <w:rFonts w:cs="Arial"/>
          <w:sz w:val="24"/>
          <w:szCs w:val="24"/>
          <w:lang w:val="en-GB"/>
        </w:rPr>
        <w:t>patients</w:t>
      </w:r>
      <w:r w:rsidR="00D546EE" w:rsidRPr="001060E6">
        <w:rPr>
          <w:rFonts w:cs="Arial"/>
          <w:sz w:val="24"/>
          <w:szCs w:val="24"/>
          <w:lang w:val="en-GB"/>
        </w:rPr>
        <w:t xml:space="preserve"> (</w:t>
      </w:r>
      <w:r w:rsidR="00B670D4">
        <w:rPr>
          <w:rFonts w:cs="Arial"/>
          <w:sz w:val="24"/>
          <w:szCs w:val="24"/>
          <w:lang w:val="en-GB"/>
        </w:rPr>
        <w:t>78.6</w:t>
      </w:r>
      <w:r w:rsidR="00D546EE" w:rsidRPr="001060E6">
        <w:rPr>
          <w:rFonts w:cs="Arial"/>
          <w:sz w:val="24"/>
          <w:szCs w:val="24"/>
          <w:lang w:val="en-GB"/>
        </w:rPr>
        <w:t xml:space="preserve">%) in the whole cohort and </w:t>
      </w:r>
      <w:r w:rsidR="00B670D4">
        <w:rPr>
          <w:rFonts w:cs="Arial"/>
          <w:sz w:val="24"/>
          <w:szCs w:val="24"/>
          <w:lang w:val="en-GB"/>
        </w:rPr>
        <w:t>128</w:t>
      </w:r>
      <w:r w:rsidR="00D546EE" w:rsidRPr="001060E6">
        <w:rPr>
          <w:rFonts w:cs="Arial"/>
          <w:sz w:val="24"/>
          <w:szCs w:val="24"/>
          <w:lang w:val="en-GB"/>
        </w:rPr>
        <w:t xml:space="preserve"> patients (</w:t>
      </w:r>
      <w:r w:rsidR="00B670D4">
        <w:rPr>
          <w:rFonts w:cs="Arial"/>
          <w:sz w:val="24"/>
          <w:szCs w:val="24"/>
          <w:lang w:val="en-GB"/>
        </w:rPr>
        <w:t>67.4</w:t>
      </w:r>
      <w:r w:rsidR="00D546EE" w:rsidRPr="001060E6">
        <w:rPr>
          <w:rFonts w:cs="Arial"/>
          <w:sz w:val="24"/>
          <w:szCs w:val="24"/>
          <w:lang w:val="en-GB"/>
        </w:rPr>
        <w:t>%) in the matched cohort</w:t>
      </w:r>
      <w:r w:rsidR="003B2A0B" w:rsidRPr="001060E6">
        <w:rPr>
          <w:rFonts w:cs="Arial"/>
          <w:sz w:val="24"/>
          <w:szCs w:val="24"/>
          <w:lang w:val="en-GB"/>
        </w:rPr>
        <w:t xml:space="preserve"> had died.</w:t>
      </w:r>
      <w:r w:rsidR="00117982" w:rsidRPr="001060E6">
        <w:rPr>
          <w:rFonts w:cs="Arial"/>
          <w:sz w:val="24"/>
          <w:szCs w:val="24"/>
          <w:lang w:val="en-GB"/>
        </w:rPr>
        <w:t xml:space="preserve"> </w:t>
      </w:r>
      <w:r w:rsidR="004E1036" w:rsidRPr="001060E6">
        <w:rPr>
          <w:rFonts w:cs="Arial"/>
          <w:sz w:val="24"/>
          <w:szCs w:val="24"/>
          <w:lang w:val="en-GB"/>
        </w:rPr>
        <w:t>Survival w</w:t>
      </w:r>
      <w:r w:rsidR="006C2853" w:rsidRPr="001060E6">
        <w:rPr>
          <w:rFonts w:cs="Arial"/>
          <w:sz w:val="24"/>
          <w:szCs w:val="24"/>
          <w:lang w:val="en-GB"/>
        </w:rPr>
        <w:t xml:space="preserve">as </w:t>
      </w:r>
      <w:r w:rsidR="00853416" w:rsidRPr="001060E6">
        <w:rPr>
          <w:rFonts w:cs="Arial"/>
          <w:sz w:val="24"/>
          <w:szCs w:val="24"/>
          <w:lang w:val="en-GB"/>
        </w:rPr>
        <w:t>calculated</w:t>
      </w:r>
      <w:r w:rsidR="006C2853" w:rsidRPr="001060E6">
        <w:rPr>
          <w:rFonts w:cs="Arial"/>
          <w:sz w:val="24"/>
          <w:szCs w:val="24"/>
          <w:lang w:val="en-GB"/>
        </w:rPr>
        <w:t xml:space="preserve"> using Kaplan-Meier analyses</w:t>
      </w:r>
      <w:r w:rsidR="00803FFE">
        <w:rPr>
          <w:rFonts w:cs="Arial"/>
          <w:sz w:val="24"/>
          <w:szCs w:val="24"/>
          <w:lang w:val="en-GB"/>
        </w:rPr>
        <w:t xml:space="preserve"> and it is reported as median survival with the corresponding 95% confidence interval (95%CI). </w:t>
      </w:r>
      <w:r w:rsidRPr="001060E6">
        <w:rPr>
          <w:rFonts w:cs="Arial"/>
          <w:sz w:val="24"/>
          <w:szCs w:val="24"/>
          <w:lang w:val="en-GB"/>
        </w:rPr>
        <w:t>Differences in survival were assessed using log</w:t>
      </w:r>
      <w:r w:rsidR="000624BD" w:rsidRPr="001060E6">
        <w:rPr>
          <w:rFonts w:cs="Arial"/>
          <w:sz w:val="24"/>
          <w:szCs w:val="24"/>
          <w:lang w:val="en-GB"/>
        </w:rPr>
        <w:t xml:space="preserve"> </w:t>
      </w:r>
      <w:r w:rsidRPr="001060E6">
        <w:rPr>
          <w:rFonts w:cs="Arial"/>
          <w:sz w:val="24"/>
          <w:szCs w:val="24"/>
          <w:lang w:val="en-GB"/>
        </w:rPr>
        <w:t>Rank tests</w:t>
      </w:r>
      <w:r w:rsidR="006C2853" w:rsidRPr="001060E6">
        <w:rPr>
          <w:rFonts w:cs="Arial"/>
          <w:sz w:val="24"/>
          <w:szCs w:val="24"/>
          <w:lang w:val="en-GB"/>
        </w:rPr>
        <w:t xml:space="preserve"> and uni</w:t>
      </w:r>
      <w:r w:rsidR="00AD246F">
        <w:rPr>
          <w:rFonts w:cs="Arial"/>
          <w:sz w:val="24"/>
          <w:szCs w:val="24"/>
          <w:lang w:val="en-GB"/>
        </w:rPr>
        <w:t>- and multi</w:t>
      </w:r>
      <w:r w:rsidR="006C2853" w:rsidRPr="001060E6">
        <w:rPr>
          <w:rFonts w:cs="Arial"/>
          <w:sz w:val="24"/>
          <w:szCs w:val="24"/>
          <w:lang w:val="en-GB"/>
        </w:rPr>
        <w:t>varia</w:t>
      </w:r>
      <w:r w:rsidR="00AD246F">
        <w:rPr>
          <w:rFonts w:cs="Arial"/>
          <w:sz w:val="24"/>
          <w:szCs w:val="24"/>
          <w:lang w:val="en-GB"/>
        </w:rPr>
        <w:t>ble</w:t>
      </w:r>
      <w:r w:rsidR="00AE240B">
        <w:rPr>
          <w:rFonts w:cs="Arial"/>
          <w:sz w:val="24"/>
          <w:szCs w:val="24"/>
          <w:lang w:val="en-GB"/>
        </w:rPr>
        <w:t xml:space="preserve"> </w:t>
      </w:r>
      <w:r w:rsidR="00AE240B" w:rsidRPr="001060E6">
        <w:rPr>
          <w:rFonts w:cs="Arial"/>
          <w:sz w:val="24"/>
          <w:szCs w:val="24"/>
          <w:lang w:val="en-GB"/>
        </w:rPr>
        <w:t>Cox regression models</w:t>
      </w:r>
      <w:r w:rsidR="00AD246F">
        <w:rPr>
          <w:rFonts w:cs="Arial"/>
          <w:sz w:val="24"/>
          <w:szCs w:val="24"/>
          <w:lang w:val="en-GB"/>
        </w:rPr>
        <w:t xml:space="preserve"> (forward selection method with likelihood ratio)</w:t>
      </w:r>
      <w:r w:rsidR="006C2853" w:rsidRPr="001060E6">
        <w:rPr>
          <w:rFonts w:cs="Arial"/>
          <w:sz w:val="24"/>
          <w:szCs w:val="24"/>
          <w:lang w:val="en-GB"/>
        </w:rPr>
        <w:t>.</w:t>
      </w:r>
      <w:r w:rsidRPr="001060E6">
        <w:rPr>
          <w:rFonts w:cs="Arial"/>
          <w:sz w:val="24"/>
          <w:szCs w:val="24"/>
          <w:lang w:val="en-GB"/>
        </w:rPr>
        <w:t xml:space="preserve"> </w:t>
      </w:r>
      <w:r w:rsidR="001060E6">
        <w:rPr>
          <w:rFonts w:cs="Arial"/>
          <w:sz w:val="24"/>
          <w:szCs w:val="24"/>
          <w:lang w:val="en-GB"/>
        </w:rPr>
        <w:t>Propensity score matching was performed to reduce selection bias for the allocation t</w:t>
      </w:r>
      <w:r w:rsidR="00AE240B">
        <w:rPr>
          <w:rFonts w:cs="Arial"/>
          <w:sz w:val="24"/>
          <w:szCs w:val="24"/>
          <w:lang w:val="en-GB"/>
        </w:rPr>
        <w:t>o sorafenib or SBRT. Multivariabl</w:t>
      </w:r>
      <w:r w:rsidR="001060E6">
        <w:rPr>
          <w:rFonts w:cs="Arial"/>
          <w:sz w:val="24"/>
          <w:szCs w:val="24"/>
          <w:lang w:val="en-GB"/>
        </w:rPr>
        <w:t>e logistic regression model was performed to generate the propensity score</w:t>
      </w:r>
      <w:r w:rsidR="009B1161">
        <w:rPr>
          <w:rFonts w:cs="Arial"/>
          <w:sz w:val="24"/>
          <w:szCs w:val="24"/>
          <w:lang w:val="en-GB"/>
        </w:rPr>
        <w:t xml:space="preserve">. The following factors were included in this model: </w:t>
      </w:r>
      <w:r w:rsidR="00AE240B">
        <w:rPr>
          <w:rFonts w:cs="Arial"/>
          <w:sz w:val="24"/>
          <w:szCs w:val="24"/>
          <w:lang w:val="en-GB"/>
        </w:rPr>
        <w:t xml:space="preserve">Child score, prior surgery, radiofrequency ablation, TACE, hepatic tumor </w:t>
      </w:r>
      <w:r w:rsidR="00D31E19">
        <w:rPr>
          <w:rFonts w:cs="Arial"/>
          <w:sz w:val="24"/>
          <w:szCs w:val="24"/>
          <w:lang w:val="en-GB"/>
        </w:rPr>
        <w:t>burden</w:t>
      </w:r>
      <w:r w:rsidR="00AE240B">
        <w:rPr>
          <w:rFonts w:cs="Arial"/>
          <w:sz w:val="24"/>
          <w:szCs w:val="24"/>
          <w:lang w:val="en-GB"/>
        </w:rPr>
        <w:t>, portal vein thrombosis, extrahepatic metastases and ECOG performance status (ECOG 0 vs. ECOG 1 vs. ECOG 2)</w:t>
      </w:r>
      <w:r w:rsidR="009B1161">
        <w:rPr>
          <w:rFonts w:cs="Arial"/>
          <w:sz w:val="24"/>
          <w:szCs w:val="24"/>
          <w:lang w:val="en-GB"/>
        </w:rPr>
        <w:t xml:space="preserve">. </w:t>
      </w:r>
      <w:r w:rsidR="00AD246F">
        <w:rPr>
          <w:rFonts w:cs="Arial"/>
          <w:sz w:val="24"/>
          <w:szCs w:val="24"/>
          <w:lang w:val="en-GB"/>
        </w:rPr>
        <w:t>After establishing the propensity score 1:1 matching using the nearest-</w:t>
      </w:r>
      <w:r w:rsidR="007C1DC6">
        <w:rPr>
          <w:rFonts w:cs="Arial"/>
          <w:sz w:val="24"/>
          <w:szCs w:val="24"/>
          <w:lang w:val="en-GB"/>
        </w:rPr>
        <w:t>neighbour</w:t>
      </w:r>
      <w:r w:rsidR="00AD246F">
        <w:rPr>
          <w:rFonts w:cs="Arial"/>
          <w:sz w:val="24"/>
          <w:szCs w:val="24"/>
          <w:lang w:val="en-GB"/>
        </w:rPr>
        <w:t xml:space="preserve"> matching was performed with a calliper with of 0.01 without replacement</w:t>
      </w:r>
      <w:r w:rsidR="009B1161" w:rsidRPr="001060E6">
        <w:rPr>
          <w:rFonts w:cs="Arial"/>
          <w:sz w:val="24"/>
          <w:szCs w:val="24"/>
          <w:lang w:val="en-GB"/>
        </w:rPr>
        <w:t xml:space="preserve">. Post-hoc balance diagnostic was performed using </w:t>
      </w:r>
      <w:r w:rsidR="000E474A">
        <w:rPr>
          <w:rFonts w:cs="Arial"/>
          <w:sz w:val="24"/>
          <w:szCs w:val="24"/>
          <w:lang w:val="en-GB"/>
        </w:rPr>
        <w:t xml:space="preserve">mean </w:t>
      </w:r>
      <w:r w:rsidR="009B1161" w:rsidRPr="001060E6">
        <w:rPr>
          <w:rFonts w:cs="Arial"/>
          <w:sz w:val="24"/>
          <w:szCs w:val="24"/>
          <w:lang w:val="en-GB"/>
        </w:rPr>
        <w:t>standardized differences</w:t>
      </w:r>
      <w:r w:rsidR="00A7418C">
        <w:rPr>
          <w:rFonts w:cs="Arial"/>
          <w:sz w:val="24"/>
          <w:szCs w:val="24"/>
          <w:lang w:val="en-GB"/>
        </w:rPr>
        <w:t xml:space="preserve"> </w:t>
      </w:r>
      <w:r w:rsidR="00A7418C">
        <w:rPr>
          <w:rFonts w:cs="Arial"/>
          <w:sz w:val="24"/>
          <w:szCs w:val="24"/>
          <w:lang w:val="en-GB"/>
        </w:rPr>
        <w:fldChar w:fldCharType="begin" w:fldLock="1"/>
      </w:r>
      <w:r w:rsidR="00FC6AC8">
        <w:rPr>
          <w:rFonts w:cs="Arial"/>
          <w:sz w:val="24"/>
          <w:szCs w:val="24"/>
          <w:lang w:val="en-GB"/>
        </w:rPr>
        <w:instrText>ADDIN CSL_CITATION { "citationItems" : [ { "id" : "ITEM-1", "itemData" : { "DOI" : "10.1002/sim", "ISBN" : "2007090091480", "ISSN" : "02776715", "PMID" : "19455509", "abstract" : "Although sample size calculations have become an important element in the design of research projects, such methods for studies involving current status data are scarce. Here, we propose a method for calculating power and sample size for studies using current status data. This method is based on a Weibull survival model for a two-group comparison. The Weibull model allows the investigator to specify a group difference in terms of a hazards ratio or a failure time ratio. We consider exponential, Weibull and uniformly distributed censoring distributions. We base our power calculations on a parametric approach with the Wald test because it is easy for medical investigators to conceptualize and specify the required input variables. As expected, studies with current status data have substantially less power than studies with the usual right-censored failure time data. Our simulation results demonstrate the merits of these proposed power calculations.", "author" : [ { "dropping-particle" : "", "family" : "Austin", "given" : "Peter C.", "non-dropping-particle" : "", "parse-names" : false, "suffix" : "" } ], "container-title" : "Statistics in medicine", "id" : "ITEM-1", "issue" : "September", "issued" : { "date-parts" : [ [ "2009" ] ] }, "page" : "221-239", "title" : "Balance diagnostics for comparing the distribution of baseline covariates between treatment groups in propensity-score matched samples", "type" : "article-journal", "volume" : "28" }, "uris" : [ "http://www.mendeley.com/documents/?uuid=7bee7f6f-8b00-4330-af29-4267cb227ebf" ] } ], "mendeley" : { "formattedCitation" : "[22]", "plainTextFormattedCitation" : "[22]", "previouslyFormattedCitation" : "[22]" }, "properties" : {  }, "schema" : "https://github.com/citation-style-language/schema/raw/master/csl-citation.json" }</w:instrText>
      </w:r>
      <w:r w:rsidR="00A7418C">
        <w:rPr>
          <w:rFonts w:cs="Arial"/>
          <w:sz w:val="24"/>
          <w:szCs w:val="24"/>
          <w:lang w:val="en-GB"/>
        </w:rPr>
        <w:fldChar w:fldCharType="separate"/>
      </w:r>
      <w:r w:rsidR="00FC6AC8" w:rsidRPr="00FC6AC8">
        <w:rPr>
          <w:rFonts w:cs="Arial"/>
          <w:noProof/>
          <w:sz w:val="24"/>
          <w:szCs w:val="24"/>
          <w:lang w:val="en-GB"/>
        </w:rPr>
        <w:t>[22]</w:t>
      </w:r>
      <w:r w:rsidR="00A7418C">
        <w:rPr>
          <w:rFonts w:cs="Arial"/>
          <w:sz w:val="24"/>
          <w:szCs w:val="24"/>
          <w:lang w:val="en-GB"/>
        </w:rPr>
        <w:fldChar w:fldCharType="end"/>
      </w:r>
      <w:r w:rsidR="00995C75">
        <w:rPr>
          <w:rFonts w:cs="Arial"/>
          <w:sz w:val="24"/>
          <w:szCs w:val="24"/>
          <w:lang w:val="en-GB"/>
        </w:rPr>
        <w:t xml:space="preserve">. </w:t>
      </w:r>
    </w:p>
    <w:p w14:paraId="16AD5F7E" w14:textId="77777777" w:rsidR="00DD3E44" w:rsidRPr="004E1B43" w:rsidRDefault="00DD3E44" w:rsidP="00DD3E44">
      <w:pPr>
        <w:autoSpaceDE w:val="0"/>
        <w:autoSpaceDN w:val="0"/>
        <w:adjustRightInd w:val="0"/>
        <w:spacing w:line="480" w:lineRule="auto"/>
        <w:jc w:val="both"/>
        <w:rPr>
          <w:rFonts w:cs="Arial"/>
          <w:sz w:val="24"/>
          <w:szCs w:val="24"/>
          <w:lang w:val="en-US"/>
        </w:rPr>
      </w:pPr>
      <w:r w:rsidRPr="001060E6">
        <w:rPr>
          <w:rFonts w:eastAsia="Calibri" w:cs="Arial"/>
          <w:sz w:val="24"/>
          <w:szCs w:val="24"/>
          <w:lang w:val="en-US"/>
        </w:rPr>
        <w:t>Statistical analyses were performed with SPSS (version 24.0, IBM, New York, USA)</w:t>
      </w:r>
      <w:r w:rsidRPr="001060E6">
        <w:rPr>
          <w:rFonts w:cs="Arial"/>
          <w:sz w:val="24"/>
          <w:szCs w:val="24"/>
          <w:lang w:val="en-US"/>
        </w:rPr>
        <w:t xml:space="preserve"> GraphPad Prism (version 6, GraphPad Software, San Diego, CA, USA)</w:t>
      </w:r>
      <w:r w:rsidR="00E8066E">
        <w:rPr>
          <w:rFonts w:cs="Arial"/>
          <w:sz w:val="24"/>
          <w:szCs w:val="24"/>
          <w:lang w:val="en-US"/>
        </w:rPr>
        <w:t xml:space="preserve"> and STATA (</w:t>
      </w:r>
      <w:r w:rsidR="008F1E48" w:rsidRPr="00A7418C">
        <w:rPr>
          <w:rFonts w:cs="Arial"/>
          <w:sz w:val="24"/>
          <w:szCs w:val="24"/>
          <w:lang w:val="en-US"/>
        </w:rPr>
        <w:t xml:space="preserve">version </w:t>
      </w:r>
      <w:r w:rsidR="00A7418C" w:rsidRPr="00A7418C">
        <w:rPr>
          <w:rFonts w:cs="Arial"/>
          <w:sz w:val="24"/>
          <w:szCs w:val="24"/>
          <w:lang w:val="en-US"/>
        </w:rPr>
        <w:t xml:space="preserve">15, </w:t>
      </w:r>
      <w:r w:rsidR="00A7418C" w:rsidRPr="00A7418C">
        <w:rPr>
          <w:sz w:val="24"/>
          <w:szCs w:val="24"/>
          <w:lang w:val="en-US"/>
        </w:rPr>
        <w:t>StataCorp Lp, Texas</w:t>
      </w:r>
      <w:r w:rsidR="00E8066E">
        <w:rPr>
          <w:rFonts w:cs="Arial"/>
          <w:sz w:val="24"/>
          <w:szCs w:val="24"/>
          <w:lang w:val="en-US"/>
        </w:rPr>
        <w:t>)</w:t>
      </w:r>
      <w:r w:rsidRPr="001060E6">
        <w:rPr>
          <w:rFonts w:cs="Arial"/>
          <w:sz w:val="24"/>
          <w:szCs w:val="24"/>
          <w:lang w:val="en-US"/>
        </w:rPr>
        <w:t>.</w:t>
      </w:r>
    </w:p>
    <w:p w14:paraId="14350FDC" w14:textId="77777777" w:rsidR="004F4710" w:rsidRDefault="004F4710" w:rsidP="00913EEB">
      <w:pPr>
        <w:rPr>
          <w:b/>
          <w:sz w:val="24"/>
          <w:szCs w:val="24"/>
          <w:lang w:val="en-US"/>
        </w:rPr>
      </w:pPr>
    </w:p>
    <w:p w14:paraId="52AE2F68" w14:textId="77777777" w:rsidR="004F4710" w:rsidRDefault="004F4710" w:rsidP="00913EEB">
      <w:pPr>
        <w:rPr>
          <w:b/>
          <w:sz w:val="24"/>
          <w:szCs w:val="24"/>
          <w:lang w:val="en-US"/>
        </w:rPr>
      </w:pPr>
    </w:p>
    <w:p w14:paraId="7F5D835E" w14:textId="77777777" w:rsidR="00913EEB" w:rsidRPr="004E1B43" w:rsidRDefault="0008188F" w:rsidP="00913EEB">
      <w:pPr>
        <w:rPr>
          <w:b/>
          <w:sz w:val="24"/>
          <w:szCs w:val="24"/>
          <w:lang w:val="en-US"/>
        </w:rPr>
      </w:pPr>
      <w:r>
        <w:rPr>
          <w:b/>
          <w:sz w:val="24"/>
          <w:szCs w:val="24"/>
          <w:lang w:val="en-US"/>
        </w:rPr>
        <w:lastRenderedPageBreak/>
        <w:t>R</w:t>
      </w:r>
      <w:r w:rsidR="00913EEB" w:rsidRPr="004E1B43">
        <w:rPr>
          <w:b/>
          <w:sz w:val="24"/>
          <w:szCs w:val="24"/>
          <w:lang w:val="en-US"/>
        </w:rPr>
        <w:t>esults</w:t>
      </w:r>
    </w:p>
    <w:p w14:paraId="41859E24" w14:textId="77777777" w:rsidR="00913EEB" w:rsidRPr="004E1B43" w:rsidRDefault="00913EEB" w:rsidP="00913EEB">
      <w:pPr>
        <w:tabs>
          <w:tab w:val="left" w:pos="1182"/>
        </w:tabs>
        <w:spacing w:line="480" w:lineRule="auto"/>
        <w:jc w:val="both"/>
        <w:rPr>
          <w:rFonts w:cs="Arial"/>
          <w:b/>
          <w:i/>
          <w:sz w:val="24"/>
          <w:szCs w:val="24"/>
          <w:lang w:val="en-US"/>
        </w:rPr>
      </w:pPr>
      <w:r w:rsidRPr="004E1B43">
        <w:rPr>
          <w:rFonts w:cs="Arial"/>
          <w:b/>
          <w:i/>
          <w:sz w:val="24"/>
          <w:szCs w:val="24"/>
          <w:lang w:val="en-US"/>
        </w:rPr>
        <w:t>Patient</w:t>
      </w:r>
      <w:r w:rsidR="000C2BE7">
        <w:rPr>
          <w:rFonts w:cs="Arial"/>
          <w:b/>
          <w:i/>
          <w:sz w:val="24"/>
          <w:szCs w:val="24"/>
          <w:lang w:val="en-US"/>
        </w:rPr>
        <w:t xml:space="preserve"> and treatment</w:t>
      </w:r>
      <w:r w:rsidRPr="004E1B43">
        <w:rPr>
          <w:rFonts w:cs="Arial"/>
          <w:b/>
          <w:i/>
          <w:sz w:val="24"/>
          <w:szCs w:val="24"/>
          <w:lang w:val="en-US"/>
        </w:rPr>
        <w:t xml:space="preserve"> characteristics</w:t>
      </w:r>
    </w:p>
    <w:p w14:paraId="3E10A19F" w14:textId="77777777" w:rsidR="009C5D9C" w:rsidRDefault="009C5D9C" w:rsidP="009C5D9C">
      <w:pPr>
        <w:spacing w:line="480" w:lineRule="auto"/>
        <w:jc w:val="both"/>
        <w:rPr>
          <w:sz w:val="24"/>
          <w:szCs w:val="24"/>
          <w:lang w:val="en-US"/>
        </w:rPr>
      </w:pPr>
      <w:r w:rsidRPr="009C5D9C">
        <w:rPr>
          <w:b/>
          <w:sz w:val="24"/>
          <w:szCs w:val="24"/>
          <w:lang w:val="en-US"/>
        </w:rPr>
        <w:t>Table 1</w:t>
      </w:r>
      <w:r>
        <w:rPr>
          <w:sz w:val="24"/>
          <w:szCs w:val="24"/>
          <w:lang w:val="en-US"/>
        </w:rPr>
        <w:t xml:space="preserve"> summarizes the baseline characteristics of th</w:t>
      </w:r>
      <w:r w:rsidR="000C2BE7">
        <w:rPr>
          <w:sz w:val="24"/>
          <w:szCs w:val="24"/>
          <w:lang w:val="en-US"/>
        </w:rPr>
        <w:t>e</w:t>
      </w:r>
      <w:r>
        <w:rPr>
          <w:sz w:val="24"/>
          <w:szCs w:val="24"/>
          <w:lang w:val="en-US"/>
        </w:rPr>
        <w:t xml:space="preserve"> patient</w:t>
      </w:r>
      <w:r w:rsidR="004F4710">
        <w:rPr>
          <w:sz w:val="24"/>
          <w:szCs w:val="24"/>
          <w:lang w:val="en-US"/>
        </w:rPr>
        <w:t xml:space="preserve"> cohort</w:t>
      </w:r>
      <w:r>
        <w:rPr>
          <w:sz w:val="24"/>
          <w:szCs w:val="24"/>
          <w:lang w:val="en-US"/>
        </w:rPr>
        <w:t xml:space="preserve"> treated with sorafenib and SBRT. In the unmatched cohort significantly more patients treated with sorafenib presented with multifocal HCC compared to SBRT patients (76.6% vs. 46.7%, p&lt;0.001). Portal vein thrombosis (PVT) was</w:t>
      </w:r>
      <w:r w:rsidR="004F4710">
        <w:rPr>
          <w:sz w:val="24"/>
          <w:szCs w:val="24"/>
          <w:lang w:val="en-US"/>
        </w:rPr>
        <w:t xml:space="preserve"> also</w:t>
      </w:r>
      <w:r>
        <w:rPr>
          <w:sz w:val="24"/>
          <w:szCs w:val="24"/>
          <w:lang w:val="en-US"/>
        </w:rPr>
        <w:t xml:space="preserve"> more frequent</w:t>
      </w:r>
      <w:r w:rsidR="004F4710">
        <w:rPr>
          <w:sz w:val="24"/>
          <w:szCs w:val="24"/>
          <w:lang w:val="en-US"/>
        </w:rPr>
        <w:t>ly observed</w:t>
      </w:r>
      <w:r>
        <w:rPr>
          <w:sz w:val="24"/>
          <w:szCs w:val="24"/>
          <w:lang w:val="en-US"/>
        </w:rPr>
        <w:t xml:space="preserve"> in patients treated with sorafenib (34.0% vs. 18.0%, p&lt;0.001). </w:t>
      </w:r>
      <w:r w:rsidR="00D31E19">
        <w:rPr>
          <w:sz w:val="24"/>
          <w:szCs w:val="24"/>
          <w:lang w:val="en-US"/>
        </w:rPr>
        <w:t xml:space="preserve">A total of </w:t>
      </w:r>
      <w:r>
        <w:rPr>
          <w:sz w:val="24"/>
          <w:szCs w:val="24"/>
          <w:lang w:val="en-US"/>
        </w:rPr>
        <w:t>35.7% of the</w:t>
      </w:r>
      <w:r w:rsidR="000C2BE7">
        <w:rPr>
          <w:sz w:val="24"/>
          <w:szCs w:val="24"/>
          <w:lang w:val="en-US"/>
        </w:rPr>
        <w:t xml:space="preserve"> sorafenib</w:t>
      </w:r>
      <w:r>
        <w:rPr>
          <w:sz w:val="24"/>
          <w:szCs w:val="24"/>
          <w:lang w:val="en-US"/>
        </w:rPr>
        <w:t xml:space="preserve"> patients had extrahepatic metastases compared to 13.1% of SBRT patients (p&lt;0.001). </w:t>
      </w:r>
      <w:r w:rsidR="000C2BE7">
        <w:rPr>
          <w:sz w:val="24"/>
          <w:szCs w:val="24"/>
          <w:lang w:val="en-US"/>
        </w:rPr>
        <w:t>In summary, sorafenib patients</w:t>
      </w:r>
      <w:r>
        <w:rPr>
          <w:sz w:val="24"/>
          <w:szCs w:val="24"/>
          <w:lang w:val="en-US"/>
        </w:rPr>
        <w:t xml:space="preserve"> presented with more advanced tumor disease compared to SBRT patients which is also underlined by higher BCLC stages in  sorafenib</w:t>
      </w:r>
      <w:r w:rsidR="004F4710">
        <w:rPr>
          <w:sz w:val="24"/>
          <w:szCs w:val="24"/>
          <w:lang w:val="en-US"/>
        </w:rPr>
        <w:t xml:space="preserve"> treated</w:t>
      </w:r>
      <w:r>
        <w:rPr>
          <w:sz w:val="24"/>
          <w:szCs w:val="24"/>
          <w:lang w:val="en-US"/>
        </w:rPr>
        <w:t xml:space="preserve"> patients. </w:t>
      </w:r>
    </w:p>
    <w:p w14:paraId="1F1522BC" w14:textId="77777777" w:rsidR="00007970" w:rsidRPr="00F34C8E" w:rsidRDefault="000C2BE7" w:rsidP="009C5D9C">
      <w:pPr>
        <w:spacing w:line="480" w:lineRule="auto"/>
        <w:jc w:val="both"/>
        <w:rPr>
          <w:sz w:val="24"/>
          <w:szCs w:val="24"/>
          <w:lang w:val="en-US"/>
        </w:rPr>
      </w:pPr>
      <w:r>
        <w:rPr>
          <w:sz w:val="24"/>
          <w:szCs w:val="24"/>
          <w:lang w:val="en-US"/>
        </w:rPr>
        <w:t>I</w:t>
      </w:r>
      <w:r w:rsidR="009C5D9C">
        <w:rPr>
          <w:sz w:val="24"/>
          <w:szCs w:val="24"/>
          <w:lang w:val="en-US"/>
        </w:rPr>
        <w:t xml:space="preserve">n </w:t>
      </w:r>
      <w:r w:rsidR="004F4710">
        <w:rPr>
          <w:sz w:val="24"/>
          <w:szCs w:val="24"/>
          <w:lang w:val="en-US"/>
        </w:rPr>
        <w:t>the</w:t>
      </w:r>
      <w:r w:rsidR="009C5D9C">
        <w:rPr>
          <w:sz w:val="24"/>
          <w:szCs w:val="24"/>
          <w:lang w:val="en-US"/>
        </w:rPr>
        <w:t xml:space="preserve"> sorafenib </w:t>
      </w:r>
      <w:r w:rsidR="004F4710">
        <w:rPr>
          <w:sz w:val="24"/>
          <w:szCs w:val="24"/>
          <w:lang w:val="en-US"/>
        </w:rPr>
        <w:t xml:space="preserve">group, </w:t>
      </w:r>
      <w:r w:rsidR="009C5D9C">
        <w:rPr>
          <w:sz w:val="24"/>
          <w:szCs w:val="24"/>
          <w:lang w:val="en-US"/>
        </w:rPr>
        <w:t>the mean treatment duration was 5.7</w:t>
      </w:r>
      <w:r w:rsidR="009C5D9C">
        <w:rPr>
          <w:rFonts w:cs="Arial"/>
          <w:sz w:val="24"/>
          <w:szCs w:val="24"/>
          <w:lang w:val="en-US"/>
        </w:rPr>
        <w:t>±</w:t>
      </w:r>
      <w:r w:rsidR="009C5D9C">
        <w:rPr>
          <w:sz w:val="24"/>
          <w:szCs w:val="24"/>
          <w:lang w:val="en-US"/>
        </w:rPr>
        <w:t>6.7 months</w:t>
      </w:r>
      <w:r w:rsidR="00007970">
        <w:rPr>
          <w:sz w:val="24"/>
          <w:szCs w:val="24"/>
          <w:lang w:val="en-US"/>
        </w:rPr>
        <w:t>. I</w:t>
      </w:r>
      <w:r w:rsidR="00007970" w:rsidRPr="00007970">
        <w:rPr>
          <w:rFonts w:cs="Arial"/>
          <w:sz w:val="24"/>
          <w:szCs w:val="24"/>
          <w:lang w:val="en-US"/>
        </w:rPr>
        <w:t xml:space="preserve">n 522 patients (57.9%) sorafenib was applied with the recommended dose of 800 </w:t>
      </w:r>
      <w:r w:rsidR="00007970" w:rsidRPr="00F34C8E">
        <w:rPr>
          <w:rFonts w:cs="Arial"/>
          <w:sz w:val="24"/>
          <w:szCs w:val="24"/>
          <w:lang w:val="en-US"/>
        </w:rPr>
        <w:t>mg per day and in 379 patients (42.1%) a reduced dose was given.</w:t>
      </w:r>
    </w:p>
    <w:p w14:paraId="08E25533" w14:textId="77777777" w:rsidR="009C5D9C" w:rsidRPr="00DC53D8" w:rsidRDefault="009C5D9C" w:rsidP="009C5D9C">
      <w:pPr>
        <w:spacing w:line="480" w:lineRule="auto"/>
        <w:jc w:val="both"/>
        <w:rPr>
          <w:sz w:val="24"/>
          <w:szCs w:val="24"/>
          <w:lang w:val="en-US"/>
        </w:rPr>
      </w:pPr>
      <w:r w:rsidRPr="00F34C8E">
        <w:rPr>
          <w:sz w:val="24"/>
          <w:szCs w:val="24"/>
          <w:lang w:val="en-US"/>
        </w:rPr>
        <w:t xml:space="preserve">In patients with SBRT, the median prescribed SBRT dose was </w:t>
      </w:r>
      <w:r w:rsidR="00F34C8E" w:rsidRPr="00F34C8E">
        <w:rPr>
          <w:sz w:val="24"/>
          <w:szCs w:val="24"/>
          <w:lang w:val="en-US"/>
        </w:rPr>
        <w:t>44</w:t>
      </w:r>
      <w:r w:rsidRPr="00F34C8E">
        <w:rPr>
          <w:sz w:val="24"/>
          <w:szCs w:val="24"/>
          <w:lang w:val="en-US"/>
        </w:rPr>
        <w:t xml:space="preserve"> (IQR: </w:t>
      </w:r>
      <w:r w:rsidR="00F34C8E" w:rsidRPr="00F34C8E">
        <w:rPr>
          <w:sz w:val="24"/>
          <w:szCs w:val="24"/>
          <w:lang w:val="en-US"/>
        </w:rPr>
        <w:t>21-66</w:t>
      </w:r>
      <w:r w:rsidRPr="00F34C8E">
        <w:rPr>
          <w:sz w:val="24"/>
          <w:szCs w:val="24"/>
          <w:lang w:val="en-US"/>
        </w:rPr>
        <w:t xml:space="preserve">) Gy in 3 to </w:t>
      </w:r>
      <w:r w:rsidR="00F34C8E" w:rsidRPr="00F34C8E">
        <w:rPr>
          <w:sz w:val="24"/>
          <w:szCs w:val="24"/>
          <w:lang w:val="en-US"/>
        </w:rPr>
        <w:t>12</w:t>
      </w:r>
      <w:r w:rsidRPr="00F34C8E">
        <w:rPr>
          <w:sz w:val="24"/>
          <w:szCs w:val="24"/>
          <w:lang w:val="en-US"/>
        </w:rPr>
        <w:t xml:space="preserve"> fractions with a median maximum dose (Dmax) of </w:t>
      </w:r>
      <w:r w:rsidR="00F34C8E" w:rsidRPr="00F34C8E">
        <w:rPr>
          <w:sz w:val="24"/>
          <w:szCs w:val="24"/>
          <w:lang w:val="en-US"/>
        </w:rPr>
        <w:t>58</w:t>
      </w:r>
      <w:r w:rsidRPr="00F34C8E">
        <w:rPr>
          <w:sz w:val="24"/>
          <w:szCs w:val="24"/>
          <w:lang w:val="en-US"/>
        </w:rPr>
        <w:t xml:space="preserve"> (IQR: </w:t>
      </w:r>
      <w:r w:rsidR="00F34C8E" w:rsidRPr="00F34C8E">
        <w:rPr>
          <w:sz w:val="24"/>
          <w:szCs w:val="24"/>
          <w:lang w:val="en-US"/>
        </w:rPr>
        <w:t>26-72</w:t>
      </w:r>
      <w:r w:rsidRPr="00F34C8E">
        <w:rPr>
          <w:sz w:val="24"/>
          <w:szCs w:val="24"/>
          <w:lang w:val="en-US"/>
        </w:rPr>
        <w:t>) Gy. The median biological effective dose (BED</w:t>
      </w:r>
      <w:r w:rsidRPr="00F34C8E">
        <w:rPr>
          <w:sz w:val="24"/>
          <w:szCs w:val="24"/>
          <w:vertAlign w:val="subscript"/>
          <w:lang w:val="en-US"/>
        </w:rPr>
        <w:t>10</w:t>
      </w:r>
      <w:r w:rsidRPr="00F34C8E">
        <w:rPr>
          <w:sz w:val="24"/>
          <w:szCs w:val="24"/>
          <w:lang w:val="en-US"/>
        </w:rPr>
        <w:t xml:space="preserve">) prescribed was </w:t>
      </w:r>
      <w:r w:rsidR="00F34C8E" w:rsidRPr="00F34C8E">
        <w:rPr>
          <w:sz w:val="24"/>
          <w:szCs w:val="24"/>
          <w:lang w:val="en-US"/>
        </w:rPr>
        <w:t>84.4</w:t>
      </w:r>
      <w:r w:rsidRPr="00F34C8E">
        <w:rPr>
          <w:sz w:val="24"/>
          <w:szCs w:val="24"/>
          <w:lang w:val="en-US"/>
        </w:rPr>
        <w:t xml:space="preserve"> (range: </w:t>
      </w:r>
      <w:r w:rsidR="00F34C8E" w:rsidRPr="00F34C8E">
        <w:rPr>
          <w:sz w:val="24"/>
          <w:szCs w:val="24"/>
          <w:lang w:val="en-US"/>
        </w:rPr>
        <w:t>36-124</w:t>
      </w:r>
      <w:r w:rsidRPr="00F34C8E">
        <w:rPr>
          <w:sz w:val="24"/>
          <w:szCs w:val="24"/>
          <w:lang w:val="en-US"/>
        </w:rPr>
        <w:t>) Gy</w:t>
      </w:r>
      <w:r w:rsidR="00F34C8E" w:rsidRPr="00F34C8E">
        <w:rPr>
          <w:sz w:val="24"/>
          <w:szCs w:val="24"/>
          <w:lang w:val="en-US"/>
        </w:rPr>
        <w:t>.</w:t>
      </w:r>
      <w:r w:rsidRPr="00F34C8E">
        <w:rPr>
          <w:sz w:val="24"/>
          <w:szCs w:val="24"/>
          <w:lang w:val="en-US"/>
        </w:rPr>
        <w:t xml:space="preserve"> </w:t>
      </w:r>
    </w:p>
    <w:p w14:paraId="6DEB4344" w14:textId="77777777" w:rsidR="009E01A4" w:rsidRDefault="009E01A4" w:rsidP="003B2A0B">
      <w:pPr>
        <w:spacing w:line="480" w:lineRule="auto"/>
        <w:rPr>
          <w:b/>
          <w:i/>
          <w:sz w:val="24"/>
          <w:szCs w:val="24"/>
          <w:lang w:val="en-US"/>
        </w:rPr>
      </w:pPr>
      <w:r w:rsidRPr="009E01A4">
        <w:rPr>
          <w:b/>
          <w:i/>
          <w:sz w:val="24"/>
          <w:szCs w:val="24"/>
          <w:lang w:val="en-US"/>
        </w:rPr>
        <w:t>Toxicity</w:t>
      </w:r>
    </w:p>
    <w:p w14:paraId="75807B51" w14:textId="77777777" w:rsidR="00F34C8E" w:rsidRPr="00F34C8E" w:rsidRDefault="00F34C8E" w:rsidP="00850745">
      <w:pPr>
        <w:spacing w:line="480" w:lineRule="auto"/>
        <w:jc w:val="both"/>
        <w:rPr>
          <w:i/>
          <w:sz w:val="24"/>
          <w:szCs w:val="24"/>
          <w:lang w:val="en-US"/>
        </w:rPr>
      </w:pPr>
      <w:r w:rsidRPr="00F34C8E">
        <w:rPr>
          <w:i/>
          <w:sz w:val="24"/>
          <w:szCs w:val="24"/>
          <w:lang w:val="en-US"/>
        </w:rPr>
        <w:t>Adverse events in patients treated with sorafenib</w:t>
      </w:r>
    </w:p>
    <w:p w14:paraId="5D07B6C1" w14:textId="77777777" w:rsidR="0095546D" w:rsidRDefault="0095546D" w:rsidP="00850745">
      <w:pPr>
        <w:spacing w:line="480" w:lineRule="auto"/>
        <w:jc w:val="both"/>
        <w:rPr>
          <w:sz w:val="24"/>
          <w:szCs w:val="24"/>
          <w:lang w:val="en-US"/>
        </w:rPr>
      </w:pPr>
      <w:r>
        <w:rPr>
          <w:sz w:val="24"/>
          <w:szCs w:val="24"/>
          <w:lang w:val="en-US"/>
        </w:rPr>
        <w:t>Overall, 73.6% (663/901) of sorafenib treated patients experienced at least one sorafenib-associated adverse event</w:t>
      </w:r>
      <w:r w:rsidR="00850745">
        <w:rPr>
          <w:sz w:val="24"/>
          <w:szCs w:val="24"/>
          <w:lang w:val="en-US"/>
        </w:rPr>
        <w:t xml:space="preserve"> at any grade (</w:t>
      </w:r>
      <w:r w:rsidRPr="0095546D">
        <w:rPr>
          <w:b/>
          <w:sz w:val="24"/>
          <w:szCs w:val="24"/>
          <w:lang w:val="en-US"/>
        </w:rPr>
        <w:t>table 2</w:t>
      </w:r>
      <w:r>
        <w:rPr>
          <w:sz w:val="24"/>
          <w:szCs w:val="24"/>
          <w:lang w:val="en-US"/>
        </w:rPr>
        <w:t xml:space="preserve">). </w:t>
      </w:r>
      <w:r w:rsidR="00D31E19">
        <w:rPr>
          <w:sz w:val="24"/>
          <w:szCs w:val="24"/>
          <w:lang w:val="en-US"/>
        </w:rPr>
        <w:t xml:space="preserve">A total of </w:t>
      </w:r>
      <w:r>
        <w:rPr>
          <w:sz w:val="24"/>
          <w:szCs w:val="24"/>
          <w:lang w:val="en-US"/>
        </w:rPr>
        <w:t xml:space="preserve">39.3% developed diarrhea, 31.2% </w:t>
      </w:r>
      <w:r w:rsidR="00850745">
        <w:rPr>
          <w:sz w:val="24"/>
          <w:szCs w:val="24"/>
          <w:lang w:val="en-US"/>
        </w:rPr>
        <w:t>showed hand-foot skin reaction, 29.3% developed fatigue, 19.0% had significant weight loss, 13</w:t>
      </w:r>
      <w:r w:rsidR="00A06E14">
        <w:rPr>
          <w:sz w:val="24"/>
          <w:szCs w:val="24"/>
          <w:lang w:val="en-US"/>
        </w:rPr>
        <w:t xml:space="preserve">.3% developed sorafenib-related </w:t>
      </w:r>
      <w:r w:rsidR="00850745">
        <w:rPr>
          <w:sz w:val="24"/>
          <w:szCs w:val="24"/>
          <w:lang w:val="en-US"/>
        </w:rPr>
        <w:t xml:space="preserve">hypertension. Mucositis </w:t>
      </w:r>
      <w:r w:rsidR="00F34C8E">
        <w:rPr>
          <w:sz w:val="24"/>
          <w:szCs w:val="24"/>
          <w:lang w:val="en-US"/>
        </w:rPr>
        <w:t>occurred</w:t>
      </w:r>
      <w:r w:rsidR="00850745">
        <w:rPr>
          <w:sz w:val="24"/>
          <w:szCs w:val="24"/>
          <w:lang w:val="en-US"/>
        </w:rPr>
        <w:t xml:space="preserve"> in 4.7% and 7.5% of the sorafenib treated patients </w:t>
      </w:r>
      <w:r w:rsidR="00850745">
        <w:rPr>
          <w:sz w:val="24"/>
          <w:szCs w:val="24"/>
          <w:lang w:val="en-US"/>
        </w:rPr>
        <w:lastRenderedPageBreak/>
        <w:t>reported nausea and vomiting. Sorafenib was stopped in 175 patients (19.4%) due to adverse events. Data concerning dose reduction were available in 888 patients</w:t>
      </w:r>
      <w:r w:rsidR="000C2BE7">
        <w:rPr>
          <w:sz w:val="24"/>
          <w:szCs w:val="24"/>
          <w:lang w:val="en-US"/>
        </w:rPr>
        <w:t xml:space="preserve"> (98.6%)</w:t>
      </w:r>
      <w:r w:rsidR="00850745">
        <w:rPr>
          <w:sz w:val="24"/>
          <w:szCs w:val="24"/>
          <w:lang w:val="en-US"/>
        </w:rPr>
        <w:t xml:space="preserve"> and of these 277 patients had dose reduction due to clincally significant adverse events (31.2%).  </w:t>
      </w:r>
      <w:r w:rsidR="000C2BE7">
        <w:rPr>
          <w:sz w:val="24"/>
          <w:szCs w:val="24"/>
          <w:lang w:val="en-US"/>
        </w:rPr>
        <w:t>Further,</w:t>
      </w:r>
      <w:r w:rsidR="00850745">
        <w:rPr>
          <w:sz w:val="24"/>
          <w:szCs w:val="24"/>
          <w:lang w:val="en-US"/>
        </w:rPr>
        <w:t xml:space="preserve"> sorafenib </w:t>
      </w:r>
      <w:r w:rsidR="000C2BE7">
        <w:rPr>
          <w:sz w:val="24"/>
          <w:szCs w:val="24"/>
          <w:lang w:val="en-US"/>
        </w:rPr>
        <w:t>was stopped due to progressive HCC</w:t>
      </w:r>
      <w:r w:rsidR="00850745">
        <w:rPr>
          <w:sz w:val="24"/>
          <w:szCs w:val="24"/>
          <w:lang w:val="en-US"/>
        </w:rPr>
        <w:t xml:space="preserve"> (53.8%), death (45.2%), patient preference (2.8%) and other reasons (6.2%). At the end of the observation period 23 patients (2.6%) st</w:t>
      </w:r>
      <w:r w:rsidR="000C2BE7">
        <w:rPr>
          <w:sz w:val="24"/>
          <w:szCs w:val="24"/>
          <w:lang w:val="en-US"/>
        </w:rPr>
        <w:t>ill received sorafenib</w:t>
      </w:r>
      <w:r w:rsidR="00850745">
        <w:rPr>
          <w:sz w:val="24"/>
          <w:szCs w:val="24"/>
          <w:lang w:val="en-US"/>
        </w:rPr>
        <w:t xml:space="preserve">. </w:t>
      </w:r>
    </w:p>
    <w:p w14:paraId="0BFAEC59" w14:textId="77777777" w:rsidR="00850745" w:rsidRPr="00F34C8E" w:rsidRDefault="00850745" w:rsidP="00850745">
      <w:pPr>
        <w:spacing w:line="480" w:lineRule="auto"/>
        <w:jc w:val="both"/>
        <w:rPr>
          <w:i/>
          <w:sz w:val="24"/>
          <w:szCs w:val="24"/>
          <w:lang w:val="en-US"/>
        </w:rPr>
      </w:pPr>
      <w:r w:rsidRPr="00F34C8E">
        <w:rPr>
          <w:i/>
          <w:sz w:val="24"/>
          <w:szCs w:val="24"/>
          <w:lang w:val="en-US"/>
        </w:rPr>
        <w:t>Adverse events in the SBRT cohort</w:t>
      </w:r>
    </w:p>
    <w:p w14:paraId="3449CAD4" w14:textId="77777777" w:rsidR="00F34C8E" w:rsidRPr="00CA49C1" w:rsidRDefault="00F34C8E" w:rsidP="00F34C8E">
      <w:pPr>
        <w:spacing w:line="480" w:lineRule="auto"/>
        <w:jc w:val="both"/>
        <w:rPr>
          <w:rFonts w:eastAsia="Arial Unicode MS"/>
          <w:sz w:val="24"/>
          <w:szCs w:val="24"/>
          <w:shd w:val="clear" w:color="auto" w:fill="FFFFFF"/>
          <w:lang w:val="en-US"/>
        </w:rPr>
      </w:pPr>
      <w:r>
        <w:rPr>
          <w:rFonts w:eastAsia="Arial Unicode MS"/>
          <w:sz w:val="24"/>
          <w:szCs w:val="24"/>
          <w:shd w:val="clear" w:color="auto" w:fill="FFFFFF"/>
          <w:lang w:val="en-US"/>
        </w:rPr>
        <w:t>T</w:t>
      </w:r>
      <w:r w:rsidRPr="00CA49C1">
        <w:rPr>
          <w:rFonts w:eastAsia="Arial Unicode MS"/>
          <w:sz w:val="24"/>
          <w:szCs w:val="24"/>
          <w:shd w:val="clear" w:color="auto" w:fill="FFFFFF"/>
          <w:lang w:val="en-US"/>
        </w:rPr>
        <w:t xml:space="preserve">hree </w:t>
      </w:r>
      <w:r>
        <w:rPr>
          <w:rFonts w:eastAsia="Arial Unicode MS"/>
          <w:sz w:val="24"/>
          <w:szCs w:val="24"/>
          <w:shd w:val="clear" w:color="auto" w:fill="FFFFFF"/>
          <w:lang w:val="en-US"/>
        </w:rPr>
        <w:t xml:space="preserve">SBRT </w:t>
      </w:r>
      <w:r w:rsidRPr="00CA49C1">
        <w:rPr>
          <w:rFonts w:eastAsia="Arial Unicode MS"/>
          <w:sz w:val="24"/>
          <w:szCs w:val="24"/>
          <w:shd w:val="clear" w:color="auto" w:fill="FFFFFF"/>
          <w:lang w:val="en-US"/>
        </w:rPr>
        <w:t>patients with known portal hypertension developed gastric ulcers with bleeding, three, four and five months after SBRT which were treated with proton pump inhibitors (2 patients, CTC</w:t>
      </w:r>
      <w:r w:rsidR="007C1DC6">
        <w:rPr>
          <w:rFonts w:eastAsia="Arial Unicode MS"/>
          <w:sz w:val="24"/>
          <w:szCs w:val="24"/>
          <w:shd w:val="clear" w:color="auto" w:fill="FFFFFF"/>
          <w:lang w:val="en-US"/>
        </w:rPr>
        <w:t>AE</w:t>
      </w:r>
      <w:r w:rsidRPr="00CA49C1">
        <w:rPr>
          <w:rFonts w:eastAsia="Arial Unicode MS"/>
          <w:sz w:val="24"/>
          <w:szCs w:val="24"/>
          <w:shd w:val="clear" w:color="auto" w:fill="FFFFFF"/>
          <w:lang w:val="en-US"/>
        </w:rPr>
        <w:t xml:space="preserve"> grade 2) and transfusion (1 patient, grade CTC</w:t>
      </w:r>
      <w:r w:rsidR="007C1DC6">
        <w:rPr>
          <w:rFonts w:eastAsia="Arial Unicode MS"/>
          <w:sz w:val="24"/>
          <w:szCs w:val="24"/>
          <w:shd w:val="clear" w:color="auto" w:fill="FFFFFF"/>
          <w:lang w:val="en-US"/>
        </w:rPr>
        <w:t>AE</w:t>
      </w:r>
      <w:r w:rsidRPr="00CA49C1">
        <w:rPr>
          <w:rFonts w:eastAsia="Arial Unicode MS"/>
          <w:sz w:val="24"/>
          <w:szCs w:val="24"/>
          <w:shd w:val="clear" w:color="auto" w:fill="FFFFFF"/>
          <w:lang w:val="en-US"/>
        </w:rPr>
        <w:t xml:space="preserve"> 3). The patient with CTC</w:t>
      </w:r>
      <w:r w:rsidR="007C1DC6">
        <w:rPr>
          <w:rFonts w:eastAsia="Arial Unicode MS"/>
          <w:sz w:val="24"/>
          <w:szCs w:val="24"/>
          <w:shd w:val="clear" w:color="auto" w:fill="FFFFFF"/>
          <w:lang w:val="en-US"/>
        </w:rPr>
        <w:t>AE</w:t>
      </w:r>
      <w:r w:rsidRPr="00CA49C1">
        <w:rPr>
          <w:rFonts w:eastAsia="Arial Unicode MS"/>
          <w:sz w:val="24"/>
          <w:szCs w:val="24"/>
          <w:shd w:val="clear" w:color="auto" w:fill="FFFFFF"/>
          <w:lang w:val="en-US"/>
        </w:rPr>
        <w:t xml:space="preserve"> Grade 3 gastroduodenitis </w:t>
      </w:r>
      <w:r>
        <w:rPr>
          <w:rFonts w:eastAsia="Arial Unicode MS"/>
          <w:sz w:val="24"/>
          <w:szCs w:val="24"/>
          <w:shd w:val="clear" w:color="auto" w:fill="FFFFFF"/>
          <w:lang w:val="en-US"/>
        </w:rPr>
        <w:t xml:space="preserve">who required </w:t>
      </w:r>
      <w:r w:rsidRPr="00CA49C1">
        <w:rPr>
          <w:rFonts w:eastAsia="Arial Unicode MS"/>
          <w:sz w:val="24"/>
          <w:szCs w:val="24"/>
          <w:shd w:val="clear" w:color="auto" w:fill="FFFFFF"/>
          <w:lang w:val="en-US"/>
        </w:rPr>
        <w:t>a transfusion was treated in the past with liver SBRT for another HCC lesion, with an interval of 4 months between the two treatments. In all other cases the constraints did not exceed the constraints proposed by Timmerman et al.</w:t>
      </w:r>
      <w:r w:rsidR="007C1DC6">
        <w:rPr>
          <w:rFonts w:eastAsia="Arial Unicode MS"/>
          <w:sz w:val="24"/>
          <w:szCs w:val="24"/>
          <w:shd w:val="clear" w:color="auto" w:fill="FFFFFF"/>
          <w:lang w:val="en-US"/>
        </w:rPr>
        <w:t xml:space="preserve"> </w:t>
      </w:r>
      <w:r w:rsidR="00983600">
        <w:rPr>
          <w:rFonts w:eastAsia="Arial Unicode MS"/>
          <w:sz w:val="24"/>
          <w:szCs w:val="24"/>
          <w:shd w:val="clear" w:color="auto" w:fill="FFFFFF"/>
          <w:lang w:val="en-US"/>
        </w:rPr>
        <w:fldChar w:fldCharType="begin" w:fldLock="1"/>
      </w:r>
      <w:r w:rsidR="00FC6AC8">
        <w:rPr>
          <w:rFonts w:eastAsia="Arial Unicode MS"/>
          <w:sz w:val="24"/>
          <w:szCs w:val="24"/>
          <w:shd w:val="clear" w:color="auto" w:fill="FFFFFF"/>
          <w:lang w:val="en-US"/>
        </w:rPr>
        <w:instrText>ADDIN CSL_CITATION { "citationItems" : [ { "id" : "ITEM-1", "itemData" : { "DOI" : "10.1016/j.semradonc.2008.04.001", "ISBN" : "1053-4296 (Print)\\n1053-4296 (Linking)", "ISSN" : "10534296", "PMID" : "15983945", "abstract" : "Despite the historically limited role of radiotherapy in the management of primary hepatic malignancies, modern advances in treatment design and delivery have renewed enthusiasm for radiation as a potentially curative treatment modality. Surgical resection and/or liver transplantation are traditionally regarded as the most effective forms of therapy, although the majority of patients with hepatocellular carcinoma and intrahepatic cholangiocarcinoma present with locally advanced or unresectable disease on the basis of local vascular invasion or inadequate baseline hepatobiliary function. In this context, many efforts have focused on nonoperative treatment approaches including novel systemic therapies, transarterial chemoembolization, ethanol ablation, radiofrequency ablation, and stereotactic body radiation therapy (SBRT). This review aims to summarize modern advances in radiotherapy, particularly SBRT, in the treatment of primary hepatic malignancies.", "author" : [ { "dropping-particle" : "", "family" : "Timmerman", "given" : "Robert D.", "non-dropping-particle" : "", "parse-names" : false, "suffix" : "" } ], "container-title" : "Seminars in Radiation Oncology", "id" : "ITEM-1", "issue" : "4", "issued" : { "date-parts" : [ [ "2008" ] ] }, "page" : "215-222", "title" : "An Overview of Hypofractionation and Introduction to This Issue of Seminars in Radiation Oncology", "type" : "article-journal", "volume" : "18" }, "uris" : [ "http://www.mendeley.com/documents/?uuid=5370104b-09cf-4d6c-a901-577a8df43ab0" ] } ], "mendeley" : { "formattedCitation" : "[23]", "plainTextFormattedCitation" : "[23]", "previouslyFormattedCitation" : "[23]" }, "properties" : {  }, "schema" : "https://github.com/citation-style-language/schema/raw/master/csl-citation.json" }</w:instrText>
      </w:r>
      <w:r w:rsidR="00983600">
        <w:rPr>
          <w:rFonts w:eastAsia="Arial Unicode MS"/>
          <w:sz w:val="24"/>
          <w:szCs w:val="24"/>
          <w:shd w:val="clear" w:color="auto" w:fill="FFFFFF"/>
          <w:lang w:val="en-US"/>
        </w:rPr>
        <w:fldChar w:fldCharType="separate"/>
      </w:r>
      <w:r w:rsidR="00FC6AC8" w:rsidRPr="00FC6AC8">
        <w:rPr>
          <w:rFonts w:eastAsia="Arial Unicode MS"/>
          <w:noProof/>
          <w:sz w:val="24"/>
          <w:szCs w:val="24"/>
          <w:shd w:val="clear" w:color="auto" w:fill="FFFFFF"/>
          <w:lang w:val="en-US"/>
        </w:rPr>
        <w:t>[23]</w:t>
      </w:r>
      <w:r w:rsidR="00983600">
        <w:rPr>
          <w:rFonts w:eastAsia="Arial Unicode MS"/>
          <w:sz w:val="24"/>
          <w:szCs w:val="24"/>
          <w:shd w:val="clear" w:color="auto" w:fill="FFFFFF"/>
          <w:lang w:val="en-US"/>
        </w:rPr>
        <w:fldChar w:fldCharType="end"/>
      </w:r>
      <w:r>
        <w:rPr>
          <w:rFonts w:eastAsia="Arial Unicode MS"/>
          <w:sz w:val="24"/>
          <w:szCs w:val="24"/>
          <w:shd w:val="clear" w:color="auto" w:fill="FFFFFF"/>
          <w:lang w:val="en-US"/>
        </w:rPr>
        <w:t xml:space="preserve"> </w:t>
      </w:r>
      <w:r w:rsidRPr="00CA49C1">
        <w:rPr>
          <w:sz w:val="24"/>
          <w:szCs w:val="24"/>
          <w:lang w:val="en-US"/>
        </w:rPr>
        <w:t>An increase of the C</w:t>
      </w:r>
      <w:r>
        <w:rPr>
          <w:sz w:val="24"/>
          <w:szCs w:val="24"/>
          <w:lang w:val="en-US"/>
        </w:rPr>
        <w:t>hild</w:t>
      </w:r>
      <w:r w:rsidRPr="00CA49C1">
        <w:rPr>
          <w:sz w:val="24"/>
          <w:szCs w:val="24"/>
          <w:lang w:val="en-US"/>
        </w:rPr>
        <w:t xml:space="preserve"> score without progression was observed in </w:t>
      </w:r>
      <w:r>
        <w:rPr>
          <w:sz w:val="24"/>
          <w:szCs w:val="24"/>
          <w:lang w:val="en-US"/>
        </w:rPr>
        <w:t>4</w:t>
      </w:r>
      <w:r w:rsidRPr="00CA49C1">
        <w:rPr>
          <w:sz w:val="24"/>
          <w:szCs w:val="24"/>
          <w:lang w:val="en-US"/>
        </w:rPr>
        <w:t xml:space="preserve"> patients (B7 to B8, A6 to B7</w:t>
      </w:r>
      <w:r>
        <w:rPr>
          <w:sz w:val="24"/>
          <w:szCs w:val="24"/>
          <w:lang w:val="en-US"/>
        </w:rPr>
        <w:t>, B8 to C9) and one patient</w:t>
      </w:r>
      <w:r w:rsidRPr="00CA49C1">
        <w:rPr>
          <w:sz w:val="24"/>
          <w:szCs w:val="24"/>
          <w:lang w:val="en-US"/>
        </w:rPr>
        <w:t xml:space="preserve"> developed an increase of </w:t>
      </w:r>
      <w:r w:rsidRPr="00CA49C1">
        <w:rPr>
          <w:sz w:val="24"/>
          <w:szCs w:val="24"/>
          <w:u w:val="single"/>
          <w:lang w:val="en-US"/>
        </w:rPr>
        <w:t>&gt;</w:t>
      </w:r>
      <w:r w:rsidRPr="00CA49C1">
        <w:rPr>
          <w:sz w:val="24"/>
          <w:szCs w:val="24"/>
          <w:lang w:val="en-US"/>
        </w:rPr>
        <w:t xml:space="preserve"> 2 points after treatment (A6 to B8) due to a </w:t>
      </w:r>
      <w:r w:rsidR="007C1DC6">
        <w:rPr>
          <w:sz w:val="24"/>
          <w:szCs w:val="24"/>
          <w:lang w:val="en-US"/>
        </w:rPr>
        <w:t>radiation induced liver disease</w:t>
      </w:r>
      <w:r w:rsidRPr="00CA49C1">
        <w:rPr>
          <w:sz w:val="24"/>
          <w:szCs w:val="24"/>
          <w:lang w:val="en-US"/>
        </w:rPr>
        <w:t xml:space="preserve">. </w:t>
      </w:r>
      <w:r w:rsidRPr="00CA49C1">
        <w:rPr>
          <w:rFonts w:eastAsia="Arial Unicode MS"/>
          <w:sz w:val="24"/>
          <w:szCs w:val="24"/>
          <w:shd w:val="clear" w:color="auto" w:fill="FFFFFF"/>
          <w:lang w:val="en-US"/>
        </w:rPr>
        <w:t xml:space="preserve">The latter </w:t>
      </w:r>
      <w:r w:rsidR="00F67DF4">
        <w:rPr>
          <w:rFonts w:eastAsia="Arial Unicode MS"/>
          <w:sz w:val="24"/>
          <w:szCs w:val="24"/>
          <w:shd w:val="clear" w:color="auto" w:fill="FFFFFF"/>
          <w:lang w:val="en-US"/>
        </w:rPr>
        <w:t xml:space="preserve">patient </w:t>
      </w:r>
      <w:r w:rsidRPr="00CA49C1">
        <w:rPr>
          <w:rFonts w:eastAsia="Arial Unicode MS"/>
          <w:sz w:val="24"/>
          <w:szCs w:val="24"/>
          <w:shd w:val="clear" w:color="auto" w:fill="FFFFFF"/>
          <w:lang w:val="en-US"/>
        </w:rPr>
        <w:t xml:space="preserve">recovered fully </w:t>
      </w:r>
      <w:r w:rsidR="00F67DF4">
        <w:rPr>
          <w:rFonts w:eastAsia="Arial Unicode MS"/>
          <w:sz w:val="24"/>
          <w:szCs w:val="24"/>
          <w:shd w:val="clear" w:color="auto" w:fill="FFFFFF"/>
          <w:lang w:val="en-US"/>
        </w:rPr>
        <w:t xml:space="preserve">from </w:t>
      </w:r>
      <w:r w:rsidR="00F67DF4">
        <w:rPr>
          <w:sz w:val="24"/>
          <w:szCs w:val="24"/>
          <w:lang w:val="en-US"/>
        </w:rPr>
        <w:t>radiation induced liver disease</w:t>
      </w:r>
      <w:r w:rsidR="00F67DF4" w:rsidRPr="00CA49C1">
        <w:rPr>
          <w:rFonts w:eastAsia="Arial Unicode MS"/>
          <w:sz w:val="24"/>
          <w:szCs w:val="24"/>
          <w:shd w:val="clear" w:color="auto" w:fill="FFFFFF"/>
          <w:lang w:val="en-US"/>
        </w:rPr>
        <w:t xml:space="preserve"> </w:t>
      </w:r>
      <w:r w:rsidRPr="00CA49C1">
        <w:rPr>
          <w:rFonts w:eastAsia="Arial Unicode MS"/>
          <w:sz w:val="24"/>
          <w:szCs w:val="24"/>
          <w:shd w:val="clear" w:color="auto" w:fill="FFFFFF"/>
          <w:lang w:val="en-US"/>
        </w:rPr>
        <w:t xml:space="preserve">and died 9 months after SBRT due to renal failure. </w:t>
      </w:r>
      <w:r>
        <w:rPr>
          <w:sz w:val="24"/>
          <w:szCs w:val="24"/>
          <w:lang w:val="en-US"/>
        </w:rPr>
        <w:t>One</w:t>
      </w:r>
      <w:r w:rsidRPr="00CA49C1">
        <w:rPr>
          <w:sz w:val="24"/>
          <w:szCs w:val="24"/>
          <w:lang w:val="en-US"/>
        </w:rPr>
        <w:t xml:space="preserve"> of these patients, with an increase of one point (A5 to A6) died due to liver decompensation without disease </w:t>
      </w:r>
      <w:r>
        <w:rPr>
          <w:sz w:val="24"/>
          <w:szCs w:val="24"/>
          <w:lang w:val="en-US"/>
        </w:rPr>
        <w:t>progression 4 months after SBRT and one patient developed a liver decompensation and was transplanted without evidence of disease (pathological complete response)</w:t>
      </w:r>
      <w:r w:rsidRPr="00CA49C1">
        <w:rPr>
          <w:sz w:val="24"/>
          <w:szCs w:val="24"/>
          <w:lang w:val="en-US"/>
        </w:rPr>
        <w:t xml:space="preserve">. </w:t>
      </w:r>
      <w:r w:rsidRPr="00CA49C1">
        <w:rPr>
          <w:rFonts w:eastAsia="Arial Unicode MS"/>
          <w:sz w:val="24"/>
          <w:szCs w:val="24"/>
          <w:shd w:val="clear" w:color="auto" w:fill="FFFFFF"/>
          <w:lang w:val="en-US"/>
        </w:rPr>
        <w:t>One patient developed a necrotic abscess in the PTV of the liver due to a dislocation of a pre-</w:t>
      </w:r>
      <w:r>
        <w:rPr>
          <w:rFonts w:eastAsia="Arial Unicode MS"/>
          <w:sz w:val="24"/>
          <w:szCs w:val="24"/>
          <w:shd w:val="clear" w:color="auto" w:fill="FFFFFF"/>
          <w:lang w:val="en-US"/>
        </w:rPr>
        <w:t xml:space="preserve">existing stent of the bile duct and one patient developed a cholangitis probably </w:t>
      </w:r>
      <w:r w:rsidR="00D31E19">
        <w:rPr>
          <w:rFonts w:eastAsia="Arial Unicode MS"/>
          <w:sz w:val="24"/>
          <w:szCs w:val="24"/>
          <w:shd w:val="clear" w:color="auto" w:fill="FFFFFF"/>
          <w:lang w:val="en-US"/>
        </w:rPr>
        <w:t>deemed to be SBRT-related by the investigators</w:t>
      </w:r>
      <w:r>
        <w:rPr>
          <w:rFonts w:eastAsia="Arial Unicode MS"/>
          <w:sz w:val="24"/>
          <w:szCs w:val="24"/>
          <w:shd w:val="clear" w:color="auto" w:fill="FFFFFF"/>
          <w:lang w:val="en-US"/>
        </w:rPr>
        <w:t>. One patient developed fatigue CTC</w:t>
      </w:r>
      <w:r w:rsidR="007C1DC6">
        <w:rPr>
          <w:rFonts w:eastAsia="Arial Unicode MS"/>
          <w:sz w:val="24"/>
          <w:szCs w:val="24"/>
          <w:shd w:val="clear" w:color="auto" w:fill="FFFFFF"/>
          <w:lang w:val="en-US"/>
        </w:rPr>
        <w:t>AE</w:t>
      </w:r>
      <w:r>
        <w:rPr>
          <w:rFonts w:eastAsia="Arial Unicode MS"/>
          <w:sz w:val="24"/>
          <w:szCs w:val="24"/>
          <w:shd w:val="clear" w:color="auto" w:fill="FFFFFF"/>
          <w:lang w:val="en-US"/>
        </w:rPr>
        <w:t xml:space="preserve"> grade 1.</w:t>
      </w:r>
    </w:p>
    <w:p w14:paraId="0DF6FF36" w14:textId="77777777" w:rsidR="002628E7" w:rsidRDefault="002628E7" w:rsidP="00CA49C1">
      <w:pPr>
        <w:spacing w:line="480" w:lineRule="auto"/>
        <w:rPr>
          <w:b/>
          <w:i/>
          <w:sz w:val="24"/>
          <w:szCs w:val="24"/>
          <w:lang w:val="en-US"/>
        </w:rPr>
      </w:pPr>
      <w:r>
        <w:rPr>
          <w:b/>
          <w:i/>
          <w:sz w:val="24"/>
          <w:szCs w:val="24"/>
          <w:lang w:val="en-US"/>
        </w:rPr>
        <w:lastRenderedPageBreak/>
        <w:t xml:space="preserve">Overall survival in patients </w:t>
      </w:r>
      <w:r w:rsidR="00121B63">
        <w:rPr>
          <w:b/>
          <w:i/>
          <w:sz w:val="24"/>
          <w:szCs w:val="24"/>
          <w:lang w:val="en-US"/>
        </w:rPr>
        <w:t xml:space="preserve">treated </w:t>
      </w:r>
      <w:r>
        <w:rPr>
          <w:b/>
          <w:i/>
          <w:sz w:val="24"/>
          <w:szCs w:val="24"/>
          <w:lang w:val="en-US"/>
        </w:rPr>
        <w:t xml:space="preserve">with SBRT compared to sorafenib </w:t>
      </w:r>
      <w:r w:rsidR="000E474A">
        <w:rPr>
          <w:b/>
          <w:i/>
          <w:sz w:val="24"/>
          <w:szCs w:val="24"/>
          <w:lang w:val="en-US"/>
        </w:rPr>
        <w:t>in the unmatched and matched cohort</w:t>
      </w:r>
    </w:p>
    <w:p w14:paraId="57A96613" w14:textId="77777777" w:rsidR="000E474A" w:rsidRDefault="00A06E14" w:rsidP="000E474A">
      <w:pPr>
        <w:spacing w:line="480" w:lineRule="auto"/>
        <w:jc w:val="both"/>
        <w:rPr>
          <w:sz w:val="24"/>
          <w:szCs w:val="24"/>
          <w:lang w:val="en-US"/>
        </w:rPr>
      </w:pPr>
      <w:r w:rsidRPr="003B2A0B">
        <w:rPr>
          <w:sz w:val="24"/>
          <w:szCs w:val="24"/>
          <w:lang w:val="en-US"/>
        </w:rPr>
        <w:t xml:space="preserve">In patients </w:t>
      </w:r>
      <w:r>
        <w:rPr>
          <w:sz w:val="24"/>
          <w:szCs w:val="24"/>
          <w:lang w:val="en-US"/>
        </w:rPr>
        <w:t>treated with sorafenib</w:t>
      </w:r>
      <w:r w:rsidR="004F4710">
        <w:rPr>
          <w:sz w:val="24"/>
          <w:szCs w:val="24"/>
          <w:lang w:val="en-US"/>
        </w:rPr>
        <w:t>,</w:t>
      </w:r>
      <w:r>
        <w:rPr>
          <w:sz w:val="24"/>
          <w:szCs w:val="24"/>
          <w:lang w:val="en-US"/>
        </w:rPr>
        <w:t xml:space="preserve"> OS was 8.8 [8.2 - 9.5] months compared to </w:t>
      </w:r>
      <w:r w:rsidR="00034149">
        <w:rPr>
          <w:sz w:val="24"/>
          <w:szCs w:val="24"/>
          <w:lang w:val="en-US"/>
        </w:rPr>
        <w:t>17.0</w:t>
      </w:r>
      <w:r>
        <w:rPr>
          <w:sz w:val="24"/>
          <w:szCs w:val="24"/>
          <w:lang w:val="en-US"/>
        </w:rPr>
        <w:t xml:space="preserve"> [</w:t>
      </w:r>
      <w:r w:rsidR="00034149">
        <w:rPr>
          <w:sz w:val="24"/>
          <w:szCs w:val="24"/>
          <w:lang w:val="en-US"/>
        </w:rPr>
        <w:t>9.8</w:t>
      </w:r>
      <w:r>
        <w:rPr>
          <w:sz w:val="24"/>
          <w:szCs w:val="24"/>
          <w:lang w:val="en-US"/>
        </w:rPr>
        <w:t xml:space="preserve"> - </w:t>
      </w:r>
      <w:r w:rsidR="00034149">
        <w:rPr>
          <w:sz w:val="24"/>
          <w:szCs w:val="24"/>
          <w:lang w:val="en-US"/>
        </w:rPr>
        <w:t>24.2</w:t>
      </w:r>
      <w:r>
        <w:rPr>
          <w:sz w:val="24"/>
          <w:szCs w:val="24"/>
          <w:lang w:val="en-US"/>
        </w:rPr>
        <w:t xml:space="preserve">] months in the SBRT cohort. </w:t>
      </w:r>
      <w:r w:rsidR="000E474A">
        <w:rPr>
          <w:sz w:val="24"/>
          <w:szCs w:val="24"/>
          <w:lang w:val="en-US"/>
        </w:rPr>
        <w:t>We performed multivariable logistic regre</w:t>
      </w:r>
      <w:r w:rsidR="00983600">
        <w:rPr>
          <w:sz w:val="24"/>
          <w:szCs w:val="24"/>
          <w:lang w:val="en-US"/>
        </w:rPr>
        <w:t>s</w:t>
      </w:r>
      <w:r w:rsidR="000E474A">
        <w:rPr>
          <w:sz w:val="24"/>
          <w:szCs w:val="24"/>
          <w:lang w:val="en-US"/>
        </w:rPr>
        <w:t>sion model for development of the propensity score (</w:t>
      </w:r>
      <w:r w:rsidR="000E474A" w:rsidRPr="000E474A">
        <w:rPr>
          <w:b/>
          <w:sz w:val="24"/>
          <w:szCs w:val="24"/>
          <w:lang w:val="en-US"/>
        </w:rPr>
        <w:t>Suppl. Table 1</w:t>
      </w:r>
      <w:r w:rsidR="000E474A">
        <w:rPr>
          <w:sz w:val="24"/>
          <w:szCs w:val="24"/>
          <w:lang w:val="en-US"/>
        </w:rPr>
        <w:t xml:space="preserve">). After 1:1 matching using the </w:t>
      </w:r>
      <w:r w:rsidR="000E474A">
        <w:rPr>
          <w:rFonts w:cs="Arial"/>
          <w:sz w:val="24"/>
          <w:szCs w:val="24"/>
          <w:lang w:val="en-GB"/>
        </w:rPr>
        <w:t>nearest-neigh</w:t>
      </w:r>
      <w:r w:rsidR="00983600">
        <w:rPr>
          <w:rFonts w:cs="Arial"/>
          <w:sz w:val="24"/>
          <w:szCs w:val="24"/>
          <w:lang w:val="en-GB"/>
        </w:rPr>
        <w:t>b</w:t>
      </w:r>
      <w:r w:rsidR="000E474A">
        <w:rPr>
          <w:rFonts w:cs="Arial"/>
          <w:sz w:val="24"/>
          <w:szCs w:val="24"/>
          <w:lang w:val="en-GB"/>
        </w:rPr>
        <w:t>o</w:t>
      </w:r>
      <w:r w:rsidR="00983600">
        <w:rPr>
          <w:rFonts w:cs="Arial"/>
          <w:sz w:val="24"/>
          <w:szCs w:val="24"/>
          <w:lang w:val="en-GB"/>
        </w:rPr>
        <w:t>u</w:t>
      </w:r>
      <w:r w:rsidR="000E474A">
        <w:rPr>
          <w:rFonts w:cs="Arial"/>
          <w:sz w:val="24"/>
          <w:szCs w:val="24"/>
          <w:lang w:val="en-GB"/>
        </w:rPr>
        <w:t>r method, we identified 190 patients (95 sorafenib patients and 95 SBRT patients) with comparable patient and tumor characteristics (</w:t>
      </w:r>
      <w:r w:rsidR="000E474A" w:rsidRPr="000E474A">
        <w:rPr>
          <w:rFonts w:cs="Arial"/>
          <w:b/>
          <w:sz w:val="24"/>
          <w:szCs w:val="24"/>
          <w:lang w:val="en-GB"/>
        </w:rPr>
        <w:t>Table 3</w:t>
      </w:r>
      <w:r w:rsidR="000E474A">
        <w:rPr>
          <w:rFonts w:cs="Arial"/>
          <w:sz w:val="24"/>
          <w:szCs w:val="24"/>
          <w:lang w:val="en-GB"/>
        </w:rPr>
        <w:t>). Covaria</w:t>
      </w:r>
      <w:r w:rsidR="00983600">
        <w:rPr>
          <w:rFonts w:cs="Arial"/>
          <w:sz w:val="24"/>
          <w:szCs w:val="24"/>
          <w:lang w:val="en-GB"/>
        </w:rPr>
        <w:t>tes</w:t>
      </w:r>
      <w:r w:rsidR="000E474A">
        <w:rPr>
          <w:rFonts w:cs="Arial"/>
          <w:sz w:val="24"/>
          <w:szCs w:val="24"/>
          <w:lang w:val="en-GB"/>
        </w:rPr>
        <w:t xml:space="preserve"> which were used for </w:t>
      </w:r>
      <w:r w:rsidR="00983600">
        <w:rPr>
          <w:rFonts w:cs="Arial"/>
          <w:sz w:val="24"/>
          <w:szCs w:val="24"/>
          <w:lang w:val="en-GB"/>
        </w:rPr>
        <w:t>development</w:t>
      </w:r>
      <w:r w:rsidR="000E474A">
        <w:rPr>
          <w:rFonts w:cs="Arial"/>
          <w:sz w:val="24"/>
          <w:szCs w:val="24"/>
          <w:lang w:val="en-GB"/>
        </w:rPr>
        <w:t xml:space="preserve"> of the propensity score showed mean standardized differences ≤ 0.01 indicating adequate balance of the matched variables. </w:t>
      </w:r>
    </w:p>
    <w:p w14:paraId="18BDCE3B" w14:textId="77777777" w:rsidR="000E474A" w:rsidRDefault="002E2151" w:rsidP="000E474A">
      <w:pPr>
        <w:spacing w:line="480" w:lineRule="auto"/>
        <w:jc w:val="both"/>
        <w:rPr>
          <w:sz w:val="24"/>
          <w:szCs w:val="24"/>
          <w:lang w:val="en-US"/>
        </w:rPr>
      </w:pPr>
      <w:r>
        <w:rPr>
          <w:sz w:val="24"/>
          <w:szCs w:val="24"/>
          <w:lang w:val="en-US"/>
        </w:rPr>
        <w:t>I</w:t>
      </w:r>
      <w:r w:rsidR="000E474A">
        <w:rPr>
          <w:sz w:val="24"/>
          <w:szCs w:val="24"/>
          <w:lang w:val="en-US"/>
        </w:rPr>
        <w:t>n the matched cohort</w:t>
      </w:r>
      <w:r w:rsidR="004F4710">
        <w:rPr>
          <w:sz w:val="24"/>
          <w:szCs w:val="24"/>
          <w:lang w:val="en-US"/>
        </w:rPr>
        <w:t>,</w:t>
      </w:r>
      <w:r>
        <w:rPr>
          <w:sz w:val="24"/>
          <w:szCs w:val="24"/>
          <w:lang w:val="en-US"/>
        </w:rPr>
        <w:t xml:space="preserve"> patients treated with SBRT still had improved OS of 1</w:t>
      </w:r>
      <w:r w:rsidR="00034149">
        <w:rPr>
          <w:sz w:val="24"/>
          <w:szCs w:val="24"/>
          <w:lang w:val="en-US"/>
        </w:rPr>
        <w:t>6</w:t>
      </w:r>
      <w:r>
        <w:rPr>
          <w:sz w:val="24"/>
          <w:szCs w:val="24"/>
          <w:lang w:val="en-US"/>
        </w:rPr>
        <w:t>.0 [1</w:t>
      </w:r>
      <w:r w:rsidR="00034149">
        <w:rPr>
          <w:sz w:val="24"/>
          <w:szCs w:val="24"/>
          <w:lang w:val="en-US"/>
        </w:rPr>
        <w:t>1.0</w:t>
      </w:r>
      <w:r>
        <w:rPr>
          <w:sz w:val="24"/>
          <w:szCs w:val="24"/>
          <w:lang w:val="en-US"/>
        </w:rPr>
        <w:t xml:space="preserve"> - 2</w:t>
      </w:r>
      <w:r w:rsidR="00034149">
        <w:rPr>
          <w:sz w:val="24"/>
          <w:szCs w:val="24"/>
          <w:lang w:val="en-US"/>
        </w:rPr>
        <w:t>1</w:t>
      </w:r>
      <w:r>
        <w:rPr>
          <w:sz w:val="24"/>
          <w:szCs w:val="24"/>
          <w:lang w:val="en-US"/>
        </w:rPr>
        <w:t>.</w:t>
      </w:r>
      <w:r w:rsidR="00034149">
        <w:rPr>
          <w:sz w:val="24"/>
          <w:szCs w:val="24"/>
          <w:lang w:val="en-US"/>
        </w:rPr>
        <w:t>0</w:t>
      </w:r>
      <w:r>
        <w:rPr>
          <w:sz w:val="24"/>
          <w:szCs w:val="24"/>
          <w:lang w:val="en-US"/>
        </w:rPr>
        <w:t>] months compared to 9.6 [8.6 - 10.7] months in the sorafenib group (p=0.00</w:t>
      </w:r>
      <w:r w:rsidR="00034149">
        <w:rPr>
          <w:sz w:val="24"/>
          <w:szCs w:val="24"/>
          <w:lang w:val="en-US"/>
        </w:rPr>
        <w:t>5</w:t>
      </w:r>
      <w:r>
        <w:rPr>
          <w:sz w:val="24"/>
          <w:szCs w:val="24"/>
          <w:lang w:val="en-US"/>
        </w:rPr>
        <w:t xml:space="preserve">, </w:t>
      </w:r>
      <w:r w:rsidRPr="002E2151">
        <w:rPr>
          <w:b/>
          <w:sz w:val="24"/>
          <w:szCs w:val="24"/>
          <w:lang w:val="en-US"/>
        </w:rPr>
        <w:t>figure 1</w:t>
      </w:r>
      <w:r w:rsidR="003640D4">
        <w:rPr>
          <w:sz w:val="24"/>
          <w:szCs w:val="24"/>
          <w:lang w:val="en-US"/>
        </w:rPr>
        <w:t>). Further, we performed uni-</w:t>
      </w:r>
      <w:r w:rsidR="002A1A15">
        <w:rPr>
          <w:sz w:val="24"/>
          <w:szCs w:val="24"/>
          <w:lang w:val="en-US"/>
        </w:rPr>
        <w:t xml:space="preserve"> </w:t>
      </w:r>
      <w:r w:rsidR="003640D4">
        <w:rPr>
          <w:sz w:val="24"/>
          <w:szCs w:val="24"/>
          <w:lang w:val="en-US"/>
        </w:rPr>
        <w:t>and multivariate Cox regression model and confirmed SBRT as an independent positive prognostic factor (</w:t>
      </w:r>
      <w:r w:rsidR="003640D4" w:rsidRPr="003640D4">
        <w:rPr>
          <w:b/>
          <w:sz w:val="24"/>
          <w:szCs w:val="24"/>
          <w:lang w:val="en-US"/>
        </w:rPr>
        <w:t xml:space="preserve">table </w:t>
      </w:r>
      <w:r w:rsidR="004D56D3">
        <w:rPr>
          <w:b/>
          <w:sz w:val="24"/>
          <w:szCs w:val="24"/>
          <w:lang w:val="en-US"/>
        </w:rPr>
        <w:t>4</w:t>
      </w:r>
      <w:r w:rsidR="002A1A15">
        <w:rPr>
          <w:b/>
          <w:sz w:val="24"/>
          <w:szCs w:val="24"/>
          <w:lang w:val="en-US"/>
        </w:rPr>
        <w:t xml:space="preserve">, </w:t>
      </w:r>
      <w:r w:rsidR="002A1A15" w:rsidRPr="002A1A15">
        <w:rPr>
          <w:sz w:val="24"/>
          <w:szCs w:val="24"/>
          <w:lang w:val="en-US"/>
        </w:rPr>
        <w:t>HR 0.5</w:t>
      </w:r>
      <w:r w:rsidR="00357A88">
        <w:rPr>
          <w:sz w:val="24"/>
          <w:szCs w:val="24"/>
          <w:lang w:val="en-US"/>
        </w:rPr>
        <w:t>3</w:t>
      </w:r>
      <w:r w:rsidR="002A1A15" w:rsidRPr="002A1A15">
        <w:rPr>
          <w:sz w:val="24"/>
          <w:szCs w:val="24"/>
          <w:lang w:val="en-US"/>
        </w:rPr>
        <w:t xml:space="preserve"> [0.3</w:t>
      </w:r>
      <w:r w:rsidR="00357A88">
        <w:rPr>
          <w:sz w:val="24"/>
          <w:szCs w:val="24"/>
          <w:lang w:val="en-US"/>
        </w:rPr>
        <w:t>6</w:t>
      </w:r>
      <w:r w:rsidR="002A1A15" w:rsidRPr="002A1A15">
        <w:rPr>
          <w:sz w:val="24"/>
          <w:szCs w:val="24"/>
          <w:lang w:val="en-US"/>
        </w:rPr>
        <w:t xml:space="preserve"> - 0.7</w:t>
      </w:r>
      <w:r w:rsidR="00357A88">
        <w:rPr>
          <w:sz w:val="24"/>
          <w:szCs w:val="24"/>
          <w:lang w:val="en-US"/>
        </w:rPr>
        <w:t>7</w:t>
      </w:r>
      <w:r w:rsidR="002A1A15">
        <w:rPr>
          <w:sz w:val="24"/>
          <w:szCs w:val="24"/>
          <w:lang w:val="en-US"/>
        </w:rPr>
        <w:t>]</w:t>
      </w:r>
      <w:r w:rsidR="002A1A15" w:rsidRPr="002A1A15">
        <w:rPr>
          <w:sz w:val="24"/>
          <w:szCs w:val="24"/>
          <w:lang w:val="en-US"/>
        </w:rPr>
        <w:t>, p=0.001</w:t>
      </w:r>
      <w:r w:rsidR="003640D4">
        <w:rPr>
          <w:sz w:val="24"/>
          <w:szCs w:val="24"/>
          <w:lang w:val="en-US"/>
        </w:rPr>
        <w:t>).</w:t>
      </w:r>
    </w:p>
    <w:p w14:paraId="449D736B" w14:textId="77777777" w:rsidR="007A0CE0" w:rsidRPr="00AD246F" w:rsidRDefault="002E2151" w:rsidP="00641A95">
      <w:pPr>
        <w:spacing w:line="480" w:lineRule="auto"/>
        <w:rPr>
          <w:b/>
          <w:i/>
          <w:sz w:val="24"/>
          <w:szCs w:val="24"/>
          <w:lang w:val="en-US"/>
        </w:rPr>
      </w:pPr>
      <w:r>
        <w:rPr>
          <w:b/>
          <w:i/>
          <w:sz w:val="24"/>
          <w:szCs w:val="24"/>
          <w:lang w:val="en-US"/>
        </w:rPr>
        <w:t>O</w:t>
      </w:r>
      <w:r w:rsidR="00AD246F">
        <w:rPr>
          <w:b/>
          <w:i/>
          <w:sz w:val="24"/>
          <w:szCs w:val="24"/>
          <w:lang w:val="en-US"/>
        </w:rPr>
        <w:t>verall survival in patients with extrahepatic metastases and portal vein thrombosis</w:t>
      </w:r>
      <w:r>
        <w:rPr>
          <w:b/>
          <w:i/>
          <w:sz w:val="24"/>
          <w:szCs w:val="24"/>
          <w:lang w:val="en-US"/>
        </w:rPr>
        <w:t xml:space="preserve"> in patients treated with sorafenib or SBRT</w:t>
      </w:r>
    </w:p>
    <w:p w14:paraId="67619C5F" w14:textId="77777777" w:rsidR="00571A3D" w:rsidRDefault="00A9299A" w:rsidP="00A9299A">
      <w:pPr>
        <w:spacing w:line="480" w:lineRule="auto"/>
        <w:jc w:val="both"/>
        <w:rPr>
          <w:sz w:val="24"/>
          <w:szCs w:val="24"/>
          <w:lang w:val="en-US"/>
        </w:rPr>
      </w:pPr>
      <w:r>
        <w:rPr>
          <w:sz w:val="24"/>
          <w:szCs w:val="24"/>
          <w:lang w:val="en-US"/>
        </w:rPr>
        <w:t>We further performed subgroup analyses in patients with portal vein thrombosis</w:t>
      </w:r>
      <w:r w:rsidR="00F67DF4">
        <w:rPr>
          <w:sz w:val="24"/>
          <w:szCs w:val="24"/>
          <w:lang w:val="en-US"/>
        </w:rPr>
        <w:t xml:space="preserve"> (n=x)</w:t>
      </w:r>
      <w:r>
        <w:rPr>
          <w:sz w:val="24"/>
          <w:szCs w:val="24"/>
          <w:lang w:val="en-US"/>
        </w:rPr>
        <w:t xml:space="preserve"> and extrahepatic metastases</w:t>
      </w:r>
      <w:r w:rsidR="00F67DF4">
        <w:rPr>
          <w:sz w:val="24"/>
          <w:szCs w:val="24"/>
          <w:lang w:val="en-US"/>
        </w:rPr>
        <w:t xml:space="preserve"> (n=x)</w:t>
      </w:r>
      <w:r>
        <w:rPr>
          <w:sz w:val="24"/>
          <w:szCs w:val="24"/>
          <w:lang w:val="en-US"/>
        </w:rPr>
        <w:t>. In the unmatched cohort</w:t>
      </w:r>
      <w:r w:rsidR="004F4710">
        <w:rPr>
          <w:sz w:val="24"/>
          <w:szCs w:val="24"/>
          <w:lang w:val="en-US"/>
        </w:rPr>
        <w:t>,</w:t>
      </w:r>
      <w:r>
        <w:rPr>
          <w:sz w:val="24"/>
          <w:szCs w:val="24"/>
          <w:lang w:val="en-US"/>
        </w:rPr>
        <w:t xml:space="preserve"> patients with extrahepatic metastases treated with SBRT (only SBRT of the hepatic tumor) showed</w:t>
      </w:r>
      <w:r w:rsidR="004F4710">
        <w:rPr>
          <w:sz w:val="24"/>
          <w:szCs w:val="24"/>
          <w:lang w:val="en-US"/>
        </w:rPr>
        <w:t xml:space="preserve"> a</w:t>
      </w:r>
      <w:r>
        <w:rPr>
          <w:sz w:val="24"/>
          <w:szCs w:val="24"/>
          <w:lang w:val="en-US"/>
        </w:rPr>
        <w:t xml:space="preserve"> significantly improved overall survival compared to patients with sorafenib treatment (1</w:t>
      </w:r>
      <w:r w:rsidR="001C4D69">
        <w:rPr>
          <w:sz w:val="24"/>
          <w:szCs w:val="24"/>
          <w:lang w:val="en-US"/>
        </w:rPr>
        <w:t>6.0 [66</w:t>
      </w:r>
      <w:r>
        <w:rPr>
          <w:sz w:val="24"/>
          <w:szCs w:val="24"/>
          <w:lang w:val="en-US"/>
        </w:rPr>
        <w:t xml:space="preserve">8 - </w:t>
      </w:r>
      <w:r w:rsidR="001C4D69">
        <w:rPr>
          <w:sz w:val="24"/>
          <w:szCs w:val="24"/>
          <w:lang w:val="en-US"/>
        </w:rPr>
        <w:t>25.4</w:t>
      </w:r>
      <w:r>
        <w:rPr>
          <w:sz w:val="24"/>
          <w:szCs w:val="24"/>
          <w:lang w:val="en-US"/>
        </w:rPr>
        <w:t>] vs. 7.6 [6.2 - 8.9] months,</w:t>
      </w:r>
      <w:r w:rsidR="00774C68">
        <w:rPr>
          <w:sz w:val="24"/>
          <w:szCs w:val="24"/>
          <w:lang w:val="en-US"/>
        </w:rPr>
        <w:t xml:space="preserve"> HR 0.4</w:t>
      </w:r>
      <w:r w:rsidR="001C4D69">
        <w:rPr>
          <w:sz w:val="24"/>
          <w:szCs w:val="24"/>
          <w:lang w:val="en-US"/>
        </w:rPr>
        <w:t>3</w:t>
      </w:r>
      <w:r w:rsidR="00774C68">
        <w:rPr>
          <w:sz w:val="24"/>
          <w:szCs w:val="24"/>
          <w:lang w:val="en-US"/>
        </w:rPr>
        <w:t xml:space="preserve"> [0.2</w:t>
      </w:r>
      <w:r w:rsidR="001C4D69">
        <w:rPr>
          <w:sz w:val="24"/>
          <w:szCs w:val="24"/>
          <w:lang w:val="en-US"/>
        </w:rPr>
        <w:t>2</w:t>
      </w:r>
      <w:r w:rsidR="00774C68">
        <w:rPr>
          <w:sz w:val="24"/>
          <w:szCs w:val="24"/>
          <w:lang w:val="en-US"/>
        </w:rPr>
        <w:t xml:space="preserve"> - 0.8</w:t>
      </w:r>
      <w:r w:rsidR="001C4D69">
        <w:rPr>
          <w:sz w:val="24"/>
          <w:szCs w:val="24"/>
          <w:lang w:val="en-US"/>
        </w:rPr>
        <w:t>4</w:t>
      </w:r>
      <w:r w:rsidR="00774C68">
        <w:rPr>
          <w:sz w:val="24"/>
          <w:szCs w:val="24"/>
          <w:lang w:val="en-US"/>
        </w:rPr>
        <w:t>],</w:t>
      </w:r>
      <w:r>
        <w:rPr>
          <w:sz w:val="24"/>
          <w:szCs w:val="24"/>
          <w:lang w:val="en-US"/>
        </w:rPr>
        <w:t xml:space="preserve"> p=0.0</w:t>
      </w:r>
      <w:r w:rsidR="001C4D69">
        <w:rPr>
          <w:sz w:val="24"/>
          <w:szCs w:val="24"/>
          <w:lang w:val="en-US"/>
        </w:rPr>
        <w:t>14</w:t>
      </w:r>
      <w:r>
        <w:rPr>
          <w:sz w:val="24"/>
          <w:szCs w:val="24"/>
          <w:lang w:val="en-US"/>
        </w:rPr>
        <w:t>). Also in the matched cohort</w:t>
      </w:r>
      <w:r w:rsidR="00F67DF4">
        <w:rPr>
          <w:sz w:val="24"/>
          <w:szCs w:val="24"/>
          <w:lang w:val="en-US"/>
        </w:rPr>
        <w:t xml:space="preserve"> (n=x)</w:t>
      </w:r>
      <w:r>
        <w:rPr>
          <w:sz w:val="24"/>
          <w:szCs w:val="24"/>
          <w:lang w:val="en-US"/>
        </w:rPr>
        <w:t xml:space="preserve">, the survival benefit of SBRT treatment in </w:t>
      </w:r>
      <w:r>
        <w:rPr>
          <w:sz w:val="24"/>
          <w:szCs w:val="24"/>
          <w:lang w:val="en-US"/>
        </w:rPr>
        <w:lastRenderedPageBreak/>
        <w:t>metastatic patients was consistent (1</w:t>
      </w:r>
      <w:r w:rsidR="001C4D69">
        <w:rPr>
          <w:sz w:val="24"/>
          <w:szCs w:val="24"/>
          <w:lang w:val="en-US"/>
        </w:rPr>
        <w:t>6</w:t>
      </w:r>
      <w:r>
        <w:rPr>
          <w:sz w:val="24"/>
          <w:szCs w:val="24"/>
          <w:lang w:val="en-US"/>
        </w:rPr>
        <w:t>.0 [6.</w:t>
      </w:r>
      <w:r w:rsidR="001C4D69">
        <w:rPr>
          <w:sz w:val="24"/>
          <w:szCs w:val="24"/>
          <w:lang w:val="en-US"/>
        </w:rPr>
        <w:t>6</w:t>
      </w:r>
      <w:r>
        <w:rPr>
          <w:sz w:val="24"/>
          <w:szCs w:val="24"/>
          <w:lang w:val="en-US"/>
        </w:rPr>
        <w:t xml:space="preserve"> - 2</w:t>
      </w:r>
      <w:r w:rsidR="001C4D69">
        <w:rPr>
          <w:sz w:val="24"/>
          <w:szCs w:val="24"/>
          <w:lang w:val="en-US"/>
        </w:rPr>
        <w:t>5</w:t>
      </w:r>
      <w:r>
        <w:rPr>
          <w:sz w:val="24"/>
          <w:szCs w:val="24"/>
          <w:lang w:val="en-US"/>
        </w:rPr>
        <w:t>.</w:t>
      </w:r>
      <w:r w:rsidR="001C4D69">
        <w:rPr>
          <w:sz w:val="24"/>
          <w:szCs w:val="24"/>
          <w:lang w:val="en-US"/>
        </w:rPr>
        <w:t>4</w:t>
      </w:r>
      <w:r>
        <w:rPr>
          <w:sz w:val="24"/>
          <w:szCs w:val="24"/>
          <w:lang w:val="en-US"/>
        </w:rPr>
        <w:t xml:space="preserve">] vs. 10.0 [5.5 - 14.5] months, </w:t>
      </w:r>
      <w:r w:rsidR="00774C68">
        <w:rPr>
          <w:sz w:val="24"/>
          <w:szCs w:val="24"/>
          <w:lang w:val="en-US"/>
        </w:rPr>
        <w:t xml:space="preserve">HR 0.38 [0.17 - 0.84], </w:t>
      </w:r>
      <w:r>
        <w:rPr>
          <w:sz w:val="24"/>
          <w:szCs w:val="24"/>
          <w:lang w:val="en-US"/>
        </w:rPr>
        <w:t>p=0.01</w:t>
      </w:r>
      <w:r w:rsidR="001C4D69">
        <w:rPr>
          <w:sz w:val="24"/>
          <w:szCs w:val="24"/>
          <w:lang w:val="en-US"/>
        </w:rPr>
        <w:t>8</w:t>
      </w:r>
      <w:r>
        <w:rPr>
          <w:sz w:val="24"/>
          <w:szCs w:val="24"/>
          <w:lang w:val="en-US"/>
        </w:rPr>
        <w:t xml:space="preserve">, </w:t>
      </w:r>
      <w:r w:rsidRPr="00A9299A">
        <w:rPr>
          <w:b/>
          <w:sz w:val="24"/>
          <w:szCs w:val="24"/>
          <w:lang w:val="en-US"/>
        </w:rPr>
        <w:t>figure 2</w:t>
      </w:r>
      <w:r>
        <w:rPr>
          <w:b/>
          <w:sz w:val="24"/>
          <w:szCs w:val="24"/>
          <w:lang w:val="en-US"/>
        </w:rPr>
        <w:t>A</w:t>
      </w:r>
      <w:r>
        <w:rPr>
          <w:sz w:val="24"/>
          <w:szCs w:val="24"/>
          <w:lang w:val="en-US"/>
        </w:rPr>
        <w:t>).</w:t>
      </w:r>
    </w:p>
    <w:p w14:paraId="26B8D3D0" w14:textId="77777777" w:rsidR="00A9299A" w:rsidRPr="00A9299A" w:rsidRDefault="00A9299A" w:rsidP="00A9299A">
      <w:pPr>
        <w:spacing w:line="480" w:lineRule="auto"/>
        <w:jc w:val="both"/>
        <w:rPr>
          <w:sz w:val="24"/>
          <w:szCs w:val="24"/>
          <w:lang w:val="en-US"/>
        </w:rPr>
      </w:pPr>
      <w:r>
        <w:rPr>
          <w:sz w:val="24"/>
          <w:szCs w:val="24"/>
          <w:lang w:val="en-US"/>
        </w:rPr>
        <w:t xml:space="preserve">Patients with portal vein thrombosis treated with SBRT had </w:t>
      </w:r>
      <w:r w:rsidR="004F4710">
        <w:rPr>
          <w:sz w:val="24"/>
          <w:szCs w:val="24"/>
          <w:lang w:val="en-US"/>
        </w:rPr>
        <w:t xml:space="preserve">a </w:t>
      </w:r>
      <w:r>
        <w:rPr>
          <w:sz w:val="24"/>
          <w:szCs w:val="24"/>
          <w:lang w:val="en-US"/>
        </w:rPr>
        <w:t>median OS of 8.</w:t>
      </w:r>
      <w:r w:rsidR="001C4D69">
        <w:rPr>
          <w:sz w:val="24"/>
          <w:szCs w:val="24"/>
          <w:lang w:val="en-US"/>
        </w:rPr>
        <w:t>0</w:t>
      </w:r>
      <w:r>
        <w:rPr>
          <w:sz w:val="24"/>
          <w:szCs w:val="24"/>
          <w:lang w:val="en-US"/>
        </w:rPr>
        <w:t xml:space="preserve"> [</w:t>
      </w:r>
      <w:r w:rsidR="001C4D69">
        <w:rPr>
          <w:sz w:val="24"/>
          <w:szCs w:val="24"/>
          <w:lang w:val="en-US"/>
        </w:rPr>
        <w:t>4.3</w:t>
      </w:r>
      <w:r>
        <w:rPr>
          <w:sz w:val="24"/>
          <w:szCs w:val="24"/>
          <w:lang w:val="en-US"/>
        </w:rPr>
        <w:t xml:space="preserve"> - </w:t>
      </w:r>
      <w:r w:rsidR="001C4D69">
        <w:rPr>
          <w:sz w:val="24"/>
          <w:szCs w:val="24"/>
          <w:lang w:val="en-US"/>
        </w:rPr>
        <w:t>11.7</w:t>
      </w:r>
      <w:r>
        <w:rPr>
          <w:sz w:val="24"/>
          <w:szCs w:val="24"/>
          <w:lang w:val="en-US"/>
        </w:rPr>
        <w:t xml:space="preserve">] compared to 6.1 [5.2 - 6.9] months </w:t>
      </w:r>
      <w:r w:rsidR="004F4710">
        <w:rPr>
          <w:sz w:val="24"/>
          <w:szCs w:val="24"/>
          <w:lang w:val="en-US"/>
        </w:rPr>
        <w:t>in</w:t>
      </w:r>
      <w:r>
        <w:rPr>
          <w:sz w:val="24"/>
          <w:szCs w:val="24"/>
          <w:lang w:val="en-US"/>
        </w:rPr>
        <w:t xml:space="preserve"> sorafenib </w:t>
      </w:r>
      <w:r w:rsidR="004F4710">
        <w:rPr>
          <w:sz w:val="24"/>
          <w:szCs w:val="24"/>
          <w:lang w:val="en-US"/>
        </w:rPr>
        <w:t xml:space="preserve">treated </w:t>
      </w:r>
      <w:r>
        <w:rPr>
          <w:sz w:val="24"/>
          <w:szCs w:val="24"/>
          <w:lang w:val="en-US"/>
        </w:rPr>
        <w:t xml:space="preserve">patients in the </w:t>
      </w:r>
      <w:r w:rsidR="004F4710">
        <w:rPr>
          <w:sz w:val="24"/>
          <w:szCs w:val="24"/>
          <w:lang w:val="en-US"/>
        </w:rPr>
        <w:t>u</w:t>
      </w:r>
      <w:r>
        <w:rPr>
          <w:sz w:val="24"/>
          <w:szCs w:val="24"/>
          <w:lang w:val="en-US"/>
        </w:rPr>
        <w:t>nmatched cohort (p=0.</w:t>
      </w:r>
      <w:r w:rsidR="001C4D69">
        <w:rPr>
          <w:sz w:val="24"/>
          <w:szCs w:val="24"/>
          <w:lang w:val="en-US"/>
        </w:rPr>
        <w:t>330</w:t>
      </w:r>
      <w:r>
        <w:rPr>
          <w:sz w:val="24"/>
          <w:szCs w:val="24"/>
          <w:lang w:val="en-US"/>
        </w:rPr>
        <w:t xml:space="preserve">). After propensity score matching </w:t>
      </w:r>
      <w:r w:rsidR="00F67DF4">
        <w:rPr>
          <w:sz w:val="24"/>
          <w:szCs w:val="24"/>
          <w:lang w:val="en-US"/>
        </w:rPr>
        <w:t xml:space="preserve">(n=x patients) </w:t>
      </w:r>
      <w:r>
        <w:rPr>
          <w:sz w:val="24"/>
          <w:szCs w:val="24"/>
          <w:lang w:val="en-US"/>
        </w:rPr>
        <w:t xml:space="preserve">there was </w:t>
      </w:r>
      <w:r w:rsidR="00774C68">
        <w:rPr>
          <w:sz w:val="24"/>
          <w:szCs w:val="24"/>
          <w:lang w:val="en-US"/>
        </w:rPr>
        <w:t>also</w:t>
      </w:r>
      <w:r>
        <w:rPr>
          <w:sz w:val="24"/>
          <w:szCs w:val="24"/>
          <w:lang w:val="en-US"/>
        </w:rPr>
        <w:t xml:space="preserve"> </w:t>
      </w:r>
      <w:r w:rsidR="000C0D67">
        <w:rPr>
          <w:sz w:val="24"/>
          <w:szCs w:val="24"/>
          <w:lang w:val="en-US"/>
        </w:rPr>
        <w:t xml:space="preserve">a trend to a better OS </w:t>
      </w:r>
      <w:r>
        <w:rPr>
          <w:sz w:val="24"/>
          <w:szCs w:val="24"/>
          <w:lang w:val="en-US"/>
        </w:rPr>
        <w:t>in patients w</w:t>
      </w:r>
      <w:r w:rsidR="000C0D67">
        <w:rPr>
          <w:sz w:val="24"/>
          <w:szCs w:val="24"/>
          <w:lang w:val="en-US"/>
        </w:rPr>
        <w:t xml:space="preserve">ith SBRT or sorafenib treatment but without reaching statistical </w:t>
      </w:r>
      <w:r w:rsidR="00983600">
        <w:rPr>
          <w:sz w:val="24"/>
          <w:szCs w:val="24"/>
          <w:lang w:val="en-US"/>
        </w:rPr>
        <w:t>significance</w:t>
      </w:r>
      <w:r w:rsidR="000C0D67">
        <w:rPr>
          <w:sz w:val="24"/>
          <w:szCs w:val="24"/>
          <w:lang w:val="en-US"/>
        </w:rPr>
        <w:t xml:space="preserve"> </w:t>
      </w:r>
      <w:r>
        <w:rPr>
          <w:sz w:val="24"/>
          <w:szCs w:val="24"/>
          <w:lang w:val="en-US"/>
        </w:rPr>
        <w:t>(9.</w:t>
      </w:r>
      <w:r w:rsidR="001C4D69">
        <w:rPr>
          <w:sz w:val="24"/>
          <w:szCs w:val="24"/>
          <w:lang w:val="en-US"/>
        </w:rPr>
        <w:t>0</w:t>
      </w:r>
      <w:r>
        <w:rPr>
          <w:sz w:val="24"/>
          <w:szCs w:val="24"/>
          <w:lang w:val="en-US"/>
        </w:rPr>
        <w:t xml:space="preserve"> [</w:t>
      </w:r>
      <w:r w:rsidR="001C4D69">
        <w:rPr>
          <w:sz w:val="24"/>
          <w:szCs w:val="24"/>
          <w:lang w:val="en-US"/>
        </w:rPr>
        <w:t>2</w:t>
      </w:r>
      <w:r>
        <w:rPr>
          <w:sz w:val="24"/>
          <w:szCs w:val="24"/>
          <w:lang w:val="en-US"/>
        </w:rPr>
        <w:t xml:space="preserve">.9 - </w:t>
      </w:r>
      <w:r w:rsidR="001C4D69">
        <w:rPr>
          <w:sz w:val="24"/>
          <w:szCs w:val="24"/>
          <w:lang w:val="en-US"/>
        </w:rPr>
        <w:t>15.1</w:t>
      </w:r>
      <w:r>
        <w:rPr>
          <w:sz w:val="24"/>
          <w:szCs w:val="24"/>
          <w:lang w:val="en-US"/>
        </w:rPr>
        <w:t>] vs. 6.0 [2.7 - 9.3] months, p=0.5</w:t>
      </w:r>
      <w:r w:rsidR="001C4D69">
        <w:rPr>
          <w:sz w:val="24"/>
          <w:szCs w:val="24"/>
          <w:lang w:val="en-US"/>
        </w:rPr>
        <w:t>68</w:t>
      </w:r>
      <w:r>
        <w:rPr>
          <w:sz w:val="24"/>
          <w:szCs w:val="24"/>
          <w:lang w:val="en-US"/>
        </w:rPr>
        <w:t xml:space="preserve">, </w:t>
      </w:r>
      <w:r w:rsidRPr="00A9299A">
        <w:rPr>
          <w:b/>
          <w:sz w:val="24"/>
          <w:szCs w:val="24"/>
          <w:lang w:val="en-US"/>
        </w:rPr>
        <w:t>figure 2</w:t>
      </w:r>
      <w:r>
        <w:rPr>
          <w:b/>
          <w:sz w:val="24"/>
          <w:szCs w:val="24"/>
          <w:lang w:val="en-US"/>
        </w:rPr>
        <w:t>B</w:t>
      </w:r>
      <w:r w:rsidRPr="00A9299A">
        <w:rPr>
          <w:sz w:val="24"/>
          <w:szCs w:val="24"/>
          <w:lang w:val="en-US"/>
        </w:rPr>
        <w:t>)</w:t>
      </w:r>
      <w:r>
        <w:rPr>
          <w:sz w:val="24"/>
          <w:szCs w:val="24"/>
          <w:lang w:val="en-US"/>
        </w:rPr>
        <w:t>.</w:t>
      </w:r>
    </w:p>
    <w:p w14:paraId="1BA28A3D" w14:textId="77777777" w:rsidR="00571A3D" w:rsidRDefault="00571A3D" w:rsidP="00913EEB">
      <w:pPr>
        <w:rPr>
          <w:b/>
          <w:sz w:val="24"/>
          <w:szCs w:val="24"/>
          <w:lang w:val="en-US"/>
        </w:rPr>
      </w:pPr>
    </w:p>
    <w:p w14:paraId="459DF810" w14:textId="77777777" w:rsidR="00571A3D" w:rsidRDefault="00571A3D" w:rsidP="00913EEB">
      <w:pPr>
        <w:rPr>
          <w:b/>
          <w:sz w:val="24"/>
          <w:szCs w:val="24"/>
          <w:lang w:val="en-US"/>
        </w:rPr>
      </w:pPr>
    </w:p>
    <w:p w14:paraId="5842569A" w14:textId="77777777" w:rsidR="00571A3D" w:rsidRDefault="00571A3D" w:rsidP="00913EEB">
      <w:pPr>
        <w:rPr>
          <w:b/>
          <w:sz w:val="24"/>
          <w:szCs w:val="24"/>
          <w:lang w:val="en-US"/>
        </w:rPr>
      </w:pPr>
    </w:p>
    <w:p w14:paraId="04013528" w14:textId="77777777" w:rsidR="00571A3D" w:rsidRDefault="00571A3D" w:rsidP="00913EEB">
      <w:pPr>
        <w:rPr>
          <w:b/>
          <w:sz w:val="24"/>
          <w:szCs w:val="24"/>
          <w:lang w:val="en-US"/>
        </w:rPr>
      </w:pPr>
    </w:p>
    <w:p w14:paraId="3D60DF87" w14:textId="77777777" w:rsidR="00571A3D" w:rsidRDefault="00571A3D" w:rsidP="00913EEB">
      <w:pPr>
        <w:rPr>
          <w:b/>
          <w:sz w:val="24"/>
          <w:szCs w:val="24"/>
          <w:lang w:val="en-US"/>
        </w:rPr>
      </w:pPr>
    </w:p>
    <w:p w14:paraId="486C0706" w14:textId="77777777" w:rsidR="00983600" w:rsidRDefault="00983600" w:rsidP="00913EEB">
      <w:pPr>
        <w:rPr>
          <w:b/>
          <w:sz w:val="24"/>
          <w:szCs w:val="24"/>
          <w:lang w:val="en-US"/>
        </w:rPr>
      </w:pPr>
    </w:p>
    <w:p w14:paraId="735647DE" w14:textId="77777777" w:rsidR="00983600" w:rsidRDefault="00983600" w:rsidP="00913EEB">
      <w:pPr>
        <w:rPr>
          <w:b/>
          <w:sz w:val="24"/>
          <w:szCs w:val="24"/>
          <w:lang w:val="en-US"/>
        </w:rPr>
      </w:pPr>
    </w:p>
    <w:p w14:paraId="501015EB" w14:textId="77777777" w:rsidR="00983600" w:rsidRDefault="00983600" w:rsidP="00913EEB">
      <w:pPr>
        <w:rPr>
          <w:b/>
          <w:sz w:val="24"/>
          <w:szCs w:val="24"/>
          <w:lang w:val="en-US"/>
        </w:rPr>
      </w:pPr>
    </w:p>
    <w:p w14:paraId="1425C565" w14:textId="77777777" w:rsidR="00983600" w:rsidRDefault="00983600" w:rsidP="00913EEB">
      <w:pPr>
        <w:rPr>
          <w:b/>
          <w:sz w:val="24"/>
          <w:szCs w:val="24"/>
          <w:lang w:val="en-US"/>
        </w:rPr>
      </w:pPr>
    </w:p>
    <w:p w14:paraId="0812722F" w14:textId="77777777" w:rsidR="00983600" w:rsidRDefault="00983600" w:rsidP="00913EEB">
      <w:pPr>
        <w:rPr>
          <w:b/>
          <w:sz w:val="24"/>
          <w:szCs w:val="24"/>
          <w:lang w:val="en-US"/>
        </w:rPr>
      </w:pPr>
    </w:p>
    <w:p w14:paraId="46B33B48" w14:textId="77777777" w:rsidR="00983600" w:rsidRDefault="00983600" w:rsidP="00913EEB">
      <w:pPr>
        <w:rPr>
          <w:b/>
          <w:sz w:val="24"/>
          <w:szCs w:val="24"/>
          <w:lang w:val="en-US"/>
        </w:rPr>
      </w:pPr>
    </w:p>
    <w:p w14:paraId="64F61A90" w14:textId="77777777" w:rsidR="00983600" w:rsidRDefault="00983600" w:rsidP="00913EEB">
      <w:pPr>
        <w:rPr>
          <w:b/>
          <w:sz w:val="24"/>
          <w:szCs w:val="24"/>
          <w:lang w:val="en-US"/>
        </w:rPr>
      </w:pPr>
    </w:p>
    <w:p w14:paraId="5065E53F" w14:textId="77777777" w:rsidR="00983600" w:rsidRDefault="00983600" w:rsidP="00913EEB">
      <w:pPr>
        <w:rPr>
          <w:b/>
          <w:sz w:val="24"/>
          <w:szCs w:val="24"/>
          <w:lang w:val="en-US"/>
        </w:rPr>
      </w:pPr>
    </w:p>
    <w:p w14:paraId="7018810B" w14:textId="77777777" w:rsidR="00D31E19" w:rsidRDefault="00D31E19" w:rsidP="00913EEB">
      <w:pPr>
        <w:rPr>
          <w:b/>
          <w:sz w:val="24"/>
          <w:szCs w:val="24"/>
          <w:lang w:val="en-US"/>
        </w:rPr>
      </w:pPr>
    </w:p>
    <w:p w14:paraId="771B770F" w14:textId="77777777" w:rsidR="00D31E19" w:rsidRDefault="00D31E19" w:rsidP="00913EEB">
      <w:pPr>
        <w:rPr>
          <w:b/>
          <w:sz w:val="24"/>
          <w:szCs w:val="24"/>
          <w:lang w:val="en-US"/>
        </w:rPr>
      </w:pPr>
    </w:p>
    <w:p w14:paraId="73B36239" w14:textId="77777777" w:rsidR="00D31E19" w:rsidRDefault="00D31E19" w:rsidP="00913EEB">
      <w:pPr>
        <w:rPr>
          <w:b/>
          <w:sz w:val="24"/>
          <w:szCs w:val="24"/>
          <w:lang w:val="en-US"/>
        </w:rPr>
      </w:pPr>
    </w:p>
    <w:p w14:paraId="43CC1493" w14:textId="77777777" w:rsidR="00D31E19" w:rsidRDefault="00D31E19" w:rsidP="00913EEB">
      <w:pPr>
        <w:rPr>
          <w:b/>
          <w:sz w:val="24"/>
          <w:szCs w:val="24"/>
          <w:lang w:val="en-US"/>
        </w:rPr>
      </w:pPr>
    </w:p>
    <w:p w14:paraId="073E2C97" w14:textId="77777777" w:rsidR="00D31E19" w:rsidRDefault="00D31E19" w:rsidP="00913EEB">
      <w:pPr>
        <w:rPr>
          <w:b/>
          <w:sz w:val="24"/>
          <w:szCs w:val="24"/>
          <w:lang w:val="en-US"/>
        </w:rPr>
      </w:pPr>
    </w:p>
    <w:p w14:paraId="77414085" w14:textId="77777777" w:rsidR="00530D64" w:rsidRDefault="00530D64" w:rsidP="00913EEB">
      <w:pPr>
        <w:rPr>
          <w:b/>
          <w:sz w:val="24"/>
          <w:szCs w:val="24"/>
          <w:lang w:val="en-US"/>
        </w:rPr>
      </w:pPr>
    </w:p>
    <w:p w14:paraId="1D5519D7" w14:textId="77777777" w:rsidR="00913EEB" w:rsidRDefault="007E649E" w:rsidP="00913EEB">
      <w:pPr>
        <w:rPr>
          <w:b/>
          <w:sz w:val="24"/>
          <w:szCs w:val="24"/>
          <w:lang w:val="en-US"/>
        </w:rPr>
      </w:pPr>
      <w:r>
        <w:rPr>
          <w:b/>
          <w:sz w:val="24"/>
          <w:szCs w:val="24"/>
          <w:lang w:val="en-US"/>
        </w:rPr>
        <w:t>Discu</w:t>
      </w:r>
      <w:r w:rsidR="00913EEB">
        <w:rPr>
          <w:b/>
          <w:sz w:val="24"/>
          <w:szCs w:val="24"/>
          <w:lang w:val="en-US"/>
        </w:rPr>
        <w:t>ssion</w:t>
      </w:r>
    </w:p>
    <w:p w14:paraId="64CD19C1" w14:textId="77777777" w:rsidR="00D13076" w:rsidRDefault="00D32211" w:rsidP="00995C75">
      <w:pPr>
        <w:widowControl w:val="0"/>
        <w:autoSpaceDE w:val="0"/>
        <w:autoSpaceDN w:val="0"/>
        <w:adjustRightInd w:val="0"/>
        <w:spacing w:after="120" w:line="480" w:lineRule="auto"/>
        <w:jc w:val="both"/>
        <w:rPr>
          <w:rFonts w:cs="ScalaLancetPro"/>
          <w:color w:val="000000"/>
          <w:sz w:val="24"/>
          <w:szCs w:val="24"/>
          <w:lang w:val="en-US"/>
        </w:rPr>
      </w:pPr>
      <w:r>
        <w:rPr>
          <w:sz w:val="24"/>
          <w:szCs w:val="24"/>
          <w:lang w:val="en-US"/>
        </w:rPr>
        <w:t>Hepatocellular carcinoma (HCC) is often diagno</w:t>
      </w:r>
      <w:r w:rsidR="00995C75">
        <w:rPr>
          <w:sz w:val="24"/>
          <w:szCs w:val="24"/>
          <w:lang w:val="en-US"/>
        </w:rPr>
        <w:t xml:space="preserve">sed in intermediate or advanced </w:t>
      </w:r>
      <w:r w:rsidR="00995C75" w:rsidRPr="00995C75">
        <w:rPr>
          <w:sz w:val="24"/>
          <w:szCs w:val="24"/>
          <w:lang w:val="en-US"/>
        </w:rPr>
        <w:t>t</w:t>
      </w:r>
      <w:r w:rsidRPr="00995C75">
        <w:rPr>
          <w:sz w:val="24"/>
          <w:szCs w:val="24"/>
          <w:lang w:val="en-US"/>
        </w:rPr>
        <w:t>umor stages</w:t>
      </w:r>
      <w:r w:rsidR="00995C75" w:rsidRPr="00995C75">
        <w:rPr>
          <w:sz w:val="24"/>
          <w:szCs w:val="24"/>
          <w:lang w:val="en-US"/>
        </w:rPr>
        <w:t xml:space="preserve"> </w:t>
      </w:r>
      <w:r w:rsidR="00995C75">
        <w:rPr>
          <w:sz w:val="24"/>
          <w:szCs w:val="24"/>
          <w:lang w:val="en-US"/>
        </w:rPr>
        <w:fldChar w:fldCharType="begin" w:fldLock="1"/>
      </w:r>
      <w:r w:rsidR="00FC6AC8">
        <w:rPr>
          <w:sz w:val="24"/>
          <w:szCs w:val="24"/>
          <w:lang w:val="en-US"/>
        </w:rPr>
        <w:instrText>ADDIN CSL_CITATION { "citationItems" : [ { "id" : "ITEM-1", "itemData" : { "DOI" : "10.1016/S0140-6736(98)09148-X", "ISBN" : "0043-5341", "ISSN" : "01406736", "PMID" : "7846953", "author" : [ { "dropping-particle" : "", "family" : "El-Serag", "given" : "Hashem B.", "non-dropping-particle" : "", "parse-names" : false, "suffix" : "" } ], "container-title" : "NJEM", "id" : "ITEM-1", "issue" : "11", "issued" : { "date-parts" : [ [ "1994" ] ] }, "page" : "751-752", "title" : "Hepatocellular carcinoma", "type" : "article-journal", "volume" : "119" }, "uris" : [ "http://www.mendeley.com/documents/?uuid=7b1ee441-65df-4425-8773-91e9d6e9b269" ] }, { "id" : "ITEM-2", "itemData" : { "DOI" : "10.1016/S0140-6736(11)61347-0", "ISSN" : "01406736", "PMID" : "22353262", "abstract" : "Hepatocellular carcinoma is the sixth most prevalent cancer and the third most frequent cause of cancer-related death. Patients with cirrhosis are at highest risk of developing this malignant disease, and ultrasonography every 6 months is recommended. Surveillance with ultrasonography allows diagnosis at early stages when the tumour might be curable by resection, liver transplantation, or ablation, and 5-year survival higher than 50 can be achieved. Patients with small solitary tumours and very well preserved liver function are the best candidates for surgical resection. Liver transplantation is most beneficial for individuals who are not good candidates for resection, especially those within Milano criteria (solitary tumour \u22645 cm and up to three nodules \u22643 cm). Donor shortage greatly limits its applicability. Percutaneous ablation is the most frequently used treatment but its effectiveness is limited by tumour size and localisation. In asymptomatic patients with multifocal disease without vascular invasion or extrahepatic spread not amenable to curative treatments, chemoembolisation can provide survival benefit. Findings of randomised trials of sorafenib have shown survival benefits for individuals with advanced hepatocellular carcinoma, suggesting that molecular-targeted therapies could be effective in this chemoresistant cancer. Research is active in the area of pathogenesis and treatment of hepatocellular carcinoma. \u00a9 2012 Elsevier Ltd.", "author" : [ { "dropping-particle" : "", "family" : "Forner", "given" : "Alejandro", "non-dropping-particle" : "", "parse-names" : false, "suffix" : "" }, { "dropping-particle" : "", "family" : "Llovet", "given" : "Josep M.", "non-dropping-particle" : "", "parse-names" : false, "suffix" : "" }, { "dropping-particle" : "", "family" : "Bruix", "given" : "Jordi", "non-dropping-particle" : "", "parse-names" : false, "suffix" : "" } ], "container-title" : "The Lancet", "id" : "ITEM-2", "issue" : "9822", "issued" : { "date-parts" : [ [ "2012" ] ] }, "page" : "1245-1255", "publisher" : "Elsevier Ltd", "title" : "Hepatocellular carcinoma", "type" : "article-journal", "volume" : "379" }, "uris" : [ "http://www.mendeley.com/documents/?uuid=9027faf6-3bb3-4f8b-9723-227401d0c702" ] } ], "mendeley" : { "formattedCitation" : "[5,24]", "plainTextFormattedCitation" : "[5,24]", "previouslyFormattedCitation" : "[5,24]" }, "properties" : {  }, "schema" : "https://github.com/citation-style-language/schema/raw/master/csl-citation.json" }</w:instrText>
      </w:r>
      <w:r w:rsidR="00995C75">
        <w:rPr>
          <w:sz w:val="24"/>
          <w:szCs w:val="24"/>
          <w:lang w:val="en-US"/>
        </w:rPr>
        <w:fldChar w:fldCharType="separate"/>
      </w:r>
      <w:r w:rsidR="00FC6AC8" w:rsidRPr="00FC6AC8">
        <w:rPr>
          <w:noProof/>
          <w:sz w:val="24"/>
          <w:szCs w:val="24"/>
          <w:lang w:val="en-US"/>
        </w:rPr>
        <w:t>[5,24]</w:t>
      </w:r>
      <w:r w:rsidR="00995C75">
        <w:rPr>
          <w:sz w:val="24"/>
          <w:szCs w:val="24"/>
          <w:lang w:val="en-US"/>
        </w:rPr>
        <w:fldChar w:fldCharType="end"/>
      </w:r>
      <w:r w:rsidRPr="004510FA">
        <w:rPr>
          <w:sz w:val="24"/>
          <w:szCs w:val="24"/>
          <w:lang w:val="en-US"/>
        </w:rPr>
        <w:t xml:space="preserve">. </w:t>
      </w:r>
      <w:r w:rsidR="00706184" w:rsidRPr="004510FA">
        <w:rPr>
          <w:sz w:val="24"/>
          <w:szCs w:val="24"/>
          <w:lang w:val="en-US"/>
        </w:rPr>
        <w:t>Especially in advanced tumor stages treatment options are limited</w:t>
      </w:r>
      <w:r w:rsidR="00995C75" w:rsidRPr="004510FA">
        <w:rPr>
          <w:sz w:val="24"/>
          <w:szCs w:val="24"/>
          <w:lang w:val="en-US"/>
        </w:rPr>
        <w:t xml:space="preserve"> </w:t>
      </w:r>
      <w:r w:rsidR="00706184" w:rsidRPr="004510FA">
        <w:rPr>
          <w:sz w:val="24"/>
          <w:szCs w:val="24"/>
          <w:lang w:val="en-US"/>
        </w:rPr>
        <w:t xml:space="preserve">and </w:t>
      </w:r>
      <w:r w:rsidR="00983600">
        <w:rPr>
          <w:sz w:val="24"/>
          <w:szCs w:val="24"/>
          <w:lang w:val="en-US"/>
        </w:rPr>
        <w:t>there is no consensus concerning the best treatment option according to the current NCCN guidelines</w:t>
      </w:r>
      <w:r w:rsidR="00F67DF4">
        <w:rPr>
          <w:sz w:val="24"/>
          <w:szCs w:val="24"/>
          <w:lang w:val="en-US"/>
        </w:rPr>
        <w:t xml:space="preserve"> </w:t>
      </w:r>
      <w:r w:rsidR="00983600">
        <w:rPr>
          <w:sz w:val="24"/>
          <w:szCs w:val="24"/>
          <w:lang w:val="en-US"/>
        </w:rPr>
        <w:fldChar w:fldCharType="begin" w:fldLock="1"/>
      </w:r>
      <w:r w:rsidR="00FC6AC8">
        <w:rPr>
          <w:sz w:val="24"/>
          <w:szCs w:val="24"/>
          <w:lang w:val="en-US"/>
        </w:rPr>
        <w:instrText>ADDIN CSL_CITATION { "citationItems" : [ { "id" : "ITEM-1", "itemData" : { "ISSN" : "1540-1413 (Electronic)", "PMID" : "28476736", "abstract" : "The NCCN Guidelines for Hepatobiliary Cancers provide treatment recommendations for cancers of the liver, gallbladder, and bile ducts. The NCCN Hepatobiliary Cancers Panel meets at least annually to review comments from reviewers within their institutions, examine relevant new data from publications and abstracts, and reevaluate and update their recommendations. These NCCN Guidelines Insights summarize the panel's discussion and most recent recommendations regarding locoregional therapy for treatment of patients with hepatocellular carcinoma.", "author" : [ { "dropping-particle" : "", "family" : "Benson", "given" : "Al B 3rd", "non-dropping-particle" : "", "parse-names" : false, "suffix" : "" }, { "dropping-particle" : "", "family" : "D'Angelica", "given" : "Michael I", "non-dropping-particle" : "", "parse-names" : false, "suffix" : "" }, { "dropping-particle" : "", "family" : "Abbott", "given" : "Daniel E", "non-dropping-particle" : "", "parse-names" : false, "suffix" : "" }, { "dropping-particle" : "", "family" : "Abrams", "given" : "Thomas A", "non-dropping-particle" : "", "parse-names" : false, "suffix" : "" }, { "dropping-particle" : "", "family" : "Alberts", "given" : "Steven R", "non-dropping-particle" : "", "parse-names" : false, "suffix" : "" }, { "dropping-particle" : "", "family" : "Saenz", "given" : "Daniel Anaya", "non-dropping-particle" : "", "parse-names" : false, "suffix" : "" }, { "dropping-particle" : "", "family" : "Are", "given" : "Chandrakanth", "non-dropping-particle" : "", "parse-names" : false, "suffix" : "" }, { "dropping-particle" : "", "family" : "Brown", "given" : "Daniel B", "non-dropping-particle" : "", "parse-names" : false, "suffix" : "" }, { "dropping-particle" : "", "family" : "Chang", "given" : "Daniel T", "non-dropping-particle" : "", "parse-names" : false, "suffix" : "" }, { "dropping-particle" : "", "family" : "Covey", "given" : "Anne M", "non-dropping-particle" : "", "parse-names" : false, "suffix" : "" }, { "dropping-particle" : "", "family" : "Hawkins", "given" : "William", "non-dropping-particle" : "", "parse-names" : false, "suffix" : "" }, { "dropping-particle" : "", "family" : "Iyer", "given" : "Renuka", "non-dropping-particle" : "", "parse-names" : false, "suffix" : "" }, { "dropping-particle" : "", "family" : "Jacob", "given" : "Rojymon", "non-dropping-particle" : "", "parse-names" : false, "suffix" : "" }, { "dropping-particle" : "", "family" : "Karachristos", "given" : "Andrea", "non-dropping-particle" : "", "parse-names" : false, "suffix" : "" }, { "dropping-particle" : "", "family" : "Kelley", "given" : "R Kate", "non-dropping-particle" : "", "parse-names" : false, "suffix" : "" }, { "dropping-particle" : "", "family" : "Kim", "given" : "Robin", "non-dropping-particle" : "", "parse-names" : false, "suffix" : "" }, { "dropping-particle" : "", "family" : "Palta", "given" : "Manisha", "non-dropping-particle" : "", "parse-names" : false, "suffix" : "" }, { "dropping-particle" : "", "family" : "Park", "given" : "James O", "non-dropping-particle" : "", "parse-names" : false, "suffix" : "" }, { "dropping-particle" : "", "family" : "Sahai", "given" : "Vaibhav", "non-dropping-particle" : "", "parse-names" : false, "suffix" : "" }, { "dropping-particle" : "", "family" : "Schefter", "given" : "Tracey", "non-dropping-particle" : "", "parse-names" : false, "suffix" : "" }, { "dropping-particle" : "", "family" : "Schmidt", "given" : "Carl", "non-dropping-particle" : "", "parse-names" : false, "suffix" : "" }, { "dropping-particle" : "", "family" : "Sicklick", "given" : "Jason K", "non-dropping-particle" : "", "parse-names" : false, "suffix" : "" }, { "dropping-particle" : "", "family" : "Singh", "given" : "Gagandeep", "non-dropping-particle" : "", "parse-names" : false, "suffix" : "" }, { "dropping-particle" : "", "family" : "Sohal", "given" : "Davendra", "non-dropping-particle" : "", "parse-names" : false, "suffix" : "" }, { "dropping-particle" : "", "family" : "Stein", "given" : "Stacey", "non-dropping-particle" : "", "parse-names" : false, "suffix" : "" }, { "dropping-particle" : "", "family" : "Tian", "given" : "G Gary", "non-dropping-particle" : "", "parse-names" : false, "suffix" : "" }, { "dropping-particle" : "", "family" : "Vauthey", "given" : "Jean-Nicolas", "non-dropping-particle" : "", "parse-names" : false, "suffix" : "" }, { "dropping-particle" : "", "family" : "Venook", "given" : "Alan P", "non-dropping-particle" : "", "parse-names" : false, "suffix" : "" }, { "dropping-particle" : "", "family" : "Zhu", "given" : "Andrew X", "non-dropping-particle" : "", "parse-names" : false, "suffix" : "" }, { "dropping-particle" : "", "family" : "Hoffmann", "given" : "Karin G", "non-dropping-particle" : "", "parse-names" : false, "suffix" : "" }, { "dropping-particle" : "", "family" : "Darlow", "given" : "Susan", "non-dropping-particle" : "", "parse-names" : false, "suffix" : "" } ], "container-title" : "Journal of the National Comprehensive Cancer Network : JNCCN", "id" : "ITEM-1", "issue" : "5", "issued" : { "date-parts" : [ [ "2017", "5" ] ] }, "language" : "eng", "page" : "563-573", "publisher-place" : "United States", "title" : "NCCN Guidelines Insights: Hepatobiliary Cancers, Version 1.2017.", "type" : "article-journal", "volume" : "15" }, "uris" : [ "http://www.mendeley.com/documents/?uuid=3ed04a30-432c-49b0-9e83-68dca495b963", "http://www.mendeley.com/documents/?uuid=6b59f402-3cc6-4dea-8a22-ac7c9fc4150a" ] } ], "mendeley" : { "formattedCitation" : "[25]", "plainTextFormattedCitation" : "[25]", "previouslyFormattedCitation" : "[25]" }, "properties" : {  }, "schema" : "https://github.com/citation-style-language/schema/raw/master/csl-citation.json" }</w:instrText>
      </w:r>
      <w:r w:rsidR="00983600">
        <w:rPr>
          <w:sz w:val="24"/>
          <w:szCs w:val="24"/>
          <w:lang w:val="en-US"/>
        </w:rPr>
        <w:fldChar w:fldCharType="separate"/>
      </w:r>
      <w:r w:rsidR="00FC6AC8" w:rsidRPr="00FC6AC8">
        <w:rPr>
          <w:noProof/>
          <w:sz w:val="24"/>
          <w:szCs w:val="24"/>
          <w:lang w:val="en-US"/>
        </w:rPr>
        <w:t>[25]</w:t>
      </w:r>
      <w:r w:rsidR="00983600">
        <w:rPr>
          <w:sz w:val="24"/>
          <w:szCs w:val="24"/>
          <w:lang w:val="en-US"/>
        </w:rPr>
        <w:fldChar w:fldCharType="end"/>
      </w:r>
      <w:r w:rsidR="004F4710">
        <w:rPr>
          <w:sz w:val="24"/>
          <w:szCs w:val="24"/>
          <w:lang w:val="en-US"/>
        </w:rPr>
        <w:t>. However,</w:t>
      </w:r>
      <w:r w:rsidR="00983600">
        <w:rPr>
          <w:sz w:val="24"/>
          <w:szCs w:val="24"/>
          <w:lang w:val="en-US"/>
        </w:rPr>
        <w:t xml:space="preserve"> </w:t>
      </w:r>
      <w:r w:rsidR="00706184" w:rsidRPr="004510FA">
        <w:rPr>
          <w:sz w:val="24"/>
          <w:szCs w:val="24"/>
          <w:lang w:val="en-US"/>
        </w:rPr>
        <w:t xml:space="preserve">sorafenib is recommended </w:t>
      </w:r>
      <w:r w:rsidR="00774C68" w:rsidRPr="004510FA">
        <w:rPr>
          <w:sz w:val="24"/>
          <w:szCs w:val="24"/>
          <w:lang w:val="en-US"/>
        </w:rPr>
        <w:t>i</w:t>
      </w:r>
      <w:r w:rsidR="00706184" w:rsidRPr="004510FA">
        <w:rPr>
          <w:sz w:val="24"/>
          <w:szCs w:val="24"/>
          <w:lang w:val="en-US"/>
        </w:rPr>
        <w:t>n these patients</w:t>
      </w:r>
      <w:r w:rsidR="00983600">
        <w:rPr>
          <w:sz w:val="24"/>
          <w:szCs w:val="24"/>
          <w:lang w:val="en-US"/>
        </w:rPr>
        <w:t xml:space="preserve"> according to the current EASL, AASLD and ESMO guidelines </w:t>
      </w:r>
      <w:r w:rsidR="00995C75">
        <w:rPr>
          <w:sz w:val="24"/>
          <w:szCs w:val="24"/>
          <w:lang w:val="en-US"/>
        </w:rPr>
        <w:fldChar w:fldCharType="begin" w:fldLock="1"/>
      </w:r>
      <w:r w:rsidR="00FC6AC8">
        <w:rPr>
          <w:sz w:val="24"/>
          <w:szCs w:val="24"/>
          <w:lang w:val="en-US"/>
        </w:rPr>
        <w:instrText>ADDIN CSL_CITATION { "citationItems" : [ { "id" : "ITEM-1", "itemData" : { "DOI" : "10.1016/j.jhep.2011.12.001", "ISBN" : "0168-8278", "ISSN" : "01688278", "PMID" : "22424438", "abstract" : "EASLEORTC Clinical Practice Guidelines (CPG) on the management of hepatocellular carcinoma (HCC) define the use of surveillance, diagnosis, and therapeutic strategies recommended for patients with this type of cancer. This is the first European joint effort by the European Association for the Study of the Liver (EASL) and the European Organization for Research and Treatment of Cancer (EORTC) to provide common guidelines for the management of hepatocellular carcinoma. These guidelines update the recommendations reported by the EASL panel of experts in HCC published in 2001 1. Several clinical and scientific advances have occurred during the past decade and, thus, a modern version of the document is urgently needed.", "author" : [ { "dropping-particle" : "", "family" : "Dufour", "given" : "Jean Francois", "non-dropping-particle" : "", "parse-names" : false, "suffix" : "" }, { "dropping-particle" : "", "family" : "Greten", "given" : "Tim F", "non-dropping-particle" : "", "parse-names" : false, "suffix" : "" }, { "dropping-particle" : "", "family" : "Raymond", "given" : "Eric", "non-dropping-particle" : "", "parse-names" : false, "suffix" : "" }, { "dropping-particle" : "", "family" : "Roskams", "given" : "Tania", "non-dropping-particle" : "", "parse-names" : false, "suffix" : "" }, { "dropping-particle" : "", "family" : "De", "given" : "Thierry", "non-dropping-particle" : "", "parse-names" : false, "suffix" : "" }, { "dropping-particle" : "", "family" : "Ducreux", "given" : "Michel", "non-dropping-particle" : "", "parse-names" : false, "suffix" : "" }, { "dropping-particle" : "", "family" : "Mazzaferro", "given" : "Vincenzo", "non-dropping-particle" : "", "parse-names" : false, "suffix" : "" }, { "dropping-particle" : "", "family" : "Governing", "given" : "Easl", "non-dropping-particle" : "", "parse-names" : false, "suffix" : "" } ], "container-title" : "Journal of Hepatology", "id" : "ITEM-1", "issue" : "4", "issued" : { "date-parts" : [ [ "2012" ] ] }, "page" : "908-43", "title" : "Clinical Practice Guidelines EASL \u2013 EORTC Clinical Practice Guidelines : Management of hepatocellular carcinoma European Organisation for Research and Treatment of Cancer", "type" : "article-journal", "volume" : "56" }, "uris" : [ "http://www.mendeley.com/documents/?uuid=dc711baf-031c-4038-b97c-c7652f3b6193" ] }, { "id" : "ITEM-2", "itemData" : { "DOI" : "10.1093/annonc/mds225", "ISSN" : "1569-8041 (Electronic)", "PMID" : "22997453", "author" : [ { "dropping-particle" : "", "family" : "Verslype", "given" : "C", "non-dropping-particle" : "", "parse-names" : false, "suffix" : "" }, { "dropping-particle" : "", "family" : "Rosmorduc", "given" : "O", "non-dropping-particle" : "", "parse-names" : false, "suffix" : "" }, { "dropping-particle" : "", "family" : "Rougier", "given" : "P", "non-dropping-particle" : "", "parse-names" : false, "suffix" : "" } ], "container-title" : "Annals of oncology : official journal of the European Society for Medical Oncology", "id" : "ITEM-2", "issued" : { "date-parts" : [ [ "2012", "10" ] ] }, "language" : "eng", "page" : "vii41-8", "publisher-place" : "England", "title" : "Hepatocellular carcinoma: ESMO-ESDO Clinical Practice Guidelines for diagnosis, treatment and follow-up.", "type" : "article-journal", "volume" : "23 Suppl 7" }, "uris" : [ "http://www.mendeley.com/documents/?uuid=11db10fe-ffb7-4441-949a-b74c3a7cd630", "http://www.mendeley.com/documents/?uuid=4e8d4cea-38cf-4341-89bd-1af353ed6894" ] }, { "id" : "ITEM-3", "itemData" : { "DOI" : "10.1002/hep.20933", "ISSN" : "0270-9139", "PMID" : "16250051", "author" : [ { "dropping-particle" : "", "family" : "Bruix", "given" : "Jordi", "non-dropping-particle" : "", "parse-names" : false, "suffix" : "" }, { "dropping-particle" : "", "family" : "Sherman", "given" : "Morris", "non-dropping-particle" : "", "parse-names" : false, "suffix" : "" }, { "dropping-particle" : "", "family" : "Practice Guidelines Committee, American Association for the Study of Liver Diseases", "given" : "", "non-dropping-particle" : "", "parse-names" : false, "suffix" : "" } ], "container-title" : "Hepatology (Baltimore, Md.)", "id" : "ITEM-3", "issue" : "5", "issued" : { "date-parts" : [ [ "2005", "11" ] ] }, "page" : "1208-36", "title" : "Management of hepatocellular carcinoma.", "type" : "article-journal", "volume" : "42" }, "uris" : [ "http://www.mendeley.com/documents/?uuid=7725be21-4ea0-3c60-b7f4-a343a3f669c4" ] } ], "mendeley" : { "formattedCitation" : "[6,26,27]", "plainTextFormattedCitation" : "[6,26,27]", "previouslyFormattedCitation" : "[6,26,27]" }, "properties" : {  }, "schema" : "https://github.com/citation-style-language/schema/raw/master/csl-citation.json" }</w:instrText>
      </w:r>
      <w:r w:rsidR="00995C75">
        <w:rPr>
          <w:sz w:val="24"/>
          <w:szCs w:val="24"/>
          <w:lang w:val="en-US"/>
        </w:rPr>
        <w:fldChar w:fldCharType="separate"/>
      </w:r>
      <w:r w:rsidR="00FC6AC8" w:rsidRPr="00FC6AC8">
        <w:rPr>
          <w:noProof/>
          <w:sz w:val="24"/>
          <w:szCs w:val="24"/>
          <w:lang w:val="en-US"/>
        </w:rPr>
        <w:t>[6,26,27]</w:t>
      </w:r>
      <w:r w:rsidR="00995C75">
        <w:rPr>
          <w:sz w:val="24"/>
          <w:szCs w:val="24"/>
          <w:lang w:val="en-US"/>
        </w:rPr>
        <w:fldChar w:fldCharType="end"/>
      </w:r>
      <w:r w:rsidR="00995C75">
        <w:rPr>
          <w:sz w:val="24"/>
          <w:szCs w:val="24"/>
          <w:lang w:val="en-US"/>
        </w:rPr>
        <w:t xml:space="preserve"> </w:t>
      </w:r>
      <w:r w:rsidR="00706184">
        <w:rPr>
          <w:sz w:val="24"/>
          <w:szCs w:val="24"/>
          <w:lang w:val="en-US"/>
        </w:rPr>
        <w:t xml:space="preserve">. </w:t>
      </w:r>
      <w:r w:rsidR="004F4710">
        <w:rPr>
          <w:sz w:val="24"/>
          <w:szCs w:val="24"/>
          <w:lang w:val="en-US"/>
        </w:rPr>
        <w:t>S</w:t>
      </w:r>
      <w:r w:rsidR="008D7AF2">
        <w:rPr>
          <w:sz w:val="24"/>
          <w:szCs w:val="24"/>
          <w:lang w:val="en-US"/>
        </w:rPr>
        <w:t xml:space="preserve">orafenib is associated with many adverse events as </w:t>
      </w:r>
      <w:r w:rsidR="00983600">
        <w:rPr>
          <w:sz w:val="24"/>
          <w:szCs w:val="24"/>
          <w:lang w:val="en-US"/>
        </w:rPr>
        <w:t>shown</w:t>
      </w:r>
      <w:r w:rsidR="008D7AF2">
        <w:rPr>
          <w:sz w:val="24"/>
          <w:szCs w:val="24"/>
          <w:lang w:val="en-US"/>
        </w:rPr>
        <w:t xml:space="preserve"> in our study </w:t>
      </w:r>
      <w:r w:rsidR="00983600">
        <w:rPr>
          <w:sz w:val="24"/>
          <w:szCs w:val="24"/>
          <w:lang w:val="en-US"/>
        </w:rPr>
        <w:t xml:space="preserve">leading </w:t>
      </w:r>
      <w:r w:rsidR="008D7AF2">
        <w:rPr>
          <w:sz w:val="24"/>
          <w:szCs w:val="24"/>
          <w:lang w:val="en-US"/>
        </w:rPr>
        <w:t xml:space="preserve">to a </w:t>
      </w:r>
      <w:r w:rsidR="00774C68">
        <w:rPr>
          <w:sz w:val="24"/>
          <w:szCs w:val="24"/>
          <w:lang w:val="en-US"/>
        </w:rPr>
        <w:t>significant deterioration of</w:t>
      </w:r>
      <w:r w:rsidR="00983600">
        <w:rPr>
          <w:sz w:val="24"/>
          <w:szCs w:val="24"/>
          <w:lang w:val="en-US"/>
        </w:rPr>
        <w:t xml:space="preserve"> the</w:t>
      </w:r>
      <w:r w:rsidR="008D7AF2">
        <w:rPr>
          <w:sz w:val="24"/>
          <w:szCs w:val="24"/>
          <w:lang w:val="en-US"/>
        </w:rPr>
        <w:t xml:space="preserve"> quality of life. Moreover, the development of adverse events during sorafenib treatment is associated with application of a reduced dose of </w:t>
      </w:r>
      <w:r w:rsidR="00983600">
        <w:rPr>
          <w:sz w:val="24"/>
          <w:szCs w:val="24"/>
          <w:lang w:val="en-US"/>
        </w:rPr>
        <w:t xml:space="preserve">sorafenib </w:t>
      </w:r>
      <w:r w:rsidR="00FA5B84">
        <w:rPr>
          <w:sz w:val="24"/>
          <w:szCs w:val="24"/>
          <w:lang w:val="en-US"/>
        </w:rPr>
        <w:fldChar w:fldCharType="begin" w:fldLock="1"/>
      </w:r>
      <w:r w:rsidR="00FC6AC8">
        <w:rPr>
          <w:sz w:val="24"/>
          <w:szCs w:val="24"/>
          <w:lang w:val="en-US"/>
        </w:rPr>
        <w:instrText>ADDIN CSL_CITATION { "citationItems" : [ { "id" : "ITEM-1", "itemData" : { "DOI" : "10.1007/s12032-012-0345-2", "ISSN" : "1559-131X (Electronic)", "PMID" : "23263829", "abstract" : "Sorafenib is an oral multikinase inhibitor approved for the treatment of hepatocellular carcinoma (HCC). In two randomized trials, sorafenib was reported to be safe without a significant impact on quality of life (QoL). The aim of this study was to evaluate the occurrence of adverse events, QoL variations, and treatment discontinuations in HCC patients treated with sorafenib. Between November 2009 and March 2011, all patients evaluated as suitable for sorafenib treatment were enrolled. Every patient was invited to complete the Functional Assessment of Cancer Therapy-Hepatobiliary Questionnaire before starting therapy, at week 1, and at months 1 and 2. QoL scores were analyzed by the Wilcoxon matched-pairs test. Side effects were classified according to the Common Terminology Criteria for Adverse Events v.3.0. Thirty-six patients were enrolled. The cumulative incidence of therapy discontinuation for drug-related adverse events was 33 % (95 % confidence interval, 20.2-49.7). The most common adverse event was fatigue (66.7 %). The worst score decrease was detected from baseline to week 1 in physical well-being, with a median reduction of -8.3 (range -60.1 to 17.9; P = 0.0003). Treatment withdrawal from adverse events was higher than previously reported, significant QoL decrease occurred, and estimated feasibility was 66.7 %.", "author" : [ { "dropping-particle" : "", "family" : "Brunocilla", "given" : "Paola Rita", "non-dropping-particle" : "", "parse-names" : false, "suffix" : "" }, { "dropping-particle" : "", "family" : "Brunello", "given" : "Franco", "non-dropping-particle" : "", "parse-names" : false, "suffix" : "" }, { "dropping-particle" : "", "family" : "Carucci", "given" : "Patrizia", "non-dropping-particle" : "", "parse-names" : false, "suffix" : "" }, { "dropping-particle" : "", "family" : "Gaia", "given" : "Silvia", "non-dropping-particle" : "", "parse-names" : false, "suffix" : "" }, { "dropping-particle" : "", "family" : "Rolle", "given" : "Emanuela", "non-dropping-particle" : "", "parse-names" : false, "suffix" : "" }, { "dropping-particle" : "", "family" : "Cantamessa", "given" : "Alessandro", "non-dropping-particle" : "", "parse-names" : false, "suffix" : "" }, { "dropping-particle" : "", "family" : "Castiglione", "given" : "Anna", "non-dropping-particle" : "", "parse-names" : false, "suffix" : "" }, { "dropping-particle" : "", "family" : "Ciccone", "given" : "Giovannino", "non-dropping-particle" : "", "parse-names" : false, "suffix" : "" }, { "dropping-particle" : "", "family" : "Rizzetto", "given" : "Mario", "non-dropping-particle" : "", "parse-names" : false, "suffix" : "" } ], "container-title" : "Medical oncology (Northwood, London, England)", "id" : "ITEM-1", "issue" : "1", "issued" : { "date-parts" : [ [ "2013", "3" ] ] }, "language" : "eng", "page" : "345", "publisher-place" : "United States", "title" : "Sorafenib in hepatocellular carcinoma: prospective study on adverse events, quality of life, and related feasibility under daily conditions.", "type" : "article-journal", "volume" : "30" }, "uris" : [ "http://www.mendeley.com/documents/?uuid=8d26b306-9644-4c05-ae6c-4a9c68d358db" ] }, { "id" : "ITEM-2", "itemData" : { "DOI" : "10.1111/apt.13977", "ISSN" : "13652036", "abstract" : "\u00a9 2017 John Wiley  &amp;  Sons Ltd Background: Hepatocellular carcinoma (HCC) is the sixth most common cancer worldwide and has high mortality despite treatment. While sorafenib has a survival benefit for patients with advanced HCC, clinical response is highly variable. Aim: To determine whether development of sorafenib toxicity is a prognostic marker of survival in HCC. Methods: In this prospective multicentre cohort study, patients with advanced-stage HCC receiving sorafenib were recruited from five international specialist centres. Demographic and clinical data including development and grade of sorafenib toxicity during treatment, radiological response to sorafenib and survival time (months) were recorded prospectively. Results: A total of 634 patients with advanced-stage HCC receiving sorafenib were recruited to the study, with a median follow-up of 6692.3 person-months at risk. The majority of patients were male (81%) with Child\u2013Pugh A stage liver disease (74%) and Barcelona Clinic Liver Cancer stage C HCC (64%). Median survival time was 8.1 months (IQR 3.8\u201318.6 months). 94% experienced at least one sorafenib-related toxicity: 34% diarrhoea, 16% hypertension and 37% hand-foot syndrome (HFS). Twenty-one per cent ceased sorafenib due to toxicity and 59% ceased treatment due to progressive disease or death. On multivariate analysis, sorafenib-related diarrhoea (HR 0.76, 95% CI 0.61\u20130.95, P = 0.017), hypertension (HR 0.531, 95% CI 0.37\u20130.76, P  &lt;  0.0001) and HFS (HR 0.65, 95% CI 0.51\u20130.81, P  &lt;  0.0001) were all significant independent predictors of overall survival after adjusting for age, severity of liver disease, tumour stage and sorafenib dose. Conclusion: Development of sorafenib-related toxicity including diarrhoea, hypertension and hand-foot syndrome is associated with prolonged overall survival in patients with advanced-stage HCC on sorafenib.", "author" : [ { "dropping-particle" : "", "family" : "Howell", "given" : "J.", "non-dropping-particle" : "", "parse-names" : false, "suffix" : "" }, { "dropping-particle" : "", "family" : "Pinato", "given" : "D.J.", "non-dropping-particle" : "", "parse-names" : false, "suffix" : "" }, { "dropping-particle" : "", "family" : "Ramaswami", "given" : "R.", "non-dropping-particle" : "", "parse-names" : false, "suffix" : "" }, { "dropping-particle" : "", "family" : "Bettinger", "given" : "D.", "non-dropping-particle" : "", "parse-names" : false, "suffix" : "" }, { "dropping-particle" : "", "family" : "Arizumi", "given" : "T.", "non-dropping-particle" : "", "parse-names" : false, "suffix" : "" }, { "dropping-particle" : "", "family" : "Ferrari", "given" : "C.", "non-dropping-particle" : "", "parse-names" : false, "suffix" : "" }, { "dropping-particle" : "", "family" : "Yen", "given" : "C.", "non-dropping-particle" : "", "parse-names" : false, "suffix" : "" }, { "dropping-particle" : "", "family" : "Gibbin", "given" : "A.", "non-dropping-particle" : "", "parse-names" : false, "suffix" : "" }, { "dropping-particle" : "", "family" : "Burlone", "given" : "M.E.", "non-dropping-particle" : "", "parse-names" : false, "suffix" : "" }, { "dropping-particle" : "", "family" : "Guaschino", "given" : "G.", "non-dropping-particle" : "", "parse-names" : false, "suffix" : "" }, { "dropping-particle" : "", "family" : "Sellers", "given" : "L.", "non-dropping-particle" : "", "parse-names" : false, "suffix" : "" }, { "dropping-particle" : "", "family" : "Black", "given" : "J.", "non-dropping-particle" : "", "parse-names" : false, "suffix" : "" }, { "dropping-particle" : "", "family" : "Pirisi", "given" : "M.", "non-dropping-particle" : "", "parse-names" : false, "suffix" : "" }, { "dropping-particle" : "", "family" : "Kudo", "given" : "M.", "non-dropping-particle" : "", "parse-names" : false, "suffix" : "" }, { "dropping-particle" : "", "family" : "Thimme", "given" : "R.", "non-dropping-particle" : "", "parse-names" : false, "suffix" : "" }, { "dropping-particle" : "", "family" : "Park", "given" : "J.-W.", "non-dropping-particle" : "", "parse-names" : false, "suffix" : "" }, { "dropping-particle" : "", "family" : "Sharma", "given" : "R.", "non-dropping-particle" : "", "parse-names" : false, "suffix" : "" } ], "container-title" : "Alimentary Pharmacology and Therapeutics", "id" : "ITEM-2", "issue" : "8", "issued" : { "date-parts" : [ [ "2017" ] ] }, "title" : "On-target sorafenib toxicity predicts improved survival in hepatocellular carcinoma: a multi-centre, prospective study", "type" : "article-journal", "volume" : "45" }, "uris" : [ "http://www.mendeley.com/documents/?uuid=7a79673a-391f-36f9-b6ff-5a4a528289cb" ] }, { "id" : "ITEM-3", "itemData" : { "DOI" : "10.1111/liv.13096", "ISSN" : "14783231", "PMID" : "26901163", "abstract" : "1196 - 1205", "author" : [ { "dropping-particle" : "", "family" : "Kudo", "given" : "Masatoshi", "non-dropping-particle" : "", "parse-names" : false, "suffix" : "" }, { "dropping-particle" : "", "family" : "Lencioni", "given" : "Riccardo", "non-dropping-particle" : "", "parse-names" : false, "suffix" : "" }, { "dropping-particle" : "", "family" : "Marrero", "given" : "Jorge A.", "non-dropping-particle" : "", "parse-names" : false, "suffix" : "" }, { "dropping-particle" : "", "family" : "Venook", "given" : "Alan P.", "non-dropping-particle" : "", "parse-names" : false, "suffix" : "" }, { "dropping-particle" : "", "family" : "Bronowicki", "given" : "Jean Pierre", "non-dropping-particle" : "", "parse-names" : false, "suffix" : "" }, { "dropping-particle" : "", "family" : "Chen", "given" : "Xiao Ping", "non-dropping-particle" : "", "parse-names" : false, "suffix" : "" }, { "dropping-particle" : "", "family" : "Dagher", "given" : "Lucy", "non-dropping-particle" : "", "parse-names" : false, "suffix" : "" }, { "dropping-particle" : "", "family" : "Furuse", "given" : "Junji", "non-dropping-particle" : "", "parse-names" : false, "suffix" : "" }, { "dropping-particle" : "", "family" : "Geschwind", "given" : "Jean Francois H.", "non-dropping-particle" : "", "parse-names" : false, "suffix" : "" }, { "dropping-particle" : "", "family" : "Ladr\u00f3n de Guevara", "given" : "Laura", "non-dropping-particle" : "", "parse-names" : false, "suffix" : "" }, { "dropping-particle" : "", "family" : "Papandreou", "given" : "Christos", "non-dropping-particle" : "", "parse-names" : false, "suffix" : "" }, { "dropping-particle" : "", "family" : "Sanyal", "given" : "Arun J.", "non-dropping-particle" : "", "parse-names" : false, "suffix" : "" }, { "dropping-particle" : "", "family" : "Takayama", "given" : "Tadatoshi", "non-dropping-particle" : "", "parse-names" : false, "suffix" : "" }, { "dropping-particle" : "", "family" : "Yoon", "given" : "Seung Kew", "non-dropping-particle" : "", "parse-names" : false, "suffix" : "" }, { "dropping-particle" : "", "family" : "Nakajima", "given" : "Keiko", "non-dropping-particle" : "", "parse-names" : false, "suffix" : "" }, { "dropping-particle" : "", "family" : "Lehr", "given" : "Robert", "non-dropping-particle" : "", "parse-names" : false, "suffix" : "" }, { "dropping-particle" : "", "family" : "Heldner", "given" : "Stephanie", "non-dropping-particle" : "", "parse-names" : false, "suffix" : "" }, { "dropping-particle" : "", "family" : "Ye", "given" : "Sheng Long", "non-dropping-particle" : "", "parse-names" : false, "suffix" : "" } ], "container-title" : "Liver International", "id" : "ITEM-3", "issued" : { "date-parts" : [ [ "2016" ] ] }, "title" : "Regional differences in sorafenib-treated patients with hepatocellular carcinoma: GIDEON observational study", "type" : "article-journal" }, "uris" : [ "http://www.mendeley.com/documents/?uuid=96b986e2-2880-3649-869c-c5aae925308f" ] } ], "mendeley" : { "formattedCitation" : "[9,28,29]", "plainTextFormattedCitation" : "[9,28,29]", "previouslyFormattedCitation" : "[9,28,29]" }, "properties" : {  }, "schema" : "https://github.com/citation-style-language/schema/raw/master/csl-citation.json" }</w:instrText>
      </w:r>
      <w:r w:rsidR="00FA5B84">
        <w:rPr>
          <w:sz w:val="24"/>
          <w:szCs w:val="24"/>
          <w:lang w:val="en-US"/>
        </w:rPr>
        <w:fldChar w:fldCharType="separate"/>
      </w:r>
      <w:r w:rsidR="00FC6AC8" w:rsidRPr="00FC6AC8">
        <w:rPr>
          <w:noProof/>
          <w:sz w:val="24"/>
          <w:szCs w:val="24"/>
          <w:lang w:val="en-US"/>
        </w:rPr>
        <w:t>[9,28,29]</w:t>
      </w:r>
      <w:r w:rsidR="00FA5B84">
        <w:rPr>
          <w:sz w:val="24"/>
          <w:szCs w:val="24"/>
          <w:lang w:val="en-US"/>
        </w:rPr>
        <w:fldChar w:fldCharType="end"/>
      </w:r>
      <w:r w:rsidR="008D7AF2">
        <w:rPr>
          <w:sz w:val="24"/>
          <w:szCs w:val="24"/>
          <w:lang w:val="en-US"/>
        </w:rPr>
        <w:t>. In our study only 57.9% of the patients were treated with the recommended dose of 800 mg per day</w:t>
      </w:r>
      <w:r w:rsidR="00774C68">
        <w:rPr>
          <w:sz w:val="24"/>
          <w:szCs w:val="24"/>
          <w:lang w:val="en-US"/>
        </w:rPr>
        <w:t xml:space="preserve"> and</w:t>
      </w:r>
      <w:r w:rsidR="008D7AF2">
        <w:rPr>
          <w:sz w:val="24"/>
          <w:szCs w:val="24"/>
          <w:lang w:val="en-US"/>
        </w:rPr>
        <w:t xml:space="preserve"> </w:t>
      </w:r>
      <w:r w:rsidR="00C720A1">
        <w:rPr>
          <w:sz w:val="24"/>
          <w:szCs w:val="24"/>
          <w:lang w:val="en-US"/>
        </w:rPr>
        <w:t>31.2%% of our patients had dose reduction.</w:t>
      </w:r>
      <w:r w:rsidR="00D13076">
        <w:rPr>
          <w:sz w:val="24"/>
          <w:szCs w:val="24"/>
          <w:lang w:val="en-US"/>
        </w:rPr>
        <w:t xml:space="preserve"> </w:t>
      </w:r>
      <w:r w:rsidR="00774C68">
        <w:rPr>
          <w:sz w:val="24"/>
          <w:szCs w:val="24"/>
          <w:lang w:val="en-US"/>
        </w:rPr>
        <w:t>Taken together</w:t>
      </w:r>
      <w:r w:rsidR="00C720A1">
        <w:rPr>
          <w:sz w:val="24"/>
          <w:szCs w:val="24"/>
          <w:lang w:val="en-US"/>
        </w:rPr>
        <w:t>, there is a need for</w:t>
      </w:r>
      <w:r w:rsidR="00774C68">
        <w:rPr>
          <w:sz w:val="24"/>
          <w:szCs w:val="24"/>
          <w:lang w:val="en-US"/>
        </w:rPr>
        <w:t xml:space="preserve"> a</w:t>
      </w:r>
      <w:r w:rsidR="00C720A1">
        <w:rPr>
          <w:sz w:val="24"/>
          <w:szCs w:val="24"/>
          <w:lang w:val="en-US"/>
        </w:rPr>
        <w:t xml:space="preserve"> well tol</w:t>
      </w:r>
      <w:r w:rsidR="00774C68">
        <w:rPr>
          <w:sz w:val="24"/>
          <w:szCs w:val="24"/>
          <w:lang w:val="en-US"/>
        </w:rPr>
        <w:t>erable treatment strategy</w:t>
      </w:r>
      <w:r w:rsidR="00C720A1">
        <w:rPr>
          <w:sz w:val="24"/>
          <w:szCs w:val="24"/>
          <w:lang w:val="en-US"/>
        </w:rPr>
        <w:t xml:space="preserve"> in patients with advanced HCC. </w:t>
      </w:r>
      <w:r w:rsidR="008D7AF2">
        <w:rPr>
          <w:sz w:val="24"/>
          <w:szCs w:val="24"/>
          <w:lang w:val="en-US"/>
        </w:rPr>
        <w:t xml:space="preserve">During the last years there have been many research efforts leading to immunotherapies targeting </w:t>
      </w:r>
      <w:r w:rsidR="008D7AF2" w:rsidRPr="00AD571B">
        <w:rPr>
          <w:rFonts w:cs="ScalaLancetPro"/>
          <w:color w:val="000000"/>
          <w:sz w:val="24"/>
          <w:szCs w:val="24"/>
          <w:lang w:val="en-US"/>
        </w:rPr>
        <w:t>programmed cell death protein-1 (PD-1)</w:t>
      </w:r>
      <w:r w:rsidR="008D7AF2">
        <w:rPr>
          <w:rFonts w:cs="ScalaLancetPro"/>
          <w:color w:val="000000"/>
          <w:sz w:val="24"/>
          <w:szCs w:val="24"/>
          <w:lang w:val="en-US"/>
        </w:rPr>
        <w:t xml:space="preserve"> with nivolumab and these treatment approaches showed promising results in </w:t>
      </w:r>
      <w:r w:rsidR="00D13076">
        <w:rPr>
          <w:rFonts w:cs="ScalaLancetPro"/>
          <w:color w:val="000000"/>
          <w:sz w:val="24"/>
          <w:szCs w:val="24"/>
          <w:lang w:val="en-US"/>
        </w:rPr>
        <w:t xml:space="preserve">HCC </w:t>
      </w:r>
      <w:r w:rsidR="008D7AF2">
        <w:rPr>
          <w:rFonts w:cs="ScalaLancetPro"/>
          <w:color w:val="000000"/>
          <w:sz w:val="24"/>
          <w:szCs w:val="24"/>
          <w:lang w:val="en-US"/>
        </w:rPr>
        <w:t xml:space="preserve">patients </w:t>
      </w:r>
      <w:r w:rsidR="00774C68">
        <w:rPr>
          <w:rFonts w:cs="ScalaLancetPro"/>
          <w:color w:val="000000"/>
          <w:sz w:val="24"/>
          <w:szCs w:val="24"/>
          <w:lang w:val="en-US"/>
        </w:rPr>
        <w:t>with few adverse events</w:t>
      </w:r>
      <w:r w:rsidR="00983600">
        <w:rPr>
          <w:rFonts w:cs="ScalaLancetPro"/>
          <w:color w:val="000000"/>
          <w:sz w:val="24"/>
          <w:szCs w:val="24"/>
          <w:lang w:val="en-US"/>
        </w:rPr>
        <w:t xml:space="preserve"> </w:t>
      </w:r>
      <w:r w:rsidR="00FA5B84">
        <w:rPr>
          <w:rFonts w:cs="ScalaLancetPro"/>
          <w:color w:val="000000"/>
          <w:sz w:val="24"/>
          <w:szCs w:val="24"/>
          <w:lang w:val="en-US"/>
        </w:rPr>
        <w:fldChar w:fldCharType="begin" w:fldLock="1"/>
      </w:r>
      <w:r w:rsidR="00FC6AC8">
        <w:rPr>
          <w:rFonts w:cs="ScalaLancetPro"/>
          <w:color w:val="000000"/>
          <w:sz w:val="24"/>
          <w:szCs w:val="24"/>
          <w:lang w:val="en-US"/>
        </w:rPr>
        <w:instrText>ADDIN CSL_CITATION { "citationItems" : [ { "id" : "ITEM-1", "itemData" : { "DOI" : "10.1016/S0140-6736(17)31046-2", "abstract" : "Background For patients with advanced hepatocellular carcinoma, sorafenib is the only approved drug worldwide, and outcomes remain poor. We aimed to assess the safety and efficacy of nivolumab, a programmed cell death protein-1 (PD-1) immune checkpoint inhibitor, in patients with advanced hepatocellular carcinoma with or without chronic viral hepatitis. Methods We did a phase 1/2, open-label, non-comparative, dose escalation and expansion trial (CheckMate 040) of nivolumab in adults (\u226518 years) with histologically confirmed advanced hepatocellular carcinoma with or without hepatitis C or B (HCV or HBV) infection. Previous sorafenib treatment was allowed. A dose-escalation phase was conducted at seven hospitals or academic centres in four countries or territories (USA, Spain, Hong Kong, and Singapore) and a dose-expansion phase was conducted at an additional 39 sites in 11 countries (Canada, UK, Germany, Italy, Japan, South Korea, Taiwan). At screening, eligible patients had Child-Pugh scores of 7 or less (Child-Pugh A or B7) for the dose-escalation phase and 6 or less (Child-Pugh A) for the dose-expansion phase, and an Eastern Cooperative Oncology Group performance status of 1 or less. Patients with HBV infection had to be receiving effective antiviral therapy (viral load &lt;100 IU/mL); antiviral therapy was not required for patients with HCV infection. We excluded patients previously treated with an agent targeting T-cell costimulation or checkpoint pathways. Patients received intravenous nivolumab 0\u00b71\u201310 mg/kg every 2 weeks in the dose-escalation phase (3+3 design). Nivolumab 3 mg/kg was given every 2 weeks in the dose-expansion phase to patients in four cohorts: sorafenib untreated or intolerant without viral hepatitis, sorafenib progressor without viral hepatitis, HCV infected, and HBV infected. Primary endpoints were safety and tolerability for the escalation phase and objective response rate (Response Evaluation Criteria In Solid Tumors version 1.1) for the expansion phase. This study is registered with ClinicalTrials.gov, number NCT01658878. Findings Between Nov 26, 2012, and Aug 8, 2016, 262 eligible patients were treated (48 patients in the dose-escalation phase and 214 in the dose-expansion phase). 202 (77%) of 262 patients have completed treatment and follow-up is ongoing. During dose escalation, nivolumab showed a manageable safety profile, including acceptable tolerability. In this phase, 46 (96%) of 48 patients discontinued treatment, 42 (88\u2026", "author" : [ { "dropping-particle" : "", "family" : "El-Khoueiry", "given" : "Anthony B", "non-dropping-particle" : "", "parse-names" : false, "suffix" : "" }, { "dropping-particle" : "", "family" : "Sangro", "given" : "Bruno", "non-dropping-particle" : "", "parse-names" : false, "suffix" : "" }, { "dropping-particle" : "", "family" : "Yau", "given" : "Thomas", "non-dropping-particle" : "", "parse-names" : false, "suffix" : "" }, { "dropping-particle" : "", "family" : "Crocenzi", "given" : "Todd S", "non-dropping-particle" : "", "parse-names" : false, "suffix" : "" }, { "dropping-particle" : "", "family" : "Kudo", "given" : "Masatoshi", "non-dropping-particle" : "", "parse-names" : false, "suffix" : "" }, { "dropping-particle" : "", "family" : "Hsu", "given" : "Chiun", "non-dropping-particle" : "", "parse-names" : false, "suffix" : "" }, { "dropping-particle" : "", "family" : "Kim", "given" : "Tae-You", "non-dropping-particle" : "", "parse-names" : false, "suffix" : "" }, { "dropping-particle" : "", "family" : "Choo", "given" : "Su-Pin", "non-dropping-particle" : "", "parse-names" : false, "suffix" : "" }, { "dropping-particle" : "", "family" : "Trojan", "given" : "J\u00f6rg", "non-dropping-particle" : "", "parse-names" : false, "suffix" : "" }, { "dropping-particle" : "", "family" : "Welling", "given" : "Theodore H", "non-dropping-particle" : "", "parse-names" : false, "suffix" : "" }, { "dropping-particle" : "", "family" : "Meyer", "given" : "Tim", "non-dropping-particle" : "", "parse-names" : false, "suffix" : "" }, { "dropping-particle" : "", "family" : "Kang", "given" : "Yoon-Koo", "non-dropping-particle" : "", "parse-names" : false, "suffix" : "" }, { "dropping-particle" : "", "family" : "Yeo", "given" : "Winnie", "non-dropping-particle" : "", "parse-names" : false, "suffix" : "" }, { "dropping-particle" : "", "family" : "Chopra", "given" : "Akhil", "non-dropping-particle" : "", "parse-names" : false, "suffix" : "" }, { "dropping-particle" : "", "family" : "Anderson", "given" : "Jeffrey", "non-dropping-particle" : "", "parse-names" : false, "suffix" : "" }, { "dropping-particle" : "Dela", "family" : "Cruz", "given" : "Christine", "non-dropping-particle" : "", "parse-names" : false, "suffix" : "" }, { "dropping-particle" : "", "family" : "Lang", "given" : "Lixin", "non-dropping-particle" : "", "parse-names" : false, "suffix" : "" }, { "dropping-particle" : "", "family" : "Neely", "given" : "Jaclyn", "non-dropping-particle" : "", "parse-names" : false, "suffix" : "" }, { "dropping-particle" : "", "family" : "Tang", "given" : "Hao", "non-dropping-particle" : "", "parse-names" : false, "suffix" : "" }, { "dropping-particle" : "", "family" : "Dastani", "given" : "Homa B", "non-dropping-particle" : "", "parse-names" : false, "suffix" : "" }, { "dropping-particle" : "", "family" : "Melero", "given" : "Ignacio", "non-dropping-particle" : "", "parse-names" : false, "suffix" : "" } ], "id" : "ITEM-1", "issued" : { "date-parts" : [ [ "2017" ] ] }, "title" : "Articles Nivolumab in patients with advanced hepatocellular carcinoma (CheckMate 040): an open-label, non-comparative, phase 1/2 dose escalation and expansion trial", "type" : "article-journal" }, "uris" : [ "http://www.mendeley.com/documents/?uuid=cd580d2d-ba46-368f-96b6-1ad7d6df7e84" ] }, { "id" : "ITEM-2", "itemData" : { "DOI" : "10.18632/oncotarget.20029", "ISSN" : "19492553", "author" : [ { "dropping-particle" : "", "family" : "Feng", "given" : "Duan", "non-dropping-particle" : "", "parse-names" : false, "suffix" : "" }, { "dropping-particle" : "", "family" : "Hui", "given" : "Xie", "non-dropping-particle" : "", "parse-names" : false, "suffix" : "" }, { "dropping-particle" : "", "family" : "Shi-Chun", "given" : "Lu", "non-dropping-particle" : "", "parse-names" : false, "suffix" : "" }, { "dropping-particle" : "", "family" : "Yan-Hua", "given" : "Bai", "non-dropping-particle" : "", "parse-names" : false, "suffix" : "" }, { "dropping-particle" : "", "family" : "Li", "given" : "Cui", "non-dropping-particle" : "", "parse-names" : false, "suffix" : "" }, { "dropping-particle" : "", "family" : "Xiao-Hui", "given" : "Li", "non-dropping-particle" : "", "parse-names" : false, "suffix" : "" }, { "dropping-particle" : "", "family" : "Jie-Yu", "given" : "Yan", "non-dropping-particle" : "", "parse-names" : false, "suffix" : "" } ], "container-title" : "Oncotarget", "id" : "ITEM-2", "issued" : { "date-parts" : [ [ "2017" ] ] }, "title" : "Initial experience of anti-PD1 therapy with nivolumab in advanced hepatocellular carcinoma", "type" : "article-journal" }, "uris" : [ "http://www.mendeley.com/documents/?uuid=ba4d8510-92a8-3916-875f-cac5d6725aee" ] } ], "mendeley" : { "formattedCitation" : "[3,30]", "plainTextFormattedCitation" : "[3,30]", "previouslyFormattedCitation" : "[3,30]" }, "properties" : {  }, "schema" : "https://github.com/citation-style-language/schema/raw/master/csl-citation.json" }</w:instrText>
      </w:r>
      <w:r w:rsidR="00FA5B84">
        <w:rPr>
          <w:rFonts w:cs="ScalaLancetPro"/>
          <w:color w:val="000000"/>
          <w:sz w:val="24"/>
          <w:szCs w:val="24"/>
          <w:lang w:val="en-US"/>
        </w:rPr>
        <w:fldChar w:fldCharType="separate"/>
      </w:r>
      <w:r w:rsidR="00FC6AC8" w:rsidRPr="00FC6AC8">
        <w:rPr>
          <w:rFonts w:cs="ScalaLancetPro"/>
          <w:noProof/>
          <w:color w:val="000000"/>
          <w:sz w:val="24"/>
          <w:szCs w:val="24"/>
          <w:lang w:val="en-US"/>
        </w:rPr>
        <w:t>[3,30]</w:t>
      </w:r>
      <w:r w:rsidR="00FA5B84">
        <w:rPr>
          <w:rFonts w:cs="ScalaLancetPro"/>
          <w:color w:val="000000"/>
          <w:sz w:val="24"/>
          <w:szCs w:val="24"/>
          <w:lang w:val="en-US"/>
        </w:rPr>
        <w:fldChar w:fldCharType="end"/>
      </w:r>
      <w:r w:rsidR="008D7AF2">
        <w:rPr>
          <w:rFonts w:cs="ScalaLancetPro"/>
          <w:color w:val="000000"/>
          <w:sz w:val="24"/>
          <w:szCs w:val="24"/>
          <w:lang w:val="en-US"/>
        </w:rPr>
        <w:t xml:space="preserve">. The efficacy of these therapies in direct </w:t>
      </w:r>
      <w:r w:rsidR="00983600">
        <w:rPr>
          <w:rFonts w:cs="ScalaLancetPro"/>
          <w:color w:val="000000"/>
          <w:sz w:val="24"/>
          <w:szCs w:val="24"/>
          <w:lang w:val="en-US"/>
        </w:rPr>
        <w:t>comparison</w:t>
      </w:r>
      <w:r w:rsidR="008D7AF2">
        <w:rPr>
          <w:rFonts w:cs="ScalaLancetPro"/>
          <w:color w:val="000000"/>
          <w:sz w:val="24"/>
          <w:szCs w:val="24"/>
          <w:lang w:val="en-US"/>
        </w:rPr>
        <w:t xml:space="preserve"> to sorafenib is still under investigation and is not yet clarified (NCT 02576509). </w:t>
      </w:r>
      <w:r w:rsidR="00C720A1">
        <w:rPr>
          <w:rFonts w:cs="ScalaLancetPro"/>
          <w:color w:val="000000"/>
          <w:sz w:val="24"/>
          <w:szCs w:val="24"/>
          <w:lang w:val="en-US"/>
        </w:rPr>
        <w:t>However, the main limitation of these immunotherapeutic approaches is that only 2</w:t>
      </w:r>
      <w:r w:rsidR="00774C68">
        <w:rPr>
          <w:rFonts w:cs="ScalaLancetPro"/>
          <w:color w:val="000000"/>
          <w:sz w:val="24"/>
          <w:szCs w:val="24"/>
          <w:lang w:val="en-US"/>
        </w:rPr>
        <w:t>0</w:t>
      </w:r>
      <w:r w:rsidR="00C720A1">
        <w:rPr>
          <w:rFonts w:cs="ScalaLancetPro"/>
          <w:color w:val="000000"/>
          <w:sz w:val="24"/>
          <w:szCs w:val="24"/>
          <w:lang w:val="en-US"/>
        </w:rPr>
        <w:t xml:space="preserve">% of the patients showed </w:t>
      </w:r>
      <w:r w:rsidR="00774C68">
        <w:rPr>
          <w:rFonts w:cs="ScalaLancetPro"/>
          <w:color w:val="000000"/>
          <w:sz w:val="24"/>
          <w:szCs w:val="24"/>
          <w:lang w:val="en-US"/>
        </w:rPr>
        <w:t xml:space="preserve">an objective </w:t>
      </w:r>
      <w:r w:rsidR="00983600">
        <w:rPr>
          <w:rFonts w:cs="ScalaLancetPro"/>
          <w:color w:val="000000"/>
          <w:sz w:val="24"/>
          <w:szCs w:val="24"/>
          <w:lang w:val="en-US"/>
        </w:rPr>
        <w:t>tumor</w:t>
      </w:r>
      <w:r w:rsidR="00774C68">
        <w:rPr>
          <w:rFonts w:cs="ScalaLancetPro"/>
          <w:color w:val="000000"/>
          <w:sz w:val="24"/>
          <w:szCs w:val="24"/>
          <w:lang w:val="en-US"/>
        </w:rPr>
        <w:t xml:space="preserve"> response</w:t>
      </w:r>
      <w:r w:rsidR="00D13076">
        <w:rPr>
          <w:rFonts w:cs="ScalaLancetPro"/>
          <w:color w:val="000000"/>
          <w:sz w:val="24"/>
          <w:szCs w:val="24"/>
          <w:lang w:val="en-US"/>
        </w:rPr>
        <w:t>.</w:t>
      </w:r>
      <w:r w:rsidR="00983600">
        <w:rPr>
          <w:rFonts w:cs="ScalaLancetPro"/>
          <w:color w:val="000000"/>
          <w:sz w:val="24"/>
          <w:szCs w:val="24"/>
          <w:lang w:val="en-US"/>
        </w:rPr>
        <w:t xml:space="preserve"> </w:t>
      </w:r>
    </w:p>
    <w:p w14:paraId="2B61FA59" w14:textId="7C28550C" w:rsidR="00142697" w:rsidRPr="00774C68" w:rsidRDefault="00D13076" w:rsidP="00995C75">
      <w:pPr>
        <w:widowControl w:val="0"/>
        <w:autoSpaceDE w:val="0"/>
        <w:autoSpaceDN w:val="0"/>
        <w:adjustRightInd w:val="0"/>
        <w:spacing w:after="120" w:line="480" w:lineRule="auto"/>
        <w:jc w:val="both"/>
        <w:rPr>
          <w:rFonts w:cs="ScalaLancetPro"/>
          <w:color w:val="000000"/>
          <w:sz w:val="24"/>
          <w:szCs w:val="24"/>
          <w:lang w:val="en-US"/>
        </w:rPr>
      </w:pPr>
      <w:r>
        <w:rPr>
          <w:rFonts w:cs="ScalaLancetPro"/>
          <w:color w:val="000000"/>
          <w:sz w:val="24"/>
          <w:szCs w:val="24"/>
          <w:lang w:val="en-US"/>
        </w:rPr>
        <w:t>S</w:t>
      </w:r>
      <w:r w:rsidR="00181321">
        <w:rPr>
          <w:rFonts w:cs="ScalaLancetPro"/>
          <w:color w:val="000000"/>
          <w:sz w:val="24"/>
          <w:szCs w:val="24"/>
          <w:lang w:val="en-US"/>
        </w:rPr>
        <w:t>tereotactic body radiation therapy (SBRT) has emerged as an effective and safe treatment approach</w:t>
      </w:r>
      <w:r w:rsidR="00D32211" w:rsidRPr="00181321">
        <w:rPr>
          <w:sz w:val="24"/>
          <w:szCs w:val="24"/>
          <w:lang w:val="en-US"/>
        </w:rPr>
        <w:t>, even in patients with advanced liver disease with acceptable toxicity</w:t>
      </w:r>
      <w:r w:rsidR="00960199">
        <w:rPr>
          <w:sz w:val="24"/>
          <w:szCs w:val="24"/>
          <w:lang w:val="en-US"/>
        </w:rPr>
        <w:t xml:space="preserve"> </w:t>
      </w:r>
      <w:r w:rsidR="00FA5B84">
        <w:rPr>
          <w:sz w:val="24"/>
          <w:szCs w:val="24"/>
          <w:lang w:val="en-US"/>
        </w:rPr>
        <w:fldChar w:fldCharType="begin" w:fldLock="1"/>
      </w:r>
      <w:r w:rsidR="00FC6AC8">
        <w:rPr>
          <w:sz w:val="24"/>
          <w:szCs w:val="24"/>
          <w:lang w:val="en-US"/>
        </w:rPr>
        <w:instrText>ADDIN CSL_CITATION { "citationItems" : [ { "id" : "ITEM-1", "itemData" : { "DOI" : "10.1200/JCO.2012.44.1659", "ISSN" : "15277755", "PMID" : "23547075", "abstract" : "PURPOSE: To describe outcomes of prospective trials of stereotactic body radiotherapy (SBRT) for hepatocellular carcinoma (HCC). PATIENTS AND METHODS: Two trials of SBRT for patients with active HCC unsuitable for standard locoregional therapies were conducted from 2004 to 2010. All patients had Child-Turcotte-Pugh class A disease, with at least 700 mL of non-HCC liver. The SBRT dose range was 24 to 54 Gy in six fractions. Primary end points were toxicity and local control at 1 year (LC1y), defined as no progressive disease (PD) of irradiated HCC by RECIST (Response Evaluation Criteria in Solid Tumors). RESULTS: A total of 102 patients were evaluable (Trial 1, 2004 to 2007: n = 50; Trial 2, 2007 to 2010: n = 52). Underlying liver disease was hepatitis B in 38% of patients, hepatitis C in 38%, alcohol related in 25%, other in 14%, and none in 7%. Fifty-two percent received prior therapies (no prior sorafenib). TNM stage was III in 66%, and 61% had multiple lesions. Median gross tumor volume was 117.0 mL (range, 1.3 to 1,913.4 mL). Tumor vascular thrombosis (TVT) was present in 55%, and extrahepatic disease was present in 12%. LC1y was 87% (95% CI, 78% to 93%). SBRT dose (hazard ratio [HR] = 0.96; P = .02) and being in Trial 2 (HR = 0.38; P = .03) were associated with LC1y on univariate analysis. Toxicity \u2265 grade 3 was seen in 30% of patients. In seven patients (two with TVT PD), death was possibly related to treatment (1.1 to 7.7 months after SBRT). Median overall survival was 17.0 months (95% CI, 10.4 to 21.3 months), for which only TVT (HR = 2.47; P = .01) and being in Trial 2 (HR = 0.49; P = .01) were significant on multivariate analysis. CONCLUSION: These results provide strong rationale for studying SBRT for HCC in a randomized trial.", "author" : [ { "dropping-particle" : "", "family" : "Bujold", "given" : "Alexis", "non-dropping-particle" : "", "parse-names" : false, "suffix" : "" }, { "dropping-particle" : "", "family" : "Massey", "given" : "Christine A.", "non-dropping-particle" : "", "parse-names" : false, "suffix" : "" }, { "dropping-particle" : "", "family" : "Kim", "given" : "John J.", "non-dropping-particle" : "", "parse-names" : false, "suffix" : "" }, { "dropping-particle" : "", "family" : "Brierley", "given" : "James", "non-dropping-particle" : "", "parse-names" : false, "suffix" : "" }, { "dropping-particle" : "", "family" : "Cho", "given" : "Charles", "non-dropping-particle" : "", "parse-names" : false, "suffix" : "" }, { "dropping-particle" : "", "family" : "Wong", "given" : "Rebecca K S", "non-dropping-particle" : "", "parse-names" : false, "suffix" : "" }, { "dropping-particle" : "", "family" : "Dinniwell", "given" : "Rob E.", "non-dropping-particle" : "", "parse-names" : false, "suffix" : "" }, { "dropping-particle" : "", "family" : "Kassam", "given" : "Zahra", "non-dropping-particle" : "", "parse-names" : false, "suffix" : "" }, { "dropping-particle" : "", "family" : "Ringash", "given" : "Jolie", "non-dropping-particle" : "", "parse-names" : false, "suffix" : "" }, { "dropping-particle" : "", "family" : "Cummings", "given" : "Bernard", "non-dropping-particle" : "", "parse-names" : false, "suffix" : "" }, { "dropping-particle" : "", "family" : "Sykes", "given" : "Jenna", "non-dropping-particle" : "", "parse-names" : false, "suffix" : "" }, { "dropping-particle" : "", "family" : "Sherman", "given" : "Morris", "non-dropping-particle" : "", "parse-names" : false, "suffix" : "" }, { "dropping-particle" : "", "family" : "Knox", "given" : "Jennifer J.", "non-dropping-particle" : "", "parse-names" : false, "suffix" : "" }, { "dropping-particle" : "", "family" : "Dawson", "given" : "Laura A.", "non-dropping-particle" : "", "parse-names" : false, "suffix" : "" } ], "container-title" : "Journal of clinical oncology : official journal of the American Society of Clinical Oncology", "id" : "ITEM-1", "issue" : "13", "issued" : { "date-parts" : [ [ "2013" ] ] }, "page" : "1631-1639", "title" : "Sequential phase I and II trials of stereotactic body radiotherapy for locally advanced hepatocellular carcinoma.", "type" : "article-journal", "volume" : "31" }, "uris" : [ "http://www.mendeley.com/documents/?uuid=47de0fd6-a73b-4d9f-8730-1e8ddb7d5270" ] }, { "id" : "ITEM-2", "itemData" : { "DOI" : "10.1007/s00066-014-0714-1", "ISSN" : "1439-099X (Electronic)", "PMID" : "25091267", "abstract" : "PURPOSE: This report of the Working Group on Stereotactic Radiotherapy of the German Society of Radiation Oncology (DEGRO) aims to provide a practical guideline for safe and effective stereotactic body radiotherapy (SBRT) of liver tumors. METHODS: The literature on the clinical evidence of SBRT for both primary liver tumors and liver metastases was reviewed and analyzed focusing on both physical requirements and special biological characteristics. RESULTS: Recommendations were developed for patient selection, imaging, planning, treatment delivery, motion management, dose reporting, and follow-up. Radiation dose constraints to critical organs at risk are provided. CONCLUSION: SBRT is a well-established treatment option for primary and secondary liver tumors associated with low morbidity.", "author" : [ { "dropping-particle" : "", "family" : "Sterzing", "given" : "Florian", "non-dropping-particle" : "", "parse-names" : false, "suffix" : "" }, { "dropping-particle" : "", "family" : "Brunner", "given" : "Thomas B", "non-dropping-particle" : "", "parse-names" : false, "suffix" : "" }, { "dropping-particle" : "", "family" : "Ernst", "given" : "Iris", "non-dropping-particle" : "", "parse-names" : false, "suffix" : "" }, { "dropping-particle" : "", "family" : "Baus", "given" : "Wolfgang W", "non-dropping-particle" : "", "parse-names" : false, "suffix" : "" }, { "dropping-particle" : "", "family" : "Greve", "given" : "Burkhard", "non-dropping-particle" : "", "parse-names" : false, "suffix" : "" }, { "dropping-particle" : "", "family" : "Herfarth", "given" : "Klaus", "non-dropping-particle" : "", "parse-names" : false, "suffix" : "" }, { "dropping-particle" : "", "family" : "Guckenberger", "given" : "Matthias", "non-dropping-particle" : "", "parse-names" : false, "suffix" : "" } ], "container-title" : "Strahlentherapie und Onkologie : Organ der Deutschen Rontgengesellschaft ... [et  al]", "id" : "ITEM-2", "issue" : "10", "issued" : { "date-parts" : [ [ "2014", "10" ] ] }, "language" : "eng", "page" : "872-881", "publisher-place" : "Germany", "title" : "Stereotactic body radiotherapy for liver tumors: principles and practical guidelines of the DEGRO Working Group on Stereotactic Radiotherapy.", "type" : "article-journal", "volume" : "190" }, "uris" : [ "http://www.mendeley.com/documents/?uuid=ae910142-68c7-4ece-affa-5212d751e0a1" ] }, { "id" : "ITEM-3", "itemData" : { "DOI" : "10.1186/s13014-017-0851-7", "ISSN" : "1748-717X", "author" : [ { "dropping-particle" : "", "family" : "Gkika", "given" : "Eleni", "non-dropping-particle" : "", "parse-names" : false, "suffix" : "" }, { "dropping-particle" : "", "family" : "Schultheiss", "given" : "Michael", "non-dropping-particle" : "", "parse-names" : false, "suffix" : "" }, { "dropping-particle" : "", "family" : "Bettinger", "given" : "Dominik", "non-dropping-particle" : "", "parse-names" : false, "suffix" : "" }, { "dropping-particle" : "", "family" : "Maruschke", "given" : "Lars", "non-dropping-particle" : "", "parse-names" : false, "suffix" : "" }, { "dropping-particle" : "", "family" : "Neeff", "given" : "Hannes Philipp", "non-dropping-particle" : "", "parse-names" : false, "suffix" : "" }, { "dropping-particle" : "", "family" : "Schulenburg", "given" : "Michaela", "non-dropping-particle" : "", "parse-names" : false, "suffix" : "" }, { "dropping-particle" : "", "family" : "Adebahr", "given" : "Sonja", "non-dropping-particle" : "", "parse-names" : false, "suffix" : "" }, { "dropping-particle" : "", "family" : "Kirste", "given" : "Simon", "non-dropping-particle" : "", "parse-names" : false, "suffix" : "" }, { "dropping-particle" : "", "family" : "Nestle", "given" : "Ursula", "non-dropping-particle" : "", "parse-names" : false, "suffix" : "" }, { "dropping-particle" : "", "family" : "Thimme", "given" : "Robert", "non-dropping-particle" : "", "parse-names" : false, "suffix" : "" }, { "dropping-particle" : "", "family" : "Grosu", "given" : "Anca-Ligia", "non-dropping-particle" : "", "parse-names" : false, "suffix" : "" }, { "dropping-particle" : "", "family" : "Brunner", "given" : "Thomas Baptist", "non-dropping-particle" : "", "parse-names" : false, "suffix" : "" } ], "container-title" : "Radiation Oncology", "id" : "ITEM-3", "issue" : "1", "issued" : { "date-parts" : [ [ "2017" ] ] }, "page" : "116", "publisher" : "Radiation Oncology", "title" : "Excellent local control and tolerance profile after stereotactic body radiotherapy of advanced hepatocellular carcinoma", "type" : "article-journal", "volume" : "12" }, "uris" : [ "http://www.mendeley.com/documents/?uuid=e24709d6-04b3-4009-b7dc-10e9dd881eaf" ] }, { "id" : "ITEM-4", "itemData" : { "DOI" : "10.1016/j.semradonc.2017.02.002", "ISSN" : "10534296", "PMID" : "28577832", "author" : [ { "dropping-particle" : "", "family" : "Murray", "given" : "Louise J.", "non-dropping-particle" : "", "parse-names" : false, "suffix" : "" }, { "dropping-particle" : "", "family" : "Dawson", "given" : "Laura A.", "non-dropping-particle" : "", "parse-names" : false, "suffix" : "" } ], "container-title" : "Seminars in Radiation Oncology", "id" : "ITEM-4", "issue" : "3", "issued" : { "date-parts" : [ [ "2017" ] ] }, "page" : "247-255", "publisher" : "Elsevier", "title" : "Advances in Stereotactic Body Radiation Therapy for Hepatocellular Carcinoma", "type" : "article-journal", "volume" : "27" }, "uris" : [ "http://www.mendeley.com/documents/?uuid=5ecab533-ef97-4137-9650-ec0fcda5a957" ] }, { "id" : "ITEM-5", "itemData" : { "DOI" : "10.1016/j.radonc.2014.05.002", "ISBN" : "0167-8140", "ISSN" : "1879-0887", "PMID" : "24906626", "abstract" : "PURPOSE: To report outcomes in patients with Child-Pugh B or C (CP B/C) hepatocellular carcinoma (HCC) treated with stereotactic body radiotherapy (SBRT). METHODS AND MATERIALS: A prospective study of SBRT was developed for patients with CP B7 or B8 unresectable HCC, &lt;10 cm. Selected ineligible patients (e.g. CP&gt;B8, &gt;10 cm) treated off-study from 2004 to July 2012 were als o reviewed. Patients were excluded if they were treated as a bridge-to-liver-transplant. RESULTS: 29 patients with CP B/C HCC were treated with SBRT (median dose 30 Gy in 6 fractions) from 2004 to December 2012. The majority had CP B7 liver function (69%) and portal vein tumor thrombosis (76%). The median survival was 7.9 months (95% CI: 2.8-15.1). Survival was significantly better in patients with CP=B7 and AFP\u22644491 ng/mL. Of 16 evaluable patients, 63% had a decline in CP score by \u22652 points at 3 months. CONCLUSION: SBRT is a treatment option for selected HCC patients with small HCCs and modestly impaired (CP B7) liver function.", "author" : [ { "dropping-particle" : "", "family" : "Culleton", "given" : "Shaelyn", "non-dropping-particle" : "", "parse-names" : false, "suffix" : "" }, { "dropping-particle" : "", "family" : "Jiang", "given" : "Haiyan", "non-dropping-particle" : "", "parse-names" : false, "suffix" : "" }, { "dropping-particle" : "", "family" : "Haddad", "given" : "Carol R", "non-dropping-particle" : "", "parse-names" : false, "suffix" : "" }, { "dropping-particle" : "", "family" : "Kim", "given" : "John", "non-dropping-particle" : "", "parse-names" : false, "suffix" : "" }, { "dropping-particle" : "", "family" : "Brierley", "given" : "Jim", "non-dropping-particle" : "", "parse-names" : false, "suffix" : "" }, { "dropping-particle" : "", "family" : "Brade", "given" : "Anthony", "non-dropping-particle" : "", "parse-names" : false, "suffix" : "" }, { "dropping-particle" : "", "family" : "Ringash", "given" : "Jolie", "non-dropping-particle" : "", "parse-names" : false, "suffix" : "" }, { "dropping-particle" : "", "family" : "Dawson", "given" : "Laura A", "non-dropping-particle" : "", "parse-names" : false, "suffix" : "" } ], "container-title" : "Radiotherapy and oncology : journal of the European Society for Therapeutic Radiology and Oncology", "id" : "ITEM-5", "issue" : "3", "issued" : { "date-parts" : [ [ "2014" ] ] }, "page" : "412-7", "publisher" : "Elsevier Ireland Ltd", "title" : "Outcomes following definitive stereotactic body radiotherapy for patients with Child-Pugh B or C hepatocellular carcinoma.", "type" : "article-journal", "volume" : "111" }, "uris" : [ "http://www.mendeley.com/documents/?uuid=324dd398-6ca9-47d9-a829-59b6052db285" ] }, { "id" : "ITEM-6", "itemData" : { "DOI" : "10.1002/lt.23439", "ISSN" : "1527-6473 (Electronic)", "PMID" : "22467602", "abstract" : "Hepatocellular carcinoma (HCC) is potentially curable with hepatic resection or transplantation. Few patients are eligible for resection, and many face a long wait for donor organ availability for liver transplantation. Here we report the safety and efficacy of stereotactic body radiation therapy (SBRT), the explant pathology findings and survival of patients treated with SBRT as a bridge to transplantation for HCC. From April 2005 to August 2010, 10 patients with 11 HCCs were treated with SBRT as a bridge to transplantation. All patients were evaluated by a liver transplant surgeon before radiosurgery. SBRT was delivered with the CyberKnife robotic radiosurgery system. After SBRT, all patients underwent orthotopic liver transplantation. The tumor response was determined by explant pathology. The median follow-up was 62 months from the time of SBRT. The mean time on the liver transplant wait list was 163 days. The median tumor size was 3.4 cm (range = 2.5-5.5 cm). The median SBRT dose was 51 Gy (range = 33-54 Gy) in 3 fractions. The median time from SBRT to liver transplantation was 113 days (range = 8-794 days). At 5 years, the overall survival rate and the disease-free survival rate were both 100%. Overall, 4 of the 10 patients (40%) experienced acute toxicity. Most toxicities were grade 1, and they included nausea, fatigue, and abdominal discomfort. One patient had grade 2 nausea/vomiting. Explant pathology revealed no viable tumor in 3 of the 11 tumors for a complete response rate of 27%. The remaining 8 tumors decreased or remained stable in size. In conclusion, with a median follow-up over 5 years, we have found that SBRT as a bridge to liver transplantation for HCC is feasible and well tolerated. SBRT for HCC may enable patients to remain on the list for frequently curative transplantation during the wait for organ availability.", "author" : [ { "dropping-particle" : "", "family" : "O'Connor", "given" : "John K", "non-dropping-particle" : "", "parse-names" : false, "suffix" : "" }, { "dropping-particle" : "", "family" : "Trotter", "given" : "James", "non-dropping-particle" : "", "parse-names" : false, "suffix" : "" }, { "dropping-particle" : "", "family" : "Davis", "given" : "Gary L", "non-dropping-particle" : "", "parse-names" : false, "suffix" : "" }, { "dropping-particle" : "", "family" : "Dempster", "given" : "Jane", "non-dropping-particle" : "", "parse-names" : false, "suffix" : "" }, { "dropping-particle" : "", "family" : "Klintmalm", "given" : "Goran B", "non-dropping-particle" : "", "parse-names" : false, "suffix" : "" }, { "dropping-particle" : "", "family" : "Goldstein", "given" : "Robert M", "non-dropping-particle" : "", "parse-names" : false, "suffix" : "" } ], "container-title" : "Liver transplantation : official publication of the American Association for the  Study of Liver Diseases and the International Liver Transplantation Society", "id" : "ITEM-6", "issue" : "8", "issued" : { "date-parts" : [ [ "2012", "8" ] ] }, "language" : "eng", "page" : "949-954", "publisher-place" : "United States", "title" : "Long-term outcomes of stereotactic body radiation therapy in the treatment of hepatocellular cancer as a bridge to transplantation.", "type" : "article-journal", "volume" : "18" }, "uris" : [ "http://www.mendeley.com/documents/?uuid=52ee7cdf-04cb-4ede-b7a8-68a029b822e9" ] } ], "mendeley" : { "formattedCitation" : "[11,14,15,17,31,32]", "plainTextFormattedCitation" : "[11,14,15,17,31,32]", "previouslyFormattedCitation" : "[11,14,15,17,31,32]" }, "properties" : {  }, "schema" : "https://github.com/citation-style-language/schema/raw/master/csl-citation.json" }</w:instrText>
      </w:r>
      <w:r w:rsidR="00FA5B84">
        <w:rPr>
          <w:sz w:val="24"/>
          <w:szCs w:val="24"/>
          <w:lang w:val="en-US"/>
        </w:rPr>
        <w:fldChar w:fldCharType="separate"/>
      </w:r>
      <w:r w:rsidR="00FC6AC8" w:rsidRPr="00FC6AC8">
        <w:rPr>
          <w:noProof/>
          <w:sz w:val="24"/>
          <w:szCs w:val="24"/>
          <w:lang w:val="en-US"/>
        </w:rPr>
        <w:t>[11,14,15,17,31,32]</w:t>
      </w:r>
      <w:r w:rsidR="00FA5B84">
        <w:rPr>
          <w:sz w:val="24"/>
          <w:szCs w:val="24"/>
          <w:lang w:val="en-US"/>
        </w:rPr>
        <w:fldChar w:fldCharType="end"/>
      </w:r>
      <w:r w:rsidR="00983600">
        <w:rPr>
          <w:sz w:val="24"/>
          <w:szCs w:val="24"/>
          <w:lang w:val="en-US"/>
        </w:rPr>
        <w:t xml:space="preserve"> without compromising the quality of life </w:t>
      </w:r>
      <w:r w:rsidR="00983600">
        <w:rPr>
          <w:sz w:val="24"/>
          <w:szCs w:val="24"/>
          <w:lang w:val="en-US"/>
        </w:rPr>
        <w:fldChar w:fldCharType="begin" w:fldLock="1"/>
      </w:r>
      <w:r w:rsidR="00FC6AC8">
        <w:rPr>
          <w:sz w:val="24"/>
          <w:szCs w:val="24"/>
          <w:lang w:val="en-US"/>
        </w:rPr>
        <w:instrText>ADDIN CSL_CITATION { "citationItems" : [ { "id" : "ITEM-1", "itemData" : { "DOI" : "10.1016/j.ijrobp.2007.08.058", "ISSN" : "0360-3016 (Print)", "PMID" : "17996394", "abstract" : "PURPOSE: Stereotactic body radiation therapy (SBRT) provides a high local control rate for primary and metastatic liver tumors. The aim of this study is to assess the impact of this treatment on the patient's quality of life. This is the first report of quality of life associated with liver SBRT. METHODS AND MATERIALS: From October 2002 to March 2007, a total of 28 patients not suitable for other local treatments and with Karnofsky performance status of at least 80% were entered in a Phase I-II study of SBRT for liver tumors. Quality of life was a secondary end point. Two generic quality of life instruments were investigated, EuroQol-5D (EQ-5D) and EuroQoL-Visual Analogue Scale (EQ-5D VAS), in addition to a disease-specific questionnaire, the European Organization for Research and Treatment of Cancer Core Quality of Life Questionnaire (EORTC QLQ C-30). Points of measurement were directly before and 1, 3, and 6 months after treatment. Mean scores and SDs were calculated. Statistical analysis was performed using paired-samples t-test and Student t-test. RESULTS: The calculated EQ-5D index, EQ-5D VAS and QLQ C-30 global health status showed that mean quality of life of the patient group was not significantly influenced by treatment with SBRT; if anything, a tendency toward improvement was found. CONCLUSIONS: Stereotactic body radiation therapy combines a high local control rate, by delivering a high dose per fraction, with no significant change in quality of life. Multicenter studies including larger numbers of patients are recommended and under development.", "author" : [ { "dropping-particle" : "", "family" : "Mendez Romero", "given" : "Alejandra", "non-dropping-particle" : "", "parse-names" : false, "suffix" : "" }, { "dropping-particle" : "", "family" : "Wunderink", "given" : "Wouter", "non-dropping-particle" : "", "parse-names" : false, "suffix" : "" }, { "dropping-particle" : "", "family" : "Os", "given" : "Rob M", "non-dropping-particle" : "van", "parse-names" : false, "suffix" : "" }, { "dropping-particle" : "", "family" : "Nowak", "given" : "Peter J C M", "non-dropping-particle" : "", "parse-names" : false, "suffix" : "" }, { "dropping-particle" : "", "family" : "Heijmen", "given" : "Ben J M", "non-dropping-particle" : "", "parse-names" : false, "suffix" : "" }, { "dropping-particle" : "", "family" : "Nuyttens", "given" : "Joost J", "non-dropping-particle" : "", "parse-names" : false, "suffix" : "" }, { "dropping-particle" : "", "family" : "Brandwijk", "given" : "Rene P", "non-dropping-particle" : "", "parse-names" : false, "suffix" : "" }, { "dropping-particle" : "", "family" : "Verhoef", "given" : "Cornelis", "non-dropping-particle" : "", "parse-names" : false, "suffix" : "" }, { "dropping-particle" : "", "family" : "Ijzermans", "given" : "Jan N M", "non-dropping-particle" : "", "parse-names" : false, "suffix" : "" }, { "dropping-particle" : "", "family" : "Levendag", "given" : "Peter C", "non-dropping-particle" : "", "parse-names" : false, "suffix" : "" } ], "container-title" : "International journal of radiation oncology, biology, physics", "id" : "ITEM-1", "issue" : "5", "issued" : { "date-parts" : [ [ "2008", "4" ] ] }, "language" : "eng", "page" : "1447-1452", "publisher-place" : "United States", "title" : "Quality of life after stereotactic body radiation therapy for primary and metastatic liver tumors.", "type" : "article-journal", "volume" : "70" }, "uris" : [ "http://www.mendeley.com/documents/?uuid=9e9949ff-5f68-498b-93ed-1aeddb7e0fb2" ] }, { "id" : "ITEM-2", "itemData" : { "DOI" : "10.1016/j.ijrobp.2015.04.016", "ISSN" : "1879-355X (Electronic)", "PMID" : "26279020", "abstract" : "PURPOSE: To evaluate quality of life (QoL), an important outcome owing to poor long-term survival, after stereotactic body radiation therapy (SBRT) to the liver. METHODS AND MATERIALS: Patients (n=222) with hepatocellular carcinoma (HCC), liver metastases, or intrahepatic cholangiocarcinoma and Child-Pugh A liver function received 24-60 Gy of 6-fraction image-guided SBRT. Prospective QoL assessment was completed with the European Organization for Research and Treatment of Cancer Quality of Life Questionnaire Core-30 (QLQ-C30) and/or Functional Assessment of Cancer Therapy-Hepatobiliary (FACT-Hep, version 4) questionnaires at baseline and 1, 3, 6, and 12 months after treatment. Ten HCC patients with Child-Pugh B liver function were also treated. RESULTS: The QLQ-C30 was available for 205 patients, and 196 completed the FACT-Hep. No difference in baseline QoL (P = .17) or overall survival (P = .088) was seen between the HCC, liver metastases, and intrahepatic cholangiocarcinoma patients. Appetite loss and fatigue measured by the QLQ-C30 clinically and statistically worsened by 1 month after treatment but recovered by 3 months. At 3 and 12 months after treatment, respectively, the FACT-Hep score had improved relative to baseline in 13%/19%, worsened in 36%/27%, and remained stable in 51%/54%. Using the QLQ-C30 Global Health score, QoL improved in 16%/23%, worsened in 34%/39%, and remained stable in 50%/38% at 3 and 12 months, respectively. Median survival was 17.0 months (95% confidence interval [CI] 12.3-19.8 months). Higher baseline scores on both FACT-Hep and QLQ-C30 Global Health were associated with improved survival. Hazard ratios for death, per 10-unit decrease in QoL, were 0.90 (95% CI 0.83-0.98; P = .001) and 0.88 (95% CI 0.82-0.95; P = .001), respectively. Tumor size was inversely correlated with survival. CONCLUSIONS: Liver SBRT temporarily worsens appetite and fatigue, but not overall QoL. Stereotactic body radiation therapy is well tolerated and warrants comparison against other liver-directed therapies.", "author" : [ { "dropping-particle" : "", "family" : "Klein", "given" : "Jonathan", "non-dropping-particle" : "", "parse-names" : false, "suffix" : "" }, { "dropping-particle" : "", "family" : "Dawson", "given" : "Laura A", "non-dropping-particle" : "", "parse-names" : false, "suffix" : "" }, { "dropping-particle" : "", "family" : "Jiang", "given" : "Haiyan", "non-dropping-particle" : "", "parse-names" : false, "suffix" : "" }, { "dropping-particle" : "", "family" : "Kim", "given" : "John", "non-dropping-particle" : "", "parse-names" : false, "suffix" : "" }, { "dropping-particle" : "", "family" : "Dinniwell", "given" : "Rob", "non-dropping-particle" : "", "parse-names" : false, "suffix" : "" }, { "dropping-particle" : "", "family" : "Brierley", "given" : "James", "non-dropping-particle" : "", "parse-names" : false, "suffix" : "" }, { "dropping-particle" : "", "family" : "Wong", "given" : "Rebecca", "non-dropping-particle" : "", "parse-names" : false, "suffix" : "" }, { "dropping-particle" : "", "family" : "Lockwood", "given" : "Gina", "non-dropping-particle" : "", "parse-names" : false, "suffix" : "" }, { "dropping-particle" : "", "family" : "Ringash", "given" : "Jolie", "non-dropping-particle" : "", "parse-names" : false, "suffix" : "" } ], "container-title" : "International journal of radiation oncology, biology, physics", "id" : "ITEM-2", "issue" : "1", "issued" : { "date-parts" : [ [ "2015", "9" ] ] }, "language" : "eng", "page" : "16-25", "publisher-place" : "United States", "title" : "Prospective Longitudinal Assessment of Quality of Life for Liver Cancer Patients  Treated With Stereotactic Body Radiation Therapy.", "type" : "article-journal", "volume" : "93" }, "uris" : [ "http://www.mendeley.com/documents/?uuid=f0c8572e-2127-41e3-bb4e-2f64eea22de6" ] } ], "mendeley" : { "formattedCitation" : "[33,34]", "plainTextFormattedCitation" : "[33,34]", "previouslyFormattedCitation" : "[33,34]" }, "properties" : {  }, "schema" : "https://github.com/citation-style-language/schema/raw/master/csl-citation.json" }</w:instrText>
      </w:r>
      <w:r w:rsidR="00983600">
        <w:rPr>
          <w:sz w:val="24"/>
          <w:szCs w:val="24"/>
          <w:lang w:val="en-US"/>
        </w:rPr>
        <w:fldChar w:fldCharType="separate"/>
      </w:r>
      <w:r w:rsidR="00FC6AC8" w:rsidRPr="00FC6AC8">
        <w:rPr>
          <w:noProof/>
          <w:sz w:val="24"/>
          <w:szCs w:val="24"/>
          <w:lang w:val="en-US"/>
        </w:rPr>
        <w:t>[33,34]</w:t>
      </w:r>
      <w:r w:rsidR="00983600">
        <w:rPr>
          <w:sz w:val="24"/>
          <w:szCs w:val="24"/>
          <w:lang w:val="en-US"/>
        </w:rPr>
        <w:fldChar w:fldCharType="end"/>
      </w:r>
      <w:r w:rsidR="00D32211" w:rsidRPr="00181321">
        <w:rPr>
          <w:sz w:val="24"/>
          <w:szCs w:val="24"/>
          <w:lang w:val="en-US"/>
        </w:rPr>
        <w:t xml:space="preserve">. </w:t>
      </w:r>
      <w:r w:rsidR="00181321">
        <w:rPr>
          <w:sz w:val="24"/>
          <w:szCs w:val="24"/>
          <w:lang w:val="en-US"/>
        </w:rPr>
        <w:t xml:space="preserve">Recently, it has been </w:t>
      </w:r>
      <w:r w:rsidR="00A63868">
        <w:rPr>
          <w:sz w:val="24"/>
          <w:szCs w:val="24"/>
          <w:lang w:val="en-US"/>
        </w:rPr>
        <w:t>suggested</w:t>
      </w:r>
      <w:r w:rsidR="00181321">
        <w:rPr>
          <w:sz w:val="24"/>
          <w:szCs w:val="24"/>
          <w:lang w:val="en-US"/>
        </w:rPr>
        <w:t xml:space="preserve"> that SBRT is as effective as </w:t>
      </w:r>
      <w:r w:rsidR="00142697">
        <w:rPr>
          <w:sz w:val="24"/>
          <w:szCs w:val="24"/>
          <w:lang w:val="en-US"/>
        </w:rPr>
        <w:t>radiofrequency ablation</w:t>
      </w:r>
      <w:r w:rsidR="00960199">
        <w:rPr>
          <w:sz w:val="24"/>
          <w:szCs w:val="24"/>
          <w:lang w:val="en-US"/>
        </w:rPr>
        <w:t xml:space="preserve"> </w:t>
      </w:r>
      <w:r w:rsidR="00FA5B84">
        <w:rPr>
          <w:sz w:val="24"/>
          <w:szCs w:val="24"/>
          <w:lang w:val="en-US"/>
        </w:rPr>
        <w:fldChar w:fldCharType="begin" w:fldLock="1"/>
      </w:r>
      <w:r w:rsidR="00FC6AC8">
        <w:rPr>
          <w:sz w:val="24"/>
          <w:szCs w:val="24"/>
          <w:lang w:val="en-US"/>
        </w:rPr>
        <w:instrText>ADDIN CSL_CITATION { "citationItems" : [ { "id" : "ITEM-1", "itemData" : { "DOI" : "10.1200/JCO.2015.61.4925", "ISBN" : "0732-183x", "ISSN" : "15277755", "PMID" : "26628466", "abstract" : "PURPOSE Data guiding selection of nonsurgical treatment of hepatocellular carcinoma (HCC) are lacking. We therefore compared outcomes between stereotactic body radiotherapy (SBRT) and radiofrequency ablation (RFA) for HCC. PATIENTS AND METHODS From 2004 to 2012, 224 patients with inoperable, nonmetastatic HCC underwent RFA (n = 161) to 249 tumors or image-guided SBRT (n = 63) to 83 tumors. We applied inverse probability of treatment weighting to adjust for imbalances in treatment assignment. Freedom from local progression (FFLP) and toxicity were retrospectively analyzed. RESULTS RFA and SBRT groups were similar with respect to number of lesions treated per patient, type of underlying liver disease, and tumor size (median, 1.8 v 2.2 cm in maximum diameter; P = .14). However, the SBRT group had lower pretreatment Child-Pugh scores (P = .003), higher pretreatment alpha-fetoprotein levels (P = .04), and a greater number of prior liver-directed treatments (P &lt; .001). One- and 2-year FFLP for tumors treated with RFA were 83.6% and 80.2% v 97.4% and 83.8% for SBRT. Increasing tumor size predicted for FFLP in patients treated with RFA (hazard ratio [HR], 1.54 per cm; P = .006), but not with SBRT (HR, 1.21 per cm; P = .617). For tumors \u2265 2 cm, there was decreased FFLP for RFA compared with SBRT (HR, 3.35; P = .025). Acute grade 3+ complications occurred after 11% and 5% of RFA and SBRT treatments, respectively (P = .31). Overall survival 1 and 2 years after treatment was 70% and 53% after RFA and 74% and 46% after SBRT. CONCLUSION Both RFA and SBRT are effective local treatment options for inoperable HCC. Although these data are retrospective, SBRT appears to be a reasonable first-line treatment of inoperable, larger HCC.", "author" : [ { "dropping-particle" : "", "family" : "Wahl", "given" : "Daniel R.", "non-dropping-particle" : "", "parse-names" : false, "suffix" : "" }, { "dropping-particle" : "", "family" : "Stenmark", "given" : "Matthew H.", "non-dropping-particle" : "", "parse-names" : false, "suffix" : "" }, { "dropping-particle" : "", "family" : "Tao", "given" : "Yebin", "non-dropping-particle" : "", "parse-names" : false, "suffix" : "" }, { "dropping-particle" : "", "family" : "Pollom", "given" : "Erqi L.", "non-dropping-particle" : "", "parse-names" : false, "suffix" : "" }, { "dropping-particle" : "", "family" : "Caoili", "given" : "Elaine M.", "non-dropping-particle" : "", "parse-names" : false, "suffix" : "" }, { "dropping-particle" : "", "family" : "Lawrence", "given" : "Theodore S.", "non-dropping-particle" : "", "parse-names" : false, "suffix" : "" }, { "dropping-particle" : "", "family" : "Schipper", "given" : "Matthew J.", "non-dropping-particle" : "", "parse-names" : false, "suffix" : "" }, { "dropping-particle" : "", "family" : "Feng", "given" : "Mary", "non-dropping-particle" : "", "parse-names" : false, "suffix" : "" } ], "container-title" : "Journal of Clinical Oncology", "id" : "ITEM-1", "issue" : "5", "issued" : { "date-parts" : [ [ "2016" ] ] }, "page" : "452-459", "title" : "Outcomes after stereotactic body radiotherapy or radiofrequency ablation for hepatocellular carcinoma", "type" : "article-journal", "volume" : "34" }, "uris" : [ "http://www.mendeley.com/documents/?uuid=d10bf793-f443-4241-864f-6eb0e8655bbc" ] } ], "mendeley" : { "formattedCitation" : "[35]", "plainTextFormattedCitation" : "[35]", "previouslyFormattedCitation" : "[35]" }, "properties" : {  }, "schema" : "https://github.com/citation-style-language/schema/raw/master/csl-citation.json" }</w:instrText>
      </w:r>
      <w:r w:rsidR="00FA5B84">
        <w:rPr>
          <w:sz w:val="24"/>
          <w:szCs w:val="24"/>
          <w:lang w:val="en-US"/>
        </w:rPr>
        <w:fldChar w:fldCharType="separate"/>
      </w:r>
      <w:r w:rsidR="00FC6AC8" w:rsidRPr="00FC6AC8">
        <w:rPr>
          <w:noProof/>
          <w:sz w:val="24"/>
          <w:szCs w:val="24"/>
          <w:lang w:val="en-US"/>
        </w:rPr>
        <w:t>[35]</w:t>
      </w:r>
      <w:r w:rsidR="00FA5B84">
        <w:rPr>
          <w:sz w:val="24"/>
          <w:szCs w:val="24"/>
          <w:lang w:val="en-US"/>
        </w:rPr>
        <w:fldChar w:fldCharType="end"/>
      </w:r>
      <w:r w:rsidR="00142697">
        <w:rPr>
          <w:sz w:val="24"/>
          <w:szCs w:val="24"/>
          <w:lang w:val="en-US"/>
        </w:rPr>
        <w:t xml:space="preserve"> and TACE</w:t>
      </w:r>
      <w:r w:rsidR="00960199">
        <w:rPr>
          <w:sz w:val="24"/>
          <w:szCs w:val="24"/>
          <w:lang w:val="en-US"/>
        </w:rPr>
        <w:t xml:space="preserve"> </w:t>
      </w:r>
      <w:r w:rsidR="00FA5B84">
        <w:rPr>
          <w:sz w:val="24"/>
          <w:szCs w:val="24"/>
          <w:lang w:val="en-US"/>
        </w:rPr>
        <w:fldChar w:fldCharType="begin" w:fldLock="1"/>
      </w:r>
      <w:r w:rsidR="00FC6AC8">
        <w:rPr>
          <w:sz w:val="24"/>
          <w:szCs w:val="24"/>
          <w:lang w:val="en-US"/>
        </w:rPr>
        <w:instrText>ADDIN CSL_CITATION { "citationItems" : [ { "id" : "ITEM-1", "itemData" : { "DOI" : "10.1016/j.ijrobp.2017.09.001", "ISSN" : "03603016", "PMID" : "29066120", "author" : [ { "dropping-particle" : "", "family" : "Sapir", "given" : "Eli", "non-dropping-particle" : "", "parse-names" : false, "suffix" : "" }, { "dropping-particle" : "", "family" : "Tao", "given" : "Yebin", "non-dropping-particle" : "", "parse-names" : false, "suffix" : "" }, { "dropping-particle" : "", "family" : "Schipper", "given" : "Matthew J.", "non-dropping-particle" : "", "parse-names" : false, "suffix" : "" }, { "dropping-particle" : "", "family" : "Bazzi", "given" : "Latifa", "non-dropping-particle" : "", "parse-names" : false, "suffix" : "" }, { "dropping-particle" : "", "family" : "Novelli", "given" : "Paula M.", "non-dropping-particle" : "", "parse-names" : false, "suffix" : "" }, { "dropping-particle" : "", "family" : "Devlin", "given" : "Pauline", "non-dropping-particle" : "", "parse-names" : false, "suffix" : "" }, { "dropping-particle" : "", "family" : "Owen", "given" : "Dawn", "non-dropping-particle" : "", "parse-names" : false, "suffix" : "" }, { "dropping-particle" : "", "family" : "Cuneo", "given" : "Kyle C.", "non-dropping-particle" : "", "parse-names" : false, "suffix" : "" }, { "dropping-particle" : "", "family" : "Lawrence", "given" : "Theodore S.", "non-dropping-particle" : "", "parse-names" : false, "suffix" : "" }, { "dropping-particle" : "", "family" : "Parikh", "given" : "Neehar D.", "non-dropping-particle" : "", "parse-names" : false, "suffix" : "" }, { "dropping-particle" : "", "family" : "Feng", "given" : "Mary", "non-dropping-particle" : "", "parse-names" : false, "suffix" : "" } ], "container-title" : "International Journal of Radiation Oncology*Biology*Physics", "id" : "ITEM-1", "issued" : { "date-parts" : [ [ "2017" ] ] }, "title" : "Stereotactic Body Radiation Therapy as an Alternative to Transarterial Chemoembolization for Hepatocellular Carcinoma", "type" : "article-journal" }, "uris" : [ "http://www.mendeley.com/documents/?uuid=c290d9ce-ea4a-366e-9218-130344ac1457" ] } ], "mendeley" : { "formattedCitation" : "[36]", "plainTextFormattedCitation" : "[36]", "previouslyFormattedCitation" : "[36]" }, "properties" : {  }, "schema" : "https://github.com/citation-style-language/schema/raw/master/csl-citation.json" }</w:instrText>
      </w:r>
      <w:r w:rsidR="00FA5B84">
        <w:rPr>
          <w:sz w:val="24"/>
          <w:szCs w:val="24"/>
          <w:lang w:val="en-US"/>
        </w:rPr>
        <w:fldChar w:fldCharType="separate"/>
      </w:r>
      <w:r w:rsidR="00FC6AC8" w:rsidRPr="00FC6AC8">
        <w:rPr>
          <w:noProof/>
          <w:sz w:val="24"/>
          <w:szCs w:val="24"/>
          <w:lang w:val="en-US"/>
        </w:rPr>
        <w:t>[36]</w:t>
      </w:r>
      <w:r w:rsidR="00FA5B84">
        <w:rPr>
          <w:sz w:val="24"/>
          <w:szCs w:val="24"/>
          <w:lang w:val="en-US"/>
        </w:rPr>
        <w:fldChar w:fldCharType="end"/>
      </w:r>
      <w:r w:rsidR="00142697">
        <w:rPr>
          <w:sz w:val="24"/>
          <w:szCs w:val="24"/>
          <w:lang w:val="en-US"/>
        </w:rPr>
        <w:t xml:space="preserve"> in selected patients. Moreover, SBRT has shown good efficacy</w:t>
      </w:r>
      <w:r w:rsidR="00A63868">
        <w:rPr>
          <w:sz w:val="24"/>
          <w:szCs w:val="24"/>
          <w:lang w:val="en-US"/>
        </w:rPr>
        <w:t xml:space="preserve"> in local control of HCC lesions</w:t>
      </w:r>
      <w:r w:rsidR="00142697">
        <w:rPr>
          <w:sz w:val="24"/>
          <w:szCs w:val="24"/>
          <w:lang w:val="en-US"/>
        </w:rPr>
        <w:t xml:space="preserve"> as a</w:t>
      </w:r>
      <w:r w:rsidR="00181321">
        <w:rPr>
          <w:sz w:val="24"/>
          <w:szCs w:val="24"/>
          <w:lang w:val="en-US"/>
        </w:rPr>
        <w:t xml:space="preserve"> </w:t>
      </w:r>
      <w:r w:rsidR="00983600">
        <w:rPr>
          <w:sz w:val="24"/>
          <w:szCs w:val="24"/>
          <w:lang w:val="en-US"/>
        </w:rPr>
        <w:t>bridging</w:t>
      </w:r>
      <w:r w:rsidR="00181321">
        <w:rPr>
          <w:sz w:val="24"/>
          <w:szCs w:val="24"/>
          <w:lang w:val="en-US"/>
        </w:rPr>
        <w:t xml:space="preserve"> therapy to liver transplantation</w:t>
      </w:r>
      <w:r w:rsidR="00AC5830">
        <w:rPr>
          <w:sz w:val="24"/>
          <w:szCs w:val="24"/>
          <w:lang w:val="en-US"/>
        </w:rPr>
        <w:t xml:space="preserve"> </w:t>
      </w:r>
      <w:r w:rsidR="00FA5B84">
        <w:rPr>
          <w:sz w:val="24"/>
          <w:szCs w:val="24"/>
          <w:lang w:val="en-US"/>
        </w:rPr>
        <w:fldChar w:fldCharType="begin" w:fldLock="1"/>
      </w:r>
      <w:r w:rsidR="00FC6AC8">
        <w:rPr>
          <w:sz w:val="24"/>
          <w:szCs w:val="24"/>
          <w:lang w:val="en-US"/>
        </w:rPr>
        <w:instrText>ADDIN CSL_CITATION { "citationItems" : [ { "id" : "ITEM-1", "itemData" : { "DOI" : "10.1016/j.jhep.2017.02.022", "ISSN" : "01688278", "PMID" : "28257902", "author" : [ { "dropping-particle" : "", "family" : "Sapisochin", "given" : "G.", "non-dropping-particle" : "", "parse-names" : false, "suffix" : "" }, { "dropping-particle" : "", "family" : "Barry", "given" : "A.", "non-dropping-particle" : "", "parse-names" : false, "suffix" : "" }, { "dropping-particle" : "", "family" : "Doherty", "given" : "M.", "non-dropping-particle" : "", "parse-names" : false, "suffix" : "" }, { "dropping-particle" : "", "family" : "Fischer", "given" : "S.", "non-dropping-particle" : "", "parse-names" : false, "suffix" : "" }, { "dropping-particle" : "", "family" : "Goldaracena", "given" : "N.", "non-dropping-particle" : "", "parse-names" : false, "suffix" : "" }, { "dropping-particle" : "", "family" : "Rosales", "given" : "Roizar", "non-dropping-particle" : "", "parse-names" : false, "suffix" : "" }, { "dropping-particle" : "", "family" : "Russo", "given" : "Moises", "non-dropping-particle" : "", "parse-names" : false, "suffix" : "" }, { "dropping-particle" : "", "family" : "Beecroft", "given" : "R.", "non-dropping-particle" : "", "parse-names" : false, "suffix" : "" }, { "dropping-particle" : "", "family" : "Ghanekar", "given" : "A.", "non-dropping-particle" : "", "parse-names" : false, "suffix" : "" }, { "dropping-particle" : "", "family" : "Bhat", "given" : "M.", "non-dropping-particle" : "", "parse-names" : false, "suffix" : "" }, { "dropping-particle" : "", "family" : "Brierley", "given" : "J.", "non-dropping-particle" : "", "parse-names" : false, "suffix" : "" }, { "dropping-particle" : "", "family" : "Greig", "given" : "P.D.", "non-dropping-particle" : "", "parse-names" : false, "suffix" : "" }, { "dropping-particle" : "", "family" : "Knox", "given" : "J.J", "non-dropping-particle" : "", "parse-names" : false, "suffix" : "" }, { "dropping-particle" : "", "family" : "Dawson", "given" : "L.A.", "non-dropping-particle" : "", "parse-names" : false, "suffix" : "" }, { "dropping-particle" : "", "family" : "Grant", "given" : "D.R.", "non-dropping-particle" : "", "parse-names" : false, "suffix" : "" } ], "container-title" : "Journal of Hepatology", "id" : "ITEM-1", "issued" : { "date-parts" : [ [ "2017" ] ] }, "title" : "Stereotactic body radiotherapy versus TACE or RFA as a bridge to transplant in patients with hepatocellular carcinoma. An intention-to-treat analysis", "type" : "article-journal" }, "uris" : [ "http://www.mendeley.com/documents/?uuid=38e54f58-0f15-33bd-a8ae-0b1ed9c2e3e7" ] }, { "id" : "ITEM-2", "itemData" : { "DOI" : "10.1016/j.ijrobp.2011.08.032", "ISSN" : "03603016", "PMID" : "22172906", "abstract" : "Purpose: We sought to determine efficacy, safety, and outcome of stereotactic hypofractionated radiation therapy (SHORT) as a suitable bridging therapy for patients awaiting liver transplantation (LT) for hepatocellular carcinoma (HCC). We also examined histological response to radiation in the resected or explanted livers. Methods and Materials: Between August 2007 and January 2009, 18 patients with 21 lesions received SHORT. A median total dose of 50 Gy was delivered in 10 fractions. Three patients underwent either chemoembolization (n = 1) or radiofrequency ablation (n = 2) prior to SHORT. Radiographic response was based on computed tomography evaluation at 3 months after SHORT. Histological response as a percentage of tumor necrosis was assessed by a quantitative morphometric method. Results: Six of 18 patients were delisted because of progression (n = 3) or other causes (n = 3). Twelve patients successfully underwent major hepatic resection (n = 1) or LT (n = 11) at a median follow-up of 6.3 months (range, 0.6-11.6 months) after completion of SHORT. No patient developed gastrointestinal toxicity Grade \u22653 or radiation-induced liver disease. Ten patients with 11 lesions were evaluable for pathological response. Two lesions had 100% necrosis, three lesions had \u226550% necrosis, four lesions had \u226450% necrosis, and two lesions had no necrosis. All patients were alive after LT and/or major hepatic resection at a median follow-up of 19.6 months. Conclusions: SHORT is an effective bridging therapy for patients awaiting LT for HCC. It provides excellent in-field control with minimal side effects, helps to downsize or stabilize tumors prior to LT, and achieves good pathological response. \u00a9 2012 Elsevier Inc. All rights reserved.", "author" : [ { "dropping-particle" : "", "family" : "Katz", "given" : "Alan W.", "non-dropping-particle" : "", "parse-names" : false, "suffix" : "" }, { "dropping-particle" : "", "family" : "Chawla", "given" : "Sheema", "non-dropping-particle" : "", "parse-names" : false, "suffix" : "" }, { "dropping-particle" : "", "family" : "Qu", "given" : "Zhenhong", "non-dropping-particle" : "", "parse-names" : false, "suffix" : "" }, { "dropping-particle" : "", "family" : "Kashyap", "given" : "Randeep", "non-dropping-particle" : "", "parse-names" : false, "suffix" : "" }, { "dropping-particle" : "", "family" : "Milano", "given" : "Michael T.", "non-dropping-particle" : "", "parse-names" : false, "suffix" : "" }, { "dropping-particle" : "", "family" : "Hezel", "given" : "Aram F.", "non-dropping-particle" : "", "parse-names" : false, "suffix" : "" } ], "container-title" : "International Journal of Radiation Oncology Biology Physics", "id" : "ITEM-2", "issue" : "3", "issued" : { "date-parts" : [ [ "2012" ] ] }, "page" : "895-900", "publisher" : "Elsevier Inc", "title" : "Stereotactic hypofractionated radiation therapy as a bridge to transplantation for hepatocellular carcinoma: Clinical outcome and pathologic correlation", "type" : "article-journal", "volume" : "83" }, "uris" : [ "http://www.mendeley.com/documents/?uuid=368a8f19-31a1-4b64-8a97-84865633a587" ] }, { "id" : "ITEM-3", "itemData" : { "DOI" : "10.1111/j.1432-2277.2009.00980.x", "ISSN" : "1432-2277", "PMID" : "19843294", "abstract" : "About 20% of the patients with advanced hepatocellular carcinoma (HCC) who are listed for liver transplantation (LT) are eventually delisted as a result of local tumor progression. Herein, we report our experience with conformal radiotherapy (CRT) as a novel bridge to LT. From July 2006 to August 2008, CRT was delivered in five or six fractions to patients with HCC listed for LT in whom either prior local therapies had failed or those not suitable for standard local therapies because of poor liver function or anatomic issues. Radiotherapy (RT) volumes and doses were individualized to spare the uninvolved liver with the goal of stabilizing the most aggressive HCC(s) in an attempt to reduce the chance of delisting as a result of tumor progression. Ten patients with tumor diameters ranging from 25 to 108 mm were treated. Eight out of 10 tumors were beyond Milan criteria. The median age was 55 (range 36-64). Seventy percent of the patients were male subjects. The median medical MELD score was 11 (range 9-17). The median irradiated HCC volume was 79 cc (range 15-798 cc). The median RT delivered dose was 33 Gy (range 8.5-54 Gy), in one to six fractions. The median dose to the uninvolved liver was 13.3 Gy (range 1.8-16.5). Nine patients completed their CRT as planned and one patient was transplanted after the first fraction. The treatment was well tolerated: Grade 1 nausea was reported in three patients, the platelet count decreased from 154 to 98 in one patient, and there were no other complications. No treated tumors progressed during or after the treatment. Two tumors remained stable; the rest had 10-50% regression, which was sustained on follow-up imaging. The median follow up was 14 months (range 3-20). Local tumor control was achieved in all treated tumors.Two patients were delisted as a result of cancer progression outside the treated field (one in the context of systemic metastases; yet another with progression of other untreated HCC in the liver). Three patients are still waiting for transplantation. Five patients underwent LT with no complications attributable to the CRT. Explant pathology, available for five patients, showed tumor necrosis and fibrosis with sparing of the untreated parenchyma. All transplanted patients treated with CRT are cancer-free. CRT is a safe and efficacious local bridging therapy for patients with advanced HCC who are on the waiting list for LT. Further studies are warranted to compare the effectiveness of CRT to other local\u2026", "author" : [ { "dropping-particle" : "", "family" : "Sandroussi", "given" : "Charbel", "non-dropping-particle" : "", "parse-names" : false, "suffix" : "" }, { "dropping-particle" : "", "family" : "Dawson", "given" : "Laura a", "non-dropping-particle" : "", "parse-names" : false, "suffix" : "" }, { "dropping-particle" : "", "family" : "Lee", "given" : "Mark", "non-dropping-particle" : "", "parse-names" : false, "suffix" : "" }, { "dropping-particle" : "", "family" : "Guindi", "given" : "Maha", "non-dropping-particle" : "", "parse-names" : false, "suffix" : "" }, { "dropping-particle" : "", "family" : "Fischer", "given" : "Sandra", "non-dropping-particle" : "", "parse-names" : false, "suffix" : "" }, { "dropping-particle" : "", "family" : "Ghanekar", "given" : "Anand", "non-dropping-particle" : "", "parse-names" : false, "suffix" : "" }, { "dropping-particle" : "", "family" : "Cattral", "given" : "Mark S", "non-dropping-particle" : "", "parse-names" : false, "suffix" : "" }, { "dropping-particle" : "", "family" : "McGilvray", "given" : "Ian D", "non-dropping-particle" : "", "parse-names" : false, "suffix" : "" }, { "dropping-particle" : "", "family" : "Levy", "given" : "Gary a", "non-dropping-particle" : "", "parse-names" : false, "suffix" : "" }, { "dropping-particle" : "", "family" : "Renner", "given" : "Eberhard", "non-dropping-particle" : "", "parse-names" : false, "suffix" : "" }, { "dropping-particle" : "", "family" : "Greig", "given" : "Paul D", "non-dropping-particle" : "", "parse-names" : false, "suffix" : "" }, { "dropping-particle" : "", "family" : "Grant", "given" : "David R", "non-dropping-particle" : "", "parse-names" : false, "suffix" : "" } ], "container-title" : "Transplant international : official journal of the European Society for Organ Transplantation", "id" : "ITEM-3", "issue" : "3", "issued" : { "date-parts" : [ [ "2010" ] ] }, "page" : "299-306", "title" : "Radiotherapy as a bridge to liver transplantation for hepatocellular carcinoma.", "type" : "article-journal", "volume" : "23" }, "uris" : [ "http://www.mendeley.com/documents/?uuid=5633db89-c11a-4773-a443-cfcabd90c040" ] }, { "id" : "ITEM-4", "itemData" : { "DOI" : "10.1016/j.adro.2015.12.003", "ISBN" : "0360-3016", "ISSN" : "24521094", "PMID" : "613212037", "abstract" : "Purpose To evaluate and compare outcome of stereotactic body radiation therapy (SBRT), yttrium-90 radioembolization, radiofrequency ablation (RFA), or transarterial chemoembolization (TACE) as bridge to liver transplant (LT) in patients with hepatocellular carcinoma. Methods and materials We retrospectively reviewed patients treated at our institution with SBRT, TACE, RFA, or yttrium-90 as bridge to LT between 2006 and 2013. We analyzed radiologic and pathologic response and rate of failure after bridge therapy. Toxicities were reported using Common Terminology Criteria for Adverse Events, 4.0. Kaplan-Meier method was used to calculate disease-free survival (DFS) and overall survival after LT. Results Sixty patients with a median age 57.5 years (range, 44-70) met inclusion criteria. Thirty-one patients (50.7%) had hepatitis C cirrhosis, 14 (23%) alcoholic cirrhosis, and 8 (13%) nonalcoholic steatohepatitis cirrhosis. Patients received a total of 79 bridge therapies: SBRT (n = 24), TACE (n = 37), RFA (n = 9), and Y90 (n = 9). Complete response (CR) was 25% for TACE, 8.6% for SBRT, 22% for RFA, and 33% for Y90. Grade 3 or 4 acute toxicity occurred following TACE (n = 4) and RFA (n = 2). Transplant occurred at a median of 7.4 months after bridge therapy. Pathological response among 57 patients was 100% necrosis (n = 23, 40%), &gt;50% necrosis (n = 20, 35%), &lt;50% necrosis (n = 9, 16%), and no necrosis (n = 5, 9%). Pathologic complete response was as follows: SBRT (28.5%), TACE (41%), RFA (60%), Y90 (75%), and multiple modalities (33%). At a median follow-up of 35 months, 7 patients had recurrence after LT. DFS was 85.8% and overall survival was 79% at 5 years. Conclusion All bridge therapies demonstrated good pathological response and DFS after LT. SBRT and Y90 demonstrated significantly less grade ???3 acute toxicity. Choice of optimal modality depends on tumor size, pretreatment bilirubin level, Child-Pugh status, and patient preference. Such a decision is best made at a multidisciplinary tumor board as is done at our institution.", "author" : [ { "dropping-particle" : "", "family" : "Mohamed", "given" : "Mostafa", "non-dropping-particle" : "", "parse-names" : false, "suffix" : "" }, { "dropping-particle" : "", "family" : "Katz", "given" : "Alan W.", "non-dropping-particle" : "", "parse-names" : false, "suffix" : "" }, { "dropping-particle" : "", "family" : "Tejani", "given" : "Mohamedtaki A.", "non-dropping-particle" : "", "parse-names" : false, "suffix" : "" }, { "dropping-particle" : "", "family" : "Sharma", "given" : "Ashwani K.", "non-dropping-particle" : "", "parse-names" : false, "suffix" : "" }, { "dropping-particle" : "", "family" : "Kashyap", "given" : "Randeep", "non-dropping-particle" : "", "parse-names" : false, "suffix" : "" }, { "dropping-particle" : "", "family" : "Noel", "given" : "Marcus S.", "non-dropping-particle" : "", "parse-names" : false, "suffix" : "" }, { "dropping-particle" : "", "family" : "Qiu", "given" : "Haoming", "non-dropping-particle" : "", "parse-names" : false, "suffix" : "" }, { "dropping-particle" : "", "family" : "Hezel", "given" : "Aram F.", "non-dropping-particle" : "", "parse-names" : false, "suffix" : "" }, { "dropping-particle" : "", "family" : "Ramaraju", "given" : "Gopal A.", "non-dropping-particle" : "", "parse-names" : false, "suffix" : "" }, { "dropping-particle" : "", "family" : "Dokus", "given" : "M. Katherine", "non-dropping-particle" : "", "parse-names" : false, "suffix" : "" }, { "dropping-particle" : "", "family" : "Orloff", "given" : "Mark S.", "non-dropping-particle" : "", "parse-names" : false, "suffix" : "" } ], "container-title" : "Advances in Radiation Oncology", "id" : "ITEM-4", "issue" : "1", "issued" : { "date-parts" : [ [ "2016" ] ] }, "page" : "35-42", "publisher" : "The Authors", "title" : "Comparison of outcomes between SBRT, yttrium-90 radioembolization, transarterial chemoembolization, and radiofrequency ablation as bridge to transplant for hepatocellular carcinoma", "type" : "article-journal", "volume" : "1" }, "uris" : [ "http://www.mendeley.com/documents/?uuid=ac03428b-5a4d-4cef-89fc-c78a65eb41c2" ] } ], "mendeley" : { "formattedCitation" : "[37\u201340]", "plainTextFormattedCitation" : "[37\u201340]", "previouslyFormattedCitation" : "[37\u201340]" }, "properties" : {  }, "schema" : "https://github.com/citation-style-language/schema/raw/master/csl-citation.json" }</w:instrText>
      </w:r>
      <w:r w:rsidR="00FA5B84">
        <w:rPr>
          <w:sz w:val="24"/>
          <w:szCs w:val="24"/>
          <w:lang w:val="en-US"/>
        </w:rPr>
        <w:fldChar w:fldCharType="separate"/>
      </w:r>
      <w:r w:rsidR="00FC6AC8" w:rsidRPr="00FC6AC8">
        <w:rPr>
          <w:noProof/>
          <w:sz w:val="24"/>
          <w:szCs w:val="24"/>
          <w:lang w:val="en-US"/>
        </w:rPr>
        <w:t>[37–40]</w:t>
      </w:r>
      <w:r w:rsidR="00FA5B84">
        <w:rPr>
          <w:sz w:val="24"/>
          <w:szCs w:val="24"/>
          <w:lang w:val="en-US"/>
        </w:rPr>
        <w:fldChar w:fldCharType="end"/>
      </w:r>
      <w:r w:rsidR="00181321">
        <w:rPr>
          <w:sz w:val="24"/>
          <w:szCs w:val="24"/>
          <w:lang w:val="en-US"/>
        </w:rPr>
        <w:t xml:space="preserve">. </w:t>
      </w:r>
      <w:r w:rsidR="00181321">
        <w:rPr>
          <w:sz w:val="24"/>
          <w:szCs w:val="24"/>
          <w:lang w:val="en-US"/>
        </w:rPr>
        <w:lastRenderedPageBreak/>
        <w:t>However, there have been no studies focusing on the efficacy of SBRT in comparison to sorafenib in advanced HCC</w:t>
      </w:r>
      <w:r>
        <w:rPr>
          <w:sz w:val="24"/>
          <w:szCs w:val="24"/>
          <w:lang w:val="en-US"/>
        </w:rPr>
        <w:t xml:space="preserve">, however, </w:t>
      </w:r>
      <w:r w:rsidR="00AC5830">
        <w:rPr>
          <w:sz w:val="24"/>
          <w:szCs w:val="24"/>
          <w:lang w:val="en-US"/>
        </w:rPr>
        <w:t xml:space="preserve">the combination of both was correlated with a higher incidence of adverse events </w:t>
      </w:r>
      <w:r w:rsidR="00AC5830">
        <w:rPr>
          <w:sz w:val="24"/>
          <w:szCs w:val="24"/>
          <w:lang w:val="en-US"/>
        </w:rPr>
        <w:fldChar w:fldCharType="begin" w:fldLock="1"/>
      </w:r>
      <w:r w:rsidR="00FC6AC8">
        <w:rPr>
          <w:sz w:val="24"/>
          <w:szCs w:val="24"/>
          <w:lang w:val="en-US"/>
        </w:rPr>
        <w:instrText>ADDIN CSL_CITATION { "citationItems" : [ { "id" : "ITEM-1", "itemData" : { "DOI" : "10.1016/j.ijrobp.2015.11.048", "ISSN" : "1879355X", "PMID" : "26867886", "abstract" : "Purpose To determine the maximally tolerated dose of sorafenib delivered before, during, and after stereotactic body radiation therapy (SBRT) in hepatocellular carinoma (HCC). Methods and Materials Eligible patients had locally advanced Child-Pugh class A HCC, showed Eastern Cooperative Oncology Group performance status 0-1, and were ineligible for standard local-regional therapies. Sorafenib was dose escalated in 2 strata: (1) low effective irradiated liver volume (veff) &lt; 30% and (2) high veff 30%to 60%. Sorafenib (400 mg daily = dose level 1) was administered for 12 weeks, with 6 fractions SBRT delivered weeks 2 and 3, and escalation to full dose (400 mg twice daily) after 12 weeks as tolerated. Standard 3 + 3 cohorts with dose escalation of sorafenib were planned. Results Sixteen patients (4 low veff, median dose 51 Gy; 12 high veff, median dose 33 Gy) were treated at 2 sorafenib dose levels. Of those patients 75% were had Barcelona Clinic Liver Cancer stage C, and 63% had main branch portal vein invasion. In the low veff stratum, no dose-limiting toxicities (DLTs) were observed in 4 patients treated with SBRT and sorafenib 400 mg. Inb the high veff stratum: 2 of 3 evaluable patients treated with sorafenib 400 mg experienced DLT (grade 3 large bowel bleed and grade 4 bowel obstruction 51 and 27 days, respectively, after SBRT). One of 6 evaluable patients at dose level -1 (200 mg once daily) experienced a grade 3 tumor rupture at week 5. Median overall survival and in-field local progression have not been reached. Worsening of Child-Pugh liver function class was seen in 6 of 12 patients in the high veff stratum. Conclusions Significant toxicity was observed in the high veff stratum, and concurrent SBRT with sorafenib is not recommended outside a clinical trial.", "author" : [ { "dropping-particle" : "", "family" : "Brade", "given" : "Anthony M.", "non-dropping-particle" : "", "parse-names" : false, "suffix" : "" }, { "dropping-particle" : "", "family" : "Ng", "given" : "Sylvia", "non-dropping-particle" : "", "parse-names" : false, "suffix" : "" }, { "dropping-particle" : "", "family" : "Brierley", "given" : "James", "non-dropping-particle" : "", "parse-names" : false, "suffix" : "" }, { "dropping-particle" : "", "family" : "Kim", "given" : "John", "non-dropping-particle" : "", "parse-names" : false, "suffix" : "" }, { "dropping-particle" : "", "family" : "Dinniwell", "given" : "Robert", "non-dropping-particle" : "", "parse-names" : false, "suffix" : "" }, { "dropping-particle" : "", "family" : "Ringash", "given" : "Jolie", "non-dropping-particle" : "", "parse-names" : false, "suffix" : "" }, { "dropping-particle" : "", "family" : "Wong", "given" : "Rebecca R.", "non-dropping-particle" : "", "parse-names" : false, "suffix" : "" }, { "dropping-particle" : "", "family" : "Cho", "given" : "Charles", "non-dropping-particle" : "", "parse-names" : false, "suffix" : "" }, { "dropping-particle" : "", "family" : "Knox", "given" : "Jennifer", "non-dropping-particle" : "", "parse-names" : false, "suffix" : "" }, { "dropping-particle" : "", "family" : "Dawson", "given" : "Laura A.", "non-dropping-particle" : "", "parse-names" : false, "suffix" : "" } ], "container-title" : "International Journal of Radiation Oncology Biology Physics", "id" : "ITEM-1", "issue" : "3", "issued" : { "date-parts" : [ [ "2016" ] ] }, "page" : "580-587", "publisher" : "Elsevier Inc", "title" : "Phase 1 Trial of Sorafenib and Stereotactic Body Radiation Therapy for Hepatocellular Carcinoma", "type" : "article-journal", "volume" : "94" }, "uris" : [ "http://www.mendeley.com/documents/?uuid=51a8a3ce-9afe-4fef-9242-b020ba2c5f67" ] } ], "mendeley" : { "formattedCitation" : "[41]", "plainTextFormattedCitation" : "[41]", "previouslyFormattedCitation" : "[41]" }, "properties" : {  }, "schema" : "https://github.com/citation-style-language/schema/raw/master/csl-citation.json" }</w:instrText>
      </w:r>
      <w:r w:rsidR="00AC5830">
        <w:rPr>
          <w:sz w:val="24"/>
          <w:szCs w:val="24"/>
          <w:lang w:val="en-US"/>
        </w:rPr>
        <w:fldChar w:fldCharType="separate"/>
      </w:r>
      <w:r w:rsidR="00FC6AC8" w:rsidRPr="00FC6AC8">
        <w:rPr>
          <w:noProof/>
          <w:sz w:val="24"/>
          <w:szCs w:val="24"/>
          <w:lang w:val="en-US"/>
        </w:rPr>
        <w:t>[41]</w:t>
      </w:r>
      <w:r w:rsidR="00AC5830">
        <w:rPr>
          <w:sz w:val="24"/>
          <w:szCs w:val="24"/>
          <w:lang w:val="en-US"/>
        </w:rPr>
        <w:fldChar w:fldCharType="end"/>
      </w:r>
      <w:r w:rsidR="00181321">
        <w:rPr>
          <w:sz w:val="24"/>
          <w:szCs w:val="24"/>
          <w:lang w:val="en-US"/>
        </w:rPr>
        <w:t xml:space="preserve">. </w:t>
      </w:r>
      <w:r w:rsidR="00706184">
        <w:rPr>
          <w:sz w:val="24"/>
          <w:szCs w:val="24"/>
          <w:lang w:val="en-US"/>
        </w:rPr>
        <w:t xml:space="preserve">In order to </w:t>
      </w:r>
      <w:r w:rsidR="00142697">
        <w:rPr>
          <w:sz w:val="24"/>
          <w:szCs w:val="24"/>
          <w:lang w:val="en-US"/>
        </w:rPr>
        <w:t>answer</w:t>
      </w:r>
      <w:r w:rsidR="00706184">
        <w:rPr>
          <w:sz w:val="24"/>
          <w:szCs w:val="24"/>
          <w:lang w:val="en-US"/>
        </w:rPr>
        <w:t xml:space="preserve"> this important clinical question</w:t>
      </w:r>
      <w:r w:rsidR="00142697">
        <w:rPr>
          <w:sz w:val="24"/>
          <w:szCs w:val="24"/>
          <w:lang w:val="en-US"/>
        </w:rPr>
        <w:t xml:space="preserve">, we analyzed an international, multicenter HCC database with patients treated with </w:t>
      </w:r>
      <w:r w:rsidR="00AC5830">
        <w:rPr>
          <w:sz w:val="24"/>
          <w:szCs w:val="24"/>
          <w:lang w:val="en-US"/>
        </w:rPr>
        <w:t>sorafenib</w:t>
      </w:r>
      <w:r w:rsidR="00142697">
        <w:rPr>
          <w:sz w:val="24"/>
          <w:szCs w:val="24"/>
          <w:lang w:val="en-US"/>
        </w:rPr>
        <w:t xml:space="preserve"> and a German</w:t>
      </w:r>
      <w:r w:rsidR="00AC5830">
        <w:rPr>
          <w:sz w:val="24"/>
          <w:szCs w:val="24"/>
          <w:lang w:val="en-US"/>
        </w:rPr>
        <w:t>/Swiss</w:t>
      </w:r>
      <w:r w:rsidR="00142697">
        <w:rPr>
          <w:sz w:val="24"/>
          <w:szCs w:val="24"/>
          <w:lang w:val="en-US"/>
        </w:rPr>
        <w:t xml:space="preserve"> cohort of SBRT patients. In our unmatched co</w:t>
      </w:r>
      <w:r w:rsidR="00061142">
        <w:rPr>
          <w:sz w:val="24"/>
          <w:szCs w:val="24"/>
          <w:lang w:val="en-US"/>
        </w:rPr>
        <w:t xml:space="preserve">hort patients treated with sorafenib presented with more advanced tumor disease as shown by a higher prevalence of portal vein thrombosis, </w:t>
      </w:r>
      <w:r w:rsidR="00AC5830">
        <w:rPr>
          <w:sz w:val="24"/>
          <w:szCs w:val="24"/>
          <w:lang w:val="en-US"/>
        </w:rPr>
        <w:t>extrahepatic</w:t>
      </w:r>
      <w:r w:rsidR="00061142">
        <w:rPr>
          <w:sz w:val="24"/>
          <w:szCs w:val="24"/>
          <w:lang w:val="en-US"/>
        </w:rPr>
        <w:t xml:space="preserve"> metastases and also more extensive hepatic tumor. Moreover, significantly more patients were classified as BCLC A in the sorafenib group although</w:t>
      </w:r>
      <w:r w:rsidR="00DC465A">
        <w:rPr>
          <w:sz w:val="24"/>
          <w:szCs w:val="24"/>
          <w:lang w:val="en-US"/>
        </w:rPr>
        <w:t xml:space="preserve"> in this BCLC stage sorafenib is</w:t>
      </w:r>
      <w:r w:rsidR="00061142">
        <w:rPr>
          <w:sz w:val="24"/>
          <w:szCs w:val="24"/>
          <w:lang w:val="en-US"/>
        </w:rPr>
        <w:t xml:space="preserve"> not recommended by the </w:t>
      </w:r>
      <w:r w:rsidR="00FE58B7">
        <w:rPr>
          <w:sz w:val="24"/>
          <w:szCs w:val="24"/>
          <w:lang w:val="en-US"/>
        </w:rPr>
        <w:t>c</w:t>
      </w:r>
      <w:r w:rsidR="00061142">
        <w:rPr>
          <w:sz w:val="24"/>
          <w:szCs w:val="24"/>
          <w:lang w:val="en-US"/>
        </w:rPr>
        <w:t xml:space="preserve">urrent HCC guidelines. </w:t>
      </w:r>
      <w:r>
        <w:rPr>
          <w:sz w:val="24"/>
          <w:szCs w:val="24"/>
          <w:lang w:val="en-US"/>
        </w:rPr>
        <w:t>These</w:t>
      </w:r>
      <w:r w:rsidR="00FE58B7">
        <w:rPr>
          <w:sz w:val="24"/>
          <w:szCs w:val="24"/>
          <w:lang w:val="en-US"/>
        </w:rPr>
        <w:t xml:space="preserve"> observations are in line with the GIDEON study sho</w:t>
      </w:r>
      <w:r w:rsidR="008518CD">
        <w:rPr>
          <w:sz w:val="24"/>
          <w:szCs w:val="24"/>
          <w:lang w:val="en-US"/>
        </w:rPr>
        <w:t>w</w:t>
      </w:r>
      <w:r w:rsidR="00FE58B7">
        <w:rPr>
          <w:sz w:val="24"/>
          <w:szCs w:val="24"/>
          <w:lang w:val="en-US"/>
        </w:rPr>
        <w:t>ing that especially in Asia</w:t>
      </w:r>
      <w:r w:rsidR="00DC465A">
        <w:rPr>
          <w:sz w:val="24"/>
          <w:szCs w:val="24"/>
          <w:lang w:val="en-US"/>
        </w:rPr>
        <w:t>,</w:t>
      </w:r>
      <w:r w:rsidR="00FE58B7">
        <w:rPr>
          <w:sz w:val="24"/>
          <w:szCs w:val="24"/>
          <w:lang w:val="en-US"/>
        </w:rPr>
        <w:t xml:space="preserve"> patients were significantly more often treated with sorafenib in BCLC A stages</w:t>
      </w:r>
      <w:r w:rsidR="00960199">
        <w:rPr>
          <w:sz w:val="24"/>
          <w:szCs w:val="24"/>
          <w:lang w:val="en-US"/>
        </w:rPr>
        <w:t xml:space="preserve"> </w:t>
      </w:r>
      <w:r w:rsidR="005F2BD3">
        <w:rPr>
          <w:sz w:val="24"/>
          <w:szCs w:val="24"/>
          <w:lang w:val="en-US"/>
        </w:rPr>
        <w:fldChar w:fldCharType="begin" w:fldLock="1"/>
      </w:r>
      <w:r w:rsidR="00FC6AC8">
        <w:rPr>
          <w:sz w:val="24"/>
          <w:szCs w:val="24"/>
          <w:lang w:val="en-US"/>
        </w:rPr>
        <w:instrText>ADDIN CSL_CITATION { "citationItems" : [ { "id" : "ITEM-1", "itemData" : { "DOI" : "10.1111/liv.13096", "ISSN" : "14783231", "PMID" : "26901163", "abstract" : "1196 - 1205", "author" : [ { "dropping-particle" : "", "family" : "Kudo", "given" : "Masatoshi", "non-dropping-particle" : "", "parse-names" : false, "suffix" : "" }, { "dropping-particle" : "", "family" : "Lencioni", "given" : "Riccardo", "non-dropping-particle" : "", "parse-names" : false, "suffix" : "" }, { "dropping-particle" : "", "family" : "Marrero", "given" : "Jorge A.", "non-dropping-particle" : "", "parse-names" : false, "suffix" : "" }, { "dropping-particle" : "", "family" : "Venook", "given" : "Alan P.", "non-dropping-particle" : "", "parse-names" : false, "suffix" : "" }, { "dropping-particle" : "", "family" : "Bronowicki", "given" : "Jean Pierre", "non-dropping-particle" : "", "parse-names" : false, "suffix" : "" }, { "dropping-particle" : "", "family" : "Chen", "given" : "Xiao Ping", "non-dropping-particle" : "", "parse-names" : false, "suffix" : "" }, { "dropping-particle" : "", "family" : "Dagher", "given" : "Lucy", "non-dropping-particle" : "", "parse-names" : false, "suffix" : "" }, { "dropping-particle" : "", "family" : "Furuse", "given" : "Junji", "non-dropping-particle" : "", "parse-names" : false, "suffix" : "" }, { "dropping-particle" : "", "family" : "Geschwind", "given" : "Jean Francois H.", "non-dropping-particle" : "", "parse-names" : false, "suffix" : "" }, { "dropping-particle" : "", "family" : "Ladr\u00f3n de Guevara", "given" : "Laura", "non-dropping-particle" : "", "parse-names" : false, "suffix" : "" }, { "dropping-particle" : "", "family" : "Papandreou", "given" : "Christos", "non-dropping-particle" : "", "parse-names" : false, "suffix" : "" }, { "dropping-particle" : "", "family" : "Sanyal", "given" : "Arun J.", "non-dropping-particle" : "", "parse-names" : false, "suffix" : "" }, { "dropping-particle" : "", "family" : "Takayama", "given" : "Tadatoshi", "non-dropping-particle" : "", "parse-names" : false, "suffix" : "" }, { "dropping-particle" : "", "family" : "Yoon", "given" : "Seung Kew", "non-dropping-particle" : "", "parse-names" : false, "suffix" : "" }, { "dropping-particle" : "", "family" : "Nakajima", "given" : "Keiko", "non-dropping-particle" : "", "parse-names" : false, "suffix" : "" }, { "dropping-particle" : "", "family" : "Lehr", "given" : "Robert", "non-dropping-particle" : "", "parse-names" : false, "suffix" : "" }, { "dropping-particle" : "", "family" : "Heldner", "given" : "Stephanie", "non-dropping-particle" : "", "parse-names" : false, "suffix" : "" }, { "dropping-particle" : "", "family" : "Ye", "given" : "Sheng Long", "non-dropping-particle" : "", "parse-names" : false, "suffix" : "" } ], "container-title" : "Liver International", "id" : "ITEM-1", "issued" : { "date-parts" : [ [ "2016" ] ] }, "title" : "Regional differences in sorafenib-treated patients with hepatocellular carcinoma: GIDEON observational study", "type" : "article-journal" }, "uris" : [ "http://www.mendeley.com/documents/?uuid=96b986e2-2880-3649-869c-c5aae925308f" ] } ], "mendeley" : { "formattedCitation" : "[29]", "plainTextFormattedCitation" : "[29]", "previouslyFormattedCitation" : "[29]" }, "properties" : {  }, "schema" : "https://github.com/citation-style-language/schema/raw/master/csl-citation.json" }</w:instrText>
      </w:r>
      <w:r w:rsidR="005F2BD3">
        <w:rPr>
          <w:sz w:val="24"/>
          <w:szCs w:val="24"/>
          <w:lang w:val="en-US"/>
        </w:rPr>
        <w:fldChar w:fldCharType="separate"/>
      </w:r>
      <w:r w:rsidR="00FC6AC8" w:rsidRPr="00FC6AC8">
        <w:rPr>
          <w:noProof/>
          <w:sz w:val="24"/>
          <w:szCs w:val="24"/>
          <w:lang w:val="en-US"/>
        </w:rPr>
        <w:t>[29]</w:t>
      </w:r>
      <w:r w:rsidR="005F2BD3">
        <w:rPr>
          <w:sz w:val="24"/>
          <w:szCs w:val="24"/>
          <w:lang w:val="en-US"/>
        </w:rPr>
        <w:fldChar w:fldCharType="end"/>
      </w:r>
      <w:r w:rsidR="00DC465A">
        <w:rPr>
          <w:sz w:val="24"/>
          <w:szCs w:val="24"/>
          <w:lang w:val="en-US"/>
        </w:rPr>
        <w:t xml:space="preserve">. These patients also </w:t>
      </w:r>
      <w:r w:rsidR="008518CD">
        <w:rPr>
          <w:sz w:val="24"/>
          <w:szCs w:val="24"/>
          <w:lang w:val="en-US"/>
        </w:rPr>
        <w:t xml:space="preserve">had </w:t>
      </w:r>
      <w:r w:rsidR="00AC5830">
        <w:rPr>
          <w:sz w:val="24"/>
          <w:szCs w:val="24"/>
          <w:lang w:val="en-US"/>
        </w:rPr>
        <w:t>multiple</w:t>
      </w:r>
      <w:r w:rsidR="008518CD">
        <w:rPr>
          <w:sz w:val="24"/>
          <w:szCs w:val="24"/>
          <w:lang w:val="en-US"/>
        </w:rPr>
        <w:t xml:space="preserve"> prior HCC treatment</w:t>
      </w:r>
      <w:r w:rsidR="00AC5830">
        <w:rPr>
          <w:sz w:val="24"/>
          <w:szCs w:val="24"/>
          <w:lang w:val="en-US"/>
        </w:rPr>
        <w:t xml:space="preserve"> including </w:t>
      </w:r>
      <w:r w:rsidR="00DC465A">
        <w:rPr>
          <w:sz w:val="24"/>
          <w:szCs w:val="24"/>
          <w:lang w:val="en-US"/>
        </w:rPr>
        <w:t xml:space="preserve">several </w:t>
      </w:r>
      <w:r w:rsidR="008518CD">
        <w:rPr>
          <w:sz w:val="24"/>
          <w:szCs w:val="24"/>
          <w:lang w:val="en-US"/>
        </w:rPr>
        <w:t>TACE</w:t>
      </w:r>
      <w:r w:rsidR="00DC465A">
        <w:rPr>
          <w:sz w:val="24"/>
          <w:szCs w:val="24"/>
          <w:lang w:val="en-US"/>
        </w:rPr>
        <w:t xml:space="preserve"> sessions</w:t>
      </w:r>
      <w:r w:rsidR="008518CD">
        <w:rPr>
          <w:sz w:val="24"/>
          <w:szCs w:val="24"/>
          <w:lang w:val="en-US"/>
        </w:rPr>
        <w:t xml:space="preserve">. But after several </w:t>
      </w:r>
      <w:r w:rsidR="00AC5830">
        <w:rPr>
          <w:sz w:val="24"/>
          <w:szCs w:val="24"/>
          <w:lang w:val="en-US"/>
        </w:rPr>
        <w:t>embolization</w:t>
      </w:r>
      <w:r w:rsidR="008518CD">
        <w:rPr>
          <w:sz w:val="24"/>
          <w:szCs w:val="24"/>
          <w:lang w:val="en-US"/>
        </w:rPr>
        <w:t xml:space="preserve"> procedures</w:t>
      </w:r>
      <w:r w:rsidR="00DC465A">
        <w:rPr>
          <w:sz w:val="24"/>
          <w:szCs w:val="24"/>
          <w:lang w:val="en-US"/>
        </w:rPr>
        <w:t>,</w:t>
      </w:r>
      <w:r w:rsidR="008518CD">
        <w:rPr>
          <w:sz w:val="24"/>
          <w:szCs w:val="24"/>
          <w:lang w:val="en-US"/>
        </w:rPr>
        <w:t xml:space="preserve"> further transarterial approaches may be limited to due impaired vascular architecture so that sorafenib is also used in this setting although the patient </w:t>
      </w:r>
      <w:r w:rsidR="00DC465A">
        <w:rPr>
          <w:sz w:val="24"/>
          <w:szCs w:val="24"/>
          <w:lang w:val="en-US"/>
        </w:rPr>
        <w:t xml:space="preserve">is formally </w:t>
      </w:r>
      <w:r w:rsidR="008518CD">
        <w:rPr>
          <w:sz w:val="24"/>
          <w:szCs w:val="24"/>
          <w:lang w:val="en-US"/>
        </w:rPr>
        <w:t xml:space="preserve">classified </w:t>
      </w:r>
      <w:r w:rsidR="00AC5830">
        <w:rPr>
          <w:sz w:val="24"/>
          <w:szCs w:val="24"/>
          <w:lang w:val="en-US"/>
        </w:rPr>
        <w:t>in</w:t>
      </w:r>
      <w:r w:rsidR="008518CD">
        <w:rPr>
          <w:sz w:val="24"/>
          <w:szCs w:val="24"/>
          <w:lang w:val="en-US"/>
        </w:rPr>
        <w:t xml:space="preserve"> an earlier BCLC stage</w:t>
      </w:r>
      <w:r w:rsidR="00960199">
        <w:rPr>
          <w:sz w:val="24"/>
          <w:szCs w:val="24"/>
          <w:lang w:val="en-US"/>
        </w:rPr>
        <w:t xml:space="preserve"> </w:t>
      </w:r>
      <w:r w:rsidR="005F2BD3">
        <w:rPr>
          <w:sz w:val="24"/>
          <w:szCs w:val="24"/>
          <w:lang w:val="en-US"/>
        </w:rPr>
        <w:fldChar w:fldCharType="begin" w:fldLock="1"/>
      </w:r>
      <w:r w:rsidR="00FC6AC8">
        <w:rPr>
          <w:sz w:val="24"/>
          <w:szCs w:val="24"/>
          <w:lang w:val="en-US"/>
        </w:rPr>
        <w:instrText>ADDIN CSL_CITATION { "citationItems" : [ { "id" : "ITEM-1", "itemData" : { "DOI" : "10.1159/000480441", "ISSN" : "16645553", "abstract" : "\u00a9 2017 S. Karger AG, Basel. Copyright: All rights reserved. Background: Level I evidence supports the use of sorafenib in patients with Barcelona Clinic Liver Cancer (BCLC) stage C hepatocellular carcinoma, where heterogeneity in efficacy exists due to varying clinicopathologic features of the disease. Aim: We evaluated whether prior treatment with curative or locoregional therapies influences sorafenib-specific survival. Methods: From a prospective data set of 785 consecutive patients from international specialist centres, 264 patients (34%) were treatment na\u00efve (TN) and 521 (66%) were pre-treated (PT), most frequently with transarterial chemoembolization (n = 413; 79%). The primary endpoint was overall survival (OS) from sorafenib initiation with prognostic factors tested on uni- and multivariate analyses. Results: Median OS for the entire cohort was 9 months; the median sorafenib duration was 2.8 months, with discontinuation being secondary to progression (n = 454; 58%) or toxicity (n = 149; 19%). PT patients had significantly longer OS than TN patients (10.5 vs. 6.6 months; p  &lt;  0.001). Compared to TN patients, PT patients had a better Child-Pugh (CP) class (CP A: 57 vs. 47%; p  &lt;  0.001) and a lower BCLC stage (BCLC A-B, 40 vs. 30%; p = 0.007). PT status preserved an independent prognostic role (p = 0.002) following adjustment for BCLC stage, \u03b1-fetoprotein, CP class, aetiology, a nd post-sorafenib treatment status. PT patients were more likely to receive further anticancer treatment after sorafenib (31 vs. 9%; p  &lt;  0.001). Conclusion: Patients receiving sorafenib after having failed curative or locoregional therapies survive longer and are more likely to receive further treatment after sorafenib. This suggests an incremental benefit to OS from sequential exposure to multiple lines of therapy, justifying treatment stage migration in eligible patients.", "author" : [ { "dropping-particle" : "", "family" : "Yen", "given" : "C.", "non-dropping-particle" : "", "parse-names" : false, "suffix" : "" }, { "dropping-particle" : "", "family" : "Sharma", "given" : "R.", "non-dropping-particle" : "", "parse-names" : false, "suffix" : "" }, { "dropping-particle" : "", "family" : "Rimassa", "given" : "L.", "non-dropping-particle" : "", "parse-names" : false, "suffix" : "" }, { "dropping-particle" : "", "family" : "Arizumi", "given" : "T.", "non-dropping-particle" : "", "parse-names" : false, "suffix" : "" }, { "dropping-particle" : "", "family" : "Bettinger", "given" : "D.", "non-dropping-particle" : "", "parse-names" : false, "suffix" : "" }, { "dropping-particle" : "", "family" : "Choo", "given" : "H.Y.", "non-dropping-particle" : "", "parse-names" : false, "suffix" : "" }, { "dropping-particle" : "", "family" : "Pressiani", "given" : "T.", "non-dropping-particle" : "", "parse-names" : false, "suffix" : "" }, { "dropping-particle" : "", "family" : "Burlone", "given" : "M.E.", "non-dropping-particle" : "", "parse-names" : false, "suffix" : "" }, { "dropping-particle" : "", "family" : "Pirisi", "given" : "M.", "non-dropping-particle" : "", "parse-names" : false, "suffix" : "" }, { "dropping-particle" : "", "family" : "Giordano", "given" : "L.", "non-dropping-particle" : "", "parse-names" : false, "suffix" : "" }, { "dropping-particle" : "", "family" : "Abdulrahman", "given" : "A.", "non-dropping-particle" : "", "parse-names" : false, "suffix" : "" }, { "dropping-particle" : "", "family" : "Kudo", "given" : "M.", "non-dropping-particle" : "", "parse-names" : false, "suffix" : "" }, { "dropping-particle" : "", "family" : "Thimme", "given" : "R.", "non-dropping-particle" : "", "parse-names" : false, "suffix" : "" }, { "dropping-particle" : "", "family" : "Park", "given" : "J.W.", "non-dropping-particle" : "", "parse-names" : false, "suffix" : "" }, { "dropping-particle" : "", "family" : "Pinato", "given" : "D.J.", "non-dropping-particle" : "", "parse-names" : false, "suffix" : "" } ], "container-title" : "Liver Cancer", "id" : "ITEM-1", "issue" : "4", "issued" : { "date-parts" : [ [ "2017" ] ] }, "title" : "Treatment Stage Migration Maximizes Survival Outcomes in Patients with Hepatocellular Carcinoma Treated with Sorafenib: An Observational Study", "type" : "article-journal", "volume" : "6" }, "uris" : [ "http://www.mendeley.com/documents/?uuid=a53340d9-3472-38cc-a9d1-c7b55a6b1aa7" ] } ], "mendeley" : { "formattedCitation" : "[42]", "plainTextFormattedCitation" : "[42]", "previouslyFormattedCitation" : "[42]" }, "properties" : {  }, "schema" : "https://github.com/citation-style-language/schema/raw/master/csl-citation.json" }</w:instrText>
      </w:r>
      <w:r w:rsidR="005F2BD3">
        <w:rPr>
          <w:sz w:val="24"/>
          <w:szCs w:val="24"/>
          <w:lang w:val="en-US"/>
        </w:rPr>
        <w:fldChar w:fldCharType="separate"/>
      </w:r>
      <w:r w:rsidR="00FC6AC8" w:rsidRPr="00FC6AC8">
        <w:rPr>
          <w:noProof/>
          <w:sz w:val="24"/>
          <w:szCs w:val="24"/>
          <w:lang w:val="en-US"/>
        </w:rPr>
        <w:t>[42]</w:t>
      </w:r>
      <w:r w:rsidR="005F2BD3">
        <w:rPr>
          <w:sz w:val="24"/>
          <w:szCs w:val="24"/>
          <w:lang w:val="en-US"/>
        </w:rPr>
        <w:fldChar w:fldCharType="end"/>
      </w:r>
      <w:r w:rsidR="008518CD">
        <w:rPr>
          <w:sz w:val="24"/>
          <w:szCs w:val="24"/>
          <w:lang w:val="en-US"/>
        </w:rPr>
        <w:t xml:space="preserve">.  </w:t>
      </w:r>
    </w:p>
    <w:p w14:paraId="68CDFE1F" w14:textId="77777777" w:rsidR="00706184" w:rsidRDefault="00142697" w:rsidP="00995C75">
      <w:pPr>
        <w:spacing w:line="480" w:lineRule="auto"/>
        <w:jc w:val="both"/>
        <w:rPr>
          <w:sz w:val="24"/>
          <w:szCs w:val="24"/>
          <w:lang w:val="en-US"/>
        </w:rPr>
      </w:pPr>
      <w:r>
        <w:rPr>
          <w:sz w:val="24"/>
          <w:szCs w:val="24"/>
          <w:lang w:val="en-US"/>
        </w:rPr>
        <w:t xml:space="preserve">As patients allocated to sorafenib treatment or to SBRT show different baseline tumor and patient characteristics </w:t>
      </w:r>
      <w:r w:rsidR="008518CD">
        <w:rPr>
          <w:sz w:val="24"/>
          <w:szCs w:val="24"/>
          <w:lang w:val="en-US"/>
        </w:rPr>
        <w:t xml:space="preserve">which may directly affect OS and therefore leading to a significant bias, we performed </w:t>
      </w:r>
      <w:r w:rsidR="00AC5830">
        <w:rPr>
          <w:sz w:val="24"/>
          <w:szCs w:val="24"/>
          <w:lang w:val="en-US"/>
        </w:rPr>
        <w:t xml:space="preserve">a </w:t>
      </w:r>
      <w:r w:rsidR="008518CD">
        <w:rPr>
          <w:sz w:val="24"/>
          <w:szCs w:val="24"/>
          <w:lang w:val="en-US"/>
        </w:rPr>
        <w:t xml:space="preserve">propensity score matching to adjust for these confounders. </w:t>
      </w:r>
      <w:r w:rsidR="00DC465A">
        <w:rPr>
          <w:sz w:val="24"/>
          <w:szCs w:val="24"/>
          <w:lang w:val="en-US"/>
        </w:rPr>
        <w:t>The significant survival benefit of patients treated with SBRT compared to sorafenib patients in the unmatched cohort, was also reproducible after propensity score matching. Importantly, patients with advanced tum</w:t>
      </w:r>
      <w:r w:rsidR="00673E21">
        <w:rPr>
          <w:sz w:val="24"/>
          <w:szCs w:val="24"/>
          <w:lang w:val="en-US"/>
        </w:rPr>
        <w:t>or disease are very heterogen</w:t>
      </w:r>
      <w:r w:rsidR="00AC5830">
        <w:rPr>
          <w:sz w:val="24"/>
          <w:szCs w:val="24"/>
          <w:lang w:val="en-US"/>
        </w:rPr>
        <w:t>e</w:t>
      </w:r>
      <w:r w:rsidR="00673E21">
        <w:rPr>
          <w:sz w:val="24"/>
          <w:szCs w:val="24"/>
          <w:lang w:val="en-US"/>
        </w:rPr>
        <w:t>ous as they may show portal vein thrombosis and/or extrahepatic metastases</w:t>
      </w:r>
      <w:r w:rsidR="004F1CFE">
        <w:rPr>
          <w:sz w:val="24"/>
          <w:szCs w:val="24"/>
          <w:lang w:val="en-US"/>
        </w:rPr>
        <w:t xml:space="preserve"> and it needs to be clarified if both patient </w:t>
      </w:r>
      <w:r w:rsidR="007F7DF4">
        <w:rPr>
          <w:sz w:val="24"/>
          <w:szCs w:val="24"/>
          <w:lang w:val="en-US"/>
        </w:rPr>
        <w:t xml:space="preserve">groups show the same </w:t>
      </w:r>
      <w:r w:rsidR="004F1CFE">
        <w:rPr>
          <w:sz w:val="24"/>
          <w:szCs w:val="24"/>
          <w:lang w:val="en-US"/>
        </w:rPr>
        <w:t>s</w:t>
      </w:r>
      <w:r w:rsidR="007F7DF4">
        <w:rPr>
          <w:sz w:val="24"/>
          <w:szCs w:val="24"/>
          <w:lang w:val="en-US"/>
        </w:rPr>
        <w:t>urvival benefit when treated with SBRT compared to sorafenib</w:t>
      </w:r>
      <w:r w:rsidR="004F1CFE">
        <w:rPr>
          <w:sz w:val="24"/>
          <w:szCs w:val="24"/>
          <w:lang w:val="en-US"/>
        </w:rPr>
        <w:t>. P</w:t>
      </w:r>
      <w:r w:rsidR="007F7DF4">
        <w:rPr>
          <w:sz w:val="24"/>
          <w:szCs w:val="24"/>
          <w:lang w:val="en-US"/>
        </w:rPr>
        <w:t xml:space="preserve">atients with extrahepatic metastases who were treated with SBRT of the </w:t>
      </w:r>
      <w:r w:rsidR="002675C7">
        <w:rPr>
          <w:sz w:val="24"/>
          <w:szCs w:val="24"/>
          <w:lang w:val="en-US"/>
        </w:rPr>
        <w:t>intra</w:t>
      </w:r>
      <w:r w:rsidR="007F7DF4">
        <w:rPr>
          <w:sz w:val="24"/>
          <w:szCs w:val="24"/>
          <w:lang w:val="en-US"/>
        </w:rPr>
        <w:t xml:space="preserve">hepatic HCC nodules (excluding </w:t>
      </w:r>
      <w:r w:rsidR="007F7DF4">
        <w:rPr>
          <w:sz w:val="24"/>
          <w:szCs w:val="24"/>
          <w:lang w:val="en-US"/>
        </w:rPr>
        <w:lastRenderedPageBreak/>
        <w:t>radiation therapy of the extrahepatic metastases) showed significantly improved OS compared to patients who were treated systemically with sorafenib</w:t>
      </w:r>
      <w:r w:rsidR="00AC5830">
        <w:rPr>
          <w:sz w:val="24"/>
          <w:szCs w:val="24"/>
          <w:lang w:val="en-US"/>
        </w:rPr>
        <w:t xml:space="preserve"> alone</w:t>
      </w:r>
      <w:r w:rsidR="007F7DF4">
        <w:rPr>
          <w:sz w:val="24"/>
          <w:szCs w:val="24"/>
          <w:lang w:val="en-US"/>
        </w:rPr>
        <w:t xml:space="preserve">. </w:t>
      </w:r>
      <w:r w:rsidR="002675C7">
        <w:rPr>
          <w:sz w:val="24"/>
          <w:szCs w:val="24"/>
          <w:lang w:val="en-US"/>
        </w:rPr>
        <w:t>This finding is in line with our previous results showing that intrahepatic tumor control with TACE is associated with improved OS compared to sorafenib treatment</w:t>
      </w:r>
      <w:r w:rsidR="005F2BD3">
        <w:rPr>
          <w:sz w:val="24"/>
          <w:szCs w:val="24"/>
          <w:lang w:val="en-US"/>
        </w:rPr>
        <w:fldChar w:fldCharType="begin" w:fldLock="1"/>
      </w:r>
      <w:r w:rsidR="00FC6AC8">
        <w:rPr>
          <w:sz w:val="24"/>
          <w:szCs w:val="24"/>
          <w:lang w:val="en-US"/>
        </w:rPr>
        <w:instrText>ADDIN CSL_CITATION { "citationItems" : [ { "id" : "ITEM-1", "itemData" : { "DOI" : "10.1186/s12876-017-0656-z", "ISSN" : "1471230X", "abstract" : "\u00a9 2017 The Author(s). Background: As prognosis of patients with metastatic hepatocellular carcinoma (HCC) is mainly determined by intrahepatic HCC progression, local treatment with TACE may result in improved OS, although it is not recommended. The purpose of this study was to analyze retrospectively the efficacy of TACE and its impact on OS in patients with metastatic hepatocellular carcinoma (HCC). Methods: Two hundred and fifteen patients with metastatic HCC who were treated at our Liver Center between 2003 and 2014 were included in this retrospective analysis. Medical records, laboratory parameters and imaging studies were analyzed. Treatment of metastatic HCC and OS were assessed Results: One hundred and two patients (47.4%) did not receive any HCC specific treatment while 48 patients (22.3%) were treated with sorafenib, 42 patients (19.5%) with TACE and 23 patients (10.7%) received treatment with TACE and sorafenib in combination. Survival analyses and Cox regression models revealed that TACE and a combination therapy of TACE and sorafenib were significant prognostic factors in metastatic HCC. However, further analyses revealed that there was no additional prognostic effect of adding sorafenib to TACE treatment in this patient cohort. Conclusions: In metastatic HCC, treatment of intrahepatic tumor by TACE may be associated with improved survival. These results support the prognostic importance of treating intrahepatic HCC even in patients with metastatic disease. Therefore, we suggest evaluating the technical feasibility of TACE in all metastatic patients.", "author" : [ { "dropping-particle" : "", "family" : "Bettinger", "given" : "D.", "non-dropping-particle" : "", "parse-names" : false, "suffix" : "" }, { "dropping-particle" : "", "family" : "Spode", "given" : "R.", "non-dropping-particle" : "", "parse-names" : false, "suffix" : "" }, { "dropping-particle" : "", "family" : "Glaser", "given" : "N.", "non-dropping-particle" : "", "parse-names" : false, "suffix" : "" }, { "dropping-particle" : "", "family" : "Buettner", "given" : "N.", "non-dropping-particle" : "", "parse-names" : false, "suffix" : "" }, { "dropping-particle" : "", "family" : "Boettler", "given" : "T.", "non-dropping-particle" : "", "parse-names" : false, "suffix" : "" }, { "dropping-particle" : "", "family" : "Neumann-Haefelin", "given" : "C.", "non-dropping-particle" : "", "parse-names" : false, "suffix" : "" }, { "dropping-particle" : "", "family" : "Brunner", "given" : "T.B.", "non-dropping-particle" : "", "parse-names" : false, "suffix" : "" }, { "dropping-particle" : "", "family" : "Gkika", "given" : "E.", "non-dropping-particle" : "", "parse-names" : false, "suffix" : "" }, { "dropping-particle" : "", "family" : "Maruschke", "given" : "L.", "non-dropping-particle" : "", "parse-names" : false, "suffix" : "" }, { "dropping-particle" : "", "family" : "Thimme", "given" : "R.", "non-dropping-particle" : "", "parse-names" : false, "suffix" : "" }, { "dropping-particle" : "", "family" : "Schultheiss", "given" : "M.", "non-dropping-particle" : "", "parse-names" : false, "suffix" : "" } ], "container-title" : "BMC Gastroenterology", "id" : "ITEM-1", "issue" : "1", "issued" : { "date-parts" : [ [ "2017" ] ] }, "title" : "Survival benefit of transarterial chemoembolization in patients with metastatic hepatocellular carcinoma: A single center experience", "type" : "article-journal", "volume" : "17" }, "uris" : [ "http://www.mendeley.com/documents/?uuid=d0570516-5015-351c-a5b6-69f43161c205" ] }, { "id" : "ITEM-2", "itemData" : { "DOI" : "10.1111/ajco.12081", "abstract" : "Aims: Advanced hepatocellular carcinoma (HCC) with vascular invasion or extrahepatic metastasis has been considered a contraindication for transarterial chemoembolization (TACE) treatment according to Barcelona Clinic Liver Cancer (BCLC) staging classification. However, real clinical practice varies among different countries. In recent years another opinion has been developing that considers that TACE can be safely performed in advanced HCC patients. Methods: All studies on the efficacy of TACE for patients with advanced HCC were identified via the PubMed database. The primary items were TACE and HCC. Results: We identified 15 studies in the treatment of TACE in advanced HCC patients. Most adverse events reported were treated successfully and in these studies there were no procedure-related deaths within 4 weeks of the TACE treatment. Four controlled studies reported that TACE increased survival rate and prolonged overall survival compared with conservative management. The most frequent prognostic factors were liver function and the degree of portal vein tumor thrombosis. Conclusion: TACE can be safely performed in advanced HCC patients with vascular invasion or extra-hepatic spread and may improve their overall survival. Patients with portal vein branch invasion and well-preserved liver function seemed to derive optimal benefit from treatment with TACE. Further studies are needed to provide strong evidence of the efficacy of TACE for advanced HCC patients to update the BCLC staging system.", "author" : [ { "dropping-particle" : "", "family" : "Zhao", "given" : "Yan", "non-dropping-particle" : "", "parse-names" : false, "suffix" : "" }, { "dropping-particle" : "", "family" : "Cai", "given" : "Guohong", "non-dropping-particle" : "", "parse-names" : false, "suffix" : "" }, { "dropping-particle" : "", "family" : "Zhou", "given" : "Lin", "non-dropping-particle" : "", "parse-names" : false, "suffix" : "" }, { "dropping-particle" : "", "family" : "Liu", "given" : "Lei", "non-dropping-particle" : "", "parse-names" : false, "suffix" : "" }, { "dropping-particle" : "", "family" : "Qi", "given" : "Xingshun", "non-dropping-particle" : "", "parse-names" : false, "suffix" : "" }, { "dropping-particle" : "", "family" : "Bai", "given" : "Ming", "non-dropping-particle" : "", "parse-names" : false, "suffix" : "" }, { "dropping-particle" : "", "family" : "Li", "given" : "Yongping", "non-dropping-particle" : "", "parse-names" : false, "suffix" : "" }, { "dropping-particle" : "", "family" : "Fan", "given" : "Daiming", "non-dropping-particle" : "", "parse-names" : false, "suffix" : "" }, { "dropping-particle" : "", "family" : "Han", "given" : "Guohong", "non-dropping-particle" : "", "parse-names" : false, "suffix" : "" } ], "id" : "ITEM-2", "issued" : { "date-parts" : [ [ "0" ] ] }, "title" : "Transarterial chemoembolization in hepatocellular carcinoma with vascular invasion or extrahepatic metastasis: A systematic review", "type" : "article-journal" }, "uris" : [ "http://www.mendeley.com/documents/?uuid=8ad94cfb-cc9a-320c-aaab-a7794191854a" ] } ], "mendeley" : { "formattedCitation" : "[43,44]", "plainTextFormattedCitation" : "[43,44]", "previouslyFormattedCitation" : "[43,44]" }, "properties" : {  }, "schema" : "https://github.com/citation-style-language/schema/raw/master/csl-citation.json" }</w:instrText>
      </w:r>
      <w:r w:rsidR="005F2BD3">
        <w:rPr>
          <w:sz w:val="24"/>
          <w:szCs w:val="24"/>
          <w:lang w:val="en-US"/>
        </w:rPr>
        <w:fldChar w:fldCharType="separate"/>
      </w:r>
      <w:r w:rsidR="00FC6AC8" w:rsidRPr="00FC6AC8">
        <w:rPr>
          <w:noProof/>
          <w:sz w:val="24"/>
          <w:szCs w:val="24"/>
          <w:lang w:val="en-US"/>
        </w:rPr>
        <w:t>[43,44]</w:t>
      </w:r>
      <w:r w:rsidR="005F2BD3">
        <w:rPr>
          <w:sz w:val="24"/>
          <w:szCs w:val="24"/>
          <w:lang w:val="en-US"/>
        </w:rPr>
        <w:fldChar w:fldCharType="end"/>
      </w:r>
      <w:r w:rsidR="002675C7">
        <w:rPr>
          <w:sz w:val="24"/>
          <w:szCs w:val="24"/>
          <w:lang w:val="en-US"/>
        </w:rPr>
        <w:t>. Importantly, also other studies have shown that prognosis of HCC patients is mainly determined by intrahepatic HCC progression or deterioration of the underlying liver disease rather than progression of extrahepatic metastases</w:t>
      </w:r>
      <w:r w:rsidR="00AC5830">
        <w:rPr>
          <w:sz w:val="24"/>
          <w:szCs w:val="24"/>
          <w:lang w:val="en-US"/>
        </w:rPr>
        <w:t xml:space="preserve"> </w:t>
      </w:r>
      <w:r w:rsidR="005F2BD3">
        <w:rPr>
          <w:sz w:val="24"/>
          <w:szCs w:val="24"/>
          <w:lang w:val="en-US"/>
        </w:rPr>
        <w:fldChar w:fldCharType="begin" w:fldLock="1"/>
      </w:r>
      <w:r w:rsidR="00FC6AC8">
        <w:rPr>
          <w:sz w:val="24"/>
          <w:szCs w:val="24"/>
          <w:lang w:val="en-US"/>
        </w:rPr>
        <w:instrText>ADDIN CSL_CITATION { "citationItems" : [ { "id" : "ITEM-1", "itemData" : { "DOI" : "10.1111/j.1478-3231.2008.01864.x", "ISSN" : "1478-3231 (Electronic)", "PMID" : "18710423", "abstract" : "BACKGROUND: Extrahepatic metastasis of hepatocellular carcinoma (HCC) is of growing importance as the survival of patients has been improved owing to advances in treatments to intrahepatic lesions. METHODS: To elucidate the incidence and risk factors of extrahepatic metastasis of HCC, we enrolled 1573 (1131 treatment-naive and 442 previously treated on referral) patients with HCC without extrahepatic tumour spread treated at the authors' department between 1990 and 2003. Patients received medical treatment including percutaneous ablation and transcatheter arterial chemoembolization, and followed by dynamic computed tomography (CT) or magnetic resonance imaging (MRI) and tumour markers every 3-4 months. Extrahepatic metastasis was diagnosed by plain X-ray, CT, MRI and scintigraphy. Clinical parameters at the time of treatment to intrahepatic lesions were evaluated as a predictor of subsequent extrahepatic metastasis among the 1131 treatment-naive patients by Cox's proportional hazard model. RESULTS: During the average observation period of 3.9 years, extrahepatic metastasis was diagnosed in 123 in the treatment-naive and 53 in the patients treated previously. The incidence rate of extrahepatic metastasis, as detected during the lifetime after medical treatment of HCC, was approximately 13% at 5 years. Multivariate analysis with Cox proportional hazard model revealed that positivity for viral markers, lager tumour diameter, multiple tumour nodules, presence of vascular tumour invasion and elevated tumour markers were associated with the development of extrahepatic metastasis. CONCLUSION: The incidence of extrahepatic metastasis of HCC diagnosed during clinical course was not frequent. Advanced intrahepatic lesions, presence of vascular tumour invasion, elevated tumour markers and presence of viral hepatitis were risk factors for extrahepatic metastasis.", "author" : [ { "dropping-particle" : "", "family" : "Kanda", "given" : "Miho", "non-dropping-particle" : "", "parse-names" : false, "suffix" : "" }, { "dropping-particle" : "", "family" : "Tateishi", "given" : "Ryosuke", "non-dropping-particle" : "", "parse-names" : false, "suffix" : "" }, { "dropping-particle" : "", "family" : "Yoshida", "given" : "Haruhiko", "non-dropping-particle" : "", "parse-names" : false, "suffix" : "" }, { "dropping-particle" : "", "family" : "Sato", "given" : "Takahisa", "non-dropping-particle" : "", "parse-names" : false, "suffix" : "" }, { "dropping-particle" : "", "family" : "Masuzaki", "given" : "Ryota", "non-dropping-particle" : "", "parse-names" : false, "suffix" : "" }, { "dropping-particle" : "", "family" : "Ohki", "given" : "Takamasa", "non-dropping-particle" : "", "parse-names" : false, "suffix" : "" }, { "dropping-particle" : "", "family" : "Imamura", "given" : "Jun", "non-dropping-particle" : "", "parse-names" : false, "suffix" : "" }, { "dropping-particle" : "", "family" : "Goto", "given" : "Tadashi", "non-dropping-particle" : "", "parse-names" : false, "suffix" : "" }, { "dropping-particle" : "", "family" : "Yoshida", "given" : "Hideo", "non-dropping-particle" : "", "parse-names" : false, "suffix" : "" }, { "dropping-particle" : "", "family" : "Hamamura", "given" : "Keisuke", "non-dropping-particle" : "", "parse-names" : false, "suffix" : "" }, { "dropping-particle" : "", "family" : "Obi", "given" : "Shuntaro", "non-dropping-particle" : "", "parse-names" : false, "suffix" : "" }, { "dropping-particle" : "", "family" : "Kanai", "given" : "Fumihiko", "non-dropping-particle" : "", "parse-names" : false, "suffix" : "" }, { "dropping-particle" : "", "family" : "Shiina", "given" : "Shuichiro", "non-dropping-particle" : "", "parse-names" : false, "suffix" : "" }, { "dropping-particle" : "", "family" : "Omata", "given" : "Masao", "non-dropping-particle" : "", "parse-names" : false, "suffix" : "" } ], "container-title" : "Liver international : official journal of the International Association for the Study of the Liver", "id" : "ITEM-1", "issue" : "9", "issued" : { "date-parts" : [ [ "2008", "11" ] ] }, "language" : "eng", "page" : "1256-1263", "publisher-place" : "United States", "title" : "Extrahepatic metastasis of hepatocellular carcinoma: incidence and risk factors.", "type" : "article-journal", "volume" : "28" }, "uris" : [ "http://www.mendeley.com/documents/?uuid=6d3c8fa8-670e-4922-829c-e550cd6c11cf" ] }, { "id" : "ITEM-2", "itemData" : { "DOI" : "10.1111/j.1440-1746.2005.03919.x", "ISSN" : "0815-9319 (Print)", "PMID" : "16246200", "abstract" : "BACKGROUND: There are few detailed clinical reports about extrahepatic metastases of hepatocellular carcinoma (HCC). The purpose of the present study was to elucidate the clinical features of extrahepatic metastases of HCC. METHODS: The clinical records of 482 patients who had been diagnosed as having HCC during the period from January 1995 to March 2001 were retrospectively reviewed. Extrahepatic metastases had been detected in 65 patients. Clinical features of those 65 patients were analyzed. RESULTS: Patients with extrahepatic metastases had more advanced intrahepatic tumors at the first diagnosis of HCC: 73.8% of the patients with extrahepatic metastases had tumors of intrahepatic tumor stage T3 or T4 according to the TNM classification, while only 28.5% of the patients without extrahepatic metastases had tumors of T3 or T4 (P &lt; 0.001). Vessel invasion was also detected at the first diagnosis of HCC more frequently in the patients with extrahepatic metastasis (P &lt; 0.001). The frequent metastatic sites were lung (53.8%), bone (38.5%), and lymph node (33.8%). Other metastatic sites were the adrenal gland, peritoneum, skin, brain and muscle. The median survival time and 1-year survival rate were 7 months (range: 1-59 months) and 24.9%, respectively. Patients with Child-Pugh grade B and C (P = 0.0018) and patients with positive serum alpha-fetoprotein (P = 0.011) had significantly poor prognosis. CONCLUSIONS: Extrahepatic metastases of HCC are not rare. The possibility of extrahepatic metastases and the clinical features of extrahepatic metastases should be considered when examining patients with HCC, particularly those with advanced intrahepatic tumors, to enable precise evaluation of the spread of HCC and determination of the appropriate treatment method.", "author" : [ { "dropping-particle" : "", "family" : "Natsuizaka", "given" : "Mitsuteru", "non-dropping-particle" : "", "parse-names" : false, "suffix" : "" }, { "dropping-particle" : "", "family" : "Omura", "given" : "Takumi", "non-dropping-particle" : "", "parse-names" : false, "suffix" : "" }, { "dropping-particle" : "", "family" : "Akaike", "given" : "Toru", "non-dropping-particle" : "", "parse-names" : false, "suffix" : "" }, { "dropping-particle" : "", "family" : "Kuwata", "given" : "Yasuaki", "non-dropping-particle" : "", "parse-names" : false, "suffix" : "" }, { "dropping-particle" : "", "family" : "Yamazaki", "given" : "Katsu", "non-dropping-particle" : "", "parse-names" : false, "suffix" : "" }, { "dropping-particle" : "", "family" : "Sato", "given" : "Takahiro", "non-dropping-particle" : "", "parse-names" : false, "suffix" : "" }, { "dropping-particle" : "", "family" : "Karino", "given" : "Yoshiyasu", "non-dropping-particle" : "", "parse-names" : false, "suffix" : "" }, { "dropping-particle" : "", "family" : "Toyota", "given" : "Jouji", "non-dropping-particle" : "", "parse-names" : false, "suffix" : "" }, { "dropping-particle" : "", "family" : "Suga", "given" : "Toshihiro", "non-dropping-particle" : "", "parse-names" : false, "suffix" : "" }, { "dropping-particle" : "", "family" : "Asaka", "given" : "Masahiro", "non-dropping-particle" : "", "parse-names" : false, "suffix" : "" } ], "container-title" : "Journal of gastroenterology and hepatology", "id" : "ITEM-2", "issue" : "11", "issued" : { "date-parts" : [ [ "2005", "11" ] ] }, "language" : "eng", "page" : "1781-1787", "publisher-place" : "Australia", "title" : "Clinical features of hepatocellular carcinoma with extrahepatic metastases.", "type" : "article-journal", "volume" : "20" }, "uris" : [ "http://www.mendeley.com/documents/?uuid=cfd467b3-7505-4b1a-b5ec-3a31873ff4a7" ] } ], "mendeley" : { "formattedCitation" : "[45,46]", "plainTextFormattedCitation" : "[45,46]", "previouslyFormattedCitation" : "[45,46]" }, "properties" : {  }, "schema" : "https://github.com/citation-style-language/schema/raw/master/csl-citation.json" }</w:instrText>
      </w:r>
      <w:r w:rsidR="005F2BD3">
        <w:rPr>
          <w:sz w:val="24"/>
          <w:szCs w:val="24"/>
          <w:lang w:val="en-US"/>
        </w:rPr>
        <w:fldChar w:fldCharType="separate"/>
      </w:r>
      <w:r w:rsidR="00FC6AC8" w:rsidRPr="00FC6AC8">
        <w:rPr>
          <w:noProof/>
          <w:sz w:val="24"/>
          <w:szCs w:val="24"/>
          <w:lang w:val="en-US"/>
        </w:rPr>
        <w:t>[45,46]</w:t>
      </w:r>
      <w:r w:rsidR="005F2BD3">
        <w:rPr>
          <w:sz w:val="24"/>
          <w:szCs w:val="24"/>
          <w:lang w:val="en-US"/>
        </w:rPr>
        <w:fldChar w:fldCharType="end"/>
      </w:r>
      <w:r w:rsidR="002675C7">
        <w:rPr>
          <w:sz w:val="24"/>
          <w:szCs w:val="24"/>
          <w:lang w:val="en-US"/>
        </w:rPr>
        <w:t xml:space="preserve">. </w:t>
      </w:r>
      <w:r w:rsidR="00AC5830">
        <w:rPr>
          <w:sz w:val="24"/>
          <w:szCs w:val="24"/>
          <w:lang w:val="en-US"/>
        </w:rPr>
        <w:t xml:space="preserve">On the other hand, rare events such as </w:t>
      </w:r>
      <w:r w:rsidR="003278FC">
        <w:rPr>
          <w:sz w:val="24"/>
          <w:szCs w:val="24"/>
          <w:lang w:val="en-US"/>
        </w:rPr>
        <w:t>abscopal effects on metastasis after local tum</w:t>
      </w:r>
      <w:r w:rsidR="004F1CFE">
        <w:rPr>
          <w:sz w:val="24"/>
          <w:szCs w:val="24"/>
          <w:lang w:val="en-US"/>
        </w:rPr>
        <w:t>or therapy have been described</w:t>
      </w:r>
      <w:r w:rsidR="00D13076">
        <w:rPr>
          <w:sz w:val="24"/>
          <w:szCs w:val="24"/>
          <w:lang w:val="en-US"/>
        </w:rPr>
        <w:t xml:space="preserve"> in</w:t>
      </w:r>
      <w:r w:rsidR="00AC5830">
        <w:rPr>
          <w:sz w:val="24"/>
          <w:szCs w:val="24"/>
          <w:lang w:val="en-US"/>
        </w:rPr>
        <w:t xml:space="preserve"> other tumor entities and also in cases of HCC as the SBRT can modulate anti-</w:t>
      </w:r>
      <w:r w:rsidR="00D13076">
        <w:rPr>
          <w:sz w:val="24"/>
          <w:szCs w:val="24"/>
          <w:lang w:val="en-US"/>
        </w:rPr>
        <w:t>tumor</w:t>
      </w:r>
      <w:r w:rsidR="00AC5830">
        <w:rPr>
          <w:sz w:val="24"/>
          <w:szCs w:val="24"/>
          <w:lang w:val="en-US"/>
        </w:rPr>
        <w:t xml:space="preserve"> immune responses </w:t>
      </w:r>
      <w:r w:rsidR="005F2BD3">
        <w:rPr>
          <w:sz w:val="24"/>
          <w:szCs w:val="24"/>
          <w:lang w:val="en-US"/>
        </w:rPr>
        <w:fldChar w:fldCharType="begin" w:fldLock="1"/>
      </w:r>
      <w:r w:rsidR="00FC6AC8">
        <w:rPr>
          <w:sz w:val="24"/>
          <w:szCs w:val="24"/>
          <w:lang w:val="en-US"/>
        </w:rPr>
        <w:instrText>ADDIN CSL_CITATION { "citationItems" : [ { "id" : "ITEM-1", "itemData" : { "DOI" : "10.1080/0284186X.2016.1243805", "ISSN" : "1651-226X (Electronic)", "PMID" : "27820978", "author" : [ { "dropping-particle" : "", "family" : "Desar", "given" : "Ingrid M E", "non-dropping-particle" : "", "parse-names" : false, "suffix" : "" }, { "dropping-particle" : "", "family" : "Braam", "given" : "Petra M", "non-dropping-particle" : "", "parse-names" : false, "suffix" : "" }, { "dropping-particle" : "", "family" : "Kaal", "given" : "Suzanne E J", "non-dropping-particle" : "", "parse-names" : false, "suffix" : "" }, { "dropping-particle" : "", "family" : "Gerritsen", "given" : "Winald R", "non-dropping-particle" : "", "parse-names" : false, "suffix" : "" }, { "dropping-particle" : "", "family" : "Oyen", "given" : "Wim J G", "non-dropping-particle" : "", "parse-names" : false, "suffix" : "" }, { "dropping-particle" : "", "family" : "Graaf", "given" : "Winette T A", "non-dropping-particle" : "van der", "parse-names" : false, "suffix" : "" } ], "container-title" : "Acta oncologica (Stockholm, Sweden)", "id" : "ITEM-1", "issue" : "12", "issued" : { "date-parts" : [ [ "2016", "12" ] ] }, "language" : "eng", "page" : "1510-1512", "publisher-place" : "England", "title" : "Abscopal effect of radiotherapy in a patient with metastatic diffuse-type giant cell tumor.", "type" : "article-journal", "volume" : "55" }, "uris" : [ "http://www.mendeley.com/documents/?uuid=00912805-030e-489d-abf1-b4ec97c12b65" ] }, { "id" : "ITEM-2", "itemData" : { "DOI" : "10.1111/imr.12573", "ISSN" : "1600-065X (Electronic)", "PMID" : "29027221", "abstract" : "Radiotherapy-despite being a local therapy that meanwhile is characterized by an  impressively high degree of spatial accuracy-can stimulate systemic phenomena which occasionally lead to regression and rejection of non-irradiated, distant tumor lesions. These abscopal effects of local irradiation have been observed in sporadic clinical case reports since the beginning of the 20th century, and extensive preclinical work has contributed to identify systemic anti-tumor immune responses as the underlying driving forces. Although abscopal tumor regression still remains a rare event in the radiotherapeutic routine, increasing numbers of cases are being reported, particularly since the clinical implementation of immune checkpoint inhibiting agents. Accordingly, interests to systematically exploit the therapeutic potential of radiotherapy-stimulated systemic responses are constantly growing. The present review briefly delineates the history of radiotherapy-induced abscopal effects and the activation of systemic anti-tumor immune responses by local irradiation. We discuss preclinical and clinical reports with specific focus on the corresponding controversies, and we propose issues that should be addressed in the future in order to narrow the gap between preclinical knowledge and clinical experiences.", "author" : [ { "dropping-particle" : "", "family" : "Brix", "given" : "Nikko", "non-dropping-particle" : "", "parse-names" : false, "suffix" : "" }, { "dropping-particle" : "", "family" : "Tiefenthaller", "given" : "Anna", "non-dropping-particle" : "", "parse-names" : false, "suffix" : "" }, { "dropping-particle" : "", "family" : "Anders", "given" : "Heike", "non-dropping-particle" : "", "parse-names" : false, "suffix" : "" }, { "dropping-particle" : "", "family" : "Belka", "given" : "Claus", "non-dropping-particle" : "", "parse-names" : false, "suffix" : "" }, { "dropping-particle" : "", "family" : "Lauber", "given" : "Kirsten", "non-dropping-particle" : "", "parse-names" : false, "suffix" : "" } ], "container-title" : "Immunological reviews", "id" : "ITEM-2", "issue" : "1", "issued" : { "date-parts" : [ [ "2017", "11" ] ] }, "language" : "eng", "page" : "249-279", "publisher-place" : "England", "title" : "Abscopal, immunological effects of radiotherapy: Narrowing the gap between clinical and preclinical experiences.", "type" : "article-journal", "volume" : "280" }, "uris" : [ "http://www.mendeley.com/documents/?uuid=8e8835e1-33e8-4d94-ac65-a4e4870f6cec" ] }, { "id" : "ITEM-3", "itemData" : { "DOI" : "10.1007/s12609-017-0234-y", "ISSN" : "1943-4588 (Print)", "PMID" : "28344743", "abstract" : "The abscopal effect refers to the ability of localized radiation to trigger systemic antitumor effects. Over the past 50 years, reports on the abscopal effect arising from conventional radiation have been relatively rare. However, with the continued development and use of immunotherapy strategies incorporating radiotherapy with targeted immunomodulators and immune checkpoint blockade, the abscopal effect is becoming increasingly relevant in less immunogenic tumors such as breast cancer. Here, we review the mechanism of the abscopal effect, the current preclinical and clinical data, and the application of the abscopal effect in designing clinical trials of immunotherapy combined with radiotherapy in breast cancer.", "author" : [ { "dropping-particle" : "", "family" : "Hu", "given" : "Zishuo I", "non-dropping-particle" : "", "parse-names" : false, "suffix" : "" }, { "dropping-particle" : "", "family" : "McArthur", "given" : "Heather L", "non-dropping-particle" : "", "parse-names" : false, "suffix" : "" }, { "dropping-particle" : "", "family" : "Ho", "given" : "Alice Y", "non-dropping-particle" : "", "parse-names" : false, "suffix" : "" } ], "container-title" : "Current breast cancer reports", "id" : "ITEM-3", "issue" : "1", "issued" : { "date-parts" : [ [ "2017" ] ] }, "language" : "eng", "page" : "45-51", "publisher-place" : "United States", "title" : "The Abscopal Effect of Radiation Therapy: What Is It and How Can We Use It in Breast Cancer?", "type" : "article-journal", "volume" : "9" }, "uris" : [ "http://www.mendeley.com/documents/?uuid=a397e2cb-253e-4653-a6c6-7be8f0101aeb" ] }, { "id" : "ITEM-4", "itemData" : { "DOI" : "10.1016/j.canlet.2013.09.018", "ISBN" : "1872-7980 (Electronic)\\r0304-3835 (Linking)", "ISSN" : "18727980", "PMID" : "24125863", "abstract" : "An \"abscopal\" effect occurs when localized irradiation perturbs the organism as a whole, with consequences that can be either beneficial or detrimental. Mechanistic explanations of this effect are challenging. From the oncologist's perspective, the term refers to distant tumor regression after localized irradiation. On the other hand, from a biologist's point of view, abscopal effects include induction of genomic instability, cell death, and oncogenic transformation in normal tissues. This conceptual dichotomy is explored in this review, with a focus on clinically documented cases of anti-tumor abscopal effects and abscopal effects in normal tissues. This review also outlines several suggested mechanisms for abscopal effects.", "author" : [ { "dropping-particle" : "", "family" : "Siva", "given" : "Shankar", "non-dropping-particle" : "", "parse-names" : false, "suffix" : "" }, { "dropping-particle" : "", "family" : "MacManus", "given" : "Michael P.", "non-dropping-particle" : "", "parse-names" : false, "suffix" : "" }, { "dropping-particle" : "", "family" : "Martin", "given" : "Roger F.", "non-dropping-particle" : "", "parse-names" : false, "suffix" : "" }, { "dropping-particle" : "", "family" : "Martin", "given" : "Olga A.", "non-dropping-particle" : "", "parse-names" : false, "suffix" : "" } ], "container-title" : "Cancer Letters", "id" : "ITEM-4", "issue" : "1", "issued" : { "date-parts" : [ [ "2015" ] ] }, "page" : "82-90", "publisher" : "Elsevier Ireland Ltd", "title" : "Abscopal effects of radiation therapy: A clinical review for the radiobiologist", "type" : "article-journal", "volume" : "356" }, "uris" : [ "http://www.mendeley.com/documents/?uuid=8042ca78-2260-4b0e-b596-a58cce485a6c" ] }, { "id" : "ITEM-5", "itemData" : { "ISSN" : "0017-5749 (Print)", "PMID" : "9824589", "abstract" : "Spontaneous regression of hepatocellular carcinoma is a rare phenomenon. Abscopal regression of tumours resulting from the effect of irradiation of a tissue on a remote non-irradiated tissue is also rare. The case of a 76 year old Japanese man with hepatocellular carcinoma that regressed after radiotherapy for thoracic vertebral bone metastasis is described. Serum levels of tumour necrosis factor-alpha increased after radiotherapy. The findings suggests that such abscopal related regression may be associated with host immune response, involving cytokines such as tumour necrosis factor-alpha.", "author" : [ { "dropping-particle" : "", "family" : "Ohba", "given" : "K", "non-dropping-particle" : "", "parse-names" : false, "suffix" : "" }, { "dropping-particle" : "", "family" : "Omagari", "given" : "K", "non-dropping-particle" : "", "parse-names" : false, "suffix" : "" }, { "dropping-particle" : "", "family" : "Nakamura", "given" : "T", "non-dropping-particle" : "", "parse-names" : false, "suffix" : "" }, { "dropping-particle" : "", "family" : "Ikuno", "given" : "N", "non-dropping-particle" : "", "parse-names" : false, "suffix" : "" }, { "dropping-particle" : "", "family" : "Saeki", "given" : "S", "non-dropping-particle" : "", "parse-names" : false, "suffix" : "" }, { "dropping-particle" : "", "family" : "Matsuo", "given" : "I", "non-dropping-particle" : "", "parse-names" : false, "suffix" : "" }, { "dropping-particle" : "", "family" : "Kinoshita", "given" : "H", "non-dropping-particle" : "", "parse-names" : false, "suffix" : "" }, { "dropping-particle" : "", "family" : "Masuda", "given" : "J", "non-dropping-particle" : "", "parse-names" : false, "suffix" : "" }, { "dropping-particle" : "", "family" : "Hazama", "given" : "H", "non-dropping-particle" : "", "parse-names" : false, "suffix" : "" }, { "dropping-particle" : "", "family" : "Sakamoto", "given" : "I", "non-dropping-particle" : "", "parse-names" : false, "suffix" : "" }, { "dropping-particle" : "", "family" : "Kohno", "given" : "S", "non-dropping-particle" : "", "parse-names" : false, "suffix" : "" } ], "container-title" : "Gut", "id" : "ITEM-5", "issue" : "4", "issued" : { "date-parts" : [ [ "1998", "10" ] ] }, "language" : "eng", "page" : "575-577", "publisher-place" : "England", "title" : "Abscopal regression of hepatocellular carcinoma after radiotherapy for bone metastasis.", "type" : "article-journal", "volume" : "43" }, "uris" : [ "http://www.mendeley.com/documents/?uuid=fad82f45-976a-4b8e-9ca1-a8e4b6a6611c", "http://www.mendeley.com/documents/?uuid=a6d8eeee-75c5-40e7-a1ee-d1dc86407693" ] }, { "id" : "ITEM-6", "itemData" : { "ISSN" : "0021-4949 (Print)", "PMID" : "1690825", "abstract" : "Discussed is the case of a 71-year-old man with multiple large hepatocellular carcinomas. His serum AFP level had markedly increased to 115 X 10(4) ng/ml. His AFP level also elevated and multiple lung metastatic tumors appeared after the second TAE therapy of 30 mg ADM, 10 mg MMC. To arrest these rises 100 mg of CDDP was given intravenously, followed by 3.0 g/day of PSK given orally. Five months later, shadows of the metastatic tumor disappeared and AFP to 540 ng/dl. As the mechanism responsible this improvement, it is felt that the CDDP attacked the metastatic tumors directly, and that this was aided by the follow-up immunotherapy with PSK. The abscopal effect of TAE also may have played a role.", "author" : [ { "dropping-particle" : "", "family" : "Miyanaga", "given" : "O", "non-dropping-particle" : "", "parse-names" : false, "suffix" : "" }, { "dropping-particle" : "", "family" : "Shirahama", "given" : "M", "non-dropping-particle" : "", "parse-names" : false, "suffix" : "" }, { "dropping-particle" : "", "family" : "Ishibashi", "given" : "H", "non-dropping-particle" : "", "parse-names" : false, "suffix" : "" } ], "container-title" : "Gan no rinsho. Japan journal of cancer clinics", "id" : "ITEM-6", "issue" : "4", "issued" : { "date-parts" : [ [ "1990", "3" ] ] }, "language" : "jpn", "page" : "527-531", "publisher-place" : "Japan", "title" : "[A case of remission in metastatic lung tumor from hepatocellular carcinoma after combined CDDP and PSK therapy].", "type" : "article-journal", "volume" : "36" }, "uris" : [ "http://www.mendeley.com/documents/?uuid=34a7a71f-4992-4c8b-be96-465fead05dbc", "http://www.mendeley.com/documents/?uuid=f4012cb2-6adc-4858-9750-5c3f8b723cd1" ] }, { "id" : "ITEM-7", "itemData" : { "DOI" : "10.1111/j.1572-0241.2007.01782_13.x", "ISSN" : "1572-0241 (Electronic)", "PMID" : "18477367", "author" : [ { "dropping-particle" : "", "family" : "Nakanishi", "given" : "Mitsuru", "non-dropping-particle" : "", "parse-names" : false, "suffix" : "" }, { "dropping-particle" : "", "family" : "Chuma", "given" : "Makoto", "non-dropping-particle" : "", "parse-names" : false, "suffix" : "" }, { "dropping-particle" : "", "family" : "Hige", "given" : "Shuhei", "non-dropping-particle" : "", "parse-names" : false, "suffix" : "" }, { "dropping-particle" : "", "family" : "Asaka", "given" : "Masahiro", "non-dropping-particle" : "", "parse-names" : false, "suffix" : "" } ], "container-title" : "The American journal of gastroenterology", "id" : "ITEM-7", "issue" : "5", "issued" : { "date-parts" : [ [ "2008", "5" ] ] }, "language" : "eng", "page" : "1320-1321", "publisher-place" : "United States", "title" : "Abscopal effect on hepatocellular carcinoma.", "type" : "article", "volume" : "103" }, "uris" : [ "http://www.mendeley.com/documents/?uuid=0eb99f7e-40f6-4e0a-aeb4-c915db4da157", "http://www.mendeley.com/documents/?uuid=a89bc17a-31c1-4139-a285-b1716ddde235" ] }, { "id" : "ITEM-8", "itemData" : { "DOI" : "10.1186/1752-1947-5-111", "ISSN" : "1752-1947 (Electronic)", "PMID" : "21418591", "abstract" : "INTRODUCTION: The abscopal effect is the effect of radiation therapy at a site distant to the area of irradiation. This is not a common event and has not been clearly defined, resulting in few reported cases in the literature. We discuss this phenomenon in a patient with hepatocellular carcinoma. CASE PRESENTATION: A 63-year-old Japanese man underwent extended right hepatic lobectomy for hepatocellular carcinoma. During his follow-up examination, a single lung metastasis and a single mediastinal lymph node metastasis were found. Trans-catheter arterial embolization was initially attempted to treat the mediastinal tumor, however this approach failed to take effect and carried risks of spinal artery embolism. External-beam irradiation, with a dose of 2.25 Gy per fraction, was performed using an antero-posterior parallel-opposed technique (total dose, 60.75 Gy). A computed tomography scan performed one month after starting radiotherapy showed a remarkable reduction of the mediastinal lymph node metastasis. In addition to this, we observed spontaneous shrinking of the lung metastasis, which was located in the right lower lobe and out of the radiation field. No chemotherapy was given during the period. There has been no recurrence of either the lung metastasis or the mediastinal lymph node metastasis during a follow-up 10 years after the radiotherapy. CONCLUSION: We observed a rare abscopal effect in a site distant from the area of irradiation. Irradiation of the mediastinum resulted in tumor mass regression in the untreated lung tumor.", "author" : [ { "dropping-particle" : "", "family" : "Okuma", "given" : "Kae", "non-dropping-particle" : "", "parse-names" : false, "suffix" : "" }, { "dropping-particle" : "", "family" : "Yamashita", "given" : "Hideomi", "non-dropping-particle" : "", "parse-names" : false, "suffix" : "" }, { "dropping-particle" : "", "family" : "Niibe", "given" : "Yuzuru", "non-dropping-particle" : "", "parse-names" : false, "suffix" : "" }, { "dropping-particle" : "", "family" : "Hayakawa", "given" : "Kazushige", "non-dropping-particle" : "", "parse-names" : false, "suffix" : "" }, { "dropping-particle" : "", "family" : "Nakagawa", "given" : "Keiichi", "non-dropping-particle" : "", "parse-names" : false, "suffix" : "" } ], "container-title" : "Journal of medical case reports", "id" : "ITEM-8", "issued" : { "date-parts" : [ [ "2011", "3" ] ] }, "language" : "eng", "page" : "111", "publisher-place" : "England", "title" : "Abscopal effect of radiation on lung metastases of hepatocellular carcinoma: a case report.", "type" : "article-journal", "volume" : "5" }, "uris" : [ "http://www.mendeley.com/documents/?uuid=d953f0b3-af98-44d3-8a69-a3081ecd4da5", "http://www.mendeley.com/documents/?uuid=f0fe9efa-c749-4aef-8c51-8f026d4b4165" ] }, { "id" : "ITEM-9", "itemData" : { "DOI" : "10.1016/j.radonc.2016.07.013", "ISSN" : "1879-0887 (Electronic)", "PMID" : "27495145", "abstract" : "Stereotactic body radiation therapy (SBRT) has become an attractive treatment modality and a safe, non-invasive alternative to surgery to control primary or secondary malignant tumors. While emphasis has been on the local tumor control as a treatment objective for SBRT, the rare but intriguing observations of abscopal (or out-of-field) effects have pointed to the exciting possibility of activating anti-tumor immunity by using high-dose radiation. This review summarizes the available evidence supporting immune modulation by SBRT alone, as well as its potential combination with immunotherapy. Promising preclinical research has revealed an array of immune changes following SBRT, which could affect the balance between anti-tumor immunity and tumor-promoting immunosuppression. However, shifting this balance in the clinical setting to obtain survival benefits has rarely been achieved so far, emphasizing the need for a better understanding of the interactions between high-dose radiotherapy and immunity or immunotherapy. Nevertheless, the combination of SBRT with immunotherapy, particularly with immune checkpoint blockers, has the clear potential to substantially increase the rate of abscopal effects. This warrants further research in this area, both in mechanistic preclinical studies and in clinical trials incorporating correlative studies.", "author" : [ { "dropping-particle" : "", "family" : "Popp", "given" : "Ilinca", "non-dropping-particle" : "", "parse-names" : false, "suffix" : "" }, { "dropping-particle" : "", "family" : "Grosu", "given" : "Anca Ligia", "non-dropping-particle" : "", "parse-names" : false, "suffix" : "" }, { "dropping-particle" : "", "family" : "Niedermann", "given" : "Gabriele", "non-dropping-particle" : "", "parse-names" : false, "suffix" : "" }, { "dropping-particle" : "", "family" : "Duda", "given" : "Dan G", "non-dropping-particle" : "", "parse-names" : false, "suffix" : "" } ], "container-title" : "Radiotherapy and oncology : journal of the European Society for Therapeutic Radiology and Oncology", "id" : "ITEM-9", "issue" : "2", "issued" : { "date-parts" : [ [ "2016", "8" ] ] }, "language" : "eng", "page" : "185-194", "publisher-place" : "Ireland", "title" : "Immune modulation by hypofractionated stereotactic radiation therapy: Therapeutic implications.", "type" : "article-journal", "volume" : "120" }, "uris" : [ "http://www.mendeley.com/documents/?uuid=13f28cc1-b74b-4367-8c4b-d57ab05bcacd", "http://www.mendeley.com/documents/?uuid=d3d26fa1-3f8a-4e0f-bea5-48c7354ee49a" ] } ], "mendeley" : { "formattedCitation" : "[47\u201355]", "plainTextFormattedCitation" : "[47\u201355]", "previouslyFormattedCitation" : "[47\u201355]" }, "properties" : {  }, "schema" : "https://github.com/citation-style-language/schema/raw/master/csl-citation.json" }</w:instrText>
      </w:r>
      <w:r w:rsidR="005F2BD3">
        <w:rPr>
          <w:sz w:val="24"/>
          <w:szCs w:val="24"/>
          <w:lang w:val="en-US"/>
        </w:rPr>
        <w:fldChar w:fldCharType="separate"/>
      </w:r>
      <w:r w:rsidR="00FC6AC8" w:rsidRPr="00FC6AC8">
        <w:rPr>
          <w:noProof/>
          <w:sz w:val="24"/>
          <w:szCs w:val="24"/>
          <w:lang w:val="en-US"/>
        </w:rPr>
        <w:t>[47–55]</w:t>
      </w:r>
      <w:r w:rsidR="005F2BD3">
        <w:rPr>
          <w:sz w:val="24"/>
          <w:szCs w:val="24"/>
          <w:lang w:val="en-US"/>
        </w:rPr>
        <w:fldChar w:fldCharType="end"/>
      </w:r>
      <w:r w:rsidR="004F1CFE">
        <w:rPr>
          <w:sz w:val="24"/>
          <w:szCs w:val="24"/>
          <w:lang w:val="en-US"/>
        </w:rPr>
        <w:t>. As we did not focus on the changes of extrahepatic metastases in our study, we cannot answer this question. However, i</w:t>
      </w:r>
      <w:r w:rsidR="00F3232F">
        <w:rPr>
          <w:sz w:val="24"/>
          <w:szCs w:val="24"/>
          <w:lang w:val="en-US"/>
        </w:rPr>
        <w:t>n summary</w:t>
      </w:r>
      <w:r w:rsidR="002675C7">
        <w:rPr>
          <w:sz w:val="24"/>
          <w:szCs w:val="24"/>
          <w:lang w:val="en-US"/>
        </w:rPr>
        <w:t xml:space="preserve">, our results may </w:t>
      </w:r>
      <w:r w:rsidR="00D13076">
        <w:rPr>
          <w:sz w:val="24"/>
          <w:szCs w:val="24"/>
          <w:lang w:val="en-US"/>
        </w:rPr>
        <w:t>provide</w:t>
      </w:r>
      <w:r w:rsidR="002675C7">
        <w:rPr>
          <w:sz w:val="24"/>
          <w:szCs w:val="24"/>
          <w:lang w:val="en-US"/>
        </w:rPr>
        <w:t xml:space="preserve"> the rationale for </w:t>
      </w:r>
      <w:r w:rsidR="002A2EBF">
        <w:rPr>
          <w:sz w:val="24"/>
          <w:szCs w:val="24"/>
          <w:lang w:val="en-US"/>
        </w:rPr>
        <w:t>treating</w:t>
      </w:r>
      <w:r w:rsidR="002675C7">
        <w:rPr>
          <w:sz w:val="24"/>
          <w:szCs w:val="24"/>
          <w:lang w:val="en-US"/>
        </w:rPr>
        <w:t xml:space="preserve"> intrahepatic HCC with SBRT also in patients with extrahepatic metastases.  </w:t>
      </w:r>
    </w:p>
    <w:p w14:paraId="419AEAA4" w14:textId="77777777" w:rsidR="003640D4" w:rsidRDefault="002F1869" w:rsidP="00E05243">
      <w:pPr>
        <w:spacing w:line="480" w:lineRule="auto"/>
        <w:jc w:val="both"/>
        <w:rPr>
          <w:sz w:val="24"/>
          <w:szCs w:val="24"/>
          <w:lang w:val="en-US"/>
        </w:rPr>
      </w:pPr>
      <w:r>
        <w:rPr>
          <w:sz w:val="24"/>
          <w:szCs w:val="24"/>
          <w:lang w:val="en-US"/>
        </w:rPr>
        <w:t xml:space="preserve">In comparison to patients with extrahepatic metastases, we were not able to confirm a survival benefit in patients with portal vein thrombosis treated with SBRT compared to sorafenib treatment. </w:t>
      </w:r>
      <w:r w:rsidR="000C0D67">
        <w:rPr>
          <w:sz w:val="24"/>
          <w:szCs w:val="24"/>
          <w:lang w:val="en-US"/>
        </w:rPr>
        <w:t xml:space="preserve">We only observed a trend to a better OS which may be due to the reduced sample size after propensity score matching. </w:t>
      </w:r>
      <w:r w:rsidR="00367CCE">
        <w:rPr>
          <w:sz w:val="24"/>
          <w:szCs w:val="24"/>
          <w:lang w:val="en-US"/>
        </w:rPr>
        <w:t>In this setting selective internal radiation therapy (SIRT) has shown good efficacy in several studies</w:t>
      </w:r>
      <w:r w:rsidR="00FC6AC8">
        <w:rPr>
          <w:sz w:val="24"/>
          <w:szCs w:val="24"/>
          <w:lang w:val="en-US"/>
        </w:rPr>
        <w:t xml:space="preserve"> </w:t>
      </w:r>
      <w:r w:rsidR="00D31259">
        <w:rPr>
          <w:sz w:val="24"/>
          <w:szCs w:val="24"/>
          <w:lang w:val="en-US"/>
        </w:rPr>
        <w:fldChar w:fldCharType="begin" w:fldLock="1"/>
      </w:r>
      <w:r w:rsidR="00FC6AC8">
        <w:rPr>
          <w:sz w:val="24"/>
          <w:szCs w:val="24"/>
          <w:lang w:val="en-US"/>
        </w:rPr>
        <w:instrText>ADDIN CSL_CITATION { "citationItems" : [ { "id" : "ITEM-1", "itemData" : { "DOI" : "10.1016/j.radonc.2017.11.013", "abstract" : "a b s t r a c t Purpose: We performed a meta-analysis and systematic review to compare the radiotherapy (RT) modal-ities for hepatocellular carcinoma (HCC) with portal vein thrombosis (PVT). Materials and methods: We searched the PubMed, EMBASE, Medline, and Cochrane library databases. The primary endpoint was the 1-year overall survival (OS), and response rate (RR), local control (LC), 2-year OS, and grade 3 toxicity incidence were evaluated as secondary endpoints. Results: Thirty-seven studies comprising 2513 patients were included. The pooled 1-year OS rates for the 3-dimensional conformal RT (3DCRT), selective internal RT (SIRT), and stereotactic body RT (SBRT) groups were 43.8% [95% confidence interval (CI): 37.6\u201350.2], 46.5% (95% CI: 37.7\u201355.6), and 48.5% (95% CI: 39.4\u2013 57.8). These inter-group differences were not statistically significant (p = 0.635). The pooled response rates were 51.3% (95% CI: 45.7\u201357.0), 33.3% (95% CI: 18.0\u201353.2), and 70.7 (95% CI: 63.7\u201376.8) for 3DCRT, SIRT, and SBRT groups, respectively; p = 0.001 and 0.031 for 3DCRT vs. SBRT and SIRT, respec-tively. The most common grade 3 complications were lymphocytopenia and bilirubin abnormalities in the 3DCRT and SIRT groups, respectively. Grade 3 complication was rare in SBRT group. Conclusions: OS did not differ among the modalities, although the response rates vary among modalities.", "author" : [ { "dropping-particle" : "", "family" : "Hong Rim", "given" : "Chai", "non-dropping-particle" : "", "parse-names" : false, "suffix" : "" }, { "dropping-particle" : "", "family" : "Yong Kim", "given" : "Chul", "non-dropping-particle" : "", "parse-names" : false, "suffix" : "" }, { "dropping-particle" : "", "family" : "Sik Yang", "given" : "Dae", "non-dropping-particle" : "", "parse-names" : false, "suffix" : "" }, { "dropping-particle" : "", "family" : "Sup Yoon", "given" : "Won", "non-dropping-particle" : "", "parse-names" : false, "suffix" : "" } ], "id" : "ITEM-1", "issued" : { "date-parts" : [ [ "2017" ] ] }, "title" : "Comparison of radiation therapy modalities for hepatocellular carcinoma with portal vein thrombosis: A meta-analysis and systematic review", "type" : "article-journal" }, "uris" : [ "http://www.mendeley.com/documents/?uuid=94864f31-e35b-32b9-90e7-c3e952d43696" ] }, { "id" : "ITEM-2", "itemData" : { "DOI" : "10.1002/hep.21980", "ISBN" : "1527-3350 (Electronic)\\r0270-9139 (Linking)", "ISSN" : "02709139", "PMID" : "18027884", "abstract" : "This study was undertaken to present data from a phase 2 study in which patients with unresectable hepatocellular carcinoma (HCC) with and without portal vein thrombosis underwent radioembolization with Yttrium ((90)Y) microspheres. Patients treated were stratified by Okuda, Child-Pugh, baseline bilirubin, tumor burden, Eastern Cooperative Oncology Group (ECOG), presence of cirrhosis and portal vein thrombosis (PVT) (none, branch, and main). Clinical and biochemical data were obtained at baseline and at 4-week intervals following treatment for up to 6 months. Tumor response was obtained using computed tomography (CT). Patients were followed for survival. One hundred eight patients were treated during the study period. Thirty-seven (34%) patients had PVT, 12 (32%) of which involved the main PV. The cumulative dose for those with and without PVT was 139.7 Gy and 131.9 Gy, respectively. The partial response rate using world Health Organization (WHO) criteria was 42.2%. Using European Association for the Study of the Liver (EASL), the response rate was 70%. Kaplan-Meier survival varied depending on location of PVT and presence of cirrhosis. The adverse event (AE) rates were highest in patients with main PVT and cirrhosis. There were no cases of radiation pneumonitis. Conclusion: The use of minimally embolic (90)Y glass microspheres to treat patients with HCC complicated by branch/lobar PVT may be clinically indicated and appears to have a favorable toxicity profile. Further investigation is warranted in patients with main PVT.", "author" : [ { "dropping-particle" : "", "family" : "Kulik", "given" : "Laura M.", "non-dropping-particle" : "", "parse-names" : false, "suffix" : "" }, { "dropping-particle" : "", "family" : "Carr", "given" : "Brian I.", "non-dropping-particle" : "", "parse-names" : false, "suffix" : "" }, { "dropping-particle" : "", "family" : "Mulcahy", "given" : "Mary F.", "non-dropping-particle" : "", "parse-names" : false, "suffix" : "" }, { "dropping-particle" : "", "family" : "Lewandowski", "given" : "Robert J.", "non-dropping-particle" : "", "parse-names" : false, "suffix" : "" }, { "dropping-particle" : "", "family" : "Atassi", "given" : "Bassel", "non-dropping-particle" : "", "parse-names" : false, "suffix" : "" }, { "dropping-particle" : "", "family" : "Ryu", "given" : "Robert K.", "non-dropping-particle" : "", "parse-names" : false, "suffix" : "" }, { "dropping-particle" : "", "family" : "Sato", "given" : "Kent T.", "non-dropping-particle" : "", "parse-names" : false, "suffix" : "" }, { "dropping-particle" : "", "family" : "Benson", "given" : "Al", "non-dropping-particle" : "", "parse-names" : false, "suffix" : "" }, { "dropping-particle" : "", "family" : "Nemcek", "given" : "Albert A.", "non-dropping-particle" : "", "parse-names" : false, "suffix" : "" }, { "dropping-particle" : "", "family" : "Gates", "given" : "Vanessa L.", "non-dropping-particle" : "", "parse-names" : false, "suffix" : "" }, { "dropping-particle" : "", "family" : "Abecassis", "given" : "Michael", "non-dropping-particle" : "", "parse-names" : false, "suffix" : "" }, { "dropping-particle" : "", "family" : "Omary", "given" : "Reed A.", "non-dropping-particle" : "", "parse-names" : false, "suffix" : "" }, { "dropping-particle" : "", "family" : "Salem", "given" : "Riad", "non-dropping-particle" : "", "parse-names" : false, "suffix" : "" } ], "container-title" : "Hepatology", "id" : "ITEM-2", "issued" : { "date-parts" : [ [ "2008" ] ] }, "title" : "Safety and efficacy of 90Y radiotherapy for hepatocellular carcinoma with and without portal vein thrombosis", "type" : "article-journal" }, "uris" : [ "http://www.mendeley.com/documents/?uuid=86d69aac-67b9-3581-a94c-995bb6b416ad" ] } ], "mendeley" : { "formattedCitation" : "[56,57]", "plainTextFormattedCitation" : "[56,57]", "previouslyFormattedCitation" : "[56,57]" }, "properties" : {  }, "schema" : "https://github.com/citation-style-language/schema/raw/master/csl-citation.json" }</w:instrText>
      </w:r>
      <w:r w:rsidR="00D31259">
        <w:rPr>
          <w:sz w:val="24"/>
          <w:szCs w:val="24"/>
          <w:lang w:val="en-US"/>
        </w:rPr>
        <w:fldChar w:fldCharType="separate"/>
      </w:r>
      <w:r w:rsidR="00FC6AC8" w:rsidRPr="00FC6AC8">
        <w:rPr>
          <w:noProof/>
          <w:sz w:val="24"/>
          <w:szCs w:val="24"/>
          <w:lang w:val="en-US"/>
        </w:rPr>
        <w:t>[56,57]</w:t>
      </w:r>
      <w:r w:rsidR="00D31259">
        <w:rPr>
          <w:sz w:val="24"/>
          <w:szCs w:val="24"/>
          <w:lang w:val="en-US"/>
        </w:rPr>
        <w:fldChar w:fldCharType="end"/>
      </w:r>
      <w:r w:rsidR="00367CCE">
        <w:rPr>
          <w:sz w:val="24"/>
          <w:szCs w:val="24"/>
          <w:lang w:val="en-US"/>
        </w:rPr>
        <w:t>. However, in the recently published SARAH trial sorafenib tended to be superior to SIRT in patients with portal vein thrombosis</w:t>
      </w:r>
      <w:r w:rsidR="00FC6AC8">
        <w:rPr>
          <w:sz w:val="24"/>
          <w:szCs w:val="24"/>
          <w:lang w:val="en-US"/>
        </w:rPr>
        <w:t>. However, considering all patients SIRT was not able to show superior OS compared to sorafenib</w:t>
      </w:r>
      <w:r w:rsidR="00602AB2">
        <w:rPr>
          <w:sz w:val="24"/>
          <w:szCs w:val="24"/>
          <w:lang w:val="en-US"/>
        </w:rPr>
        <w:t xml:space="preserve"> </w:t>
      </w:r>
      <w:r w:rsidR="00602AB2">
        <w:rPr>
          <w:sz w:val="24"/>
          <w:szCs w:val="24"/>
          <w:lang w:val="en-US"/>
        </w:rPr>
        <w:fldChar w:fldCharType="begin" w:fldLock="1"/>
      </w:r>
      <w:r w:rsidR="00FC6AC8">
        <w:rPr>
          <w:sz w:val="24"/>
          <w:szCs w:val="24"/>
          <w:lang w:val="en-US"/>
        </w:rPr>
        <w:instrText>ADDIN CSL_CITATION { "citationItems" : [ { "id" : "ITEM-1", "itemData" : { "DOI" : "10.1016/S1470-2045(17)30683-6", "ISSN" : "14745488", "PMID" : "29107679", "abstract" : "Background Sorafenib is the recommended treatment for patients with advanced hepatocellular carcinoma. We aimed to compare the efficacy and safety of sorafenib to that of selective internal radiotherapy (SIRT) with yttrium-90 (90Y) resin microspheres in patients with hepatocellular carcinoma. Methods SARAH was a multicentre, open-label, randomised, controlled, investigator-initiated, phase 3 trial done at 25 centres specialising in liver diseases in France. Patients were eligible if they were aged at least 18 years with a life expectancy greater than 3 months, had an Eastern Cooperative Oncology Group (ECOG) performance status of 0 or 1, Child-Pugh liver function class A or B score of 7 or lower, and locally advanced hepatocellular carcinoma (Barcelona Clinic Liver Cancer [BCLC] stage C), or new hepatocellular carcinoma not eligible for surgical resection, liver transplantation, or thermal ablation after a previously cured hepatocellular carcinoma (cured by surgery or thermoablative therapy), or hepatocellular carcinoma with two unsuccessful rounds of transarterial chemoembolisation. Patients were randomly assigned (1:1) by a permutated block method with block sizes two and four to receive continuous oral sorafenib (400 mg twice daily) or SIRT with90Y-loaded resin microspheres 2\u20135 weeks after randomisation. Patients were stratified according to randomising centre, ECOG performance status, previous transarterial chemoembolisation, and presence of macroscopic vascular invasion. The primary endpoint was overall survival. Analyses were done on the intention-to-treat population; safety was assessed in all patients who received at least one dose of sorafenib or underwent at least one of the SIRT work-up exams. This study has been completed and the final results are reported here. The trial is registered with ClinicalTrials.gov, number NCT01482442. Findings Between Dec 5, 2011, and March 12, 2015, 467 patients were randomly assigned; after eight patients withdrew consent, 237 were assigned to SIRT and 222 to sorafenib. In the SIRT group, 53 (22%) of 237 patients did not receive SIRT; 26 (49%) of these 53 patients were treated with sorafenib. Median follow-up was 27\u00b79 months (IQR 21\u00b79\u201333\u00b76) in the SIRT group and 28\u00b71 months (20\u00b70\u201335\u00b73) in the sorafenib group. Median overall survival was 8\u00b70 months (95% CI 6\u00b77\u20139\u00b79) in the SIRT group versus 9\u00b79 months (8\u00b77\u201311\u00b74) in the sorafenib group (hazard ratio 1\u00b715 [95% CI 0\u00b794\u20131\u00b741] for SIRT vs sorafenib; p=0\u00b718). In the sa\u2026", "author" : [ { "dropping-particle" : "", "family" : "Vilgrain", "given" : "Val\u00e9rie", "non-dropping-particle" : "", "parse-names" : false, "suffix" : "" }, { "dropping-particle" : "", "family" : "Pereira", "given" : "Helena", "non-dropping-particle" : "", "parse-names" : false, "suffix" : "" }, { "dropping-particle" : "", "family" : "Assenat", "given" : "Eric", "non-dropping-particle" : "", "parse-names" : false, "suffix" : "" }, { "dropping-particle" : "", "family" : "Guiu", "given" : "Boris", "non-dropping-particle" : "", "parse-names" : false, "suffix" : "" }, { "dropping-particle" : "", "family" : "Ilonca", "given" : "Alina Diana", "non-dropping-particle" : "", "parse-names" : false, "suffix" : "" }, { "dropping-particle" : "", "family" : "Pageaux", "given" : "Georges Philippe", "non-dropping-particle" : "", "parse-names" : false, "suffix" : "" }, { "dropping-particle" : "", "family" : "Sibert", "given" : "Annie", "non-dropping-particle" : "", "parse-names" : false, "suffix" : "" }, { "dropping-particle" : "", "family" : "Bouattour", "given" : "Mohamed", "non-dropping-particle" : "", "parse-names" : false, "suffix" : "" }, { "dropping-particle" : "", "family" : "Lebtahi", "given" : "Rachida", "non-dropping-particle" : "", "parse-names" : false, "suffix" : "" }, { "dropping-particle" : "", "family" : "Allaham", "given" : "Wassim", "non-dropping-particle" : "", "parse-names" : false, "suffix" : "" }, { "dropping-particle" : "", "family" : "Barraud", "given" : "H\u00e9l\u00e8ne", "non-dropping-particle" : "", "parse-names" : false, "suffix" : "" }, { "dropping-particle" : "", "family" : "Laurent", "given" : "Val\u00e9rie", "non-dropping-particle" : "", "parse-names" : false, "suffix" : "" }, { "dropping-particle" : "", "family" : "Mathias", "given" : "Elodie", "non-dropping-particle" : "", "parse-names" : false, "suffix" : "" }, { "dropping-particle" : "", "family" : "Bronowicki", "given" : "Jean Pierre", "non-dropping-particle" : "", "parse-names" : false, "suffix" : "" }, { "dropping-particle" : "", "family" : "Tasu", "given" : "Jean Pierre", "non-dropping-particle" : "", "parse-names" : false, "suffix" : "" }, { "dropping-particle" : "", "family" : "Perdrisot", "given" : "R\u00e9my", "non-dropping-particle" : "", "parse-names" : false, "suffix" : "" }, { "dropping-particle" : "", "family" : "Silvain", "given" : "Christine", "non-dropping-particle" : "", "parse-names" : false, "suffix" : "" }, { "dropping-particle" : "", "family" : "Gerolami", "given" : "Ren\u00e9", "non-dropping-particle" : "", "parse-names" : false, "suffix" : "" }, { "dropping-particle" : "", "family" : "Mundler", "given" : "Olivier", "non-dropping-particle" : "", "parse-names" : false, "suffix" : "" }, { "dropping-particle" : "", "family" : "Seitz", "given" : "Jean Francois", "non-dropping-particle" : "", "parse-names" : false, "suffix" : "" }, { "dropping-particle" : "", "family" : "Vidal", "given" : "Vincent", "non-dropping-particle" : "", "parse-names" : false, "suffix" : "" }, { "dropping-particle" : "", "family" : "Aub\u00e9", "given" : "Christophe", "non-dropping-particle" : "", "parse-names" : false, "suffix" : "" }, { "dropping-particle" : "", "family" : "Oberti", "given" : "Fr\u00e9d\u00e9ric", "non-dropping-particle" : "", "parse-names" : false, "suffix" : "" }, { "dropping-particle" : "", "family" : "Couturier", "given" : "Olivier", "non-dropping-particle" : "", "parse-names" : false, "suffix" : "" }, { "dropping-particle" : "", "family" : "Brenot-Rossi", "given" : "Isabelle", "non-dropping-particle" : "", "parse-names" : false, "suffix" : "" }, { "dropping-particle" : "", "family" : "Raoul", "given" : "Jean Luc", "non-dropping-particle" : "", "parse-names" : false, "suffix" : "" }, { "dropping-particle" : "", "family" : "Sarran", "given" : "Anthony", "non-dropping-particle" : "", "parse-names" : false, "suffix" : "" }, { "dropping-particle" : "", "family" : "Costentin", "given" : "Charlotte", "non-dropping-particle" : "", "parse-names" : false, "suffix" : "" }, { "dropping-particle" : "", "family" : "Itti", "given" : "Emmanuel", "non-dropping-particle" : "", "parse-names" : false, "suffix" : "" }, { "dropping-particle" : "", "family" : "Luciani", "given" : "Alain", "non-dropping-particle" : "", "parse-names" : false, "suffix" : "" }, { "dropping-particle" : "", "family" : "Adam", "given" : "Ren\u00e9", "non-dropping-particle" : "", "parse-names" : false, "suffix" : "" }, { "dropping-particle" : "", "family" : "Lewin", "given" : "Ma\u00eft\u00e9", "non-dropping-particle" : "", "parse-names" : false, "suffix" : "" }, { "dropping-particle" : "", "family" : "Samuel", "given" : "Didier", "non-dropping-particle" : "", "parse-names" : false, "suffix" : "" }, { "dropping-particle" : "", "family" : "Ronot", "given" : "Maxime", "non-dropping-particle" : "", "parse-names" : false, "suffix" : "" }, { "dropping-particle" : "", "family" : "Dinut", "given" : "Aurelia", "non-dropping-particle" : "", "parse-names" : false, "suffix" : "" }, { "dropping-particle" : "", "family" : "Castera", "given" : "Laurent", "non-dropping-particle" : "", "parse-names" : false, "suffix" : "" }, { "dropping-particle" : "", "family" : "Chatellier", "given" : "Gilles", "non-dropping-particle" : "", "parse-names" : false, "suffix" : "" }, { "dropping-particle" : "", "family" : "Assenat", "given" : "Eric", "non-dropping-particle" : "", "parse-names" : false, "suffix" : "" }, { "dropping-particle" : "", "family" : "Delhom - Christol", "given" : "Elisabeth", "non-dropping-particle" : "", "parse-names" : false, "suffix" : "" }, { "dropping-particle" : "", "family" : "Guiu", "given" : "Boris", "non-dropping-particle" : "", "parse-names" : false, "suffix" : "" }, { "dropping-particle" : "", "family" : "Ilonca", "given" : "Alina D.", "non-dropping-particle" : "", "parse-names" : false, "suffix" : "" }, { "dropping-particle" : "", "family" : "Lonjon", "given" : "Julie", "non-dropping-particle" : "", "parse-names" : false, "suffix" : "" }, { "dropping-particle" : "", "family" : "Pageaux", "given" : "Georges Philippe", "non-dropping-particle" : "", "parse-names" : false, "suffix" : "" }, { "dropping-particle" : "", "family" : "Abdel-Rehim", "given" : "Mohamed", "non-dropping-particle" : "", "parse-names" : false, "suffix" : "" }, { "dropping-particle" : "", "family" : "Allaham", "given" : "Wassim", "non-dropping-particle" : "", "parse-names" : false, "suffix" : "" }, { "dropping-particle" : "", "family" : "Bouattour", "given" : "Mohamed", "non-dropping-particle" : "", "parse-names" : false, "suffix" : "" }, { "dropping-particle" : "", "family" : "Castera", "given" : "Laurent", "non-dropping-particle" : "", "parse-names" : false, "suffix" : "" }, { "dropping-particle" : "", "family" : "Dieudonn\u00e9", "given" : "Arnaud", "non-dropping-particle" : "", "parse-names" : false, "suffix" : "" }, { "dropping-particle" : "", "family" : "Lebtahi", "given" : "Rachida", "non-dropping-particle" : "", "parse-names" : false, "suffix" : "" }, { "dropping-particle" : "", "family" : "Ronot", "given" : "Maxime", "non-dropping-particle" : "", "parse-names" : false, "suffix" : "" }, { "dropping-particle" : "", "family" : "Sibert", "given" : "Annie", "non-dropping-particle" : "", "parse-names" : false, "suffix" : "" }, { "dropping-particle" : "", "family" : "Vilgrain", "given" : "Val\u00e9rie", "non-dropping-particle" : "", "parse-names" : false, "suffix" : "" }, { "dropping-particle" : "", "family" : "Barraud", "given" : "H\u00e9l\u00e8ne", "non-dropping-particle" : "", "parse-names" : false, "suffix" : "" }, { "dropping-particle" : "", "family" : "Bazin", "given" : "Christophe", "non-dropping-particle" : "", "parse-names" : false, "suffix" : "" }, { "dropping-particle" : "", "family" : "Bronowicki", "given" : "Jean Pierre", "non-dropping-particle" : "", "parse-names" : false, "suffix" : "" }, { "dropping-particle" : "", "family" : "Laurent", "given" : "Val\u00e9rie", "non-dropping-particle" : "", "parse-names" : false, "suffix" : "" }, { "dropping-particle" : "", "family" : "Mathias", "given" : "Elodie", "non-dropping-particle" : "", "parse-names" : false, "suffix" : "" }, { "dropping-particle" : "", "family" : "Chagneau-Derrode", "given" : "Carine", "non-dropping-particle" : "", "parse-names" : false, "suffix" : "" }, { "dropping-particle" : "", "family" : "Perdrisot", "given" : "R\u00e9my", "non-dropping-particle" : "", "parse-names" : false, "suffix" : "" }, { "dropping-particle" : "", "family" : "Silvain", "given" : "Christine", "non-dropping-particle" : "", "parse-names" : false, "suffix" : "" }, { "dropping-particle" : "", "family" : "Tasu", "given" : "Jean Pierre", "non-dropping-particle" : "", "parse-names" : false, "suffix" : "" }, { "dropping-particle" : "", "family" : "Borentain", "given" : "Patrick", "non-dropping-particle" : "", "parse-names" : false, "suffix" : "" }, { "dropping-particle" : "", "family" : "Gerolami", "given" : "Ren\u00e9", "non-dropping-particle" : "", "parse-names" : false, "suffix" : "" }, { "dropping-particle" : "", "family" : "Mundler", "given" : "Olivier", "non-dropping-particle" : "", "parse-names" : false, "suffix" : "" }, { "dropping-particle" : "", "family" : "Seitz", "given" : "Jean Francois", "non-dropping-particle" : "", "parse-names" : false, "suffix" : "" }, { "dropping-particle" : "", "family" : "Vidal", "given" : "Vincent", "non-dropping-particle" : "", "parse-names" : false, "suffix" : "" }, { "dropping-particle" : "", "family" : "Aub\u00e9", "given" : "Christophe", "non-dropping-particle" : "", "parse-names" : false, "suffix" : "" }, { "dropping-particle" : "", "family" : "Bouvier", "given" : "Antoine", "non-dropping-particle" : "", "parse-names" : false, "suffix" : "" }, { "dropping-particle" : "", "family" : "Couturier", "given" : "Olivier", "non-dropping-particle" : "", "parse-names" : false, "suffix" : "" }, { "dropping-particle" : "", "family" : "Oberti", "given" : "Fr\u00e9d\u00e9ric", "non-dropping-particle" : "", "parse-names" : false, "suffix" : "" }, { "dropping-particle" : "", "family" : "Vervueren", "given" : "Laurent", "non-dropping-particle" : "", "parse-names" : false, "suffix" : "" }, { "dropping-particle" : "", "family" : "Brenot-Rossi", "given" : "Isabelle", "non-dropping-particle" : "", "parse-names" : false, "suffix" : "" }, { "dropping-particle" : "", "family" : "Raoul", "given" : "Jean Luc", "non-dropping-particle" : "", "parse-names" : false, "suffix" : "" }, { "dropping-particle" : "", "family" : "Sarran", "given" : "Anthony", "non-dropping-particle" : "", "parse-names" : false, "suffix" : "" }, { "dropping-particle" : "", "family" : "Chalaye", "given" : "Julia", "non-dropping-particle" : "", "parse-names" : false, "suffix" : "" }, { "dropping-particle" : "", "family" : "Costentin", "given" : "Charlotte", "non-dropping-particle" : "", "parse-names" : false, "suffix" : "" }, { "dropping-particle" : "", "family" : "Itti", "given" : "Emmanuel", "non-dropping-particle" : "", "parse-names" : false, "suffix" : "" }, { "dropping-particle" : "", "family" : "Kobeiter", "given" : "Hicham", "non-dropping-particle" : "", "parse-names" : false, "suffix" : "" }, { "dropping-particle" : "", "family" : "Luciani", "given" : "Alain", "non-dropping-particle" : "", "parse-names" : false, "suffix" : "" }, { "dropping-particle" : "", "family" : "Adam", "given" : "Ren\u00e9", "non-dropping-particle" : "", "parse-names" : false, "suffix" : "" }, { "dropping-particle" : "", "family" : "Lewin", "given" : "Ma\u00eft\u00e9", "non-dropping-particle" : "", "parse-names" : false, "suffix" : "" }, { "dropping-particle" : "", "family" : "Samuel", "given" : "Didier", "non-dropping-particle" : "", "parse-names" : false, "suffix" : "" }, { "dropping-particle" : "", "family" : "Edeline", "given" : "Julien", "non-dropping-particle" : "", "parse-names" : false, "suffix" : "" }, { "dropping-particle" : "", "family" : "Garin", "given" : "Etienne", "non-dropping-particle" : "", "parse-names" : false, "suffix" : "" }, { "dropping-particle" : "", "family" : "Rolland", "given" : "Yan", "non-dropping-particle" : "", "parse-names" : false, "suffix" : "" }, { "dropping-particle" : "", "family" : "Archambeaud", "given" : "Isabelle", "non-dropping-particle" : "", "parse-names" : false, "suffix" : "" }, { "dropping-particle" : "", "family" : "Eugene", "given" : "Thomas", "non-dropping-particle" : "", "parse-names" : false, "suffix" : "" }, { "dropping-particle" : "", "family" : "Frampas", "given" : "Eric", "non-dropping-particle" : "", "parse-names" : false, "suffix" : "" }, { "dropping-particle" : "", "family" : "Cassinotto", "given" : "Christophe", "non-dropping-particle" : "", "parse-names" : false, "suffix" : "" }, { "dropping-particle" : "", "family" : "Guyot", "given" : "Martine", "non-dropping-particle" : "", "parse-names" : false, "suffix" : "" }, { "dropping-particle" : "", "family" : "Hiriart", "given" : "Jean Baptiste", "non-dropping-particle" : "", "parse-names" : false, "suffix" : "" }, { "dropping-particle" : "", "family" : "Lapuyade", "given" : "Bruno", "non-dropping-particle" : "", "parse-names" : false, "suffix" : "" }, { "dropping-particle" : "", "family" : "Vergniol", "given" : "Julien", "non-dropping-particle" : "", "parse-names" : false, "suffix" : "" }, { "dropping-particle" : "", "family" : "Bachellier", "given" : "Philippe", "non-dropping-particle" : "", "parse-names" : false, "suffix" : "" }, { "dropping-particle" : "", "family" : "Detour", "given" : "Julien", "non-dropping-particle" : "", "parse-names" : false, "suffix" : "" }, { "dropping-particle" : "", "family" : "Duclos", "given" : "Bernard", "non-dropping-particle" : "", "parse-names" : false, "suffix" : "" }, { "dropping-particle" : "", "family" : "Greget", "given" : "Michel", "non-dropping-particle" : "", "parse-names" : false, "suffix" : "" }, { "dropping-particle" : "", "family" : "Habersetzer", "given" : "Francois", "non-dropping-particle" : "", "parse-names" : false, "suffix" : "" }, { "dropping-particle" : "", "family" : "Imperiale", "given" : "Alessio", "non-dropping-particle" : "", "parse-names" : false, "suffix" : "" }, { "dropping-particle" : "", "family" : "Merle", "given" : "Philippe", "non-dropping-particle" : "", "parse-names" : false, "suffix" : "" }, { "dropping-particle" : "", "family" : "Rode", "given" : "Agn\u00e8s", "non-dropping-particle" : "", "parse-names" : false, "suffix" : "" }, { "dropping-particle" : "", "family" : "Morvan", "given" : "Julie", "non-dropping-particle" : "", "parse-names" : false, "suffix" : "" }, { "dropping-particle" : "", "family" : "Nguyen-Khac", "given" : "Eric", "non-dropping-particle" : "", "parse-names" : false, "suffix" : "" }, { "dropping-particle" : "", "family" : "Yzet", "given" : "Thierry", "non-dropping-particle" : "", "parse-names" : false, "suffix" : "" }, { "dropping-particle" : "", "family" : "Baudin", "given" : "Guillaume", "non-dropping-particle" : "", "parse-names" : false, "suffix" : "" }, { "dropping-particle" : "", "family" : "Chevallier", "given" : "Patrick", "non-dropping-particle" : "", "parse-names" : false, "suffix" : "" }, { "dropping-particle" : "", "family" : "Mahamat", "given" : "Abakar", "non-dropping-particle" : "", "parse-names" : false, "suffix" : "" }, { "dropping-particle" : "", "family" : "Piche", "given" : "Thierry", "non-dropping-particle" : "", "parse-names" : false, "suffix" : "" }, { "dropping-particle" : "", "family" : "Razzouk", "given" : "Micheline", "non-dropping-particle" : "", "parse-names" : false, "suffix" : "" }, { "dropping-particle" : "", "family" : "Hillon", "given" : "Patrick", "non-dropping-particle" : "", "parse-names" : false, "suffix" : "" }, { "dropping-particle" : "", "family" : "Loffroy", "given" : "Romaric", "non-dropping-particle" : "", "parse-names" : false, "suffix" : "" }, { "dropping-particle" : "", "family" : "Toubeau", "given" : "Michel", "non-dropping-particle" : "", "parse-names" : false, "suffix" : "" }, { "dropping-particle" : "", "family" : "Vincent", "given" : "Julie", "non-dropping-particle" : "", "parse-names" : false, "suffix" : "" }, { "dropping-particle" : "", "family" : "Barabino", "given" : "Gabriele", "non-dropping-particle" : "", "parse-names" : false, "suffix" : "" }, { "dropping-particle" : "", "family" : "Bouarioua", "given" : "Nadia", "non-dropping-particle" : "", "parse-names" : false, "suffix" : "" }, { "dropping-particle" : "", "family" : "Cuilleron", "given" : "Muriel", "non-dropping-particle" : "", "parse-names" : false, "suffix" : "" }, { "dropping-particle" : "", "family" : "Ecochard", "given" : "Marie", "non-dropping-particle" : "", "parse-names" : false, "suffix" : "" }, { "dropping-particle" : "", "family" : "Prevot-Bitot", "given" : "Nathalie", "non-dropping-particle" : "", "parse-names" : false, "suffix" : "" }, { "dropping-particle" : "", "family" : "Leroy", "given" : "Vincent", "non-dropping-particle" : "", "parse-names" : false, "suffix" : "" }, { "dropping-particle" : "", "family" : "Roux", "given" : "Julie", "non-dropping-particle" : "", "parse-names" : false, "suffix" : "" }, { "dropping-particle" : "", "family" : "Sengel", "given" : "Christian", "non-dropping-particle" : "", "parse-names" : false, "suffix" : "" }, { "dropping-particle" : "", "family" : "Bourcier", "given" : "Val\u00e9rie", "non-dropping-particle" : "", "parse-names" : false, "suffix" : "" }, { "dropping-particle" : "", "family" : "Ganne-Carrie", "given" : "Nathalie", "non-dropping-particle" : "", "parse-names" : false, "suffix" : "" }, { "dropping-particle" : "", "family" : "Seror", "given" : "Olivier", "non-dropping-particle" : "", "parse-names" : false, "suffix" : "" }, { "dropping-particle" : "", "family" : "Costo", "given" : "Sylvie", "non-dropping-particle" : "", "parse-names" : false, "suffix" : "" }, { "dropping-particle" : "", "family" : "Dao", "given" : "Th\u00f4ng", "non-dropping-particle" : "", "parse-names" : false, "suffix" : "" }, { "dropping-particle" : "", "family" : "Pelage", "given" : "Jean Pierre", "non-dropping-particle" : "", "parse-names" : false, "suffix" : "" }, { "dropping-particle" : "", "family" : "Dumortier", "given" : "J\u00e9r\u00f4me", "non-dropping-particle" : "", "parse-names" : false, "suffix" : "" }, { "dropping-particle" : "", "family" : "Giammarile", "given" : "Francesco", "non-dropping-particle" : "", "parse-names" : false, "suffix" : "" }, { "dropping-particle" : "", "family" : "Valette", "given" : "Pierre Jean", "non-dropping-particle" : "", "parse-names" : false, "suffix" : "" }, { "dropping-particle" : "", "family" : "Ghazzar", "given" : "Nadia", "non-dropping-particle" : "", "parse-names" : false, "suffix" : "" }, { "dropping-particle" : "", "family" : "Pellerin", "given" : "Olivier", "non-dropping-particle" : "", "parse-names" : false, "suffix" : "" }, { "dropping-particle" : "", "family" : "Taieb", "given" : "Julien", "non-dropping-particle" : "", "parse-names" : false, "suffix" : "" }, { "dropping-particle" : "", "family" : "Weinmann", "given" : "Pierre", "non-dropping-particle" : "", "parse-names" : false, "suffix" : "" }, { "dropping-particle" : "", "family" : "Heurgue-Berlot", "given" : "Alexandra", "non-dropping-particle" : "", "parse-names" : false, "suffix" : "" }, { "dropping-particle" : "", "family" : "Marcus", "given" : "Claude", "non-dropping-particle" : "", "parse-names" : false, "suffix" : "" }, { "dropping-particle" : "", "family" : "Sommacale", "given" : "Daniele", "non-dropping-particle" : "", "parse-names" : false, "suffix" : "" }, { "dropping-particle" : "", "family" : "Castilla-Li\u00e8vre", "given" : "Maria Ang\u00e9la", "non-dropping-particle" : "", "parse-names" : false, "suffix" : "" }, { "dropping-particle" : "", "family" : "Maitre", "given" : "Sophie", "non-dropping-particle" : "", "parse-names" : false, "suffix" : "" }, { "dropping-particle" : "", "family" : "Marthey", "given" : "Lysiane", "non-dropping-particle" : "", "parse-names" : false, "suffix" : "" } ], "container-title" : "The Lancet Oncology", "id" : "ITEM-1", "issue" : "12", "issued" : { "date-parts" : [ [ "2017" ] ] }, "page" : "1624-1636", "title" : "Efficacy and safety of selective internal radiotherapy with yttrium-90 resin microspheres compared with sorafenib in locally advanced and inoperable hepatocellular carcinoma (SARAH): an open-label randomised controlled phase 3 trial", "type" : "article-journal", "volume" : "18" }, "uris" : [ "http://www.mendeley.com/documents/?uuid=ed4e08b8-bf69-43db-8bf5-d0333defdeee" ] } ], "mendeley" : { "formattedCitation" : "[10]", "plainTextFormattedCitation" : "[10]", "previouslyFormattedCitation" : "[10]" }, "properties" : {  }, "schema" : "https://github.com/citation-style-language/schema/raw/master/csl-citation.json" }</w:instrText>
      </w:r>
      <w:r w:rsidR="00602AB2">
        <w:rPr>
          <w:sz w:val="24"/>
          <w:szCs w:val="24"/>
          <w:lang w:val="en-US"/>
        </w:rPr>
        <w:fldChar w:fldCharType="separate"/>
      </w:r>
      <w:r w:rsidR="00FC6AC8" w:rsidRPr="00FC6AC8">
        <w:rPr>
          <w:noProof/>
          <w:sz w:val="24"/>
          <w:szCs w:val="24"/>
          <w:lang w:val="en-US"/>
        </w:rPr>
        <w:t>[10]</w:t>
      </w:r>
      <w:r w:rsidR="00602AB2">
        <w:rPr>
          <w:sz w:val="24"/>
          <w:szCs w:val="24"/>
          <w:lang w:val="en-US"/>
        </w:rPr>
        <w:fldChar w:fldCharType="end"/>
      </w:r>
      <w:r w:rsidR="00D31259">
        <w:rPr>
          <w:sz w:val="24"/>
          <w:szCs w:val="24"/>
          <w:lang w:val="en-US"/>
        </w:rPr>
        <w:t>. T</w:t>
      </w:r>
      <w:r w:rsidR="003640D4">
        <w:rPr>
          <w:sz w:val="24"/>
          <w:szCs w:val="24"/>
          <w:lang w:val="en-US"/>
        </w:rPr>
        <w:t xml:space="preserve">aken together, due to the controversial results further studies have to evaluate the efficacy of SBRT in </w:t>
      </w:r>
      <w:r w:rsidR="00AC5830">
        <w:rPr>
          <w:sz w:val="24"/>
          <w:szCs w:val="24"/>
          <w:lang w:val="en-US"/>
        </w:rPr>
        <w:t>comparison</w:t>
      </w:r>
      <w:r w:rsidR="003640D4">
        <w:rPr>
          <w:sz w:val="24"/>
          <w:szCs w:val="24"/>
          <w:lang w:val="en-US"/>
        </w:rPr>
        <w:t xml:space="preserve"> to sorafenib and SIRT in well-powered prospective and randomized trials</w:t>
      </w:r>
      <w:r w:rsidR="00AC5830">
        <w:rPr>
          <w:sz w:val="24"/>
          <w:szCs w:val="24"/>
          <w:lang w:val="en-US"/>
        </w:rPr>
        <w:t xml:space="preserve"> such as the RTOG 1112 study (NCT01730937)</w:t>
      </w:r>
      <w:r w:rsidR="003640D4">
        <w:rPr>
          <w:sz w:val="24"/>
          <w:szCs w:val="24"/>
          <w:lang w:val="en-US"/>
        </w:rPr>
        <w:t xml:space="preserve">. </w:t>
      </w:r>
    </w:p>
    <w:p w14:paraId="6F286753" w14:textId="77777777" w:rsidR="00181321" w:rsidRDefault="003640D4" w:rsidP="00E05243">
      <w:pPr>
        <w:spacing w:line="480" w:lineRule="auto"/>
        <w:jc w:val="both"/>
        <w:rPr>
          <w:sz w:val="24"/>
          <w:szCs w:val="24"/>
          <w:lang w:val="en-US"/>
        </w:rPr>
      </w:pPr>
      <w:r w:rsidRPr="002F60CB">
        <w:rPr>
          <w:sz w:val="24"/>
          <w:szCs w:val="24"/>
          <w:lang w:val="en-US"/>
        </w:rPr>
        <w:lastRenderedPageBreak/>
        <w:t xml:space="preserve">We have to acknowledge limitations of our study. </w:t>
      </w:r>
      <w:r w:rsidR="00D13076">
        <w:rPr>
          <w:sz w:val="24"/>
          <w:szCs w:val="24"/>
          <w:lang w:val="en-US"/>
        </w:rPr>
        <w:t>That</w:t>
      </w:r>
      <w:r>
        <w:rPr>
          <w:sz w:val="24"/>
          <w:szCs w:val="24"/>
          <w:lang w:val="en-US"/>
        </w:rPr>
        <w:t xml:space="preserve"> was a retrospective, observational study and therefore treatment allocation was not controlled and may be biased due to different factors such as the intrahepatic tumor burden, liver function and especially the performance status of the patient. Especially the performance status of the patients is difficult to assess retrospectively. However, we tried to adjust for these differences by propensity score matching. As we applied strict matching criteria with a caliper with of 0.01 our sample size in the matched cohort was </w:t>
      </w:r>
      <w:r w:rsidR="00AC5830">
        <w:rPr>
          <w:sz w:val="24"/>
          <w:szCs w:val="24"/>
          <w:lang w:val="en-US"/>
        </w:rPr>
        <w:t>significantly</w:t>
      </w:r>
      <w:r>
        <w:rPr>
          <w:sz w:val="24"/>
          <w:szCs w:val="24"/>
          <w:lang w:val="en-US"/>
        </w:rPr>
        <w:t xml:space="preserve"> reduced co</w:t>
      </w:r>
      <w:r w:rsidR="002A2EBF">
        <w:rPr>
          <w:sz w:val="24"/>
          <w:szCs w:val="24"/>
          <w:lang w:val="en-US"/>
        </w:rPr>
        <w:t xml:space="preserve">mpared to the unmatched cohort. The small </w:t>
      </w:r>
      <w:r w:rsidR="00AC5830">
        <w:rPr>
          <w:sz w:val="24"/>
          <w:szCs w:val="24"/>
          <w:lang w:val="en-US"/>
        </w:rPr>
        <w:t>sample</w:t>
      </w:r>
      <w:r w:rsidR="002A2EBF">
        <w:rPr>
          <w:sz w:val="24"/>
          <w:szCs w:val="24"/>
          <w:lang w:val="en-US"/>
        </w:rPr>
        <w:t xml:space="preserve"> size may especially limit the conclusions which can be drawn from our subgroup analyses. </w:t>
      </w:r>
      <w:r w:rsidR="00AC5830">
        <w:rPr>
          <w:sz w:val="24"/>
          <w:szCs w:val="24"/>
          <w:lang w:val="en-US"/>
        </w:rPr>
        <w:t>Nevertheless</w:t>
      </w:r>
      <w:r w:rsidR="002A2EBF">
        <w:rPr>
          <w:sz w:val="24"/>
          <w:szCs w:val="24"/>
          <w:lang w:val="en-US"/>
        </w:rPr>
        <w:t xml:space="preserve">, to the best of our </w:t>
      </w:r>
      <w:r w:rsidR="00AC5830">
        <w:rPr>
          <w:sz w:val="24"/>
          <w:szCs w:val="24"/>
          <w:lang w:val="en-US"/>
        </w:rPr>
        <w:t>knowledge</w:t>
      </w:r>
      <w:r w:rsidR="002F1869">
        <w:rPr>
          <w:sz w:val="24"/>
          <w:szCs w:val="24"/>
          <w:lang w:val="en-US"/>
        </w:rPr>
        <w:t>,</w:t>
      </w:r>
      <w:r w:rsidR="002A2EBF">
        <w:rPr>
          <w:sz w:val="24"/>
          <w:szCs w:val="24"/>
          <w:lang w:val="en-US"/>
        </w:rPr>
        <w:t xml:space="preserve"> this is the first study showing a survival benefit of patients treated with SBRT compared to sorafenib in patients with </w:t>
      </w:r>
      <w:r w:rsidR="00727B46">
        <w:rPr>
          <w:sz w:val="24"/>
          <w:szCs w:val="24"/>
          <w:lang w:val="en-US"/>
        </w:rPr>
        <w:t xml:space="preserve">HCC. Importantly, a recent study evaluated the efficacy of SBRT in comparison to radiofrequency ablation. In patients with stage I and II HCC (solitary HCC with or without invasion of vessels or mulitfocal HCC &lt; 5 cm) radiofrequency ablation showed superior efficacy compared to SBRT </w:t>
      </w:r>
      <w:r w:rsidR="0020048A">
        <w:rPr>
          <w:sz w:val="24"/>
          <w:szCs w:val="24"/>
          <w:lang w:val="en-US"/>
        </w:rPr>
        <w:fldChar w:fldCharType="begin" w:fldLock="1"/>
      </w:r>
      <w:r w:rsidR="0020048A">
        <w:rPr>
          <w:sz w:val="24"/>
          <w:szCs w:val="24"/>
          <w:lang w:val="en-US"/>
        </w:rPr>
        <w:instrText>ADDIN CSL_CITATION { "citationItems" : [ { "id" : "ITEM-1", "itemData" : { "DOI" : "10.1200/JCO.2017.75.3228", "ISSN" : "1527-7755 (Electronic)", "PMID" : "29328861", "abstract" : "Purpose Data that guide selection of optimal local ablative therapy for the management localized hepatocellular carcinoma (HCC) are lacking. Because there are limited prospective comparative data for these treatment modalities, we aimed to compare the effectiveness of radiofrequency ablation (RFA) versus stereotactic body radiotherapy (SBRT) by using the National Cancer Database. Methods We conducted an observational study to compare the effectiveness of RFA versus SBRT in nonsurgically managed patients with stage I or II HCC. Overall survival was compared by using propensity score-weighted and propensity score-matched analyses based on patient-, facility-, and tumor-level characteristics. A sensitivity analysis was performed to evaluate the effect of severe fibrosis/cirrhosis. In addition, we performed exploratory analyses to determine the effectiveness of RFA and SBRT in clinically relevant patient subsets. Results Overall, 3,684 (92.6%) and 296 (7.4%) nonsurgically managed patients with stage I or II HCC received RFA or SBRT, respectively. After propensity matching, 5-year overall survival was 29.8% (95% CI, 24.5% to 35.3%) in the RFA group versus 19.3% (95% CI, 13.5% to 25.9%) in the SBRT group ( P &lt; .001). Inverse probability-weighted analysis yielded similar results. The benefit of RFA was consistent across all subgroups examined and was robust to the effects of severe fibrosis/cirrhosis. Conclusion Our study suggests that treatment with RFA yields superior survival compared with SBRT for nonsurgically managed patients with stage I or II HCC. Even though our results are limited by the biases related to the retrospective study design, we believe that, in the absence of a randomized clinical trial, our findings should be considered when recommending local ablative therapy for localized unresectable HCC.", "author" : [ { "dropping-particle" : "", "family" : "Rajyaguru", "given" : "Devalkumar J", "non-dropping-particle" : "", "parse-names" : false, "suffix" : "" }, { "dropping-particle" : "", "family" : "Borgert", "given" : "Andrew J", "non-dropping-particle" : "", "parse-names" : false, "suffix" : "" }, { "dropping-particle" : "", "family" : "Smith", "given" : "Angela L", "non-dropping-particle" : "", "parse-names" : false, "suffix" : "" }, { "dropping-particle" : "", "family" : "Thomes", "given" : "Reggie M", "non-dropping-particle" : "", "parse-names" : false, "suffix" : "" }, { "dropping-particle" : "", "family" : "Conway", "given" : "Patrick D", "non-dropping-particle" : "", "parse-names" : false, "suffix" : "" }, { "dropping-particle" : "", "family" : "Halfdanarson", "given" : "Thorvardur R", "non-dropping-particle" : "", "parse-names" : false, "suffix" : "" }, { "dropping-particle" : "", "family" : "Truty", "given" : "Mark J", "non-dropping-particle" : "", "parse-names" : false, "suffix" : "" }, { "dropping-particle" : "", "family" : "Kurup", "given" : "A Nicholas", "non-dropping-particle" : "", "parse-names" : false, "suffix" : "" }, { "dropping-particle" : "", "family" : "Go", "given" : "Ronald S", "non-dropping-particle" : "", "parse-names" : false, "suffix" : "" } ], "container-title" : "Journal of clinical oncology : official journal of the American Society of Clinical Oncology", "id" : "ITEM-1", "issued" : { "date-parts" : [ [ "2018", "1" ] ] }, "language" : "eng", "page" : "JCO2017753228", "publisher-place" : "United States", "title" : "Radiofrequency Ablation Versus Stereotactic Body Radiotherapy for Localized Hepatocellular Carcinoma in Nonsurgically Managed Patients: Analysis of the National Cancer Database.", "type" : "article-journal" }, "uris" : [ "http://www.mendeley.com/documents/?uuid=3466ca0d-8edc-44c3-9398-7feaa9b1bd6f" ] } ], "mendeley" : { "formattedCitation" : "[58]", "plainTextFormattedCitation" : "[58]", "previouslyFormattedCitation" : "[58]" }, "properties" : {  }, "schema" : "https://github.com/citation-style-language/schema/raw/master/csl-citation.json" }</w:instrText>
      </w:r>
      <w:r w:rsidR="0020048A">
        <w:rPr>
          <w:sz w:val="24"/>
          <w:szCs w:val="24"/>
          <w:lang w:val="en-US"/>
        </w:rPr>
        <w:fldChar w:fldCharType="separate"/>
      </w:r>
      <w:r w:rsidR="0020048A" w:rsidRPr="0020048A">
        <w:rPr>
          <w:noProof/>
          <w:sz w:val="24"/>
          <w:szCs w:val="24"/>
          <w:lang w:val="en-US"/>
        </w:rPr>
        <w:t>[58]</w:t>
      </w:r>
      <w:r w:rsidR="0020048A">
        <w:rPr>
          <w:sz w:val="24"/>
          <w:szCs w:val="24"/>
          <w:lang w:val="en-US"/>
        </w:rPr>
        <w:fldChar w:fldCharType="end"/>
      </w:r>
      <w:r w:rsidR="0020048A">
        <w:rPr>
          <w:sz w:val="24"/>
          <w:szCs w:val="24"/>
          <w:lang w:val="en-US"/>
        </w:rPr>
        <w:t xml:space="preserve">. These findings combined with our results may help to integrate SBRT in the treatment algorithm of HCC especially using SBRT as an effective alternative treatment for sorafenib.  </w:t>
      </w:r>
      <w:r w:rsidR="00727B46">
        <w:rPr>
          <w:sz w:val="24"/>
          <w:szCs w:val="24"/>
          <w:lang w:val="en-US"/>
        </w:rPr>
        <w:t xml:space="preserve"> </w:t>
      </w:r>
    </w:p>
    <w:p w14:paraId="7C10BB82" w14:textId="77777777" w:rsidR="00E05243" w:rsidRPr="00E05243" w:rsidRDefault="005569CB" w:rsidP="00E05243">
      <w:pPr>
        <w:spacing w:line="480" w:lineRule="auto"/>
        <w:jc w:val="both"/>
        <w:rPr>
          <w:rFonts w:cs="Arial"/>
          <w:b/>
          <w:sz w:val="24"/>
          <w:szCs w:val="24"/>
          <w:lang w:val="en-US"/>
        </w:rPr>
      </w:pPr>
      <w:r>
        <w:rPr>
          <w:rFonts w:cs="Arial"/>
          <w:b/>
          <w:sz w:val="24"/>
          <w:szCs w:val="24"/>
          <w:lang w:val="en-US"/>
        </w:rPr>
        <w:t>A</w:t>
      </w:r>
      <w:r w:rsidR="00E05243" w:rsidRPr="00E05243">
        <w:rPr>
          <w:rFonts w:cs="Arial"/>
          <w:b/>
          <w:sz w:val="24"/>
          <w:szCs w:val="24"/>
          <w:lang w:val="en-US"/>
        </w:rPr>
        <w:t>cknowledgments</w:t>
      </w:r>
    </w:p>
    <w:p w14:paraId="28F65AD8" w14:textId="77777777" w:rsidR="00E05243" w:rsidRPr="00E05243" w:rsidRDefault="00E05243" w:rsidP="00E05243">
      <w:pPr>
        <w:spacing w:line="480" w:lineRule="auto"/>
        <w:rPr>
          <w:rFonts w:cs="Arial"/>
          <w:sz w:val="24"/>
          <w:szCs w:val="24"/>
          <w:lang w:val="en-US"/>
        </w:rPr>
      </w:pPr>
      <w:r w:rsidRPr="00E05243">
        <w:rPr>
          <w:rFonts w:cs="Arial"/>
          <w:sz w:val="24"/>
          <w:szCs w:val="24"/>
          <w:lang w:val="en-US"/>
        </w:rPr>
        <w:t>DB is supported by the Berta-Ottenstein-Programme, Faculty of Medicine, University of Freiburg</w:t>
      </w:r>
    </w:p>
    <w:p w14:paraId="0E07EA9C" w14:textId="77777777" w:rsidR="00D91449" w:rsidRDefault="00D91449" w:rsidP="00CC017D">
      <w:pPr>
        <w:rPr>
          <w:b/>
          <w:sz w:val="24"/>
          <w:szCs w:val="24"/>
          <w:lang w:val="en-US"/>
        </w:rPr>
      </w:pPr>
    </w:p>
    <w:p w14:paraId="60C029DA" w14:textId="77777777" w:rsidR="00D13076" w:rsidRDefault="00D13076" w:rsidP="00CC017D">
      <w:pPr>
        <w:rPr>
          <w:b/>
          <w:sz w:val="24"/>
          <w:szCs w:val="24"/>
          <w:lang w:val="en-US"/>
        </w:rPr>
      </w:pPr>
    </w:p>
    <w:p w14:paraId="47127F77" w14:textId="77777777" w:rsidR="00D13076" w:rsidRDefault="00D13076" w:rsidP="00CC017D">
      <w:pPr>
        <w:rPr>
          <w:b/>
          <w:sz w:val="24"/>
          <w:szCs w:val="24"/>
          <w:lang w:val="en-US"/>
        </w:rPr>
      </w:pPr>
    </w:p>
    <w:p w14:paraId="2BB0C7F5" w14:textId="77777777" w:rsidR="00D13076" w:rsidRDefault="00D13076" w:rsidP="00CC017D">
      <w:pPr>
        <w:rPr>
          <w:b/>
          <w:sz w:val="24"/>
          <w:szCs w:val="24"/>
          <w:lang w:val="en-US"/>
        </w:rPr>
      </w:pPr>
    </w:p>
    <w:p w14:paraId="37F3BFAC" w14:textId="77777777" w:rsidR="00D13076" w:rsidRDefault="00D13076" w:rsidP="00CC017D">
      <w:pPr>
        <w:rPr>
          <w:b/>
          <w:sz w:val="24"/>
          <w:szCs w:val="24"/>
          <w:lang w:val="en-US"/>
        </w:rPr>
      </w:pPr>
    </w:p>
    <w:p w14:paraId="1D0CEFC5" w14:textId="77777777" w:rsidR="00D13076" w:rsidRDefault="00D13076" w:rsidP="00CC017D">
      <w:pPr>
        <w:rPr>
          <w:b/>
          <w:sz w:val="24"/>
          <w:szCs w:val="24"/>
          <w:lang w:val="en-US"/>
        </w:rPr>
      </w:pPr>
    </w:p>
    <w:p w14:paraId="14571A95" w14:textId="77777777" w:rsidR="00D13076" w:rsidRDefault="00D13076" w:rsidP="00CC017D">
      <w:pPr>
        <w:rPr>
          <w:b/>
          <w:sz w:val="24"/>
          <w:szCs w:val="24"/>
          <w:lang w:val="en-US"/>
        </w:rPr>
      </w:pPr>
    </w:p>
    <w:p w14:paraId="6CA37A94" w14:textId="77777777" w:rsidR="00CC017D" w:rsidRDefault="009161BF" w:rsidP="00CC017D">
      <w:pPr>
        <w:rPr>
          <w:b/>
          <w:sz w:val="24"/>
          <w:szCs w:val="24"/>
          <w:lang w:val="en-US"/>
        </w:rPr>
      </w:pPr>
      <w:r>
        <w:rPr>
          <w:b/>
          <w:sz w:val="24"/>
          <w:szCs w:val="24"/>
          <w:lang w:val="en-US"/>
        </w:rPr>
        <w:t>T</w:t>
      </w:r>
      <w:r w:rsidR="00CC017D">
        <w:rPr>
          <w:b/>
          <w:sz w:val="24"/>
          <w:szCs w:val="24"/>
          <w:lang w:val="en-US"/>
        </w:rPr>
        <w:t>ables</w:t>
      </w:r>
    </w:p>
    <w:p w14:paraId="56A25F4C" w14:textId="77777777" w:rsidR="00CC017D" w:rsidRDefault="00CC017D" w:rsidP="00CC017D">
      <w:pPr>
        <w:rPr>
          <w:b/>
          <w:sz w:val="24"/>
          <w:szCs w:val="24"/>
          <w:lang w:val="en-US"/>
        </w:rPr>
      </w:pPr>
      <w:r w:rsidRPr="00527C5D">
        <w:rPr>
          <w:b/>
          <w:sz w:val="24"/>
          <w:szCs w:val="24"/>
          <w:lang w:val="en-US"/>
        </w:rPr>
        <w:t>Table 1</w:t>
      </w:r>
    </w:p>
    <w:tbl>
      <w:tblPr>
        <w:tblW w:w="9464" w:type="dxa"/>
        <w:tblInd w:w="-17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22"/>
        <w:gridCol w:w="2118"/>
        <w:gridCol w:w="1763"/>
        <w:gridCol w:w="1511"/>
        <w:gridCol w:w="1450"/>
      </w:tblGrid>
      <w:tr w:rsidR="00641A95" w:rsidRPr="00FF5C7B" w14:paraId="6E920706" w14:textId="77777777" w:rsidTr="00641A95">
        <w:tc>
          <w:tcPr>
            <w:tcW w:w="2622" w:type="dxa"/>
            <w:tcBorders>
              <w:top w:val="single" w:sz="4" w:space="0" w:color="auto"/>
              <w:left w:val="nil"/>
              <w:bottom w:val="single" w:sz="4" w:space="0" w:color="auto"/>
              <w:right w:val="single" w:sz="4" w:space="0" w:color="auto"/>
            </w:tcBorders>
            <w:shd w:val="clear" w:color="auto" w:fill="D9D9D9" w:themeFill="background1" w:themeFillShade="D9"/>
            <w:hideMark/>
          </w:tcPr>
          <w:p w14:paraId="2E2ED73A" w14:textId="77777777" w:rsidR="00641A95" w:rsidRDefault="00641A95" w:rsidP="00D66623">
            <w:pPr>
              <w:spacing w:before="100" w:beforeAutospacing="1" w:after="0" w:line="240" w:lineRule="auto"/>
              <w:rPr>
                <w:rFonts w:eastAsia="Calibri" w:cs="Arial"/>
                <w:b/>
                <w:bCs/>
                <w:color w:val="000000"/>
                <w:sz w:val="20"/>
                <w:szCs w:val="20"/>
                <w:lang w:val="en-GB"/>
              </w:rPr>
            </w:pPr>
            <w:r>
              <w:rPr>
                <w:rFonts w:eastAsia="Calibri" w:cs="Arial"/>
                <w:b/>
                <w:bCs/>
                <w:color w:val="000000"/>
                <w:sz w:val="20"/>
                <w:szCs w:val="20"/>
                <w:lang w:val="en-GB"/>
              </w:rPr>
              <w:t>Characteristics</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5603A622" w14:textId="77777777" w:rsidR="00641A95" w:rsidRPr="00CB3C55" w:rsidRDefault="00641A95" w:rsidP="00D66623">
            <w:pPr>
              <w:spacing w:before="100" w:beforeAutospacing="1" w:after="0" w:line="240" w:lineRule="auto"/>
              <w:rPr>
                <w:rFonts w:eastAsia="Calibri" w:cs="Arial"/>
                <w:b/>
                <w:color w:val="000000"/>
                <w:sz w:val="20"/>
                <w:szCs w:val="20"/>
                <w:lang w:val="en-US"/>
              </w:rPr>
            </w:pPr>
            <w:r>
              <w:rPr>
                <w:rFonts w:eastAsia="Calibri" w:cs="Arial"/>
                <w:b/>
                <w:color w:val="000000"/>
                <w:sz w:val="20"/>
                <w:szCs w:val="20"/>
                <w:lang w:val="en-US"/>
              </w:rPr>
              <w:t>Sorafenib</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094CED" w14:textId="77777777" w:rsidR="00641A95" w:rsidRPr="00E708B9" w:rsidRDefault="00641A95" w:rsidP="00D66623">
            <w:pPr>
              <w:spacing w:before="100" w:beforeAutospacing="1" w:after="0" w:line="240" w:lineRule="auto"/>
              <w:rPr>
                <w:rFonts w:eastAsia="Calibri" w:cs="Arial"/>
                <w:color w:val="000000"/>
                <w:sz w:val="20"/>
                <w:szCs w:val="20"/>
                <w:vertAlign w:val="superscript"/>
                <w:lang w:val="en-US"/>
              </w:rPr>
            </w:pPr>
            <w:r>
              <w:rPr>
                <w:rFonts w:eastAsia="Calibri" w:cs="Arial"/>
                <w:b/>
                <w:color w:val="000000"/>
                <w:sz w:val="20"/>
                <w:szCs w:val="20"/>
                <w:lang w:val="en-US"/>
              </w:rPr>
              <w:t>SBRT</w:t>
            </w:r>
            <w:r w:rsidR="00E708B9">
              <w:rPr>
                <w:rFonts w:eastAsia="Calibri" w:cs="Arial"/>
                <w:color w:val="000000"/>
                <w:sz w:val="20"/>
                <w:szCs w:val="20"/>
                <w:vertAlign w:val="superscript"/>
                <w:lang w:val="en-US"/>
              </w:rPr>
              <w:t>4</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30D9137D" w14:textId="77777777" w:rsidR="00641A95" w:rsidRPr="00CB3C55" w:rsidRDefault="00641A95" w:rsidP="00D66623">
            <w:pPr>
              <w:spacing w:before="100" w:beforeAutospacing="1" w:after="0" w:line="240" w:lineRule="auto"/>
              <w:rPr>
                <w:rFonts w:eastAsia="Calibri" w:cs="Arial"/>
                <w:b/>
                <w:color w:val="000000"/>
                <w:sz w:val="20"/>
                <w:szCs w:val="20"/>
                <w:lang w:val="en-US"/>
              </w:rPr>
            </w:pPr>
            <w:r>
              <w:rPr>
                <w:rFonts w:eastAsia="Calibri" w:cs="Arial"/>
                <w:b/>
                <w:color w:val="000000"/>
                <w:sz w:val="20"/>
                <w:szCs w:val="20"/>
                <w:lang w:val="en-US"/>
              </w:rPr>
              <w:t>p value</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12CD71C3" w14:textId="77777777" w:rsidR="00641A95" w:rsidRDefault="000E474A" w:rsidP="00D66623">
            <w:pPr>
              <w:spacing w:before="100" w:beforeAutospacing="1" w:after="0" w:line="240" w:lineRule="auto"/>
              <w:rPr>
                <w:rFonts w:eastAsia="Calibri" w:cs="Arial"/>
                <w:b/>
                <w:color w:val="000000"/>
                <w:sz w:val="20"/>
                <w:szCs w:val="20"/>
                <w:lang w:val="en-US"/>
              </w:rPr>
            </w:pPr>
            <w:r>
              <w:rPr>
                <w:rFonts w:eastAsia="Calibri" w:cs="Arial"/>
                <w:b/>
                <w:color w:val="000000"/>
                <w:sz w:val="20"/>
                <w:szCs w:val="20"/>
                <w:lang w:val="en-US"/>
              </w:rPr>
              <w:t xml:space="preserve">mean </w:t>
            </w:r>
            <w:r w:rsidR="00641A95">
              <w:rPr>
                <w:rFonts w:eastAsia="Calibri" w:cs="Arial"/>
                <w:b/>
                <w:color w:val="000000"/>
                <w:sz w:val="20"/>
                <w:szCs w:val="20"/>
                <w:lang w:val="en-US"/>
              </w:rPr>
              <w:t>standardized difference</w:t>
            </w:r>
          </w:p>
        </w:tc>
      </w:tr>
      <w:tr w:rsidR="00641A95" w:rsidRPr="00FF5C7B" w14:paraId="2B7DB4FF"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7324726E" w14:textId="77777777" w:rsidR="00641A95" w:rsidRDefault="00641A95" w:rsidP="00D66623">
            <w:pPr>
              <w:spacing w:before="100" w:beforeAutospacing="1" w:after="0" w:line="240" w:lineRule="auto"/>
              <w:rPr>
                <w:rFonts w:eastAsia="Calibri" w:cs="Arial"/>
                <w:b/>
                <w:bCs/>
                <w:color w:val="000000"/>
                <w:sz w:val="20"/>
                <w:szCs w:val="20"/>
                <w:lang w:val="en-GB"/>
              </w:rPr>
            </w:pPr>
          </w:p>
        </w:tc>
        <w:tc>
          <w:tcPr>
            <w:tcW w:w="2118" w:type="dxa"/>
            <w:tcBorders>
              <w:top w:val="single" w:sz="4" w:space="0" w:color="auto"/>
              <w:left w:val="single" w:sz="4" w:space="0" w:color="auto"/>
              <w:bottom w:val="single" w:sz="4" w:space="0" w:color="auto"/>
              <w:right w:val="nil"/>
            </w:tcBorders>
            <w:shd w:val="clear" w:color="auto" w:fill="auto"/>
          </w:tcPr>
          <w:p w14:paraId="5846CC89" w14:textId="77777777" w:rsidR="00641A95" w:rsidRPr="001D3598" w:rsidRDefault="00110CE6" w:rsidP="00D66623">
            <w:pPr>
              <w:spacing w:before="100" w:beforeAutospacing="1" w:after="0" w:line="240" w:lineRule="auto"/>
              <w:rPr>
                <w:rFonts w:eastAsia="Calibri" w:cs="Arial"/>
                <w:color w:val="000000"/>
                <w:sz w:val="20"/>
                <w:szCs w:val="20"/>
                <w:lang w:val="en-US"/>
              </w:rPr>
            </w:pPr>
            <w:r>
              <w:rPr>
                <w:rFonts w:eastAsia="Calibri" w:cs="Arial"/>
                <w:color w:val="000000"/>
                <w:sz w:val="20"/>
                <w:szCs w:val="20"/>
                <w:lang w:val="en-US"/>
              </w:rPr>
              <w:t>n=901</w:t>
            </w:r>
          </w:p>
        </w:tc>
        <w:tc>
          <w:tcPr>
            <w:tcW w:w="1763" w:type="dxa"/>
            <w:tcBorders>
              <w:top w:val="single" w:sz="4" w:space="0" w:color="auto"/>
              <w:left w:val="single" w:sz="4" w:space="0" w:color="auto"/>
              <w:bottom w:val="single" w:sz="4" w:space="0" w:color="auto"/>
              <w:right w:val="single" w:sz="4" w:space="0" w:color="auto"/>
            </w:tcBorders>
          </w:tcPr>
          <w:p w14:paraId="2F21973C" w14:textId="77777777" w:rsidR="00641A95" w:rsidRPr="001D3598" w:rsidRDefault="00110CE6" w:rsidP="00D66623">
            <w:pPr>
              <w:spacing w:before="100" w:beforeAutospacing="1" w:after="0" w:line="240" w:lineRule="auto"/>
              <w:rPr>
                <w:rFonts w:eastAsia="Calibri" w:cs="Arial"/>
                <w:color w:val="000000"/>
                <w:sz w:val="20"/>
                <w:szCs w:val="20"/>
                <w:lang w:val="en-US"/>
              </w:rPr>
            </w:pPr>
            <w:r>
              <w:rPr>
                <w:rFonts w:eastAsia="Calibri" w:cs="Arial"/>
                <w:color w:val="000000"/>
                <w:sz w:val="20"/>
                <w:szCs w:val="20"/>
                <w:lang w:val="en-US"/>
              </w:rPr>
              <w:t>n=122</w:t>
            </w:r>
          </w:p>
        </w:tc>
        <w:tc>
          <w:tcPr>
            <w:tcW w:w="1511" w:type="dxa"/>
            <w:tcBorders>
              <w:top w:val="single" w:sz="4" w:space="0" w:color="auto"/>
              <w:left w:val="single" w:sz="4" w:space="0" w:color="auto"/>
              <w:bottom w:val="single" w:sz="4" w:space="0" w:color="auto"/>
              <w:right w:val="nil"/>
            </w:tcBorders>
            <w:shd w:val="clear" w:color="auto" w:fill="auto"/>
          </w:tcPr>
          <w:p w14:paraId="36B3AF1D" w14:textId="77777777" w:rsidR="00641A95" w:rsidRPr="001D3598" w:rsidRDefault="00641A95" w:rsidP="00D66623">
            <w:pPr>
              <w:spacing w:before="100" w:beforeAutospacing="1" w:after="0" w:line="240" w:lineRule="auto"/>
              <w:rPr>
                <w:rFonts w:eastAsia="Calibri" w:cs="Arial"/>
                <w:color w:val="000000"/>
                <w:sz w:val="20"/>
                <w:szCs w:val="20"/>
                <w:lang w:val="en-US"/>
              </w:rPr>
            </w:pPr>
          </w:p>
        </w:tc>
        <w:tc>
          <w:tcPr>
            <w:tcW w:w="1450" w:type="dxa"/>
            <w:tcBorders>
              <w:top w:val="single" w:sz="4" w:space="0" w:color="auto"/>
              <w:left w:val="single" w:sz="4" w:space="0" w:color="auto"/>
              <w:bottom w:val="single" w:sz="4" w:space="0" w:color="auto"/>
              <w:right w:val="nil"/>
            </w:tcBorders>
          </w:tcPr>
          <w:p w14:paraId="2651CEF8" w14:textId="77777777" w:rsidR="00641A95" w:rsidRPr="001D3598" w:rsidRDefault="00641A95" w:rsidP="00D66623">
            <w:pPr>
              <w:spacing w:before="100" w:beforeAutospacing="1" w:after="0" w:line="240" w:lineRule="auto"/>
              <w:rPr>
                <w:rFonts w:eastAsia="Calibri" w:cs="Arial"/>
                <w:color w:val="000000"/>
                <w:sz w:val="20"/>
                <w:szCs w:val="20"/>
                <w:lang w:val="en-US"/>
              </w:rPr>
            </w:pPr>
          </w:p>
        </w:tc>
      </w:tr>
      <w:tr w:rsidR="00641A95" w:rsidRPr="00FF5C7B" w14:paraId="6BA694E8" w14:textId="77777777" w:rsidTr="00641A95">
        <w:tc>
          <w:tcPr>
            <w:tcW w:w="2622" w:type="dxa"/>
            <w:tcBorders>
              <w:top w:val="single" w:sz="4" w:space="0" w:color="auto"/>
              <w:left w:val="nil"/>
              <w:bottom w:val="single" w:sz="4" w:space="0" w:color="auto"/>
              <w:right w:val="single" w:sz="4" w:space="0" w:color="auto"/>
            </w:tcBorders>
            <w:shd w:val="clear" w:color="auto" w:fill="auto"/>
            <w:hideMark/>
          </w:tcPr>
          <w:p w14:paraId="10955742" w14:textId="77777777" w:rsidR="00641A95" w:rsidRPr="00933660" w:rsidRDefault="00641A95" w:rsidP="00D66623">
            <w:pPr>
              <w:spacing w:after="0" w:line="240" w:lineRule="auto"/>
              <w:rPr>
                <w:rFonts w:eastAsia="Calibri" w:cs="Arial"/>
                <w:b/>
                <w:bCs/>
                <w:color w:val="000000"/>
                <w:sz w:val="20"/>
                <w:szCs w:val="20"/>
                <w:lang w:val="en-GB"/>
              </w:rPr>
            </w:pPr>
            <w:r w:rsidRPr="00933660">
              <w:rPr>
                <w:rFonts w:eastAsia="Calibri" w:cs="Arial"/>
                <w:b/>
                <w:bCs/>
                <w:color w:val="000000"/>
                <w:sz w:val="20"/>
                <w:szCs w:val="20"/>
                <w:lang w:val="en-GB"/>
              </w:rPr>
              <w:t>Gender</w:t>
            </w:r>
          </w:p>
          <w:p w14:paraId="4C41306E" w14:textId="77777777" w:rsidR="00641A95" w:rsidRDefault="00641A95" w:rsidP="00D66623">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male</w:t>
            </w:r>
          </w:p>
          <w:p w14:paraId="7BEBC14D" w14:textId="77777777" w:rsidR="00641A95" w:rsidRPr="00CB3C55" w:rsidRDefault="00641A95" w:rsidP="00D66623">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female  </w:t>
            </w:r>
          </w:p>
        </w:tc>
        <w:tc>
          <w:tcPr>
            <w:tcW w:w="2118" w:type="dxa"/>
            <w:tcBorders>
              <w:top w:val="single" w:sz="4" w:space="0" w:color="auto"/>
              <w:left w:val="single" w:sz="4" w:space="0" w:color="auto"/>
              <w:bottom w:val="single" w:sz="4" w:space="0" w:color="auto"/>
              <w:right w:val="nil"/>
            </w:tcBorders>
            <w:shd w:val="clear" w:color="auto" w:fill="auto"/>
          </w:tcPr>
          <w:p w14:paraId="1E63A2E8" w14:textId="77777777" w:rsidR="00641A95" w:rsidRDefault="00641A95" w:rsidP="00D66623">
            <w:pPr>
              <w:spacing w:after="0" w:line="240" w:lineRule="auto"/>
              <w:rPr>
                <w:rFonts w:eastAsia="Calibri" w:cs="Arial"/>
                <w:color w:val="000000"/>
                <w:sz w:val="20"/>
                <w:szCs w:val="20"/>
                <w:lang w:val="en-US"/>
              </w:rPr>
            </w:pPr>
          </w:p>
          <w:p w14:paraId="6F6D628A"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729 (80.9)</w:t>
            </w:r>
          </w:p>
          <w:p w14:paraId="526A342E" w14:textId="77777777" w:rsidR="00110CE6" w:rsidRPr="001D3598"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172 (19.1)</w:t>
            </w:r>
          </w:p>
        </w:tc>
        <w:tc>
          <w:tcPr>
            <w:tcW w:w="1763" w:type="dxa"/>
            <w:tcBorders>
              <w:top w:val="single" w:sz="4" w:space="0" w:color="auto"/>
              <w:left w:val="single" w:sz="4" w:space="0" w:color="auto"/>
              <w:bottom w:val="single" w:sz="4" w:space="0" w:color="auto"/>
              <w:right w:val="single" w:sz="4" w:space="0" w:color="auto"/>
            </w:tcBorders>
          </w:tcPr>
          <w:p w14:paraId="4F609FDA" w14:textId="77777777" w:rsidR="00641A95" w:rsidRDefault="00641A95" w:rsidP="00D66623">
            <w:pPr>
              <w:spacing w:after="0" w:line="240" w:lineRule="auto"/>
              <w:rPr>
                <w:rFonts w:eastAsia="Calibri" w:cs="Arial"/>
                <w:color w:val="000000"/>
                <w:sz w:val="20"/>
                <w:szCs w:val="20"/>
                <w:lang w:val="en-US"/>
              </w:rPr>
            </w:pPr>
          </w:p>
          <w:p w14:paraId="48E1518D"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101 (82.8)</w:t>
            </w:r>
          </w:p>
          <w:p w14:paraId="07026285" w14:textId="77777777" w:rsidR="00110CE6" w:rsidRPr="001D3598"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21 (17.2)</w:t>
            </w:r>
          </w:p>
        </w:tc>
        <w:tc>
          <w:tcPr>
            <w:tcW w:w="1511" w:type="dxa"/>
            <w:tcBorders>
              <w:top w:val="single" w:sz="4" w:space="0" w:color="auto"/>
              <w:left w:val="single" w:sz="4" w:space="0" w:color="auto"/>
              <w:bottom w:val="single" w:sz="4" w:space="0" w:color="auto"/>
              <w:right w:val="nil"/>
            </w:tcBorders>
            <w:shd w:val="clear" w:color="auto" w:fill="auto"/>
          </w:tcPr>
          <w:p w14:paraId="018A490F" w14:textId="77777777" w:rsidR="00641A95" w:rsidRPr="001D3598"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0.627</w:t>
            </w:r>
          </w:p>
        </w:tc>
        <w:tc>
          <w:tcPr>
            <w:tcW w:w="1450" w:type="dxa"/>
            <w:tcBorders>
              <w:top w:val="single" w:sz="4" w:space="0" w:color="auto"/>
              <w:left w:val="single" w:sz="4" w:space="0" w:color="auto"/>
              <w:bottom w:val="single" w:sz="4" w:space="0" w:color="auto"/>
              <w:right w:val="nil"/>
            </w:tcBorders>
          </w:tcPr>
          <w:p w14:paraId="31217587"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0.049</w:t>
            </w:r>
          </w:p>
        </w:tc>
      </w:tr>
      <w:tr w:rsidR="00641A95" w:rsidRPr="00A762F3" w14:paraId="2410A498" w14:textId="77777777" w:rsidTr="00641A95">
        <w:tc>
          <w:tcPr>
            <w:tcW w:w="2622" w:type="dxa"/>
            <w:tcBorders>
              <w:top w:val="single" w:sz="4" w:space="0" w:color="auto"/>
              <w:left w:val="nil"/>
              <w:bottom w:val="single" w:sz="4" w:space="0" w:color="auto"/>
              <w:right w:val="single" w:sz="4" w:space="0" w:color="auto"/>
            </w:tcBorders>
            <w:shd w:val="clear" w:color="auto" w:fill="D9D9D9" w:themeFill="background1" w:themeFillShade="D9"/>
            <w:hideMark/>
          </w:tcPr>
          <w:p w14:paraId="70AB7DF4" w14:textId="77777777" w:rsidR="00641A95" w:rsidRPr="00CB3C55" w:rsidRDefault="00641A95" w:rsidP="00D66623">
            <w:pPr>
              <w:spacing w:after="0" w:line="240" w:lineRule="auto"/>
              <w:rPr>
                <w:rFonts w:eastAsia="Calibri" w:cs="Arial"/>
                <w:bCs/>
                <w:color w:val="000000"/>
                <w:sz w:val="20"/>
                <w:szCs w:val="20"/>
                <w:lang w:val="en-US"/>
              </w:rPr>
            </w:pPr>
            <w:r w:rsidRPr="00933660">
              <w:rPr>
                <w:rFonts w:eastAsia="Calibri" w:cs="Arial"/>
                <w:b/>
                <w:color w:val="000000"/>
                <w:sz w:val="20"/>
                <w:szCs w:val="20"/>
                <w:lang w:val="en-US"/>
              </w:rPr>
              <w:t>Age in years</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7E0BF0FF" w14:textId="77777777" w:rsidR="00641A95"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66.7±11.7</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9747A" w14:textId="77777777" w:rsidR="00641A95"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67.2±8.5</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70664050" w14:textId="77777777" w:rsidR="00641A95"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0.988</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1DBE2EA8"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0.050</w:t>
            </w:r>
          </w:p>
        </w:tc>
      </w:tr>
      <w:tr w:rsidR="00641A95" w:rsidRPr="00A762F3" w14:paraId="4E5CA91F"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2D873296" w14:textId="77777777" w:rsidR="00641A95" w:rsidRPr="001C500B" w:rsidRDefault="00641A95" w:rsidP="00D66623">
            <w:pPr>
              <w:spacing w:after="0" w:line="240" w:lineRule="auto"/>
              <w:rPr>
                <w:rFonts w:eastAsia="Calibri" w:cs="Arial"/>
                <w:color w:val="000000"/>
                <w:sz w:val="20"/>
                <w:szCs w:val="20"/>
                <w:vertAlign w:val="superscript"/>
                <w:lang w:val="en-US"/>
              </w:rPr>
            </w:pPr>
            <w:r w:rsidRPr="00933660">
              <w:rPr>
                <w:rFonts w:eastAsia="Calibri" w:cs="Arial"/>
                <w:b/>
                <w:color w:val="000000"/>
                <w:sz w:val="20"/>
                <w:szCs w:val="20"/>
                <w:lang w:val="en-US"/>
              </w:rPr>
              <w:t xml:space="preserve">  ECOG</w:t>
            </w:r>
            <w:r>
              <w:rPr>
                <w:rFonts w:eastAsia="Calibri" w:cs="Arial"/>
                <w:color w:val="000000"/>
                <w:sz w:val="20"/>
                <w:szCs w:val="20"/>
                <w:vertAlign w:val="superscript"/>
                <w:lang w:val="en-US"/>
              </w:rPr>
              <w:t>1</w:t>
            </w:r>
          </w:p>
          <w:p w14:paraId="36AC7664" w14:textId="77777777" w:rsidR="00641A95" w:rsidRPr="00CB3C55" w:rsidRDefault="00641A95" w:rsidP="00D66623">
            <w:pPr>
              <w:spacing w:after="0" w:line="240" w:lineRule="auto"/>
              <w:rPr>
                <w:rFonts w:eastAsia="Calibri" w:cs="Arial"/>
                <w:color w:val="000000"/>
                <w:sz w:val="20"/>
                <w:szCs w:val="20"/>
                <w:lang w:val="en-US"/>
              </w:rPr>
            </w:pPr>
            <w:r w:rsidRPr="00CB3C55">
              <w:rPr>
                <w:rFonts w:eastAsia="Calibri" w:cs="Arial"/>
                <w:color w:val="000000"/>
                <w:sz w:val="20"/>
                <w:szCs w:val="20"/>
                <w:lang w:val="en-US"/>
              </w:rPr>
              <w:t xml:space="preserve">    0</w:t>
            </w:r>
          </w:p>
          <w:p w14:paraId="1146A243" w14:textId="77777777" w:rsidR="00641A95" w:rsidRPr="00CB3C55" w:rsidRDefault="00641A95" w:rsidP="00D66623">
            <w:pPr>
              <w:spacing w:after="0" w:line="240" w:lineRule="auto"/>
              <w:rPr>
                <w:rFonts w:eastAsia="Calibri" w:cs="Arial"/>
                <w:color w:val="000000"/>
                <w:sz w:val="20"/>
                <w:szCs w:val="20"/>
                <w:lang w:val="en-US"/>
              </w:rPr>
            </w:pPr>
            <w:r w:rsidRPr="00CB3C55">
              <w:rPr>
                <w:rFonts w:eastAsia="Calibri" w:cs="Arial"/>
                <w:color w:val="000000"/>
                <w:sz w:val="20"/>
                <w:szCs w:val="20"/>
                <w:lang w:val="en-US"/>
              </w:rPr>
              <w:t xml:space="preserve">    1</w:t>
            </w:r>
          </w:p>
          <w:p w14:paraId="5DCBA633" w14:textId="77777777" w:rsidR="00641A95" w:rsidRPr="00CB3C55" w:rsidRDefault="00641A95" w:rsidP="00D66623">
            <w:pPr>
              <w:spacing w:after="0" w:line="240" w:lineRule="auto"/>
              <w:rPr>
                <w:rFonts w:eastAsia="Calibri" w:cs="Arial"/>
                <w:color w:val="000000"/>
                <w:sz w:val="20"/>
                <w:szCs w:val="20"/>
                <w:lang w:val="en-US"/>
              </w:rPr>
            </w:pPr>
            <w:r w:rsidRPr="00CB3C55">
              <w:rPr>
                <w:rFonts w:eastAsia="Calibri" w:cs="Arial"/>
                <w:color w:val="000000"/>
                <w:sz w:val="20"/>
                <w:szCs w:val="20"/>
                <w:lang w:val="en-US"/>
              </w:rPr>
              <w:t xml:space="preserve">    2</w:t>
            </w:r>
          </w:p>
        </w:tc>
        <w:tc>
          <w:tcPr>
            <w:tcW w:w="2118" w:type="dxa"/>
            <w:tcBorders>
              <w:top w:val="single" w:sz="4" w:space="0" w:color="auto"/>
              <w:left w:val="single" w:sz="4" w:space="0" w:color="auto"/>
              <w:bottom w:val="single" w:sz="4" w:space="0" w:color="auto"/>
              <w:right w:val="nil"/>
            </w:tcBorders>
            <w:shd w:val="clear" w:color="auto" w:fill="auto"/>
          </w:tcPr>
          <w:p w14:paraId="68B3E5C4" w14:textId="77777777" w:rsidR="00641A95" w:rsidRDefault="00641A95" w:rsidP="00D66623">
            <w:pPr>
              <w:spacing w:after="0" w:line="240" w:lineRule="auto"/>
              <w:rPr>
                <w:rFonts w:eastAsia="Calibri" w:cs="Arial"/>
                <w:color w:val="000000"/>
                <w:sz w:val="20"/>
                <w:szCs w:val="20"/>
                <w:lang w:val="en-US"/>
              </w:rPr>
            </w:pPr>
          </w:p>
          <w:p w14:paraId="588277FA"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595 (66.0)</w:t>
            </w:r>
          </w:p>
          <w:p w14:paraId="2041A19E"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186 (20.6)</w:t>
            </w:r>
          </w:p>
          <w:p w14:paraId="10E1DE2D" w14:textId="77777777" w:rsidR="00110CE6"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120 (13.3)</w:t>
            </w:r>
          </w:p>
        </w:tc>
        <w:tc>
          <w:tcPr>
            <w:tcW w:w="1763" w:type="dxa"/>
            <w:tcBorders>
              <w:top w:val="single" w:sz="4" w:space="0" w:color="auto"/>
              <w:left w:val="single" w:sz="4" w:space="0" w:color="auto"/>
              <w:bottom w:val="single" w:sz="4" w:space="0" w:color="auto"/>
              <w:right w:val="single" w:sz="4" w:space="0" w:color="auto"/>
            </w:tcBorders>
          </w:tcPr>
          <w:p w14:paraId="44152B88" w14:textId="77777777" w:rsidR="00641A95" w:rsidRDefault="00641A95" w:rsidP="00D66623">
            <w:pPr>
              <w:spacing w:after="0" w:line="240" w:lineRule="auto"/>
              <w:rPr>
                <w:rFonts w:eastAsia="Calibri" w:cs="Arial"/>
                <w:color w:val="000000"/>
                <w:sz w:val="20"/>
                <w:szCs w:val="20"/>
                <w:lang w:val="en-US"/>
              </w:rPr>
            </w:pPr>
          </w:p>
          <w:p w14:paraId="7B33C94F"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75 (61.5)</w:t>
            </w:r>
          </w:p>
          <w:p w14:paraId="0CBED1CA"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46 (37.7)</w:t>
            </w:r>
          </w:p>
          <w:p w14:paraId="0F82F00D" w14:textId="77777777" w:rsidR="00110CE6"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 (0.8)</w:t>
            </w:r>
          </w:p>
        </w:tc>
        <w:tc>
          <w:tcPr>
            <w:tcW w:w="1511" w:type="dxa"/>
            <w:tcBorders>
              <w:top w:val="single" w:sz="4" w:space="0" w:color="auto"/>
              <w:left w:val="single" w:sz="4" w:space="0" w:color="auto"/>
              <w:bottom w:val="single" w:sz="4" w:space="0" w:color="auto"/>
              <w:right w:val="nil"/>
            </w:tcBorders>
            <w:shd w:val="clear" w:color="auto" w:fill="auto"/>
          </w:tcPr>
          <w:p w14:paraId="2D3FE902" w14:textId="77777777" w:rsidR="00641A95" w:rsidRDefault="00641A95" w:rsidP="00D66623">
            <w:pPr>
              <w:spacing w:after="0" w:line="240" w:lineRule="auto"/>
              <w:rPr>
                <w:rFonts w:eastAsia="Calibri" w:cs="Arial"/>
                <w:color w:val="000000"/>
                <w:sz w:val="20"/>
                <w:szCs w:val="20"/>
                <w:lang w:val="en-US"/>
              </w:rPr>
            </w:pPr>
          </w:p>
          <w:p w14:paraId="07DAB3BE"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0.361</w:t>
            </w:r>
          </w:p>
          <w:p w14:paraId="6C2E3479"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p w14:paraId="439FE57E" w14:textId="77777777" w:rsidR="00110CE6"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tc>
        <w:tc>
          <w:tcPr>
            <w:tcW w:w="1450" w:type="dxa"/>
            <w:tcBorders>
              <w:top w:val="single" w:sz="4" w:space="0" w:color="auto"/>
              <w:left w:val="single" w:sz="4" w:space="0" w:color="auto"/>
              <w:bottom w:val="single" w:sz="4" w:space="0" w:color="auto"/>
              <w:right w:val="nil"/>
            </w:tcBorders>
          </w:tcPr>
          <w:p w14:paraId="6833DD06" w14:textId="77777777" w:rsidR="00641A95" w:rsidRDefault="00641A95" w:rsidP="00D66623">
            <w:pPr>
              <w:spacing w:after="0" w:line="240" w:lineRule="auto"/>
              <w:rPr>
                <w:rFonts w:eastAsia="Calibri" w:cs="Arial"/>
                <w:color w:val="000000"/>
                <w:sz w:val="20"/>
                <w:szCs w:val="20"/>
                <w:lang w:val="en-US"/>
              </w:rPr>
            </w:pPr>
          </w:p>
          <w:p w14:paraId="28B32F9C"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0.094</w:t>
            </w:r>
          </w:p>
          <w:p w14:paraId="7D3633E2"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0.383</w:t>
            </w:r>
          </w:p>
          <w:p w14:paraId="2371587E"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0.504</w:t>
            </w:r>
          </w:p>
        </w:tc>
      </w:tr>
      <w:tr w:rsidR="00641A95" w:rsidRPr="00A762F3" w14:paraId="408F30BC" w14:textId="77777777" w:rsidTr="00641A95">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53D0F1D0" w14:textId="77777777" w:rsidR="00641A95" w:rsidRPr="00DA102A" w:rsidRDefault="00641A95" w:rsidP="00D66623">
            <w:pPr>
              <w:spacing w:after="0" w:line="240" w:lineRule="auto"/>
              <w:rPr>
                <w:rFonts w:eastAsia="Calibri" w:cs="Arial"/>
                <w:b/>
                <w:bCs/>
                <w:color w:val="000000"/>
                <w:sz w:val="20"/>
                <w:szCs w:val="20"/>
                <w:lang w:val="en-US"/>
              </w:rPr>
            </w:pPr>
            <w:r w:rsidRPr="00CB3C55">
              <w:rPr>
                <w:rFonts w:eastAsia="Calibri" w:cs="Arial"/>
                <w:b/>
                <w:bCs/>
                <w:color w:val="000000"/>
                <w:sz w:val="20"/>
                <w:szCs w:val="20"/>
                <w:lang w:val="en-US"/>
              </w:rPr>
              <w:t>Child Score</w:t>
            </w:r>
          </w:p>
          <w:p w14:paraId="11D99374" w14:textId="77777777" w:rsidR="00641A95" w:rsidRPr="00CB3C55" w:rsidRDefault="00641A95" w:rsidP="00D66623">
            <w:pPr>
              <w:spacing w:after="0" w:line="240" w:lineRule="auto"/>
              <w:rPr>
                <w:rFonts w:eastAsia="Calibri" w:cs="Arial"/>
                <w:bCs/>
                <w:color w:val="000000"/>
                <w:sz w:val="20"/>
                <w:szCs w:val="20"/>
                <w:lang w:val="en-US"/>
              </w:rPr>
            </w:pPr>
            <w:r w:rsidRPr="00CB3C55">
              <w:rPr>
                <w:rFonts w:eastAsia="Calibri" w:cs="Arial"/>
                <w:bCs/>
                <w:color w:val="000000"/>
                <w:sz w:val="20"/>
                <w:szCs w:val="20"/>
                <w:lang w:val="en-US"/>
              </w:rPr>
              <w:t xml:space="preserve">  Child A</w:t>
            </w:r>
          </w:p>
          <w:p w14:paraId="62FA8947" w14:textId="77777777" w:rsidR="00641A95" w:rsidRDefault="00641A95" w:rsidP="00D66623">
            <w:pPr>
              <w:spacing w:after="0" w:line="240" w:lineRule="auto"/>
              <w:rPr>
                <w:rFonts w:eastAsia="Calibri" w:cs="Arial"/>
                <w:bCs/>
                <w:color w:val="000000"/>
                <w:sz w:val="20"/>
                <w:szCs w:val="20"/>
                <w:lang w:val="en-US"/>
              </w:rPr>
            </w:pPr>
            <w:r w:rsidRPr="00CB3C55">
              <w:rPr>
                <w:rFonts w:eastAsia="Calibri" w:cs="Arial"/>
                <w:bCs/>
                <w:color w:val="000000"/>
                <w:sz w:val="20"/>
                <w:szCs w:val="20"/>
                <w:lang w:val="en-US"/>
              </w:rPr>
              <w:t xml:space="preserve">  Child B </w:t>
            </w:r>
          </w:p>
          <w:p w14:paraId="40715537" w14:textId="77777777" w:rsidR="00641A95" w:rsidRPr="00CB3C55" w:rsidRDefault="00641A95" w:rsidP="00D66623">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Child C</w:t>
            </w:r>
            <w:r w:rsidRPr="00CB3C55">
              <w:rPr>
                <w:rFonts w:eastAsia="Calibri" w:cs="Arial"/>
                <w:bCs/>
                <w:color w:val="000000"/>
                <w:sz w:val="20"/>
                <w:szCs w:val="20"/>
                <w:lang w:val="en-US"/>
              </w:rPr>
              <w:t xml:space="preserve"> </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56DEF273" w14:textId="77777777" w:rsidR="00641A9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6.1±1.1</w:t>
            </w:r>
          </w:p>
          <w:p w14:paraId="42080CF4"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544 (60.4)</w:t>
            </w:r>
          </w:p>
          <w:p w14:paraId="49E5CB0D"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354 (39.3)</w:t>
            </w:r>
          </w:p>
          <w:p w14:paraId="0FAB8678" w14:textId="77777777" w:rsidR="00110CE6"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3 (0.3)</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526DC7" w14:textId="77777777" w:rsidR="00641A9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5.9±1.2</w:t>
            </w:r>
          </w:p>
          <w:p w14:paraId="6F4A505E"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79 (64.8)</w:t>
            </w:r>
          </w:p>
          <w:p w14:paraId="10FA27A1"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37 (30.3)</w:t>
            </w:r>
          </w:p>
          <w:p w14:paraId="67CEFA2B" w14:textId="77777777" w:rsidR="00110CE6" w:rsidRPr="00CB3C5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 (4.9)</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0A6023AF" w14:textId="77777777" w:rsidR="00641A9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0.027</w:t>
            </w:r>
          </w:p>
          <w:p w14:paraId="25459ECF"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0.375</w:t>
            </w:r>
          </w:p>
          <w:p w14:paraId="7AEA2172"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0.060</w:t>
            </w:r>
          </w:p>
          <w:p w14:paraId="0311FFBD" w14:textId="77777777" w:rsidR="00110CE6" w:rsidRPr="00CB3C55" w:rsidRDefault="00110CE6" w:rsidP="00110CE6">
            <w:pPr>
              <w:spacing w:after="0" w:line="240" w:lineRule="auto"/>
              <w:rPr>
                <w:rFonts w:eastAsia="Calibri" w:cs="Arial"/>
                <w:color w:val="000000"/>
                <w:sz w:val="20"/>
                <w:szCs w:val="20"/>
                <w:lang w:val="en-US"/>
              </w:rPr>
            </w:pPr>
            <w:r>
              <w:rPr>
                <w:rFonts w:eastAsia="Calibri" w:cs="Arial"/>
                <w:color w:val="000000"/>
                <w:sz w:val="20"/>
                <w:szCs w:val="20"/>
                <w:lang w:val="en-US"/>
              </w:rPr>
              <w:t>&lt;0.001</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648CA9BC"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0.166</w:t>
            </w:r>
          </w:p>
          <w:p w14:paraId="0358745C"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0.091</w:t>
            </w:r>
          </w:p>
          <w:p w14:paraId="7374967B"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0.199</w:t>
            </w:r>
          </w:p>
          <w:p w14:paraId="5ABDDB34"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0.292</w:t>
            </w:r>
          </w:p>
        </w:tc>
      </w:tr>
      <w:tr w:rsidR="00641A95" w:rsidRPr="00FF5C7B" w14:paraId="76CA9F6C"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504D63C7" w14:textId="77777777" w:rsidR="00641A95" w:rsidRPr="005449EC" w:rsidRDefault="00641A95" w:rsidP="00D66623">
            <w:pPr>
              <w:spacing w:after="0" w:line="240" w:lineRule="auto"/>
              <w:rPr>
                <w:rFonts w:eastAsia="Calibri" w:cs="Arial"/>
                <w:b/>
                <w:bCs/>
                <w:color w:val="000000"/>
                <w:sz w:val="20"/>
                <w:szCs w:val="20"/>
                <w:vertAlign w:val="superscript"/>
                <w:lang w:val="en-US"/>
              </w:rPr>
            </w:pPr>
            <w:r w:rsidRPr="005449EC">
              <w:rPr>
                <w:rFonts w:eastAsia="Calibri" w:cs="Arial"/>
                <w:b/>
                <w:bCs/>
                <w:color w:val="000000"/>
                <w:sz w:val="20"/>
                <w:szCs w:val="20"/>
                <w:lang w:val="en-US"/>
              </w:rPr>
              <w:t>Previous treatment</w:t>
            </w:r>
            <w:r>
              <w:rPr>
                <w:rFonts w:eastAsia="Calibri" w:cs="Arial"/>
                <w:b/>
                <w:bCs/>
                <w:color w:val="000000"/>
                <w:sz w:val="20"/>
                <w:szCs w:val="20"/>
                <w:vertAlign w:val="superscript"/>
                <w:lang w:val="en-US"/>
              </w:rPr>
              <w:t>#</w:t>
            </w:r>
          </w:p>
          <w:p w14:paraId="43F9AE12" w14:textId="77777777" w:rsidR="00641A95" w:rsidRPr="005449EC" w:rsidRDefault="00641A95" w:rsidP="00D66623">
            <w:pPr>
              <w:spacing w:after="0" w:line="240" w:lineRule="auto"/>
              <w:rPr>
                <w:rFonts w:eastAsia="Calibri" w:cs="Arial"/>
                <w:bCs/>
                <w:color w:val="000000"/>
                <w:sz w:val="20"/>
                <w:szCs w:val="20"/>
                <w:lang w:val="en-US"/>
              </w:rPr>
            </w:pPr>
            <w:r w:rsidRPr="005449EC">
              <w:rPr>
                <w:rFonts w:eastAsia="Calibri" w:cs="Arial"/>
                <w:b/>
                <w:bCs/>
                <w:color w:val="000000"/>
                <w:sz w:val="20"/>
                <w:szCs w:val="20"/>
                <w:lang w:val="en-US"/>
              </w:rPr>
              <w:t xml:space="preserve">  </w:t>
            </w:r>
            <w:r w:rsidRPr="005449EC">
              <w:rPr>
                <w:rFonts w:eastAsia="Calibri" w:cs="Arial"/>
                <w:bCs/>
                <w:color w:val="000000"/>
                <w:sz w:val="20"/>
                <w:szCs w:val="20"/>
                <w:lang w:val="en-US"/>
              </w:rPr>
              <w:t xml:space="preserve"> surgery</w:t>
            </w:r>
          </w:p>
          <w:p w14:paraId="5C97CE24" w14:textId="77777777" w:rsidR="00641A95" w:rsidRDefault="00641A95" w:rsidP="00D66623">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radiofrequency ablation</w:t>
            </w:r>
            <w:r w:rsidRPr="005449EC">
              <w:rPr>
                <w:rFonts w:eastAsia="Calibri" w:cs="Arial"/>
                <w:bCs/>
                <w:color w:val="000000"/>
                <w:sz w:val="20"/>
                <w:szCs w:val="20"/>
                <w:lang w:val="en-US"/>
              </w:rPr>
              <w:t xml:space="preserve">   </w:t>
            </w:r>
          </w:p>
          <w:p w14:paraId="46CC209B" w14:textId="77777777" w:rsidR="00641A95" w:rsidRPr="005449EC" w:rsidRDefault="00641A95" w:rsidP="00641A95">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TACE   </w:t>
            </w:r>
          </w:p>
        </w:tc>
        <w:tc>
          <w:tcPr>
            <w:tcW w:w="2118" w:type="dxa"/>
            <w:tcBorders>
              <w:top w:val="single" w:sz="4" w:space="0" w:color="auto"/>
              <w:left w:val="single" w:sz="4" w:space="0" w:color="auto"/>
              <w:bottom w:val="single" w:sz="4" w:space="0" w:color="auto"/>
              <w:right w:val="nil"/>
            </w:tcBorders>
            <w:shd w:val="clear" w:color="auto" w:fill="auto"/>
          </w:tcPr>
          <w:p w14:paraId="200BB8DF" w14:textId="77777777" w:rsidR="00641A95" w:rsidRDefault="00641A95" w:rsidP="00D66623">
            <w:pPr>
              <w:spacing w:after="0" w:line="240" w:lineRule="auto"/>
              <w:rPr>
                <w:rFonts w:eastAsia="Calibri" w:cs="Arial"/>
                <w:color w:val="000000"/>
                <w:sz w:val="20"/>
                <w:szCs w:val="20"/>
                <w:lang w:val="en-US"/>
              </w:rPr>
            </w:pPr>
          </w:p>
          <w:p w14:paraId="7CBFFF53"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163 (18.1)</w:t>
            </w:r>
          </w:p>
          <w:p w14:paraId="6CB31BD2"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184 (20.4)</w:t>
            </w:r>
          </w:p>
          <w:p w14:paraId="2E3F2D1E" w14:textId="77777777" w:rsidR="00110CE6" w:rsidRPr="005449EC"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485 (53.8)</w:t>
            </w:r>
          </w:p>
        </w:tc>
        <w:tc>
          <w:tcPr>
            <w:tcW w:w="1763" w:type="dxa"/>
            <w:tcBorders>
              <w:top w:val="single" w:sz="4" w:space="0" w:color="auto"/>
              <w:left w:val="single" w:sz="4" w:space="0" w:color="auto"/>
              <w:bottom w:val="single" w:sz="4" w:space="0" w:color="auto"/>
              <w:right w:val="single" w:sz="4" w:space="0" w:color="auto"/>
            </w:tcBorders>
          </w:tcPr>
          <w:p w14:paraId="48B2AC0B" w14:textId="77777777" w:rsidR="00641A95" w:rsidRDefault="00641A95" w:rsidP="00D66623">
            <w:pPr>
              <w:spacing w:after="0" w:line="240" w:lineRule="auto"/>
              <w:rPr>
                <w:rFonts w:eastAsia="Calibri" w:cs="Arial"/>
                <w:color w:val="000000"/>
                <w:sz w:val="20"/>
                <w:szCs w:val="20"/>
                <w:lang w:val="en-US"/>
              </w:rPr>
            </w:pPr>
          </w:p>
          <w:p w14:paraId="097EFB2A"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21 (17.2)</w:t>
            </w:r>
          </w:p>
          <w:p w14:paraId="67763393"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 (4.9)</w:t>
            </w:r>
          </w:p>
          <w:p w14:paraId="3CA58CE2" w14:textId="77777777" w:rsidR="00110CE6" w:rsidRPr="005449EC"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51 (41.8)</w:t>
            </w:r>
          </w:p>
        </w:tc>
        <w:tc>
          <w:tcPr>
            <w:tcW w:w="1511" w:type="dxa"/>
            <w:tcBorders>
              <w:top w:val="single" w:sz="4" w:space="0" w:color="auto"/>
              <w:left w:val="single" w:sz="4" w:space="0" w:color="auto"/>
              <w:bottom w:val="single" w:sz="4" w:space="0" w:color="auto"/>
              <w:right w:val="nil"/>
            </w:tcBorders>
            <w:shd w:val="clear" w:color="auto" w:fill="auto"/>
          </w:tcPr>
          <w:p w14:paraId="361A84F5" w14:textId="77777777" w:rsidR="00641A95" w:rsidRDefault="00641A95" w:rsidP="00D66623">
            <w:pPr>
              <w:spacing w:after="0" w:line="240" w:lineRule="auto"/>
              <w:rPr>
                <w:rFonts w:eastAsia="Calibri" w:cs="Arial"/>
                <w:color w:val="000000"/>
                <w:sz w:val="20"/>
                <w:szCs w:val="20"/>
                <w:lang w:val="en-US"/>
              </w:rPr>
            </w:pPr>
          </w:p>
          <w:p w14:paraId="326B7017"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0.900</w:t>
            </w:r>
          </w:p>
          <w:p w14:paraId="5EB7E7F6"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p w14:paraId="504ABEC1" w14:textId="77777777" w:rsidR="00DE4F4C" w:rsidRPr="005449E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0.016</w:t>
            </w:r>
          </w:p>
        </w:tc>
        <w:tc>
          <w:tcPr>
            <w:tcW w:w="1450" w:type="dxa"/>
            <w:tcBorders>
              <w:top w:val="single" w:sz="4" w:space="0" w:color="auto"/>
              <w:left w:val="single" w:sz="4" w:space="0" w:color="auto"/>
              <w:bottom w:val="single" w:sz="4" w:space="0" w:color="auto"/>
              <w:right w:val="nil"/>
            </w:tcBorders>
          </w:tcPr>
          <w:p w14:paraId="5E84CBA7" w14:textId="77777777" w:rsidR="00641A95" w:rsidRDefault="00641A95" w:rsidP="00D66623">
            <w:pPr>
              <w:spacing w:after="0" w:line="240" w:lineRule="auto"/>
              <w:rPr>
                <w:rFonts w:eastAsia="Calibri" w:cs="Arial"/>
                <w:color w:val="000000"/>
                <w:sz w:val="20"/>
                <w:szCs w:val="20"/>
                <w:lang w:val="en-US"/>
              </w:rPr>
            </w:pPr>
          </w:p>
          <w:p w14:paraId="2785A1D5"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0.024</w:t>
            </w:r>
          </w:p>
          <w:p w14:paraId="4C9E2BE4"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0.480</w:t>
            </w:r>
          </w:p>
          <w:p w14:paraId="6B06968D"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0.242</w:t>
            </w:r>
          </w:p>
        </w:tc>
      </w:tr>
      <w:tr w:rsidR="00641A95" w:rsidRPr="00FF5C7B" w14:paraId="42213640" w14:textId="77777777" w:rsidTr="00641A95">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5652EA58" w14:textId="77777777" w:rsidR="00641A95" w:rsidRDefault="00641A95" w:rsidP="00D66623">
            <w:pPr>
              <w:spacing w:after="0" w:line="240" w:lineRule="auto"/>
              <w:rPr>
                <w:rFonts w:eastAsia="Calibri" w:cs="Arial"/>
                <w:b/>
                <w:bCs/>
                <w:color w:val="000000"/>
                <w:sz w:val="20"/>
                <w:szCs w:val="20"/>
                <w:lang w:val="en-US"/>
              </w:rPr>
            </w:pPr>
            <w:r>
              <w:rPr>
                <w:rFonts w:eastAsia="Calibri" w:cs="Arial"/>
                <w:b/>
                <w:bCs/>
                <w:color w:val="000000"/>
                <w:sz w:val="20"/>
                <w:szCs w:val="20"/>
                <w:lang w:val="en-US"/>
              </w:rPr>
              <w:t>Intrahepatic tumor expansion</w:t>
            </w:r>
          </w:p>
          <w:p w14:paraId="45F51267" w14:textId="77777777" w:rsidR="00641A95" w:rsidRDefault="00641A95" w:rsidP="00D66623">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Pr>
                <w:rFonts w:eastAsia="Calibri" w:cs="Arial"/>
                <w:bCs/>
                <w:color w:val="000000"/>
                <w:sz w:val="20"/>
                <w:szCs w:val="20"/>
                <w:lang w:val="en-US"/>
              </w:rPr>
              <w:t>oligonodular</w:t>
            </w:r>
          </w:p>
          <w:p w14:paraId="65CFCA7D" w14:textId="77777777" w:rsidR="00641A95" w:rsidRPr="00CF02D6" w:rsidRDefault="00641A95" w:rsidP="00D66623">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multifocal</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6F980BC7" w14:textId="77777777" w:rsidR="00641A95" w:rsidRPr="00110CE6" w:rsidRDefault="00110CE6" w:rsidP="00D66623">
            <w:pPr>
              <w:spacing w:after="0" w:line="240" w:lineRule="auto"/>
              <w:rPr>
                <w:rFonts w:eastAsia="Calibri" w:cs="Arial"/>
                <w:color w:val="000000"/>
                <w:sz w:val="16"/>
                <w:szCs w:val="16"/>
                <w:lang w:val="en-US"/>
              </w:rPr>
            </w:pPr>
            <w:r w:rsidRPr="00110CE6">
              <w:rPr>
                <w:rFonts w:eastAsia="Calibri" w:cs="Arial"/>
                <w:color w:val="000000"/>
                <w:sz w:val="16"/>
                <w:szCs w:val="16"/>
                <w:lang w:val="en-US"/>
              </w:rPr>
              <w:t>n=719</w:t>
            </w:r>
          </w:p>
          <w:p w14:paraId="3708C07D" w14:textId="77777777" w:rsidR="00110CE6" w:rsidRDefault="00110CE6" w:rsidP="00D66623">
            <w:pPr>
              <w:spacing w:after="0" w:line="240" w:lineRule="auto"/>
              <w:rPr>
                <w:rFonts w:eastAsia="Calibri" w:cs="Arial"/>
                <w:color w:val="000000"/>
                <w:sz w:val="20"/>
                <w:szCs w:val="20"/>
                <w:lang w:val="en-US"/>
              </w:rPr>
            </w:pPr>
          </w:p>
          <w:p w14:paraId="65CD442A"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168 (23.4)</w:t>
            </w:r>
          </w:p>
          <w:p w14:paraId="0EBCE769" w14:textId="77777777" w:rsidR="00110CE6"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551 (76.6)</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66D0F" w14:textId="77777777" w:rsidR="00641A95" w:rsidRDefault="00641A95" w:rsidP="00D66623">
            <w:pPr>
              <w:spacing w:after="0" w:line="240" w:lineRule="auto"/>
              <w:rPr>
                <w:rFonts w:eastAsia="Calibri" w:cs="Arial"/>
                <w:color w:val="000000"/>
                <w:sz w:val="20"/>
                <w:szCs w:val="20"/>
                <w:lang w:val="en-US"/>
              </w:rPr>
            </w:pPr>
          </w:p>
          <w:p w14:paraId="1192779F"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65 (53.3)</w:t>
            </w:r>
          </w:p>
          <w:p w14:paraId="3B03D7D2" w14:textId="77777777" w:rsidR="00110CE6"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57 (46.7)</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1D7B583F"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p w14:paraId="1FF518B1" w14:textId="77777777" w:rsidR="00DE4F4C" w:rsidRPr="0071741E" w:rsidRDefault="00DE4F4C" w:rsidP="00D66623">
            <w:pPr>
              <w:spacing w:after="0" w:line="240" w:lineRule="auto"/>
              <w:rPr>
                <w:rFonts w:eastAsia="Calibri" w:cs="Arial"/>
                <w:color w:val="000000"/>
                <w:sz w:val="20"/>
                <w:szCs w:val="20"/>
                <w:lang w:val="en-US"/>
              </w:rPr>
            </w:pP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18C113CC"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0.646</w:t>
            </w:r>
          </w:p>
        </w:tc>
      </w:tr>
      <w:tr w:rsidR="00641A95" w:rsidRPr="00FF5C7B" w14:paraId="4657E2FB"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0F2B177C" w14:textId="77777777" w:rsidR="00641A95" w:rsidRPr="001C500B" w:rsidRDefault="00641A95" w:rsidP="00D66623">
            <w:pPr>
              <w:spacing w:after="0" w:line="240" w:lineRule="auto"/>
              <w:rPr>
                <w:rFonts w:eastAsia="Calibri" w:cs="Arial"/>
                <w:bCs/>
                <w:color w:val="000000"/>
                <w:sz w:val="20"/>
                <w:szCs w:val="20"/>
                <w:vertAlign w:val="superscript"/>
                <w:lang w:val="en-US"/>
              </w:rPr>
            </w:pPr>
            <w:r>
              <w:rPr>
                <w:rFonts w:eastAsia="Calibri" w:cs="Arial"/>
                <w:b/>
                <w:bCs/>
                <w:color w:val="000000"/>
                <w:sz w:val="20"/>
                <w:szCs w:val="20"/>
                <w:lang w:val="en-US"/>
              </w:rPr>
              <w:t>BCLC</w:t>
            </w:r>
            <w:r>
              <w:rPr>
                <w:rFonts w:eastAsia="Calibri" w:cs="Arial"/>
                <w:bCs/>
                <w:color w:val="000000"/>
                <w:sz w:val="20"/>
                <w:szCs w:val="20"/>
                <w:vertAlign w:val="superscript"/>
                <w:lang w:val="en-US"/>
              </w:rPr>
              <w:t>2</w:t>
            </w:r>
          </w:p>
          <w:p w14:paraId="0330A88C" w14:textId="77777777" w:rsidR="00641A95" w:rsidRPr="00641A95" w:rsidRDefault="00641A95" w:rsidP="00D66623">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sidRPr="00641A95">
              <w:rPr>
                <w:rFonts w:eastAsia="Calibri" w:cs="Arial"/>
                <w:bCs/>
                <w:color w:val="000000"/>
                <w:sz w:val="20"/>
                <w:szCs w:val="20"/>
                <w:lang w:val="en-US"/>
              </w:rPr>
              <w:t>A</w:t>
            </w:r>
          </w:p>
          <w:p w14:paraId="7CBEB4AF" w14:textId="77777777" w:rsidR="00641A95" w:rsidRDefault="00641A95" w:rsidP="00D66623">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Pr>
                <w:rFonts w:eastAsia="Calibri" w:cs="Arial"/>
                <w:bCs/>
                <w:color w:val="000000"/>
                <w:sz w:val="20"/>
                <w:szCs w:val="20"/>
                <w:lang w:val="en-US"/>
              </w:rPr>
              <w:t>B</w:t>
            </w:r>
          </w:p>
          <w:p w14:paraId="3B2695C3" w14:textId="77777777" w:rsidR="00641A95" w:rsidRPr="00CF02D6" w:rsidRDefault="00641A95" w:rsidP="00D66623">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C</w:t>
            </w:r>
          </w:p>
        </w:tc>
        <w:tc>
          <w:tcPr>
            <w:tcW w:w="2118" w:type="dxa"/>
            <w:tcBorders>
              <w:top w:val="single" w:sz="4" w:space="0" w:color="auto"/>
              <w:left w:val="single" w:sz="4" w:space="0" w:color="auto"/>
              <w:bottom w:val="single" w:sz="4" w:space="0" w:color="auto"/>
              <w:right w:val="nil"/>
            </w:tcBorders>
            <w:shd w:val="clear" w:color="auto" w:fill="auto"/>
          </w:tcPr>
          <w:p w14:paraId="524C31E1" w14:textId="77777777" w:rsidR="00641A95" w:rsidRDefault="00641A95" w:rsidP="00D66623">
            <w:pPr>
              <w:spacing w:after="0" w:line="240" w:lineRule="auto"/>
              <w:rPr>
                <w:rFonts w:eastAsia="Calibri" w:cs="Arial"/>
                <w:color w:val="000000"/>
                <w:sz w:val="20"/>
                <w:szCs w:val="20"/>
                <w:lang w:val="en-US"/>
              </w:rPr>
            </w:pPr>
          </w:p>
          <w:p w14:paraId="50226EFC"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41 (4.6)</w:t>
            </w:r>
          </w:p>
          <w:p w14:paraId="5408A91D"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242 (26.9)</w:t>
            </w:r>
          </w:p>
          <w:p w14:paraId="6B4CA921" w14:textId="77777777" w:rsidR="00110CE6"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618 (68.6)</w:t>
            </w:r>
          </w:p>
        </w:tc>
        <w:tc>
          <w:tcPr>
            <w:tcW w:w="1763" w:type="dxa"/>
            <w:tcBorders>
              <w:top w:val="single" w:sz="4" w:space="0" w:color="auto"/>
              <w:left w:val="single" w:sz="4" w:space="0" w:color="auto"/>
              <w:bottom w:val="single" w:sz="4" w:space="0" w:color="auto"/>
              <w:right w:val="single" w:sz="4" w:space="0" w:color="auto"/>
            </w:tcBorders>
          </w:tcPr>
          <w:p w14:paraId="770150E5" w14:textId="77777777" w:rsidR="00641A95" w:rsidRDefault="00641A95" w:rsidP="00D66623">
            <w:pPr>
              <w:spacing w:after="0" w:line="240" w:lineRule="auto"/>
              <w:rPr>
                <w:rFonts w:eastAsia="Calibri" w:cs="Arial"/>
                <w:color w:val="000000"/>
                <w:sz w:val="20"/>
                <w:szCs w:val="20"/>
                <w:lang w:val="en-US"/>
              </w:rPr>
            </w:pPr>
          </w:p>
          <w:p w14:paraId="08894F6A"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 (4.9)</w:t>
            </w:r>
          </w:p>
          <w:p w14:paraId="16B8507B"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69 (56.6)</w:t>
            </w:r>
          </w:p>
          <w:p w14:paraId="37F43049" w14:textId="77777777" w:rsidR="00110CE6"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47 (38.5)</w:t>
            </w:r>
          </w:p>
        </w:tc>
        <w:tc>
          <w:tcPr>
            <w:tcW w:w="1511" w:type="dxa"/>
            <w:tcBorders>
              <w:top w:val="single" w:sz="4" w:space="0" w:color="auto"/>
              <w:left w:val="single" w:sz="4" w:space="0" w:color="auto"/>
              <w:bottom w:val="single" w:sz="4" w:space="0" w:color="auto"/>
              <w:right w:val="nil"/>
            </w:tcBorders>
            <w:shd w:val="clear" w:color="auto" w:fill="auto"/>
          </w:tcPr>
          <w:p w14:paraId="2DED43CD" w14:textId="77777777" w:rsidR="00641A95" w:rsidRDefault="00641A95" w:rsidP="00D66623">
            <w:pPr>
              <w:spacing w:after="0" w:line="240" w:lineRule="auto"/>
              <w:rPr>
                <w:rFonts w:eastAsia="Calibri" w:cs="Arial"/>
                <w:color w:val="000000"/>
                <w:sz w:val="20"/>
                <w:szCs w:val="20"/>
                <w:lang w:val="en-US"/>
              </w:rPr>
            </w:pPr>
          </w:p>
          <w:p w14:paraId="024EDCCE"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0.999</w:t>
            </w:r>
          </w:p>
          <w:p w14:paraId="26796955"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p w14:paraId="1ACAB8F3" w14:textId="77777777" w:rsidR="00DE4F4C" w:rsidRPr="0071741E"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tc>
        <w:tc>
          <w:tcPr>
            <w:tcW w:w="1450" w:type="dxa"/>
            <w:tcBorders>
              <w:top w:val="single" w:sz="4" w:space="0" w:color="auto"/>
              <w:left w:val="single" w:sz="4" w:space="0" w:color="auto"/>
              <w:bottom w:val="single" w:sz="4" w:space="0" w:color="auto"/>
              <w:right w:val="nil"/>
            </w:tcBorders>
          </w:tcPr>
          <w:p w14:paraId="6E260F4D" w14:textId="77777777" w:rsidR="00641A95" w:rsidRDefault="00641A95" w:rsidP="00D66623">
            <w:pPr>
              <w:spacing w:after="0" w:line="240" w:lineRule="auto"/>
              <w:rPr>
                <w:rFonts w:eastAsia="Calibri" w:cs="Arial"/>
                <w:color w:val="000000"/>
                <w:sz w:val="20"/>
                <w:szCs w:val="20"/>
                <w:lang w:val="en-US"/>
              </w:rPr>
            </w:pPr>
          </w:p>
          <w:p w14:paraId="4525F2AF"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0.014</w:t>
            </w:r>
          </w:p>
          <w:p w14:paraId="5BDC0B33"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0.632</w:t>
            </w:r>
          </w:p>
          <w:p w14:paraId="23A68563"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0.633</w:t>
            </w:r>
          </w:p>
        </w:tc>
      </w:tr>
      <w:tr w:rsidR="00641A95" w:rsidRPr="004A711E" w14:paraId="43D5BEE4" w14:textId="77777777" w:rsidTr="00641A95">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34ABA3FB" w14:textId="77777777" w:rsidR="00641A95" w:rsidRPr="0071741E" w:rsidRDefault="00641A95" w:rsidP="00D66623">
            <w:pPr>
              <w:spacing w:after="0" w:line="240" w:lineRule="auto"/>
              <w:rPr>
                <w:rFonts w:eastAsia="Calibri" w:cs="Arial"/>
                <w:b/>
                <w:bCs/>
                <w:color w:val="000000"/>
                <w:sz w:val="20"/>
                <w:szCs w:val="20"/>
                <w:lang w:val="en-US"/>
              </w:rPr>
            </w:pPr>
            <w:r w:rsidRPr="00CB3C55">
              <w:rPr>
                <w:rFonts w:eastAsia="Calibri" w:cs="Arial"/>
                <w:b/>
                <w:bCs/>
                <w:color w:val="000000"/>
                <w:sz w:val="20"/>
                <w:szCs w:val="20"/>
                <w:lang w:val="en-US"/>
              </w:rPr>
              <w:t>Largest tumor diameter</w:t>
            </w:r>
            <w:r w:rsidRPr="000146E7">
              <w:rPr>
                <w:rFonts w:eastAsia="Calibri" w:cs="Arial"/>
                <w:bCs/>
                <w:color w:val="000000"/>
                <w:sz w:val="20"/>
                <w:szCs w:val="20"/>
                <w:lang w:val="en-US"/>
              </w:rPr>
              <w:t xml:space="preserve"> [cm]</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37BEA422" w14:textId="77777777" w:rsidR="00641A95"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5.9±4.1</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AB7EED" w14:textId="77777777" w:rsidR="00641A95"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5.6±3.4</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79310404" w14:textId="77777777" w:rsidR="00641A95" w:rsidRPr="0071741E"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0.836</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6873F6F3"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0.080</w:t>
            </w:r>
          </w:p>
        </w:tc>
      </w:tr>
      <w:tr w:rsidR="00641A95" w:rsidRPr="004A711E" w14:paraId="236AC8B1"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7A08F8E8" w14:textId="77777777" w:rsidR="00641A95" w:rsidRPr="004A711E" w:rsidRDefault="00641A95" w:rsidP="00D66623">
            <w:pPr>
              <w:spacing w:after="0" w:line="240" w:lineRule="auto"/>
              <w:rPr>
                <w:rFonts w:eastAsia="Calibri" w:cs="Arial"/>
                <w:bCs/>
                <w:color w:val="000000"/>
                <w:sz w:val="20"/>
                <w:szCs w:val="20"/>
                <w:lang w:val="en-US"/>
              </w:rPr>
            </w:pPr>
            <w:r>
              <w:rPr>
                <w:rFonts w:eastAsia="Calibri" w:cs="Arial"/>
                <w:b/>
                <w:bCs/>
                <w:color w:val="000000"/>
                <w:sz w:val="20"/>
                <w:szCs w:val="20"/>
                <w:lang w:val="en-US"/>
              </w:rPr>
              <w:t>PVT</w:t>
            </w:r>
            <w:r>
              <w:rPr>
                <w:rFonts w:eastAsia="Calibri" w:cs="Arial"/>
                <w:bCs/>
                <w:color w:val="000000"/>
                <w:sz w:val="20"/>
                <w:szCs w:val="20"/>
                <w:vertAlign w:val="superscript"/>
                <w:lang w:val="en-US"/>
              </w:rPr>
              <w:t>3</w:t>
            </w:r>
          </w:p>
        </w:tc>
        <w:tc>
          <w:tcPr>
            <w:tcW w:w="2118" w:type="dxa"/>
            <w:tcBorders>
              <w:top w:val="single" w:sz="4" w:space="0" w:color="auto"/>
              <w:left w:val="single" w:sz="4" w:space="0" w:color="auto"/>
              <w:bottom w:val="single" w:sz="4" w:space="0" w:color="auto"/>
              <w:right w:val="nil"/>
            </w:tcBorders>
            <w:shd w:val="clear" w:color="auto" w:fill="auto"/>
          </w:tcPr>
          <w:p w14:paraId="4541D271" w14:textId="77777777" w:rsidR="00641A95"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306 (34.0)</w:t>
            </w:r>
          </w:p>
        </w:tc>
        <w:tc>
          <w:tcPr>
            <w:tcW w:w="1763" w:type="dxa"/>
            <w:tcBorders>
              <w:top w:val="single" w:sz="4" w:space="0" w:color="auto"/>
              <w:left w:val="single" w:sz="4" w:space="0" w:color="auto"/>
              <w:bottom w:val="single" w:sz="4" w:space="0" w:color="auto"/>
              <w:right w:val="single" w:sz="4" w:space="0" w:color="auto"/>
            </w:tcBorders>
          </w:tcPr>
          <w:p w14:paraId="09332421" w14:textId="77777777" w:rsidR="00641A95" w:rsidRPr="0071741E"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22 (18.0)</w:t>
            </w:r>
          </w:p>
        </w:tc>
        <w:tc>
          <w:tcPr>
            <w:tcW w:w="1511" w:type="dxa"/>
            <w:tcBorders>
              <w:top w:val="single" w:sz="4" w:space="0" w:color="auto"/>
              <w:left w:val="single" w:sz="4" w:space="0" w:color="auto"/>
              <w:bottom w:val="single" w:sz="4" w:space="0" w:color="auto"/>
              <w:right w:val="nil"/>
            </w:tcBorders>
            <w:shd w:val="clear" w:color="auto" w:fill="auto"/>
          </w:tcPr>
          <w:p w14:paraId="09FDA8C2" w14:textId="77777777" w:rsidR="00641A95" w:rsidRPr="0071741E"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tc>
        <w:tc>
          <w:tcPr>
            <w:tcW w:w="1450" w:type="dxa"/>
            <w:tcBorders>
              <w:top w:val="single" w:sz="4" w:space="0" w:color="auto"/>
              <w:left w:val="single" w:sz="4" w:space="0" w:color="auto"/>
              <w:bottom w:val="single" w:sz="4" w:space="0" w:color="auto"/>
              <w:right w:val="nil"/>
            </w:tcBorders>
          </w:tcPr>
          <w:p w14:paraId="633FD8BD"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0.371</w:t>
            </w:r>
          </w:p>
        </w:tc>
      </w:tr>
      <w:tr w:rsidR="00641A95" w:rsidRPr="004A711E" w14:paraId="758BA358" w14:textId="77777777" w:rsidTr="00641A95">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52A1F5B5" w14:textId="77777777" w:rsidR="00641A95" w:rsidRPr="004A711E" w:rsidRDefault="00641A95" w:rsidP="00641A95">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Extrahepatic metastases   </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2A5BFE91" w14:textId="77777777" w:rsidR="00641A9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322 (35.7)</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41C40A" w14:textId="77777777" w:rsidR="00641A95"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16 (13.1)</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440A726C"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&lt;0.001</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5FD47B50" w14:textId="77777777" w:rsidR="00641A95"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0.545</w:t>
            </w:r>
          </w:p>
        </w:tc>
      </w:tr>
      <w:tr w:rsidR="00641A95" w:rsidRPr="004A711E" w14:paraId="058DE1A1"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09066DC5" w14:textId="77777777" w:rsidR="00641A95" w:rsidRDefault="00641A95" w:rsidP="00D66623">
            <w:pPr>
              <w:spacing w:after="0" w:line="240" w:lineRule="auto"/>
              <w:rPr>
                <w:rFonts w:eastAsia="Calibri" w:cs="Arial"/>
                <w:b/>
                <w:bCs/>
                <w:color w:val="000000"/>
                <w:sz w:val="20"/>
                <w:szCs w:val="20"/>
                <w:lang w:val="en-US"/>
              </w:rPr>
            </w:pPr>
            <w:r>
              <w:rPr>
                <w:rFonts w:eastAsia="Calibri" w:cs="Arial"/>
                <w:b/>
                <w:bCs/>
                <w:color w:val="000000"/>
                <w:sz w:val="20"/>
                <w:szCs w:val="20"/>
                <w:lang w:val="en-US"/>
              </w:rPr>
              <w:t>Laboratory</w:t>
            </w:r>
          </w:p>
          <w:p w14:paraId="56ADC959" w14:textId="77777777" w:rsidR="00641A95" w:rsidRPr="009050A6" w:rsidRDefault="00641A95" w:rsidP="00D66623">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Pr>
                <w:rFonts w:eastAsia="Calibri" w:cs="Arial"/>
                <w:bCs/>
                <w:color w:val="000000"/>
                <w:sz w:val="20"/>
                <w:szCs w:val="20"/>
                <w:lang w:val="en-US"/>
              </w:rPr>
              <w:t xml:space="preserve"> </w:t>
            </w:r>
            <w:r w:rsidRPr="009050A6">
              <w:rPr>
                <w:rFonts w:eastAsia="Calibri" w:cs="Arial"/>
                <w:bCs/>
                <w:color w:val="000000"/>
                <w:sz w:val="20"/>
                <w:szCs w:val="20"/>
                <w:lang w:val="en-US"/>
              </w:rPr>
              <w:t>AST</w:t>
            </w:r>
            <w:r>
              <w:rPr>
                <w:rFonts w:eastAsia="Calibri" w:cs="Arial"/>
                <w:bCs/>
                <w:color w:val="000000"/>
                <w:sz w:val="20"/>
                <w:szCs w:val="20"/>
                <w:vertAlign w:val="superscript"/>
                <w:lang w:val="en-US"/>
              </w:rPr>
              <w:t>5</w:t>
            </w:r>
            <w:r w:rsidRPr="009050A6">
              <w:rPr>
                <w:rFonts w:eastAsia="Calibri" w:cs="Arial"/>
                <w:bCs/>
                <w:color w:val="000000"/>
                <w:sz w:val="20"/>
                <w:szCs w:val="20"/>
                <w:lang w:val="en-US"/>
              </w:rPr>
              <w:t xml:space="preserve"> [U/l]</w:t>
            </w:r>
          </w:p>
          <w:p w14:paraId="641250AB" w14:textId="77777777" w:rsidR="00641A95" w:rsidRPr="004A711E" w:rsidRDefault="00641A95" w:rsidP="00D66623">
            <w:pPr>
              <w:spacing w:after="0" w:line="240" w:lineRule="auto"/>
              <w:rPr>
                <w:rFonts w:eastAsia="Calibri" w:cs="Arial"/>
                <w:bCs/>
                <w:color w:val="000000"/>
                <w:sz w:val="20"/>
                <w:szCs w:val="20"/>
                <w:lang w:val="en-US"/>
              </w:rPr>
            </w:pPr>
            <w:r w:rsidRPr="009050A6">
              <w:rPr>
                <w:rFonts w:eastAsia="Calibri" w:cs="Arial"/>
                <w:bCs/>
                <w:color w:val="000000"/>
                <w:sz w:val="20"/>
                <w:szCs w:val="20"/>
                <w:lang w:val="en-US"/>
              </w:rPr>
              <w:t xml:space="preserve">   </w:t>
            </w:r>
            <w:r w:rsidRPr="004A711E">
              <w:rPr>
                <w:rFonts w:eastAsia="Calibri" w:cs="Arial"/>
                <w:bCs/>
                <w:color w:val="000000"/>
                <w:sz w:val="20"/>
                <w:szCs w:val="20"/>
                <w:lang w:val="en-US"/>
              </w:rPr>
              <w:t>ALT</w:t>
            </w:r>
            <w:r>
              <w:rPr>
                <w:rFonts w:eastAsia="Calibri" w:cs="Arial"/>
                <w:bCs/>
                <w:color w:val="000000"/>
                <w:sz w:val="20"/>
                <w:szCs w:val="20"/>
                <w:vertAlign w:val="superscript"/>
                <w:lang w:val="en-US"/>
              </w:rPr>
              <w:t>6</w:t>
            </w:r>
            <w:r w:rsidRPr="004A711E">
              <w:rPr>
                <w:rFonts w:eastAsia="Calibri" w:cs="Arial"/>
                <w:bCs/>
                <w:color w:val="000000"/>
                <w:sz w:val="20"/>
                <w:szCs w:val="20"/>
                <w:lang w:val="en-US"/>
              </w:rPr>
              <w:t xml:space="preserve"> [U/l]</w:t>
            </w:r>
          </w:p>
          <w:p w14:paraId="2DAD9B32" w14:textId="77777777" w:rsidR="00641A95" w:rsidRPr="00527C5D" w:rsidRDefault="00641A95" w:rsidP="00D66623">
            <w:pPr>
              <w:spacing w:after="0" w:line="240" w:lineRule="auto"/>
              <w:rPr>
                <w:rFonts w:eastAsia="Calibri" w:cs="Arial"/>
                <w:bCs/>
                <w:color w:val="000000"/>
                <w:sz w:val="20"/>
                <w:szCs w:val="20"/>
              </w:rPr>
            </w:pPr>
            <w:r w:rsidRPr="004A711E">
              <w:rPr>
                <w:rFonts w:eastAsia="Calibri" w:cs="Arial"/>
                <w:bCs/>
                <w:color w:val="000000"/>
                <w:sz w:val="20"/>
                <w:szCs w:val="20"/>
                <w:lang w:val="en-US"/>
              </w:rPr>
              <w:t xml:space="preserve">   </w:t>
            </w:r>
            <w:r w:rsidRPr="00527C5D">
              <w:rPr>
                <w:rFonts w:eastAsia="Calibri" w:cs="Arial"/>
                <w:bCs/>
                <w:color w:val="000000"/>
                <w:sz w:val="20"/>
                <w:szCs w:val="20"/>
              </w:rPr>
              <w:t>bilirubin [mg/dl]</w:t>
            </w:r>
          </w:p>
          <w:p w14:paraId="7827964A" w14:textId="77777777" w:rsidR="00641A95" w:rsidRPr="00527C5D" w:rsidRDefault="00641A95" w:rsidP="00D66623">
            <w:pPr>
              <w:spacing w:after="0" w:line="240" w:lineRule="auto"/>
              <w:rPr>
                <w:rFonts w:eastAsia="Calibri" w:cs="Arial"/>
                <w:bCs/>
                <w:color w:val="000000"/>
                <w:sz w:val="20"/>
                <w:szCs w:val="20"/>
              </w:rPr>
            </w:pPr>
            <w:r w:rsidRPr="00527C5D">
              <w:rPr>
                <w:rFonts w:eastAsia="Calibri" w:cs="Arial"/>
                <w:bCs/>
                <w:color w:val="000000"/>
                <w:sz w:val="20"/>
                <w:szCs w:val="20"/>
              </w:rPr>
              <w:t xml:space="preserve">   albumin [g/dl]</w:t>
            </w:r>
          </w:p>
          <w:p w14:paraId="21BD9FE1" w14:textId="77777777" w:rsidR="00641A95" w:rsidRPr="004A711E" w:rsidRDefault="00641A95" w:rsidP="00D66623">
            <w:pPr>
              <w:spacing w:after="0" w:line="240" w:lineRule="auto"/>
              <w:rPr>
                <w:rFonts w:eastAsia="Calibri" w:cs="Arial"/>
                <w:bCs/>
                <w:color w:val="000000"/>
                <w:sz w:val="20"/>
                <w:szCs w:val="20"/>
                <w:lang w:val="en-US"/>
              </w:rPr>
            </w:pPr>
            <w:r w:rsidRPr="00527C5D">
              <w:rPr>
                <w:rFonts w:eastAsia="Calibri" w:cs="Arial"/>
                <w:bCs/>
                <w:color w:val="000000"/>
                <w:sz w:val="20"/>
                <w:szCs w:val="20"/>
              </w:rPr>
              <w:t xml:space="preserve">   </w:t>
            </w:r>
            <w:r w:rsidRPr="004A711E">
              <w:rPr>
                <w:rFonts w:eastAsia="Calibri" w:cs="Arial"/>
                <w:bCs/>
                <w:color w:val="000000"/>
                <w:sz w:val="20"/>
                <w:szCs w:val="20"/>
                <w:lang w:val="en-US"/>
              </w:rPr>
              <w:t>AFP</w:t>
            </w:r>
            <w:r w:rsidR="00CB26EA">
              <w:rPr>
                <w:rFonts w:eastAsia="Calibri" w:cs="Arial"/>
                <w:bCs/>
                <w:color w:val="000000"/>
                <w:sz w:val="20"/>
                <w:szCs w:val="20"/>
                <w:vertAlign w:val="superscript"/>
                <w:lang w:val="en-US"/>
              </w:rPr>
              <w:t>7</w:t>
            </w:r>
            <w:r w:rsidRPr="004A711E">
              <w:rPr>
                <w:rFonts w:eastAsia="Calibri" w:cs="Arial"/>
                <w:bCs/>
                <w:color w:val="000000"/>
                <w:sz w:val="20"/>
                <w:szCs w:val="20"/>
                <w:lang w:val="en-US"/>
              </w:rPr>
              <w:t xml:space="preserve"> [ng/ml]  </w:t>
            </w:r>
          </w:p>
        </w:tc>
        <w:tc>
          <w:tcPr>
            <w:tcW w:w="2118" w:type="dxa"/>
            <w:tcBorders>
              <w:top w:val="single" w:sz="4" w:space="0" w:color="auto"/>
              <w:left w:val="single" w:sz="4" w:space="0" w:color="auto"/>
              <w:bottom w:val="single" w:sz="4" w:space="0" w:color="auto"/>
              <w:right w:val="nil"/>
            </w:tcBorders>
            <w:shd w:val="clear" w:color="auto" w:fill="auto"/>
          </w:tcPr>
          <w:p w14:paraId="02AB2C1F" w14:textId="77777777" w:rsidR="00641A95" w:rsidRDefault="00641A95" w:rsidP="00D66623">
            <w:pPr>
              <w:spacing w:after="0" w:line="240" w:lineRule="auto"/>
              <w:rPr>
                <w:rFonts w:eastAsia="Calibri" w:cs="Arial"/>
                <w:color w:val="000000"/>
                <w:sz w:val="20"/>
                <w:szCs w:val="20"/>
                <w:lang w:val="en-US"/>
              </w:rPr>
            </w:pPr>
          </w:p>
          <w:p w14:paraId="7BC84945"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87±80</w:t>
            </w:r>
          </w:p>
          <w:p w14:paraId="4DAFDC1F"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61±58</w:t>
            </w:r>
          </w:p>
          <w:p w14:paraId="6E9C6BFF"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1.1±0.8</w:t>
            </w:r>
          </w:p>
          <w:p w14:paraId="01E81492"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3.7±0.5</w:t>
            </w:r>
          </w:p>
          <w:p w14:paraId="3F69CD20" w14:textId="77777777" w:rsidR="00110CE6" w:rsidRPr="00167C14"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12959.5±61182.5</w:t>
            </w:r>
          </w:p>
        </w:tc>
        <w:tc>
          <w:tcPr>
            <w:tcW w:w="1763" w:type="dxa"/>
            <w:tcBorders>
              <w:top w:val="single" w:sz="4" w:space="0" w:color="auto"/>
              <w:left w:val="single" w:sz="4" w:space="0" w:color="auto"/>
              <w:bottom w:val="single" w:sz="4" w:space="0" w:color="auto"/>
              <w:right w:val="single" w:sz="4" w:space="0" w:color="auto"/>
            </w:tcBorders>
          </w:tcPr>
          <w:p w14:paraId="58EF2549" w14:textId="77777777" w:rsidR="00641A95" w:rsidRDefault="00641A95" w:rsidP="00D66623">
            <w:pPr>
              <w:spacing w:after="0" w:line="240" w:lineRule="auto"/>
              <w:rPr>
                <w:rFonts w:eastAsia="Calibri" w:cs="Arial"/>
                <w:color w:val="000000"/>
                <w:sz w:val="20"/>
                <w:szCs w:val="20"/>
                <w:lang w:val="en-US"/>
              </w:rPr>
            </w:pPr>
          </w:p>
          <w:p w14:paraId="69763822"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94±67</w:t>
            </w:r>
          </w:p>
          <w:p w14:paraId="77546FA7"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57±42</w:t>
            </w:r>
          </w:p>
          <w:p w14:paraId="7D4C4ACE"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1.2±2.2</w:t>
            </w:r>
          </w:p>
          <w:p w14:paraId="72DECBD3" w14:textId="77777777" w:rsidR="00110CE6"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3.5±0.7</w:t>
            </w:r>
          </w:p>
          <w:p w14:paraId="683E5BC1" w14:textId="77777777" w:rsidR="00110CE6" w:rsidRPr="00BA56F1" w:rsidRDefault="00110CE6" w:rsidP="00D66623">
            <w:pPr>
              <w:spacing w:after="0" w:line="240" w:lineRule="auto"/>
              <w:rPr>
                <w:rFonts w:eastAsia="Calibri" w:cs="Arial"/>
                <w:color w:val="000000"/>
                <w:sz w:val="20"/>
                <w:szCs w:val="20"/>
                <w:lang w:val="en-US"/>
              </w:rPr>
            </w:pPr>
            <w:r>
              <w:rPr>
                <w:rFonts w:eastAsia="Calibri" w:cs="Arial"/>
                <w:color w:val="000000"/>
                <w:sz w:val="20"/>
                <w:szCs w:val="20"/>
                <w:lang w:val="en-US"/>
              </w:rPr>
              <w:t>2174.9±9637.4</w:t>
            </w:r>
          </w:p>
        </w:tc>
        <w:tc>
          <w:tcPr>
            <w:tcW w:w="1511" w:type="dxa"/>
            <w:tcBorders>
              <w:top w:val="single" w:sz="4" w:space="0" w:color="auto"/>
              <w:left w:val="single" w:sz="4" w:space="0" w:color="auto"/>
              <w:bottom w:val="single" w:sz="4" w:space="0" w:color="auto"/>
              <w:right w:val="nil"/>
            </w:tcBorders>
            <w:shd w:val="clear" w:color="auto" w:fill="auto"/>
          </w:tcPr>
          <w:p w14:paraId="3B52EFED" w14:textId="77777777" w:rsidR="00641A95" w:rsidRDefault="00641A95" w:rsidP="00D66623">
            <w:pPr>
              <w:spacing w:after="0" w:line="240" w:lineRule="auto"/>
              <w:rPr>
                <w:rFonts w:eastAsia="Calibri" w:cs="Arial"/>
                <w:color w:val="000000"/>
                <w:sz w:val="20"/>
                <w:szCs w:val="20"/>
                <w:lang w:val="en-US"/>
              </w:rPr>
            </w:pPr>
          </w:p>
          <w:p w14:paraId="77CB37C1"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0.358</w:t>
            </w:r>
          </w:p>
          <w:p w14:paraId="4A26CD17"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0.813</w:t>
            </w:r>
          </w:p>
          <w:p w14:paraId="4D96CD70"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0.257</w:t>
            </w:r>
          </w:p>
          <w:p w14:paraId="2D54129D"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0.045</w:t>
            </w:r>
          </w:p>
          <w:p w14:paraId="0D5ACB1C" w14:textId="77777777" w:rsidR="00DE4F4C" w:rsidRPr="00BA56F1"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0.001</w:t>
            </w:r>
          </w:p>
        </w:tc>
        <w:tc>
          <w:tcPr>
            <w:tcW w:w="1450" w:type="dxa"/>
            <w:tcBorders>
              <w:top w:val="single" w:sz="4" w:space="0" w:color="auto"/>
              <w:left w:val="single" w:sz="4" w:space="0" w:color="auto"/>
              <w:bottom w:val="single" w:sz="4" w:space="0" w:color="auto"/>
              <w:right w:val="nil"/>
            </w:tcBorders>
          </w:tcPr>
          <w:p w14:paraId="6F2E9BE1" w14:textId="77777777" w:rsidR="00641A95" w:rsidRDefault="00641A95" w:rsidP="00D66623">
            <w:pPr>
              <w:spacing w:after="0" w:line="240" w:lineRule="auto"/>
              <w:rPr>
                <w:rFonts w:eastAsia="Calibri" w:cs="Arial"/>
                <w:color w:val="000000"/>
                <w:sz w:val="20"/>
                <w:szCs w:val="20"/>
                <w:lang w:val="en-US"/>
              </w:rPr>
            </w:pPr>
          </w:p>
          <w:p w14:paraId="6A1EF51B"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0.094</w:t>
            </w:r>
          </w:p>
          <w:p w14:paraId="40ADFC14"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0.089</w:t>
            </w:r>
          </w:p>
          <w:p w14:paraId="6DAC5AFD"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0.036</w:t>
            </w:r>
          </w:p>
          <w:p w14:paraId="082B7FF1"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0.329</w:t>
            </w:r>
          </w:p>
          <w:p w14:paraId="07D806EA" w14:textId="77777777" w:rsidR="00DE4F4C" w:rsidRDefault="00DE4F4C" w:rsidP="00D66623">
            <w:pPr>
              <w:spacing w:after="0" w:line="240" w:lineRule="auto"/>
              <w:rPr>
                <w:rFonts w:eastAsia="Calibri" w:cs="Arial"/>
                <w:color w:val="000000"/>
                <w:sz w:val="20"/>
                <w:szCs w:val="20"/>
                <w:lang w:val="en-US"/>
              </w:rPr>
            </w:pPr>
            <w:r>
              <w:rPr>
                <w:rFonts w:eastAsia="Calibri" w:cs="Arial"/>
                <w:color w:val="000000"/>
                <w:sz w:val="20"/>
                <w:szCs w:val="20"/>
                <w:lang w:val="en-US"/>
              </w:rPr>
              <w:t>0.246</w:t>
            </w:r>
          </w:p>
        </w:tc>
      </w:tr>
      <w:tr w:rsidR="00641A95" w:rsidRPr="00BC506C" w14:paraId="1D855A67" w14:textId="77777777" w:rsidTr="00641A95">
        <w:tc>
          <w:tcPr>
            <w:tcW w:w="8014" w:type="dxa"/>
            <w:gridSpan w:val="4"/>
            <w:tcBorders>
              <w:top w:val="single" w:sz="4" w:space="0" w:color="auto"/>
              <w:left w:val="nil"/>
              <w:bottom w:val="single" w:sz="4" w:space="0" w:color="auto"/>
              <w:right w:val="single" w:sz="4" w:space="0" w:color="auto"/>
            </w:tcBorders>
            <w:shd w:val="clear" w:color="auto" w:fill="auto"/>
          </w:tcPr>
          <w:p w14:paraId="2F158DD2" w14:textId="77777777" w:rsidR="00641A95" w:rsidRPr="009261FF" w:rsidRDefault="00E146BA" w:rsidP="00D66623">
            <w:pPr>
              <w:spacing w:after="0" w:line="240" w:lineRule="auto"/>
              <w:rPr>
                <w:rFonts w:eastAsia="Calibri" w:cs="Arial"/>
                <w:color w:val="000000"/>
                <w:sz w:val="18"/>
                <w:szCs w:val="18"/>
                <w:lang w:val="en-US"/>
              </w:rPr>
            </w:pPr>
            <w:r w:rsidRPr="009261FF">
              <w:rPr>
                <w:rFonts w:eastAsia="Calibri" w:cs="Arial"/>
                <w:b/>
                <w:bCs/>
                <w:color w:val="000000"/>
                <w:sz w:val="20"/>
                <w:szCs w:val="20"/>
                <w:lang w:val="en-US"/>
              </w:rPr>
              <w:t>Treatment characteristics of</w:t>
            </w:r>
            <w:r w:rsidR="00641A95" w:rsidRPr="009261FF">
              <w:rPr>
                <w:rFonts w:eastAsia="Calibri" w:cs="Arial"/>
                <w:b/>
                <w:bCs/>
                <w:color w:val="000000"/>
                <w:sz w:val="20"/>
                <w:szCs w:val="20"/>
                <w:lang w:val="en-US"/>
              </w:rPr>
              <w:t xml:space="preserve"> SBRT</w:t>
            </w:r>
            <w:r w:rsidRPr="009261FF">
              <w:rPr>
                <w:rFonts w:eastAsia="Calibri" w:cs="Arial"/>
                <w:b/>
                <w:bCs/>
                <w:color w:val="000000"/>
                <w:sz w:val="20"/>
                <w:szCs w:val="20"/>
                <w:lang w:val="en-US"/>
              </w:rPr>
              <w:t xml:space="preserve"> patients</w:t>
            </w:r>
            <w:r w:rsidR="00641A95" w:rsidRPr="009261FF">
              <w:rPr>
                <w:rFonts w:eastAsia="Calibri" w:cs="Arial"/>
                <w:bCs/>
                <w:color w:val="000000"/>
                <w:sz w:val="20"/>
                <w:szCs w:val="20"/>
                <w:vertAlign w:val="superscript"/>
                <w:lang w:val="en-US"/>
              </w:rPr>
              <w:t>4</w:t>
            </w:r>
            <w:r w:rsidR="00960199" w:rsidRPr="009261FF">
              <w:rPr>
                <w:rFonts w:eastAsia="Calibri" w:cs="Arial"/>
                <w:bCs/>
                <w:color w:val="000000"/>
                <w:sz w:val="20"/>
                <w:szCs w:val="20"/>
                <w:vertAlign w:val="superscript"/>
                <w:lang w:val="en-US"/>
              </w:rPr>
              <w:t xml:space="preserve">       </w:t>
            </w:r>
            <w:r w:rsidR="00960199" w:rsidRPr="009261FF">
              <w:rPr>
                <w:rFonts w:eastAsia="Calibri" w:cs="Arial"/>
                <w:bCs/>
                <w:color w:val="000000"/>
                <w:sz w:val="20"/>
                <w:szCs w:val="20"/>
                <w:lang w:val="en-US"/>
              </w:rPr>
              <w:t xml:space="preserve">    </w:t>
            </w:r>
          </w:p>
        </w:tc>
        <w:tc>
          <w:tcPr>
            <w:tcW w:w="1450" w:type="dxa"/>
            <w:tcBorders>
              <w:top w:val="single" w:sz="4" w:space="0" w:color="auto"/>
              <w:left w:val="nil"/>
              <w:bottom w:val="single" w:sz="4" w:space="0" w:color="auto"/>
              <w:right w:val="single" w:sz="4" w:space="0" w:color="auto"/>
            </w:tcBorders>
          </w:tcPr>
          <w:p w14:paraId="68EE6AD5" w14:textId="77777777" w:rsidR="00641A95" w:rsidRPr="009261FF" w:rsidRDefault="00641A95" w:rsidP="00D66623">
            <w:pPr>
              <w:spacing w:after="0" w:line="240" w:lineRule="auto"/>
              <w:rPr>
                <w:rFonts w:eastAsia="Calibri" w:cs="Arial"/>
                <w:b/>
                <w:bCs/>
                <w:color w:val="000000"/>
                <w:sz w:val="20"/>
                <w:szCs w:val="20"/>
                <w:lang w:val="en-US"/>
              </w:rPr>
            </w:pPr>
          </w:p>
        </w:tc>
      </w:tr>
      <w:tr w:rsidR="00641A95" w:rsidRPr="003110A7" w14:paraId="0A863951"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1FE9DFE9" w14:textId="77777777" w:rsidR="00641A95" w:rsidRPr="00CB26EA" w:rsidRDefault="00641A95" w:rsidP="00D66623">
            <w:pPr>
              <w:spacing w:after="0" w:line="240" w:lineRule="auto"/>
              <w:rPr>
                <w:b/>
                <w:sz w:val="20"/>
                <w:szCs w:val="20"/>
                <w:lang w:val="en-US"/>
              </w:rPr>
            </w:pPr>
            <w:r w:rsidRPr="00CB26EA">
              <w:rPr>
                <w:b/>
                <w:sz w:val="20"/>
                <w:szCs w:val="20"/>
                <w:lang w:val="en-US"/>
              </w:rPr>
              <w:t>SBRT</w:t>
            </w:r>
          </w:p>
          <w:p w14:paraId="6A3FB3DA" w14:textId="77777777" w:rsidR="00641A95" w:rsidRPr="00CB26EA" w:rsidRDefault="00641A95" w:rsidP="00D66623">
            <w:pPr>
              <w:spacing w:after="0" w:line="240" w:lineRule="auto"/>
              <w:rPr>
                <w:rFonts w:eastAsia="Calibri" w:cs="Arial"/>
                <w:bCs/>
                <w:color w:val="000000"/>
                <w:sz w:val="20"/>
                <w:szCs w:val="20"/>
                <w:vertAlign w:val="superscript"/>
                <w:lang w:val="en-US"/>
              </w:rPr>
            </w:pPr>
            <w:r w:rsidRPr="00CB26EA">
              <w:rPr>
                <w:sz w:val="20"/>
                <w:szCs w:val="20"/>
                <w:lang w:val="en-US"/>
              </w:rPr>
              <w:t xml:space="preserve">Total prescribed dose (TD) </w:t>
            </w:r>
            <w:r w:rsidR="00CB26EA" w:rsidRPr="00CB26EA">
              <w:rPr>
                <w:sz w:val="20"/>
                <w:szCs w:val="20"/>
                <w:lang w:val="en-US"/>
              </w:rPr>
              <w:t>BED</w:t>
            </w:r>
            <w:r w:rsidR="00CB26EA" w:rsidRPr="00CB26EA">
              <w:rPr>
                <w:sz w:val="20"/>
                <w:szCs w:val="20"/>
                <w:vertAlign w:val="subscript"/>
                <w:lang w:val="en-US"/>
              </w:rPr>
              <w:t>10,TD</w:t>
            </w:r>
            <w:r w:rsidR="00CB26EA" w:rsidRPr="00CB26EA">
              <w:rPr>
                <w:sz w:val="20"/>
                <w:szCs w:val="20"/>
                <w:vertAlign w:val="superscript"/>
                <w:lang w:val="en-US"/>
              </w:rPr>
              <w:t>8</w:t>
            </w:r>
          </w:p>
        </w:tc>
        <w:tc>
          <w:tcPr>
            <w:tcW w:w="5392" w:type="dxa"/>
            <w:gridSpan w:val="3"/>
            <w:tcBorders>
              <w:top w:val="single" w:sz="4" w:space="0" w:color="auto"/>
              <w:left w:val="single" w:sz="4" w:space="0" w:color="auto"/>
              <w:bottom w:val="single" w:sz="4" w:space="0" w:color="auto"/>
              <w:right w:val="nil"/>
            </w:tcBorders>
            <w:shd w:val="clear" w:color="auto" w:fill="auto"/>
          </w:tcPr>
          <w:p w14:paraId="28E3939B" w14:textId="77777777" w:rsidR="00641A95" w:rsidRPr="00CB26EA" w:rsidRDefault="00641A95" w:rsidP="00D66623">
            <w:pPr>
              <w:spacing w:after="0" w:line="240" w:lineRule="auto"/>
              <w:rPr>
                <w:rFonts w:eastAsia="Calibri" w:cs="Arial"/>
                <w:color w:val="000000"/>
                <w:sz w:val="20"/>
                <w:szCs w:val="20"/>
                <w:lang w:val="en-US"/>
              </w:rPr>
            </w:pPr>
            <w:r w:rsidRPr="00CB26EA">
              <w:rPr>
                <w:rFonts w:eastAsia="Calibri" w:cs="Arial"/>
                <w:color w:val="000000"/>
                <w:sz w:val="20"/>
                <w:szCs w:val="20"/>
                <w:lang w:val="en-US"/>
              </w:rPr>
              <w:t>median (IQR</w:t>
            </w:r>
            <w:r w:rsidRPr="00CB26EA">
              <w:rPr>
                <w:rFonts w:eastAsia="Calibri" w:cs="Arial"/>
                <w:color w:val="000000"/>
                <w:sz w:val="20"/>
                <w:szCs w:val="20"/>
                <w:vertAlign w:val="superscript"/>
                <w:lang w:val="en-US"/>
              </w:rPr>
              <w:t>12</w:t>
            </w:r>
            <w:r w:rsidRPr="00CB26EA">
              <w:rPr>
                <w:rFonts w:eastAsia="Calibri" w:cs="Arial"/>
                <w:color w:val="000000"/>
                <w:sz w:val="20"/>
                <w:szCs w:val="20"/>
                <w:lang w:val="en-US"/>
              </w:rPr>
              <w:t>)</w:t>
            </w:r>
          </w:p>
          <w:p w14:paraId="3DA259E1" w14:textId="77777777" w:rsidR="00641A95" w:rsidRPr="00CB26EA" w:rsidRDefault="00CB26EA" w:rsidP="00D66623">
            <w:pPr>
              <w:spacing w:after="0" w:line="240" w:lineRule="auto"/>
              <w:rPr>
                <w:rFonts w:eastAsia="Calibri" w:cs="Arial"/>
                <w:color w:val="000000"/>
                <w:sz w:val="20"/>
                <w:szCs w:val="20"/>
                <w:lang w:val="en-US"/>
              </w:rPr>
            </w:pPr>
            <w:r w:rsidRPr="00CB26EA">
              <w:rPr>
                <w:rFonts w:eastAsia="Calibri" w:cs="Arial"/>
                <w:color w:val="000000"/>
                <w:sz w:val="20"/>
                <w:szCs w:val="20"/>
                <w:lang w:val="en-US"/>
              </w:rPr>
              <w:t>44 (21-66) Gy</w:t>
            </w:r>
          </w:p>
          <w:p w14:paraId="185EEBE6" w14:textId="77777777" w:rsidR="00641A95" w:rsidRPr="00CB26EA" w:rsidRDefault="00CB26EA" w:rsidP="00D66623">
            <w:pPr>
              <w:spacing w:after="0" w:line="240" w:lineRule="auto"/>
              <w:rPr>
                <w:rFonts w:eastAsia="Calibri" w:cs="Arial"/>
                <w:color w:val="000000"/>
                <w:sz w:val="20"/>
                <w:szCs w:val="20"/>
                <w:lang w:val="en-US"/>
              </w:rPr>
            </w:pPr>
            <w:r w:rsidRPr="00CB26EA">
              <w:rPr>
                <w:rFonts w:eastAsia="Calibri" w:cs="Arial"/>
                <w:color w:val="000000"/>
                <w:sz w:val="20"/>
                <w:szCs w:val="20"/>
                <w:lang w:val="en-US"/>
              </w:rPr>
              <w:t>84.4 (36-180) Gy</w:t>
            </w:r>
          </w:p>
        </w:tc>
        <w:tc>
          <w:tcPr>
            <w:tcW w:w="1450" w:type="dxa"/>
            <w:tcBorders>
              <w:top w:val="single" w:sz="4" w:space="0" w:color="auto"/>
              <w:left w:val="single" w:sz="4" w:space="0" w:color="auto"/>
              <w:bottom w:val="single" w:sz="4" w:space="0" w:color="auto"/>
              <w:right w:val="nil"/>
            </w:tcBorders>
          </w:tcPr>
          <w:p w14:paraId="0C8CA442" w14:textId="77777777" w:rsidR="00641A95" w:rsidRDefault="00641A95" w:rsidP="00D66623">
            <w:pPr>
              <w:spacing w:after="0" w:line="240" w:lineRule="auto"/>
              <w:rPr>
                <w:rFonts w:eastAsia="Calibri" w:cs="Arial"/>
                <w:color w:val="000000"/>
                <w:sz w:val="20"/>
                <w:szCs w:val="20"/>
                <w:lang w:val="en-US"/>
              </w:rPr>
            </w:pPr>
          </w:p>
        </w:tc>
      </w:tr>
      <w:tr w:rsidR="00641A95" w:rsidRPr="003110A7" w14:paraId="2B7E6326" w14:textId="77777777" w:rsidTr="00641A95">
        <w:tc>
          <w:tcPr>
            <w:tcW w:w="2622" w:type="dxa"/>
            <w:tcBorders>
              <w:top w:val="single" w:sz="4" w:space="0" w:color="auto"/>
              <w:left w:val="nil"/>
              <w:bottom w:val="single" w:sz="4" w:space="0" w:color="auto"/>
              <w:right w:val="single" w:sz="4" w:space="0" w:color="auto"/>
            </w:tcBorders>
            <w:shd w:val="clear" w:color="auto" w:fill="auto"/>
          </w:tcPr>
          <w:p w14:paraId="5A519AE3" w14:textId="77777777" w:rsidR="00641A95" w:rsidRPr="00CB26EA" w:rsidRDefault="00641A95" w:rsidP="00D66623">
            <w:pPr>
              <w:spacing w:after="0" w:line="240" w:lineRule="auto"/>
              <w:rPr>
                <w:sz w:val="20"/>
                <w:szCs w:val="20"/>
                <w:vertAlign w:val="superscript"/>
                <w:lang w:val="en-US"/>
              </w:rPr>
            </w:pPr>
            <w:r w:rsidRPr="00CB26EA">
              <w:rPr>
                <w:sz w:val="20"/>
                <w:szCs w:val="20"/>
                <w:lang w:val="en-US"/>
              </w:rPr>
              <w:t>D</w:t>
            </w:r>
            <w:r w:rsidRPr="00CB26EA">
              <w:rPr>
                <w:sz w:val="20"/>
                <w:szCs w:val="20"/>
                <w:vertAlign w:val="subscript"/>
                <w:lang w:val="en-US"/>
              </w:rPr>
              <w:t>max</w:t>
            </w:r>
            <w:r w:rsidRPr="00CB26EA">
              <w:rPr>
                <w:sz w:val="20"/>
                <w:szCs w:val="20"/>
                <w:lang w:val="en-US"/>
              </w:rPr>
              <w:t xml:space="preserve"> </w:t>
            </w:r>
            <w:r w:rsidR="00CB26EA" w:rsidRPr="00CB26EA">
              <w:rPr>
                <w:sz w:val="20"/>
                <w:szCs w:val="20"/>
                <w:vertAlign w:val="superscript"/>
                <w:lang w:val="en-US"/>
              </w:rPr>
              <w:t>9</w:t>
            </w:r>
          </w:p>
          <w:p w14:paraId="07AFD4BA" w14:textId="77777777" w:rsidR="00641A95" w:rsidRPr="00CB26EA" w:rsidRDefault="00CB26EA" w:rsidP="00D66623">
            <w:pPr>
              <w:spacing w:after="0" w:line="240" w:lineRule="auto"/>
              <w:rPr>
                <w:sz w:val="20"/>
                <w:szCs w:val="20"/>
                <w:vertAlign w:val="superscript"/>
                <w:lang w:val="en-US"/>
              </w:rPr>
            </w:pPr>
            <w:r w:rsidRPr="00CB26EA">
              <w:rPr>
                <w:sz w:val="20"/>
                <w:szCs w:val="20"/>
                <w:lang w:val="en-US"/>
              </w:rPr>
              <w:t>BED</w:t>
            </w:r>
            <w:r w:rsidRPr="00CB26EA">
              <w:rPr>
                <w:sz w:val="20"/>
                <w:szCs w:val="20"/>
                <w:vertAlign w:val="subscript"/>
                <w:lang w:val="en-US"/>
              </w:rPr>
              <w:t>10,</w:t>
            </w:r>
            <w:r>
              <w:rPr>
                <w:sz w:val="20"/>
                <w:szCs w:val="20"/>
                <w:vertAlign w:val="subscript"/>
                <w:lang w:val="en-US"/>
              </w:rPr>
              <w:t>max</w:t>
            </w:r>
            <w:r>
              <w:rPr>
                <w:sz w:val="20"/>
                <w:szCs w:val="20"/>
                <w:vertAlign w:val="superscript"/>
                <w:lang w:val="en-US"/>
              </w:rPr>
              <w:t>10</w:t>
            </w:r>
          </w:p>
        </w:tc>
        <w:tc>
          <w:tcPr>
            <w:tcW w:w="5392" w:type="dxa"/>
            <w:gridSpan w:val="3"/>
            <w:tcBorders>
              <w:top w:val="single" w:sz="4" w:space="0" w:color="auto"/>
              <w:left w:val="single" w:sz="4" w:space="0" w:color="auto"/>
              <w:bottom w:val="single" w:sz="4" w:space="0" w:color="auto"/>
              <w:right w:val="nil"/>
            </w:tcBorders>
            <w:shd w:val="clear" w:color="auto" w:fill="auto"/>
          </w:tcPr>
          <w:p w14:paraId="7F80AA60" w14:textId="77777777" w:rsidR="00641A95" w:rsidRPr="00CB26EA" w:rsidRDefault="00CB26EA" w:rsidP="00D66623">
            <w:pPr>
              <w:spacing w:after="0" w:line="240" w:lineRule="auto"/>
              <w:rPr>
                <w:rFonts w:eastAsia="Calibri" w:cs="Arial"/>
                <w:color w:val="000000"/>
                <w:sz w:val="20"/>
                <w:szCs w:val="20"/>
                <w:lang w:val="en-US"/>
              </w:rPr>
            </w:pPr>
            <w:r w:rsidRPr="00CB26EA">
              <w:rPr>
                <w:rFonts w:eastAsia="Calibri" w:cs="Arial"/>
                <w:color w:val="000000"/>
                <w:sz w:val="20"/>
                <w:szCs w:val="20"/>
                <w:lang w:val="en-US"/>
              </w:rPr>
              <w:t>58 (26-72) Gy</w:t>
            </w:r>
          </w:p>
          <w:p w14:paraId="061517AB" w14:textId="77777777" w:rsidR="00641A95" w:rsidRPr="00CB26EA" w:rsidRDefault="00CB26EA" w:rsidP="00D66623">
            <w:pPr>
              <w:spacing w:after="0" w:line="240" w:lineRule="auto"/>
              <w:rPr>
                <w:rFonts w:eastAsia="Calibri" w:cs="Arial"/>
                <w:color w:val="000000"/>
                <w:sz w:val="20"/>
                <w:szCs w:val="20"/>
                <w:lang w:val="en-US"/>
              </w:rPr>
            </w:pPr>
            <w:r w:rsidRPr="00CB26EA">
              <w:rPr>
                <w:rFonts w:eastAsia="Calibri" w:cs="Arial"/>
                <w:color w:val="000000"/>
                <w:sz w:val="20"/>
                <w:szCs w:val="20"/>
                <w:lang w:val="en-US"/>
              </w:rPr>
              <w:t>119 (40-272) Gy</w:t>
            </w:r>
          </w:p>
        </w:tc>
        <w:tc>
          <w:tcPr>
            <w:tcW w:w="1450" w:type="dxa"/>
            <w:tcBorders>
              <w:top w:val="single" w:sz="4" w:space="0" w:color="auto"/>
              <w:left w:val="single" w:sz="4" w:space="0" w:color="auto"/>
              <w:bottom w:val="single" w:sz="4" w:space="0" w:color="auto"/>
              <w:right w:val="nil"/>
            </w:tcBorders>
          </w:tcPr>
          <w:p w14:paraId="7239B916" w14:textId="77777777" w:rsidR="00641A95" w:rsidRDefault="00641A95" w:rsidP="00D66623">
            <w:pPr>
              <w:spacing w:after="0" w:line="240" w:lineRule="auto"/>
              <w:rPr>
                <w:rFonts w:eastAsia="Calibri" w:cs="Arial"/>
                <w:color w:val="000000"/>
                <w:sz w:val="20"/>
                <w:szCs w:val="20"/>
                <w:lang w:val="en-US"/>
              </w:rPr>
            </w:pPr>
          </w:p>
        </w:tc>
      </w:tr>
    </w:tbl>
    <w:p w14:paraId="2AAE80D9" w14:textId="77777777" w:rsidR="005449EC" w:rsidRDefault="005449EC" w:rsidP="00CC017D">
      <w:pPr>
        <w:spacing w:line="240" w:lineRule="auto"/>
        <w:rPr>
          <w:rFonts w:cs="Arial"/>
          <w:b/>
          <w:u w:val="single"/>
          <w:lang w:val="en-US"/>
        </w:rPr>
      </w:pPr>
    </w:p>
    <w:p w14:paraId="0391C8B9" w14:textId="77777777" w:rsidR="005569CB" w:rsidRDefault="00CC017D" w:rsidP="00CC017D">
      <w:pPr>
        <w:spacing w:line="240" w:lineRule="auto"/>
        <w:rPr>
          <w:rFonts w:cs="Arial"/>
          <w:b/>
          <w:lang w:val="en-US"/>
        </w:rPr>
      </w:pPr>
      <w:r>
        <w:rPr>
          <w:rFonts w:cs="Arial"/>
          <w:b/>
          <w:u w:val="single"/>
          <w:lang w:val="en-US"/>
        </w:rPr>
        <w:t>Table 1:</w:t>
      </w:r>
      <w:r>
        <w:rPr>
          <w:rFonts w:cs="Arial"/>
          <w:b/>
          <w:lang w:val="en-US"/>
        </w:rPr>
        <w:t xml:space="preserve"> Baseline characteristics of study patients</w:t>
      </w:r>
      <w:r w:rsidR="00573428">
        <w:rPr>
          <w:rFonts w:cs="Arial"/>
          <w:b/>
          <w:lang w:val="en-US"/>
        </w:rPr>
        <w:t xml:space="preserve"> and lesions treated</w:t>
      </w:r>
      <w:r>
        <w:rPr>
          <w:rFonts w:cs="Arial"/>
          <w:b/>
          <w:lang w:val="en-US"/>
        </w:rPr>
        <w:t>.</w:t>
      </w:r>
    </w:p>
    <w:p w14:paraId="0ACE040D" w14:textId="77777777" w:rsidR="005449EC" w:rsidRPr="005449EC" w:rsidRDefault="005449EC" w:rsidP="00CC017D">
      <w:pPr>
        <w:spacing w:line="240" w:lineRule="auto"/>
        <w:rPr>
          <w:rFonts w:cs="Arial"/>
          <w:lang w:val="en-US"/>
        </w:rPr>
      </w:pPr>
      <w:r>
        <w:rPr>
          <w:rFonts w:cs="Arial"/>
          <w:lang w:val="en-US"/>
        </w:rPr>
        <w:t xml:space="preserve">#Patients </w:t>
      </w:r>
      <w:r w:rsidR="004A711E">
        <w:rPr>
          <w:rFonts w:cs="Arial"/>
          <w:lang w:val="en-US"/>
        </w:rPr>
        <w:t>may</w:t>
      </w:r>
      <w:r>
        <w:rPr>
          <w:rFonts w:cs="Arial"/>
          <w:lang w:val="en-US"/>
        </w:rPr>
        <w:t xml:space="preserve"> have received more than one treatment.</w:t>
      </w:r>
    </w:p>
    <w:p w14:paraId="1C7E2BF5" w14:textId="77777777" w:rsidR="00CB26EA" w:rsidRPr="001C500B" w:rsidRDefault="005449EC" w:rsidP="00CB26EA">
      <w:pPr>
        <w:spacing w:after="0" w:line="240" w:lineRule="auto"/>
        <w:jc w:val="both"/>
        <w:rPr>
          <w:lang w:val="en-US"/>
        </w:rPr>
      </w:pPr>
      <w:r w:rsidRPr="001C500B">
        <w:rPr>
          <w:rFonts w:cs="Arial"/>
          <w:lang w:val="en-US"/>
        </w:rPr>
        <w:lastRenderedPageBreak/>
        <w:t xml:space="preserve">Abbreviations: </w:t>
      </w:r>
      <w:r w:rsidR="001C500B" w:rsidRPr="001C500B">
        <w:rPr>
          <w:rFonts w:cs="Arial"/>
          <w:vertAlign w:val="superscript"/>
          <w:lang w:val="en-US"/>
        </w:rPr>
        <w:t>1</w:t>
      </w:r>
      <w:r w:rsidRPr="001C500B">
        <w:rPr>
          <w:rFonts w:cs="Arial"/>
          <w:lang w:val="en-US"/>
        </w:rPr>
        <w:t xml:space="preserve">ECOG, </w:t>
      </w:r>
      <w:r w:rsidRPr="001C500B">
        <w:rPr>
          <w:rStyle w:val="Emphasis"/>
          <w:i w:val="0"/>
          <w:lang w:val="en-US"/>
        </w:rPr>
        <w:t xml:space="preserve">Eastern Cooperative Oncology Group; </w:t>
      </w:r>
      <w:r w:rsidR="001C500B" w:rsidRPr="001C500B">
        <w:rPr>
          <w:rStyle w:val="Emphasis"/>
          <w:i w:val="0"/>
          <w:vertAlign w:val="superscript"/>
          <w:lang w:val="en-US"/>
        </w:rPr>
        <w:t>2</w:t>
      </w:r>
      <w:r w:rsidRPr="001C500B">
        <w:rPr>
          <w:rStyle w:val="Emphasis"/>
          <w:i w:val="0"/>
          <w:lang w:val="en-US"/>
        </w:rPr>
        <w:t xml:space="preserve">BCLC, Barcelona Clinic Liver Cancer; </w:t>
      </w:r>
      <w:r w:rsidR="001132B9">
        <w:rPr>
          <w:rStyle w:val="Emphasis"/>
          <w:i w:val="0"/>
          <w:vertAlign w:val="superscript"/>
          <w:lang w:val="en-US"/>
        </w:rPr>
        <w:t>3</w:t>
      </w:r>
      <w:r w:rsidRPr="001C500B">
        <w:rPr>
          <w:rStyle w:val="Emphasis"/>
          <w:i w:val="0"/>
          <w:lang w:val="en-US"/>
        </w:rPr>
        <w:t xml:space="preserve">PVT, portal vein thrombosis: </w:t>
      </w:r>
      <w:r w:rsidR="001132B9">
        <w:rPr>
          <w:rStyle w:val="Emphasis"/>
          <w:i w:val="0"/>
          <w:vertAlign w:val="superscript"/>
          <w:lang w:val="en-US"/>
        </w:rPr>
        <w:t>4</w:t>
      </w:r>
      <w:r w:rsidRPr="001C500B">
        <w:rPr>
          <w:rStyle w:val="Emphasis"/>
          <w:i w:val="0"/>
          <w:lang w:val="en-US"/>
        </w:rPr>
        <w:t>SBRT, stereotactic body radiation therapy;</w:t>
      </w:r>
      <w:r w:rsidR="001132B9">
        <w:rPr>
          <w:rStyle w:val="Emphasis"/>
          <w:i w:val="0"/>
          <w:vertAlign w:val="superscript"/>
          <w:lang w:val="en-US"/>
        </w:rPr>
        <w:t>5</w:t>
      </w:r>
      <w:r w:rsidR="001C500B" w:rsidRPr="001C500B">
        <w:rPr>
          <w:rStyle w:val="Emphasis"/>
          <w:i w:val="0"/>
          <w:lang w:val="en-US"/>
        </w:rPr>
        <w:t xml:space="preserve">AST, aspartat aminotransferase; </w:t>
      </w:r>
      <w:r w:rsidR="001132B9">
        <w:rPr>
          <w:rStyle w:val="Emphasis"/>
          <w:i w:val="0"/>
          <w:vertAlign w:val="superscript"/>
          <w:lang w:val="en-US"/>
        </w:rPr>
        <w:t>6</w:t>
      </w:r>
      <w:r w:rsidR="001C500B" w:rsidRPr="001C500B">
        <w:rPr>
          <w:rStyle w:val="Emphasis"/>
          <w:i w:val="0"/>
          <w:lang w:val="en-US"/>
        </w:rPr>
        <w:t xml:space="preserve">ALT, alanine aminotransferase; </w:t>
      </w:r>
      <w:r w:rsidRPr="001C500B">
        <w:rPr>
          <w:rStyle w:val="Emphasis"/>
          <w:i w:val="0"/>
          <w:lang w:val="en-US"/>
        </w:rPr>
        <w:t xml:space="preserve"> </w:t>
      </w:r>
      <w:r w:rsidR="00CB26EA">
        <w:rPr>
          <w:rStyle w:val="Emphasis"/>
          <w:i w:val="0"/>
          <w:vertAlign w:val="superscript"/>
          <w:lang w:val="en-US"/>
        </w:rPr>
        <w:t>7</w:t>
      </w:r>
      <w:r w:rsidR="00CB26EA" w:rsidRPr="00CB26EA">
        <w:rPr>
          <w:lang w:val="en-US"/>
        </w:rPr>
        <w:t xml:space="preserve"> AFP</w:t>
      </w:r>
      <w:r w:rsidR="00CB26EA">
        <w:rPr>
          <w:lang w:val="en-US"/>
        </w:rPr>
        <w:t>, alpha-fetoprotein</w:t>
      </w:r>
    </w:p>
    <w:p w14:paraId="2F69298D" w14:textId="77777777" w:rsidR="00CB26EA" w:rsidRDefault="00CB26EA" w:rsidP="00CB26EA">
      <w:pPr>
        <w:spacing w:line="240" w:lineRule="auto"/>
        <w:rPr>
          <w:rFonts w:cs="Arial"/>
          <w:sz w:val="24"/>
          <w:szCs w:val="24"/>
          <w:lang w:val="en-US"/>
        </w:rPr>
      </w:pPr>
    </w:p>
    <w:p w14:paraId="706BCE00" w14:textId="77777777" w:rsidR="005449EC" w:rsidRPr="001C500B" w:rsidRDefault="00CB26EA" w:rsidP="001C500B">
      <w:pPr>
        <w:spacing w:after="0" w:line="240" w:lineRule="auto"/>
        <w:jc w:val="both"/>
        <w:rPr>
          <w:lang w:val="en-US"/>
        </w:rPr>
      </w:pPr>
      <w:r>
        <w:rPr>
          <w:rStyle w:val="Emphasis"/>
          <w:i w:val="0"/>
          <w:vertAlign w:val="superscript"/>
          <w:lang w:val="en-US"/>
        </w:rPr>
        <w:t>8</w:t>
      </w:r>
      <w:r w:rsidRPr="00CB26EA">
        <w:rPr>
          <w:rStyle w:val="Emphasis"/>
          <w:i w:val="0"/>
          <w:lang w:val="en-US"/>
        </w:rPr>
        <w:t>BED</w:t>
      </w:r>
      <w:r>
        <w:rPr>
          <w:rStyle w:val="Emphasis"/>
          <w:i w:val="0"/>
          <w:vertAlign w:val="subscript"/>
          <w:lang w:val="en-US"/>
        </w:rPr>
        <w:t>10,TD</w:t>
      </w:r>
      <w:r>
        <w:rPr>
          <w:rStyle w:val="Emphasis"/>
          <w:i w:val="0"/>
          <w:lang w:val="en-US"/>
        </w:rPr>
        <w:t>, biological equivalent dose (Gy) of the prescribed dose</w:t>
      </w:r>
      <w:r w:rsidR="005449EC" w:rsidRPr="001C500B">
        <w:rPr>
          <w:lang w:val="en-US"/>
        </w:rPr>
        <w:t xml:space="preserve">; </w:t>
      </w:r>
      <w:r>
        <w:rPr>
          <w:vertAlign w:val="superscript"/>
          <w:lang w:val="en-US"/>
        </w:rPr>
        <w:t>9</w:t>
      </w:r>
      <w:r w:rsidR="005449EC" w:rsidRPr="001C500B">
        <w:rPr>
          <w:lang w:val="en-US"/>
        </w:rPr>
        <w:t>D</w:t>
      </w:r>
      <w:r w:rsidR="005449EC" w:rsidRPr="001C500B">
        <w:rPr>
          <w:vertAlign w:val="subscript"/>
          <w:lang w:val="en-US"/>
        </w:rPr>
        <w:t xml:space="preserve">max, </w:t>
      </w:r>
      <w:r w:rsidR="00EE1904">
        <w:rPr>
          <w:lang w:val="en-US"/>
        </w:rPr>
        <w:t>Maximum point dose</w:t>
      </w:r>
      <w:r w:rsidR="005449EC" w:rsidRPr="001C500B">
        <w:rPr>
          <w:lang w:val="en-US"/>
        </w:rPr>
        <w:t xml:space="preserve">; </w:t>
      </w:r>
      <w:r>
        <w:rPr>
          <w:vertAlign w:val="superscript"/>
          <w:lang w:val="en-US"/>
        </w:rPr>
        <w:t>10</w:t>
      </w:r>
      <w:r w:rsidRPr="00CB26EA">
        <w:rPr>
          <w:rStyle w:val="Emphasis"/>
          <w:i w:val="0"/>
          <w:lang w:val="en-US"/>
        </w:rPr>
        <w:t>BED</w:t>
      </w:r>
      <w:r>
        <w:rPr>
          <w:rStyle w:val="Emphasis"/>
          <w:i w:val="0"/>
          <w:vertAlign w:val="subscript"/>
          <w:lang w:val="en-US"/>
        </w:rPr>
        <w:t>10,max</w:t>
      </w:r>
      <w:r>
        <w:rPr>
          <w:rStyle w:val="Emphasis"/>
          <w:i w:val="0"/>
          <w:lang w:val="en-US"/>
        </w:rPr>
        <w:t>, biological equivalent dose (Gy) of the maximum point dose</w:t>
      </w:r>
    </w:p>
    <w:p w14:paraId="72CAD6A6" w14:textId="77777777" w:rsidR="005569CB" w:rsidRDefault="005569CB" w:rsidP="00CC017D">
      <w:pPr>
        <w:spacing w:line="240" w:lineRule="auto"/>
        <w:rPr>
          <w:rFonts w:cs="Arial"/>
          <w:sz w:val="24"/>
          <w:szCs w:val="24"/>
          <w:lang w:val="en-US"/>
        </w:rPr>
      </w:pPr>
    </w:p>
    <w:p w14:paraId="6A9999DC" w14:textId="77777777" w:rsidR="0095546D" w:rsidRDefault="0095546D" w:rsidP="0095546D">
      <w:pPr>
        <w:spacing w:line="240" w:lineRule="auto"/>
        <w:rPr>
          <w:rFonts w:cs="Arial"/>
          <w:b/>
          <w:sz w:val="24"/>
          <w:szCs w:val="24"/>
          <w:lang w:val="en-US"/>
        </w:rPr>
      </w:pPr>
      <w:r>
        <w:rPr>
          <w:rFonts w:cs="Arial"/>
          <w:b/>
          <w:sz w:val="24"/>
          <w:szCs w:val="24"/>
          <w:lang w:val="en-US"/>
        </w:rPr>
        <w:t>Table 2</w:t>
      </w:r>
    </w:p>
    <w:tbl>
      <w:tblPr>
        <w:tblStyle w:val="LightShading"/>
        <w:tblW w:w="0" w:type="auto"/>
        <w:tblLook w:val="04A0" w:firstRow="1" w:lastRow="0" w:firstColumn="1" w:lastColumn="0" w:noHBand="0" w:noVBand="1"/>
      </w:tblPr>
      <w:tblGrid>
        <w:gridCol w:w="1996"/>
        <w:gridCol w:w="1457"/>
        <w:gridCol w:w="1462"/>
        <w:gridCol w:w="1457"/>
        <w:gridCol w:w="1458"/>
        <w:gridCol w:w="1458"/>
      </w:tblGrid>
      <w:tr w:rsidR="0095546D" w:rsidRPr="00BC506C" w14:paraId="0A6B3599" w14:textId="77777777" w:rsidTr="00D3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2" w:type="dxa"/>
            <w:gridSpan w:val="6"/>
          </w:tcPr>
          <w:p w14:paraId="21B07AFE" w14:textId="77777777" w:rsidR="0095546D" w:rsidRPr="005C0072" w:rsidRDefault="0095546D" w:rsidP="00D32211">
            <w:pPr>
              <w:spacing w:line="240" w:lineRule="auto"/>
              <w:rPr>
                <w:rFonts w:cs="Arial"/>
                <w:sz w:val="20"/>
                <w:szCs w:val="20"/>
                <w:lang w:val="en-US"/>
              </w:rPr>
            </w:pPr>
            <w:r w:rsidRPr="005C0072">
              <w:rPr>
                <w:rFonts w:cs="Arial"/>
                <w:sz w:val="20"/>
                <w:szCs w:val="20"/>
                <w:lang w:val="en-US"/>
              </w:rPr>
              <w:t>Adverse events in patients treated with sorafenib</w:t>
            </w:r>
          </w:p>
        </w:tc>
      </w:tr>
      <w:tr w:rsidR="0095546D" w14:paraId="7D754A79"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4DF3E175" w14:textId="77777777" w:rsidR="0095546D" w:rsidRPr="005C0072" w:rsidRDefault="0095546D" w:rsidP="00D32211">
            <w:pPr>
              <w:spacing w:line="240" w:lineRule="auto"/>
              <w:rPr>
                <w:rFonts w:cs="Arial"/>
                <w:b w:val="0"/>
                <w:sz w:val="20"/>
                <w:szCs w:val="20"/>
                <w:lang w:val="en-US"/>
              </w:rPr>
            </w:pPr>
          </w:p>
        </w:tc>
        <w:tc>
          <w:tcPr>
            <w:tcW w:w="1535" w:type="dxa"/>
            <w:tcBorders>
              <w:left w:val="single" w:sz="4" w:space="0" w:color="auto"/>
            </w:tcBorders>
          </w:tcPr>
          <w:p w14:paraId="201D2C28"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any grade</w:t>
            </w:r>
          </w:p>
        </w:tc>
        <w:tc>
          <w:tcPr>
            <w:tcW w:w="1535" w:type="dxa"/>
          </w:tcPr>
          <w:p w14:paraId="1A33CE87"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grade 1</w:t>
            </w:r>
          </w:p>
        </w:tc>
        <w:tc>
          <w:tcPr>
            <w:tcW w:w="1535" w:type="dxa"/>
          </w:tcPr>
          <w:p w14:paraId="5086DC45"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grade 2</w:t>
            </w:r>
          </w:p>
        </w:tc>
        <w:tc>
          <w:tcPr>
            <w:tcW w:w="1536" w:type="dxa"/>
          </w:tcPr>
          <w:p w14:paraId="60BD2AFE"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grade 3</w:t>
            </w:r>
          </w:p>
        </w:tc>
        <w:tc>
          <w:tcPr>
            <w:tcW w:w="1536" w:type="dxa"/>
          </w:tcPr>
          <w:p w14:paraId="542729A4"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grade 4</w:t>
            </w:r>
          </w:p>
        </w:tc>
      </w:tr>
      <w:tr w:rsidR="0095546D" w14:paraId="1D015B56" w14:textId="77777777" w:rsidTr="00D32211">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17B6F241" w14:textId="77777777" w:rsidR="0095546D" w:rsidRPr="005C0072" w:rsidRDefault="0095546D" w:rsidP="00D32211">
            <w:pPr>
              <w:spacing w:line="240" w:lineRule="auto"/>
              <w:rPr>
                <w:rFonts w:cs="Arial"/>
                <w:b w:val="0"/>
                <w:sz w:val="20"/>
                <w:szCs w:val="20"/>
                <w:lang w:val="en-US"/>
              </w:rPr>
            </w:pPr>
            <w:r>
              <w:rPr>
                <w:rFonts w:cs="Arial"/>
                <w:b w:val="0"/>
                <w:sz w:val="20"/>
                <w:szCs w:val="20"/>
                <w:lang w:val="en-US"/>
              </w:rPr>
              <w:t>hand-foot skin reaction</w:t>
            </w:r>
          </w:p>
        </w:tc>
        <w:tc>
          <w:tcPr>
            <w:tcW w:w="1535" w:type="dxa"/>
            <w:tcBorders>
              <w:left w:val="single" w:sz="4" w:space="0" w:color="auto"/>
            </w:tcBorders>
          </w:tcPr>
          <w:p w14:paraId="60786979"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281 (31.2)</w:t>
            </w:r>
          </w:p>
        </w:tc>
        <w:tc>
          <w:tcPr>
            <w:tcW w:w="1535" w:type="dxa"/>
          </w:tcPr>
          <w:p w14:paraId="06733A33"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102 (36.3</w:t>
            </w:r>
            <w:r>
              <w:rPr>
                <w:rFonts w:cs="Arial"/>
                <w:sz w:val="20"/>
                <w:szCs w:val="20"/>
                <w:vertAlign w:val="superscript"/>
                <w:lang w:val="en-US"/>
              </w:rPr>
              <w:t>#</w:t>
            </w:r>
            <w:r>
              <w:rPr>
                <w:rFonts w:cs="Arial"/>
                <w:sz w:val="20"/>
                <w:szCs w:val="20"/>
                <w:lang w:val="en-US"/>
              </w:rPr>
              <w:t>)</w:t>
            </w:r>
          </w:p>
        </w:tc>
        <w:tc>
          <w:tcPr>
            <w:tcW w:w="1535" w:type="dxa"/>
          </w:tcPr>
          <w:p w14:paraId="0D8C77F1"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104 (37.0)</w:t>
            </w:r>
          </w:p>
        </w:tc>
        <w:tc>
          <w:tcPr>
            <w:tcW w:w="1536" w:type="dxa"/>
          </w:tcPr>
          <w:p w14:paraId="60E221FB"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73 (26.0)</w:t>
            </w:r>
          </w:p>
        </w:tc>
        <w:tc>
          <w:tcPr>
            <w:tcW w:w="1536" w:type="dxa"/>
          </w:tcPr>
          <w:p w14:paraId="5E3E7452"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2 (0.7)</w:t>
            </w:r>
          </w:p>
        </w:tc>
      </w:tr>
      <w:tr w:rsidR="0095546D" w14:paraId="5A127355"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5819BB25" w14:textId="77777777" w:rsidR="0095546D" w:rsidRPr="005C0072" w:rsidRDefault="0095546D" w:rsidP="00D32211">
            <w:pPr>
              <w:spacing w:line="240" w:lineRule="auto"/>
              <w:rPr>
                <w:rFonts w:cs="Arial"/>
                <w:b w:val="0"/>
                <w:sz w:val="20"/>
                <w:szCs w:val="20"/>
                <w:lang w:val="en-US"/>
              </w:rPr>
            </w:pPr>
            <w:r>
              <w:rPr>
                <w:rFonts w:cs="Arial"/>
                <w:b w:val="0"/>
                <w:sz w:val="20"/>
                <w:szCs w:val="20"/>
                <w:lang w:val="en-US"/>
              </w:rPr>
              <w:t>diarrhea</w:t>
            </w:r>
          </w:p>
        </w:tc>
        <w:tc>
          <w:tcPr>
            <w:tcW w:w="1535" w:type="dxa"/>
            <w:tcBorders>
              <w:left w:val="single" w:sz="4" w:space="0" w:color="auto"/>
            </w:tcBorders>
          </w:tcPr>
          <w:p w14:paraId="6E2D7087"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354 (39.3)</w:t>
            </w:r>
          </w:p>
        </w:tc>
        <w:tc>
          <w:tcPr>
            <w:tcW w:w="1535" w:type="dxa"/>
          </w:tcPr>
          <w:p w14:paraId="6042CF12"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143 (40.4)</w:t>
            </w:r>
          </w:p>
        </w:tc>
        <w:tc>
          <w:tcPr>
            <w:tcW w:w="1535" w:type="dxa"/>
          </w:tcPr>
          <w:p w14:paraId="7E0ED242"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102 (28.8)</w:t>
            </w:r>
          </w:p>
        </w:tc>
        <w:tc>
          <w:tcPr>
            <w:tcW w:w="1536" w:type="dxa"/>
          </w:tcPr>
          <w:p w14:paraId="19A51D53"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99 (27.9)</w:t>
            </w:r>
          </w:p>
        </w:tc>
        <w:tc>
          <w:tcPr>
            <w:tcW w:w="1536" w:type="dxa"/>
          </w:tcPr>
          <w:p w14:paraId="6E62A9A1"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10 (2.9)</w:t>
            </w:r>
          </w:p>
        </w:tc>
      </w:tr>
      <w:tr w:rsidR="0095546D" w14:paraId="4662A605" w14:textId="77777777" w:rsidTr="00D32211">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10DF68CF" w14:textId="77777777" w:rsidR="0095546D" w:rsidRPr="005C0072" w:rsidRDefault="0095546D" w:rsidP="00D32211">
            <w:pPr>
              <w:spacing w:line="240" w:lineRule="auto"/>
              <w:rPr>
                <w:rFonts w:cs="Arial"/>
                <w:b w:val="0"/>
                <w:sz w:val="20"/>
                <w:szCs w:val="20"/>
                <w:lang w:val="en-US"/>
              </w:rPr>
            </w:pPr>
            <w:r>
              <w:rPr>
                <w:rFonts w:cs="Arial"/>
                <w:b w:val="0"/>
                <w:sz w:val="20"/>
                <w:szCs w:val="20"/>
                <w:lang w:val="en-US"/>
              </w:rPr>
              <w:t>obstipation</w:t>
            </w:r>
          </w:p>
        </w:tc>
        <w:tc>
          <w:tcPr>
            <w:tcW w:w="1535" w:type="dxa"/>
            <w:tcBorders>
              <w:left w:val="single" w:sz="4" w:space="0" w:color="auto"/>
            </w:tcBorders>
          </w:tcPr>
          <w:p w14:paraId="65C49A60"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16 (1.8)</w:t>
            </w:r>
          </w:p>
        </w:tc>
        <w:tc>
          <w:tcPr>
            <w:tcW w:w="1535" w:type="dxa"/>
          </w:tcPr>
          <w:p w14:paraId="42633229"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11 (68.8)</w:t>
            </w:r>
          </w:p>
        </w:tc>
        <w:tc>
          <w:tcPr>
            <w:tcW w:w="1535" w:type="dxa"/>
          </w:tcPr>
          <w:p w14:paraId="72882E33"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5 (31.3)</w:t>
            </w:r>
          </w:p>
        </w:tc>
        <w:tc>
          <w:tcPr>
            <w:tcW w:w="1536" w:type="dxa"/>
          </w:tcPr>
          <w:p w14:paraId="6D615C87"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6" w:type="dxa"/>
          </w:tcPr>
          <w:p w14:paraId="4B278694"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r>
      <w:tr w:rsidR="0095546D" w14:paraId="39DD27EF"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5187E7E1" w14:textId="77777777" w:rsidR="0095546D" w:rsidRPr="005C0072" w:rsidRDefault="0095546D" w:rsidP="00D32211">
            <w:pPr>
              <w:spacing w:line="240" w:lineRule="auto"/>
              <w:rPr>
                <w:rFonts w:cs="Arial"/>
                <w:b w:val="0"/>
                <w:sz w:val="20"/>
                <w:szCs w:val="20"/>
                <w:lang w:val="en-US"/>
              </w:rPr>
            </w:pPr>
            <w:r>
              <w:rPr>
                <w:rFonts w:cs="Arial"/>
                <w:b w:val="0"/>
                <w:sz w:val="20"/>
                <w:szCs w:val="20"/>
                <w:lang w:val="en-US"/>
              </w:rPr>
              <w:t>fatigue</w:t>
            </w:r>
          </w:p>
        </w:tc>
        <w:tc>
          <w:tcPr>
            <w:tcW w:w="1535" w:type="dxa"/>
            <w:tcBorders>
              <w:left w:val="single" w:sz="4" w:space="0" w:color="auto"/>
            </w:tcBorders>
          </w:tcPr>
          <w:p w14:paraId="65D78950"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264 (29.3)</w:t>
            </w:r>
          </w:p>
        </w:tc>
        <w:tc>
          <w:tcPr>
            <w:tcW w:w="1535" w:type="dxa"/>
          </w:tcPr>
          <w:p w14:paraId="18BBB574"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104 (39.4)</w:t>
            </w:r>
          </w:p>
        </w:tc>
        <w:tc>
          <w:tcPr>
            <w:tcW w:w="1535" w:type="dxa"/>
          </w:tcPr>
          <w:p w14:paraId="742CF27D"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96 (36.4)</w:t>
            </w:r>
          </w:p>
        </w:tc>
        <w:tc>
          <w:tcPr>
            <w:tcW w:w="1536" w:type="dxa"/>
          </w:tcPr>
          <w:p w14:paraId="7B5F8CF5"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59 (22.3)</w:t>
            </w:r>
          </w:p>
        </w:tc>
        <w:tc>
          <w:tcPr>
            <w:tcW w:w="1536" w:type="dxa"/>
          </w:tcPr>
          <w:p w14:paraId="1BAF9468"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5 (1.9)</w:t>
            </w:r>
          </w:p>
        </w:tc>
      </w:tr>
      <w:tr w:rsidR="0095546D" w14:paraId="6EE34204" w14:textId="77777777" w:rsidTr="00D32211">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7451C09B" w14:textId="77777777" w:rsidR="0095546D" w:rsidRPr="005C0072" w:rsidRDefault="0095546D" w:rsidP="00D32211">
            <w:pPr>
              <w:spacing w:line="240" w:lineRule="auto"/>
              <w:rPr>
                <w:rFonts w:cs="Arial"/>
                <w:b w:val="0"/>
                <w:sz w:val="20"/>
                <w:szCs w:val="20"/>
                <w:lang w:val="en-US"/>
              </w:rPr>
            </w:pPr>
            <w:r>
              <w:rPr>
                <w:rFonts w:cs="Arial"/>
                <w:b w:val="0"/>
                <w:sz w:val="20"/>
                <w:szCs w:val="20"/>
                <w:lang w:val="en-US"/>
              </w:rPr>
              <w:t>weight loss</w:t>
            </w:r>
          </w:p>
        </w:tc>
        <w:tc>
          <w:tcPr>
            <w:tcW w:w="1535" w:type="dxa"/>
            <w:tcBorders>
              <w:left w:val="single" w:sz="4" w:space="0" w:color="auto"/>
            </w:tcBorders>
          </w:tcPr>
          <w:p w14:paraId="7F56F0C4"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171 (19.0)</w:t>
            </w:r>
          </w:p>
        </w:tc>
        <w:tc>
          <w:tcPr>
            <w:tcW w:w="1535" w:type="dxa"/>
          </w:tcPr>
          <w:p w14:paraId="455F9626"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98 (57.3)</w:t>
            </w:r>
          </w:p>
        </w:tc>
        <w:tc>
          <w:tcPr>
            <w:tcW w:w="1535" w:type="dxa"/>
          </w:tcPr>
          <w:p w14:paraId="7F100EE3"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54 (31.6)</w:t>
            </w:r>
          </w:p>
        </w:tc>
        <w:tc>
          <w:tcPr>
            <w:tcW w:w="1536" w:type="dxa"/>
          </w:tcPr>
          <w:p w14:paraId="26180790"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14 (8.2)</w:t>
            </w:r>
          </w:p>
        </w:tc>
        <w:tc>
          <w:tcPr>
            <w:tcW w:w="1536" w:type="dxa"/>
          </w:tcPr>
          <w:p w14:paraId="02E6E4C6"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5 (2.9)</w:t>
            </w:r>
          </w:p>
        </w:tc>
      </w:tr>
      <w:tr w:rsidR="0095546D" w14:paraId="6B037138"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1F68753D" w14:textId="77777777" w:rsidR="0095546D" w:rsidRPr="005C0072" w:rsidRDefault="0095546D" w:rsidP="00D32211">
            <w:pPr>
              <w:spacing w:line="240" w:lineRule="auto"/>
              <w:rPr>
                <w:rFonts w:cs="Arial"/>
                <w:b w:val="0"/>
                <w:sz w:val="20"/>
                <w:szCs w:val="20"/>
                <w:lang w:val="en-US"/>
              </w:rPr>
            </w:pPr>
            <w:r w:rsidRPr="005C0072">
              <w:rPr>
                <w:rFonts w:cs="Arial"/>
                <w:b w:val="0"/>
                <w:sz w:val="20"/>
                <w:szCs w:val="20"/>
                <w:lang w:val="en-US"/>
              </w:rPr>
              <w:t>hypertension</w:t>
            </w:r>
          </w:p>
        </w:tc>
        <w:tc>
          <w:tcPr>
            <w:tcW w:w="1535" w:type="dxa"/>
            <w:tcBorders>
              <w:left w:val="single" w:sz="4" w:space="0" w:color="auto"/>
            </w:tcBorders>
          </w:tcPr>
          <w:p w14:paraId="05667137"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5C0072">
              <w:rPr>
                <w:rFonts w:cs="Arial"/>
                <w:sz w:val="20"/>
                <w:szCs w:val="20"/>
                <w:lang w:val="en-US"/>
              </w:rPr>
              <w:t>120 (13.3)</w:t>
            </w:r>
          </w:p>
        </w:tc>
        <w:tc>
          <w:tcPr>
            <w:tcW w:w="1535" w:type="dxa"/>
          </w:tcPr>
          <w:p w14:paraId="46120C78"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5C0072">
              <w:rPr>
                <w:rFonts w:cs="Arial"/>
                <w:sz w:val="20"/>
                <w:szCs w:val="20"/>
                <w:lang w:val="en-US"/>
              </w:rPr>
              <w:t>53 (44.2)</w:t>
            </w:r>
          </w:p>
        </w:tc>
        <w:tc>
          <w:tcPr>
            <w:tcW w:w="1535" w:type="dxa"/>
          </w:tcPr>
          <w:p w14:paraId="3D7527FE"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5C0072">
              <w:rPr>
                <w:rFonts w:cs="Arial"/>
                <w:sz w:val="20"/>
                <w:szCs w:val="20"/>
                <w:lang w:val="en-US"/>
              </w:rPr>
              <w:t>50 (41.7)</w:t>
            </w:r>
          </w:p>
        </w:tc>
        <w:tc>
          <w:tcPr>
            <w:tcW w:w="1536" w:type="dxa"/>
          </w:tcPr>
          <w:p w14:paraId="528C114A"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5C0072">
              <w:rPr>
                <w:rFonts w:cs="Arial"/>
                <w:sz w:val="20"/>
                <w:szCs w:val="20"/>
                <w:lang w:val="en-US"/>
              </w:rPr>
              <w:t>17 (14.2)</w:t>
            </w:r>
          </w:p>
        </w:tc>
        <w:tc>
          <w:tcPr>
            <w:tcW w:w="1536" w:type="dxa"/>
          </w:tcPr>
          <w:p w14:paraId="628031CD"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sidRPr="005C0072">
              <w:rPr>
                <w:rFonts w:cs="Arial"/>
                <w:sz w:val="20"/>
                <w:szCs w:val="20"/>
                <w:lang w:val="en-US"/>
              </w:rPr>
              <w:t>0</w:t>
            </w:r>
          </w:p>
        </w:tc>
      </w:tr>
      <w:tr w:rsidR="0095546D" w14:paraId="77DCF3F5" w14:textId="77777777" w:rsidTr="00D32211">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7E1B52D2" w14:textId="77777777" w:rsidR="0095546D" w:rsidRPr="005C0072" w:rsidRDefault="0095546D" w:rsidP="00D32211">
            <w:pPr>
              <w:spacing w:line="240" w:lineRule="auto"/>
              <w:rPr>
                <w:rFonts w:cs="Arial"/>
                <w:b w:val="0"/>
                <w:sz w:val="20"/>
                <w:szCs w:val="20"/>
                <w:lang w:val="en-US"/>
              </w:rPr>
            </w:pPr>
            <w:r w:rsidRPr="005C0072">
              <w:rPr>
                <w:rFonts w:cs="Arial"/>
                <w:b w:val="0"/>
                <w:sz w:val="20"/>
                <w:szCs w:val="20"/>
                <w:lang w:val="en-US"/>
              </w:rPr>
              <w:t>mucositis</w:t>
            </w:r>
          </w:p>
        </w:tc>
        <w:tc>
          <w:tcPr>
            <w:tcW w:w="1535" w:type="dxa"/>
            <w:tcBorders>
              <w:left w:val="single" w:sz="4" w:space="0" w:color="auto"/>
            </w:tcBorders>
          </w:tcPr>
          <w:p w14:paraId="79454EA0"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42 (4.7)</w:t>
            </w:r>
          </w:p>
        </w:tc>
        <w:tc>
          <w:tcPr>
            <w:tcW w:w="1535" w:type="dxa"/>
          </w:tcPr>
          <w:p w14:paraId="72E65891"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18 (42.9)</w:t>
            </w:r>
          </w:p>
        </w:tc>
        <w:tc>
          <w:tcPr>
            <w:tcW w:w="1535" w:type="dxa"/>
          </w:tcPr>
          <w:p w14:paraId="09E0AA0A"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18 (42.9)</w:t>
            </w:r>
          </w:p>
        </w:tc>
        <w:tc>
          <w:tcPr>
            <w:tcW w:w="1536" w:type="dxa"/>
          </w:tcPr>
          <w:p w14:paraId="0AE802C0"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6 (14.3)</w:t>
            </w:r>
          </w:p>
        </w:tc>
        <w:tc>
          <w:tcPr>
            <w:tcW w:w="1536" w:type="dxa"/>
          </w:tcPr>
          <w:p w14:paraId="01BE2D4F" w14:textId="77777777" w:rsidR="0095546D" w:rsidRPr="005C0072" w:rsidRDefault="0095546D"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r>
      <w:tr w:rsidR="0095546D" w14:paraId="740A586C"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7287EA0D" w14:textId="77777777" w:rsidR="0095546D" w:rsidRPr="005C0072" w:rsidRDefault="0095546D" w:rsidP="00D32211">
            <w:pPr>
              <w:spacing w:line="240" w:lineRule="auto"/>
              <w:rPr>
                <w:rFonts w:cs="Arial"/>
                <w:b w:val="0"/>
                <w:sz w:val="20"/>
                <w:szCs w:val="20"/>
                <w:lang w:val="en-US"/>
              </w:rPr>
            </w:pPr>
            <w:r>
              <w:rPr>
                <w:rFonts w:cs="Arial"/>
                <w:b w:val="0"/>
                <w:sz w:val="20"/>
                <w:szCs w:val="20"/>
                <w:lang w:val="en-US"/>
              </w:rPr>
              <w:t>nausea and vomiting</w:t>
            </w:r>
          </w:p>
        </w:tc>
        <w:tc>
          <w:tcPr>
            <w:tcW w:w="1535" w:type="dxa"/>
            <w:tcBorders>
              <w:left w:val="single" w:sz="4" w:space="0" w:color="auto"/>
            </w:tcBorders>
          </w:tcPr>
          <w:p w14:paraId="632AE2CA"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68 (7.5)</w:t>
            </w:r>
          </w:p>
        </w:tc>
        <w:tc>
          <w:tcPr>
            <w:tcW w:w="1535" w:type="dxa"/>
          </w:tcPr>
          <w:p w14:paraId="7F4B5923"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37 (54.4)</w:t>
            </w:r>
          </w:p>
        </w:tc>
        <w:tc>
          <w:tcPr>
            <w:tcW w:w="1535" w:type="dxa"/>
          </w:tcPr>
          <w:p w14:paraId="08A79A4A"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26 (38.2)</w:t>
            </w:r>
          </w:p>
        </w:tc>
        <w:tc>
          <w:tcPr>
            <w:tcW w:w="1536" w:type="dxa"/>
          </w:tcPr>
          <w:p w14:paraId="20D6C50D"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5 (7.4)</w:t>
            </w:r>
          </w:p>
        </w:tc>
        <w:tc>
          <w:tcPr>
            <w:tcW w:w="1536" w:type="dxa"/>
          </w:tcPr>
          <w:p w14:paraId="6A525817" w14:textId="77777777" w:rsidR="0095546D" w:rsidRPr="005C0072"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r>
      <w:tr w:rsidR="0095546D" w:rsidRPr="00BC506C" w14:paraId="2FCEB09D" w14:textId="77777777" w:rsidTr="00D32211">
        <w:trPr>
          <w:trHeight w:val="316"/>
        </w:trPr>
        <w:tc>
          <w:tcPr>
            <w:cnfStyle w:val="001000000000" w:firstRow="0" w:lastRow="0" w:firstColumn="1" w:lastColumn="0" w:oddVBand="0" w:evenVBand="0" w:oddHBand="0" w:evenHBand="0" w:firstRowFirstColumn="0" w:firstRowLastColumn="0" w:lastRowFirstColumn="0" w:lastRowLastColumn="0"/>
            <w:tcW w:w="9212" w:type="dxa"/>
            <w:gridSpan w:val="6"/>
          </w:tcPr>
          <w:p w14:paraId="4BEF20EB" w14:textId="77777777" w:rsidR="0095546D" w:rsidRPr="009261FF" w:rsidRDefault="0095546D" w:rsidP="00960199">
            <w:pPr>
              <w:spacing w:line="240" w:lineRule="auto"/>
              <w:rPr>
                <w:rFonts w:cs="Arial"/>
                <w:b w:val="0"/>
                <w:sz w:val="18"/>
                <w:szCs w:val="18"/>
                <w:lang w:val="en-US"/>
              </w:rPr>
            </w:pPr>
            <w:r w:rsidRPr="009261FF">
              <w:rPr>
                <w:rFonts w:cs="Arial"/>
                <w:sz w:val="20"/>
                <w:szCs w:val="20"/>
                <w:lang w:val="en-US"/>
              </w:rPr>
              <w:t>Adverse events in patients treated with SBRT</w:t>
            </w:r>
            <w:r w:rsidR="00960199" w:rsidRPr="009261FF">
              <w:rPr>
                <w:rFonts w:cs="Arial"/>
                <w:sz w:val="20"/>
                <w:szCs w:val="20"/>
                <w:lang w:val="en-US"/>
              </w:rPr>
              <w:t xml:space="preserve">       </w:t>
            </w:r>
          </w:p>
        </w:tc>
      </w:tr>
      <w:tr w:rsidR="0095546D" w:rsidRPr="00B41370" w14:paraId="771CB930"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275A3753" w14:textId="77777777" w:rsidR="0095546D" w:rsidRPr="00F64B22" w:rsidRDefault="00F64B22" w:rsidP="00D32211">
            <w:pPr>
              <w:spacing w:line="240" w:lineRule="auto"/>
              <w:rPr>
                <w:rFonts w:cs="Arial"/>
                <w:b w:val="0"/>
                <w:sz w:val="20"/>
                <w:szCs w:val="20"/>
                <w:lang w:val="en-US"/>
              </w:rPr>
            </w:pPr>
            <w:r w:rsidRPr="00F64B22">
              <w:rPr>
                <w:rFonts w:cs="Arial"/>
                <w:sz w:val="20"/>
                <w:szCs w:val="20"/>
                <w:lang w:val="en-US"/>
              </w:rPr>
              <w:t>F</w:t>
            </w:r>
            <w:r w:rsidRPr="00F64B22">
              <w:rPr>
                <w:rFonts w:cs="Arial"/>
                <w:sz w:val="20"/>
                <w:szCs w:val="20"/>
              </w:rPr>
              <w:t>atigue</w:t>
            </w:r>
          </w:p>
        </w:tc>
        <w:tc>
          <w:tcPr>
            <w:tcW w:w="1535" w:type="dxa"/>
            <w:tcBorders>
              <w:left w:val="single" w:sz="4" w:space="0" w:color="auto"/>
            </w:tcBorders>
          </w:tcPr>
          <w:p w14:paraId="4B093F26"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18"/>
                <w:szCs w:val="18"/>
                <w:lang w:val="en-US"/>
              </w:rPr>
            </w:pPr>
            <w:r>
              <w:rPr>
                <w:rFonts w:cs="Arial"/>
                <w:sz w:val="18"/>
                <w:szCs w:val="18"/>
                <w:lang w:val="en-US"/>
              </w:rPr>
              <w:t>1</w:t>
            </w:r>
            <w:r>
              <w:rPr>
                <w:rFonts w:cs="Arial"/>
                <w:sz w:val="18"/>
                <w:szCs w:val="18"/>
              </w:rPr>
              <w:t xml:space="preserve"> (1.0)</w:t>
            </w:r>
          </w:p>
        </w:tc>
        <w:tc>
          <w:tcPr>
            <w:tcW w:w="1535" w:type="dxa"/>
          </w:tcPr>
          <w:p w14:paraId="3CC86009"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(100)</w:t>
            </w:r>
          </w:p>
        </w:tc>
        <w:tc>
          <w:tcPr>
            <w:tcW w:w="1535" w:type="dxa"/>
          </w:tcPr>
          <w:p w14:paraId="6E18FAD4"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c>
          <w:tcPr>
            <w:tcW w:w="1536" w:type="dxa"/>
          </w:tcPr>
          <w:p w14:paraId="4F5B94BF"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c>
          <w:tcPr>
            <w:tcW w:w="1536" w:type="dxa"/>
          </w:tcPr>
          <w:p w14:paraId="07663570"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r>
      <w:tr w:rsidR="0095546D" w:rsidRPr="00B41370" w14:paraId="0AD31DD6" w14:textId="77777777" w:rsidTr="00D32211">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23F96CC9" w14:textId="77777777" w:rsidR="0095546D" w:rsidRPr="00F64B22" w:rsidRDefault="00F64B22" w:rsidP="00D32211">
            <w:pPr>
              <w:spacing w:line="240" w:lineRule="auto"/>
              <w:rPr>
                <w:rFonts w:cs="Arial"/>
                <w:sz w:val="20"/>
                <w:szCs w:val="20"/>
                <w:lang w:val="en-US"/>
              </w:rPr>
            </w:pPr>
            <w:r w:rsidRPr="00F64B22">
              <w:rPr>
                <w:rFonts w:cs="Arial"/>
                <w:sz w:val="20"/>
                <w:szCs w:val="20"/>
                <w:lang w:val="en-US"/>
              </w:rPr>
              <w:t>Increase in aminotransferases</w:t>
            </w:r>
          </w:p>
        </w:tc>
        <w:tc>
          <w:tcPr>
            <w:tcW w:w="1535" w:type="dxa"/>
            <w:tcBorders>
              <w:left w:val="single" w:sz="4" w:space="0" w:color="auto"/>
            </w:tcBorders>
          </w:tcPr>
          <w:p w14:paraId="32CF28B9" w14:textId="77777777" w:rsidR="0095546D" w:rsidRPr="00F64B22" w:rsidRDefault="00F64B22"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5" w:type="dxa"/>
          </w:tcPr>
          <w:p w14:paraId="505A028B" w14:textId="77777777" w:rsidR="0095546D" w:rsidRPr="00F64B22" w:rsidRDefault="00F64B22"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5" w:type="dxa"/>
          </w:tcPr>
          <w:p w14:paraId="28207753" w14:textId="77777777" w:rsidR="0095546D" w:rsidRPr="00F64B22" w:rsidRDefault="00F64B22"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6" w:type="dxa"/>
          </w:tcPr>
          <w:p w14:paraId="008E630E" w14:textId="77777777" w:rsidR="0095546D" w:rsidRPr="00F64B22" w:rsidRDefault="00F64B22"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6" w:type="dxa"/>
          </w:tcPr>
          <w:p w14:paraId="717AB087" w14:textId="77777777" w:rsidR="0095546D" w:rsidRPr="00F64B22" w:rsidRDefault="00F64B22"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r>
      <w:tr w:rsidR="0095546D" w:rsidRPr="00B41370" w14:paraId="2CA0D920"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602C643F" w14:textId="77777777" w:rsidR="0095546D" w:rsidRPr="00F64B22" w:rsidRDefault="00F64B22" w:rsidP="00D32211">
            <w:pPr>
              <w:spacing w:line="240" w:lineRule="auto"/>
              <w:rPr>
                <w:rFonts w:cs="Arial"/>
                <w:sz w:val="20"/>
                <w:szCs w:val="20"/>
                <w:lang w:val="en-US"/>
              </w:rPr>
            </w:pPr>
            <w:r w:rsidRPr="00F64B22">
              <w:rPr>
                <w:rFonts w:cs="Arial"/>
                <w:sz w:val="20"/>
                <w:szCs w:val="20"/>
                <w:lang w:val="en-US"/>
              </w:rPr>
              <w:t>Increase in bilirubin</w:t>
            </w:r>
          </w:p>
        </w:tc>
        <w:tc>
          <w:tcPr>
            <w:tcW w:w="1535" w:type="dxa"/>
            <w:tcBorders>
              <w:left w:val="single" w:sz="4" w:space="0" w:color="auto"/>
            </w:tcBorders>
          </w:tcPr>
          <w:p w14:paraId="220EA5FF"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9 (7.</w:t>
            </w:r>
            <w:r w:rsidR="0013299C">
              <w:rPr>
                <w:rFonts w:cs="Arial"/>
                <w:sz w:val="20"/>
                <w:szCs w:val="20"/>
                <w:lang w:val="en-US"/>
              </w:rPr>
              <w:t>4</w:t>
            </w:r>
            <w:r>
              <w:rPr>
                <w:rFonts w:cs="Arial"/>
                <w:sz w:val="20"/>
                <w:szCs w:val="20"/>
                <w:lang w:val="en-US"/>
              </w:rPr>
              <w:t>)</w:t>
            </w:r>
          </w:p>
        </w:tc>
        <w:tc>
          <w:tcPr>
            <w:tcW w:w="1535" w:type="dxa"/>
          </w:tcPr>
          <w:p w14:paraId="2702EAB3"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c>
          <w:tcPr>
            <w:tcW w:w="1535" w:type="dxa"/>
          </w:tcPr>
          <w:p w14:paraId="35F29E4F"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2 (22.2)</w:t>
            </w:r>
          </w:p>
        </w:tc>
        <w:tc>
          <w:tcPr>
            <w:tcW w:w="1536" w:type="dxa"/>
          </w:tcPr>
          <w:p w14:paraId="37B008E7"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7 (77.8)</w:t>
            </w:r>
          </w:p>
        </w:tc>
        <w:tc>
          <w:tcPr>
            <w:tcW w:w="1536" w:type="dxa"/>
          </w:tcPr>
          <w:p w14:paraId="77525557" w14:textId="77777777" w:rsidR="0095546D" w:rsidRPr="00F64B22" w:rsidRDefault="00F64B22"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r>
      <w:tr w:rsidR="0095546D" w:rsidRPr="00B41370" w14:paraId="02BAA7B1" w14:textId="77777777" w:rsidTr="00D32211">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31B67778" w14:textId="77777777" w:rsidR="0095546D" w:rsidRPr="0013299C" w:rsidRDefault="00F64B22" w:rsidP="00D32211">
            <w:pPr>
              <w:spacing w:line="240" w:lineRule="auto"/>
              <w:rPr>
                <w:rFonts w:cs="Arial"/>
                <w:sz w:val="20"/>
                <w:szCs w:val="20"/>
                <w:lang w:val="en-US"/>
              </w:rPr>
            </w:pPr>
            <w:r w:rsidRPr="0013299C">
              <w:rPr>
                <w:rFonts w:cs="Arial"/>
                <w:sz w:val="20"/>
                <w:szCs w:val="20"/>
                <w:lang w:val="en-US"/>
              </w:rPr>
              <w:t>Increase in alkaline phosphatase</w:t>
            </w:r>
          </w:p>
        </w:tc>
        <w:tc>
          <w:tcPr>
            <w:tcW w:w="1535" w:type="dxa"/>
            <w:tcBorders>
              <w:left w:val="single" w:sz="4" w:space="0" w:color="auto"/>
            </w:tcBorders>
          </w:tcPr>
          <w:p w14:paraId="4011FE13"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2 (1.6)</w:t>
            </w:r>
          </w:p>
        </w:tc>
        <w:tc>
          <w:tcPr>
            <w:tcW w:w="1535" w:type="dxa"/>
          </w:tcPr>
          <w:p w14:paraId="0D4D03AF"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5" w:type="dxa"/>
          </w:tcPr>
          <w:p w14:paraId="5E930FD0"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2 (100)</w:t>
            </w:r>
          </w:p>
        </w:tc>
        <w:tc>
          <w:tcPr>
            <w:tcW w:w="1536" w:type="dxa"/>
          </w:tcPr>
          <w:p w14:paraId="4AD28417"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6" w:type="dxa"/>
          </w:tcPr>
          <w:p w14:paraId="092244EB"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r>
      <w:tr w:rsidR="0095546D" w:rsidRPr="00B41370" w14:paraId="63E0276A"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4DBFED3E" w14:textId="77777777" w:rsidR="0095546D" w:rsidRPr="0013299C" w:rsidRDefault="0013299C" w:rsidP="00D32211">
            <w:pPr>
              <w:spacing w:line="240" w:lineRule="auto"/>
              <w:rPr>
                <w:rFonts w:cs="Arial"/>
                <w:sz w:val="20"/>
                <w:szCs w:val="20"/>
                <w:lang w:val="en-US"/>
              </w:rPr>
            </w:pPr>
            <w:r w:rsidRPr="0013299C">
              <w:rPr>
                <w:rFonts w:cs="Arial"/>
                <w:sz w:val="20"/>
                <w:szCs w:val="20"/>
                <w:lang w:val="en-US"/>
              </w:rPr>
              <w:t>Increase in γ-glutamyl transferase</w:t>
            </w:r>
          </w:p>
        </w:tc>
        <w:tc>
          <w:tcPr>
            <w:tcW w:w="1535" w:type="dxa"/>
            <w:tcBorders>
              <w:left w:val="single" w:sz="4" w:space="0" w:color="auto"/>
            </w:tcBorders>
          </w:tcPr>
          <w:p w14:paraId="56FD495A" w14:textId="77777777" w:rsidR="0095546D" w:rsidRPr="00F64B22"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3 (2.5)</w:t>
            </w:r>
          </w:p>
        </w:tc>
        <w:tc>
          <w:tcPr>
            <w:tcW w:w="1535" w:type="dxa"/>
          </w:tcPr>
          <w:p w14:paraId="4DF3ECC4" w14:textId="77777777" w:rsidR="0095546D" w:rsidRPr="00F64B22"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c>
          <w:tcPr>
            <w:tcW w:w="1535" w:type="dxa"/>
          </w:tcPr>
          <w:p w14:paraId="21CF0AB3" w14:textId="77777777" w:rsidR="0095546D" w:rsidRPr="00F64B22"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2 (66.7)</w:t>
            </w:r>
          </w:p>
        </w:tc>
        <w:tc>
          <w:tcPr>
            <w:tcW w:w="1536" w:type="dxa"/>
          </w:tcPr>
          <w:p w14:paraId="1EDA334C" w14:textId="77777777" w:rsidR="0095546D" w:rsidRPr="00F64B22"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(33.3)</w:t>
            </w:r>
          </w:p>
        </w:tc>
        <w:tc>
          <w:tcPr>
            <w:tcW w:w="1536" w:type="dxa"/>
          </w:tcPr>
          <w:p w14:paraId="33EE9BEA" w14:textId="77777777" w:rsidR="0095546D" w:rsidRPr="00F64B22"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r>
      <w:tr w:rsidR="0095546D" w:rsidRPr="00B41370" w14:paraId="499ECF20" w14:textId="77777777" w:rsidTr="00D32211">
        <w:tc>
          <w:tcPr>
            <w:cnfStyle w:val="001000000000" w:firstRow="0" w:lastRow="0" w:firstColumn="1" w:lastColumn="0" w:oddVBand="0" w:evenVBand="0" w:oddHBand="0" w:evenHBand="0" w:firstRowFirstColumn="0" w:firstRowLastColumn="0" w:lastRowFirstColumn="0" w:lastRowLastColumn="0"/>
            <w:tcW w:w="1535" w:type="dxa"/>
            <w:tcBorders>
              <w:top w:val="nil"/>
              <w:bottom w:val="nil"/>
              <w:right w:val="single" w:sz="4" w:space="0" w:color="auto"/>
            </w:tcBorders>
          </w:tcPr>
          <w:p w14:paraId="2954EB52" w14:textId="77777777" w:rsidR="0095546D" w:rsidRPr="0013299C" w:rsidRDefault="0013299C" w:rsidP="00D32211">
            <w:pPr>
              <w:spacing w:line="240" w:lineRule="auto"/>
              <w:rPr>
                <w:rFonts w:cs="Arial"/>
                <w:sz w:val="20"/>
                <w:szCs w:val="20"/>
                <w:lang w:val="en-US"/>
              </w:rPr>
            </w:pPr>
            <w:r w:rsidRPr="0013299C">
              <w:rPr>
                <w:rFonts w:cs="Arial"/>
                <w:sz w:val="20"/>
                <w:szCs w:val="20"/>
                <w:lang w:val="en-US"/>
              </w:rPr>
              <w:t>duodenitis / gastrointestinal bleeding</w:t>
            </w:r>
          </w:p>
        </w:tc>
        <w:tc>
          <w:tcPr>
            <w:tcW w:w="1535" w:type="dxa"/>
            <w:tcBorders>
              <w:left w:val="single" w:sz="4" w:space="0" w:color="auto"/>
            </w:tcBorders>
          </w:tcPr>
          <w:p w14:paraId="39D46C26"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3 (2.5)</w:t>
            </w:r>
          </w:p>
        </w:tc>
        <w:tc>
          <w:tcPr>
            <w:tcW w:w="1535" w:type="dxa"/>
          </w:tcPr>
          <w:p w14:paraId="2545D2F6"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c>
          <w:tcPr>
            <w:tcW w:w="1535" w:type="dxa"/>
          </w:tcPr>
          <w:p w14:paraId="02BAE317"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2 (66.7)</w:t>
            </w:r>
          </w:p>
        </w:tc>
        <w:tc>
          <w:tcPr>
            <w:tcW w:w="1536" w:type="dxa"/>
          </w:tcPr>
          <w:p w14:paraId="56A693EA"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 (33.3)</w:t>
            </w:r>
          </w:p>
        </w:tc>
        <w:tc>
          <w:tcPr>
            <w:tcW w:w="1536" w:type="dxa"/>
          </w:tcPr>
          <w:p w14:paraId="4F855871" w14:textId="77777777" w:rsidR="0095546D" w:rsidRPr="00F64B22" w:rsidRDefault="0013299C" w:rsidP="00D3221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w:t>
            </w:r>
          </w:p>
        </w:tc>
      </w:tr>
      <w:tr w:rsidR="0095546D" w:rsidRPr="00B41370" w14:paraId="7C40FE01" w14:textId="77777777" w:rsidTr="00D3221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5" w:type="dxa"/>
            <w:tcBorders>
              <w:top w:val="nil"/>
              <w:bottom w:val="single" w:sz="8" w:space="0" w:color="000000" w:themeColor="text1"/>
              <w:right w:val="single" w:sz="4" w:space="0" w:color="auto"/>
            </w:tcBorders>
          </w:tcPr>
          <w:p w14:paraId="6C7CE3ED" w14:textId="77777777" w:rsidR="0095546D" w:rsidRDefault="0013299C" w:rsidP="00D32211">
            <w:pPr>
              <w:spacing w:line="240" w:lineRule="auto"/>
              <w:rPr>
                <w:rFonts w:cs="Arial"/>
                <w:b w:val="0"/>
                <w:bCs w:val="0"/>
                <w:sz w:val="20"/>
                <w:szCs w:val="20"/>
                <w:lang w:val="en-US"/>
              </w:rPr>
            </w:pPr>
            <w:r w:rsidRPr="0013299C">
              <w:rPr>
                <w:rFonts w:cs="Arial"/>
                <w:sz w:val="20"/>
                <w:szCs w:val="20"/>
                <w:lang w:val="en-US"/>
              </w:rPr>
              <w:t>Liver-associated toxicity</w:t>
            </w:r>
          </w:p>
          <w:p w14:paraId="0E40EB1E" w14:textId="77777777" w:rsidR="0013299C" w:rsidRDefault="0013299C" w:rsidP="00D32211">
            <w:pPr>
              <w:spacing w:line="240" w:lineRule="auto"/>
              <w:rPr>
                <w:rFonts w:cs="Arial"/>
                <w:bCs w:val="0"/>
                <w:sz w:val="20"/>
                <w:szCs w:val="20"/>
                <w:lang w:val="en-US"/>
              </w:rPr>
            </w:pPr>
            <w:r>
              <w:rPr>
                <w:rFonts w:cs="Arial"/>
                <w:b w:val="0"/>
                <w:sz w:val="20"/>
                <w:szCs w:val="20"/>
                <w:lang w:val="en-US"/>
              </w:rPr>
              <w:t xml:space="preserve">  Liver abscess</w:t>
            </w:r>
          </w:p>
          <w:p w14:paraId="6B88A6A7" w14:textId="77777777" w:rsidR="0013299C" w:rsidRDefault="0013299C" w:rsidP="00D32211">
            <w:pPr>
              <w:spacing w:line="240" w:lineRule="auto"/>
              <w:rPr>
                <w:rFonts w:cs="Arial"/>
                <w:bCs w:val="0"/>
                <w:sz w:val="20"/>
                <w:szCs w:val="20"/>
                <w:lang w:val="en-US"/>
              </w:rPr>
            </w:pPr>
            <w:r>
              <w:rPr>
                <w:rFonts w:cs="Arial"/>
                <w:b w:val="0"/>
                <w:sz w:val="20"/>
                <w:szCs w:val="20"/>
                <w:lang w:val="en-US"/>
              </w:rPr>
              <w:t xml:space="preserve">  Radiation-induced </w:t>
            </w:r>
          </w:p>
          <w:p w14:paraId="746E3CD1" w14:textId="77777777" w:rsidR="0013299C" w:rsidRDefault="0013299C" w:rsidP="00D32211">
            <w:pPr>
              <w:spacing w:line="240" w:lineRule="auto"/>
              <w:rPr>
                <w:rFonts w:cs="Arial"/>
                <w:bCs w:val="0"/>
                <w:sz w:val="20"/>
                <w:szCs w:val="20"/>
                <w:lang w:val="en-US"/>
              </w:rPr>
            </w:pPr>
            <w:r>
              <w:rPr>
                <w:rFonts w:cs="Arial"/>
                <w:b w:val="0"/>
                <w:sz w:val="20"/>
                <w:szCs w:val="20"/>
                <w:lang w:val="en-US"/>
              </w:rPr>
              <w:t xml:space="preserve">  liver disease</w:t>
            </w:r>
          </w:p>
          <w:p w14:paraId="44200A59" w14:textId="77777777" w:rsidR="0013299C" w:rsidRDefault="0013299C" w:rsidP="00D32211">
            <w:pPr>
              <w:spacing w:line="240" w:lineRule="auto"/>
              <w:rPr>
                <w:rFonts w:cs="Arial"/>
                <w:bCs w:val="0"/>
                <w:sz w:val="20"/>
                <w:szCs w:val="20"/>
                <w:lang w:val="en-US"/>
              </w:rPr>
            </w:pPr>
            <w:r>
              <w:rPr>
                <w:rFonts w:cs="Arial"/>
                <w:b w:val="0"/>
                <w:sz w:val="20"/>
                <w:szCs w:val="20"/>
                <w:lang w:val="en-US"/>
              </w:rPr>
              <w:t xml:space="preserve">  hepatic </w:t>
            </w:r>
          </w:p>
          <w:p w14:paraId="1C39CBE1" w14:textId="77777777" w:rsidR="0013299C" w:rsidRDefault="0013299C" w:rsidP="00D32211">
            <w:pPr>
              <w:spacing w:line="240" w:lineRule="auto"/>
              <w:rPr>
                <w:rFonts w:cs="Arial"/>
                <w:bCs w:val="0"/>
                <w:sz w:val="20"/>
                <w:szCs w:val="20"/>
                <w:lang w:val="en-US"/>
              </w:rPr>
            </w:pPr>
            <w:r>
              <w:rPr>
                <w:rFonts w:cs="Arial"/>
                <w:b w:val="0"/>
                <w:sz w:val="20"/>
                <w:szCs w:val="20"/>
                <w:lang w:val="en-US"/>
              </w:rPr>
              <w:t xml:space="preserve">  decompensation</w:t>
            </w:r>
          </w:p>
          <w:p w14:paraId="704F3E84" w14:textId="77777777" w:rsidR="0013299C" w:rsidRPr="0013299C" w:rsidRDefault="0013299C" w:rsidP="00D32211">
            <w:pPr>
              <w:spacing w:line="240" w:lineRule="auto"/>
              <w:rPr>
                <w:rFonts w:cs="Arial"/>
                <w:b w:val="0"/>
                <w:sz w:val="20"/>
                <w:szCs w:val="20"/>
                <w:lang w:val="en-US"/>
              </w:rPr>
            </w:pPr>
            <w:r>
              <w:rPr>
                <w:rFonts w:cs="Arial"/>
                <w:b w:val="0"/>
                <w:sz w:val="20"/>
                <w:szCs w:val="20"/>
                <w:lang w:val="en-US"/>
              </w:rPr>
              <w:t xml:space="preserve">  cholangitis</w:t>
            </w:r>
          </w:p>
        </w:tc>
        <w:tc>
          <w:tcPr>
            <w:tcW w:w="1535" w:type="dxa"/>
            <w:tcBorders>
              <w:left w:val="single" w:sz="4" w:space="0" w:color="auto"/>
            </w:tcBorders>
          </w:tcPr>
          <w:p w14:paraId="2B1E4E9B" w14:textId="77777777" w:rsidR="0095546D"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44BA6581" w14:textId="77777777" w:rsidR="0013299C"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3DD4CD7F" w14:textId="77777777" w:rsidR="0013299C"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(0.8)</w:t>
            </w:r>
          </w:p>
          <w:p w14:paraId="27DC4D7E" w14:textId="77777777" w:rsidR="0013299C"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(0.8)</w:t>
            </w:r>
          </w:p>
          <w:p w14:paraId="499591C5" w14:textId="77777777" w:rsidR="0013299C"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A0618D9" w14:textId="77777777" w:rsidR="0013299C"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3 (2.5)</w:t>
            </w:r>
          </w:p>
          <w:p w14:paraId="26F3EDFD" w14:textId="77777777" w:rsidR="0013299C"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76FDBC61" w14:textId="77777777" w:rsidR="0013299C" w:rsidRPr="00F64B22"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(0.8)</w:t>
            </w:r>
          </w:p>
        </w:tc>
        <w:tc>
          <w:tcPr>
            <w:tcW w:w="1535" w:type="dxa"/>
          </w:tcPr>
          <w:p w14:paraId="7F30BB49" w14:textId="77777777" w:rsidR="0095546D"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B8DEF03" w14:textId="77777777" w:rsidR="0013299C" w:rsidRDefault="0013299C"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F16F392" w14:textId="77777777" w:rsidR="0013299C"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0E8B0BB2"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074C7579"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B435337"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00DC1790"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68093BB" w14:textId="77777777" w:rsidR="00F3436F" w:rsidRPr="00F64B22"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c>
          <w:tcPr>
            <w:tcW w:w="1535" w:type="dxa"/>
          </w:tcPr>
          <w:p w14:paraId="5DB02B0D" w14:textId="77777777" w:rsidR="0095546D"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4A7066F4"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52A7CE6"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5A0670B9"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441F5BFF"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21929F8"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1A6BCAE4"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34533E5C" w14:textId="77777777" w:rsidR="00F3436F" w:rsidRPr="00F64B22"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c>
          <w:tcPr>
            <w:tcW w:w="1536" w:type="dxa"/>
          </w:tcPr>
          <w:p w14:paraId="788C1C5F" w14:textId="77777777" w:rsidR="0095546D"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32295742"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7705446F"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201F3EC7"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(100)</w:t>
            </w:r>
          </w:p>
          <w:p w14:paraId="69B813DC"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5DEC845"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2 (66.7)</w:t>
            </w:r>
          </w:p>
          <w:p w14:paraId="5EB5E7BD"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388345A" w14:textId="77777777" w:rsidR="00F3436F" w:rsidRPr="00F64B22"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(100)</w:t>
            </w:r>
          </w:p>
        </w:tc>
        <w:tc>
          <w:tcPr>
            <w:tcW w:w="1536" w:type="dxa"/>
          </w:tcPr>
          <w:p w14:paraId="1B4D0962" w14:textId="77777777" w:rsidR="0095546D" w:rsidRDefault="0095546D"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756DC047"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E764F2B"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(100)</w:t>
            </w:r>
          </w:p>
          <w:p w14:paraId="6BC7E355"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p w14:paraId="6E69355A"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530B91A"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 (33.3)</w:t>
            </w:r>
          </w:p>
          <w:p w14:paraId="4939FA94" w14:textId="77777777" w:rsidR="00F3436F"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04EDB54" w14:textId="77777777" w:rsidR="00F3436F" w:rsidRPr="00F64B22" w:rsidRDefault="00F3436F" w:rsidP="00D32211">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p>
        </w:tc>
      </w:tr>
    </w:tbl>
    <w:p w14:paraId="645D5A0E" w14:textId="77777777" w:rsidR="0095546D" w:rsidRPr="00B41370" w:rsidRDefault="0095546D" w:rsidP="0095546D">
      <w:pPr>
        <w:spacing w:line="240" w:lineRule="auto"/>
        <w:rPr>
          <w:rFonts w:cs="Arial"/>
          <w:sz w:val="24"/>
          <w:szCs w:val="24"/>
          <w:lang w:val="en-US"/>
        </w:rPr>
      </w:pPr>
    </w:p>
    <w:p w14:paraId="6C54C84A" w14:textId="77777777" w:rsidR="0095546D" w:rsidRDefault="0095546D" w:rsidP="0095546D">
      <w:pPr>
        <w:spacing w:line="240" w:lineRule="auto"/>
        <w:rPr>
          <w:rFonts w:cs="Arial"/>
          <w:b/>
          <w:sz w:val="24"/>
          <w:szCs w:val="24"/>
          <w:lang w:val="en-US"/>
        </w:rPr>
      </w:pPr>
      <w:r w:rsidRPr="004C0C56">
        <w:rPr>
          <w:rFonts w:cs="Arial"/>
          <w:b/>
          <w:sz w:val="24"/>
          <w:szCs w:val="24"/>
          <w:u w:val="single"/>
          <w:lang w:val="en-US"/>
        </w:rPr>
        <w:t xml:space="preserve">Table </w:t>
      </w:r>
      <w:r>
        <w:rPr>
          <w:rFonts w:cs="Arial"/>
          <w:b/>
          <w:sz w:val="24"/>
          <w:szCs w:val="24"/>
          <w:u w:val="single"/>
          <w:lang w:val="en-US"/>
        </w:rPr>
        <w:t>2</w:t>
      </w:r>
      <w:r w:rsidRPr="004C0C56">
        <w:rPr>
          <w:rFonts w:cs="Arial"/>
          <w:b/>
          <w:sz w:val="24"/>
          <w:szCs w:val="24"/>
          <w:u w:val="single"/>
          <w:lang w:val="en-US"/>
        </w:rPr>
        <w:t>:</w:t>
      </w:r>
      <w:r>
        <w:rPr>
          <w:rFonts w:cs="Arial"/>
          <w:b/>
          <w:sz w:val="24"/>
          <w:szCs w:val="24"/>
          <w:lang w:val="en-US"/>
        </w:rPr>
        <w:t xml:space="preserve"> Incidence of treatment-associated </w:t>
      </w:r>
      <w:bookmarkStart w:id="0" w:name="_GoBack"/>
      <w:r>
        <w:rPr>
          <w:rFonts w:cs="Arial"/>
          <w:b/>
          <w:sz w:val="24"/>
          <w:szCs w:val="24"/>
          <w:lang w:val="en-US"/>
        </w:rPr>
        <w:t xml:space="preserve">adverse events </w:t>
      </w:r>
      <w:bookmarkEnd w:id="0"/>
      <w:r>
        <w:rPr>
          <w:rFonts w:cs="Arial"/>
          <w:b/>
          <w:sz w:val="24"/>
          <w:szCs w:val="24"/>
          <w:lang w:val="en-US"/>
        </w:rPr>
        <w:t>in the unmatched cohort.</w:t>
      </w:r>
    </w:p>
    <w:p w14:paraId="0B94ACBB" w14:textId="77777777" w:rsidR="0095546D" w:rsidRPr="00B41370" w:rsidRDefault="0095546D" w:rsidP="0095546D">
      <w:pPr>
        <w:spacing w:line="240" w:lineRule="auto"/>
        <w:rPr>
          <w:rFonts w:cs="Arial"/>
          <w:sz w:val="24"/>
          <w:szCs w:val="24"/>
          <w:lang w:val="en-US"/>
        </w:rPr>
      </w:pPr>
      <w:r w:rsidRPr="00B41370">
        <w:rPr>
          <w:rFonts w:cs="Arial"/>
          <w:sz w:val="24"/>
          <w:szCs w:val="24"/>
          <w:lang w:val="en-US"/>
        </w:rPr>
        <w:t>#</w:t>
      </w:r>
      <w:r>
        <w:rPr>
          <w:rFonts w:cs="Arial"/>
          <w:sz w:val="24"/>
          <w:szCs w:val="24"/>
          <w:lang w:val="en-US"/>
        </w:rPr>
        <w:t xml:space="preserve"> relative frequencies refer to any grade of the reported adverse event</w:t>
      </w:r>
    </w:p>
    <w:p w14:paraId="61B3407F" w14:textId="77777777" w:rsidR="0095546D" w:rsidRDefault="0095546D" w:rsidP="0095546D">
      <w:pPr>
        <w:spacing w:line="240" w:lineRule="auto"/>
        <w:rPr>
          <w:rFonts w:cs="Arial"/>
          <w:b/>
          <w:sz w:val="24"/>
          <w:szCs w:val="24"/>
          <w:lang w:val="en-US"/>
        </w:rPr>
      </w:pPr>
    </w:p>
    <w:p w14:paraId="34BE3BAD" w14:textId="77777777" w:rsidR="00276824" w:rsidRDefault="00276824" w:rsidP="00CC017D">
      <w:pPr>
        <w:spacing w:line="240" w:lineRule="auto"/>
        <w:rPr>
          <w:rFonts w:cs="Arial"/>
          <w:sz w:val="24"/>
          <w:szCs w:val="24"/>
          <w:lang w:val="en-US"/>
        </w:rPr>
      </w:pPr>
    </w:p>
    <w:p w14:paraId="01043923" w14:textId="77777777" w:rsidR="00276824" w:rsidRDefault="00276824" w:rsidP="00CC017D">
      <w:pPr>
        <w:spacing w:line="240" w:lineRule="auto"/>
        <w:rPr>
          <w:rFonts w:cs="Arial"/>
          <w:sz w:val="24"/>
          <w:szCs w:val="24"/>
          <w:lang w:val="en-US"/>
        </w:rPr>
      </w:pPr>
    </w:p>
    <w:p w14:paraId="1A10ACAA" w14:textId="77777777" w:rsidR="00276824" w:rsidRDefault="00276824" w:rsidP="00CC017D">
      <w:pPr>
        <w:spacing w:line="240" w:lineRule="auto"/>
        <w:rPr>
          <w:rFonts w:cs="Arial"/>
          <w:sz w:val="24"/>
          <w:szCs w:val="24"/>
          <w:lang w:val="en-US"/>
        </w:rPr>
      </w:pPr>
    </w:p>
    <w:p w14:paraId="0CBCAB09" w14:textId="77777777" w:rsidR="00276824" w:rsidRDefault="00276824" w:rsidP="00CC017D">
      <w:pPr>
        <w:spacing w:line="240" w:lineRule="auto"/>
        <w:rPr>
          <w:rFonts w:cs="Arial"/>
          <w:sz w:val="24"/>
          <w:szCs w:val="24"/>
          <w:lang w:val="en-US"/>
        </w:rPr>
      </w:pPr>
    </w:p>
    <w:p w14:paraId="3CFA3CDE" w14:textId="77777777" w:rsidR="00AB3D1C" w:rsidRDefault="00AB3D1C" w:rsidP="00CC017D">
      <w:pPr>
        <w:spacing w:line="240" w:lineRule="auto"/>
        <w:rPr>
          <w:rFonts w:cs="Arial"/>
          <w:sz w:val="24"/>
          <w:szCs w:val="24"/>
          <w:lang w:val="en-US"/>
        </w:rPr>
      </w:pPr>
    </w:p>
    <w:p w14:paraId="66FDE281" w14:textId="77777777" w:rsidR="005D3345" w:rsidRDefault="00F749BD" w:rsidP="00CC017D">
      <w:pPr>
        <w:spacing w:line="240" w:lineRule="auto"/>
        <w:rPr>
          <w:rFonts w:cs="Arial"/>
          <w:b/>
          <w:sz w:val="24"/>
          <w:szCs w:val="24"/>
          <w:lang w:val="en-US"/>
        </w:rPr>
      </w:pPr>
      <w:r w:rsidRPr="004F1A9C">
        <w:rPr>
          <w:rFonts w:cs="Arial"/>
          <w:b/>
          <w:sz w:val="24"/>
          <w:szCs w:val="24"/>
          <w:lang w:val="en-US"/>
        </w:rPr>
        <w:t xml:space="preserve">Table </w:t>
      </w:r>
      <w:r w:rsidR="0095546D">
        <w:rPr>
          <w:rFonts w:cs="Arial"/>
          <w:b/>
          <w:sz w:val="24"/>
          <w:szCs w:val="24"/>
          <w:lang w:val="en-US"/>
        </w:rPr>
        <w:t>3</w:t>
      </w:r>
    </w:p>
    <w:tbl>
      <w:tblPr>
        <w:tblW w:w="9464" w:type="dxa"/>
        <w:tblInd w:w="-17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622"/>
        <w:gridCol w:w="2118"/>
        <w:gridCol w:w="1763"/>
        <w:gridCol w:w="1511"/>
        <w:gridCol w:w="1450"/>
      </w:tblGrid>
      <w:tr w:rsidR="00BA08EE" w:rsidRPr="00FF5C7B" w14:paraId="68298F53" w14:textId="77777777" w:rsidTr="00B41370">
        <w:tc>
          <w:tcPr>
            <w:tcW w:w="2622" w:type="dxa"/>
            <w:tcBorders>
              <w:top w:val="single" w:sz="4" w:space="0" w:color="auto"/>
              <w:left w:val="nil"/>
              <w:bottom w:val="single" w:sz="4" w:space="0" w:color="auto"/>
              <w:right w:val="single" w:sz="4" w:space="0" w:color="auto"/>
            </w:tcBorders>
            <w:shd w:val="clear" w:color="auto" w:fill="D9D9D9" w:themeFill="background1" w:themeFillShade="D9"/>
            <w:hideMark/>
          </w:tcPr>
          <w:p w14:paraId="34E76CE5" w14:textId="77777777" w:rsidR="00BA08EE" w:rsidRDefault="00BA08EE" w:rsidP="00B41370">
            <w:pPr>
              <w:spacing w:before="100" w:beforeAutospacing="1" w:after="0" w:line="240" w:lineRule="auto"/>
              <w:rPr>
                <w:rFonts w:eastAsia="Calibri" w:cs="Arial"/>
                <w:b/>
                <w:bCs/>
                <w:color w:val="000000"/>
                <w:sz w:val="20"/>
                <w:szCs w:val="20"/>
                <w:lang w:val="en-GB"/>
              </w:rPr>
            </w:pPr>
            <w:r>
              <w:rPr>
                <w:rFonts w:eastAsia="Calibri" w:cs="Arial"/>
                <w:b/>
                <w:bCs/>
                <w:color w:val="000000"/>
                <w:sz w:val="20"/>
                <w:szCs w:val="20"/>
                <w:lang w:val="en-GB"/>
              </w:rPr>
              <w:t>Characteristics</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2D495499" w14:textId="77777777" w:rsidR="00BA08EE" w:rsidRPr="00CB3C55" w:rsidRDefault="00BA08EE" w:rsidP="00B41370">
            <w:pPr>
              <w:spacing w:before="100" w:beforeAutospacing="1" w:after="0" w:line="240" w:lineRule="auto"/>
              <w:rPr>
                <w:rFonts w:eastAsia="Calibri" w:cs="Arial"/>
                <w:b/>
                <w:color w:val="000000"/>
                <w:sz w:val="20"/>
                <w:szCs w:val="20"/>
                <w:lang w:val="en-US"/>
              </w:rPr>
            </w:pPr>
            <w:r>
              <w:rPr>
                <w:rFonts w:eastAsia="Calibri" w:cs="Arial"/>
                <w:b/>
                <w:color w:val="000000"/>
                <w:sz w:val="20"/>
                <w:szCs w:val="20"/>
                <w:lang w:val="en-US"/>
              </w:rPr>
              <w:t>Sorafenib</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3F4F64" w14:textId="77777777" w:rsidR="00BA08EE" w:rsidRPr="00E708B9" w:rsidRDefault="00BA08EE" w:rsidP="00B41370">
            <w:pPr>
              <w:spacing w:before="100" w:beforeAutospacing="1" w:after="0" w:line="240" w:lineRule="auto"/>
              <w:rPr>
                <w:rFonts w:eastAsia="Calibri" w:cs="Arial"/>
                <w:color w:val="000000"/>
                <w:sz w:val="20"/>
                <w:szCs w:val="20"/>
                <w:vertAlign w:val="superscript"/>
                <w:lang w:val="en-US"/>
              </w:rPr>
            </w:pPr>
            <w:r>
              <w:rPr>
                <w:rFonts w:eastAsia="Calibri" w:cs="Arial"/>
                <w:b/>
                <w:color w:val="000000"/>
                <w:sz w:val="20"/>
                <w:szCs w:val="20"/>
                <w:lang w:val="en-US"/>
              </w:rPr>
              <w:t>SBRT</w:t>
            </w:r>
            <w:r w:rsidR="00E708B9">
              <w:rPr>
                <w:rFonts w:eastAsia="Calibri" w:cs="Arial"/>
                <w:color w:val="000000"/>
                <w:sz w:val="20"/>
                <w:szCs w:val="20"/>
                <w:vertAlign w:val="superscript"/>
                <w:lang w:val="en-US"/>
              </w:rPr>
              <w:t>4</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24D5990E" w14:textId="77777777" w:rsidR="00BA08EE" w:rsidRPr="00CB3C55" w:rsidRDefault="00BA08EE" w:rsidP="00B41370">
            <w:pPr>
              <w:spacing w:before="100" w:beforeAutospacing="1" w:after="0" w:line="240" w:lineRule="auto"/>
              <w:rPr>
                <w:rFonts w:eastAsia="Calibri" w:cs="Arial"/>
                <w:b/>
                <w:color w:val="000000"/>
                <w:sz w:val="20"/>
                <w:szCs w:val="20"/>
                <w:lang w:val="en-US"/>
              </w:rPr>
            </w:pPr>
            <w:r>
              <w:rPr>
                <w:rFonts w:eastAsia="Calibri" w:cs="Arial"/>
                <w:b/>
                <w:color w:val="000000"/>
                <w:sz w:val="20"/>
                <w:szCs w:val="20"/>
                <w:lang w:val="en-US"/>
              </w:rPr>
              <w:t>p value</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315D6CF4" w14:textId="77777777" w:rsidR="00BA08EE" w:rsidRDefault="000E474A" w:rsidP="00B41370">
            <w:pPr>
              <w:spacing w:before="100" w:beforeAutospacing="1" w:after="0" w:line="240" w:lineRule="auto"/>
              <w:rPr>
                <w:rFonts w:eastAsia="Calibri" w:cs="Arial"/>
                <w:b/>
                <w:color w:val="000000"/>
                <w:sz w:val="20"/>
                <w:szCs w:val="20"/>
                <w:lang w:val="en-US"/>
              </w:rPr>
            </w:pPr>
            <w:r>
              <w:rPr>
                <w:rFonts w:eastAsia="Calibri" w:cs="Arial"/>
                <w:b/>
                <w:color w:val="000000"/>
                <w:sz w:val="20"/>
                <w:szCs w:val="20"/>
                <w:lang w:val="en-US"/>
              </w:rPr>
              <w:t xml:space="preserve">mean </w:t>
            </w:r>
            <w:r w:rsidR="00BA08EE">
              <w:rPr>
                <w:rFonts w:eastAsia="Calibri" w:cs="Arial"/>
                <w:b/>
                <w:color w:val="000000"/>
                <w:sz w:val="20"/>
                <w:szCs w:val="20"/>
                <w:lang w:val="en-US"/>
              </w:rPr>
              <w:t>standardized difference</w:t>
            </w:r>
          </w:p>
        </w:tc>
      </w:tr>
      <w:tr w:rsidR="00BA08EE" w:rsidRPr="00FF5C7B" w14:paraId="21034A89" w14:textId="77777777" w:rsidTr="00B41370">
        <w:tc>
          <w:tcPr>
            <w:tcW w:w="2622" w:type="dxa"/>
            <w:tcBorders>
              <w:top w:val="single" w:sz="4" w:space="0" w:color="auto"/>
              <w:left w:val="nil"/>
              <w:bottom w:val="single" w:sz="4" w:space="0" w:color="auto"/>
              <w:right w:val="single" w:sz="4" w:space="0" w:color="auto"/>
            </w:tcBorders>
            <w:shd w:val="clear" w:color="auto" w:fill="auto"/>
          </w:tcPr>
          <w:p w14:paraId="1D6C5652" w14:textId="77777777" w:rsidR="00BA08EE" w:rsidRDefault="00BA08EE" w:rsidP="00B41370">
            <w:pPr>
              <w:spacing w:before="100" w:beforeAutospacing="1" w:after="0" w:line="240" w:lineRule="auto"/>
              <w:rPr>
                <w:rFonts w:eastAsia="Calibri" w:cs="Arial"/>
                <w:b/>
                <w:bCs/>
                <w:color w:val="000000"/>
                <w:sz w:val="20"/>
                <w:szCs w:val="20"/>
                <w:lang w:val="en-GB"/>
              </w:rPr>
            </w:pPr>
          </w:p>
        </w:tc>
        <w:tc>
          <w:tcPr>
            <w:tcW w:w="2118" w:type="dxa"/>
            <w:tcBorders>
              <w:top w:val="single" w:sz="4" w:space="0" w:color="auto"/>
              <w:left w:val="single" w:sz="4" w:space="0" w:color="auto"/>
              <w:bottom w:val="single" w:sz="4" w:space="0" w:color="auto"/>
              <w:right w:val="nil"/>
            </w:tcBorders>
            <w:shd w:val="clear" w:color="auto" w:fill="auto"/>
          </w:tcPr>
          <w:p w14:paraId="6038423B" w14:textId="77777777" w:rsidR="00BA08EE" w:rsidRPr="001D3598" w:rsidRDefault="00BA08EE" w:rsidP="00736D32">
            <w:pPr>
              <w:spacing w:before="100" w:beforeAutospacing="1" w:after="0" w:line="240" w:lineRule="auto"/>
              <w:rPr>
                <w:rFonts w:eastAsia="Calibri" w:cs="Arial"/>
                <w:color w:val="000000"/>
                <w:sz w:val="20"/>
                <w:szCs w:val="20"/>
                <w:lang w:val="en-US"/>
              </w:rPr>
            </w:pPr>
            <w:r>
              <w:rPr>
                <w:rFonts w:eastAsia="Calibri" w:cs="Arial"/>
                <w:color w:val="000000"/>
                <w:sz w:val="20"/>
                <w:szCs w:val="20"/>
                <w:lang w:val="en-US"/>
              </w:rPr>
              <w:t>n=9</w:t>
            </w:r>
            <w:r w:rsidR="00736D32">
              <w:rPr>
                <w:rFonts w:eastAsia="Calibri" w:cs="Arial"/>
                <w:color w:val="000000"/>
                <w:sz w:val="20"/>
                <w:szCs w:val="20"/>
                <w:lang w:val="en-US"/>
              </w:rPr>
              <w:t>5</w:t>
            </w:r>
          </w:p>
        </w:tc>
        <w:tc>
          <w:tcPr>
            <w:tcW w:w="1763" w:type="dxa"/>
            <w:tcBorders>
              <w:top w:val="single" w:sz="4" w:space="0" w:color="auto"/>
              <w:left w:val="single" w:sz="4" w:space="0" w:color="auto"/>
              <w:bottom w:val="single" w:sz="4" w:space="0" w:color="auto"/>
              <w:right w:val="single" w:sz="4" w:space="0" w:color="auto"/>
            </w:tcBorders>
          </w:tcPr>
          <w:p w14:paraId="6951C558" w14:textId="77777777" w:rsidR="00BA08EE" w:rsidRPr="001D3598" w:rsidRDefault="00BA08EE" w:rsidP="00736D32">
            <w:pPr>
              <w:spacing w:before="100" w:beforeAutospacing="1" w:after="0" w:line="240" w:lineRule="auto"/>
              <w:rPr>
                <w:rFonts w:eastAsia="Calibri" w:cs="Arial"/>
                <w:color w:val="000000"/>
                <w:sz w:val="20"/>
                <w:szCs w:val="20"/>
                <w:lang w:val="en-US"/>
              </w:rPr>
            </w:pPr>
            <w:r>
              <w:rPr>
                <w:rFonts w:eastAsia="Calibri" w:cs="Arial"/>
                <w:color w:val="000000"/>
                <w:sz w:val="20"/>
                <w:szCs w:val="20"/>
                <w:lang w:val="en-US"/>
              </w:rPr>
              <w:t>n=</w:t>
            </w:r>
            <w:r w:rsidR="00736D32">
              <w:rPr>
                <w:rFonts w:eastAsia="Calibri" w:cs="Arial"/>
                <w:color w:val="000000"/>
                <w:sz w:val="20"/>
                <w:szCs w:val="20"/>
                <w:lang w:val="en-US"/>
              </w:rPr>
              <w:t>95</w:t>
            </w:r>
          </w:p>
        </w:tc>
        <w:tc>
          <w:tcPr>
            <w:tcW w:w="1511" w:type="dxa"/>
            <w:tcBorders>
              <w:top w:val="single" w:sz="4" w:space="0" w:color="auto"/>
              <w:left w:val="single" w:sz="4" w:space="0" w:color="auto"/>
              <w:bottom w:val="single" w:sz="4" w:space="0" w:color="auto"/>
              <w:right w:val="nil"/>
            </w:tcBorders>
            <w:shd w:val="clear" w:color="auto" w:fill="auto"/>
          </w:tcPr>
          <w:p w14:paraId="010CC11A" w14:textId="77777777" w:rsidR="00BA08EE" w:rsidRPr="001D3598" w:rsidRDefault="00BA08EE" w:rsidP="00B41370">
            <w:pPr>
              <w:spacing w:before="100" w:beforeAutospacing="1" w:after="0" w:line="240" w:lineRule="auto"/>
              <w:rPr>
                <w:rFonts w:eastAsia="Calibri" w:cs="Arial"/>
                <w:color w:val="000000"/>
                <w:sz w:val="20"/>
                <w:szCs w:val="20"/>
                <w:lang w:val="en-US"/>
              </w:rPr>
            </w:pPr>
          </w:p>
        </w:tc>
        <w:tc>
          <w:tcPr>
            <w:tcW w:w="1450" w:type="dxa"/>
            <w:tcBorders>
              <w:top w:val="single" w:sz="4" w:space="0" w:color="auto"/>
              <w:left w:val="single" w:sz="4" w:space="0" w:color="auto"/>
              <w:bottom w:val="single" w:sz="4" w:space="0" w:color="auto"/>
              <w:right w:val="nil"/>
            </w:tcBorders>
          </w:tcPr>
          <w:p w14:paraId="6158A6C9" w14:textId="77777777" w:rsidR="00BA08EE" w:rsidRPr="001D3598" w:rsidRDefault="00BA08EE" w:rsidP="00B41370">
            <w:pPr>
              <w:spacing w:before="100" w:beforeAutospacing="1" w:after="0" w:line="240" w:lineRule="auto"/>
              <w:rPr>
                <w:rFonts w:eastAsia="Calibri" w:cs="Arial"/>
                <w:color w:val="000000"/>
                <w:sz w:val="20"/>
                <w:szCs w:val="20"/>
                <w:lang w:val="en-US"/>
              </w:rPr>
            </w:pPr>
          </w:p>
        </w:tc>
      </w:tr>
      <w:tr w:rsidR="00BA08EE" w:rsidRPr="00FF5C7B" w14:paraId="3CBA9CD5" w14:textId="77777777" w:rsidTr="00B41370">
        <w:tc>
          <w:tcPr>
            <w:tcW w:w="2622" w:type="dxa"/>
            <w:tcBorders>
              <w:top w:val="single" w:sz="4" w:space="0" w:color="auto"/>
              <w:left w:val="nil"/>
              <w:bottom w:val="single" w:sz="4" w:space="0" w:color="auto"/>
              <w:right w:val="single" w:sz="4" w:space="0" w:color="auto"/>
            </w:tcBorders>
            <w:shd w:val="clear" w:color="auto" w:fill="auto"/>
            <w:hideMark/>
          </w:tcPr>
          <w:p w14:paraId="164F1CB9" w14:textId="77777777" w:rsidR="00BA08EE" w:rsidRPr="00933660" w:rsidRDefault="00BA08EE" w:rsidP="00B41370">
            <w:pPr>
              <w:spacing w:after="0" w:line="240" w:lineRule="auto"/>
              <w:rPr>
                <w:rFonts w:eastAsia="Calibri" w:cs="Arial"/>
                <w:b/>
                <w:bCs/>
                <w:color w:val="000000"/>
                <w:sz w:val="20"/>
                <w:szCs w:val="20"/>
                <w:lang w:val="en-GB"/>
              </w:rPr>
            </w:pPr>
            <w:r w:rsidRPr="00933660">
              <w:rPr>
                <w:rFonts w:eastAsia="Calibri" w:cs="Arial"/>
                <w:b/>
                <w:bCs/>
                <w:color w:val="000000"/>
                <w:sz w:val="20"/>
                <w:szCs w:val="20"/>
                <w:lang w:val="en-GB"/>
              </w:rPr>
              <w:t>Gender</w:t>
            </w:r>
          </w:p>
          <w:p w14:paraId="740DAC76" w14:textId="77777777" w:rsidR="00BA08EE" w:rsidRDefault="00BA08EE" w:rsidP="00B41370">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male</w:t>
            </w:r>
          </w:p>
          <w:p w14:paraId="4B9E211B" w14:textId="77777777" w:rsidR="00BA08EE" w:rsidRPr="00CB3C55" w:rsidRDefault="00BA08EE" w:rsidP="00B41370">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female  </w:t>
            </w:r>
          </w:p>
        </w:tc>
        <w:tc>
          <w:tcPr>
            <w:tcW w:w="2118" w:type="dxa"/>
            <w:tcBorders>
              <w:top w:val="single" w:sz="4" w:space="0" w:color="auto"/>
              <w:left w:val="single" w:sz="4" w:space="0" w:color="auto"/>
              <w:bottom w:val="single" w:sz="4" w:space="0" w:color="auto"/>
              <w:right w:val="nil"/>
            </w:tcBorders>
            <w:shd w:val="clear" w:color="auto" w:fill="auto"/>
          </w:tcPr>
          <w:p w14:paraId="0C68D491" w14:textId="77777777" w:rsidR="00BA08EE" w:rsidRDefault="00BA08EE" w:rsidP="00B41370">
            <w:pPr>
              <w:spacing w:after="0" w:line="240" w:lineRule="auto"/>
              <w:rPr>
                <w:rFonts w:eastAsia="Calibri" w:cs="Arial"/>
                <w:color w:val="000000"/>
                <w:sz w:val="20"/>
                <w:szCs w:val="20"/>
                <w:lang w:val="en-US"/>
              </w:rPr>
            </w:pPr>
          </w:p>
          <w:p w14:paraId="2CAF644B" w14:textId="77777777" w:rsidR="00736D32" w:rsidRDefault="00736D32" w:rsidP="00B41370">
            <w:pPr>
              <w:spacing w:after="0" w:line="240" w:lineRule="auto"/>
              <w:rPr>
                <w:rFonts w:eastAsia="Calibri" w:cs="Arial"/>
                <w:color w:val="000000"/>
                <w:sz w:val="20"/>
                <w:szCs w:val="20"/>
                <w:lang w:val="en-US"/>
              </w:rPr>
            </w:pPr>
            <w:r>
              <w:rPr>
                <w:rFonts w:eastAsia="Calibri" w:cs="Arial"/>
                <w:color w:val="000000"/>
                <w:sz w:val="20"/>
                <w:szCs w:val="20"/>
                <w:lang w:val="en-US"/>
              </w:rPr>
              <w:t>78 (82.1)</w:t>
            </w:r>
          </w:p>
          <w:p w14:paraId="5FA74BC3" w14:textId="77777777" w:rsidR="00736D32" w:rsidRPr="001D3598" w:rsidRDefault="00736D32" w:rsidP="00B41370">
            <w:pPr>
              <w:spacing w:after="0" w:line="240" w:lineRule="auto"/>
              <w:rPr>
                <w:rFonts w:eastAsia="Calibri" w:cs="Arial"/>
                <w:color w:val="000000"/>
                <w:sz w:val="20"/>
                <w:szCs w:val="20"/>
                <w:lang w:val="en-US"/>
              </w:rPr>
            </w:pPr>
            <w:r>
              <w:rPr>
                <w:rFonts w:eastAsia="Calibri" w:cs="Arial"/>
                <w:color w:val="000000"/>
                <w:sz w:val="20"/>
                <w:szCs w:val="20"/>
                <w:lang w:val="en-US"/>
              </w:rPr>
              <w:t>17 (17.9)</w:t>
            </w:r>
          </w:p>
        </w:tc>
        <w:tc>
          <w:tcPr>
            <w:tcW w:w="1763" w:type="dxa"/>
            <w:tcBorders>
              <w:top w:val="single" w:sz="4" w:space="0" w:color="auto"/>
              <w:left w:val="single" w:sz="4" w:space="0" w:color="auto"/>
              <w:bottom w:val="single" w:sz="4" w:space="0" w:color="auto"/>
              <w:right w:val="single" w:sz="4" w:space="0" w:color="auto"/>
            </w:tcBorders>
          </w:tcPr>
          <w:p w14:paraId="301272B9" w14:textId="77777777" w:rsidR="00BA08EE" w:rsidRDefault="00BA08EE" w:rsidP="00B41370">
            <w:pPr>
              <w:spacing w:after="0" w:line="240" w:lineRule="auto"/>
              <w:rPr>
                <w:rFonts w:eastAsia="Calibri" w:cs="Arial"/>
                <w:color w:val="000000"/>
                <w:sz w:val="20"/>
                <w:szCs w:val="20"/>
                <w:lang w:val="en-US"/>
              </w:rPr>
            </w:pPr>
          </w:p>
          <w:p w14:paraId="4EC7F8D9"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79 (83.2)</w:t>
            </w:r>
          </w:p>
          <w:p w14:paraId="68A28E45" w14:textId="77777777" w:rsidR="004D212E" w:rsidRPr="001D3598"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16 (16.8)</w:t>
            </w:r>
          </w:p>
        </w:tc>
        <w:tc>
          <w:tcPr>
            <w:tcW w:w="1511" w:type="dxa"/>
            <w:tcBorders>
              <w:top w:val="single" w:sz="4" w:space="0" w:color="auto"/>
              <w:left w:val="single" w:sz="4" w:space="0" w:color="auto"/>
              <w:bottom w:val="single" w:sz="4" w:space="0" w:color="auto"/>
              <w:right w:val="nil"/>
            </w:tcBorders>
            <w:shd w:val="clear" w:color="auto" w:fill="auto"/>
          </w:tcPr>
          <w:p w14:paraId="3F38ED6B" w14:textId="77777777" w:rsidR="00BA08EE" w:rsidRPr="001D3598"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0.999</w:t>
            </w:r>
          </w:p>
        </w:tc>
        <w:tc>
          <w:tcPr>
            <w:tcW w:w="1450" w:type="dxa"/>
            <w:tcBorders>
              <w:top w:val="single" w:sz="4" w:space="0" w:color="auto"/>
              <w:left w:val="single" w:sz="4" w:space="0" w:color="auto"/>
              <w:bottom w:val="single" w:sz="4" w:space="0" w:color="auto"/>
              <w:right w:val="nil"/>
            </w:tcBorders>
          </w:tcPr>
          <w:p w14:paraId="05F9017C"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0.029</w:t>
            </w:r>
          </w:p>
        </w:tc>
      </w:tr>
      <w:tr w:rsidR="00BA08EE" w:rsidRPr="00A762F3" w14:paraId="41C1006A" w14:textId="77777777" w:rsidTr="00B41370">
        <w:tc>
          <w:tcPr>
            <w:tcW w:w="2622" w:type="dxa"/>
            <w:tcBorders>
              <w:top w:val="single" w:sz="4" w:space="0" w:color="auto"/>
              <w:left w:val="nil"/>
              <w:bottom w:val="single" w:sz="4" w:space="0" w:color="auto"/>
              <w:right w:val="single" w:sz="4" w:space="0" w:color="auto"/>
            </w:tcBorders>
            <w:shd w:val="clear" w:color="auto" w:fill="D9D9D9" w:themeFill="background1" w:themeFillShade="D9"/>
            <w:hideMark/>
          </w:tcPr>
          <w:p w14:paraId="5E1F665A" w14:textId="77777777" w:rsidR="00BA08EE" w:rsidRPr="00CB3C55" w:rsidRDefault="00BA08EE" w:rsidP="00B41370">
            <w:pPr>
              <w:spacing w:after="0" w:line="240" w:lineRule="auto"/>
              <w:rPr>
                <w:rFonts w:eastAsia="Calibri" w:cs="Arial"/>
                <w:bCs/>
                <w:color w:val="000000"/>
                <w:sz w:val="20"/>
                <w:szCs w:val="20"/>
                <w:lang w:val="en-US"/>
              </w:rPr>
            </w:pPr>
            <w:r w:rsidRPr="00933660">
              <w:rPr>
                <w:rFonts w:eastAsia="Calibri" w:cs="Arial"/>
                <w:b/>
                <w:color w:val="000000"/>
                <w:sz w:val="20"/>
                <w:szCs w:val="20"/>
                <w:lang w:val="en-US"/>
              </w:rPr>
              <w:t>Age in years</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75A675C4" w14:textId="77777777" w:rsidR="00BA08EE" w:rsidRPr="00CB3C55" w:rsidRDefault="00736D32" w:rsidP="00B41370">
            <w:pPr>
              <w:spacing w:after="0" w:line="240" w:lineRule="auto"/>
              <w:rPr>
                <w:rFonts w:eastAsia="Calibri" w:cs="Arial"/>
                <w:color w:val="000000"/>
                <w:sz w:val="20"/>
                <w:szCs w:val="20"/>
                <w:lang w:val="en-US"/>
              </w:rPr>
            </w:pPr>
            <w:r>
              <w:rPr>
                <w:rFonts w:eastAsia="Calibri" w:cs="Arial"/>
                <w:color w:val="000000"/>
                <w:sz w:val="20"/>
                <w:szCs w:val="20"/>
                <w:lang w:val="en-US"/>
              </w:rPr>
              <w:t>66.9±12.5</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00CFB3" w14:textId="77777777" w:rsidR="00BA08EE" w:rsidRPr="00CB3C55"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66.7±8.9</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502CC44B" w14:textId="77777777" w:rsidR="00BA08EE" w:rsidRPr="00CB3C55"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0.472</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607348E9"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0.018</w:t>
            </w:r>
          </w:p>
        </w:tc>
      </w:tr>
      <w:tr w:rsidR="00BA08EE" w:rsidRPr="00A762F3" w14:paraId="5E88BB04" w14:textId="77777777" w:rsidTr="00B41370">
        <w:tc>
          <w:tcPr>
            <w:tcW w:w="2622" w:type="dxa"/>
            <w:tcBorders>
              <w:top w:val="single" w:sz="4" w:space="0" w:color="auto"/>
              <w:left w:val="nil"/>
              <w:bottom w:val="single" w:sz="4" w:space="0" w:color="auto"/>
              <w:right w:val="single" w:sz="4" w:space="0" w:color="auto"/>
            </w:tcBorders>
            <w:shd w:val="clear" w:color="auto" w:fill="auto"/>
          </w:tcPr>
          <w:p w14:paraId="2439C052" w14:textId="77777777" w:rsidR="00BA08EE" w:rsidRPr="001C500B" w:rsidRDefault="00BA08EE" w:rsidP="00B41370">
            <w:pPr>
              <w:spacing w:after="0" w:line="240" w:lineRule="auto"/>
              <w:rPr>
                <w:rFonts w:eastAsia="Calibri" w:cs="Arial"/>
                <w:color w:val="000000"/>
                <w:sz w:val="20"/>
                <w:szCs w:val="20"/>
                <w:vertAlign w:val="superscript"/>
                <w:lang w:val="en-US"/>
              </w:rPr>
            </w:pPr>
            <w:r w:rsidRPr="00933660">
              <w:rPr>
                <w:rFonts w:eastAsia="Calibri" w:cs="Arial"/>
                <w:b/>
                <w:color w:val="000000"/>
                <w:sz w:val="20"/>
                <w:szCs w:val="20"/>
                <w:lang w:val="en-US"/>
              </w:rPr>
              <w:t xml:space="preserve">  ECOG</w:t>
            </w:r>
            <w:r>
              <w:rPr>
                <w:rFonts w:eastAsia="Calibri" w:cs="Arial"/>
                <w:color w:val="000000"/>
                <w:sz w:val="20"/>
                <w:szCs w:val="20"/>
                <w:vertAlign w:val="superscript"/>
                <w:lang w:val="en-US"/>
              </w:rPr>
              <w:t>1</w:t>
            </w:r>
          </w:p>
          <w:p w14:paraId="5693CD26" w14:textId="77777777" w:rsidR="00BA08EE" w:rsidRPr="00CB3C55" w:rsidRDefault="00BA08EE" w:rsidP="00B41370">
            <w:pPr>
              <w:spacing w:after="0" w:line="240" w:lineRule="auto"/>
              <w:rPr>
                <w:rFonts w:eastAsia="Calibri" w:cs="Arial"/>
                <w:color w:val="000000"/>
                <w:sz w:val="20"/>
                <w:szCs w:val="20"/>
                <w:lang w:val="en-US"/>
              </w:rPr>
            </w:pPr>
            <w:r w:rsidRPr="00CB3C55">
              <w:rPr>
                <w:rFonts w:eastAsia="Calibri" w:cs="Arial"/>
                <w:color w:val="000000"/>
                <w:sz w:val="20"/>
                <w:szCs w:val="20"/>
                <w:lang w:val="en-US"/>
              </w:rPr>
              <w:t xml:space="preserve">    0</w:t>
            </w:r>
          </w:p>
          <w:p w14:paraId="7F320FF4" w14:textId="77777777" w:rsidR="00BA08EE" w:rsidRPr="00CB3C55" w:rsidRDefault="00BA08EE" w:rsidP="00B41370">
            <w:pPr>
              <w:spacing w:after="0" w:line="240" w:lineRule="auto"/>
              <w:rPr>
                <w:rFonts w:eastAsia="Calibri" w:cs="Arial"/>
                <w:color w:val="000000"/>
                <w:sz w:val="20"/>
                <w:szCs w:val="20"/>
                <w:lang w:val="en-US"/>
              </w:rPr>
            </w:pPr>
            <w:r w:rsidRPr="00CB3C55">
              <w:rPr>
                <w:rFonts w:eastAsia="Calibri" w:cs="Arial"/>
                <w:color w:val="000000"/>
                <w:sz w:val="20"/>
                <w:szCs w:val="20"/>
                <w:lang w:val="en-US"/>
              </w:rPr>
              <w:t xml:space="preserve">    1</w:t>
            </w:r>
          </w:p>
          <w:p w14:paraId="3E9B0C16" w14:textId="77777777" w:rsidR="00BA08EE" w:rsidRPr="00CB3C55" w:rsidRDefault="00BA08EE" w:rsidP="00B41370">
            <w:pPr>
              <w:spacing w:after="0" w:line="240" w:lineRule="auto"/>
              <w:rPr>
                <w:rFonts w:eastAsia="Calibri" w:cs="Arial"/>
                <w:color w:val="000000"/>
                <w:sz w:val="20"/>
                <w:szCs w:val="20"/>
                <w:lang w:val="en-US"/>
              </w:rPr>
            </w:pPr>
            <w:r w:rsidRPr="00CB3C55">
              <w:rPr>
                <w:rFonts w:eastAsia="Calibri" w:cs="Arial"/>
                <w:color w:val="000000"/>
                <w:sz w:val="20"/>
                <w:szCs w:val="20"/>
                <w:lang w:val="en-US"/>
              </w:rPr>
              <w:t xml:space="preserve">    2</w:t>
            </w:r>
          </w:p>
        </w:tc>
        <w:tc>
          <w:tcPr>
            <w:tcW w:w="2118" w:type="dxa"/>
            <w:tcBorders>
              <w:top w:val="single" w:sz="4" w:space="0" w:color="auto"/>
              <w:left w:val="single" w:sz="4" w:space="0" w:color="auto"/>
              <w:bottom w:val="single" w:sz="4" w:space="0" w:color="auto"/>
              <w:right w:val="nil"/>
            </w:tcBorders>
            <w:shd w:val="clear" w:color="auto" w:fill="auto"/>
          </w:tcPr>
          <w:p w14:paraId="5D2B78FD" w14:textId="77777777" w:rsidR="00BA08EE" w:rsidRDefault="00BA08EE" w:rsidP="00B41370">
            <w:pPr>
              <w:spacing w:after="0" w:line="240" w:lineRule="auto"/>
              <w:rPr>
                <w:rFonts w:eastAsia="Calibri" w:cs="Arial"/>
                <w:color w:val="000000"/>
                <w:sz w:val="20"/>
                <w:szCs w:val="20"/>
                <w:lang w:val="en-US"/>
              </w:rPr>
            </w:pPr>
          </w:p>
          <w:p w14:paraId="67CD694F" w14:textId="77777777" w:rsidR="00736D32" w:rsidRDefault="00736D32" w:rsidP="00B41370">
            <w:pPr>
              <w:spacing w:after="0" w:line="240" w:lineRule="auto"/>
              <w:rPr>
                <w:rFonts w:eastAsia="Calibri" w:cs="Arial"/>
                <w:color w:val="000000"/>
                <w:sz w:val="20"/>
                <w:szCs w:val="20"/>
                <w:lang w:val="en-US"/>
              </w:rPr>
            </w:pPr>
            <w:r>
              <w:rPr>
                <w:rFonts w:eastAsia="Calibri" w:cs="Arial"/>
                <w:color w:val="000000"/>
                <w:sz w:val="20"/>
                <w:szCs w:val="20"/>
                <w:lang w:val="en-US"/>
              </w:rPr>
              <w:t>63 (66.3)</w:t>
            </w:r>
          </w:p>
          <w:p w14:paraId="4E4DEF03" w14:textId="77777777" w:rsidR="00736D32" w:rsidRDefault="00736D32" w:rsidP="00B41370">
            <w:pPr>
              <w:spacing w:after="0" w:line="240" w:lineRule="auto"/>
              <w:rPr>
                <w:rFonts w:eastAsia="Calibri" w:cs="Arial"/>
                <w:color w:val="000000"/>
                <w:sz w:val="20"/>
                <w:szCs w:val="20"/>
                <w:lang w:val="en-US"/>
              </w:rPr>
            </w:pPr>
            <w:r>
              <w:rPr>
                <w:rFonts w:eastAsia="Calibri" w:cs="Arial"/>
                <w:color w:val="000000"/>
                <w:sz w:val="20"/>
                <w:szCs w:val="20"/>
                <w:lang w:val="en-US"/>
              </w:rPr>
              <w:t>31 (32.6)</w:t>
            </w:r>
          </w:p>
          <w:p w14:paraId="1ED734D6" w14:textId="77777777" w:rsidR="00736D32" w:rsidRPr="00CB3C55" w:rsidRDefault="00736D32" w:rsidP="00B41370">
            <w:pPr>
              <w:spacing w:after="0" w:line="240" w:lineRule="auto"/>
              <w:rPr>
                <w:rFonts w:eastAsia="Calibri" w:cs="Arial"/>
                <w:color w:val="000000"/>
                <w:sz w:val="20"/>
                <w:szCs w:val="20"/>
                <w:lang w:val="en-US"/>
              </w:rPr>
            </w:pPr>
            <w:r>
              <w:rPr>
                <w:rFonts w:eastAsia="Calibri" w:cs="Arial"/>
                <w:color w:val="000000"/>
                <w:sz w:val="20"/>
                <w:szCs w:val="20"/>
                <w:lang w:val="en-US"/>
              </w:rPr>
              <w:t>1 (1.1)</w:t>
            </w:r>
          </w:p>
        </w:tc>
        <w:tc>
          <w:tcPr>
            <w:tcW w:w="1763" w:type="dxa"/>
            <w:tcBorders>
              <w:top w:val="single" w:sz="4" w:space="0" w:color="auto"/>
              <w:left w:val="single" w:sz="4" w:space="0" w:color="auto"/>
              <w:bottom w:val="single" w:sz="4" w:space="0" w:color="auto"/>
              <w:right w:val="single" w:sz="4" w:space="0" w:color="auto"/>
            </w:tcBorders>
          </w:tcPr>
          <w:p w14:paraId="4112BB0D" w14:textId="77777777" w:rsidR="00BA08EE" w:rsidRDefault="00BA08EE" w:rsidP="00B41370">
            <w:pPr>
              <w:spacing w:after="0" w:line="240" w:lineRule="auto"/>
              <w:rPr>
                <w:rFonts w:eastAsia="Calibri" w:cs="Arial"/>
                <w:color w:val="000000"/>
                <w:sz w:val="20"/>
                <w:szCs w:val="20"/>
                <w:lang w:val="en-US"/>
              </w:rPr>
            </w:pPr>
          </w:p>
          <w:p w14:paraId="069EBC3D"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71 (74.7)</w:t>
            </w:r>
          </w:p>
          <w:p w14:paraId="12A833D3"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23 (24.2)</w:t>
            </w:r>
          </w:p>
          <w:p w14:paraId="59D8D9F3" w14:textId="77777777" w:rsidR="004D212E" w:rsidRPr="00CB3C55"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1 (1.1)</w:t>
            </w:r>
          </w:p>
        </w:tc>
        <w:tc>
          <w:tcPr>
            <w:tcW w:w="1511" w:type="dxa"/>
            <w:tcBorders>
              <w:top w:val="single" w:sz="4" w:space="0" w:color="auto"/>
              <w:left w:val="single" w:sz="4" w:space="0" w:color="auto"/>
              <w:bottom w:val="single" w:sz="4" w:space="0" w:color="auto"/>
              <w:right w:val="nil"/>
            </w:tcBorders>
            <w:shd w:val="clear" w:color="auto" w:fill="auto"/>
          </w:tcPr>
          <w:p w14:paraId="6F2E373C" w14:textId="77777777" w:rsidR="00BA08EE" w:rsidRDefault="00BA08EE" w:rsidP="00B41370">
            <w:pPr>
              <w:spacing w:after="0" w:line="240" w:lineRule="auto"/>
              <w:rPr>
                <w:rFonts w:eastAsia="Calibri" w:cs="Arial"/>
                <w:color w:val="000000"/>
                <w:sz w:val="20"/>
                <w:szCs w:val="20"/>
                <w:lang w:val="en-US"/>
              </w:rPr>
            </w:pPr>
          </w:p>
          <w:p w14:paraId="5B09F194"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0.265</w:t>
            </w:r>
          </w:p>
          <w:p w14:paraId="2785B37A"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0.260</w:t>
            </w:r>
          </w:p>
          <w:p w14:paraId="4F431AB3" w14:textId="77777777" w:rsidR="004D212E" w:rsidRPr="00CB3C55"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0.999</w:t>
            </w:r>
          </w:p>
        </w:tc>
        <w:tc>
          <w:tcPr>
            <w:tcW w:w="1450" w:type="dxa"/>
            <w:tcBorders>
              <w:top w:val="single" w:sz="4" w:space="0" w:color="auto"/>
              <w:left w:val="single" w:sz="4" w:space="0" w:color="auto"/>
              <w:bottom w:val="single" w:sz="4" w:space="0" w:color="auto"/>
              <w:right w:val="nil"/>
            </w:tcBorders>
          </w:tcPr>
          <w:p w14:paraId="5C641486" w14:textId="77777777" w:rsidR="00BA08EE" w:rsidRDefault="00BA08EE" w:rsidP="00B41370">
            <w:pPr>
              <w:spacing w:after="0" w:line="240" w:lineRule="auto"/>
              <w:rPr>
                <w:rFonts w:eastAsia="Calibri" w:cs="Arial"/>
                <w:color w:val="000000"/>
                <w:sz w:val="20"/>
                <w:szCs w:val="20"/>
                <w:lang w:val="en-US"/>
              </w:rPr>
            </w:pPr>
          </w:p>
          <w:p w14:paraId="06744E2C"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0.018</w:t>
            </w:r>
          </w:p>
          <w:p w14:paraId="36E79A45"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0.187</w:t>
            </w:r>
          </w:p>
          <w:p w14:paraId="6E1609F4"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w:t>
            </w:r>
          </w:p>
        </w:tc>
      </w:tr>
      <w:tr w:rsidR="00BA08EE" w:rsidRPr="00A762F3" w14:paraId="71A69423" w14:textId="77777777" w:rsidTr="00B41370">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3E7B7F84" w14:textId="77777777" w:rsidR="00BA08EE" w:rsidRPr="00DA102A" w:rsidRDefault="00BA08EE" w:rsidP="00B41370">
            <w:pPr>
              <w:spacing w:after="0" w:line="240" w:lineRule="auto"/>
              <w:rPr>
                <w:rFonts w:eastAsia="Calibri" w:cs="Arial"/>
                <w:b/>
                <w:bCs/>
                <w:color w:val="000000"/>
                <w:sz w:val="20"/>
                <w:szCs w:val="20"/>
                <w:lang w:val="en-US"/>
              </w:rPr>
            </w:pPr>
            <w:r w:rsidRPr="00CB3C55">
              <w:rPr>
                <w:rFonts w:eastAsia="Calibri" w:cs="Arial"/>
                <w:b/>
                <w:bCs/>
                <w:color w:val="000000"/>
                <w:sz w:val="20"/>
                <w:szCs w:val="20"/>
                <w:lang w:val="en-US"/>
              </w:rPr>
              <w:t>Child Score</w:t>
            </w:r>
          </w:p>
          <w:p w14:paraId="22D7B67C" w14:textId="77777777" w:rsidR="00BA08EE" w:rsidRPr="00CB3C55" w:rsidRDefault="00BA08EE" w:rsidP="00B41370">
            <w:pPr>
              <w:spacing w:after="0" w:line="240" w:lineRule="auto"/>
              <w:rPr>
                <w:rFonts w:eastAsia="Calibri" w:cs="Arial"/>
                <w:bCs/>
                <w:color w:val="000000"/>
                <w:sz w:val="20"/>
                <w:szCs w:val="20"/>
                <w:lang w:val="en-US"/>
              </w:rPr>
            </w:pPr>
            <w:r w:rsidRPr="00CB3C55">
              <w:rPr>
                <w:rFonts w:eastAsia="Calibri" w:cs="Arial"/>
                <w:bCs/>
                <w:color w:val="000000"/>
                <w:sz w:val="20"/>
                <w:szCs w:val="20"/>
                <w:lang w:val="en-US"/>
              </w:rPr>
              <w:t xml:space="preserve">  Child A</w:t>
            </w:r>
          </w:p>
          <w:p w14:paraId="48806A1E" w14:textId="77777777" w:rsidR="00BA08EE" w:rsidRPr="00CB3C55" w:rsidRDefault="00BA08EE" w:rsidP="00736D32">
            <w:pPr>
              <w:spacing w:after="0" w:line="240" w:lineRule="auto"/>
              <w:rPr>
                <w:rFonts w:eastAsia="Calibri" w:cs="Arial"/>
                <w:bCs/>
                <w:color w:val="000000"/>
                <w:sz w:val="20"/>
                <w:szCs w:val="20"/>
                <w:lang w:val="en-US"/>
              </w:rPr>
            </w:pPr>
            <w:r w:rsidRPr="00CB3C55">
              <w:rPr>
                <w:rFonts w:eastAsia="Calibri" w:cs="Arial"/>
                <w:bCs/>
                <w:color w:val="000000"/>
                <w:sz w:val="20"/>
                <w:szCs w:val="20"/>
                <w:lang w:val="en-US"/>
              </w:rPr>
              <w:t xml:space="preserve">  Child B</w:t>
            </w:r>
            <w:r>
              <w:rPr>
                <w:rFonts w:eastAsia="Calibri" w:cs="Arial"/>
                <w:bCs/>
                <w:color w:val="000000"/>
                <w:sz w:val="20"/>
                <w:szCs w:val="20"/>
                <w:lang w:val="en-US"/>
              </w:rPr>
              <w:t xml:space="preserve"> </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0173EE26" w14:textId="77777777" w:rsidR="00BA08EE" w:rsidRDefault="00736D32" w:rsidP="00736D32">
            <w:pPr>
              <w:spacing w:after="0" w:line="240" w:lineRule="auto"/>
              <w:jc w:val="both"/>
              <w:rPr>
                <w:rFonts w:eastAsia="Calibri" w:cs="Arial"/>
                <w:color w:val="000000"/>
                <w:sz w:val="20"/>
                <w:szCs w:val="20"/>
                <w:lang w:val="en-US"/>
              </w:rPr>
            </w:pPr>
            <w:r>
              <w:rPr>
                <w:rFonts w:eastAsia="Calibri" w:cs="Arial"/>
                <w:color w:val="000000"/>
                <w:sz w:val="20"/>
                <w:szCs w:val="20"/>
                <w:lang w:val="en-US"/>
              </w:rPr>
              <w:t>5.8±0.9</w:t>
            </w:r>
          </w:p>
          <w:p w14:paraId="5783D4D6" w14:textId="77777777" w:rsidR="00736D32" w:rsidRDefault="00736D32" w:rsidP="00736D32">
            <w:pPr>
              <w:spacing w:after="0" w:line="240" w:lineRule="auto"/>
              <w:jc w:val="both"/>
              <w:rPr>
                <w:rFonts w:eastAsia="Calibri" w:cs="Arial"/>
                <w:color w:val="000000"/>
                <w:sz w:val="20"/>
                <w:szCs w:val="20"/>
                <w:lang w:val="en-US"/>
              </w:rPr>
            </w:pPr>
            <w:r>
              <w:rPr>
                <w:rFonts w:eastAsia="Calibri" w:cs="Arial"/>
                <w:color w:val="000000"/>
                <w:sz w:val="20"/>
                <w:szCs w:val="20"/>
                <w:lang w:val="en-US"/>
              </w:rPr>
              <w:t>70 (73.7)</w:t>
            </w:r>
          </w:p>
          <w:p w14:paraId="7788F5F3" w14:textId="77777777" w:rsidR="00736D32" w:rsidRPr="00CB3C55" w:rsidRDefault="00736D32" w:rsidP="00736D32">
            <w:pPr>
              <w:spacing w:after="0" w:line="240" w:lineRule="auto"/>
              <w:jc w:val="both"/>
              <w:rPr>
                <w:rFonts w:eastAsia="Calibri" w:cs="Arial"/>
                <w:color w:val="000000"/>
                <w:sz w:val="20"/>
                <w:szCs w:val="20"/>
                <w:lang w:val="en-US"/>
              </w:rPr>
            </w:pPr>
            <w:r>
              <w:rPr>
                <w:rFonts w:eastAsia="Calibri" w:cs="Arial"/>
                <w:color w:val="000000"/>
                <w:sz w:val="20"/>
                <w:szCs w:val="20"/>
                <w:lang w:val="en-US"/>
              </w:rPr>
              <w:t>25 (26.3)</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505945"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5.9±1.2</w:t>
            </w:r>
          </w:p>
          <w:p w14:paraId="117D9EC9"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67 (71.3)</w:t>
            </w:r>
          </w:p>
          <w:p w14:paraId="1B413C05" w14:textId="77777777" w:rsidR="004D212E" w:rsidRPr="00CB3C55"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28 (29.5)</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30A84BBB"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0.629</w:t>
            </w:r>
          </w:p>
          <w:p w14:paraId="436E1C73"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0.426</w:t>
            </w:r>
          </w:p>
          <w:p w14:paraId="7246479C" w14:textId="77777777" w:rsidR="004D212E" w:rsidRPr="00CB3C55" w:rsidRDefault="004D212E" w:rsidP="004D212E">
            <w:pPr>
              <w:spacing w:after="0" w:line="240" w:lineRule="auto"/>
              <w:rPr>
                <w:rFonts w:eastAsia="Calibri" w:cs="Arial"/>
                <w:color w:val="000000"/>
                <w:sz w:val="20"/>
                <w:szCs w:val="20"/>
                <w:lang w:val="en-US"/>
              </w:rPr>
            </w:pPr>
            <w:r>
              <w:rPr>
                <w:rFonts w:eastAsia="Calibri" w:cs="Arial"/>
                <w:color w:val="000000"/>
                <w:sz w:val="20"/>
                <w:szCs w:val="20"/>
                <w:lang w:val="en-US"/>
              </w:rPr>
              <w:t>0.999</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0D3611BA"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0.094</w:t>
            </w:r>
          </w:p>
          <w:p w14:paraId="6E52CF54"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0.054</w:t>
            </w:r>
          </w:p>
          <w:p w14:paraId="79E8C3A5"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0.071</w:t>
            </w:r>
          </w:p>
        </w:tc>
      </w:tr>
      <w:tr w:rsidR="00BA08EE" w:rsidRPr="00FF5C7B" w14:paraId="74CDA815" w14:textId="77777777" w:rsidTr="00B41370">
        <w:tc>
          <w:tcPr>
            <w:tcW w:w="2622" w:type="dxa"/>
            <w:tcBorders>
              <w:top w:val="single" w:sz="4" w:space="0" w:color="auto"/>
              <w:left w:val="nil"/>
              <w:bottom w:val="single" w:sz="4" w:space="0" w:color="auto"/>
              <w:right w:val="single" w:sz="4" w:space="0" w:color="auto"/>
            </w:tcBorders>
            <w:shd w:val="clear" w:color="auto" w:fill="auto"/>
          </w:tcPr>
          <w:p w14:paraId="1E8E0504" w14:textId="77777777" w:rsidR="00BA08EE" w:rsidRPr="005449EC" w:rsidRDefault="00BA08EE" w:rsidP="00B41370">
            <w:pPr>
              <w:spacing w:after="0" w:line="240" w:lineRule="auto"/>
              <w:rPr>
                <w:rFonts w:eastAsia="Calibri" w:cs="Arial"/>
                <w:b/>
                <w:bCs/>
                <w:color w:val="000000"/>
                <w:sz w:val="20"/>
                <w:szCs w:val="20"/>
                <w:vertAlign w:val="superscript"/>
                <w:lang w:val="en-US"/>
              </w:rPr>
            </w:pPr>
            <w:r w:rsidRPr="005449EC">
              <w:rPr>
                <w:rFonts w:eastAsia="Calibri" w:cs="Arial"/>
                <w:b/>
                <w:bCs/>
                <w:color w:val="000000"/>
                <w:sz w:val="20"/>
                <w:szCs w:val="20"/>
                <w:lang w:val="en-US"/>
              </w:rPr>
              <w:t>Previous treatment</w:t>
            </w:r>
            <w:r>
              <w:rPr>
                <w:rFonts w:eastAsia="Calibri" w:cs="Arial"/>
                <w:b/>
                <w:bCs/>
                <w:color w:val="000000"/>
                <w:sz w:val="20"/>
                <w:szCs w:val="20"/>
                <w:vertAlign w:val="superscript"/>
                <w:lang w:val="en-US"/>
              </w:rPr>
              <w:t>#</w:t>
            </w:r>
          </w:p>
          <w:p w14:paraId="49633F7F" w14:textId="77777777" w:rsidR="00BA08EE" w:rsidRPr="005449EC" w:rsidRDefault="00BA08EE" w:rsidP="00B41370">
            <w:pPr>
              <w:spacing w:after="0" w:line="240" w:lineRule="auto"/>
              <w:rPr>
                <w:rFonts w:eastAsia="Calibri" w:cs="Arial"/>
                <w:bCs/>
                <w:color w:val="000000"/>
                <w:sz w:val="20"/>
                <w:szCs w:val="20"/>
                <w:lang w:val="en-US"/>
              </w:rPr>
            </w:pPr>
            <w:r w:rsidRPr="005449EC">
              <w:rPr>
                <w:rFonts w:eastAsia="Calibri" w:cs="Arial"/>
                <w:b/>
                <w:bCs/>
                <w:color w:val="000000"/>
                <w:sz w:val="20"/>
                <w:szCs w:val="20"/>
                <w:lang w:val="en-US"/>
              </w:rPr>
              <w:t xml:space="preserve">  </w:t>
            </w:r>
            <w:r w:rsidRPr="005449EC">
              <w:rPr>
                <w:rFonts w:eastAsia="Calibri" w:cs="Arial"/>
                <w:bCs/>
                <w:color w:val="000000"/>
                <w:sz w:val="20"/>
                <w:szCs w:val="20"/>
                <w:lang w:val="en-US"/>
              </w:rPr>
              <w:t xml:space="preserve"> surgery</w:t>
            </w:r>
          </w:p>
          <w:p w14:paraId="7F87CB31" w14:textId="77777777" w:rsidR="00BA08EE" w:rsidRDefault="00BA08EE" w:rsidP="00B41370">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radiofrequency ablation</w:t>
            </w:r>
            <w:r w:rsidRPr="005449EC">
              <w:rPr>
                <w:rFonts w:eastAsia="Calibri" w:cs="Arial"/>
                <w:bCs/>
                <w:color w:val="000000"/>
                <w:sz w:val="20"/>
                <w:szCs w:val="20"/>
                <w:lang w:val="en-US"/>
              </w:rPr>
              <w:t xml:space="preserve">   </w:t>
            </w:r>
          </w:p>
          <w:p w14:paraId="178B11C3" w14:textId="77777777" w:rsidR="00BA08EE" w:rsidRPr="005449EC" w:rsidRDefault="00BA08EE" w:rsidP="00B41370">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TACE   </w:t>
            </w:r>
          </w:p>
        </w:tc>
        <w:tc>
          <w:tcPr>
            <w:tcW w:w="2118" w:type="dxa"/>
            <w:tcBorders>
              <w:top w:val="single" w:sz="4" w:space="0" w:color="auto"/>
              <w:left w:val="single" w:sz="4" w:space="0" w:color="auto"/>
              <w:bottom w:val="single" w:sz="4" w:space="0" w:color="auto"/>
              <w:right w:val="nil"/>
            </w:tcBorders>
            <w:shd w:val="clear" w:color="auto" w:fill="auto"/>
          </w:tcPr>
          <w:p w14:paraId="4D351C2A" w14:textId="77777777" w:rsidR="00BA08EE" w:rsidRDefault="00BA08EE" w:rsidP="00B41370">
            <w:pPr>
              <w:spacing w:after="0" w:line="240" w:lineRule="auto"/>
              <w:rPr>
                <w:rFonts w:eastAsia="Calibri" w:cs="Arial"/>
                <w:color w:val="000000"/>
                <w:sz w:val="20"/>
                <w:szCs w:val="20"/>
                <w:lang w:val="en-US"/>
              </w:rPr>
            </w:pPr>
          </w:p>
          <w:p w14:paraId="09864530"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18 (18.9)</w:t>
            </w:r>
          </w:p>
          <w:p w14:paraId="7F18F250"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 (4.2)</w:t>
            </w:r>
          </w:p>
          <w:p w14:paraId="7B14E9E2" w14:textId="77777777" w:rsidR="004D212E" w:rsidRPr="005449EC"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47 (49.5)</w:t>
            </w:r>
          </w:p>
        </w:tc>
        <w:tc>
          <w:tcPr>
            <w:tcW w:w="1763" w:type="dxa"/>
            <w:tcBorders>
              <w:top w:val="single" w:sz="4" w:space="0" w:color="auto"/>
              <w:left w:val="single" w:sz="4" w:space="0" w:color="auto"/>
              <w:bottom w:val="single" w:sz="4" w:space="0" w:color="auto"/>
              <w:right w:val="single" w:sz="4" w:space="0" w:color="auto"/>
            </w:tcBorders>
          </w:tcPr>
          <w:p w14:paraId="6C5D88FF" w14:textId="77777777" w:rsidR="00BA08EE" w:rsidRDefault="00BA08EE" w:rsidP="00B41370">
            <w:pPr>
              <w:spacing w:after="0" w:line="240" w:lineRule="auto"/>
              <w:rPr>
                <w:rFonts w:eastAsia="Calibri" w:cs="Arial"/>
                <w:color w:val="000000"/>
                <w:sz w:val="20"/>
                <w:szCs w:val="20"/>
                <w:lang w:val="en-US"/>
              </w:rPr>
            </w:pPr>
          </w:p>
          <w:p w14:paraId="5B5D8F41"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16 (16.8)</w:t>
            </w:r>
          </w:p>
          <w:p w14:paraId="2F4D8AC1"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5 (5.3)</w:t>
            </w:r>
          </w:p>
          <w:p w14:paraId="4CD0D54B" w14:textId="77777777" w:rsidR="004D212E" w:rsidRPr="005449EC"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48 (50.5)</w:t>
            </w:r>
          </w:p>
        </w:tc>
        <w:tc>
          <w:tcPr>
            <w:tcW w:w="1511" w:type="dxa"/>
            <w:tcBorders>
              <w:top w:val="single" w:sz="4" w:space="0" w:color="auto"/>
              <w:left w:val="single" w:sz="4" w:space="0" w:color="auto"/>
              <w:bottom w:val="single" w:sz="4" w:space="0" w:color="auto"/>
              <w:right w:val="nil"/>
            </w:tcBorders>
            <w:shd w:val="clear" w:color="auto" w:fill="auto"/>
          </w:tcPr>
          <w:p w14:paraId="02938D85" w14:textId="77777777" w:rsidR="00BA08EE" w:rsidRDefault="00BA08EE" w:rsidP="00B41370">
            <w:pPr>
              <w:spacing w:after="0" w:line="240" w:lineRule="auto"/>
              <w:rPr>
                <w:rFonts w:eastAsia="Calibri" w:cs="Arial"/>
                <w:color w:val="000000"/>
                <w:sz w:val="20"/>
                <w:szCs w:val="20"/>
                <w:lang w:val="en-US"/>
              </w:rPr>
            </w:pPr>
          </w:p>
          <w:p w14:paraId="71A8D0AD"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0.850</w:t>
            </w:r>
          </w:p>
          <w:p w14:paraId="745A60E0"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0.999</w:t>
            </w:r>
          </w:p>
          <w:p w14:paraId="4A437506" w14:textId="77777777" w:rsidR="004D212E" w:rsidRPr="005449EC"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0.999</w:t>
            </w:r>
          </w:p>
        </w:tc>
        <w:tc>
          <w:tcPr>
            <w:tcW w:w="1450" w:type="dxa"/>
            <w:tcBorders>
              <w:top w:val="single" w:sz="4" w:space="0" w:color="auto"/>
              <w:left w:val="single" w:sz="4" w:space="0" w:color="auto"/>
              <w:bottom w:val="single" w:sz="4" w:space="0" w:color="auto"/>
              <w:right w:val="nil"/>
            </w:tcBorders>
          </w:tcPr>
          <w:p w14:paraId="18ED4691" w14:textId="77777777" w:rsidR="00BA08EE" w:rsidRDefault="00BA08EE" w:rsidP="00B41370">
            <w:pPr>
              <w:spacing w:after="0" w:line="240" w:lineRule="auto"/>
              <w:rPr>
                <w:rFonts w:eastAsia="Calibri" w:cs="Arial"/>
                <w:color w:val="000000"/>
                <w:sz w:val="20"/>
                <w:szCs w:val="20"/>
                <w:lang w:val="en-US"/>
              </w:rPr>
            </w:pPr>
          </w:p>
          <w:p w14:paraId="61B8E4EB"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0.054</w:t>
            </w:r>
          </w:p>
          <w:p w14:paraId="0D32E6B6"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0.052</w:t>
            </w:r>
          </w:p>
          <w:p w14:paraId="74C997B3"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0.020</w:t>
            </w:r>
          </w:p>
        </w:tc>
      </w:tr>
      <w:tr w:rsidR="00BA08EE" w:rsidRPr="00FF5C7B" w14:paraId="727444BA" w14:textId="77777777" w:rsidTr="00B41370">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10B629CA" w14:textId="77777777" w:rsidR="00BA08EE" w:rsidRDefault="00BA08EE" w:rsidP="00B41370">
            <w:pPr>
              <w:spacing w:after="0" w:line="240" w:lineRule="auto"/>
              <w:rPr>
                <w:rFonts w:eastAsia="Calibri" w:cs="Arial"/>
                <w:b/>
                <w:bCs/>
                <w:color w:val="000000"/>
                <w:sz w:val="20"/>
                <w:szCs w:val="20"/>
                <w:lang w:val="en-US"/>
              </w:rPr>
            </w:pPr>
            <w:r>
              <w:rPr>
                <w:rFonts w:eastAsia="Calibri" w:cs="Arial"/>
                <w:b/>
                <w:bCs/>
                <w:color w:val="000000"/>
                <w:sz w:val="20"/>
                <w:szCs w:val="20"/>
                <w:lang w:val="en-US"/>
              </w:rPr>
              <w:t>Intrahepatic tumor expansion</w:t>
            </w:r>
          </w:p>
          <w:p w14:paraId="376DDD1C" w14:textId="77777777" w:rsidR="00BA08EE" w:rsidRDefault="00BA08EE" w:rsidP="00B41370">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Pr>
                <w:rFonts w:eastAsia="Calibri" w:cs="Arial"/>
                <w:bCs/>
                <w:color w:val="000000"/>
                <w:sz w:val="20"/>
                <w:szCs w:val="20"/>
                <w:lang w:val="en-US"/>
              </w:rPr>
              <w:t>oligonodular</w:t>
            </w:r>
          </w:p>
          <w:p w14:paraId="0CC853E4" w14:textId="77777777" w:rsidR="00BA08EE" w:rsidRPr="00CF02D6" w:rsidRDefault="00BA08EE" w:rsidP="00B41370">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multifocal</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7C4707B3" w14:textId="77777777" w:rsidR="00BA08EE" w:rsidRDefault="00BA08EE" w:rsidP="00B41370">
            <w:pPr>
              <w:spacing w:after="0" w:line="240" w:lineRule="auto"/>
              <w:rPr>
                <w:rFonts w:eastAsia="Calibri" w:cs="Arial"/>
                <w:color w:val="000000"/>
                <w:sz w:val="20"/>
                <w:szCs w:val="20"/>
                <w:lang w:val="en-US"/>
              </w:rPr>
            </w:pPr>
          </w:p>
          <w:p w14:paraId="4BFF4EDE" w14:textId="77777777" w:rsidR="004D212E" w:rsidRDefault="004D212E" w:rsidP="00B41370">
            <w:pPr>
              <w:spacing w:after="0" w:line="240" w:lineRule="auto"/>
              <w:rPr>
                <w:rFonts w:eastAsia="Calibri" w:cs="Arial"/>
                <w:color w:val="000000"/>
                <w:sz w:val="20"/>
                <w:szCs w:val="20"/>
                <w:lang w:val="en-US"/>
              </w:rPr>
            </w:pPr>
          </w:p>
          <w:p w14:paraId="1C8189C5"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39 (41.1)</w:t>
            </w:r>
          </w:p>
          <w:p w14:paraId="308F0C5B" w14:textId="77777777" w:rsidR="004D212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56 (58.9)</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D9C4F7" w14:textId="77777777" w:rsidR="00BA08EE" w:rsidRDefault="00BA08EE" w:rsidP="00B41370">
            <w:pPr>
              <w:spacing w:after="0" w:line="240" w:lineRule="auto"/>
              <w:rPr>
                <w:rFonts w:eastAsia="Calibri" w:cs="Arial"/>
                <w:color w:val="000000"/>
                <w:sz w:val="20"/>
                <w:szCs w:val="20"/>
                <w:lang w:val="en-US"/>
              </w:rPr>
            </w:pPr>
          </w:p>
          <w:p w14:paraId="0F6623A1" w14:textId="77777777" w:rsidR="004D212E" w:rsidRDefault="004D212E" w:rsidP="00B41370">
            <w:pPr>
              <w:spacing w:after="0" w:line="240" w:lineRule="auto"/>
              <w:rPr>
                <w:rFonts w:eastAsia="Calibri" w:cs="Arial"/>
                <w:color w:val="000000"/>
                <w:sz w:val="20"/>
                <w:szCs w:val="20"/>
                <w:lang w:val="en-US"/>
              </w:rPr>
            </w:pPr>
          </w:p>
          <w:p w14:paraId="5C71A08B"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40 (42.1)</w:t>
            </w:r>
          </w:p>
          <w:p w14:paraId="0E28D229" w14:textId="77777777" w:rsidR="004D212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55 (57.9)</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4F132451"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0.999</w:t>
            </w:r>
          </w:p>
          <w:p w14:paraId="2C6524D3" w14:textId="77777777" w:rsidR="004D212E" w:rsidRPr="0071741E" w:rsidRDefault="004D212E" w:rsidP="00B41370">
            <w:pPr>
              <w:spacing w:after="0" w:line="240" w:lineRule="auto"/>
              <w:rPr>
                <w:rFonts w:eastAsia="Calibri" w:cs="Arial"/>
                <w:color w:val="000000"/>
                <w:sz w:val="20"/>
                <w:szCs w:val="20"/>
                <w:lang w:val="en-US"/>
              </w:rPr>
            </w:pP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3F426D9F"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0.020</w:t>
            </w:r>
          </w:p>
        </w:tc>
      </w:tr>
      <w:tr w:rsidR="00BA08EE" w:rsidRPr="00FF5C7B" w14:paraId="64C69235" w14:textId="77777777" w:rsidTr="00B41370">
        <w:tc>
          <w:tcPr>
            <w:tcW w:w="2622" w:type="dxa"/>
            <w:tcBorders>
              <w:top w:val="single" w:sz="4" w:space="0" w:color="auto"/>
              <w:left w:val="nil"/>
              <w:bottom w:val="single" w:sz="4" w:space="0" w:color="auto"/>
              <w:right w:val="single" w:sz="4" w:space="0" w:color="auto"/>
            </w:tcBorders>
            <w:shd w:val="clear" w:color="auto" w:fill="auto"/>
          </w:tcPr>
          <w:p w14:paraId="717D76D9" w14:textId="77777777" w:rsidR="00BA08EE" w:rsidRPr="001C500B" w:rsidRDefault="00BA08EE" w:rsidP="00B41370">
            <w:pPr>
              <w:spacing w:after="0" w:line="240" w:lineRule="auto"/>
              <w:rPr>
                <w:rFonts w:eastAsia="Calibri" w:cs="Arial"/>
                <w:bCs/>
                <w:color w:val="000000"/>
                <w:sz w:val="20"/>
                <w:szCs w:val="20"/>
                <w:vertAlign w:val="superscript"/>
                <w:lang w:val="en-US"/>
              </w:rPr>
            </w:pPr>
            <w:r>
              <w:rPr>
                <w:rFonts w:eastAsia="Calibri" w:cs="Arial"/>
                <w:b/>
                <w:bCs/>
                <w:color w:val="000000"/>
                <w:sz w:val="20"/>
                <w:szCs w:val="20"/>
                <w:lang w:val="en-US"/>
              </w:rPr>
              <w:t>BCLC</w:t>
            </w:r>
            <w:r>
              <w:rPr>
                <w:rFonts w:eastAsia="Calibri" w:cs="Arial"/>
                <w:bCs/>
                <w:color w:val="000000"/>
                <w:sz w:val="20"/>
                <w:szCs w:val="20"/>
                <w:vertAlign w:val="superscript"/>
                <w:lang w:val="en-US"/>
              </w:rPr>
              <w:t>2</w:t>
            </w:r>
          </w:p>
          <w:p w14:paraId="75455698" w14:textId="77777777" w:rsidR="00BA08EE" w:rsidRPr="00641A95" w:rsidRDefault="00BA08EE" w:rsidP="00B41370">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sidRPr="00641A95">
              <w:rPr>
                <w:rFonts w:eastAsia="Calibri" w:cs="Arial"/>
                <w:bCs/>
                <w:color w:val="000000"/>
                <w:sz w:val="20"/>
                <w:szCs w:val="20"/>
                <w:lang w:val="en-US"/>
              </w:rPr>
              <w:t>A</w:t>
            </w:r>
          </w:p>
          <w:p w14:paraId="0017F77D" w14:textId="77777777" w:rsidR="00BA08EE" w:rsidRDefault="00BA08EE" w:rsidP="00B41370">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Pr>
                <w:rFonts w:eastAsia="Calibri" w:cs="Arial"/>
                <w:bCs/>
                <w:color w:val="000000"/>
                <w:sz w:val="20"/>
                <w:szCs w:val="20"/>
                <w:lang w:val="en-US"/>
              </w:rPr>
              <w:t>B</w:t>
            </w:r>
          </w:p>
          <w:p w14:paraId="327E2A09" w14:textId="77777777" w:rsidR="00BA08EE" w:rsidRPr="00CF02D6" w:rsidRDefault="00BA08EE" w:rsidP="00B41370">
            <w:pPr>
              <w:spacing w:after="0" w:line="240" w:lineRule="auto"/>
              <w:rPr>
                <w:rFonts w:eastAsia="Calibri" w:cs="Arial"/>
                <w:bCs/>
                <w:color w:val="000000"/>
                <w:sz w:val="20"/>
                <w:szCs w:val="20"/>
                <w:lang w:val="en-US"/>
              </w:rPr>
            </w:pPr>
            <w:r>
              <w:rPr>
                <w:rFonts w:eastAsia="Calibri" w:cs="Arial"/>
                <w:bCs/>
                <w:color w:val="000000"/>
                <w:sz w:val="20"/>
                <w:szCs w:val="20"/>
                <w:lang w:val="en-US"/>
              </w:rPr>
              <w:t xml:space="preserve">   C</w:t>
            </w:r>
          </w:p>
        </w:tc>
        <w:tc>
          <w:tcPr>
            <w:tcW w:w="2118" w:type="dxa"/>
            <w:tcBorders>
              <w:top w:val="single" w:sz="4" w:space="0" w:color="auto"/>
              <w:left w:val="single" w:sz="4" w:space="0" w:color="auto"/>
              <w:bottom w:val="single" w:sz="4" w:space="0" w:color="auto"/>
              <w:right w:val="nil"/>
            </w:tcBorders>
            <w:shd w:val="clear" w:color="auto" w:fill="auto"/>
          </w:tcPr>
          <w:p w14:paraId="2D1F7AE2" w14:textId="77777777" w:rsidR="00BA08EE" w:rsidRDefault="00BA08EE" w:rsidP="00B41370">
            <w:pPr>
              <w:spacing w:after="0" w:line="240" w:lineRule="auto"/>
              <w:rPr>
                <w:rFonts w:eastAsia="Calibri" w:cs="Arial"/>
                <w:color w:val="000000"/>
                <w:sz w:val="20"/>
                <w:szCs w:val="20"/>
                <w:lang w:val="en-US"/>
              </w:rPr>
            </w:pPr>
          </w:p>
          <w:p w14:paraId="2BB9E886"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5 (5.3)</w:t>
            </w:r>
          </w:p>
          <w:p w14:paraId="161A2DE8"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42 (44.2)</w:t>
            </w:r>
          </w:p>
          <w:p w14:paraId="055FCCDD" w14:textId="77777777" w:rsidR="004D212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48 (50.5)</w:t>
            </w:r>
          </w:p>
        </w:tc>
        <w:tc>
          <w:tcPr>
            <w:tcW w:w="1763" w:type="dxa"/>
            <w:tcBorders>
              <w:top w:val="single" w:sz="4" w:space="0" w:color="auto"/>
              <w:left w:val="single" w:sz="4" w:space="0" w:color="auto"/>
              <w:bottom w:val="single" w:sz="4" w:space="0" w:color="auto"/>
              <w:right w:val="single" w:sz="4" w:space="0" w:color="auto"/>
            </w:tcBorders>
          </w:tcPr>
          <w:p w14:paraId="4742FAE0" w14:textId="77777777" w:rsidR="00BA08EE" w:rsidRDefault="00BA08EE" w:rsidP="00B41370">
            <w:pPr>
              <w:spacing w:after="0" w:line="240" w:lineRule="auto"/>
              <w:rPr>
                <w:rFonts w:eastAsia="Calibri" w:cs="Arial"/>
                <w:color w:val="000000"/>
                <w:sz w:val="20"/>
                <w:szCs w:val="20"/>
                <w:lang w:val="en-US"/>
              </w:rPr>
            </w:pPr>
          </w:p>
          <w:p w14:paraId="6F9F2CE1"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 (4.2)</w:t>
            </w:r>
          </w:p>
          <w:p w14:paraId="488994D8"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48 (50.5)</w:t>
            </w:r>
          </w:p>
          <w:p w14:paraId="61200BE4" w14:textId="77777777" w:rsidR="004D212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43 (45.3)</w:t>
            </w:r>
          </w:p>
        </w:tc>
        <w:tc>
          <w:tcPr>
            <w:tcW w:w="1511" w:type="dxa"/>
            <w:tcBorders>
              <w:top w:val="single" w:sz="4" w:space="0" w:color="auto"/>
              <w:left w:val="single" w:sz="4" w:space="0" w:color="auto"/>
              <w:bottom w:val="single" w:sz="4" w:space="0" w:color="auto"/>
              <w:right w:val="nil"/>
            </w:tcBorders>
            <w:shd w:val="clear" w:color="auto" w:fill="auto"/>
          </w:tcPr>
          <w:p w14:paraId="25751979" w14:textId="77777777" w:rsidR="004D212E" w:rsidRDefault="004D212E" w:rsidP="00B41370">
            <w:pPr>
              <w:spacing w:after="0" w:line="240" w:lineRule="auto"/>
              <w:rPr>
                <w:rFonts w:eastAsia="Calibri" w:cs="Arial"/>
                <w:color w:val="000000"/>
                <w:sz w:val="20"/>
                <w:szCs w:val="20"/>
                <w:lang w:val="en-US"/>
              </w:rPr>
            </w:pPr>
          </w:p>
          <w:p w14:paraId="185F0329"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0.999</w:t>
            </w:r>
          </w:p>
          <w:p w14:paraId="10090B52"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0.468</w:t>
            </w:r>
          </w:p>
          <w:p w14:paraId="460410F2" w14:textId="77777777" w:rsidR="004D212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0.561</w:t>
            </w:r>
          </w:p>
        </w:tc>
        <w:tc>
          <w:tcPr>
            <w:tcW w:w="1450" w:type="dxa"/>
            <w:tcBorders>
              <w:top w:val="single" w:sz="4" w:space="0" w:color="auto"/>
              <w:left w:val="single" w:sz="4" w:space="0" w:color="auto"/>
              <w:bottom w:val="single" w:sz="4" w:space="0" w:color="auto"/>
              <w:right w:val="nil"/>
            </w:tcBorders>
          </w:tcPr>
          <w:p w14:paraId="250AEAAF" w14:textId="77777777" w:rsidR="00BA08EE" w:rsidRDefault="00BA08EE" w:rsidP="00B41370">
            <w:pPr>
              <w:spacing w:after="0" w:line="240" w:lineRule="auto"/>
              <w:rPr>
                <w:rFonts w:eastAsia="Calibri" w:cs="Arial"/>
                <w:color w:val="000000"/>
                <w:sz w:val="20"/>
                <w:szCs w:val="20"/>
                <w:lang w:val="en-US"/>
              </w:rPr>
            </w:pPr>
          </w:p>
          <w:p w14:paraId="2ED9FC17"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0.051</w:t>
            </w:r>
          </w:p>
          <w:p w14:paraId="7BA8C0E3"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0.1</w:t>
            </w:r>
            <w:r w:rsidR="00A41B5B">
              <w:rPr>
                <w:rFonts w:eastAsia="Calibri" w:cs="Arial"/>
                <w:color w:val="000000"/>
                <w:sz w:val="20"/>
                <w:szCs w:val="20"/>
                <w:lang w:val="en-US"/>
              </w:rPr>
              <w:t>1</w:t>
            </w:r>
            <w:r>
              <w:rPr>
                <w:rFonts w:eastAsia="Calibri" w:cs="Arial"/>
                <w:color w:val="000000"/>
                <w:sz w:val="20"/>
                <w:szCs w:val="20"/>
                <w:lang w:val="en-US"/>
              </w:rPr>
              <w:t>6</w:t>
            </w:r>
          </w:p>
          <w:p w14:paraId="13FCD00F"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0.104</w:t>
            </w:r>
          </w:p>
        </w:tc>
      </w:tr>
      <w:tr w:rsidR="00BA08EE" w:rsidRPr="004A711E" w14:paraId="434080E6" w14:textId="77777777" w:rsidTr="00B41370">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30E3F563" w14:textId="77777777" w:rsidR="00BA08EE" w:rsidRPr="0071741E" w:rsidRDefault="00BA08EE" w:rsidP="00B41370">
            <w:pPr>
              <w:spacing w:after="0" w:line="240" w:lineRule="auto"/>
              <w:rPr>
                <w:rFonts w:eastAsia="Calibri" w:cs="Arial"/>
                <w:b/>
                <w:bCs/>
                <w:color w:val="000000"/>
                <w:sz w:val="20"/>
                <w:szCs w:val="20"/>
                <w:lang w:val="en-US"/>
              </w:rPr>
            </w:pPr>
            <w:r w:rsidRPr="00CB3C55">
              <w:rPr>
                <w:rFonts w:eastAsia="Calibri" w:cs="Arial"/>
                <w:b/>
                <w:bCs/>
                <w:color w:val="000000"/>
                <w:sz w:val="20"/>
                <w:szCs w:val="20"/>
                <w:lang w:val="en-US"/>
              </w:rPr>
              <w:t>Largest tumor diameter</w:t>
            </w:r>
            <w:r w:rsidRPr="000146E7">
              <w:rPr>
                <w:rFonts w:eastAsia="Calibri" w:cs="Arial"/>
                <w:bCs/>
                <w:color w:val="000000"/>
                <w:sz w:val="20"/>
                <w:szCs w:val="20"/>
                <w:lang w:val="en-US"/>
              </w:rPr>
              <w:t xml:space="preserve"> [cm]</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3449B3A7" w14:textId="77777777" w:rsidR="00BA08E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6.5±4.1</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7DDB99" w14:textId="77777777" w:rsidR="00BA08E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6.2±3.6</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195E2C77" w14:textId="77777777" w:rsidR="00BA08E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0.495</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4CDC8754"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0.008</w:t>
            </w:r>
          </w:p>
        </w:tc>
      </w:tr>
      <w:tr w:rsidR="00BA08EE" w:rsidRPr="004A711E" w14:paraId="2C2F4337" w14:textId="77777777" w:rsidTr="00B41370">
        <w:tc>
          <w:tcPr>
            <w:tcW w:w="2622" w:type="dxa"/>
            <w:tcBorders>
              <w:top w:val="single" w:sz="4" w:space="0" w:color="auto"/>
              <w:left w:val="nil"/>
              <w:bottom w:val="single" w:sz="4" w:space="0" w:color="auto"/>
              <w:right w:val="single" w:sz="4" w:space="0" w:color="auto"/>
            </w:tcBorders>
            <w:shd w:val="clear" w:color="auto" w:fill="auto"/>
          </w:tcPr>
          <w:p w14:paraId="1C9DDA2A" w14:textId="77777777" w:rsidR="00BA08EE" w:rsidRPr="004A711E" w:rsidRDefault="00BA08EE" w:rsidP="00B41370">
            <w:pPr>
              <w:spacing w:after="0" w:line="240" w:lineRule="auto"/>
              <w:rPr>
                <w:rFonts w:eastAsia="Calibri" w:cs="Arial"/>
                <w:bCs/>
                <w:color w:val="000000"/>
                <w:sz w:val="20"/>
                <w:szCs w:val="20"/>
                <w:lang w:val="en-US"/>
              </w:rPr>
            </w:pPr>
            <w:r>
              <w:rPr>
                <w:rFonts w:eastAsia="Calibri" w:cs="Arial"/>
                <w:b/>
                <w:bCs/>
                <w:color w:val="000000"/>
                <w:sz w:val="20"/>
                <w:szCs w:val="20"/>
                <w:lang w:val="en-US"/>
              </w:rPr>
              <w:t>PVT</w:t>
            </w:r>
            <w:r>
              <w:rPr>
                <w:rFonts w:eastAsia="Calibri" w:cs="Arial"/>
                <w:bCs/>
                <w:color w:val="000000"/>
                <w:sz w:val="20"/>
                <w:szCs w:val="20"/>
                <w:vertAlign w:val="superscript"/>
                <w:lang w:val="en-US"/>
              </w:rPr>
              <w:t>3</w:t>
            </w:r>
          </w:p>
        </w:tc>
        <w:tc>
          <w:tcPr>
            <w:tcW w:w="2118" w:type="dxa"/>
            <w:tcBorders>
              <w:top w:val="single" w:sz="4" w:space="0" w:color="auto"/>
              <w:left w:val="single" w:sz="4" w:space="0" w:color="auto"/>
              <w:bottom w:val="single" w:sz="4" w:space="0" w:color="auto"/>
              <w:right w:val="nil"/>
            </w:tcBorders>
            <w:shd w:val="clear" w:color="auto" w:fill="auto"/>
          </w:tcPr>
          <w:p w14:paraId="6EC7323B" w14:textId="77777777" w:rsidR="00BA08E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20 (21.1)</w:t>
            </w:r>
          </w:p>
        </w:tc>
        <w:tc>
          <w:tcPr>
            <w:tcW w:w="1763" w:type="dxa"/>
            <w:tcBorders>
              <w:top w:val="single" w:sz="4" w:space="0" w:color="auto"/>
              <w:left w:val="single" w:sz="4" w:space="0" w:color="auto"/>
              <w:bottom w:val="single" w:sz="4" w:space="0" w:color="auto"/>
              <w:right w:val="single" w:sz="4" w:space="0" w:color="auto"/>
            </w:tcBorders>
          </w:tcPr>
          <w:p w14:paraId="6ADEEB61" w14:textId="77777777" w:rsidR="00BA08E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21 (22.1)</w:t>
            </w:r>
          </w:p>
        </w:tc>
        <w:tc>
          <w:tcPr>
            <w:tcW w:w="1511" w:type="dxa"/>
            <w:tcBorders>
              <w:top w:val="single" w:sz="4" w:space="0" w:color="auto"/>
              <w:left w:val="single" w:sz="4" w:space="0" w:color="auto"/>
              <w:bottom w:val="single" w:sz="4" w:space="0" w:color="auto"/>
              <w:right w:val="nil"/>
            </w:tcBorders>
            <w:shd w:val="clear" w:color="auto" w:fill="auto"/>
          </w:tcPr>
          <w:p w14:paraId="04F8E273" w14:textId="77777777" w:rsidR="00BA08EE" w:rsidRPr="0071741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0.999</w:t>
            </w:r>
          </w:p>
        </w:tc>
        <w:tc>
          <w:tcPr>
            <w:tcW w:w="1450" w:type="dxa"/>
            <w:tcBorders>
              <w:top w:val="single" w:sz="4" w:space="0" w:color="auto"/>
              <w:left w:val="single" w:sz="4" w:space="0" w:color="auto"/>
              <w:bottom w:val="single" w:sz="4" w:space="0" w:color="auto"/>
              <w:right w:val="nil"/>
            </w:tcBorders>
          </w:tcPr>
          <w:p w14:paraId="5B141324"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0.024</w:t>
            </w:r>
          </w:p>
        </w:tc>
      </w:tr>
      <w:tr w:rsidR="00BA08EE" w:rsidRPr="004A711E" w14:paraId="3F052896" w14:textId="77777777" w:rsidTr="00B41370">
        <w:tc>
          <w:tcPr>
            <w:tcW w:w="2622" w:type="dxa"/>
            <w:tcBorders>
              <w:top w:val="single" w:sz="4" w:space="0" w:color="auto"/>
              <w:left w:val="nil"/>
              <w:bottom w:val="single" w:sz="4" w:space="0" w:color="auto"/>
              <w:right w:val="single" w:sz="4" w:space="0" w:color="auto"/>
            </w:tcBorders>
            <w:shd w:val="clear" w:color="auto" w:fill="D9D9D9" w:themeFill="background1" w:themeFillShade="D9"/>
          </w:tcPr>
          <w:p w14:paraId="2C32677A" w14:textId="77777777" w:rsidR="00BA08EE" w:rsidRPr="004A711E" w:rsidRDefault="00BA08EE" w:rsidP="00B41370">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Extrahepatic metastases   </w:t>
            </w:r>
          </w:p>
        </w:tc>
        <w:tc>
          <w:tcPr>
            <w:tcW w:w="2118" w:type="dxa"/>
            <w:tcBorders>
              <w:top w:val="single" w:sz="4" w:space="0" w:color="auto"/>
              <w:left w:val="single" w:sz="4" w:space="0" w:color="auto"/>
              <w:bottom w:val="single" w:sz="4" w:space="0" w:color="auto"/>
              <w:right w:val="nil"/>
            </w:tcBorders>
            <w:shd w:val="clear" w:color="auto" w:fill="D9D9D9" w:themeFill="background1" w:themeFillShade="D9"/>
          </w:tcPr>
          <w:p w14:paraId="24B88CA3"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24 (25.3)</w:t>
            </w:r>
          </w:p>
        </w:tc>
        <w:tc>
          <w:tcPr>
            <w:tcW w:w="17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81078"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16 (16.8)</w:t>
            </w:r>
          </w:p>
        </w:tc>
        <w:tc>
          <w:tcPr>
            <w:tcW w:w="1511" w:type="dxa"/>
            <w:tcBorders>
              <w:top w:val="single" w:sz="4" w:space="0" w:color="auto"/>
              <w:left w:val="single" w:sz="4" w:space="0" w:color="auto"/>
              <w:bottom w:val="single" w:sz="4" w:space="0" w:color="auto"/>
              <w:right w:val="nil"/>
            </w:tcBorders>
            <w:shd w:val="clear" w:color="auto" w:fill="D9D9D9" w:themeFill="background1" w:themeFillShade="D9"/>
          </w:tcPr>
          <w:p w14:paraId="059CC1D6"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0.213</w:t>
            </w:r>
          </w:p>
        </w:tc>
        <w:tc>
          <w:tcPr>
            <w:tcW w:w="1450" w:type="dxa"/>
            <w:tcBorders>
              <w:top w:val="single" w:sz="4" w:space="0" w:color="auto"/>
              <w:left w:val="single" w:sz="4" w:space="0" w:color="auto"/>
              <w:bottom w:val="single" w:sz="4" w:space="0" w:color="auto"/>
              <w:right w:val="nil"/>
            </w:tcBorders>
            <w:shd w:val="clear" w:color="auto" w:fill="D9D9D9" w:themeFill="background1" w:themeFillShade="D9"/>
          </w:tcPr>
          <w:p w14:paraId="69C4D3FB" w14:textId="77777777" w:rsidR="00BA08E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0.102</w:t>
            </w:r>
          </w:p>
        </w:tc>
      </w:tr>
      <w:tr w:rsidR="00BA08EE" w:rsidRPr="004A711E" w14:paraId="3FB1FFB4" w14:textId="77777777" w:rsidTr="00B41370">
        <w:tc>
          <w:tcPr>
            <w:tcW w:w="2622" w:type="dxa"/>
            <w:tcBorders>
              <w:top w:val="single" w:sz="4" w:space="0" w:color="auto"/>
              <w:left w:val="nil"/>
              <w:bottom w:val="single" w:sz="4" w:space="0" w:color="auto"/>
              <w:right w:val="single" w:sz="4" w:space="0" w:color="auto"/>
            </w:tcBorders>
            <w:shd w:val="clear" w:color="auto" w:fill="auto"/>
          </w:tcPr>
          <w:p w14:paraId="43F2EB9E" w14:textId="77777777" w:rsidR="00BA08EE" w:rsidRDefault="00BA08EE" w:rsidP="00B41370">
            <w:pPr>
              <w:spacing w:after="0" w:line="240" w:lineRule="auto"/>
              <w:rPr>
                <w:rFonts w:eastAsia="Calibri" w:cs="Arial"/>
                <w:b/>
                <w:bCs/>
                <w:color w:val="000000"/>
                <w:sz w:val="20"/>
                <w:szCs w:val="20"/>
                <w:lang w:val="en-US"/>
              </w:rPr>
            </w:pPr>
            <w:r>
              <w:rPr>
                <w:rFonts w:eastAsia="Calibri" w:cs="Arial"/>
                <w:b/>
                <w:bCs/>
                <w:color w:val="000000"/>
                <w:sz w:val="20"/>
                <w:szCs w:val="20"/>
                <w:lang w:val="en-US"/>
              </w:rPr>
              <w:t>Laboratory</w:t>
            </w:r>
          </w:p>
          <w:p w14:paraId="5945E02B" w14:textId="77777777" w:rsidR="00BA08EE" w:rsidRPr="009050A6" w:rsidRDefault="00BA08EE" w:rsidP="00B41370">
            <w:pPr>
              <w:spacing w:after="0" w:line="240" w:lineRule="auto"/>
              <w:rPr>
                <w:rFonts w:eastAsia="Calibri" w:cs="Arial"/>
                <w:bCs/>
                <w:color w:val="000000"/>
                <w:sz w:val="20"/>
                <w:szCs w:val="20"/>
                <w:lang w:val="en-US"/>
              </w:rPr>
            </w:pPr>
            <w:r>
              <w:rPr>
                <w:rFonts w:eastAsia="Calibri" w:cs="Arial"/>
                <w:b/>
                <w:bCs/>
                <w:color w:val="000000"/>
                <w:sz w:val="20"/>
                <w:szCs w:val="20"/>
                <w:lang w:val="en-US"/>
              </w:rPr>
              <w:t xml:space="preserve">  </w:t>
            </w:r>
            <w:r>
              <w:rPr>
                <w:rFonts w:eastAsia="Calibri" w:cs="Arial"/>
                <w:bCs/>
                <w:color w:val="000000"/>
                <w:sz w:val="20"/>
                <w:szCs w:val="20"/>
                <w:lang w:val="en-US"/>
              </w:rPr>
              <w:t xml:space="preserve"> </w:t>
            </w:r>
            <w:r w:rsidRPr="009050A6">
              <w:rPr>
                <w:rFonts w:eastAsia="Calibri" w:cs="Arial"/>
                <w:bCs/>
                <w:color w:val="000000"/>
                <w:sz w:val="20"/>
                <w:szCs w:val="20"/>
                <w:lang w:val="en-US"/>
              </w:rPr>
              <w:t>AST</w:t>
            </w:r>
            <w:r>
              <w:rPr>
                <w:rFonts w:eastAsia="Calibri" w:cs="Arial"/>
                <w:bCs/>
                <w:color w:val="000000"/>
                <w:sz w:val="20"/>
                <w:szCs w:val="20"/>
                <w:vertAlign w:val="superscript"/>
                <w:lang w:val="en-US"/>
              </w:rPr>
              <w:t>5</w:t>
            </w:r>
            <w:r w:rsidRPr="009050A6">
              <w:rPr>
                <w:rFonts w:eastAsia="Calibri" w:cs="Arial"/>
                <w:bCs/>
                <w:color w:val="000000"/>
                <w:sz w:val="20"/>
                <w:szCs w:val="20"/>
                <w:lang w:val="en-US"/>
              </w:rPr>
              <w:t xml:space="preserve"> [U/l]</w:t>
            </w:r>
          </w:p>
          <w:p w14:paraId="68B5AE4E" w14:textId="77777777" w:rsidR="00BA08EE" w:rsidRPr="004A711E" w:rsidRDefault="00BA08EE" w:rsidP="00B41370">
            <w:pPr>
              <w:spacing w:after="0" w:line="240" w:lineRule="auto"/>
              <w:rPr>
                <w:rFonts w:eastAsia="Calibri" w:cs="Arial"/>
                <w:bCs/>
                <w:color w:val="000000"/>
                <w:sz w:val="20"/>
                <w:szCs w:val="20"/>
                <w:lang w:val="en-US"/>
              </w:rPr>
            </w:pPr>
            <w:r w:rsidRPr="009050A6">
              <w:rPr>
                <w:rFonts w:eastAsia="Calibri" w:cs="Arial"/>
                <w:bCs/>
                <w:color w:val="000000"/>
                <w:sz w:val="20"/>
                <w:szCs w:val="20"/>
                <w:lang w:val="en-US"/>
              </w:rPr>
              <w:t xml:space="preserve">   </w:t>
            </w:r>
            <w:r w:rsidRPr="004A711E">
              <w:rPr>
                <w:rFonts w:eastAsia="Calibri" w:cs="Arial"/>
                <w:bCs/>
                <w:color w:val="000000"/>
                <w:sz w:val="20"/>
                <w:szCs w:val="20"/>
                <w:lang w:val="en-US"/>
              </w:rPr>
              <w:t>ALT</w:t>
            </w:r>
            <w:r>
              <w:rPr>
                <w:rFonts w:eastAsia="Calibri" w:cs="Arial"/>
                <w:bCs/>
                <w:color w:val="000000"/>
                <w:sz w:val="20"/>
                <w:szCs w:val="20"/>
                <w:vertAlign w:val="superscript"/>
                <w:lang w:val="en-US"/>
              </w:rPr>
              <w:t>6</w:t>
            </w:r>
            <w:r w:rsidRPr="004A711E">
              <w:rPr>
                <w:rFonts w:eastAsia="Calibri" w:cs="Arial"/>
                <w:bCs/>
                <w:color w:val="000000"/>
                <w:sz w:val="20"/>
                <w:szCs w:val="20"/>
                <w:lang w:val="en-US"/>
              </w:rPr>
              <w:t xml:space="preserve"> [U/l]</w:t>
            </w:r>
          </w:p>
          <w:p w14:paraId="1CECDAA1" w14:textId="77777777" w:rsidR="00BA08EE" w:rsidRPr="00527C5D" w:rsidRDefault="00BA08EE" w:rsidP="00B41370">
            <w:pPr>
              <w:spacing w:after="0" w:line="240" w:lineRule="auto"/>
              <w:rPr>
                <w:rFonts w:eastAsia="Calibri" w:cs="Arial"/>
                <w:bCs/>
                <w:color w:val="000000"/>
                <w:sz w:val="20"/>
                <w:szCs w:val="20"/>
              </w:rPr>
            </w:pPr>
            <w:r w:rsidRPr="004A711E">
              <w:rPr>
                <w:rFonts w:eastAsia="Calibri" w:cs="Arial"/>
                <w:bCs/>
                <w:color w:val="000000"/>
                <w:sz w:val="20"/>
                <w:szCs w:val="20"/>
                <w:lang w:val="en-US"/>
              </w:rPr>
              <w:t xml:space="preserve">   </w:t>
            </w:r>
            <w:r w:rsidRPr="00527C5D">
              <w:rPr>
                <w:rFonts w:eastAsia="Calibri" w:cs="Arial"/>
                <w:bCs/>
                <w:color w:val="000000"/>
                <w:sz w:val="20"/>
                <w:szCs w:val="20"/>
              </w:rPr>
              <w:t>bilirubin [mg/dl]</w:t>
            </w:r>
          </w:p>
          <w:p w14:paraId="458C025E" w14:textId="77777777" w:rsidR="00BA08EE" w:rsidRPr="00527C5D" w:rsidRDefault="00BA08EE" w:rsidP="00B41370">
            <w:pPr>
              <w:spacing w:after="0" w:line="240" w:lineRule="auto"/>
              <w:rPr>
                <w:rFonts w:eastAsia="Calibri" w:cs="Arial"/>
                <w:bCs/>
                <w:color w:val="000000"/>
                <w:sz w:val="20"/>
                <w:szCs w:val="20"/>
              </w:rPr>
            </w:pPr>
            <w:r w:rsidRPr="00527C5D">
              <w:rPr>
                <w:rFonts w:eastAsia="Calibri" w:cs="Arial"/>
                <w:bCs/>
                <w:color w:val="000000"/>
                <w:sz w:val="20"/>
                <w:szCs w:val="20"/>
              </w:rPr>
              <w:t xml:space="preserve">   albumin [g/dl]</w:t>
            </w:r>
          </w:p>
          <w:p w14:paraId="2743AC9D" w14:textId="77777777" w:rsidR="00BA08EE" w:rsidRPr="004A711E" w:rsidRDefault="00BA08EE" w:rsidP="00BA08EE">
            <w:pPr>
              <w:spacing w:after="0" w:line="240" w:lineRule="auto"/>
              <w:rPr>
                <w:rFonts w:eastAsia="Calibri" w:cs="Arial"/>
                <w:bCs/>
                <w:color w:val="000000"/>
                <w:sz w:val="20"/>
                <w:szCs w:val="20"/>
                <w:lang w:val="en-US"/>
              </w:rPr>
            </w:pPr>
            <w:r w:rsidRPr="00527C5D">
              <w:rPr>
                <w:rFonts w:eastAsia="Calibri" w:cs="Arial"/>
                <w:bCs/>
                <w:color w:val="000000"/>
                <w:sz w:val="20"/>
                <w:szCs w:val="20"/>
              </w:rPr>
              <w:t xml:space="preserve">   </w:t>
            </w:r>
            <w:r w:rsidRPr="004A711E">
              <w:rPr>
                <w:rFonts w:eastAsia="Calibri" w:cs="Arial"/>
                <w:bCs/>
                <w:color w:val="000000"/>
                <w:sz w:val="20"/>
                <w:szCs w:val="20"/>
                <w:lang w:val="en-US"/>
              </w:rPr>
              <w:t>AFP</w:t>
            </w:r>
            <w:r>
              <w:rPr>
                <w:rFonts w:eastAsia="Calibri" w:cs="Arial"/>
                <w:bCs/>
                <w:color w:val="000000"/>
                <w:sz w:val="20"/>
                <w:szCs w:val="20"/>
                <w:vertAlign w:val="superscript"/>
                <w:lang w:val="en-US"/>
              </w:rPr>
              <w:t>7</w:t>
            </w:r>
            <w:r w:rsidRPr="004A711E">
              <w:rPr>
                <w:rFonts w:eastAsia="Calibri" w:cs="Arial"/>
                <w:bCs/>
                <w:color w:val="000000"/>
                <w:sz w:val="20"/>
                <w:szCs w:val="20"/>
                <w:lang w:val="en-US"/>
              </w:rPr>
              <w:t xml:space="preserve"> [ng/ml]  </w:t>
            </w:r>
          </w:p>
        </w:tc>
        <w:tc>
          <w:tcPr>
            <w:tcW w:w="2118" w:type="dxa"/>
            <w:tcBorders>
              <w:top w:val="single" w:sz="4" w:space="0" w:color="auto"/>
              <w:left w:val="single" w:sz="4" w:space="0" w:color="auto"/>
              <w:bottom w:val="single" w:sz="4" w:space="0" w:color="auto"/>
              <w:right w:val="nil"/>
            </w:tcBorders>
            <w:shd w:val="clear" w:color="auto" w:fill="auto"/>
          </w:tcPr>
          <w:p w14:paraId="6A41BC0E" w14:textId="77777777" w:rsidR="00BA08EE" w:rsidRDefault="00BA08EE" w:rsidP="00B41370">
            <w:pPr>
              <w:spacing w:after="0" w:line="240" w:lineRule="auto"/>
              <w:rPr>
                <w:rFonts w:eastAsia="Calibri" w:cs="Arial"/>
                <w:color w:val="000000"/>
                <w:sz w:val="20"/>
                <w:szCs w:val="20"/>
                <w:lang w:val="en-US"/>
              </w:rPr>
            </w:pPr>
          </w:p>
          <w:p w14:paraId="76D847B0"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100±128</w:t>
            </w:r>
          </w:p>
          <w:p w14:paraId="62432CA3" w14:textId="77777777" w:rsidR="004D212E" w:rsidRDefault="004D212E" w:rsidP="004D212E">
            <w:pPr>
              <w:spacing w:after="0" w:line="240" w:lineRule="auto"/>
              <w:jc w:val="both"/>
              <w:rPr>
                <w:rFonts w:eastAsia="Calibri" w:cs="Arial"/>
                <w:color w:val="000000"/>
                <w:sz w:val="20"/>
                <w:szCs w:val="20"/>
                <w:lang w:val="en-US"/>
              </w:rPr>
            </w:pPr>
            <w:r>
              <w:rPr>
                <w:rFonts w:eastAsia="Calibri" w:cs="Arial"/>
                <w:color w:val="000000"/>
                <w:sz w:val="20"/>
                <w:szCs w:val="20"/>
                <w:lang w:val="en-US"/>
              </w:rPr>
              <w:t>65±81</w:t>
            </w:r>
          </w:p>
          <w:p w14:paraId="4614533D" w14:textId="77777777" w:rsidR="004D212E" w:rsidRDefault="004D212E" w:rsidP="004D212E">
            <w:pPr>
              <w:spacing w:after="0" w:line="240" w:lineRule="auto"/>
              <w:jc w:val="both"/>
              <w:rPr>
                <w:rFonts w:eastAsia="Calibri" w:cs="Arial"/>
                <w:color w:val="000000"/>
                <w:sz w:val="20"/>
                <w:szCs w:val="20"/>
                <w:lang w:val="en-US"/>
              </w:rPr>
            </w:pPr>
            <w:r>
              <w:rPr>
                <w:rFonts w:eastAsia="Calibri" w:cs="Arial"/>
                <w:color w:val="000000"/>
                <w:sz w:val="20"/>
                <w:szCs w:val="20"/>
                <w:lang w:val="en-US"/>
              </w:rPr>
              <w:t>1.1±0.7</w:t>
            </w:r>
          </w:p>
          <w:p w14:paraId="14CA25D4" w14:textId="77777777" w:rsidR="004D212E" w:rsidRDefault="004D212E" w:rsidP="004D212E">
            <w:pPr>
              <w:spacing w:after="0" w:line="240" w:lineRule="auto"/>
              <w:jc w:val="both"/>
              <w:rPr>
                <w:rFonts w:eastAsia="Calibri" w:cs="Arial"/>
                <w:color w:val="000000"/>
                <w:sz w:val="20"/>
                <w:szCs w:val="20"/>
                <w:lang w:val="en-US"/>
              </w:rPr>
            </w:pPr>
            <w:r>
              <w:rPr>
                <w:rFonts w:eastAsia="Calibri" w:cs="Arial"/>
                <w:color w:val="000000"/>
                <w:sz w:val="20"/>
                <w:szCs w:val="20"/>
                <w:lang w:val="en-US"/>
              </w:rPr>
              <w:t>3.6±0.5</w:t>
            </w:r>
          </w:p>
          <w:p w14:paraId="2A19E140" w14:textId="77777777" w:rsidR="004D212E" w:rsidRPr="00167C14" w:rsidRDefault="004D212E" w:rsidP="004D212E">
            <w:pPr>
              <w:spacing w:after="0" w:line="240" w:lineRule="auto"/>
              <w:jc w:val="both"/>
              <w:rPr>
                <w:rFonts w:eastAsia="Calibri" w:cs="Arial"/>
                <w:color w:val="000000"/>
                <w:sz w:val="20"/>
                <w:szCs w:val="20"/>
                <w:lang w:val="en-US"/>
              </w:rPr>
            </w:pPr>
            <w:r>
              <w:rPr>
                <w:rFonts w:eastAsia="Calibri" w:cs="Arial"/>
                <w:color w:val="000000"/>
                <w:sz w:val="20"/>
                <w:szCs w:val="20"/>
                <w:lang w:val="en-US"/>
              </w:rPr>
              <w:t>16100±69008.7</w:t>
            </w:r>
          </w:p>
        </w:tc>
        <w:tc>
          <w:tcPr>
            <w:tcW w:w="1763" w:type="dxa"/>
            <w:tcBorders>
              <w:top w:val="single" w:sz="4" w:space="0" w:color="auto"/>
              <w:left w:val="single" w:sz="4" w:space="0" w:color="auto"/>
              <w:bottom w:val="single" w:sz="4" w:space="0" w:color="auto"/>
              <w:right w:val="single" w:sz="4" w:space="0" w:color="auto"/>
            </w:tcBorders>
          </w:tcPr>
          <w:p w14:paraId="3DE326AC" w14:textId="77777777" w:rsidR="00BA08EE" w:rsidRDefault="00BA08EE" w:rsidP="00B41370">
            <w:pPr>
              <w:spacing w:after="0" w:line="240" w:lineRule="auto"/>
              <w:rPr>
                <w:rFonts w:eastAsia="Calibri" w:cs="Arial"/>
                <w:color w:val="000000"/>
                <w:sz w:val="20"/>
                <w:szCs w:val="20"/>
                <w:lang w:val="en-US"/>
              </w:rPr>
            </w:pPr>
          </w:p>
          <w:p w14:paraId="4E4F66D4"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93±70</w:t>
            </w:r>
          </w:p>
          <w:p w14:paraId="5728C4C1"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58±44</w:t>
            </w:r>
          </w:p>
          <w:p w14:paraId="521115FA"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1.7±1.4</w:t>
            </w:r>
          </w:p>
          <w:p w14:paraId="7484E6F1"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3.5±0.5</w:t>
            </w:r>
          </w:p>
          <w:p w14:paraId="299CA490" w14:textId="77777777" w:rsidR="004D212E" w:rsidRPr="00BA56F1"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22611±10016.1</w:t>
            </w:r>
          </w:p>
        </w:tc>
        <w:tc>
          <w:tcPr>
            <w:tcW w:w="1511" w:type="dxa"/>
            <w:tcBorders>
              <w:top w:val="single" w:sz="4" w:space="0" w:color="auto"/>
              <w:left w:val="single" w:sz="4" w:space="0" w:color="auto"/>
              <w:bottom w:val="single" w:sz="4" w:space="0" w:color="auto"/>
              <w:right w:val="nil"/>
            </w:tcBorders>
            <w:shd w:val="clear" w:color="auto" w:fill="auto"/>
          </w:tcPr>
          <w:p w14:paraId="7961E946" w14:textId="77777777" w:rsidR="00BA08EE" w:rsidRDefault="00BA08EE" w:rsidP="00B41370">
            <w:pPr>
              <w:spacing w:after="0" w:line="240" w:lineRule="auto"/>
              <w:rPr>
                <w:rFonts w:eastAsia="Calibri" w:cs="Arial"/>
                <w:color w:val="000000"/>
                <w:sz w:val="20"/>
                <w:szCs w:val="20"/>
                <w:lang w:val="en-US"/>
              </w:rPr>
            </w:pPr>
          </w:p>
          <w:p w14:paraId="3C3F0EC7"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0.385</w:t>
            </w:r>
          </w:p>
          <w:p w14:paraId="5A26B4F1"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0.810</w:t>
            </w:r>
          </w:p>
          <w:p w14:paraId="19F87ACA"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0.023</w:t>
            </w:r>
          </w:p>
          <w:p w14:paraId="6C8B46CF"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0.321</w:t>
            </w:r>
          </w:p>
          <w:p w14:paraId="36287294" w14:textId="77777777" w:rsidR="004D212E" w:rsidRPr="00BA56F1"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0.016</w:t>
            </w:r>
          </w:p>
        </w:tc>
        <w:tc>
          <w:tcPr>
            <w:tcW w:w="1450" w:type="dxa"/>
            <w:tcBorders>
              <w:top w:val="single" w:sz="4" w:space="0" w:color="auto"/>
              <w:left w:val="single" w:sz="4" w:space="0" w:color="auto"/>
              <w:bottom w:val="single" w:sz="4" w:space="0" w:color="auto"/>
              <w:right w:val="nil"/>
            </w:tcBorders>
          </w:tcPr>
          <w:p w14:paraId="48C06983" w14:textId="77777777" w:rsidR="00BA08EE" w:rsidRDefault="00BA08EE" w:rsidP="00B41370">
            <w:pPr>
              <w:spacing w:after="0" w:line="240" w:lineRule="auto"/>
              <w:rPr>
                <w:rFonts w:eastAsia="Calibri" w:cs="Arial"/>
                <w:color w:val="000000"/>
                <w:sz w:val="20"/>
                <w:szCs w:val="20"/>
                <w:lang w:val="en-US"/>
              </w:rPr>
            </w:pPr>
          </w:p>
          <w:p w14:paraId="189CA6F3"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0.066</w:t>
            </w:r>
          </w:p>
          <w:p w14:paraId="4CBD8262"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0.107</w:t>
            </w:r>
          </w:p>
          <w:p w14:paraId="1D3FB5BB"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0.041</w:t>
            </w:r>
          </w:p>
          <w:p w14:paraId="302B8F64"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0.021</w:t>
            </w:r>
          </w:p>
          <w:p w14:paraId="1228BB9C" w14:textId="77777777" w:rsidR="004D212E" w:rsidRDefault="004D212E" w:rsidP="00B41370">
            <w:pPr>
              <w:spacing w:after="0" w:line="240" w:lineRule="auto"/>
              <w:rPr>
                <w:rFonts w:eastAsia="Calibri" w:cs="Arial"/>
                <w:color w:val="000000"/>
                <w:sz w:val="20"/>
                <w:szCs w:val="20"/>
                <w:lang w:val="en-US"/>
              </w:rPr>
            </w:pPr>
            <w:r>
              <w:rPr>
                <w:rFonts w:eastAsia="Calibri" w:cs="Arial"/>
                <w:color w:val="000000"/>
                <w:sz w:val="20"/>
                <w:szCs w:val="20"/>
                <w:lang w:val="en-US"/>
              </w:rPr>
              <w:t>0.322</w:t>
            </w:r>
          </w:p>
        </w:tc>
      </w:tr>
    </w:tbl>
    <w:p w14:paraId="2AAB606D" w14:textId="77777777" w:rsidR="00910197" w:rsidRDefault="00910197" w:rsidP="00CC017D">
      <w:pPr>
        <w:spacing w:line="240" w:lineRule="auto"/>
        <w:rPr>
          <w:rFonts w:cs="Arial"/>
          <w:b/>
          <w:sz w:val="24"/>
          <w:szCs w:val="24"/>
          <w:lang w:val="en-US"/>
        </w:rPr>
      </w:pPr>
    </w:p>
    <w:p w14:paraId="0B9F0CBE" w14:textId="77777777" w:rsidR="00BA56F1" w:rsidRPr="001E4B23" w:rsidRDefault="00BA56F1" w:rsidP="00BA56F1">
      <w:pPr>
        <w:spacing w:line="240" w:lineRule="auto"/>
        <w:rPr>
          <w:rFonts w:cs="Arial"/>
          <w:b/>
          <w:lang w:val="en-US"/>
        </w:rPr>
      </w:pPr>
      <w:r>
        <w:rPr>
          <w:rFonts w:cs="Arial"/>
          <w:b/>
          <w:u w:val="single"/>
          <w:lang w:val="en-US"/>
        </w:rPr>
        <w:t xml:space="preserve">Table </w:t>
      </w:r>
      <w:r w:rsidR="0095546D">
        <w:rPr>
          <w:rFonts w:cs="Arial"/>
          <w:b/>
          <w:u w:val="single"/>
          <w:lang w:val="en-US"/>
        </w:rPr>
        <w:t>3</w:t>
      </w:r>
      <w:r>
        <w:rPr>
          <w:rFonts w:cs="Arial"/>
          <w:b/>
          <w:u w:val="single"/>
          <w:lang w:val="en-US"/>
        </w:rPr>
        <w:t>:</w:t>
      </w:r>
      <w:r>
        <w:rPr>
          <w:rFonts w:cs="Arial"/>
          <w:b/>
          <w:lang w:val="en-US"/>
        </w:rPr>
        <w:t xml:space="preserve"> Baseline characteristics of patients</w:t>
      </w:r>
      <w:r w:rsidR="00573428">
        <w:rPr>
          <w:rFonts w:cs="Arial"/>
          <w:b/>
          <w:lang w:val="en-US"/>
        </w:rPr>
        <w:t xml:space="preserve"> </w:t>
      </w:r>
      <w:r>
        <w:rPr>
          <w:rFonts w:cs="Arial"/>
          <w:b/>
          <w:lang w:val="en-US"/>
        </w:rPr>
        <w:t>after propensity score matching.</w:t>
      </w:r>
    </w:p>
    <w:p w14:paraId="6FB89203" w14:textId="77777777" w:rsidR="00D33BC7" w:rsidRPr="005449EC" w:rsidRDefault="00D33BC7" w:rsidP="00D33BC7">
      <w:pPr>
        <w:spacing w:line="240" w:lineRule="auto"/>
        <w:rPr>
          <w:rFonts w:cs="Arial"/>
          <w:lang w:val="en-US"/>
        </w:rPr>
      </w:pPr>
      <w:r>
        <w:rPr>
          <w:rFonts w:cs="Arial"/>
          <w:lang w:val="en-US"/>
        </w:rPr>
        <w:t xml:space="preserve">#Patients </w:t>
      </w:r>
      <w:r w:rsidR="00910197">
        <w:rPr>
          <w:rFonts w:cs="Arial"/>
          <w:lang w:val="en-US"/>
        </w:rPr>
        <w:t xml:space="preserve">may </w:t>
      </w:r>
      <w:r w:rsidR="000A790E">
        <w:rPr>
          <w:rFonts w:cs="Arial"/>
          <w:lang w:val="en-US"/>
        </w:rPr>
        <w:t>hav</w:t>
      </w:r>
      <w:r>
        <w:rPr>
          <w:rFonts w:cs="Arial"/>
          <w:lang w:val="en-US"/>
        </w:rPr>
        <w:t>e received more than one treatment.</w:t>
      </w:r>
    </w:p>
    <w:p w14:paraId="16C677C0" w14:textId="77777777" w:rsidR="000A790E" w:rsidRPr="001C500B" w:rsidRDefault="000A790E" w:rsidP="000A790E">
      <w:pPr>
        <w:spacing w:after="0" w:line="240" w:lineRule="auto"/>
        <w:jc w:val="both"/>
        <w:rPr>
          <w:lang w:val="en-US"/>
        </w:rPr>
      </w:pPr>
      <w:r w:rsidRPr="001C500B">
        <w:rPr>
          <w:rFonts w:cs="Arial"/>
          <w:lang w:val="en-US"/>
        </w:rPr>
        <w:t xml:space="preserve">Abbreviations: </w:t>
      </w:r>
      <w:r w:rsidRPr="001C500B">
        <w:rPr>
          <w:rFonts w:cs="Arial"/>
          <w:vertAlign w:val="superscript"/>
          <w:lang w:val="en-US"/>
        </w:rPr>
        <w:t>1</w:t>
      </w:r>
      <w:r w:rsidRPr="001C500B">
        <w:rPr>
          <w:rFonts w:cs="Arial"/>
          <w:lang w:val="en-US"/>
        </w:rPr>
        <w:t xml:space="preserve">ECOG, </w:t>
      </w:r>
      <w:r w:rsidRPr="001C500B">
        <w:rPr>
          <w:rStyle w:val="Emphasis"/>
          <w:i w:val="0"/>
          <w:lang w:val="en-US"/>
        </w:rPr>
        <w:t xml:space="preserve">Eastern Cooperative Oncology Group; </w:t>
      </w:r>
      <w:r w:rsidRPr="001C500B">
        <w:rPr>
          <w:rStyle w:val="Emphasis"/>
          <w:i w:val="0"/>
          <w:vertAlign w:val="superscript"/>
          <w:lang w:val="en-US"/>
        </w:rPr>
        <w:t>2</w:t>
      </w:r>
      <w:r w:rsidRPr="001C500B">
        <w:rPr>
          <w:rStyle w:val="Emphasis"/>
          <w:i w:val="0"/>
          <w:lang w:val="en-US"/>
        </w:rPr>
        <w:t xml:space="preserve">BCLC, Barcelona Clinic Liver Cancer; </w:t>
      </w:r>
      <w:r>
        <w:rPr>
          <w:rStyle w:val="Emphasis"/>
          <w:i w:val="0"/>
          <w:vertAlign w:val="superscript"/>
          <w:lang w:val="en-US"/>
        </w:rPr>
        <w:t>3</w:t>
      </w:r>
      <w:r w:rsidRPr="001C500B">
        <w:rPr>
          <w:rStyle w:val="Emphasis"/>
          <w:i w:val="0"/>
          <w:lang w:val="en-US"/>
        </w:rPr>
        <w:t xml:space="preserve">PVT, portal vein thrombosis: </w:t>
      </w:r>
      <w:r>
        <w:rPr>
          <w:rStyle w:val="Emphasis"/>
          <w:i w:val="0"/>
          <w:vertAlign w:val="superscript"/>
          <w:lang w:val="en-US"/>
        </w:rPr>
        <w:t>4</w:t>
      </w:r>
      <w:r w:rsidRPr="001C500B">
        <w:rPr>
          <w:rStyle w:val="Emphasis"/>
          <w:i w:val="0"/>
          <w:lang w:val="en-US"/>
        </w:rPr>
        <w:t>SBRT, stereotactic body radiation therapy;</w:t>
      </w:r>
      <w:r>
        <w:rPr>
          <w:rStyle w:val="Emphasis"/>
          <w:i w:val="0"/>
          <w:vertAlign w:val="superscript"/>
          <w:lang w:val="en-US"/>
        </w:rPr>
        <w:t>5</w:t>
      </w:r>
      <w:r w:rsidRPr="001C500B">
        <w:rPr>
          <w:rStyle w:val="Emphasis"/>
          <w:i w:val="0"/>
          <w:lang w:val="en-US"/>
        </w:rPr>
        <w:t xml:space="preserve">AST, aspartat aminotransferase; </w:t>
      </w:r>
      <w:r>
        <w:rPr>
          <w:rStyle w:val="Emphasis"/>
          <w:i w:val="0"/>
          <w:vertAlign w:val="superscript"/>
          <w:lang w:val="en-US"/>
        </w:rPr>
        <w:t>6</w:t>
      </w:r>
      <w:r w:rsidRPr="001C500B">
        <w:rPr>
          <w:rStyle w:val="Emphasis"/>
          <w:i w:val="0"/>
          <w:lang w:val="en-US"/>
        </w:rPr>
        <w:t xml:space="preserve">ALT, alanine aminotransferase;  </w:t>
      </w:r>
      <w:r>
        <w:rPr>
          <w:rStyle w:val="Emphasis"/>
          <w:i w:val="0"/>
          <w:vertAlign w:val="superscript"/>
          <w:lang w:val="en-US"/>
        </w:rPr>
        <w:t>7</w:t>
      </w:r>
      <w:r w:rsidR="00BA08EE">
        <w:rPr>
          <w:rStyle w:val="Emphasis"/>
          <w:i w:val="0"/>
          <w:lang w:val="en-US"/>
        </w:rPr>
        <w:t>AFP</w:t>
      </w:r>
      <w:r>
        <w:rPr>
          <w:lang w:val="en-US"/>
        </w:rPr>
        <w:t>, alpha-fetoprotein</w:t>
      </w:r>
    </w:p>
    <w:p w14:paraId="56ECC190" w14:textId="77777777" w:rsidR="006223EA" w:rsidRDefault="006223EA" w:rsidP="00CC017D">
      <w:pPr>
        <w:spacing w:line="240" w:lineRule="auto"/>
        <w:rPr>
          <w:rFonts w:cs="Arial"/>
          <w:b/>
          <w:sz w:val="24"/>
          <w:szCs w:val="24"/>
          <w:lang w:val="en-US"/>
        </w:rPr>
      </w:pPr>
    </w:p>
    <w:p w14:paraId="53CA8FB9" w14:textId="77777777" w:rsidR="00E708B9" w:rsidRDefault="00E708B9" w:rsidP="00CC017D">
      <w:pPr>
        <w:spacing w:line="240" w:lineRule="auto"/>
        <w:rPr>
          <w:rFonts w:cs="Arial"/>
          <w:b/>
          <w:sz w:val="24"/>
          <w:szCs w:val="24"/>
          <w:lang w:val="en-US"/>
        </w:rPr>
      </w:pPr>
    </w:p>
    <w:p w14:paraId="1CF880F4" w14:textId="77777777" w:rsidR="00E708B9" w:rsidRDefault="00E708B9" w:rsidP="00CC017D">
      <w:pPr>
        <w:spacing w:line="240" w:lineRule="auto"/>
        <w:rPr>
          <w:rFonts w:cs="Arial"/>
          <w:b/>
          <w:sz w:val="24"/>
          <w:szCs w:val="24"/>
          <w:lang w:val="en-US"/>
        </w:rPr>
      </w:pPr>
    </w:p>
    <w:p w14:paraId="0477D4D4" w14:textId="77777777" w:rsidR="00E708B9" w:rsidRDefault="00E708B9" w:rsidP="00CC017D">
      <w:pPr>
        <w:spacing w:line="240" w:lineRule="auto"/>
        <w:rPr>
          <w:rFonts w:cs="Arial"/>
          <w:b/>
          <w:sz w:val="24"/>
          <w:szCs w:val="24"/>
          <w:lang w:val="en-US"/>
        </w:rPr>
      </w:pPr>
    </w:p>
    <w:p w14:paraId="042C87BC" w14:textId="77777777" w:rsidR="00E708B9" w:rsidRDefault="00E708B9" w:rsidP="00CC017D">
      <w:pPr>
        <w:spacing w:line="240" w:lineRule="auto"/>
        <w:rPr>
          <w:rFonts w:cs="Arial"/>
          <w:b/>
          <w:sz w:val="24"/>
          <w:szCs w:val="24"/>
          <w:lang w:val="en-US"/>
        </w:rPr>
      </w:pPr>
    </w:p>
    <w:p w14:paraId="3B5FEC0C" w14:textId="77777777" w:rsidR="00E708B9" w:rsidRDefault="00E708B9" w:rsidP="00CC017D">
      <w:pPr>
        <w:spacing w:line="240" w:lineRule="auto"/>
        <w:rPr>
          <w:rFonts w:cs="Arial"/>
          <w:b/>
          <w:sz w:val="24"/>
          <w:szCs w:val="24"/>
          <w:lang w:val="en-US"/>
        </w:rPr>
      </w:pPr>
    </w:p>
    <w:p w14:paraId="69EF5D67" w14:textId="77777777" w:rsidR="00397BE0" w:rsidRDefault="00712804" w:rsidP="00CC017D">
      <w:pPr>
        <w:spacing w:line="240" w:lineRule="auto"/>
        <w:rPr>
          <w:rFonts w:cs="Arial"/>
          <w:b/>
          <w:sz w:val="24"/>
          <w:szCs w:val="24"/>
          <w:lang w:val="en-US"/>
        </w:rPr>
      </w:pPr>
      <w:r w:rsidRPr="005C0072">
        <w:rPr>
          <w:rFonts w:cs="Arial"/>
          <w:b/>
          <w:sz w:val="24"/>
          <w:szCs w:val="24"/>
          <w:lang w:val="en-US"/>
        </w:rPr>
        <w:t xml:space="preserve">Table </w:t>
      </w:r>
      <w:r w:rsidR="005C0072">
        <w:rPr>
          <w:rFonts w:cs="Arial"/>
          <w:b/>
          <w:sz w:val="24"/>
          <w:szCs w:val="24"/>
          <w:lang w:val="en-US"/>
        </w:rPr>
        <w:t>4</w:t>
      </w:r>
    </w:p>
    <w:tbl>
      <w:tblPr>
        <w:tblStyle w:val="LightShading"/>
        <w:tblW w:w="9747" w:type="dxa"/>
        <w:tblLayout w:type="fixed"/>
        <w:tblLook w:val="04A0" w:firstRow="1" w:lastRow="0" w:firstColumn="1" w:lastColumn="0" w:noHBand="0" w:noVBand="1"/>
      </w:tblPr>
      <w:tblGrid>
        <w:gridCol w:w="2093"/>
        <w:gridCol w:w="992"/>
        <w:gridCol w:w="1276"/>
        <w:gridCol w:w="1417"/>
        <w:gridCol w:w="1134"/>
        <w:gridCol w:w="142"/>
        <w:gridCol w:w="142"/>
        <w:gridCol w:w="1561"/>
        <w:gridCol w:w="990"/>
      </w:tblGrid>
      <w:tr w:rsidR="00712804" w:rsidRPr="00712804" w14:paraId="6CF027B7" w14:textId="77777777" w:rsidTr="007128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right w:val="single" w:sz="4" w:space="0" w:color="auto"/>
            </w:tcBorders>
          </w:tcPr>
          <w:p w14:paraId="1EDF187A" w14:textId="77777777" w:rsidR="00712804" w:rsidRPr="00712804" w:rsidRDefault="00712804" w:rsidP="0001692D">
            <w:pPr>
              <w:spacing w:line="240" w:lineRule="auto"/>
              <w:rPr>
                <w:rFonts w:cs="Arial"/>
                <w:sz w:val="20"/>
                <w:szCs w:val="20"/>
                <w:lang w:val="en-US"/>
              </w:rPr>
            </w:pPr>
            <w:r w:rsidRPr="00712804">
              <w:rPr>
                <w:rFonts w:cs="Arial"/>
                <w:sz w:val="20"/>
                <w:szCs w:val="20"/>
                <w:lang w:val="en-US"/>
              </w:rPr>
              <w:t>Variable</w:t>
            </w:r>
          </w:p>
        </w:tc>
        <w:tc>
          <w:tcPr>
            <w:tcW w:w="3685" w:type="dxa"/>
            <w:gridSpan w:val="3"/>
            <w:tcBorders>
              <w:left w:val="single" w:sz="4" w:space="0" w:color="auto"/>
              <w:right w:val="single" w:sz="4" w:space="0" w:color="auto"/>
            </w:tcBorders>
          </w:tcPr>
          <w:p w14:paraId="6FBAD4E9" w14:textId="77777777" w:rsidR="00712804" w:rsidRPr="00712804" w:rsidRDefault="00E708B9" w:rsidP="00CC017D">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univariable</w:t>
            </w:r>
            <w:r w:rsidR="00712804" w:rsidRPr="00712804">
              <w:rPr>
                <w:rFonts w:cs="Arial"/>
                <w:sz w:val="20"/>
                <w:szCs w:val="20"/>
                <w:lang w:val="en-US"/>
              </w:rPr>
              <w:t xml:space="preserve"> Cox regression </w:t>
            </w:r>
          </w:p>
        </w:tc>
        <w:tc>
          <w:tcPr>
            <w:tcW w:w="3969" w:type="dxa"/>
            <w:gridSpan w:val="5"/>
            <w:tcBorders>
              <w:left w:val="single" w:sz="4" w:space="0" w:color="auto"/>
            </w:tcBorders>
          </w:tcPr>
          <w:p w14:paraId="6D86F19E" w14:textId="77777777" w:rsidR="00712804" w:rsidRPr="00712804" w:rsidRDefault="00E708B9" w:rsidP="00650123">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multivariable</w:t>
            </w:r>
            <w:r w:rsidR="00712804" w:rsidRPr="00712804">
              <w:rPr>
                <w:rFonts w:cs="Arial"/>
                <w:sz w:val="20"/>
                <w:szCs w:val="20"/>
                <w:lang w:val="en-US"/>
              </w:rPr>
              <w:t xml:space="preserve"> Cox regression</w:t>
            </w:r>
          </w:p>
        </w:tc>
      </w:tr>
      <w:tr w:rsidR="00D45571" w:rsidRPr="00712804" w14:paraId="72CDC74C" w14:textId="77777777" w:rsidTr="00712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right w:val="single" w:sz="4" w:space="0" w:color="auto"/>
            </w:tcBorders>
          </w:tcPr>
          <w:p w14:paraId="54309848" w14:textId="77777777" w:rsidR="00D45571" w:rsidRPr="00712804" w:rsidRDefault="00D45571" w:rsidP="00CC017D">
            <w:pPr>
              <w:spacing w:line="240" w:lineRule="auto"/>
              <w:rPr>
                <w:rFonts w:cs="Arial"/>
                <w:b w:val="0"/>
                <w:sz w:val="20"/>
                <w:szCs w:val="20"/>
                <w:lang w:val="en-US"/>
              </w:rPr>
            </w:pPr>
          </w:p>
        </w:tc>
        <w:tc>
          <w:tcPr>
            <w:tcW w:w="992" w:type="dxa"/>
            <w:tcBorders>
              <w:left w:val="single" w:sz="4" w:space="0" w:color="auto"/>
            </w:tcBorders>
          </w:tcPr>
          <w:p w14:paraId="674EE549" w14:textId="77777777" w:rsidR="00D45571" w:rsidRPr="007B19C5" w:rsidRDefault="007B19C5"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vertAlign w:val="superscript"/>
                <w:lang w:val="en-US"/>
              </w:rPr>
            </w:pPr>
            <w:r>
              <w:rPr>
                <w:rFonts w:cs="Arial"/>
                <w:b/>
                <w:sz w:val="20"/>
                <w:szCs w:val="20"/>
                <w:lang w:val="en-US"/>
              </w:rPr>
              <w:t>HR</w:t>
            </w:r>
            <w:r>
              <w:rPr>
                <w:rFonts w:cs="Arial"/>
                <w:sz w:val="20"/>
                <w:szCs w:val="20"/>
                <w:vertAlign w:val="superscript"/>
                <w:lang w:val="en-US"/>
              </w:rPr>
              <w:t>1</w:t>
            </w:r>
          </w:p>
        </w:tc>
        <w:tc>
          <w:tcPr>
            <w:tcW w:w="1276" w:type="dxa"/>
          </w:tcPr>
          <w:p w14:paraId="58BF0745" w14:textId="77777777" w:rsidR="00D45571" w:rsidRPr="007B19C5" w:rsidRDefault="00D45571" w:rsidP="00CC017D">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vertAlign w:val="superscript"/>
                <w:lang w:val="en-US"/>
              </w:rPr>
            </w:pPr>
            <w:r>
              <w:rPr>
                <w:rFonts w:cs="Arial"/>
                <w:b/>
                <w:sz w:val="20"/>
                <w:szCs w:val="20"/>
                <w:lang w:val="en-US"/>
              </w:rPr>
              <w:t>95%CI</w:t>
            </w:r>
            <w:r w:rsidR="007B19C5">
              <w:rPr>
                <w:rFonts w:cs="Arial"/>
                <w:sz w:val="20"/>
                <w:szCs w:val="20"/>
                <w:vertAlign w:val="superscript"/>
                <w:lang w:val="en-US"/>
              </w:rPr>
              <w:t>2</w:t>
            </w:r>
          </w:p>
        </w:tc>
        <w:tc>
          <w:tcPr>
            <w:tcW w:w="1417" w:type="dxa"/>
            <w:tcBorders>
              <w:right w:val="single" w:sz="4" w:space="0" w:color="auto"/>
            </w:tcBorders>
          </w:tcPr>
          <w:p w14:paraId="3386D588" w14:textId="77777777" w:rsidR="00D45571" w:rsidRPr="00712804" w:rsidRDefault="00D45571" w:rsidP="00D45571">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p value</w:t>
            </w:r>
          </w:p>
        </w:tc>
        <w:tc>
          <w:tcPr>
            <w:tcW w:w="1134" w:type="dxa"/>
            <w:tcBorders>
              <w:left w:val="single" w:sz="4" w:space="0" w:color="auto"/>
            </w:tcBorders>
          </w:tcPr>
          <w:p w14:paraId="56BA98B9" w14:textId="77777777" w:rsidR="00D45571" w:rsidRPr="00712804" w:rsidRDefault="00D45571" w:rsidP="00550AF6">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 xml:space="preserve">HR </w:t>
            </w:r>
          </w:p>
        </w:tc>
        <w:tc>
          <w:tcPr>
            <w:tcW w:w="1845" w:type="dxa"/>
            <w:gridSpan w:val="3"/>
          </w:tcPr>
          <w:p w14:paraId="4F81D4A3" w14:textId="77777777" w:rsidR="00D45571" w:rsidRPr="00712804" w:rsidRDefault="00D45571" w:rsidP="00550AF6">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95%CI</w:t>
            </w:r>
          </w:p>
        </w:tc>
        <w:tc>
          <w:tcPr>
            <w:tcW w:w="990" w:type="dxa"/>
          </w:tcPr>
          <w:p w14:paraId="42C74C7A" w14:textId="77777777" w:rsidR="00D45571" w:rsidRPr="00712804" w:rsidRDefault="00D45571" w:rsidP="00550AF6">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p value</w:t>
            </w:r>
          </w:p>
        </w:tc>
      </w:tr>
      <w:tr w:rsidR="00D45571" w:rsidRPr="00712804" w14:paraId="6968778B" w14:textId="77777777" w:rsidTr="00712804">
        <w:tc>
          <w:tcPr>
            <w:cnfStyle w:val="001000000000" w:firstRow="0" w:lastRow="0" w:firstColumn="1" w:lastColumn="0" w:oddVBand="0" w:evenVBand="0" w:oddHBand="0" w:evenHBand="0" w:firstRowFirstColumn="0" w:firstRowLastColumn="0" w:lastRowFirstColumn="0" w:lastRowLastColumn="0"/>
            <w:tcW w:w="2093" w:type="dxa"/>
            <w:tcBorders>
              <w:right w:val="single" w:sz="4" w:space="0" w:color="auto"/>
            </w:tcBorders>
          </w:tcPr>
          <w:p w14:paraId="5B63ACCA" w14:textId="77777777" w:rsidR="00D45571" w:rsidRPr="00DA7956" w:rsidRDefault="00D45571" w:rsidP="00EA319A">
            <w:pPr>
              <w:spacing w:line="240" w:lineRule="auto"/>
              <w:rPr>
                <w:rFonts w:cs="Arial"/>
                <w:sz w:val="20"/>
                <w:szCs w:val="20"/>
                <w:lang w:val="en-US"/>
              </w:rPr>
            </w:pPr>
            <w:r w:rsidRPr="00DA7956">
              <w:rPr>
                <w:rFonts w:cs="Arial"/>
                <w:sz w:val="20"/>
                <w:szCs w:val="20"/>
                <w:lang w:val="en-US"/>
              </w:rPr>
              <w:t xml:space="preserve">age </w:t>
            </w:r>
          </w:p>
        </w:tc>
        <w:tc>
          <w:tcPr>
            <w:tcW w:w="992" w:type="dxa"/>
            <w:tcBorders>
              <w:left w:val="single" w:sz="4" w:space="0" w:color="auto"/>
            </w:tcBorders>
          </w:tcPr>
          <w:p w14:paraId="19E896BB" w14:textId="77777777" w:rsidR="00D45571" w:rsidRPr="00712804" w:rsidRDefault="00E708B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 xml:space="preserve">0.99 </w:t>
            </w:r>
          </w:p>
        </w:tc>
        <w:tc>
          <w:tcPr>
            <w:tcW w:w="1276" w:type="dxa"/>
          </w:tcPr>
          <w:p w14:paraId="0AEB3324" w14:textId="77777777" w:rsidR="00D45571" w:rsidRPr="00712804"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0.97 - 1.00</w:t>
            </w:r>
          </w:p>
        </w:tc>
        <w:tc>
          <w:tcPr>
            <w:tcW w:w="1417" w:type="dxa"/>
            <w:tcBorders>
              <w:right w:val="single" w:sz="4" w:space="0" w:color="auto"/>
            </w:tcBorders>
          </w:tcPr>
          <w:p w14:paraId="7C15B02F" w14:textId="77777777" w:rsidR="00D45571" w:rsidRPr="00712804"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0.085</w:t>
            </w:r>
          </w:p>
        </w:tc>
        <w:tc>
          <w:tcPr>
            <w:tcW w:w="1276" w:type="dxa"/>
            <w:gridSpan w:val="2"/>
            <w:tcBorders>
              <w:left w:val="single" w:sz="4" w:space="0" w:color="auto"/>
            </w:tcBorders>
          </w:tcPr>
          <w:p w14:paraId="6714FF8C" w14:textId="77777777" w:rsidR="00D45571" w:rsidRPr="00712804" w:rsidRDefault="00D45571" w:rsidP="00DA7956">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1703" w:type="dxa"/>
            <w:gridSpan w:val="2"/>
          </w:tcPr>
          <w:p w14:paraId="2B9C7D18" w14:textId="77777777" w:rsidR="00D45571" w:rsidRPr="00712804" w:rsidRDefault="00D45571"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990" w:type="dxa"/>
          </w:tcPr>
          <w:p w14:paraId="2D77D664" w14:textId="77777777" w:rsidR="00D45571" w:rsidRPr="00712804" w:rsidRDefault="00D45571"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r>
      <w:tr w:rsidR="00D45571" w:rsidRPr="00712804" w14:paraId="355B6156" w14:textId="77777777" w:rsidTr="00712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right w:val="single" w:sz="4" w:space="0" w:color="auto"/>
            </w:tcBorders>
          </w:tcPr>
          <w:p w14:paraId="67BEF8B1" w14:textId="77777777" w:rsidR="00D45571" w:rsidRPr="00DA7956" w:rsidRDefault="00D45571" w:rsidP="0001692D">
            <w:pPr>
              <w:spacing w:line="240" w:lineRule="auto"/>
              <w:rPr>
                <w:rFonts w:cs="Arial"/>
                <w:sz w:val="20"/>
                <w:szCs w:val="20"/>
              </w:rPr>
            </w:pPr>
            <w:r w:rsidRPr="00DA7956">
              <w:rPr>
                <w:rFonts w:cs="Arial"/>
                <w:sz w:val="20"/>
                <w:szCs w:val="20"/>
              </w:rPr>
              <w:t>gender</w:t>
            </w:r>
          </w:p>
          <w:p w14:paraId="24579F67" w14:textId="77777777" w:rsidR="00D45571" w:rsidRPr="00E708B9" w:rsidRDefault="00D45571" w:rsidP="00D45571">
            <w:pPr>
              <w:spacing w:line="240" w:lineRule="auto"/>
              <w:rPr>
                <w:rFonts w:cs="Arial"/>
                <w:b w:val="0"/>
                <w:sz w:val="20"/>
                <w:szCs w:val="20"/>
              </w:rPr>
            </w:pPr>
            <w:r w:rsidRPr="00E708B9">
              <w:rPr>
                <w:rFonts w:cs="Arial"/>
                <w:b w:val="0"/>
                <w:sz w:val="20"/>
                <w:szCs w:val="20"/>
              </w:rPr>
              <w:t>(female vs. male)</w:t>
            </w:r>
          </w:p>
        </w:tc>
        <w:tc>
          <w:tcPr>
            <w:tcW w:w="992" w:type="dxa"/>
            <w:tcBorders>
              <w:left w:val="single" w:sz="4" w:space="0" w:color="auto"/>
            </w:tcBorders>
          </w:tcPr>
          <w:p w14:paraId="508B0AFC" w14:textId="77777777" w:rsidR="00D45571" w:rsidRPr="00D45571"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1.15</w:t>
            </w:r>
          </w:p>
        </w:tc>
        <w:tc>
          <w:tcPr>
            <w:tcW w:w="1276" w:type="dxa"/>
          </w:tcPr>
          <w:p w14:paraId="013133DA" w14:textId="77777777" w:rsidR="00D45571" w:rsidRPr="00D45571"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0.74 - 1.80</w:t>
            </w:r>
          </w:p>
        </w:tc>
        <w:tc>
          <w:tcPr>
            <w:tcW w:w="1417" w:type="dxa"/>
            <w:tcBorders>
              <w:right w:val="single" w:sz="4" w:space="0" w:color="auto"/>
            </w:tcBorders>
          </w:tcPr>
          <w:p w14:paraId="579EDE8D" w14:textId="77777777" w:rsidR="00D45571" w:rsidRPr="00D45571"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0.530</w:t>
            </w:r>
          </w:p>
        </w:tc>
        <w:tc>
          <w:tcPr>
            <w:tcW w:w="1418" w:type="dxa"/>
            <w:gridSpan w:val="3"/>
            <w:tcBorders>
              <w:left w:val="single" w:sz="4" w:space="0" w:color="auto"/>
            </w:tcBorders>
          </w:tcPr>
          <w:p w14:paraId="04CCB573" w14:textId="77777777" w:rsidR="00D45571" w:rsidRPr="00D45571" w:rsidRDefault="00D45571"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561" w:type="dxa"/>
          </w:tcPr>
          <w:p w14:paraId="3C599CC6" w14:textId="77777777" w:rsidR="00D45571" w:rsidRPr="00D45571" w:rsidRDefault="00D45571"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0" w:type="dxa"/>
          </w:tcPr>
          <w:p w14:paraId="54E020E9" w14:textId="77777777" w:rsidR="00D45571" w:rsidRPr="00D45571" w:rsidRDefault="00D45571"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D45571" w:rsidRPr="00712804" w14:paraId="05C7D200" w14:textId="77777777" w:rsidTr="00712804">
        <w:tc>
          <w:tcPr>
            <w:cnfStyle w:val="001000000000" w:firstRow="0" w:lastRow="0" w:firstColumn="1" w:lastColumn="0" w:oddVBand="0" w:evenVBand="0" w:oddHBand="0" w:evenHBand="0" w:firstRowFirstColumn="0" w:firstRowLastColumn="0" w:lastRowFirstColumn="0" w:lastRowLastColumn="0"/>
            <w:tcW w:w="2093" w:type="dxa"/>
            <w:tcBorders>
              <w:right w:val="single" w:sz="4" w:space="0" w:color="auto"/>
            </w:tcBorders>
          </w:tcPr>
          <w:p w14:paraId="0DB20027" w14:textId="77777777" w:rsidR="00D45571" w:rsidRPr="00DA7956" w:rsidRDefault="00E708B9" w:rsidP="0001692D">
            <w:pPr>
              <w:spacing w:line="240" w:lineRule="auto"/>
              <w:rPr>
                <w:rFonts w:cs="Arial"/>
                <w:sz w:val="20"/>
                <w:szCs w:val="20"/>
              </w:rPr>
            </w:pPr>
            <w:r>
              <w:rPr>
                <w:rFonts w:cs="Arial"/>
                <w:sz w:val="20"/>
                <w:szCs w:val="20"/>
              </w:rPr>
              <w:t>Child score</w:t>
            </w:r>
          </w:p>
        </w:tc>
        <w:tc>
          <w:tcPr>
            <w:tcW w:w="992" w:type="dxa"/>
            <w:tcBorders>
              <w:left w:val="single" w:sz="4" w:space="0" w:color="auto"/>
            </w:tcBorders>
          </w:tcPr>
          <w:p w14:paraId="00BC9ED4" w14:textId="77777777" w:rsidR="00D45571" w:rsidRPr="00D45571" w:rsidRDefault="00E708B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1.23</w:t>
            </w:r>
          </w:p>
        </w:tc>
        <w:tc>
          <w:tcPr>
            <w:tcW w:w="1276" w:type="dxa"/>
          </w:tcPr>
          <w:p w14:paraId="5F25E981" w14:textId="77777777" w:rsidR="00D45571" w:rsidRPr="00D45571"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1.05 - 1.45</w:t>
            </w:r>
          </w:p>
        </w:tc>
        <w:tc>
          <w:tcPr>
            <w:tcW w:w="1417" w:type="dxa"/>
            <w:tcBorders>
              <w:right w:val="single" w:sz="4" w:space="0" w:color="auto"/>
            </w:tcBorders>
          </w:tcPr>
          <w:p w14:paraId="4C7BE66F" w14:textId="77777777" w:rsidR="00D45571" w:rsidRPr="00D45571" w:rsidRDefault="00E708B9" w:rsidP="00EA319A">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0.012</w:t>
            </w:r>
          </w:p>
        </w:tc>
        <w:tc>
          <w:tcPr>
            <w:tcW w:w="1418" w:type="dxa"/>
            <w:gridSpan w:val="3"/>
            <w:tcBorders>
              <w:left w:val="single" w:sz="4" w:space="0" w:color="auto"/>
            </w:tcBorders>
          </w:tcPr>
          <w:p w14:paraId="48441D32" w14:textId="77777777" w:rsidR="00D45571" w:rsidRPr="00D45571" w:rsidRDefault="0003414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1.39</w:t>
            </w:r>
          </w:p>
        </w:tc>
        <w:tc>
          <w:tcPr>
            <w:tcW w:w="1561" w:type="dxa"/>
          </w:tcPr>
          <w:p w14:paraId="7820DE14" w14:textId="77777777" w:rsidR="00D45571" w:rsidRPr="00D45571" w:rsidRDefault="0003414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1.16 - 1.66</w:t>
            </w:r>
          </w:p>
        </w:tc>
        <w:tc>
          <w:tcPr>
            <w:tcW w:w="990" w:type="dxa"/>
          </w:tcPr>
          <w:p w14:paraId="1FF49A15" w14:textId="77777777" w:rsidR="00D45571" w:rsidRPr="00D45571" w:rsidRDefault="0003414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&lt;0.001</w:t>
            </w:r>
          </w:p>
        </w:tc>
      </w:tr>
      <w:tr w:rsidR="00D45571" w:rsidRPr="00712804" w14:paraId="0B4E2532" w14:textId="77777777" w:rsidTr="00712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right w:val="single" w:sz="4" w:space="0" w:color="auto"/>
            </w:tcBorders>
          </w:tcPr>
          <w:p w14:paraId="5DD01095" w14:textId="77777777" w:rsidR="00D45571" w:rsidRPr="005C0072" w:rsidRDefault="00E708B9" w:rsidP="0001692D">
            <w:pPr>
              <w:spacing w:line="240" w:lineRule="auto"/>
              <w:rPr>
                <w:rFonts w:cs="Arial"/>
                <w:sz w:val="20"/>
                <w:szCs w:val="20"/>
                <w:lang w:val="en-US"/>
              </w:rPr>
            </w:pPr>
            <w:r w:rsidRPr="005C0072">
              <w:rPr>
                <w:rFonts w:cs="Arial"/>
                <w:sz w:val="20"/>
                <w:szCs w:val="20"/>
                <w:lang w:val="en-US"/>
              </w:rPr>
              <w:t>previous treatment</w:t>
            </w:r>
          </w:p>
          <w:p w14:paraId="12190204" w14:textId="77777777" w:rsidR="00E708B9" w:rsidRPr="005C0072" w:rsidRDefault="00E708B9" w:rsidP="0001692D">
            <w:pPr>
              <w:spacing w:line="240" w:lineRule="auto"/>
              <w:rPr>
                <w:rFonts w:cs="Arial"/>
                <w:b w:val="0"/>
                <w:sz w:val="20"/>
                <w:szCs w:val="20"/>
                <w:lang w:val="en-US"/>
              </w:rPr>
            </w:pPr>
            <w:r w:rsidRPr="005C0072">
              <w:rPr>
                <w:rFonts w:cs="Arial"/>
                <w:b w:val="0"/>
                <w:sz w:val="20"/>
                <w:szCs w:val="20"/>
                <w:lang w:val="en-US"/>
              </w:rPr>
              <w:t xml:space="preserve">  surgery</w:t>
            </w:r>
          </w:p>
          <w:p w14:paraId="646F1DC8" w14:textId="77777777" w:rsidR="00E708B9" w:rsidRPr="005C0072" w:rsidRDefault="00E708B9" w:rsidP="0001692D">
            <w:pPr>
              <w:spacing w:line="240" w:lineRule="auto"/>
              <w:rPr>
                <w:rFonts w:cs="Arial"/>
                <w:b w:val="0"/>
                <w:sz w:val="20"/>
                <w:szCs w:val="20"/>
                <w:lang w:val="en-US"/>
              </w:rPr>
            </w:pPr>
            <w:r w:rsidRPr="005C0072">
              <w:rPr>
                <w:rFonts w:cs="Arial"/>
                <w:b w:val="0"/>
                <w:sz w:val="20"/>
                <w:szCs w:val="20"/>
                <w:lang w:val="en-US"/>
              </w:rPr>
              <w:t xml:space="preserve">  radiofrequency </w:t>
            </w:r>
          </w:p>
          <w:p w14:paraId="15D662B1" w14:textId="77777777" w:rsidR="00E708B9" w:rsidRPr="005C0072" w:rsidRDefault="00E708B9" w:rsidP="0001692D">
            <w:pPr>
              <w:spacing w:line="240" w:lineRule="auto"/>
              <w:rPr>
                <w:rFonts w:cs="Arial"/>
                <w:b w:val="0"/>
                <w:sz w:val="20"/>
                <w:szCs w:val="20"/>
                <w:lang w:val="en-US"/>
              </w:rPr>
            </w:pPr>
            <w:r w:rsidRPr="005C0072">
              <w:rPr>
                <w:rFonts w:cs="Arial"/>
                <w:b w:val="0"/>
                <w:sz w:val="20"/>
                <w:szCs w:val="20"/>
                <w:lang w:val="en-US"/>
              </w:rPr>
              <w:t xml:space="preserve">  ablation</w:t>
            </w:r>
          </w:p>
          <w:p w14:paraId="5C94DC64" w14:textId="77777777" w:rsidR="00E708B9" w:rsidRPr="005C0072" w:rsidRDefault="00E708B9" w:rsidP="0001692D">
            <w:pPr>
              <w:spacing w:line="240" w:lineRule="auto"/>
              <w:rPr>
                <w:rFonts w:cs="Arial"/>
                <w:sz w:val="20"/>
                <w:szCs w:val="20"/>
                <w:vertAlign w:val="superscript"/>
                <w:lang w:val="en-US"/>
              </w:rPr>
            </w:pPr>
            <w:r w:rsidRPr="005C0072">
              <w:rPr>
                <w:rFonts w:cs="Arial"/>
                <w:b w:val="0"/>
                <w:sz w:val="20"/>
                <w:szCs w:val="20"/>
                <w:lang w:val="en-US"/>
              </w:rPr>
              <w:t xml:space="preserve">  TACE</w:t>
            </w:r>
            <w:r w:rsidR="005C0072" w:rsidRPr="005C0072">
              <w:rPr>
                <w:rFonts w:cs="Arial"/>
                <w:b w:val="0"/>
                <w:sz w:val="20"/>
                <w:szCs w:val="20"/>
                <w:vertAlign w:val="superscript"/>
                <w:lang w:val="en-US"/>
              </w:rPr>
              <w:t>3</w:t>
            </w:r>
          </w:p>
        </w:tc>
        <w:tc>
          <w:tcPr>
            <w:tcW w:w="992" w:type="dxa"/>
            <w:tcBorders>
              <w:left w:val="single" w:sz="4" w:space="0" w:color="auto"/>
            </w:tcBorders>
          </w:tcPr>
          <w:p w14:paraId="55D7DC17" w14:textId="77777777" w:rsidR="00D45571" w:rsidRPr="005C0072" w:rsidRDefault="00D45571"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523508C" w14:textId="77777777" w:rsidR="00E708B9"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0.99</w:t>
            </w:r>
          </w:p>
          <w:p w14:paraId="46D5DDCE" w14:textId="77777777" w:rsidR="00E708B9"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0.80</w:t>
            </w:r>
          </w:p>
          <w:p w14:paraId="15AB049A" w14:textId="77777777" w:rsidR="00E708B9"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p w14:paraId="5CDC3679" w14:textId="77777777" w:rsidR="00E708B9" w:rsidRPr="00D45571"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1.26</w:t>
            </w:r>
          </w:p>
        </w:tc>
        <w:tc>
          <w:tcPr>
            <w:tcW w:w="1276" w:type="dxa"/>
          </w:tcPr>
          <w:p w14:paraId="0722B872" w14:textId="77777777" w:rsidR="00D45571" w:rsidRDefault="00D45571"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p w14:paraId="5A0AA3E3"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0.65 - 1.54</w:t>
            </w:r>
          </w:p>
          <w:p w14:paraId="653E1753"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0.33 - 1.96</w:t>
            </w:r>
          </w:p>
          <w:p w14:paraId="1A11BF85"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p w14:paraId="35ED082A" w14:textId="77777777" w:rsidR="00E708B9" w:rsidRPr="00D45571"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0.89 - 1.79</w:t>
            </w:r>
          </w:p>
        </w:tc>
        <w:tc>
          <w:tcPr>
            <w:tcW w:w="1417" w:type="dxa"/>
            <w:tcBorders>
              <w:right w:val="single" w:sz="4" w:space="0" w:color="auto"/>
            </w:tcBorders>
          </w:tcPr>
          <w:p w14:paraId="615F0B99" w14:textId="77777777" w:rsidR="00D45571" w:rsidRDefault="00D45571"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p w14:paraId="164CCC58"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0.995</w:t>
            </w:r>
          </w:p>
          <w:p w14:paraId="1B4804B1"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0.627</w:t>
            </w:r>
          </w:p>
          <w:p w14:paraId="34E8C109"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p w14:paraId="60423BBA" w14:textId="77777777" w:rsidR="00E708B9" w:rsidRPr="00D45571"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0.193</w:t>
            </w:r>
          </w:p>
        </w:tc>
        <w:tc>
          <w:tcPr>
            <w:tcW w:w="1418" w:type="dxa"/>
            <w:gridSpan w:val="3"/>
            <w:tcBorders>
              <w:left w:val="single" w:sz="4" w:space="0" w:color="auto"/>
            </w:tcBorders>
          </w:tcPr>
          <w:p w14:paraId="67FA3705" w14:textId="77777777" w:rsidR="00D45571" w:rsidRPr="00D45571" w:rsidRDefault="00D45571"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1561" w:type="dxa"/>
          </w:tcPr>
          <w:p w14:paraId="051D9C9A" w14:textId="77777777" w:rsidR="00D45571" w:rsidRPr="00D45571" w:rsidRDefault="00D45571"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990" w:type="dxa"/>
          </w:tcPr>
          <w:p w14:paraId="5C0D74FE" w14:textId="77777777" w:rsidR="00D45571" w:rsidRPr="00D45571" w:rsidRDefault="00D45571"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rPr>
            </w:pPr>
          </w:p>
        </w:tc>
      </w:tr>
      <w:tr w:rsidR="00D45571" w:rsidRPr="00E708B9" w14:paraId="5CAE4AA1" w14:textId="77777777" w:rsidTr="00712804">
        <w:tc>
          <w:tcPr>
            <w:cnfStyle w:val="001000000000" w:firstRow="0" w:lastRow="0" w:firstColumn="1" w:lastColumn="0" w:oddVBand="0" w:evenVBand="0" w:oddHBand="0" w:evenHBand="0" w:firstRowFirstColumn="0" w:firstRowLastColumn="0" w:lastRowFirstColumn="0" w:lastRowLastColumn="0"/>
            <w:tcW w:w="2093" w:type="dxa"/>
            <w:tcBorders>
              <w:bottom w:val="nil"/>
              <w:right w:val="single" w:sz="4" w:space="0" w:color="auto"/>
            </w:tcBorders>
          </w:tcPr>
          <w:p w14:paraId="4FF59860" w14:textId="77777777" w:rsidR="00E708B9" w:rsidRPr="00E708B9" w:rsidRDefault="00E708B9" w:rsidP="00E708B9">
            <w:pPr>
              <w:spacing w:line="240" w:lineRule="auto"/>
              <w:rPr>
                <w:rFonts w:eastAsia="Calibri" w:cs="Arial"/>
                <w:bCs w:val="0"/>
                <w:color w:val="000000"/>
                <w:sz w:val="20"/>
                <w:szCs w:val="20"/>
                <w:lang w:val="en-US"/>
              </w:rPr>
            </w:pPr>
            <w:r w:rsidRPr="00E708B9">
              <w:rPr>
                <w:rFonts w:eastAsia="Calibri" w:cs="Arial"/>
                <w:bCs w:val="0"/>
                <w:color w:val="000000"/>
                <w:sz w:val="20"/>
                <w:szCs w:val="20"/>
                <w:lang w:val="en-US"/>
              </w:rPr>
              <w:t>Intrahepatic tumor expansion</w:t>
            </w:r>
          </w:p>
          <w:p w14:paraId="1BE370F8" w14:textId="77777777" w:rsidR="00D45571" w:rsidRPr="00E708B9" w:rsidRDefault="00E708B9" w:rsidP="00E708B9">
            <w:pPr>
              <w:spacing w:line="240" w:lineRule="auto"/>
              <w:rPr>
                <w:rFonts w:cs="Arial"/>
                <w:b w:val="0"/>
                <w:sz w:val="20"/>
                <w:szCs w:val="20"/>
                <w:lang w:val="en-US"/>
              </w:rPr>
            </w:pPr>
            <w:r w:rsidRPr="00E708B9">
              <w:rPr>
                <w:rFonts w:cs="Arial"/>
                <w:b w:val="0"/>
                <w:sz w:val="20"/>
                <w:szCs w:val="20"/>
                <w:lang w:val="en-US"/>
              </w:rPr>
              <w:t xml:space="preserve">(olignodular vs. </w:t>
            </w:r>
            <w:r>
              <w:rPr>
                <w:rFonts w:cs="Arial"/>
                <w:b w:val="0"/>
                <w:sz w:val="20"/>
                <w:szCs w:val="20"/>
                <w:lang w:val="en-US"/>
              </w:rPr>
              <w:t>multifocal)</w:t>
            </w:r>
          </w:p>
        </w:tc>
        <w:tc>
          <w:tcPr>
            <w:tcW w:w="992" w:type="dxa"/>
            <w:tcBorders>
              <w:left w:val="single" w:sz="4" w:space="0" w:color="auto"/>
            </w:tcBorders>
          </w:tcPr>
          <w:p w14:paraId="7F71A89D" w14:textId="77777777" w:rsidR="00D45571" w:rsidRPr="00E708B9" w:rsidRDefault="00E708B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1.51</w:t>
            </w:r>
          </w:p>
        </w:tc>
        <w:tc>
          <w:tcPr>
            <w:tcW w:w="1276" w:type="dxa"/>
          </w:tcPr>
          <w:p w14:paraId="465E9D06" w14:textId="77777777" w:rsidR="00D45571" w:rsidRPr="00E708B9"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1.05 - 2.16</w:t>
            </w:r>
          </w:p>
        </w:tc>
        <w:tc>
          <w:tcPr>
            <w:tcW w:w="1417" w:type="dxa"/>
            <w:tcBorders>
              <w:bottom w:val="nil"/>
              <w:right w:val="single" w:sz="4" w:space="0" w:color="auto"/>
            </w:tcBorders>
          </w:tcPr>
          <w:p w14:paraId="36BAD11D" w14:textId="77777777" w:rsidR="00D45571" w:rsidRPr="00E708B9" w:rsidRDefault="00E708B9" w:rsidP="00EA319A">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0.025</w:t>
            </w:r>
          </w:p>
        </w:tc>
        <w:tc>
          <w:tcPr>
            <w:tcW w:w="1418" w:type="dxa"/>
            <w:gridSpan w:val="3"/>
            <w:tcBorders>
              <w:left w:val="single" w:sz="4" w:space="0" w:color="auto"/>
            </w:tcBorders>
          </w:tcPr>
          <w:p w14:paraId="37F50886" w14:textId="77777777" w:rsidR="00D45571" w:rsidRPr="00E708B9" w:rsidRDefault="00D45571"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1561" w:type="dxa"/>
          </w:tcPr>
          <w:p w14:paraId="4E54BEFE" w14:textId="77777777" w:rsidR="00D45571" w:rsidRPr="00E708B9" w:rsidRDefault="00D45571"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990" w:type="dxa"/>
          </w:tcPr>
          <w:p w14:paraId="242FE699" w14:textId="77777777" w:rsidR="00D45571" w:rsidRPr="00E708B9" w:rsidRDefault="00D45571"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r>
      <w:tr w:rsidR="00E708B9" w:rsidRPr="00E708B9" w14:paraId="3917D8AC" w14:textId="77777777" w:rsidTr="00712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nil"/>
              <w:bottom w:val="nil"/>
              <w:right w:val="single" w:sz="4" w:space="0" w:color="auto"/>
            </w:tcBorders>
          </w:tcPr>
          <w:p w14:paraId="2571F488" w14:textId="77777777" w:rsidR="00E708B9" w:rsidRPr="005C0072" w:rsidRDefault="00E708B9" w:rsidP="00D33BC7">
            <w:pPr>
              <w:spacing w:line="240" w:lineRule="auto"/>
              <w:rPr>
                <w:rFonts w:cs="Arial"/>
                <w:b w:val="0"/>
                <w:sz w:val="20"/>
                <w:szCs w:val="20"/>
                <w:vertAlign w:val="superscript"/>
                <w:lang w:val="en-US"/>
              </w:rPr>
            </w:pPr>
            <w:r>
              <w:rPr>
                <w:rFonts w:cs="Arial"/>
                <w:sz w:val="20"/>
                <w:szCs w:val="20"/>
                <w:lang w:val="en-US"/>
              </w:rPr>
              <w:t>BCLC</w:t>
            </w:r>
            <w:r w:rsidR="005C0072">
              <w:rPr>
                <w:rFonts w:cs="Arial"/>
                <w:b w:val="0"/>
                <w:sz w:val="20"/>
                <w:szCs w:val="20"/>
                <w:vertAlign w:val="superscript"/>
                <w:lang w:val="en-US"/>
              </w:rPr>
              <w:t>4</w:t>
            </w:r>
          </w:p>
          <w:p w14:paraId="1FBECA6B" w14:textId="77777777" w:rsidR="00E708B9" w:rsidRPr="00E708B9" w:rsidRDefault="00E708B9" w:rsidP="00D33BC7">
            <w:pPr>
              <w:spacing w:line="240" w:lineRule="auto"/>
              <w:rPr>
                <w:rFonts w:cs="Arial"/>
                <w:b w:val="0"/>
                <w:sz w:val="20"/>
                <w:szCs w:val="20"/>
                <w:lang w:val="en-US"/>
              </w:rPr>
            </w:pPr>
            <w:r>
              <w:rPr>
                <w:rFonts w:cs="Arial"/>
                <w:sz w:val="20"/>
                <w:szCs w:val="20"/>
                <w:lang w:val="en-US"/>
              </w:rPr>
              <w:t xml:space="preserve">   </w:t>
            </w:r>
            <w:r w:rsidRPr="00E708B9">
              <w:rPr>
                <w:rFonts w:cs="Arial"/>
                <w:b w:val="0"/>
                <w:sz w:val="20"/>
                <w:szCs w:val="20"/>
                <w:lang w:val="en-US"/>
              </w:rPr>
              <w:t>A</w:t>
            </w:r>
          </w:p>
          <w:p w14:paraId="75682982" w14:textId="77777777" w:rsidR="00E708B9" w:rsidRPr="00E708B9" w:rsidRDefault="00E708B9" w:rsidP="00D33BC7">
            <w:pPr>
              <w:spacing w:line="240" w:lineRule="auto"/>
              <w:rPr>
                <w:rFonts w:cs="Arial"/>
                <w:b w:val="0"/>
                <w:sz w:val="20"/>
                <w:szCs w:val="20"/>
                <w:lang w:val="en-US"/>
              </w:rPr>
            </w:pPr>
            <w:r w:rsidRPr="00E708B9">
              <w:rPr>
                <w:rFonts w:cs="Arial"/>
                <w:b w:val="0"/>
                <w:sz w:val="20"/>
                <w:szCs w:val="20"/>
                <w:lang w:val="en-US"/>
              </w:rPr>
              <w:t xml:space="preserve">   B</w:t>
            </w:r>
          </w:p>
          <w:p w14:paraId="380D5ABC" w14:textId="77777777" w:rsidR="00E708B9" w:rsidRPr="00DA7956" w:rsidRDefault="00E708B9" w:rsidP="00D33BC7">
            <w:pPr>
              <w:spacing w:line="240" w:lineRule="auto"/>
              <w:rPr>
                <w:rFonts w:cs="Arial"/>
                <w:sz w:val="20"/>
                <w:szCs w:val="20"/>
                <w:lang w:val="en-US"/>
              </w:rPr>
            </w:pPr>
            <w:r w:rsidRPr="00E708B9">
              <w:rPr>
                <w:rFonts w:cs="Arial"/>
                <w:b w:val="0"/>
                <w:sz w:val="20"/>
                <w:szCs w:val="20"/>
                <w:lang w:val="en-US"/>
              </w:rPr>
              <w:t xml:space="preserve">   C</w:t>
            </w:r>
          </w:p>
        </w:tc>
        <w:tc>
          <w:tcPr>
            <w:tcW w:w="992" w:type="dxa"/>
            <w:tcBorders>
              <w:left w:val="single" w:sz="4" w:space="0" w:color="auto"/>
            </w:tcBorders>
          </w:tcPr>
          <w:p w14:paraId="735EB789" w14:textId="77777777" w:rsidR="00E708B9"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3B3E96D" w14:textId="77777777" w:rsidR="00E708B9"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w:t>
            </w:r>
          </w:p>
          <w:p w14:paraId="780EA860" w14:textId="77777777" w:rsidR="00E708B9"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1.82</w:t>
            </w:r>
          </w:p>
          <w:p w14:paraId="655E6A67" w14:textId="77777777" w:rsidR="00E708B9" w:rsidRPr="00DA7956"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3.40</w:t>
            </w:r>
          </w:p>
        </w:tc>
        <w:tc>
          <w:tcPr>
            <w:tcW w:w="1276" w:type="dxa"/>
          </w:tcPr>
          <w:p w14:paraId="7224D140"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97C6A4E"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506F51A"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0.66 - 5.06</w:t>
            </w:r>
          </w:p>
          <w:p w14:paraId="76F593D9" w14:textId="77777777" w:rsidR="00E708B9" w:rsidRPr="00DA7956"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1.23 - 9.41</w:t>
            </w:r>
          </w:p>
        </w:tc>
        <w:tc>
          <w:tcPr>
            <w:tcW w:w="1417" w:type="dxa"/>
            <w:tcBorders>
              <w:top w:val="nil"/>
              <w:bottom w:val="nil"/>
              <w:right w:val="single" w:sz="4" w:space="0" w:color="auto"/>
            </w:tcBorders>
          </w:tcPr>
          <w:p w14:paraId="4635EEE2"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E1A221B"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0.001</w:t>
            </w:r>
          </w:p>
          <w:p w14:paraId="6B9B1CA7" w14:textId="77777777" w:rsidR="00E708B9"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0.245</w:t>
            </w:r>
          </w:p>
          <w:p w14:paraId="38A7315F" w14:textId="77777777" w:rsidR="00E708B9" w:rsidRPr="00DA7956"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0.019</w:t>
            </w:r>
          </w:p>
        </w:tc>
        <w:tc>
          <w:tcPr>
            <w:tcW w:w="1418" w:type="dxa"/>
            <w:gridSpan w:val="3"/>
            <w:tcBorders>
              <w:left w:val="single" w:sz="4" w:space="0" w:color="auto"/>
            </w:tcBorders>
          </w:tcPr>
          <w:p w14:paraId="011DE959" w14:textId="77777777" w:rsidR="00E708B9" w:rsidRDefault="00E708B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738DBB05" w14:textId="77777777" w:rsidR="00E708B9" w:rsidRDefault="00E708B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w:t>
            </w:r>
          </w:p>
          <w:p w14:paraId="1F4C97CB" w14:textId="77777777" w:rsidR="00E708B9" w:rsidRDefault="0003414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1.58</w:t>
            </w:r>
          </w:p>
          <w:p w14:paraId="58681831" w14:textId="77777777" w:rsidR="00E708B9" w:rsidRPr="00DA7956" w:rsidRDefault="0003414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3.21</w:t>
            </w:r>
          </w:p>
        </w:tc>
        <w:tc>
          <w:tcPr>
            <w:tcW w:w="1561" w:type="dxa"/>
          </w:tcPr>
          <w:p w14:paraId="2C74FAA6" w14:textId="77777777" w:rsidR="00E708B9" w:rsidRDefault="00E708B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EC08CE5" w14:textId="77777777" w:rsidR="00E708B9" w:rsidRDefault="00E708B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BE9F7D2" w14:textId="77777777" w:rsidR="00E708B9" w:rsidRDefault="00E708B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0.5</w:t>
            </w:r>
            <w:r w:rsidR="00034149">
              <w:rPr>
                <w:rFonts w:cs="Arial"/>
                <w:sz w:val="20"/>
                <w:szCs w:val="20"/>
                <w:lang w:val="en-US"/>
              </w:rPr>
              <w:t>5</w:t>
            </w:r>
            <w:r>
              <w:rPr>
                <w:rFonts w:cs="Arial"/>
                <w:sz w:val="20"/>
                <w:szCs w:val="20"/>
                <w:lang w:val="en-US"/>
              </w:rPr>
              <w:t xml:space="preserve"> - 4.</w:t>
            </w:r>
            <w:r w:rsidR="00034149">
              <w:rPr>
                <w:rFonts w:cs="Arial"/>
                <w:sz w:val="20"/>
                <w:szCs w:val="20"/>
                <w:lang w:val="en-US"/>
              </w:rPr>
              <w:t>48</w:t>
            </w:r>
          </w:p>
          <w:p w14:paraId="39D509D5" w14:textId="77777777" w:rsidR="00E708B9" w:rsidRPr="00DA7956" w:rsidRDefault="00034149" w:rsidP="00E708B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1.12 - 9.22</w:t>
            </w:r>
          </w:p>
        </w:tc>
        <w:tc>
          <w:tcPr>
            <w:tcW w:w="990" w:type="dxa"/>
          </w:tcPr>
          <w:p w14:paraId="3CE7025A" w14:textId="77777777" w:rsidR="00E708B9" w:rsidRDefault="00E708B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5520599" w14:textId="77777777" w:rsidR="00E708B9" w:rsidRDefault="0003414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0.001</w:t>
            </w:r>
          </w:p>
          <w:p w14:paraId="36AD7C53" w14:textId="77777777" w:rsidR="00E708B9" w:rsidRDefault="00E708B9" w:rsidP="00B41370">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w:t>
            </w:r>
            <w:r w:rsidR="00034149">
              <w:rPr>
                <w:rFonts w:cs="Arial"/>
                <w:sz w:val="20"/>
                <w:szCs w:val="20"/>
                <w:lang w:val="en-US"/>
              </w:rPr>
              <w:t>390</w:t>
            </w:r>
          </w:p>
          <w:p w14:paraId="38874967" w14:textId="77777777" w:rsidR="00E708B9" w:rsidRPr="00DA7956" w:rsidRDefault="00E708B9" w:rsidP="0003414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w:t>
            </w:r>
            <w:r w:rsidR="00034149">
              <w:rPr>
                <w:rFonts w:cs="Arial"/>
                <w:sz w:val="20"/>
                <w:szCs w:val="20"/>
                <w:lang w:val="en-US"/>
              </w:rPr>
              <w:t>30</w:t>
            </w:r>
          </w:p>
        </w:tc>
      </w:tr>
      <w:tr w:rsidR="00E708B9" w:rsidRPr="00E708B9" w14:paraId="637BEA67" w14:textId="77777777" w:rsidTr="00712804">
        <w:tc>
          <w:tcPr>
            <w:cnfStyle w:val="001000000000" w:firstRow="0" w:lastRow="0" w:firstColumn="1" w:lastColumn="0" w:oddVBand="0" w:evenVBand="0" w:oddHBand="0" w:evenHBand="0" w:firstRowFirstColumn="0" w:firstRowLastColumn="0" w:lastRowFirstColumn="0" w:lastRowLastColumn="0"/>
            <w:tcW w:w="2093" w:type="dxa"/>
            <w:tcBorders>
              <w:top w:val="nil"/>
              <w:bottom w:val="nil"/>
              <w:right w:val="single" w:sz="4" w:space="0" w:color="auto"/>
            </w:tcBorders>
          </w:tcPr>
          <w:p w14:paraId="62E019AC" w14:textId="77777777" w:rsidR="00E708B9" w:rsidRPr="00DA7956" w:rsidRDefault="00E708B9" w:rsidP="00D33BC7">
            <w:pPr>
              <w:spacing w:line="240" w:lineRule="auto"/>
              <w:rPr>
                <w:rFonts w:cs="Arial"/>
                <w:sz w:val="20"/>
                <w:szCs w:val="20"/>
                <w:lang w:val="en-US"/>
              </w:rPr>
            </w:pPr>
            <w:r>
              <w:rPr>
                <w:rFonts w:cs="Arial"/>
                <w:sz w:val="20"/>
                <w:szCs w:val="20"/>
                <w:lang w:val="en-US"/>
              </w:rPr>
              <w:t>largest tumor diameter</w:t>
            </w:r>
          </w:p>
        </w:tc>
        <w:tc>
          <w:tcPr>
            <w:tcW w:w="992" w:type="dxa"/>
            <w:tcBorders>
              <w:left w:val="single" w:sz="4" w:space="0" w:color="auto"/>
            </w:tcBorders>
          </w:tcPr>
          <w:p w14:paraId="4A45B77F" w14:textId="77777777" w:rsidR="00E708B9" w:rsidRPr="00DA7956"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1.09</w:t>
            </w:r>
          </w:p>
        </w:tc>
        <w:tc>
          <w:tcPr>
            <w:tcW w:w="1276" w:type="dxa"/>
          </w:tcPr>
          <w:p w14:paraId="6F9D5F12" w14:textId="77777777" w:rsidR="00E708B9" w:rsidRPr="00DA7956"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1.05 - 1.14</w:t>
            </w:r>
          </w:p>
        </w:tc>
        <w:tc>
          <w:tcPr>
            <w:tcW w:w="1417" w:type="dxa"/>
            <w:tcBorders>
              <w:top w:val="nil"/>
              <w:bottom w:val="nil"/>
              <w:right w:val="single" w:sz="4" w:space="0" w:color="auto"/>
            </w:tcBorders>
          </w:tcPr>
          <w:p w14:paraId="035530E0" w14:textId="77777777" w:rsidR="00E708B9" w:rsidRPr="00DA7956"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&lt;0.001</w:t>
            </w:r>
          </w:p>
        </w:tc>
        <w:tc>
          <w:tcPr>
            <w:tcW w:w="1418" w:type="dxa"/>
            <w:gridSpan w:val="3"/>
            <w:tcBorders>
              <w:left w:val="single" w:sz="4" w:space="0" w:color="auto"/>
            </w:tcBorders>
          </w:tcPr>
          <w:p w14:paraId="7640B440" w14:textId="77777777" w:rsidR="00E708B9" w:rsidRPr="00DA7956" w:rsidRDefault="0003414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1.07</w:t>
            </w:r>
          </w:p>
        </w:tc>
        <w:tc>
          <w:tcPr>
            <w:tcW w:w="1561" w:type="dxa"/>
          </w:tcPr>
          <w:p w14:paraId="2B4FE1E8" w14:textId="77777777" w:rsidR="00E708B9" w:rsidRPr="00DA7956" w:rsidRDefault="0003414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1.02 - 1.12</w:t>
            </w:r>
          </w:p>
        </w:tc>
        <w:tc>
          <w:tcPr>
            <w:tcW w:w="990" w:type="dxa"/>
          </w:tcPr>
          <w:p w14:paraId="329A45FE" w14:textId="77777777" w:rsidR="00E708B9" w:rsidRPr="00DA7956" w:rsidRDefault="00E708B9" w:rsidP="0003414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0.00</w:t>
            </w:r>
            <w:r w:rsidR="00034149">
              <w:rPr>
                <w:rFonts w:cs="Arial"/>
                <w:sz w:val="20"/>
                <w:szCs w:val="20"/>
                <w:lang w:val="en-US"/>
              </w:rPr>
              <w:t>6</w:t>
            </w:r>
          </w:p>
        </w:tc>
      </w:tr>
      <w:tr w:rsidR="00E708B9" w:rsidRPr="00E708B9" w14:paraId="3212BC90" w14:textId="77777777" w:rsidTr="00712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nil"/>
              <w:bottom w:val="nil"/>
              <w:right w:val="single" w:sz="4" w:space="0" w:color="auto"/>
            </w:tcBorders>
          </w:tcPr>
          <w:p w14:paraId="23DC560C" w14:textId="77777777" w:rsidR="00E708B9" w:rsidRPr="005C0072" w:rsidRDefault="00E708B9" w:rsidP="0001692D">
            <w:pPr>
              <w:spacing w:line="240" w:lineRule="auto"/>
              <w:rPr>
                <w:rFonts w:cs="Arial"/>
                <w:b w:val="0"/>
                <w:sz w:val="20"/>
                <w:szCs w:val="20"/>
                <w:vertAlign w:val="superscript"/>
                <w:lang w:val="en-US"/>
              </w:rPr>
            </w:pPr>
            <w:r>
              <w:rPr>
                <w:rFonts w:cs="Arial"/>
                <w:sz w:val="20"/>
                <w:szCs w:val="20"/>
                <w:lang w:val="en-US"/>
              </w:rPr>
              <w:t>PVT</w:t>
            </w:r>
            <w:r w:rsidR="005C0072">
              <w:rPr>
                <w:rFonts w:cs="Arial"/>
                <w:b w:val="0"/>
                <w:sz w:val="20"/>
                <w:szCs w:val="20"/>
                <w:vertAlign w:val="superscript"/>
                <w:lang w:val="en-US"/>
              </w:rPr>
              <w:t>5</w:t>
            </w:r>
          </w:p>
        </w:tc>
        <w:tc>
          <w:tcPr>
            <w:tcW w:w="992" w:type="dxa"/>
            <w:tcBorders>
              <w:left w:val="single" w:sz="4" w:space="0" w:color="auto"/>
            </w:tcBorders>
          </w:tcPr>
          <w:p w14:paraId="56DDE206" w14:textId="77777777" w:rsidR="00E708B9" w:rsidRPr="00DA7956"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1.77</w:t>
            </w:r>
          </w:p>
        </w:tc>
        <w:tc>
          <w:tcPr>
            <w:tcW w:w="1276" w:type="dxa"/>
          </w:tcPr>
          <w:p w14:paraId="1934EDF4" w14:textId="77777777" w:rsidR="00E708B9" w:rsidRPr="00DA7956"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1.18 - 2.65</w:t>
            </w:r>
          </w:p>
        </w:tc>
        <w:tc>
          <w:tcPr>
            <w:tcW w:w="1417" w:type="dxa"/>
            <w:tcBorders>
              <w:top w:val="nil"/>
              <w:bottom w:val="nil"/>
              <w:right w:val="single" w:sz="4" w:space="0" w:color="auto"/>
            </w:tcBorders>
          </w:tcPr>
          <w:p w14:paraId="1E996117" w14:textId="77777777" w:rsidR="00E708B9" w:rsidRPr="00DA7956"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0.006</w:t>
            </w:r>
          </w:p>
        </w:tc>
        <w:tc>
          <w:tcPr>
            <w:tcW w:w="1418" w:type="dxa"/>
            <w:gridSpan w:val="3"/>
            <w:tcBorders>
              <w:left w:val="single" w:sz="4" w:space="0" w:color="auto"/>
            </w:tcBorders>
          </w:tcPr>
          <w:p w14:paraId="7D2E72B6" w14:textId="77777777" w:rsidR="00E708B9" w:rsidRPr="00DA7956"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c>
          <w:tcPr>
            <w:tcW w:w="1561" w:type="dxa"/>
          </w:tcPr>
          <w:p w14:paraId="79F3BBA1" w14:textId="77777777" w:rsidR="00E708B9" w:rsidRPr="00DA7956"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c>
          <w:tcPr>
            <w:tcW w:w="990" w:type="dxa"/>
          </w:tcPr>
          <w:p w14:paraId="16721816" w14:textId="77777777" w:rsidR="00E708B9" w:rsidRPr="00DA7956"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r>
      <w:tr w:rsidR="00E708B9" w:rsidRPr="00E708B9" w14:paraId="00027126" w14:textId="77777777" w:rsidTr="00DA7956">
        <w:tc>
          <w:tcPr>
            <w:cnfStyle w:val="001000000000" w:firstRow="0" w:lastRow="0" w:firstColumn="1" w:lastColumn="0" w:oddVBand="0" w:evenVBand="0" w:oddHBand="0" w:evenHBand="0" w:firstRowFirstColumn="0" w:firstRowLastColumn="0" w:lastRowFirstColumn="0" w:lastRowLastColumn="0"/>
            <w:tcW w:w="2093" w:type="dxa"/>
            <w:tcBorders>
              <w:top w:val="nil"/>
              <w:bottom w:val="nil"/>
              <w:right w:val="single" w:sz="4" w:space="0" w:color="auto"/>
            </w:tcBorders>
          </w:tcPr>
          <w:p w14:paraId="13D8BF79" w14:textId="77777777" w:rsidR="00E708B9" w:rsidRPr="00DA7956" w:rsidRDefault="00E708B9" w:rsidP="00D33BC7">
            <w:pPr>
              <w:spacing w:line="240" w:lineRule="auto"/>
              <w:rPr>
                <w:rFonts w:cs="Arial"/>
                <w:sz w:val="20"/>
                <w:szCs w:val="20"/>
                <w:lang w:val="en-US"/>
              </w:rPr>
            </w:pPr>
            <w:r>
              <w:rPr>
                <w:rFonts w:cs="Arial"/>
                <w:sz w:val="20"/>
                <w:szCs w:val="20"/>
                <w:lang w:val="en-US"/>
              </w:rPr>
              <w:t>extrahepatic metastases</w:t>
            </w:r>
          </w:p>
        </w:tc>
        <w:tc>
          <w:tcPr>
            <w:tcW w:w="992" w:type="dxa"/>
            <w:tcBorders>
              <w:left w:val="single" w:sz="4" w:space="0" w:color="auto"/>
              <w:bottom w:val="nil"/>
            </w:tcBorders>
          </w:tcPr>
          <w:p w14:paraId="7D3652A7" w14:textId="77777777" w:rsidR="00E708B9" w:rsidRPr="00DA7956"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1.26</w:t>
            </w:r>
          </w:p>
        </w:tc>
        <w:tc>
          <w:tcPr>
            <w:tcW w:w="1276" w:type="dxa"/>
            <w:tcBorders>
              <w:bottom w:val="nil"/>
            </w:tcBorders>
          </w:tcPr>
          <w:p w14:paraId="280DDEBC" w14:textId="77777777" w:rsidR="00E708B9" w:rsidRPr="00DA7956"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0.84 - 1.90</w:t>
            </w:r>
          </w:p>
        </w:tc>
        <w:tc>
          <w:tcPr>
            <w:tcW w:w="1417" w:type="dxa"/>
            <w:tcBorders>
              <w:top w:val="nil"/>
              <w:bottom w:val="nil"/>
              <w:right w:val="single" w:sz="4" w:space="0" w:color="auto"/>
            </w:tcBorders>
          </w:tcPr>
          <w:p w14:paraId="372694C2" w14:textId="77777777" w:rsidR="00E708B9" w:rsidRPr="00DA7956" w:rsidRDefault="00E708B9" w:rsidP="00D33BC7">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0.264</w:t>
            </w:r>
          </w:p>
        </w:tc>
        <w:tc>
          <w:tcPr>
            <w:tcW w:w="1418" w:type="dxa"/>
            <w:gridSpan w:val="3"/>
            <w:tcBorders>
              <w:left w:val="single" w:sz="4" w:space="0" w:color="auto"/>
              <w:bottom w:val="nil"/>
            </w:tcBorders>
          </w:tcPr>
          <w:p w14:paraId="5E25B4BC" w14:textId="77777777" w:rsidR="00E708B9" w:rsidRPr="00DA7956" w:rsidRDefault="00E708B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1561" w:type="dxa"/>
            <w:tcBorders>
              <w:bottom w:val="nil"/>
            </w:tcBorders>
          </w:tcPr>
          <w:p w14:paraId="67937D77" w14:textId="77777777" w:rsidR="00E708B9" w:rsidRPr="00DA7956" w:rsidRDefault="00E708B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990" w:type="dxa"/>
            <w:tcBorders>
              <w:bottom w:val="nil"/>
            </w:tcBorders>
          </w:tcPr>
          <w:p w14:paraId="20413106" w14:textId="77777777" w:rsidR="00E708B9" w:rsidRPr="00DA7956" w:rsidRDefault="00E708B9" w:rsidP="003A1334">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r>
      <w:tr w:rsidR="00E708B9" w:rsidRPr="00E708B9" w14:paraId="427E27C0" w14:textId="77777777" w:rsidTr="00DA79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nil"/>
              <w:bottom w:val="single" w:sz="4" w:space="0" w:color="auto"/>
              <w:right w:val="single" w:sz="4" w:space="0" w:color="auto"/>
            </w:tcBorders>
          </w:tcPr>
          <w:p w14:paraId="78BB7A98" w14:textId="77777777" w:rsidR="00E708B9" w:rsidRPr="00DA7956" w:rsidRDefault="00E708B9" w:rsidP="00E708B9">
            <w:pPr>
              <w:spacing w:line="240" w:lineRule="auto"/>
              <w:rPr>
                <w:rFonts w:cs="Arial"/>
                <w:sz w:val="20"/>
                <w:szCs w:val="20"/>
                <w:lang w:val="en-US"/>
              </w:rPr>
            </w:pPr>
            <w:r>
              <w:rPr>
                <w:rFonts w:cs="Arial"/>
                <w:sz w:val="20"/>
                <w:szCs w:val="20"/>
                <w:lang w:val="en-US"/>
              </w:rPr>
              <w:t xml:space="preserve">Treatment </w:t>
            </w:r>
            <w:r w:rsidRPr="00E708B9">
              <w:rPr>
                <w:rFonts w:cs="Arial"/>
                <w:b w:val="0"/>
                <w:sz w:val="20"/>
                <w:szCs w:val="20"/>
                <w:lang w:val="en-US"/>
              </w:rPr>
              <w:t>(Sorafenib vs. SBRT</w:t>
            </w:r>
            <w:r w:rsidR="005C0072">
              <w:rPr>
                <w:rFonts w:cs="Arial"/>
                <w:b w:val="0"/>
                <w:sz w:val="20"/>
                <w:szCs w:val="20"/>
                <w:vertAlign w:val="superscript"/>
                <w:lang w:val="en-US"/>
              </w:rPr>
              <w:t>6</w:t>
            </w:r>
            <w:r w:rsidRPr="00E708B9">
              <w:rPr>
                <w:rFonts w:cs="Arial"/>
                <w:b w:val="0"/>
                <w:sz w:val="20"/>
                <w:szCs w:val="20"/>
                <w:lang w:val="en-US"/>
              </w:rPr>
              <w:t>)</w:t>
            </w:r>
          </w:p>
        </w:tc>
        <w:tc>
          <w:tcPr>
            <w:tcW w:w="992" w:type="dxa"/>
            <w:tcBorders>
              <w:top w:val="nil"/>
              <w:left w:val="single" w:sz="4" w:space="0" w:color="auto"/>
              <w:bottom w:val="single" w:sz="4" w:space="0" w:color="auto"/>
            </w:tcBorders>
          </w:tcPr>
          <w:p w14:paraId="4B5B1779" w14:textId="77777777" w:rsidR="00E708B9" w:rsidRPr="00DA7956" w:rsidRDefault="00E708B9" w:rsidP="003A1334">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0.57</w:t>
            </w:r>
          </w:p>
        </w:tc>
        <w:tc>
          <w:tcPr>
            <w:tcW w:w="1276" w:type="dxa"/>
            <w:tcBorders>
              <w:top w:val="nil"/>
              <w:bottom w:val="single" w:sz="4" w:space="0" w:color="auto"/>
            </w:tcBorders>
          </w:tcPr>
          <w:p w14:paraId="00A06722" w14:textId="77777777" w:rsidR="00E708B9" w:rsidRPr="00DA7956" w:rsidRDefault="00E708B9" w:rsidP="00D33BC7">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0.40 - 0.81</w:t>
            </w:r>
          </w:p>
        </w:tc>
        <w:tc>
          <w:tcPr>
            <w:tcW w:w="1417" w:type="dxa"/>
            <w:tcBorders>
              <w:top w:val="nil"/>
              <w:bottom w:val="single" w:sz="4" w:space="0" w:color="auto"/>
              <w:right w:val="single" w:sz="4" w:space="0" w:color="auto"/>
            </w:tcBorders>
          </w:tcPr>
          <w:p w14:paraId="24A14597" w14:textId="77777777" w:rsidR="00E708B9" w:rsidRPr="00DA7956" w:rsidRDefault="00E708B9" w:rsidP="00EA319A">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0.002</w:t>
            </w:r>
          </w:p>
        </w:tc>
        <w:tc>
          <w:tcPr>
            <w:tcW w:w="1418" w:type="dxa"/>
            <w:gridSpan w:val="3"/>
            <w:tcBorders>
              <w:top w:val="nil"/>
              <w:left w:val="single" w:sz="4" w:space="0" w:color="auto"/>
              <w:bottom w:val="single" w:sz="4" w:space="0" w:color="auto"/>
            </w:tcBorders>
          </w:tcPr>
          <w:p w14:paraId="59F77B36" w14:textId="77777777" w:rsidR="00E708B9" w:rsidRPr="00DA7956" w:rsidRDefault="00E708B9" w:rsidP="0003414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0.5</w:t>
            </w:r>
            <w:r w:rsidR="00034149">
              <w:rPr>
                <w:rFonts w:cs="Arial"/>
                <w:sz w:val="20"/>
                <w:szCs w:val="20"/>
                <w:lang w:val="en-US"/>
              </w:rPr>
              <w:t>3</w:t>
            </w:r>
          </w:p>
        </w:tc>
        <w:tc>
          <w:tcPr>
            <w:tcW w:w="1561" w:type="dxa"/>
            <w:tcBorders>
              <w:top w:val="nil"/>
              <w:bottom w:val="single" w:sz="4" w:space="0" w:color="auto"/>
            </w:tcBorders>
          </w:tcPr>
          <w:p w14:paraId="063EA54B" w14:textId="77777777" w:rsidR="00E708B9" w:rsidRPr="00DA7956" w:rsidRDefault="00E708B9" w:rsidP="0003414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0.3</w:t>
            </w:r>
            <w:r w:rsidR="00034149">
              <w:rPr>
                <w:rFonts w:cs="Arial"/>
                <w:sz w:val="20"/>
                <w:szCs w:val="20"/>
                <w:lang w:val="en-US"/>
              </w:rPr>
              <w:t>6</w:t>
            </w:r>
            <w:r>
              <w:rPr>
                <w:rFonts w:cs="Arial"/>
                <w:sz w:val="20"/>
                <w:szCs w:val="20"/>
                <w:lang w:val="en-US"/>
              </w:rPr>
              <w:t xml:space="preserve"> - 0.7</w:t>
            </w:r>
            <w:r w:rsidR="00034149">
              <w:rPr>
                <w:rFonts w:cs="Arial"/>
                <w:sz w:val="20"/>
                <w:szCs w:val="20"/>
                <w:lang w:val="en-US"/>
              </w:rPr>
              <w:t>7</w:t>
            </w:r>
          </w:p>
        </w:tc>
        <w:tc>
          <w:tcPr>
            <w:tcW w:w="990" w:type="dxa"/>
            <w:tcBorders>
              <w:top w:val="nil"/>
              <w:bottom w:val="single" w:sz="4" w:space="0" w:color="auto"/>
            </w:tcBorders>
          </w:tcPr>
          <w:p w14:paraId="2C57E1CC" w14:textId="77777777" w:rsidR="00E708B9" w:rsidRPr="00DA7956" w:rsidRDefault="00E708B9" w:rsidP="009C75DB">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0.001</w:t>
            </w:r>
          </w:p>
        </w:tc>
      </w:tr>
    </w:tbl>
    <w:p w14:paraId="7CC7C604" w14:textId="77777777" w:rsidR="00D33BC7" w:rsidRDefault="00D33BC7" w:rsidP="00DA7956">
      <w:pPr>
        <w:spacing w:line="480" w:lineRule="auto"/>
        <w:jc w:val="both"/>
        <w:rPr>
          <w:rFonts w:cs="Arial"/>
          <w:b/>
          <w:sz w:val="24"/>
          <w:szCs w:val="24"/>
          <w:u w:val="single"/>
          <w:lang w:val="en-US"/>
        </w:rPr>
      </w:pPr>
    </w:p>
    <w:p w14:paraId="17047C6B" w14:textId="77777777" w:rsidR="00F749BD" w:rsidRPr="000146E7" w:rsidRDefault="004C0C56" w:rsidP="00B41370">
      <w:pPr>
        <w:spacing w:line="240" w:lineRule="auto"/>
        <w:jc w:val="both"/>
        <w:rPr>
          <w:rFonts w:cs="Arial"/>
          <w:b/>
          <w:sz w:val="24"/>
          <w:szCs w:val="24"/>
          <w:highlight w:val="yellow"/>
          <w:lang w:val="en-US"/>
        </w:rPr>
      </w:pPr>
      <w:r w:rsidRPr="004C0C56">
        <w:rPr>
          <w:rFonts w:cs="Arial"/>
          <w:b/>
          <w:sz w:val="24"/>
          <w:szCs w:val="24"/>
          <w:u w:val="single"/>
          <w:lang w:val="en-US"/>
        </w:rPr>
        <w:t xml:space="preserve">Table </w:t>
      </w:r>
      <w:r w:rsidR="005C0072">
        <w:rPr>
          <w:rFonts w:cs="Arial"/>
          <w:b/>
          <w:sz w:val="24"/>
          <w:szCs w:val="24"/>
          <w:u w:val="single"/>
          <w:lang w:val="en-US"/>
        </w:rPr>
        <w:t>4</w:t>
      </w:r>
      <w:r w:rsidRPr="004C0C56">
        <w:rPr>
          <w:rFonts w:cs="Arial"/>
          <w:b/>
          <w:sz w:val="24"/>
          <w:szCs w:val="24"/>
          <w:u w:val="single"/>
          <w:lang w:val="en-US"/>
        </w:rPr>
        <w:t>:</w:t>
      </w:r>
      <w:r>
        <w:rPr>
          <w:rFonts w:cs="Arial"/>
          <w:b/>
          <w:sz w:val="24"/>
          <w:szCs w:val="24"/>
          <w:lang w:val="en-US"/>
        </w:rPr>
        <w:t xml:space="preserve"> </w:t>
      </w:r>
      <w:r w:rsidR="00650123" w:rsidRPr="00DA7956">
        <w:rPr>
          <w:rFonts w:cs="Arial"/>
          <w:b/>
          <w:sz w:val="24"/>
          <w:szCs w:val="24"/>
          <w:lang w:val="en-US"/>
        </w:rPr>
        <w:t>U</w:t>
      </w:r>
      <w:r w:rsidR="00E708B9">
        <w:rPr>
          <w:rFonts w:cs="Arial"/>
          <w:b/>
          <w:sz w:val="24"/>
          <w:szCs w:val="24"/>
          <w:lang w:val="en-US"/>
        </w:rPr>
        <w:t>nivariabl</w:t>
      </w:r>
      <w:r w:rsidR="00650123" w:rsidRPr="00DA7956">
        <w:rPr>
          <w:rFonts w:cs="Arial"/>
          <w:b/>
          <w:sz w:val="24"/>
          <w:szCs w:val="24"/>
          <w:lang w:val="en-US"/>
        </w:rPr>
        <w:t>e</w:t>
      </w:r>
      <w:r w:rsidR="00E708B9">
        <w:rPr>
          <w:rFonts w:cs="Arial"/>
          <w:b/>
          <w:sz w:val="24"/>
          <w:szCs w:val="24"/>
          <w:lang w:val="en-US"/>
        </w:rPr>
        <w:t xml:space="preserve"> and multivariabl</w:t>
      </w:r>
      <w:r w:rsidR="00DA7956" w:rsidRPr="00DA7956">
        <w:rPr>
          <w:rFonts w:cs="Arial"/>
          <w:b/>
          <w:sz w:val="24"/>
          <w:szCs w:val="24"/>
          <w:lang w:val="en-US"/>
        </w:rPr>
        <w:t>e Cox regression model</w:t>
      </w:r>
      <w:r w:rsidR="00650123" w:rsidRPr="00DA7956">
        <w:rPr>
          <w:rFonts w:cs="Arial"/>
          <w:b/>
          <w:sz w:val="24"/>
          <w:szCs w:val="24"/>
          <w:lang w:val="en-US"/>
        </w:rPr>
        <w:t xml:space="preserve"> </w:t>
      </w:r>
      <w:r w:rsidR="00DA7956" w:rsidRPr="00DA7956">
        <w:rPr>
          <w:rFonts w:cs="Arial"/>
          <w:b/>
          <w:sz w:val="24"/>
          <w:szCs w:val="24"/>
          <w:lang w:val="en-US"/>
        </w:rPr>
        <w:t>in the matched cohort of patients</w:t>
      </w:r>
      <w:r w:rsidR="00DA7956">
        <w:rPr>
          <w:rFonts w:cs="Arial"/>
          <w:sz w:val="24"/>
          <w:szCs w:val="24"/>
          <w:lang w:val="en-US"/>
        </w:rPr>
        <w:t xml:space="preserve">. </w:t>
      </w:r>
    </w:p>
    <w:p w14:paraId="2225DD2E" w14:textId="77777777" w:rsidR="00F749BD" w:rsidRDefault="007B19C5" w:rsidP="007B19C5">
      <w:pPr>
        <w:spacing w:line="240" w:lineRule="auto"/>
        <w:jc w:val="both"/>
        <w:rPr>
          <w:rFonts w:cs="Arial"/>
          <w:b/>
          <w:sz w:val="24"/>
          <w:szCs w:val="24"/>
          <w:highlight w:val="yellow"/>
          <w:lang w:val="en-US"/>
        </w:rPr>
      </w:pPr>
      <w:r w:rsidRPr="001C500B">
        <w:rPr>
          <w:rFonts w:cs="Arial"/>
          <w:lang w:val="en-US"/>
        </w:rPr>
        <w:t>Abbreviations</w:t>
      </w:r>
      <w:r>
        <w:rPr>
          <w:rFonts w:cs="Arial"/>
          <w:lang w:val="en-US"/>
        </w:rPr>
        <w:t xml:space="preserve">: </w:t>
      </w:r>
      <w:r w:rsidRPr="007B19C5">
        <w:rPr>
          <w:rFonts w:cs="Arial"/>
          <w:vertAlign w:val="superscript"/>
          <w:lang w:val="en-US"/>
        </w:rPr>
        <w:t>1</w:t>
      </w:r>
      <w:r>
        <w:rPr>
          <w:rFonts w:cs="Arial"/>
          <w:lang w:val="en-US"/>
        </w:rPr>
        <w:t xml:space="preserve">HR, hazard ratio; </w:t>
      </w:r>
      <w:r>
        <w:rPr>
          <w:rFonts w:cs="Arial"/>
          <w:vertAlign w:val="superscript"/>
          <w:lang w:val="en-US"/>
        </w:rPr>
        <w:t>2</w:t>
      </w:r>
      <w:r>
        <w:rPr>
          <w:rFonts w:cs="Arial"/>
          <w:lang w:val="en-US"/>
        </w:rPr>
        <w:t>95%CI, 95% confidence interval;</w:t>
      </w:r>
      <w:r w:rsidRPr="005C0072">
        <w:rPr>
          <w:rFonts w:cs="Arial"/>
          <w:lang w:val="en-US"/>
        </w:rPr>
        <w:t xml:space="preserve"> </w:t>
      </w:r>
      <w:r w:rsidR="005C0072">
        <w:rPr>
          <w:rFonts w:cs="Arial"/>
          <w:vertAlign w:val="superscript"/>
          <w:lang w:val="en-US"/>
        </w:rPr>
        <w:t>3</w:t>
      </w:r>
      <w:r w:rsidR="005C0072" w:rsidRPr="005C0072">
        <w:rPr>
          <w:rFonts w:cs="Arial"/>
          <w:lang w:val="en-US"/>
        </w:rPr>
        <w:t>TACE, transarterial</w:t>
      </w:r>
      <w:r w:rsidR="005C0072">
        <w:rPr>
          <w:rFonts w:cs="Arial"/>
          <w:lang w:val="en-US"/>
        </w:rPr>
        <w:t xml:space="preserve"> </w:t>
      </w:r>
      <w:r w:rsidR="005C0072" w:rsidRPr="005C0072">
        <w:rPr>
          <w:rFonts w:cs="Arial"/>
          <w:lang w:val="en-US"/>
        </w:rPr>
        <w:t>chemoembolisation</w:t>
      </w:r>
      <w:r w:rsidRPr="001C500B">
        <w:rPr>
          <w:rStyle w:val="Emphasis"/>
          <w:i w:val="0"/>
          <w:lang w:val="en-US"/>
        </w:rPr>
        <w:t xml:space="preserve">; </w:t>
      </w:r>
      <w:r>
        <w:rPr>
          <w:rStyle w:val="Emphasis"/>
          <w:i w:val="0"/>
          <w:vertAlign w:val="superscript"/>
          <w:lang w:val="en-US"/>
        </w:rPr>
        <w:t>4</w:t>
      </w:r>
      <w:r w:rsidRPr="001C500B">
        <w:rPr>
          <w:rStyle w:val="Emphasis"/>
          <w:i w:val="0"/>
          <w:lang w:val="en-US"/>
        </w:rPr>
        <w:t>BCLC, Barcelona Clinic Liver Cancer</w:t>
      </w:r>
      <w:r>
        <w:rPr>
          <w:rStyle w:val="Emphasis"/>
          <w:i w:val="0"/>
          <w:lang w:val="en-US"/>
        </w:rPr>
        <w:t xml:space="preserve">; </w:t>
      </w:r>
      <w:r w:rsidRPr="005C0072">
        <w:rPr>
          <w:rStyle w:val="Emphasis"/>
          <w:i w:val="0"/>
          <w:vertAlign w:val="superscript"/>
          <w:lang w:val="en-US"/>
        </w:rPr>
        <w:t>5</w:t>
      </w:r>
      <w:r w:rsidR="005C0072">
        <w:rPr>
          <w:rStyle w:val="Emphasis"/>
          <w:i w:val="0"/>
          <w:lang w:val="en-US"/>
        </w:rPr>
        <w:t xml:space="preserve">PVT, portal vein thrombosis, </w:t>
      </w:r>
      <w:r w:rsidR="005C0072">
        <w:rPr>
          <w:rStyle w:val="Emphasis"/>
          <w:i w:val="0"/>
          <w:vertAlign w:val="superscript"/>
          <w:lang w:val="en-US"/>
        </w:rPr>
        <w:t>6</w:t>
      </w:r>
      <w:r w:rsidRPr="005C0072">
        <w:rPr>
          <w:rStyle w:val="Emphasis"/>
          <w:i w:val="0"/>
          <w:lang w:val="en-US"/>
        </w:rPr>
        <w:t>SBRT</w:t>
      </w:r>
      <w:r>
        <w:rPr>
          <w:rStyle w:val="Emphasis"/>
          <w:i w:val="0"/>
          <w:lang w:val="en-US"/>
        </w:rPr>
        <w:t xml:space="preserve">, stereotactic body radiation therapy, </w:t>
      </w:r>
    </w:p>
    <w:p w14:paraId="21A2EC0E" w14:textId="77777777" w:rsidR="00D33BC7" w:rsidRDefault="00D33BC7" w:rsidP="00CC017D">
      <w:pPr>
        <w:spacing w:line="240" w:lineRule="auto"/>
        <w:rPr>
          <w:rFonts w:cs="Arial"/>
          <w:b/>
          <w:sz w:val="24"/>
          <w:szCs w:val="24"/>
          <w:highlight w:val="yellow"/>
          <w:lang w:val="en-US"/>
        </w:rPr>
      </w:pPr>
    </w:p>
    <w:p w14:paraId="02468D5C" w14:textId="77777777" w:rsidR="00D33BC7" w:rsidRDefault="00D33BC7" w:rsidP="00CC017D">
      <w:pPr>
        <w:spacing w:line="240" w:lineRule="auto"/>
        <w:rPr>
          <w:rFonts w:cs="Arial"/>
          <w:b/>
          <w:sz w:val="24"/>
          <w:szCs w:val="24"/>
          <w:highlight w:val="yellow"/>
          <w:lang w:val="en-US"/>
        </w:rPr>
      </w:pPr>
    </w:p>
    <w:p w14:paraId="67A9C5B5" w14:textId="77777777" w:rsidR="00D33BC7" w:rsidRDefault="00D33BC7" w:rsidP="00CC017D">
      <w:pPr>
        <w:spacing w:line="240" w:lineRule="auto"/>
        <w:rPr>
          <w:rFonts w:cs="Arial"/>
          <w:b/>
          <w:sz w:val="24"/>
          <w:szCs w:val="24"/>
          <w:highlight w:val="yellow"/>
          <w:lang w:val="en-US"/>
        </w:rPr>
      </w:pPr>
    </w:p>
    <w:p w14:paraId="77128EF0" w14:textId="77777777" w:rsidR="00D33BC7" w:rsidRDefault="00D33BC7" w:rsidP="00CC017D">
      <w:pPr>
        <w:spacing w:line="240" w:lineRule="auto"/>
        <w:rPr>
          <w:rFonts w:cs="Arial"/>
          <w:b/>
          <w:sz w:val="24"/>
          <w:szCs w:val="24"/>
          <w:highlight w:val="yellow"/>
          <w:lang w:val="en-US"/>
        </w:rPr>
      </w:pPr>
    </w:p>
    <w:p w14:paraId="1E028A65" w14:textId="77777777" w:rsidR="00D33BC7" w:rsidRDefault="00D33BC7" w:rsidP="00CC017D">
      <w:pPr>
        <w:spacing w:line="240" w:lineRule="auto"/>
        <w:rPr>
          <w:rFonts w:cs="Arial"/>
          <w:b/>
          <w:sz w:val="24"/>
          <w:szCs w:val="24"/>
          <w:highlight w:val="yellow"/>
          <w:lang w:val="en-US"/>
        </w:rPr>
      </w:pPr>
    </w:p>
    <w:p w14:paraId="62840C3F" w14:textId="77777777" w:rsidR="00D33BC7" w:rsidRDefault="00D33BC7" w:rsidP="00CC017D">
      <w:pPr>
        <w:spacing w:line="240" w:lineRule="auto"/>
        <w:rPr>
          <w:rFonts w:cs="Arial"/>
          <w:b/>
          <w:sz w:val="24"/>
          <w:szCs w:val="24"/>
          <w:highlight w:val="yellow"/>
          <w:lang w:val="en-US"/>
        </w:rPr>
      </w:pPr>
    </w:p>
    <w:p w14:paraId="7ED6B8A1" w14:textId="77777777" w:rsidR="00B41370" w:rsidRDefault="00B41370" w:rsidP="00CC017D">
      <w:pPr>
        <w:spacing w:line="240" w:lineRule="auto"/>
        <w:rPr>
          <w:rFonts w:cs="Arial"/>
          <w:b/>
          <w:sz w:val="24"/>
          <w:szCs w:val="24"/>
          <w:highlight w:val="yellow"/>
          <w:lang w:val="en-US"/>
        </w:rPr>
      </w:pPr>
    </w:p>
    <w:p w14:paraId="0E760056" w14:textId="77777777" w:rsidR="00B41370" w:rsidRDefault="00B41370" w:rsidP="00CC017D">
      <w:pPr>
        <w:spacing w:line="240" w:lineRule="auto"/>
        <w:rPr>
          <w:rFonts w:cs="Arial"/>
          <w:b/>
          <w:sz w:val="24"/>
          <w:szCs w:val="24"/>
          <w:highlight w:val="yellow"/>
          <w:lang w:val="en-US"/>
        </w:rPr>
      </w:pPr>
    </w:p>
    <w:p w14:paraId="5FF7A2DB" w14:textId="77777777" w:rsidR="00B41370" w:rsidRDefault="00B41370" w:rsidP="00CC017D">
      <w:pPr>
        <w:spacing w:line="240" w:lineRule="auto"/>
        <w:rPr>
          <w:rFonts w:cs="Arial"/>
          <w:b/>
          <w:sz w:val="24"/>
          <w:szCs w:val="24"/>
          <w:highlight w:val="yellow"/>
          <w:lang w:val="en-US"/>
        </w:rPr>
      </w:pPr>
    </w:p>
    <w:p w14:paraId="3A2F8D91" w14:textId="77777777" w:rsidR="00B41370" w:rsidRDefault="00B41370" w:rsidP="00CC017D">
      <w:pPr>
        <w:spacing w:line="240" w:lineRule="auto"/>
        <w:rPr>
          <w:rFonts w:cs="Arial"/>
          <w:b/>
          <w:sz w:val="24"/>
          <w:szCs w:val="24"/>
          <w:highlight w:val="yellow"/>
          <w:lang w:val="en-US"/>
        </w:rPr>
      </w:pPr>
    </w:p>
    <w:p w14:paraId="4D56BDA1" w14:textId="77777777" w:rsidR="007704A3" w:rsidRDefault="007704A3" w:rsidP="00CC017D">
      <w:pPr>
        <w:spacing w:line="240" w:lineRule="auto"/>
        <w:rPr>
          <w:rFonts w:cs="Arial"/>
          <w:b/>
          <w:sz w:val="24"/>
          <w:szCs w:val="24"/>
          <w:highlight w:val="yellow"/>
          <w:lang w:val="en-US"/>
        </w:rPr>
      </w:pPr>
    </w:p>
    <w:p w14:paraId="13B5AE0C" w14:textId="77777777" w:rsidR="00CC017D" w:rsidRPr="000A5187" w:rsidRDefault="00CC017D" w:rsidP="00CC017D">
      <w:pPr>
        <w:spacing w:line="240" w:lineRule="auto"/>
        <w:rPr>
          <w:rFonts w:cs="Arial"/>
          <w:b/>
          <w:sz w:val="24"/>
          <w:szCs w:val="24"/>
          <w:lang w:val="en-US"/>
        </w:rPr>
      </w:pPr>
      <w:r w:rsidRPr="000A5187">
        <w:rPr>
          <w:rFonts w:cs="Arial"/>
          <w:b/>
          <w:sz w:val="24"/>
          <w:szCs w:val="24"/>
          <w:lang w:val="en-US"/>
        </w:rPr>
        <w:t>Figure legends</w:t>
      </w:r>
    </w:p>
    <w:p w14:paraId="3BE2ACB2" w14:textId="77777777" w:rsidR="00CC017D" w:rsidRDefault="00CC017D" w:rsidP="00CC017D">
      <w:pPr>
        <w:spacing w:line="480" w:lineRule="auto"/>
        <w:rPr>
          <w:rFonts w:cs="Arial"/>
          <w:b/>
          <w:sz w:val="24"/>
          <w:szCs w:val="24"/>
          <w:lang w:val="en-US"/>
        </w:rPr>
      </w:pPr>
      <w:r w:rsidRPr="000A5187">
        <w:rPr>
          <w:rFonts w:cs="Arial"/>
          <w:b/>
          <w:sz w:val="24"/>
          <w:szCs w:val="24"/>
          <w:lang w:val="en-US"/>
        </w:rPr>
        <w:t>Figure 1</w:t>
      </w:r>
    </w:p>
    <w:p w14:paraId="0207F432" w14:textId="77777777" w:rsidR="00E63529" w:rsidRPr="00E63529" w:rsidRDefault="00E63529" w:rsidP="00E63529">
      <w:pPr>
        <w:spacing w:line="480" w:lineRule="auto"/>
        <w:jc w:val="both"/>
        <w:rPr>
          <w:rFonts w:cs="Arial"/>
          <w:sz w:val="24"/>
          <w:szCs w:val="24"/>
          <w:lang w:val="en-US"/>
        </w:rPr>
      </w:pPr>
      <w:r>
        <w:rPr>
          <w:rFonts w:cs="Arial"/>
          <w:sz w:val="24"/>
          <w:szCs w:val="24"/>
          <w:lang w:val="en-US"/>
        </w:rPr>
        <w:t xml:space="preserve">Patients treated with SBRT had significantly improved overall survival </w:t>
      </w:r>
      <w:r w:rsidR="00B65A26">
        <w:rPr>
          <w:rFonts w:cs="Arial"/>
          <w:sz w:val="24"/>
          <w:szCs w:val="24"/>
          <w:lang w:val="en-US"/>
        </w:rPr>
        <w:t xml:space="preserve">compared to patients treated with sorafenib </w:t>
      </w:r>
      <w:r>
        <w:rPr>
          <w:rFonts w:cs="Arial"/>
          <w:sz w:val="24"/>
          <w:szCs w:val="24"/>
          <w:lang w:val="en-US"/>
        </w:rPr>
        <w:t xml:space="preserve">in the </w:t>
      </w:r>
      <w:r w:rsidR="00B65A26">
        <w:rPr>
          <w:rFonts w:cs="Arial"/>
          <w:sz w:val="24"/>
          <w:szCs w:val="24"/>
          <w:lang w:val="en-US"/>
        </w:rPr>
        <w:t>the matched cohort (9.6 vs. 1</w:t>
      </w:r>
      <w:r w:rsidR="003D7945">
        <w:rPr>
          <w:rFonts w:cs="Arial"/>
          <w:sz w:val="24"/>
          <w:szCs w:val="24"/>
          <w:lang w:val="en-US"/>
        </w:rPr>
        <w:t>6</w:t>
      </w:r>
      <w:r w:rsidR="00B65A26">
        <w:rPr>
          <w:rFonts w:cs="Arial"/>
          <w:sz w:val="24"/>
          <w:szCs w:val="24"/>
          <w:lang w:val="en-US"/>
        </w:rPr>
        <w:t>.0 months).</w:t>
      </w:r>
      <w:r>
        <w:rPr>
          <w:rFonts w:cs="Arial"/>
          <w:sz w:val="24"/>
          <w:szCs w:val="24"/>
          <w:lang w:val="en-US"/>
        </w:rPr>
        <w:t xml:space="preserve"> </w:t>
      </w:r>
    </w:p>
    <w:p w14:paraId="062FD93D" w14:textId="77777777" w:rsidR="00E63529" w:rsidRPr="000A5187" w:rsidRDefault="00E63529" w:rsidP="00CC017D">
      <w:pPr>
        <w:spacing w:line="480" w:lineRule="auto"/>
        <w:rPr>
          <w:rFonts w:cs="Arial"/>
          <w:b/>
          <w:sz w:val="24"/>
          <w:szCs w:val="24"/>
          <w:lang w:val="en-US"/>
        </w:rPr>
      </w:pPr>
    </w:p>
    <w:p w14:paraId="74ADC00B" w14:textId="77777777" w:rsidR="00CC017D" w:rsidRPr="000A5187" w:rsidRDefault="00CC017D" w:rsidP="00CC017D">
      <w:pPr>
        <w:spacing w:line="480" w:lineRule="auto"/>
        <w:rPr>
          <w:rFonts w:cs="Arial"/>
          <w:b/>
          <w:sz w:val="24"/>
          <w:szCs w:val="24"/>
          <w:lang w:val="en-US"/>
        </w:rPr>
      </w:pPr>
      <w:r w:rsidRPr="000A5187">
        <w:rPr>
          <w:rFonts w:cs="Arial"/>
          <w:b/>
          <w:sz w:val="24"/>
          <w:szCs w:val="24"/>
          <w:lang w:val="en-US"/>
        </w:rPr>
        <w:t>Figure 2</w:t>
      </w:r>
    </w:p>
    <w:p w14:paraId="48AD5062" w14:textId="77777777" w:rsidR="000A5187" w:rsidRPr="000A5187" w:rsidRDefault="00D91449" w:rsidP="00B65A26">
      <w:pPr>
        <w:spacing w:line="480" w:lineRule="auto"/>
        <w:jc w:val="both"/>
        <w:rPr>
          <w:rFonts w:cs="Arial"/>
          <w:sz w:val="24"/>
          <w:szCs w:val="24"/>
          <w:lang w:val="en-US"/>
        </w:rPr>
      </w:pPr>
      <w:r>
        <w:rPr>
          <w:rFonts w:cs="Arial"/>
          <w:sz w:val="24"/>
          <w:szCs w:val="24"/>
          <w:lang w:val="en-US"/>
        </w:rPr>
        <w:t xml:space="preserve">Patients with extrahepatic metastases treated with SBRT had improved overall survival compared to sorafenib treatment (A). </w:t>
      </w:r>
      <w:r w:rsidR="00B65A26">
        <w:rPr>
          <w:rFonts w:cs="Arial"/>
          <w:sz w:val="24"/>
          <w:szCs w:val="24"/>
          <w:lang w:val="en-US"/>
        </w:rPr>
        <w:t>In patients with PVT SBRT was not associated with imporved overall survival compared to sorafenib treatment (</w:t>
      </w:r>
      <w:r>
        <w:rPr>
          <w:rFonts w:cs="Arial"/>
          <w:sz w:val="24"/>
          <w:szCs w:val="24"/>
          <w:lang w:val="en-US"/>
        </w:rPr>
        <w:t>B</w:t>
      </w:r>
      <w:r w:rsidR="00B65A26">
        <w:rPr>
          <w:rFonts w:cs="Arial"/>
          <w:sz w:val="24"/>
          <w:szCs w:val="24"/>
          <w:lang w:val="en-US"/>
        </w:rPr>
        <w:t xml:space="preserve">). </w:t>
      </w:r>
    </w:p>
    <w:p w14:paraId="3BF1ADF9" w14:textId="77777777" w:rsidR="00CC017D" w:rsidRDefault="00CC017D" w:rsidP="00CC017D">
      <w:pPr>
        <w:spacing w:line="240" w:lineRule="auto"/>
        <w:rPr>
          <w:rFonts w:cs="Arial"/>
          <w:b/>
          <w:sz w:val="24"/>
          <w:szCs w:val="24"/>
          <w:lang w:val="en-US"/>
        </w:rPr>
      </w:pPr>
    </w:p>
    <w:p w14:paraId="41ABF24A" w14:textId="77777777" w:rsidR="005569CB" w:rsidRDefault="005569CB" w:rsidP="00CC017D">
      <w:pPr>
        <w:spacing w:line="240" w:lineRule="auto"/>
        <w:rPr>
          <w:rFonts w:cs="Arial"/>
          <w:b/>
          <w:sz w:val="24"/>
          <w:szCs w:val="24"/>
          <w:lang w:val="en-US"/>
        </w:rPr>
      </w:pPr>
    </w:p>
    <w:p w14:paraId="7C7AC9A3" w14:textId="77777777" w:rsidR="000B16A1" w:rsidRDefault="000B16A1" w:rsidP="00CC017D">
      <w:pPr>
        <w:spacing w:line="240" w:lineRule="auto"/>
        <w:rPr>
          <w:rFonts w:cs="Arial"/>
          <w:b/>
          <w:sz w:val="24"/>
          <w:szCs w:val="24"/>
          <w:lang w:val="en-US"/>
        </w:rPr>
      </w:pPr>
    </w:p>
    <w:p w14:paraId="0D965A5E" w14:textId="77777777" w:rsidR="000B16A1" w:rsidRDefault="000B16A1" w:rsidP="00CC017D">
      <w:pPr>
        <w:spacing w:line="240" w:lineRule="auto"/>
        <w:rPr>
          <w:rFonts w:cs="Arial"/>
          <w:b/>
          <w:sz w:val="24"/>
          <w:szCs w:val="24"/>
          <w:lang w:val="en-US"/>
        </w:rPr>
      </w:pPr>
    </w:p>
    <w:p w14:paraId="5C158E34" w14:textId="77777777" w:rsidR="000B16A1" w:rsidRDefault="000B16A1" w:rsidP="00CC017D">
      <w:pPr>
        <w:spacing w:line="240" w:lineRule="auto"/>
        <w:rPr>
          <w:rFonts w:cs="Arial"/>
          <w:b/>
          <w:sz w:val="24"/>
          <w:szCs w:val="24"/>
          <w:lang w:val="en-US"/>
        </w:rPr>
      </w:pPr>
    </w:p>
    <w:p w14:paraId="41FD5AB9" w14:textId="77777777" w:rsidR="000B16A1" w:rsidRDefault="000B16A1" w:rsidP="00CC017D">
      <w:pPr>
        <w:spacing w:line="240" w:lineRule="auto"/>
        <w:rPr>
          <w:rFonts w:cs="Arial"/>
          <w:b/>
          <w:sz w:val="24"/>
          <w:szCs w:val="24"/>
          <w:lang w:val="en-US"/>
        </w:rPr>
      </w:pPr>
    </w:p>
    <w:p w14:paraId="2F8E5262" w14:textId="77777777" w:rsidR="000B16A1" w:rsidRDefault="000B16A1" w:rsidP="00CC017D">
      <w:pPr>
        <w:spacing w:line="240" w:lineRule="auto"/>
        <w:rPr>
          <w:rFonts w:cs="Arial"/>
          <w:b/>
          <w:sz w:val="24"/>
          <w:szCs w:val="24"/>
          <w:lang w:val="en-US"/>
        </w:rPr>
      </w:pPr>
    </w:p>
    <w:p w14:paraId="01FB5804" w14:textId="77777777" w:rsidR="000B16A1" w:rsidRDefault="000B16A1" w:rsidP="00CC017D">
      <w:pPr>
        <w:spacing w:line="240" w:lineRule="auto"/>
        <w:rPr>
          <w:rFonts w:cs="Arial"/>
          <w:b/>
          <w:sz w:val="24"/>
          <w:szCs w:val="24"/>
          <w:lang w:val="en-US"/>
        </w:rPr>
      </w:pPr>
    </w:p>
    <w:p w14:paraId="226C3FD6" w14:textId="77777777" w:rsidR="000B16A1" w:rsidRDefault="000B16A1" w:rsidP="00CC017D">
      <w:pPr>
        <w:spacing w:line="240" w:lineRule="auto"/>
        <w:rPr>
          <w:rFonts w:cs="Arial"/>
          <w:b/>
          <w:sz w:val="24"/>
          <w:szCs w:val="24"/>
          <w:lang w:val="en-US"/>
        </w:rPr>
      </w:pPr>
    </w:p>
    <w:p w14:paraId="2DD9B8EE" w14:textId="77777777" w:rsidR="000B16A1" w:rsidRDefault="000B16A1" w:rsidP="00CC017D">
      <w:pPr>
        <w:spacing w:line="240" w:lineRule="auto"/>
        <w:rPr>
          <w:rFonts w:cs="Arial"/>
          <w:b/>
          <w:sz w:val="24"/>
          <w:szCs w:val="24"/>
          <w:lang w:val="en-US"/>
        </w:rPr>
      </w:pPr>
    </w:p>
    <w:p w14:paraId="1498582F" w14:textId="77777777" w:rsidR="000B16A1" w:rsidRDefault="000B16A1" w:rsidP="00CC017D">
      <w:pPr>
        <w:spacing w:line="240" w:lineRule="auto"/>
        <w:rPr>
          <w:rFonts w:cs="Arial"/>
          <w:b/>
          <w:sz w:val="24"/>
          <w:szCs w:val="24"/>
          <w:lang w:val="en-US"/>
        </w:rPr>
      </w:pPr>
    </w:p>
    <w:p w14:paraId="337BAEC2" w14:textId="77777777" w:rsidR="000B16A1" w:rsidRDefault="000B16A1" w:rsidP="00CC017D">
      <w:pPr>
        <w:spacing w:line="240" w:lineRule="auto"/>
        <w:rPr>
          <w:rFonts w:cs="Arial"/>
          <w:b/>
          <w:sz w:val="24"/>
          <w:szCs w:val="24"/>
          <w:lang w:val="en-US"/>
        </w:rPr>
      </w:pPr>
    </w:p>
    <w:p w14:paraId="2AEC1E59" w14:textId="77777777" w:rsidR="000B16A1" w:rsidRDefault="000B16A1" w:rsidP="00CC017D">
      <w:pPr>
        <w:spacing w:line="240" w:lineRule="auto"/>
        <w:rPr>
          <w:rFonts w:cs="Arial"/>
          <w:b/>
          <w:sz w:val="24"/>
          <w:szCs w:val="24"/>
          <w:lang w:val="en-US"/>
        </w:rPr>
      </w:pPr>
    </w:p>
    <w:p w14:paraId="3F54F5F4" w14:textId="77777777" w:rsidR="000B16A1" w:rsidRDefault="000B16A1" w:rsidP="00CC017D">
      <w:pPr>
        <w:spacing w:line="240" w:lineRule="auto"/>
        <w:rPr>
          <w:rFonts w:cs="Arial"/>
          <w:b/>
          <w:sz w:val="24"/>
          <w:szCs w:val="24"/>
          <w:lang w:val="en-US"/>
        </w:rPr>
      </w:pPr>
    </w:p>
    <w:p w14:paraId="396C5F44" w14:textId="77777777" w:rsidR="000B16A1" w:rsidRDefault="000B16A1" w:rsidP="00CC017D">
      <w:pPr>
        <w:spacing w:line="240" w:lineRule="auto"/>
        <w:rPr>
          <w:rFonts w:cs="Arial"/>
          <w:b/>
          <w:sz w:val="24"/>
          <w:szCs w:val="24"/>
          <w:lang w:val="en-US"/>
        </w:rPr>
      </w:pPr>
    </w:p>
    <w:p w14:paraId="0D8F9470" w14:textId="77777777" w:rsidR="000B16A1" w:rsidRDefault="000B16A1" w:rsidP="00CC017D">
      <w:pPr>
        <w:spacing w:line="240" w:lineRule="auto"/>
        <w:rPr>
          <w:rFonts w:cs="Arial"/>
          <w:b/>
          <w:sz w:val="24"/>
          <w:szCs w:val="24"/>
          <w:lang w:val="en-US"/>
        </w:rPr>
      </w:pPr>
    </w:p>
    <w:p w14:paraId="583E5345" w14:textId="77777777" w:rsidR="000B16A1" w:rsidRDefault="000B16A1" w:rsidP="00CC017D">
      <w:pPr>
        <w:spacing w:line="240" w:lineRule="auto"/>
        <w:rPr>
          <w:rFonts w:cs="Arial"/>
          <w:b/>
          <w:sz w:val="24"/>
          <w:szCs w:val="24"/>
          <w:lang w:val="en-US"/>
        </w:rPr>
      </w:pPr>
    </w:p>
    <w:p w14:paraId="6A0D5BF3" w14:textId="77777777" w:rsidR="000B16A1" w:rsidRDefault="000B16A1" w:rsidP="00CC017D">
      <w:pPr>
        <w:spacing w:line="240" w:lineRule="auto"/>
        <w:rPr>
          <w:rFonts w:cs="Arial"/>
          <w:b/>
          <w:sz w:val="24"/>
          <w:szCs w:val="24"/>
          <w:lang w:val="en-US"/>
        </w:rPr>
      </w:pPr>
    </w:p>
    <w:p w14:paraId="1D8D69F9" w14:textId="77777777" w:rsidR="00826E7C" w:rsidRPr="004F1A9C" w:rsidRDefault="005569CB" w:rsidP="00A612A1">
      <w:pPr>
        <w:rPr>
          <w:rFonts w:cs="Arial"/>
          <w:b/>
          <w:sz w:val="24"/>
          <w:szCs w:val="24"/>
          <w:u w:val="single"/>
          <w:lang w:val="en-US"/>
        </w:rPr>
      </w:pPr>
      <w:r w:rsidRPr="004F1A9C">
        <w:rPr>
          <w:rFonts w:cs="Arial"/>
          <w:b/>
          <w:sz w:val="24"/>
          <w:szCs w:val="24"/>
          <w:u w:val="single"/>
          <w:lang w:val="en-US"/>
        </w:rPr>
        <w:t>S</w:t>
      </w:r>
      <w:r w:rsidR="009955BD" w:rsidRPr="004F1A9C">
        <w:rPr>
          <w:rFonts w:cs="Arial"/>
          <w:b/>
          <w:sz w:val="24"/>
          <w:szCs w:val="24"/>
          <w:u w:val="single"/>
          <w:lang w:val="en-US"/>
        </w:rPr>
        <w:t>uppl. Table</w:t>
      </w:r>
    </w:p>
    <w:p w14:paraId="55273020" w14:textId="77777777" w:rsidR="009955BD" w:rsidRPr="009955BD" w:rsidRDefault="009955BD" w:rsidP="00A612A1">
      <w:pPr>
        <w:rPr>
          <w:rFonts w:cs="Arial"/>
          <w:b/>
          <w:sz w:val="24"/>
          <w:szCs w:val="24"/>
          <w:lang w:val="en-US"/>
        </w:rPr>
      </w:pPr>
      <w:r w:rsidRPr="004F1A9C">
        <w:rPr>
          <w:rFonts w:cs="Arial"/>
          <w:b/>
          <w:sz w:val="24"/>
          <w:szCs w:val="24"/>
          <w:lang w:val="en-US"/>
        </w:rPr>
        <w:t>Suppl. Table 1</w:t>
      </w:r>
    </w:p>
    <w:tbl>
      <w:tblPr>
        <w:tblStyle w:val="LightShading"/>
        <w:tblW w:w="9288" w:type="dxa"/>
        <w:tblLook w:val="04A0" w:firstRow="1" w:lastRow="0" w:firstColumn="1" w:lastColumn="0" w:noHBand="0" w:noVBand="1"/>
      </w:tblPr>
      <w:tblGrid>
        <w:gridCol w:w="1963"/>
        <w:gridCol w:w="1831"/>
        <w:gridCol w:w="1701"/>
        <w:gridCol w:w="2010"/>
        <w:gridCol w:w="1783"/>
      </w:tblGrid>
      <w:tr w:rsidR="00DF7115" w:rsidRPr="00AC7F7F" w14:paraId="6075A63E" w14:textId="77777777" w:rsidTr="00321F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right w:val="single" w:sz="4" w:space="0" w:color="auto"/>
            </w:tcBorders>
          </w:tcPr>
          <w:p w14:paraId="5B6E1E14" w14:textId="77777777" w:rsidR="00DF7115" w:rsidRPr="00AC7F7F" w:rsidRDefault="00DF7115" w:rsidP="00321F39">
            <w:pPr>
              <w:spacing w:line="240" w:lineRule="auto"/>
              <w:rPr>
                <w:rFonts w:cs="Arial"/>
                <w:sz w:val="20"/>
                <w:szCs w:val="20"/>
                <w:lang w:val="en-US"/>
              </w:rPr>
            </w:pPr>
            <w:r w:rsidRPr="00AC7F7F">
              <w:rPr>
                <w:rFonts w:cs="Arial"/>
                <w:sz w:val="20"/>
                <w:szCs w:val="20"/>
                <w:lang w:val="en-US"/>
              </w:rPr>
              <w:t>Variable</w:t>
            </w:r>
          </w:p>
        </w:tc>
        <w:tc>
          <w:tcPr>
            <w:tcW w:w="5542" w:type="dxa"/>
            <w:gridSpan w:val="3"/>
          </w:tcPr>
          <w:p w14:paraId="2A84D908" w14:textId="77777777" w:rsidR="00DF7115" w:rsidRPr="00AC7F7F" w:rsidRDefault="00212CB8" w:rsidP="00321F39">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multivariabl</w:t>
            </w:r>
            <w:r w:rsidR="00DF7115" w:rsidRPr="00AC7F7F">
              <w:rPr>
                <w:rFonts w:cs="Arial"/>
                <w:sz w:val="20"/>
                <w:szCs w:val="20"/>
                <w:lang w:val="en-US"/>
              </w:rPr>
              <w:t>e logistic regression model</w:t>
            </w:r>
          </w:p>
        </w:tc>
        <w:tc>
          <w:tcPr>
            <w:tcW w:w="1783" w:type="dxa"/>
          </w:tcPr>
          <w:p w14:paraId="4586D3BC" w14:textId="77777777" w:rsidR="00DF7115" w:rsidRPr="00AC7F7F" w:rsidRDefault="00DF7115" w:rsidP="00321F39">
            <w:pPr>
              <w:spacing w:line="240" w:lineRule="auto"/>
              <w:cnfStyle w:val="100000000000" w:firstRow="1" w:lastRow="0" w:firstColumn="0" w:lastColumn="0" w:oddVBand="0" w:evenVBand="0" w:oddHBand="0" w:evenHBand="0" w:firstRowFirstColumn="0" w:firstRowLastColumn="0" w:lastRowFirstColumn="0" w:lastRowLastColumn="0"/>
              <w:rPr>
                <w:rFonts w:cs="Arial"/>
                <w:sz w:val="20"/>
                <w:szCs w:val="20"/>
                <w:lang w:val="en-US"/>
              </w:rPr>
            </w:pPr>
          </w:p>
        </w:tc>
      </w:tr>
      <w:tr w:rsidR="00DF7115" w:rsidRPr="00AC7F7F" w14:paraId="4FB75274" w14:textId="77777777" w:rsidTr="00523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right w:val="single" w:sz="4" w:space="0" w:color="auto"/>
            </w:tcBorders>
          </w:tcPr>
          <w:p w14:paraId="1C77754A" w14:textId="77777777" w:rsidR="00DF7115" w:rsidRPr="00AC7F7F" w:rsidRDefault="00DF7115" w:rsidP="00321F39">
            <w:pPr>
              <w:spacing w:line="240" w:lineRule="auto"/>
              <w:rPr>
                <w:rFonts w:cs="Arial"/>
                <w:b w:val="0"/>
                <w:sz w:val="20"/>
                <w:szCs w:val="20"/>
                <w:lang w:val="en-US"/>
              </w:rPr>
            </w:pPr>
          </w:p>
        </w:tc>
        <w:tc>
          <w:tcPr>
            <w:tcW w:w="1831" w:type="dxa"/>
            <w:tcBorders>
              <w:top w:val="nil"/>
              <w:bottom w:val="nil"/>
            </w:tcBorders>
          </w:tcPr>
          <w:p w14:paraId="2DDB466A" w14:textId="77777777" w:rsidR="00DF7115" w:rsidRPr="005234E2" w:rsidRDefault="00DF7115"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vertAlign w:val="superscript"/>
                <w:lang w:val="en-US"/>
              </w:rPr>
            </w:pPr>
            <w:r>
              <w:rPr>
                <w:rFonts w:cs="Arial"/>
                <w:b/>
                <w:sz w:val="20"/>
                <w:szCs w:val="20"/>
                <w:lang w:val="en-US"/>
              </w:rPr>
              <w:t>β</w:t>
            </w:r>
            <w:r w:rsidR="005234E2">
              <w:rPr>
                <w:rFonts w:cs="Arial"/>
                <w:sz w:val="20"/>
                <w:szCs w:val="20"/>
                <w:vertAlign w:val="superscript"/>
                <w:lang w:val="en-US"/>
              </w:rPr>
              <w:t>1</w:t>
            </w:r>
          </w:p>
        </w:tc>
        <w:tc>
          <w:tcPr>
            <w:tcW w:w="1701" w:type="dxa"/>
          </w:tcPr>
          <w:p w14:paraId="502922A1" w14:textId="77777777" w:rsidR="00DF7115" w:rsidRPr="005234E2" w:rsidRDefault="00DF7115"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vertAlign w:val="superscript"/>
                <w:lang w:val="en-US"/>
              </w:rPr>
            </w:pPr>
            <w:r w:rsidRPr="00AC7F7F">
              <w:rPr>
                <w:rFonts w:cs="Arial"/>
                <w:b/>
                <w:sz w:val="20"/>
                <w:szCs w:val="20"/>
                <w:lang w:val="en-US"/>
              </w:rPr>
              <w:t>OR</w:t>
            </w:r>
            <w:r w:rsidR="005234E2">
              <w:rPr>
                <w:rFonts w:cs="Arial"/>
                <w:sz w:val="20"/>
                <w:szCs w:val="20"/>
                <w:vertAlign w:val="superscript"/>
                <w:lang w:val="en-US"/>
              </w:rPr>
              <w:t>2</w:t>
            </w:r>
          </w:p>
        </w:tc>
        <w:tc>
          <w:tcPr>
            <w:tcW w:w="2010" w:type="dxa"/>
          </w:tcPr>
          <w:p w14:paraId="55225753" w14:textId="77777777" w:rsidR="00DF7115" w:rsidRPr="005234E2" w:rsidRDefault="00DF7115"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vertAlign w:val="superscript"/>
                <w:lang w:val="en-US"/>
              </w:rPr>
            </w:pPr>
            <w:r w:rsidRPr="00AC7F7F">
              <w:rPr>
                <w:rFonts w:cs="Arial"/>
                <w:b/>
                <w:sz w:val="20"/>
                <w:szCs w:val="20"/>
                <w:lang w:val="en-US"/>
              </w:rPr>
              <w:t>95%CI</w:t>
            </w:r>
            <w:r w:rsidR="005234E2">
              <w:rPr>
                <w:rFonts w:cs="Arial"/>
                <w:sz w:val="20"/>
                <w:szCs w:val="20"/>
                <w:vertAlign w:val="superscript"/>
                <w:lang w:val="en-US"/>
              </w:rPr>
              <w:t>3</w:t>
            </w:r>
          </w:p>
        </w:tc>
        <w:tc>
          <w:tcPr>
            <w:tcW w:w="1783" w:type="dxa"/>
          </w:tcPr>
          <w:p w14:paraId="217CE704" w14:textId="77777777" w:rsidR="00DF7115" w:rsidRPr="00AC7F7F" w:rsidRDefault="00DF7115"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b/>
                <w:sz w:val="20"/>
                <w:szCs w:val="20"/>
                <w:lang w:val="en-US"/>
              </w:rPr>
            </w:pPr>
            <w:r>
              <w:rPr>
                <w:rFonts w:cs="Arial"/>
                <w:b/>
                <w:sz w:val="20"/>
                <w:szCs w:val="20"/>
                <w:lang w:val="en-US"/>
              </w:rPr>
              <w:t>p value</w:t>
            </w:r>
          </w:p>
        </w:tc>
      </w:tr>
      <w:tr w:rsidR="00DF7115" w:rsidRPr="00AC7F7F" w14:paraId="3B80952B" w14:textId="77777777" w:rsidTr="005234E2">
        <w:tc>
          <w:tcPr>
            <w:cnfStyle w:val="001000000000" w:firstRow="0" w:lastRow="0" w:firstColumn="1" w:lastColumn="0" w:oddVBand="0" w:evenVBand="0" w:oddHBand="0" w:evenHBand="0" w:firstRowFirstColumn="0" w:firstRowLastColumn="0" w:lastRowFirstColumn="0" w:lastRowLastColumn="0"/>
            <w:tcW w:w="1963" w:type="dxa"/>
            <w:tcBorders>
              <w:right w:val="single" w:sz="4" w:space="0" w:color="auto"/>
            </w:tcBorders>
          </w:tcPr>
          <w:p w14:paraId="46E3095A" w14:textId="77777777" w:rsidR="00DF7115" w:rsidRPr="004F1A9C" w:rsidRDefault="00212CB8" w:rsidP="00321F39">
            <w:pPr>
              <w:spacing w:line="240" w:lineRule="auto"/>
              <w:rPr>
                <w:rFonts w:cs="Arial"/>
                <w:sz w:val="20"/>
                <w:szCs w:val="20"/>
                <w:lang w:val="en-US"/>
              </w:rPr>
            </w:pPr>
            <w:r>
              <w:rPr>
                <w:rFonts w:cs="Arial"/>
                <w:sz w:val="20"/>
                <w:szCs w:val="20"/>
                <w:lang w:val="en-US"/>
              </w:rPr>
              <w:t>Child score</w:t>
            </w:r>
          </w:p>
        </w:tc>
        <w:tc>
          <w:tcPr>
            <w:tcW w:w="1831" w:type="dxa"/>
            <w:tcBorders>
              <w:top w:val="nil"/>
              <w:bottom w:val="nil"/>
              <w:right w:val="nil"/>
            </w:tcBorders>
          </w:tcPr>
          <w:p w14:paraId="0EEA9A0A" w14:textId="77777777" w:rsidR="00DF7115" w:rsidRPr="004F1A9C" w:rsidRDefault="00A963E4" w:rsidP="000B16A1">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-0.046</w:t>
            </w:r>
          </w:p>
        </w:tc>
        <w:tc>
          <w:tcPr>
            <w:tcW w:w="1701" w:type="dxa"/>
            <w:tcBorders>
              <w:left w:val="nil"/>
            </w:tcBorders>
          </w:tcPr>
          <w:p w14:paraId="59242B07" w14:textId="77777777" w:rsidR="00DF7115" w:rsidRPr="004F1A9C"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0.96</w:t>
            </w:r>
          </w:p>
        </w:tc>
        <w:tc>
          <w:tcPr>
            <w:tcW w:w="2010" w:type="dxa"/>
          </w:tcPr>
          <w:p w14:paraId="5B938AA0" w14:textId="77777777" w:rsidR="00DF7115" w:rsidRPr="004F1A9C"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0.79 - 1.16</w:t>
            </w:r>
          </w:p>
        </w:tc>
        <w:tc>
          <w:tcPr>
            <w:tcW w:w="1783" w:type="dxa"/>
          </w:tcPr>
          <w:p w14:paraId="463A0938" w14:textId="77777777" w:rsidR="00DF7115" w:rsidRPr="004F1A9C"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0.650</w:t>
            </w:r>
          </w:p>
        </w:tc>
      </w:tr>
      <w:tr w:rsidR="00DF7115" w:rsidRPr="00DF7115" w14:paraId="64D52CE7" w14:textId="77777777" w:rsidTr="005234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right w:val="single" w:sz="4" w:space="0" w:color="auto"/>
            </w:tcBorders>
          </w:tcPr>
          <w:p w14:paraId="4EE754B5" w14:textId="77777777" w:rsidR="00DF7115" w:rsidRPr="00DF7115" w:rsidRDefault="00212CB8" w:rsidP="00321F39">
            <w:pPr>
              <w:spacing w:line="240" w:lineRule="auto"/>
              <w:rPr>
                <w:rFonts w:cs="Arial"/>
                <w:sz w:val="20"/>
                <w:szCs w:val="20"/>
                <w:lang w:val="en-US"/>
              </w:rPr>
            </w:pPr>
            <w:r>
              <w:rPr>
                <w:rFonts w:cs="Arial"/>
                <w:sz w:val="20"/>
                <w:szCs w:val="20"/>
                <w:lang w:val="en-US"/>
              </w:rPr>
              <w:t>surgery</w:t>
            </w:r>
          </w:p>
        </w:tc>
        <w:tc>
          <w:tcPr>
            <w:tcW w:w="1831" w:type="dxa"/>
            <w:tcBorders>
              <w:top w:val="nil"/>
              <w:bottom w:val="nil"/>
            </w:tcBorders>
          </w:tcPr>
          <w:p w14:paraId="1BA9858A" w14:textId="77777777" w:rsidR="00DF7115" w:rsidRPr="004F1A9C"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0.156</w:t>
            </w:r>
          </w:p>
        </w:tc>
        <w:tc>
          <w:tcPr>
            <w:tcW w:w="1701" w:type="dxa"/>
          </w:tcPr>
          <w:p w14:paraId="5174B42E" w14:textId="77777777" w:rsidR="00DF7115" w:rsidRPr="004F1A9C"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1.17</w:t>
            </w:r>
          </w:p>
        </w:tc>
        <w:tc>
          <w:tcPr>
            <w:tcW w:w="2010" w:type="dxa"/>
          </w:tcPr>
          <w:p w14:paraId="053139A2" w14:textId="77777777" w:rsidR="00DF7115" w:rsidRPr="004F1A9C"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0.65 - 2.10</w:t>
            </w:r>
          </w:p>
        </w:tc>
        <w:tc>
          <w:tcPr>
            <w:tcW w:w="1783" w:type="dxa"/>
          </w:tcPr>
          <w:p w14:paraId="4C7CA510" w14:textId="77777777" w:rsidR="00DF7115" w:rsidRPr="004F1A9C"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0.601</w:t>
            </w:r>
          </w:p>
        </w:tc>
      </w:tr>
      <w:tr w:rsidR="00DF7115" w:rsidRPr="00DF7115" w14:paraId="696EC4C3" w14:textId="77777777" w:rsidTr="004F1A9C">
        <w:tc>
          <w:tcPr>
            <w:cnfStyle w:val="001000000000" w:firstRow="0" w:lastRow="0" w:firstColumn="1" w:lastColumn="0" w:oddVBand="0" w:evenVBand="0" w:oddHBand="0" w:evenHBand="0" w:firstRowFirstColumn="0" w:firstRowLastColumn="0" w:lastRowFirstColumn="0" w:lastRowLastColumn="0"/>
            <w:tcW w:w="1963" w:type="dxa"/>
            <w:tcBorders>
              <w:bottom w:val="nil"/>
              <w:right w:val="single" w:sz="4" w:space="0" w:color="auto"/>
            </w:tcBorders>
          </w:tcPr>
          <w:p w14:paraId="61288ECE" w14:textId="77777777" w:rsidR="00DF7115" w:rsidRPr="00DF7115" w:rsidRDefault="00212CB8" w:rsidP="00DF7115">
            <w:pPr>
              <w:spacing w:line="240" w:lineRule="auto"/>
              <w:rPr>
                <w:rFonts w:cs="Arial"/>
                <w:sz w:val="20"/>
                <w:szCs w:val="20"/>
                <w:lang w:val="en-US"/>
              </w:rPr>
            </w:pPr>
            <w:r>
              <w:rPr>
                <w:rFonts w:cs="Arial"/>
                <w:sz w:val="20"/>
                <w:szCs w:val="20"/>
                <w:lang w:val="en-US"/>
              </w:rPr>
              <w:t>radiofrequency ablation</w:t>
            </w:r>
          </w:p>
        </w:tc>
        <w:tc>
          <w:tcPr>
            <w:tcW w:w="1831" w:type="dxa"/>
            <w:tcBorders>
              <w:top w:val="nil"/>
              <w:bottom w:val="nil"/>
              <w:right w:val="nil"/>
            </w:tcBorders>
          </w:tcPr>
          <w:p w14:paraId="6BFB5C76" w14:textId="77777777" w:rsidR="00DF7115"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-1.676</w:t>
            </w:r>
          </w:p>
        </w:tc>
        <w:tc>
          <w:tcPr>
            <w:tcW w:w="1701" w:type="dxa"/>
            <w:tcBorders>
              <w:left w:val="nil"/>
              <w:bottom w:val="nil"/>
            </w:tcBorders>
          </w:tcPr>
          <w:p w14:paraId="2516FCBA" w14:textId="77777777" w:rsidR="00DF7115"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0.19</w:t>
            </w:r>
          </w:p>
        </w:tc>
        <w:tc>
          <w:tcPr>
            <w:tcW w:w="2010" w:type="dxa"/>
            <w:tcBorders>
              <w:bottom w:val="nil"/>
            </w:tcBorders>
          </w:tcPr>
          <w:p w14:paraId="7DEA27BC" w14:textId="77777777" w:rsidR="00DF7115"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0.08 - 0.46</w:t>
            </w:r>
          </w:p>
        </w:tc>
        <w:tc>
          <w:tcPr>
            <w:tcW w:w="1783" w:type="dxa"/>
            <w:tcBorders>
              <w:bottom w:val="nil"/>
            </w:tcBorders>
          </w:tcPr>
          <w:p w14:paraId="1B035208" w14:textId="77777777" w:rsidR="00DF7115"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&lt;0.001</w:t>
            </w:r>
          </w:p>
        </w:tc>
      </w:tr>
      <w:tr w:rsidR="00DF7115" w:rsidRPr="00DF7115" w14:paraId="67E80BD3" w14:textId="77777777" w:rsidTr="00212C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top w:val="nil"/>
              <w:bottom w:val="nil"/>
              <w:right w:val="single" w:sz="4" w:space="0" w:color="auto"/>
            </w:tcBorders>
          </w:tcPr>
          <w:p w14:paraId="597F4E18" w14:textId="77777777" w:rsidR="00DF7115" w:rsidRPr="00A963E4" w:rsidRDefault="00212CB8" w:rsidP="00DF7115">
            <w:pPr>
              <w:spacing w:line="240" w:lineRule="auto"/>
              <w:rPr>
                <w:rFonts w:cs="Arial"/>
                <w:b w:val="0"/>
                <w:sz w:val="20"/>
                <w:szCs w:val="20"/>
                <w:vertAlign w:val="superscript"/>
                <w:lang w:val="en-US"/>
              </w:rPr>
            </w:pPr>
            <w:r>
              <w:rPr>
                <w:rFonts w:cs="Arial"/>
                <w:sz w:val="20"/>
                <w:szCs w:val="20"/>
                <w:lang w:val="en-US"/>
              </w:rPr>
              <w:t>TACE</w:t>
            </w:r>
            <w:r w:rsidR="00A963E4">
              <w:rPr>
                <w:rFonts w:cs="Arial"/>
                <w:b w:val="0"/>
                <w:sz w:val="20"/>
                <w:szCs w:val="20"/>
                <w:vertAlign w:val="superscript"/>
                <w:lang w:val="en-US"/>
              </w:rPr>
              <w:t>4</w:t>
            </w:r>
          </w:p>
        </w:tc>
        <w:tc>
          <w:tcPr>
            <w:tcW w:w="1831" w:type="dxa"/>
            <w:tcBorders>
              <w:top w:val="nil"/>
              <w:bottom w:val="nil"/>
            </w:tcBorders>
          </w:tcPr>
          <w:p w14:paraId="03E3E615" w14:textId="77777777" w:rsidR="00DF7115"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-0.360</w:t>
            </w:r>
          </w:p>
        </w:tc>
        <w:tc>
          <w:tcPr>
            <w:tcW w:w="1701" w:type="dxa"/>
            <w:tcBorders>
              <w:top w:val="nil"/>
              <w:bottom w:val="nil"/>
            </w:tcBorders>
          </w:tcPr>
          <w:p w14:paraId="58FE74AA" w14:textId="77777777" w:rsidR="00DF7115"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0.70</w:t>
            </w:r>
          </w:p>
        </w:tc>
        <w:tc>
          <w:tcPr>
            <w:tcW w:w="2010" w:type="dxa"/>
            <w:tcBorders>
              <w:top w:val="nil"/>
              <w:bottom w:val="nil"/>
            </w:tcBorders>
          </w:tcPr>
          <w:p w14:paraId="34CE9113" w14:textId="77777777" w:rsidR="00DF7115"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0.45 - 1.09</w:t>
            </w:r>
          </w:p>
        </w:tc>
        <w:tc>
          <w:tcPr>
            <w:tcW w:w="1783" w:type="dxa"/>
            <w:tcBorders>
              <w:top w:val="nil"/>
              <w:bottom w:val="nil"/>
            </w:tcBorders>
          </w:tcPr>
          <w:p w14:paraId="73A04E48" w14:textId="77777777" w:rsidR="00DF7115"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0.116</w:t>
            </w:r>
          </w:p>
        </w:tc>
      </w:tr>
      <w:tr w:rsidR="00212CB8" w:rsidRPr="00212CB8" w14:paraId="1044E42E" w14:textId="77777777" w:rsidTr="00212CB8">
        <w:tc>
          <w:tcPr>
            <w:cnfStyle w:val="001000000000" w:firstRow="0" w:lastRow="0" w:firstColumn="1" w:lastColumn="0" w:oddVBand="0" w:evenVBand="0" w:oddHBand="0" w:evenHBand="0" w:firstRowFirstColumn="0" w:firstRowLastColumn="0" w:lastRowFirstColumn="0" w:lastRowLastColumn="0"/>
            <w:tcW w:w="1963" w:type="dxa"/>
            <w:tcBorders>
              <w:top w:val="nil"/>
              <w:bottom w:val="nil"/>
              <w:right w:val="single" w:sz="4" w:space="0" w:color="auto"/>
            </w:tcBorders>
          </w:tcPr>
          <w:p w14:paraId="4C1A9E9B" w14:textId="77777777" w:rsidR="00212CB8" w:rsidRDefault="00212CB8" w:rsidP="00DF7115">
            <w:pPr>
              <w:spacing w:line="240" w:lineRule="auto"/>
              <w:rPr>
                <w:rFonts w:cs="Arial"/>
                <w:sz w:val="20"/>
                <w:szCs w:val="20"/>
                <w:lang w:val="en-US"/>
              </w:rPr>
            </w:pPr>
            <w:r>
              <w:rPr>
                <w:rFonts w:cs="Arial"/>
                <w:sz w:val="20"/>
                <w:szCs w:val="20"/>
                <w:lang w:val="en-US"/>
              </w:rPr>
              <w:t xml:space="preserve">hepatic tumor expansion </w:t>
            </w:r>
          </w:p>
          <w:p w14:paraId="34436AF0" w14:textId="77777777" w:rsidR="00212CB8" w:rsidRPr="00212CB8" w:rsidRDefault="00212CB8" w:rsidP="00DF7115">
            <w:pPr>
              <w:spacing w:line="240" w:lineRule="auto"/>
              <w:rPr>
                <w:rFonts w:cs="Arial"/>
                <w:b w:val="0"/>
                <w:sz w:val="20"/>
                <w:szCs w:val="20"/>
                <w:lang w:val="en-US"/>
              </w:rPr>
            </w:pPr>
            <w:r w:rsidRPr="00212CB8">
              <w:rPr>
                <w:rFonts w:cs="Arial"/>
                <w:b w:val="0"/>
                <w:sz w:val="20"/>
                <w:szCs w:val="20"/>
                <w:lang w:val="en-US"/>
              </w:rPr>
              <w:t>(olignodular vs. multifocal)</w:t>
            </w:r>
          </w:p>
        </w:tc>
        <w:tc>
          <w:tcPr>
            <w:tcW w:w="1831" w:type="dxa"/>
            <w:tcBorders>
              <w:top w:val="nil"/>
              <w:bottom w:val="nil"/>
            </w:tcBorders>
          </w:tcPr>
          <w:p w14:paraId="196A4FBB"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-1.375</w:t>
            </w:r>
          </w:p>
        </w:tc>
        <w:tc>
          <w:tcPr>
            <w:tcW w:w="1701" w:type="dxa"/>
            <w:tcBorders>
              <w:top w:val="nil"/>
              <w:bottom w:val="nil"/>
            </w:tcBorders>
          </w:tcPr>
          <w:p w14:paraId="1E818AE8"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0.25</w:t>
            </w:r>
          </w:p>
        </w:tc>
        <w:tc>
          <w:tcPr>
            <w:tcW w:w="2010" w:type="dxa"/>
            <w:tcBorders>
              <w:top w:val="nil"/>
              <w:bottom w:val="nil"/>
            </w:tcBorders>
          </w:tcPr>
          <w:p w14:paraId="6ABAB52E"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0.16 - 0.40</w:t>
            </w:r>
          </w:p>
        </w:tc>
        <w:tc>
          <w:tcPr>
            <w:tcW w:w="1783" w:type="dxa"/>
            <w:tcBorders>
              <w:top w:val="nil"/>
              <w:bottom w:val="nil"/>
            </w:tcBorders>
          </w:tcPr>
          <w:p w14:paraId="17C589D1"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&lt;0.001</w:t>
            </w:r>
          </w:p>
        </w:tc>
      </w:tr>
      <w:tr w:rsidR="00212CB8" w:rsidRPr="00212CB8" w14:paraId="4666914F" w14:textId="77777777" w:rsidTr="00212C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top w:val="nil"/>
              <w:bottom w:val="nil"/>
              <w:right w:val="single" w:sz="4" w:space="0" w:color="auto"/>
            </w:tcBorders>
          </w:tcPr>
          <w:p w14:paraId="3DF2769A" w14:textId="77777777" w:rsidR="00212CB8" w:rsidRPr="00A963E4" w:rsidRDefault="00212CB8" w:rsidP="00DF7115">
            <w:pPr>
              <w:spacing w:line="240" w:lineRule="auto"/>
              <w:rPr>
                <w:rFonts w:cs="Arial"/>
                <w:b w:val="0"/>
                <w:sz w:val="20"/>
                <w:szCs w:val="20"/>
                <w:vertAlign w:val="superscript"/>
                <w:lang w:val="en-US"/>
              </w:rPr>
            </w:pPr>
            <w:r>
              <w:rPr>
                <w:rFonts w:cs="Arial"/>
                <w:sz w:val="20"/>
                <w:szCs w:val="20"/>
                <w:lang w:val="en-US"/>
              </w:rPr>
              <w:t>PVT</w:t>
            </w:r>
            <w:r w:rsidR="00A963E4">
              <w:rPr>
                <w:rFonts w:cs="Arial"/>
                <w:b w:val="0"/>
                <w:sz w:val="20"/>
                <w:szCs w:val="20"/>
                <w:vertAlign w:val="superscript"/>
                <w:lang w:val="en-US"/>
              </w:rPr>
              <w:t>5</w:t>
            </w:r>
          </w:p>
        </w:tc>
        <w:tc>
          <w:tcPr>
            <w:tcW w:w="1831" w:type="dxa"/>
            <w:tcBorders>
              <w:top w:val="nil"/>
              <w:bottom w:val="nil"/>
            </w:tcBorders>
          </w:tcPr>
          <w:p w14:paraId="19BCCD23" w14:textId="77777777" w:rsidR="00212CB8"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-0.910</w:t>
            </w:r>
          </w:p>
        </w:tc>
        <w:tc>
          <w:tcPr>
            <w:tcW w:w="1701" w:type="dxa"/>
            <w:tcBorders>
              <w:top w:val="nil"/>
              <w:bottom w:val="nil"/>
            </w:tcBorders>
          </w:tcPr>
          <w:p w14:paraId="7B166D5C" w14:textId="77777777" w:rsidR="00212CB8"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0.40</w:t>
            </w:r>
          </w:p>
        </w:tc>
        <w:tc>
          <w:tcPr>
            <w:tcW w:w="2010" w:type="dxa"/>
            <w:tcBorders>
              <w:top w:val="nil"/>
              <w:bottom w:val="nil"/>
            </w:tcBorders>
          </w:tcPr>
          <w:p w14:paraId="266E64B9" w14:textId="77777777" w:rsidR="00212CB8"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0.23 - 0.70</w:t>
            </w:r>
          </w:p>
        </w:tc>
        <w:tc>
          <w:tcPr>
            <w:tcW w:w="1783" w:type="dxa"/>
            <w:tcBorders>
              <w:top w:val="nil"/>
              <w:bottom w:val="nil"/>
            </w:tcBorders>
          </w:tcPr>
          <w:p w14:paraId="741AE23F" w14:textId="77777777" w:rsidR="00212CB8"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&lt;0.001</w:t>
            </w:r>
          </w:p>
        </w:tc>
      </w:tr>
      <w:tr w:rsidR="00212CB8" w:rsidRPr="00212CB8" w14:paraId="6C53201F" w14:textId="77777777" w:rsidTr="00212CB8">
        <w:tc>
          <w:tcPr>
            <w:cnfStyle w:val="001000000000" w:firstRow="0" w:lastRow="0" w:firstColumn="1" w:lastColumn="0" w:oddVBand="0" w:evenVBand="0" w:oddHBand="0" w:evenHBand="0" w:firstRowFirstColumn="0" w:firstRowLastColumn="0" w:lastRowFirstColumn="0" w:lastRowLastColumn="0"/>
            <w:tcW w:w="1963" w:type="dxa"/>
            <w:tcBorders>
              <w:top w:val="nil"/>
              <w:bottom w:val="nil"/>
              <w:right w:val="single" w:sz="4" w:space="0" w:color="auto"/>
            </w:tcBorders>
          </w:tcPr>
          <w:p w14:paraId="67E15871" w14:textId="77777777" w:rsidR="00212CB8" w:rsidRDefault="00212CB8" w:rsidP="00DF7115">
            <w:pPr>
              <w:spacing w:line="240" w:lineRule="auto"/>
              <w:rPr>
                <w:rFonts w:cs="Arial"/>
                <w:sz w:val="20"/>
                <w:szCs w:val="20"/>
                <w:lang w:val="en-US"/>
              </w:rPr>
            </w:pPr>
            <w:r>
              <w:rPr>
                <w:rFonts w:cs="Arial"/>
                <w:sz w:val="20"/>
                <w:szCs w:val="20"/>
                <w:lang w:val="en-US"/>
              </w:rPr>
              <w:t>extrahepatic metastases</w:t>
            </w:r>
          </w:p>
        </w:tc>
        <w:tc>
          <w:tcPr>
            <w:tcW w:w="1831" w:type="dxa"/>
            <w:tcBorders>
              <w:top w:val="nil"/>
              <w:bottom w:val="nil"/>
            </w:tcBorders>
          </w:tcPr>
          <w:p w14:paraId="4B0AD199"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-1.515</w:t>
            </w:r>
          </w:p>
        </w:tc>
        <w:tc>
          <w:tcPr>
            <w:tcW w:w="1701" w:type="dxa"/>
            <w:tcBorders>
              <w:top w:val="nil"/>
              <w:bottom w:val="nil"/>
            </w:tcBorders>
          </w:tcPr>
          <w:p w14:paraId="7917BFA8"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0.22</w:t>
            </w:r>
          </w:p>
        </w:tc>
        <w:tc>
          <w:tcPr>
            <w:tcW w:w="2010" w:type="dxa"/>
            <w:tcBorders>
              <w:top w:val="nil"/>
              <w:bottom w:val="nil"/>
            </w:tcBorders>
          </w:tcPr>
          <w:p w14:paraId="1F209182"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0.12 - 0.40</w:t>
            </w:r>
          </w:p>
        </w:tc>
        <w:tc>
          <w:tcPr>
            <w:tcW w:w="1783" w:type="dxa"/>
            <w:tcBorders>
              <w:top w:val="nil"/>
              <w:bottom w:val="nil"/>
            </w:tcBorders>
          </w:tcPr>
          <w:p w14:paraId="3F7AFD45" w14:textId="77777777" w:rsidR="00212CB8" w:rsidRPr="00AC7F7F" w:rsidRDefault="00A963E4" w:rsidP="00321F39">
            <w:pPr>
              <w:spacing w:line="240" w:lineRule="auto"/>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&lt;0.001</w:t>
            </w:r>
          </w:p>
        </w:tc>
      </w:tr>
      <w:tr w:rsidR="00212CB8" w:rsidRPr="00212CB8" w14:paraId="0923EF3C" w14:textId="77777777" w:rsidTr="004F1A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63" w:type="dxa"/>
            <w:tcBorders>
              <w:top w:val="nil"/>
              <w:bottom w:val="single" w:sz="4" w:space="0" w:color="auto"/>
              <w:right w:val="single" w:sz="4" w:space="0" w:color="auto"/>
            </w:tcBorders>
          </w:tcPr>
          <w:p w14:paraId="4C044038" w14:textId="77777777" w:rsidR="00212CB8" w:rsidRPr="00A963E4" w:rsidRDefault="00212CB8" w:rsidP="00DF7115">
            <w:pPr>
              <w:spacing w:line="240" w:lineRule="auto"/>
              <w:rPr>
                <w:rFonts w:cs="Arial"/>
                <w:b w:val="0"/>
                <w:sz w:val="20"/>
                <w:szCs w:val="20"/>
                <w:vertAlign w:val="superscript"/>
                <w:lang w:val="en-US"/>
              </w:rPr>
            </w:pPr>
            <w:r>
              <w:rPr>
                <w:rFonts w:cs="Arial"/>
                <w:sz w:val="20"/>
                <w:szCs w:val="20"/>
                <w:lang w:val="en-US"/>
              </w:rPr>
              <w:t>ECOG</w:t>
            </w:r>
            <w:r w:rsidR="00A963E4">
              <w:rPr>
                <w:rFonts w:cs="Arial"/>
                <w:b w:val="0"/>
                <w:sz w:val="20"/>
                <w:szCs w:val="20"/>
                <w:vertAlign w:val="superscript"/>
                <w:lang w:val="en-US"/>
              </w:rPr>
              <w:t>6</w:t>
            </w:r>
          </w:p>
          <w:p w14:paraId="5A208107" w14:textId="77777777" w:rsidR="00212CB8" w:rsidRPr="00212CB8" w:rsidRDefault="00212CB8" w:rsidP="00DF7115">
            <w:pPr>
              <w:spacing w:line="240" w:lineRule="auto"/>
              <w:rPr>
                <w:rFonts w:cs="Arial"/>
                <w:b w:val="0"/>
                <w:sz w:val="20"/>
                <w:szCs w:val="20"/>
                <w:lang w:val="en-US"/>
              </w:rPr>
            </w:pPr>
            <w:r w:rsidRPr="00212CB8">
              <w:rPr>
                <w:rFonts w:cs="Arial"/>
                <w:b w:val="0"/>
                <w:sz w:val="20"/>
                <w:szCs w:val="20"/>
                <w:lang w:val="en-US"/>
              </w:rPr>
              <w:t xml:space="preserve">    0</w:t>
            </w:r>
          </w:p>
          <w:p w14:paraId="2C02DDD5" w14:textId="77777777" w:rsidR="00212CB8" w:rsidRPr="00212CB8" w:rsidRDefault="00212CB8" w:rsidP="00DF7115">
            <w:pPr>
              <w:spacing w:line="240" w:lineRule="auto"/>
              <w:rPr>
                <w:rFonts w:cs="Arial"/>
                <w:b w:val="0"/>
                <w:sz w:val="20"/>
                <w:szCs w:val="20"/>
                <w:lang w:val="en-US"/>
              </w:rPr>
            </w:pPr>
            <w:r w:rsidRPr="00212CB8">
              <w:rPr>
                <w:rFonts w:cs="Arial"/>
                <w:b w:val="0"/>
                <w:sz w:val="20"/>
                <w:szCs w:val="20"/>
                <w:lang w:val="en-US"/>
              </w:rPr>
              <w:t xml:space="preserve">    1</w:t>
            </w:r>
          </w:p>
          <w:p w14:paraId="05050AA0" w14:textId="77777777" w:rsidR="00212CB8" w:rsidRDefault="00212CB8" w:rsidP="00212CB8">
            <w:pPr>
              <w:spacing w:line="240" w:lineRule="auto"/>
              <w:rPr>
                <w:rFonts w:cs="Arial"/>
                <w:sz w:val="20"/>
                <w:szCs w:val="20"/>
                <w:lang w:val="en-US"/>
              </w:rPr>
            </w:pPr>
            <w:r w:rsidRPr="00212CB8">
              <w:rPr>
                <w:rFonts w:cs="Arial"/>
                <w:b w:val="0"/>
                <w:sz w:val="20"/>
                <w:szCs w:val="20"/>
                <w:lang w:val="en-US"/>
              </w:rPr>
              <w:t xml:space="preserve">    2</w:t>
            </w:r>
          </w:p>
        </w:tc>
        <w:tc>
          <w:tcPr>
            <w:tcW w:w="1831" w:type="dxa"/>
            <w:tcBorders>
              <w:top w:val="nil"/>
              <w:bottom w:val="single" w:sz="4" w:space="0" w:color="auto"/>
            </w:tcBorders>
          </w:tcPr>
          <w:p w14:paraId="2D75523A" w14:textId="77777777" w:rsidR="00212CB8" w:rsidRDefault="00212CB8"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08E03418"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w:t>
            </w:r>
          </w:p>
          <w:p w14:paraId="1C3B38F7"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1.193</w:t>
            </w:r>
          </w:p>
          <w:p w14:paraId="270510B5" w14:textId="77777777" w:rsidR="00A963E4"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-2.766</w:t>
            </w:r>
          </w:p>
        </w:tc>
        <w:tc>
          <w:tcPr>
            <w:tcW w:w="1701" w:type="dxa"/>
            <w:tcBorders>
              <w:top w:val="nil"/>
              <w:bottom w:val="single" w:sz="4" w:space="0" w:color="auto"/>
            </w:tcBorders>
          </w:tcPr>
          <w:p w14:paraId="085EB358" w14:textId="77777777" w:rsidR="00212CB8" w:rsidRDefault="00212CB8"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3412E44D"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1</w:t>
            </w:r>
          </w:p>
          <w:p w14:paraId="53CD33B1"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3.30</w:t>
            </w:r>
          </w:p>
          <w:p w14:paraId="0244DF5A" w14:textId="77777777" w:rsidR="00A963E4"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0.06</w:t>
            </w:r>
          </w:p>
        </w:tc>
        <w:tc>
          <w:tcPr>
            <w:tcW w:w="2010" w:type="dxa"/>
            <w:tcBorders>
              <w:top w:val="nil"/>
              <w:bottom w:val="single" w:sz="4" w:space="0" w:color="auto"/>
            </w:tcBorders>
          </w:tcPr>
          <w:p w14:paraId="27392F34" w14:textId="77777777" w:rsidR="00212CB8" w:rsidRDefault="00212CB8"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57D49783"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1C56139"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2.03 - 5.37</w:t>
            </w:r>
          </w:p>
          <w:p w14:paraId="5C2F7902" w14:textId="77777777" w:rsidR="00A963E4"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0.01 - 0.47</w:t>
            </w:r>
          </w:p>
        </w:tc>
        <w:tc>
          <w:tcPr>
            <w:tcW w:w="1783" w:type="dxa"/>
            <w:tcBorders>
              <w:top w:val="nil"/>
              <w:bottom w:val="single" w:sz="4" w:space="0" w:color="auto"/>
            </w:tcBorders>
          </w:tcPr>
          <w:p w14:paraId="24422F80" w14:textId="77777777" w:rsidR="00212CB8" w:rsidRDefault="00212CB8"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A24F8F3"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p w14:paraId="176F45A4" w14:textId="77777777" w:rsidR="00A963E4"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&lt;0.001</w:t>
            </w:r>
          </w:p>
          <w:p w14:paraId="22CF635F" w14:textId="77777777" w:rsidR="00A963E4" w:rsidRPr="00AC7F7F" w:rsidRDefault="00A963E4" w:rsidP="00321F39">
            <w:pPr>
              <w:spacing w:line="240" w:lineRule="auto"/>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lang w:val="en-US"/>
              </w:rPr>
              <w:t>0.007</w:t>
            </w:r>
          </w:p>
        </w:tc>
      </w:tr>
    </w:tbl>
    <w:p w14:paraId="429D7B5B" w14:textId="77777777" w:rsidR="00DF7115" w:rsidRDefault="00DF7115" w:rsidP="00A612A1">
      <w:pPr>
        <w:rPr>
          <w:rFonts w:cs="Arial"/>
          <w:sz w:val="24"/>
          <w:szCs w:val="24"/>
          <w:lang w:val="en-US"/>
        </w:rPr>
      </w:pPr>
    </w:p>
    <w:p w14:paraId="2E92327E" w14:textId="77777777" w:rsidR="00DF7115" w:rsidRDefault="00DF7115" w:rsidP="00A612A1">
      <w:pPr>
        <w:rPr>
          <w:rFonts w:cs="Arial"/>
          <w:sz w:val="24"/>
          <w:szCs w:val="24"/>
          <w:lang w:val="en-US"/>
        </w:rPr>
      </w:pPr>
      <w:r w:rsidRPr="004C0C56">
        <w:rPr>
          <w:rFonts w:cs="Arial"/>
          <w:b/>
          <w:sz w:val="24"/>
          <w:szCs w:val="24"/>
          <w:u w:val="single"/>
          <w:lang w:val="en-US"/>
        </w:rPr>
        <w:t>Suppl. Table 1</w:t>
      </w:r>
      <w:r w:rsidR="00212CB8">
        <w:rPr>
          <w:rFonts w:cs="Arial"/>
          <w:b/>
          <w:sz w:val="24"/>
          <w:szCs w:val="24"/>
          <w:lang w:val="en-US"/>
        </w:rPr>
        <w:t>: Multivariable</w:t>
      </w:r>
      <w:r w:rsidRPr="00DF7115">
        <w:rPr>
          <w:rFonts w:cs="Arial"/>
          <w:b/>
          <w:sz w:val="24"/>
          <w:szCs w:val="24"/>
          <w:lang w:val="en-US"/>
        </w:rPr>
        <w:t>e logistic regression model</w:t>
      </w:r>
      <w:r>
        <w:rPr>
          <w:rFonts w:cs="Arial"/>
          <w:b/>
          <w:sz w:val="24"/>
          <w:szCs w:val="24"/>
          <w:lang w:val="en-US"/>
        </w:rPr>
        <w:t xml:space="preserve"> for propensity score matching. </w:t>
      </w:r>
      <w:r>
        <w:rPr>
          <w:rFonts w:cs="Arial"/>
          <w:sz w:val="24"/>
          <w:szCs w:val="24"/>
          <w:lang w:val="en-US"/>
        </w:rPr>
        <w:t xml:space="preserve">OR represents the </w:t>
      </w:r>
      <w:r w:rsidR="00A963E4">
        <w:rPr>
          <w:rFonts w:cs="Arial"/>
          <w:sz w:val="24"/>
          <w:szCs w:val="24"/>
          <w:lang w:val="en-US"/>
        </w:rPr>
        <w:t>"</w:t>
      </w:r>
      <w:r>
        <w:rPr>
          <w:rFonts w:cs="Arial"/>
          <w:sz w:val="24"/>
          <w:szCs w:val="24"/>
          <w:lang w:val="en-US"/>
        </w:rPr>
        <w:t>risk</w:t>
      </w:r>
      <w:r w:rsidR="00A963E4">
        <w:rPr>
          <w:rFonts w:cs="Arial"/>
          <w:sz w:val="24"/>
          <w:szCs w:val="24"/>
          <w:lang w:val="en-US"/>
        </w:rPr>
        <w:t>"</w:t>
      </w:r>
      <w:r>
        <w:rPr>
          <w:rFonts w:cs="Arial"/>
          <w:sz w:val="24"/>
          <w:szCs w:val="24"/>
          <w:lang w:val="en-US"/>
        </w:rPr>
        <w:t xml:space="preserve"> for being treated with SBRT. </w:t>
      </w:r>
    </w:p>
    <w:p w14:paraId="39A7DCD9" w14:textId="77777777" w:rsidR="004F1A9C" w:rsidRDefault="005234E2" w:rsidP="00A612A1">
      <w:pPr>
        <w:rPr>
          <w:rFonts w:cs="Arial"/>
          <w:b/>
          <w:sz w:val="24"/>
          <w:szCs w:val="24"/>
          <w:lang w:val="en-US"/>
        </w:rPr>
      </w:pPr>
      <w:r w:rsidRPr="001C500B">
        <w:rPr>
          <w:rFonts w:cs="Arial"/>
          <w:lang w:val="en-US"/>
        </w:rPr>
        <w:t>Abbreviations</w:t>
      </w:r>
      <w:r>
        <w:rPr>
          <w:rFonts w:cs="Arial"/>
          <w:lang w:val="en-US"/>
        </w:rPr>
        <w:t xml:space="preserve">: </w:t>
      </w:r>
      <w:r>
        <w:rPr>
          <w:rFonts w:cs="Arial"/>
          <w:vertAlign w:val="superscript"/>
          <w:lang w:val="en-US"/>
        </w:rPr>
        <w:t>1</w:t>
      </w:r>
      <w:r>
        <w:rPr>
          <w:rFonts w:cs="Arial"/>
          <w:lang w:val="en-US"/>
        </w:rPr>
        <w:t xml:space="preserve">β, regression coefficient; </w:t>
      </w:r>
      <w:r>
        <w:rPr>
          <w:rFonts w:cs="Arial"/>
          <w:vertAlign w:val="superscript"/>
          <w:lang w:val="en-US"/>
        </w:rPr>
        <w:t>2</w:t>
      </w:r>
      <w:r>
        <w:rPr>
          <w:rFonts w:cs="Arial"/>
          <w:lang w:val="en-US"/>
        </w:rPr>
        <w:t xml:space="preserve">OR, Odds ratio; </w:t>
      </w:r>
      <w:r>
        <w:rPr>
          <w:rFonts w:cs="Arial"/>
          <w:vertAlign w:val="superscript"/>
          <w:lang w:val="en-US"/>
        </w:rPr>
        <w:t>3</w:t>
      </w:r>
      <w:r>
        <w:rPr>
          <w:rFonts w:cs="Arial"/>
          <w:lang w:val="en-US"/>
        </w:rPr>
        <w:t xml:space="preserve">95%CI, 95% confidence interval; </w:t>
      </w:r>
      <w:r w:rsidR="004F1A9C" w:rsidRPr="00A963E4">
        <w:rPr>
          <w:rFonts w:cs="Arial"/>
          <w:vertAlign w:val="superscript"/>
          <w:lang w:val="en-US"/>
        </w:rPr>
        <w:t>4</w:t>
      </w:r>
      <w:r w:rsidR="00A963E4">
        <w:rPr>
          <w:rFonts w:cs="Arial"/>
          <w:lang w:val="en-US"/>
        </w:rPr>
        <w:t xml:space="preserve">TACE, transarterial chemoembolisation, </w:t>
      </w:r>
      <w:r w:rsidR="00A963E4">
        <w:rPr>
          <w:rFonts w:cs="Arial"/>
          <w:vertAlign w:val="superscript"/>
          <w:lang w:val="en-US"/>
        </w:rPr>
        <w:t>5</w:t>
      </w:r>
      <w:r w:rsidR="00552ED4" w:rsidRPr="00A963E4">
        <w:rPr>
          <w:rFonts w:cs="Arial"/>
          <w:lang w:val="en-US"/>
        </w:rPr>
        <w:t>PVT</w:t>
      </w:r>
      <w:r w:rsidR="00552ED4">
        <w:rPr>
          <w:rFonts w:cs="Arial"/>
          <w:lang w:val="en-US"/>
        </w:rPr>
        <w:t>, portal vein thrombosis</w:t>
      </w:r>
      <w:r w:rsidR="00A963E4">
        <w:rPr>
          <w:rFonts w:cs="Arial"/>
          <w:b/>
          <w:sz w:val="24"/>
          <w:szCs w:val="24"/>
          <w:lang w:val="en-US"/>
        </w:rPr>
        <w:t xml:space="preserve">, </w:t>
      </w:r>
      <w:r w:rsidR="00A963E4">
        <w:rPr>
          <w:rFonts w:cs="Arial"/>
          <w:vertAlign w:val="superscript"/>
          <w:lang w:val="en-US"/>
        </w:rPr>
        <w:t>6</w:t>
      </w:r>
      <w:r w:rsidR="00A963E4" w:rsidRPr="001C500B">
        <w:rPr>
          <w:rFonts w:cs="Arial"/>
          <w:lang w:val="en-US"/>
        </w:rPr>
        <w:t xml:space="preserve">ECOG, </w:t>
      </w:r>
      <w:r w:rsidR="00A963E4" w:rsidRPr="001C500B">
        <w:rPr>
          <w:rStyle w:val="Emphasis"/>
          <w:i w:val="0"/>
          <w:lang w:val="en-US"/>
        </w:rPr>
        <w:t>Eastern Cooperative Oncology Group</w:t>
      </w:r>
    </w:p>
    <w:p w14:paraId="77D038D6" w14:textId="77777777" w:rsidR="004F1A9C" w:rsidRDefault="004F1A9C" w:rsidP="00CF510E">
      <w:pPr>
        <w:rPr>
          <w:b/>
          <w:sz w:val="24"/>
          <w:szCs w:val="24"/>
          <w:lang w:val="en-US"/>
        </w:rPr>
      </w:pPr>
    </w:p>
    <w:p w14:paraId="0A2158F0" w14:textId="77777777" w:rsidR="00212CB8" w:rsidRDefault="00212CB8" w:rsidP="00CF510E">
      <w:pPr>
        <w:rPr>
          <w:b/>
          <w:sz w:val="24"/>
          <w:szCs w:val="24"/>
          <w:lang w:val="en-US"/>
        </w:rPr>
      </w:pPr>
    </w:p>
    <w:p w14:paraId="3C5DB7F2" w14:textId="77777777" w:rsidR="00212CB8" w:rsidRDefault="00212CB8" w:rsidP="00CF510E">
      <w:pPr>
        <w:rPr>
          <w:b/>
          <w:sz w:val="24"/>
          <w:szCs w:val="24"/>
          <w:lang w:val="en-US"/>
        </w:rPr>
      </w:pPr>
    </w:p>
    <w:p w14:paraId="726680B3" w14:textId="77777777" w:rsidR="00212CB8" w:rsidRDefault="00212CB8" w:rsidP="00CF510E">
      <w:pPr>
        <w:rPr>
          <w:b/>
          <w:sz w:val="24"/>
          <w:szCs w:val="24"/>
          <w:lang w:val="en-US"/>
        </w:rPr>
      </w:pPr>
    </w:p>
    <w:p w14:paraId="61643F4C" w14:textId="77777777" w:rsidR="00212CB8" w:rsidRDefault="00212CB8" w:rsidP="00CF510E">
      <w:pPr>
        <w:rPr>
          <w:b/>
          <w:sz w:val="24"/>
          <w:szCs w:val="24"/>
          <w:lang w:val="en-US"/>
        </w:rPr>
      </w:pPr>
    </w:p>
    <w:p w14:paraId="5DDD3294" w14:textId="77777777" w:rsidR="00212CB8" w:rsidRDefault="00212CB8" w:rsidP="00CF510E">
      <w:pPr>
        <w:rPr>
          <w:b/>
          <w:sz w:val="24"/>
          <w:szCs w:val="24"/>
          <w:lang w:val="en-US"/>
        </w:rPr>
      </w:pPr>
    </w:p>
    <w:p w14:paraId="09EA4E28" w14:textId="77777777" w:rsidR="002F1869" w:rsidRDefault="002F1869" w:rsidP="00CF510E">
      <w:pPr>
        <w:rPr>
          <w:b/>
          <w:sz w:val="24"/>
          <w:szCs w:val="24"/>
          <w:lang w:val="en-US"/>
        </w:rPr>
      </w:pPr>
    </w:p>
    <w:p w14:paraId="7CC507B4" w14:textId="77777777" w:rsidR="002F1869" w:rsidRDefault="002F1869" w:rsidP="00CF510E">
      <w:pPr>
        <w:rPr>
          <w:b/>
          <w:sz w:val="24"/>
          <w:szCs w:val="24"/>
          <w:lang w:val="en-US"/>
        </w:rPr>
      </w:pPr>
    </w:p>
    <w:p w14:paraId="2DC586EB" w14:textId="77777777" w:rsidR="002F1869" w:rsidRDefault="002F1869" w:rsidP="00CF510E">
      <w:pPr>
        <w:rPr>
          <w:b/>
          <w:sz w:val="24"/>
          <w:szCs w:val="24"/>
          <w:lang w:val="en-US"/>
        </w:rPr>
      </w:pPr>
    </w:p>
    <w:p w14:paraId="0DD5A909" w14:textId="77777777" w:rsidR="002F1869" w:rsidRDefault="002F1869" w:rsidP="00CF510E">
      <w:pPr>
        <w:rPr>
          <w:b/>
          <w:sz w:val="24"/>
          <w:szCs w:val="24"/>
          <w:lang w:val="en-US"/>
        </w:rPr>
      </w:pPr>
    </w:p>
    <w:p w14:paraId="58C27291" w14:textId="77777777" w:rsidR="002F1869" w:rsidRDefault="002F1869" w:rsidP="00CF510E">
      <w:pPr>
        <w:rPr>
          <w:b/>
          <w:sz w:val="24"/>
          <w:szCs w:val="24"/>
          <w:lang w:val="en-US"/>
        </w:rPr>
      </w:pPr>
    </w:p>
    <w:p w14:paraId="36B21CA3" w14:textId="77777777" w:rsidR="003E2AFE" w:rsidRDefault="003E2AFE" w:rsidP="00CF510E">
      <w:pPr>
        <w:rPr>
          <w:b/>
          <w:sz w:val="24"/>
          <w:szCs w:val="24"/>
          <w:lang w:val="en-US"/>
        </w:rPr>
      </w:pPr>
    </w:p>
    <w:p w14:paraId="6A016BA2" w14:textId="77777777" w:rsidR="003E2AFE" w:rsidRDefault="003E2AFE" w:rsidP="00CF510E">
      <w:pPr>
        <w:rPr>
          <w:b/>
          <w:sz w:val="24"/>
          <w:szCs w:val="24"/>
          <w:lang w:val="en-US"/>
        </w:rPr>
      </w:pPr>
    </w:p>
    <w:p w14:paraId="538B1E8F" w14:textId="77777777" w:rsidR="00643251" w:rsidRDefault="00CF510E" w:rsidP="007704A3">
      <w:pPr>
        <w:rPr>
          <w:b/>
          <w:sz w:val="24"/>
          <w:szCs w:val="24"/>
          <w:lang w:val="en-US"/>
        </w:rPr>
      </w:pPr>
      <w:r>
        <w:rPr>
          <w:b/>
          <w:sz w:val="24"/>
          <w:szCs w:val="24"/>
          <w:lang w:val="en-US"/>
        </w:rPr>
        <w:t>References</w:t>
      </w:r>
    </w:p>
    <w:p w14:paraId="1B2045B1" w14:textId="77777777" w:rsidR="00FC6AC8" w:rsidRPr="00A63868" w:rsidRDefault="00995C75" w:rsidP="00FC6AC8">
      <w:pPr>
        <w:widowControl w:val="0"/>
        <w:autoSpaceDE w:val="0"/>
        <w:autoSpaceDN w:val="0"/>
        <w:adjustRightInd w:val="0"/>
        <w:spacing w:line="480" w:lineRule="auto"/>
        <w:ind w:left="640" w:hanging="640"/>
        <w:rPr>
          <w:rFonts w:cs="Arial"/>
          <w:noProof/>
          <w:sz w:val="24"/>
          <w:szCs w:val="24"/>
          <w:lang w:val="en-US"/>
        </w:rPr>
      </w:pPr>
      <w:r>
        <w:rPr>
          <w:sz w:val="24"/>
          <w:szCs w:val="24"/>
          <w:lang w:val="en-US"/>
        </w:rPr>
        <w:fldChar w:fldCharType="begin" w:fldLock="1"/>
      </w:r>
      <w:r>
        <w:rPr>
          <w:sz w:val="24"/>
          <w:szCs w:val="24"/>
          <w:lang w:val="en-US"/>
        </w:rPr>
        <w:instrText xml:space="preserve">ADDIN Mendeley Bibliography CSL_BIBLIOGRAPHY </w:instrText>
      </w:r>
      <w:r>
        <w:rPr>
          <w:sz w:val="24"/>
          <w:szCs w:val="24"/>
          <w:lang w:val="en-US"/>
        </w:rPr>
        <w:fldChar w:fldCharType="separate"/>
      </w:r>
      <w:r w:rsidR="00FC6AC8" w:rsidRPr="00A63868">
        <w:rPr>
          <w:rFonts w:cs="Arial"/>
          <w:noProof/>
          <w:sz w:val="24"/>
          <w:szCs w:val="24"/>
          <w:lang w:val="en-US"/>
        </w:rPr>
        <w:t>[1]</w:t>
      </w:r>
      <w:r w:rsidR="00FC6AC8" w:rsidRPr="00A63868">
        <w:rPr>
          <w:rFonts w:cs="Arial"/>
          <w:noProof/>
          <w:sz w:val="24"/>
          <w:szCs w:val="24"/>
          <w:lang w:val="en-US"/>
        </w:rPr>
        <w:tab/>
        <w:t>Wallace MC, Preen D, Jeffrey GP, Adams LA. The evolving epidemiology of hepatocellular carcinoma: a global perspective. Expert Rev Gastroenterol Hepatol 2015;9:765–79.</w:t>
      </w:r>
    </w:p>
    <w:p w14:paraId="401E66CD"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A63868">
        <w:rPr>
          <w:rFonts w:cs="Arial"/>
          <w:noProof/>
          <w:sz w:val="24"/>
          <w:szCs w:val="24"/>
          <w:lang w:val="en-US"/>
        </w:rPr>
        <w:t>[2]</w:t>
      </w:r>
      <w:r w:rsidRPr="00A63868">
        <w:rPr>
          <w:rFonts w:cs="Arial"/>
          <w:noProof/>
          <w:sz w:val="24"/>
          <w:szCs w:val="24"/>
          <w:lang w:val="en-US"/>
        </w:rPr>
        <w:tab/>
        <w:t xml:space="preserve">Bruix J, Gores GJ, Mazzaferro V. Hepatocellular carcinoma: clinical frontiers and perspectives. </w:t>
      </w:r>
      <w:r w:rsidRPr="00FC6AC8">
        <w:rPr>
          <w:rFonts w:cs="Arial"/>
          <w:noProof/>
          <w:sz w:val="24"/>
          <w:szCs w:val="24"/>
        </w:rPr>
        <w:t>Gut 2014;63:844–55.</w:t>
      </w:r>
    </w:p>
    <w:p w14:paraId="695A9598"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[3]</w:t>
      </w:r>
      <w:r w:rsidRPr="00FC6AC8">
        <w:rPr>
          <w:rFonts w:cs="Arial"/>
          <w:noProof/>
          <w:sz w:val="24"/>
          <w:szCs w:val="24"/>
        </w:rPr>
        <w:tab/>
        <w:t xml:space="preserve">El-Khoueiry AB, Sangro B, Yau T, Crocenzi TS, Kudo M, Hsu C, et al. </w:t>
      </w:r>
      <w:r w:rsidRPr="00A63868">
        <w:rPr>
          <w:rFonts w:cs="Arial"/>
          <w:noProof/>
          <w:sz w:val="24"/>
          <w:szCs w:val="24"/>
          <w:lang w:val="en-US"/>
        </w:rPr>
        <w:t>Articles Nivolumab in patients with advanced hepatocellular carcinoma (CheckMate 040): an open-label, non-comparative, phase 1/2 dose escalation and expansion trial 2017.</w:t>
      </w:r>
    </w:p>
    <w:p w14:paraId="5329E13A"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[4]</w:t>
      </w:r>
      <w:r w:rsidRPr="00A63868">
        <w:rPr>
          <w:rFonts w:cs="Arial"/>
          <w:noProof/>
          <w:sz w:val="24"/>
          <w:szCs w:val="24"/>
          <w:lang w:val="en-US"/>
        </w:rPr>
        <w:tab/>
        <w:t>Llovet JM, Ricci S, Mazzaferro V, Hilgard P, Gane E, Blanc J-F, et al. Sorafenib in Advanced Hepatocellular Carcinoma. N Engl J Med 2008;359:378–90.</w:t>
      </w:r>
    </w:p>
    <w:p w14:paraId="08B25553"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A63868">
        <w:rPr>
          <w:rFonts w:cs="Arial"/>
          <w:noProof/>
          <w:sz w:val="24"/>
          <w:szCs w:val="24"/>
          <w:lang w:val="en-US"/>
        </w:rPr>
        <w:t>[5]</w:t>
      </w:r>
      <w:r w:rsidRPr="00A63868">
        <w:rPr>
          <w:rFonts w:cs="Arial"/>
          <w:noProof/>
          <w:sz w:val="24"/>
          <w:szCs w:val="24"/>
          <w:lang w:val="en-US"/>
        </w:rPr>
        <w:tab/>
        <w:t xml:space="preserve">Forner A, Llovet JM, Bruix J. Hepatocellular carcinoma. </w:t>
      </w:r>
      <w:r w:rsidRPr="00FC6AC8">
        <w:rPr>
          <w:rFonts w:cs="Arial"/>
          <w:noProof/>
          <w:sz w:val="24"/>
          <w:szCs w:val="24"/>
        </w:rPr>
        <w:t>Lancet 2012;379:1245–55.</w:t>
      </w:r>
    </w:p>
    <w:p w14:paraId="3C80102B"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[6]</w:t>
      </w:r>
      <w:r w:rsidRPr="00FC6AC8">
        <w:rPr>
          <w:rFonts w:cs="Arial"/>
          <w:noProof/>
          <w:sz w:val="24"/>
          <w:szCs w:val="24"/>
        </w:rPr>
        <w:tab/>
        <w:t xml:space="preserve">Dufour JF, Greten TF, Raymond E, Roskams T, De T, Ducreux M, et al. </w:t>
      </w:r>
      <w:r w:rsidRPr="00A63868">
        <w:rPr>
          <w:rFonts w:cs="Arial"/>
          <w:noProof/>
          <w:sz w:val="24"/>
          <w:szCs w:val="24"/>
          <w:lang w:val="en-US"/>
        </w:rPr>
        <w:t>Clinical Practice Guidelines EASL – EORTC Clinical Practice Guidelines : Management of hepatocellular carcinoma European Organisation for Research and Treatment of Cancer. J Hepatol 2012;56:908–43.</w:t>
      </w:r>
    </w:p>
    <w:p w14:paraId="17F9123F"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[7]</w:t>
      </w:r>
      <w:r w:rsidRPr="00A63868">
        <w:rPr>
          <w:rFonts w:cs="Arial"/>
          <w:noProof/>
          <w:sz w:val="24"/>
          <w:szCs w:val="24"/>
          <w:lang w:val="en-US"/>
        </w:rPr>
        <w:tab/>
        <w:t>Ogasawara S, Chiba T, Ooka Y, Kanogawa N, Motoyama T, Suzuki E, et al. Efficacy of sorafenib in intermediate-stage hepatocellular carcinoma patients refractory to transarterial chemoembolization. Oncology 2014;87:330–41.</w:t>
      </w:r>
    </w:p>
    <w:p w14:paraId="493DBF72"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lastRenderedPageBreak/>
        <w:t>[8]</w:t>
      </w:r>
      <w:r w:rsidRPr="00A63868">
        <w:rPr>
          <w:rFonts w:cs="Arial"/>
          <w:noProof/>
          <w:sz w:val="24"/>
          <w:szCs w:val="24"/>
          <w:lang w:val="en-US"/>
        </w:rPr>
        <w:tab/>
        <w:t>Ogasawara S, Chiba T, Ooka Y, Kanogawa N, Motoyama T, Suzuki E, et al. Efficacy of sorafenib in intermediate-stage hepatocellular carcinoma patients refractory to transarterial chemoembolization. Oncol 2014.</w:t>
      </w:r>
    </w:p>
    <w:p w14:paraId="60E659F8"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[9]</w:t>
      </w:r>
      <w:r w:rsidRPr="00A63868">
        <w:rPr>
          <w:rFonts w:cs="Arial"/>
          <w:noProof/>
          <w:sz w:val="24"/>
          <w:szCs w:val="24"/>
          <w:lang w:val="en-US"/>
        </w:rPr>
        <w:tab/>
        <w:t>Howell J, Pinato DJ, Ramaswami R, Bettinger D, Arizumi T, Ferrari C, et al. On-target sorafenib toxicity predicts improved survival in hepatocellular carcinoma: a multi-centre, prospective study. Aliment Pharmacol Ther 2017;45.</w:t>
      </w:r>
    </w:p>
    <w:p w14:paraId="00166BF8"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A63868">
        <w:rPr>
          <w:rFonts w:cs="Arial"/>
          <w:noProof/>
          <w:sz w:val="24"/>
          <w:szCs w:val="24"/>
          <w:lang w:val="en-US"/>
        </w:rPr>
        <w:t>[10]</w:t>
      </w:r>
      <w:r w:rsidRPr="00A63868">
        <w:rPr>
          <w:rFonts w:cs="Arial"/>
          <w:noProof/>
          <w:sz w:val="24"/>
          <w:szCs w:val="24"/>
          <w:lang w:val="en-US"/>
        </w:rPr>
        <w:tab/>
        <w:t xml:space="preserve">Vilgrain V, Pereira H, Assenat E, Guiu B, Ilonca AD, Pageaux GP, et al. Efficacy and safety of selective internal radiotherapy with yttrium-90 resin microspheres compared with sorafenib in locally advanced and inoperable hepatocellular carcinoma (SARAH): an open-label randomised controlled phase 3 trial. </w:t>
      </w:r>
      <w:r w:rsidRPr="00FC6AC8">
        <w:rPr>
          <w:rFonts w:cs="Arial"/>
          <w:noProof/>
          <w:sz w:val="24"/>
          <w:szCs w:val="24"/>
        </w:rPr>
        <w:t>Lancet Oncol 2017;18:1624–36.</w:t>
      </w:r>
    </w:p>
    <w:p w14:paraId="7738B9A5"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[11]</w:t>
      </w:r>
      <w:r w:rsidRPr="00FC6AC8">
        <w:rPr>
          <w:rFonts w:cs="Arial"/>
          <w:noProof/>
          <w:sz w:val="24"/>
          <w:szCs w:val="24"/>
        </w:rPr>
        <w:tab/>
        <w:t xml:space="preserve">Gkika E, Schultheiss M, Bettinger D, Maruschke L, Neeff HP, Schulenburg M, et al. </w:t>
      </w:r>
      <w:r w:rsidRPr="00A63868">
        <w:rPr>
          <w:rFonts w:cs="Arial"/>
          <w:noProof/>
          <w:sz w:val="24"/>
          <w:szCs w:val="24"/>
          <w:lang w:val="en-US"/>
        </w:rPr>
        <w:t>Excellent local control and tolerance profile after stereotactic body radiotherapy of advanced hepatocellular carcinoma. Radiat Oncol 2017;12:116.</w:t>
      </w:r>
    </w:p>
    <w:p w14:paraId="5636E3C1"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[12]</w:t>
      </w:r>
      <w:r w:rsidRPr="00A63868">
        <w:rPr>
          <w:rFonts w:cs="Arial"/>
          <w:noProof/>
          <w:sz w:val="24"/>
          <w:szCs w:val="24"/>
          <w:lang w:val="en-US"/>
        </w:rPr>
        <w:tab/>
        <w:t>Mendez Romero A, de Man RA. Stereotactic body radiation therapy for primary and metastatic liver tumors: From technological evolution to improved patient care. Best Pract Res Clin Gastroenterol 2016;30:603–16.</w:t>
      </w:r>
    </w:p>
    <w:p w14:paraId="12CC517C"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[13]</w:t>
      </w:r>
      <w:r w:rsidRPr="00A63868">
        <w:rPr>
          <w:rFonts w:cs="Arial"/>
          <w:noProof/>
          <w:sz w:val="24"/>
          <w:szCs w:val="24"/>
          <w:lang w:val="en-US"/>
        </w:rPr>
        <w:tab/>
        <w:t>Tse R V., Hawkins M, Lockwood G, Kim JJ, Cummings B, Knox J, et al. Phase I study of individualized stereotactic body radiotherapy for hepatocellular carcinoma and intrahepatic cholangiocarcinoma. J Clin Oncol 2008;26:657–64.</w:t>
      </w:r>
    </w:p>
    <w:p w14:paraId="435ECAE1"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A63868">
        <w:rPr>
          <w:rFonts w:cs="Arial"/>
          <w:noProof/>
          <w:sz w:val="24"/>
          <w:szCs w:val="24"/>
          <w:lang w:val="en-US"/>
        </w:rPr>
        <w:t>[14]</w:t>
      </w:r>
      <w:r w:rsidRPr="00A63868">
        <w:rPr>
          <w:rFonts w:cs="Arial"/>
          <w:noProof/>
          <w:sz w:val="24"/>
          <w:szCs w:val="24"/>
          <w:lang w:val="en-US"/>
        </w:rPr>
        <w:tab/>
        <w:t xml:space="preserve">Sterzing F, Brunner TB, Ernst I, Baus WW, Greve B, Herfarth K, et al. Stereotactic body radiotherapy for liver tumors: principles and practical guidelines of the DEGRO Working Group on Stereotactic Radiotherapy. </w:t>
      </w:r>
      <w:r w:rsidRPr="00FC6AC8">
        <w:rPr>
          <w:rFonts w:cs="Arial"/>
          <w:noProof/>
          <w:sz w:val="24"/>
          <w:szCs w:val="24"/>
        </w:rPr>
        <w:lastRenderedPageBreak/>
        <w:t>Strahlentherapie Und Onkol  Organ Der Dtsch Rontgengesellschaft . [et  Al] 2014;190:872–81.</w:t>
      </w:r>
    </w:p>
    <w:p w14:paraId="2699E27F"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[15]</w:t>
      </w:r>
      <w:r w:rsidRPr="00FC6AC8">
        <w:rPr>
          <w:rFonts w:cs="Arial"/>
          <w:noProof/>
          <w:sz w:val="24"/>
          <w:szCs w:val="24"/>
        </w:rPr>
        <w:tab/>
        <w:t xml:space="preserve">Bujold A, Massey CA, Kim JJ, Brierley J, Cho C, Wong RKS, et al. </w:t>
      </w:r>
      <w:r w:rsidRPr="00A63868">
        <w:rPr>
          <w:rFonts w:cs="Arial"/>
          <w:noProof/>
          <w:sz w:val="24"/>
          <w:szCs w:val="24"/>
          <w:lang w:val="en-US"/>
        </w:rPr>
        <w:t>Sequential phase I and II trials of stereotactic body radiotherapy for locally advanced hepatocellular carcinoma. J Clin Oncol 2013;31:1631–9.</w:t>
      </w:r>
    </w:p>
    <w:p w14:paraId="7892E3EC"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[16]</w:t>
      </w:r>
      <w:r w:rsidRPr="00A63868">
        <w:rPr>
          <w:rFonts w:cs="Arial"/>
          <w:noProof/>
          <w:sz w:val="24"/>
          <w:szCs w:val="24"/>
          <w:lang w:val="en-US"/>
        </w:rPr>
        <w:tab/>
        <w:t>Qiu H, Moravan MJ, Milano MT, Usuki KY, Katz AW. SBRT for Hepatocellular Carcinoma: 8-Year Experience from a Regional Transplant Center. J Gastrointest Cancer 2017.</w:t>
      </w:r>
    </w:p>
    <w:p w14:paraId="363EC102"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[17]</w:t>
      </w:r>
      <w:r w:rsidRPr="00A63868">
        <w:rPr>
          <w:rFonts w:cs="Arial"/>
          <w:noProof/>
          <w:sz w:val="24"/>
          <w:szCs w:val="24"/>
          <w:lang w:val="en-US"/>
        </w:rPr>
        <w:tab/>
        <w:t>Murray LJ, Dawson LA. Advances in Stereotactic Body Radiation Therapy for Hepatocellular Carcinoma. Semin Radiat Oncol 2017;27:247–55.</w:t>
      </w:r>
    </w:p>
    <w:p w14:paraId="207F2F56"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A63868">
        <w:rPr>
          <w:rFonts w:cs="Arial"/>
          <w:noProof/>
          <w:sz w:val="24"/>
          <w:szCs w:val="24"/>
          <w:lang w:val="en-US"/>
        </w:rPr>
        <w:t>[18]</w:t>
      </w:r>
      <w:r w:rsidRPr="00A63868">
        <w:rPr>
          <w:rFonts w:cs="Arial"/>
          <w:noProof/>
          <w:sz w:val="24"/>
          <w:szCs w:val="24"/>
          <w:lang w:val="en-US"/>
        </w:rPr>
        <w:tab/>
        <w:t xml:space="preserve">Lawrence TS, Ten Haken RK, Kessler ML, Robertson JM, Lyman JT, Lavigne ML, et al. The use of 3-D dose volume analysis to predict radiation hepatitis. </w:t>
      </w:r>
      <w:r w:rsidRPr="00FC6AC8">
        <w:rPr>
          <w:rFonts w:cs="Arial"/>
          <w:noProof/>
          <w:sz w:val="24"/>
          <w:szCs w:val="24"/>
        </w:rPr>
        <w:t>Int J Radiat Oncol Biol Phys 1992;23:781–8.</w:t>
      </w:r>
    </w:p>
    <w:p w14:paraId="4A47C644"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[19]</w:t>
      </w:r>
      <w:r w:rsidRPr="00FC6AC8">
        <w:rPr>
          <w:rFonts w:cs="Arial"/>
          <w:noProof/>
          <w:sz w:val="24"/>
          <w:szCs w:val="24"/>
        </w:rPr>
        <w:tab/>
        <w:t xml:space="preserve">Brunner TB, Nestle U, Adebahr S, Gkika E, Wiehle R, Baltas D, et al. </w:t>
      </w:r>
      <w:r w:rsidRPr="00A63868">
        <w:rPr>
          <w:rFonts w:cs="Arial"/>
          <w:noProof/>
          <w:sz w:val="24"/>
          <w:szCs w:val="24"/>
          <w:lang w:val="en-US"/>
        </w:rPr>
        <w:t>Simultaneous integrated protection. Strahlentherapie Und Onkol 2016;192:886–94.</w:t>
      </w:r>
    </w:p>
    <w:p w14:paraId="3E8DF83E"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[20]</w:t>
      </w:r>
      <w:r w:rsidRPr="00A63868">
        <w:rPr>
          <w:rFonts w:cs="Arial"/>
          <w:noProof/>
          <w:sz w:val="24"/>
          <w:szCs w:val="24"/>
          <w:lang w:val="en-US"/>
        </w:rPr>
        <w:tab/>
        <w:t>Bruix J, Sherman M. Management of hepatocellular carcinoma: an update. Hepatology 2011;53:1020–2.</w:t>
      </w:r>
    </w:p>
    <w:p w14:paraId="67793EAF"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[21]</w:t>
      </w:r>
      <w:r w:rsidRPr="00A63868">
        <w:rPr>
          <w:rFonts w:cs="Arial"/>
          <w:noProof/>
          <w:sz w:val="24"/>
          <w:szCs w:val="24"/>
          <w:lang w:val="en-US"/>
        </w:rPr>
        <w:tab/>
        <w:t>EASL-EORTC clinical practice guidelines: management of hepatocellular carcinoma. J Hepatol 2012;56:908–43.</w:t>
      </w:r>
    </w:p>
    <w:p w14:paraId="3166A973"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[22]</w:t>
      </w:r>
      <w:r w:rsidRPr="00A63868">
        <w:rPr>
          <w:rFonts w:cs="Arial"/>
          <w:noProof/>
          <w:sz w:val="24"/>
          <w:szCs w:val="24"/>
          <w:lang w:val="en-US"/>
        </w:rPr>
        <w:tab/>
        <w:t>Austin PC. Balance diagnostics for comparing the distribution of baseline covariates between treatment groups in propensity-score matched samples. Stat Med 2009;28:221–39.</w:t>
      </w:r>
    </w:p>
    <w:p w14:paraId="4A7F6D81"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A63868">
        <w:rPr>
          <w:rFonts w:cs="Arial"/>
          <w:noProof/>
          <w:sz w:val="24"/>
          <w:szCs w:val="24"/>
          <w:lang w:val="en-US"/>
        </w:rPr>
        <w:lastRenderedPageBreak/>
        <w:t>[23]</w:t>
      </w:r>
      <w:r w:rsidRPr="00A63868">
        <w:rPr>
          <w:rFonts w:cs="Arial"/>
          <w:noProof/>
          <w:sz w:val="24"/>
          <w:szCs w:val="24"/>
          <w:lang w:val="en-US"/>
        </w:rPr>
        <w:tab/>
        <w:t xml:space="preserve">Timmerman RD. An Overview of Hypofractionation and Introduction to This Issue of Seminars in Radiation Oncology. </w:t>
      </w:r>
      <w:r w:rsidRPr="00FC6AC8">
        <w:rPr>
          <w:rFonts w:cs="Arial"/>
          <w:noProof/>
          <w:sz w:val="24"/>
          <w:szCs w:val="24"/>
        </w:rPr>
        <w:t>Semin Radiat Oncol 2008;18:215–22.</w:t>
      </w:r>
    </w:p>
    <w:p w14:paraId="1598C7B5"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FC6AC8">
        <w:rPr>
          <w:rFonts w:cs="Arial"/>
          <w:noProof/>
          <w:sz w:val="24"/>
          <w:szCs w:val="24"/>
        </w:rPr>
        <w:t>[24]</w:t>
      </w:r>
      <w:r w:rsidRPr="00FC6AC8">
        <w:rPr>
          <w:rFonts w:cs="Arial"/>
          <w:noProof/>
          <w:sz w:val="24"/>
          <w:szCs w:val="24"/>
        </w:rPr>
        <w:tab/>
        <w:t>El-Serag HB. Hepatocellular carcinoma. NJEM 1994;119:751–2.</w:t>
      </w:r>
    </w:p>
    <w:p w14:paraId="21321611"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[25]</w:t>
      </w:r>
      <w:r w:rsidRPr="00FC6AC8">
        <w:rPr>
          <w:rFonts w:cs="Arial"/>
          <w:noProof/>
          <w:sz w:val="24"/>
          <w:szCs w:val="24"/>
        </w:rPr>
        <w:tab/>
        <w:t xml:space="preserve">Benson AB 3rd, D’Angelica MI, Abbott DE, Abrams TA, Alberts SR, Saenz DA, et al. </w:t>
      </w:r>
      <w:r w:rsidRPr="00A63868">
        <w:rPr>
          <w:rFonts w:cs="Arial"/>
          <w:noProof/>
          <w:sz w:val="24"/>
          <w:szCs w:val="24"/>
          <w:lang w:val="en-US"/>
        </w:rPr>
        <w:t>NCCN Guidelines Insights: Hepatobiliary Cancers, Version 1.2017. J Natl Compr Canc Netw 2017;15:563–73.</w:t>
      </w:r>
    </w:p>
    <w:p w14:paraId="19853D34"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[26]</w:t>
      </w:r>
      <w:r w:rsidRPr="00A63868">
        <w:rPr>
          <w:rFonts w:cs="Arial"/>
          <w:noProof/>
          <w:sz w:val="24"/>
          <w:szCs w:val="24"/>
          <w:lang w:val="en-US"/>
        </w:rPr>
        <w:tab/>
        <w:t>Verslype C, Rosmorduc O, Rougier P. Hepatocellular carcinoma: ESMO-ESDO Clinical Practice Guidelines for diagnosis, treatment and follow-up. Ann Oncol  Off J Eur Soc Med Oncol 2012;23 Suppl 7:vii41-8.</w:t>
      </w:r>
    </w:p>
    <w:p w14:paraId="2789C21E"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[27]</w:t>
      </w:r>
      <w:r w:rsidRPr="00A63868">
        <w:rPr>
          <w:rFonts w:cs="Arial"/>
          <w:noProof/>
          <w:sz w:val="24"/>
          <w:szCs w:val="24"/>
          <w:lang w:val="en-US"/>
        </w:rPr>
        <w:tab/>
        <w:t>Bruix J, Sherman M, Practice Guidelines Committee, American Association for the Study of Liver Diseases. Management of hepatocellular carcinoma. Hepatology 2005;42:1208–36.</w:t>
      </w:r>
    </w:p>
    <w:p w14:paraId="6AE8C4A6"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[28]</w:t>
      </w:r>
      <w:r w:rsidRPr="00A63868">
        <w:rPr>
          <w:rFonts w:cs="Arial"/>
          <w:noProof/>
          <w:sz w:val="24"/>
          <w:szCs w:val="24"/>
          <w:lang w:val="en-US"/>
        </w:rPr>
        <w:tab/>
        <w:t>Brunocilla PR, Brunello F, Carucci P, Gaia S, Rolle E, Cantamessa A, et al. Sorafenib in hepatocellular carcinoma: prospective study on adverse events, quality of life, and related feasibility under daily conditions. Med Oncol 2013;30:345.</w:t>
      </w:r>
    </w:p>
    <w:p w14:paraId="7ECD06A4"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[29]</w:t>
      </w:r>
      <w:r w:rsidRPr="00A63868">
        <w:rPr>
          <w:rFonts w:cs="Arial"/>
          <w:noProof/>
          <w:sz w:val="24"/>
          <w:szCs w:val="24"/>
          <w:lang w:val="en-US"/>
        </w:rPr>
        <w:tab/>
        <w:t>Kudo M, Lencioni R, Marrero JA, Venook AP, Bronowicki JP, Chen XP, et al. Regional differences in sorafenib-treated patients with hepatocellular carcinoma: GIDEON observational study. Liver Int 2016.</w:t>
      </w:r>
    </w:p>
    <w:p w14:paraId="1A84C8FA"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[30]</w:t>
      </w:r>
      <w:r w:rsidRPr="00A63868">
        <w:rPr>
          <w:rFonts w:cs="Arial"/>
          <w:noProof/>
          <w:sz w:val="24"/>
          <w:szCs w:val="24"/>
          <w:lang w:val="en-US"/>
        </w:rPr>
        <w:tab/>
        <w:t>Feng D, Hui X, Shi-Chun L, Yan-Hua B, Li C, Xiao-Hui L, et al. Initial experience of anti-PD1 therapy with nivolumab in advanced hepatocellular carcinoma. Oncotarget 2017.</w:t>
      </w:r>
    </w:p>
    <w:p w14:paraId="731EDAFC"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lastRenderedPageBreak/>
        <w:t>[31]</w:t>
      </w:r>
      <w:r w:rsidRPr="00A63868">
        <w:rPr>
          <w:rFonts w:cs="Arial"/>
          <w:noProof/>
          <w:sz w:val="24"/>
          <w:szCs w:val="24"/>
          <w:lang w:val="en-US"/>
        </w:rPr>
        <w:tab/>
        <w:t>Culleton S, Jiang H, Haddad CR, Kim J, Brierley J, Brade A, et al. Outcomes following definitive stereotactic body radiotherapy for patients with Child-Pugh B or C hepatocellular carcinoma. Radiother Oncol 2014;111:412–7.</w:t>
      </w:r>
    </w:p>
    <w:p w14:paraId="01C3F049"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[32]</w:t>
      </w:r>
      <w:r w:rsidRPr="00A63868">
        <w:rPr>
          <w:rFonts w:cs="Arial"/>
          <w:noProof/>
          <w:sz w:val="24"/>
          <w:szCs w:val="24"/>
          <w:lang w:val="en-US"/>
        </w:rPr>
        <w:tab/>
        <w:t>O’Connor JK, Trotter J, Davis GL, Dempster J, Klintmalm GB, Goldstein RM. Long-term outcomes of stereotactic body radiation therapy in the treatment of hepatocellular cancer as a bridge to transplantation. Liver Transplant  Off Publ Am Assoc  Study Liver Dis Int Liver Transplant Soc 2012;18:949–54.</w:t>
      </w:r>
    </w:p>
    <w:p w14:paraId="54E5C203"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[33]</w:t>
      </w:r>
      <w:r w:rsidRPr="00A63868">
        <w:rPr>
          <w:rFonts w:cs="Arial"/>
          <w:noProof/>
          <w:sz w:val="24"/>
          <w:szCs w:val="24"/>
          <w:lang w:val="en-US"/>
        </w:rPr>
        <w:tab/>
        <w:t>Mendez Romero A, Wunderink W, van Os RM, Nowak PJCM, Heijmen BJM, Nuyttens JJ, et al. Quality of life after stereotactic body radiation therapy for primary and metastatic liver tumors. Int J Radiat Oncol Biol Phys 2008;70:1447–52.</w:t>
      </w:r>
    </w:p>
    <w:p w14:paraId="0D50CE5A"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[34]</w:t>
      </w:r>
      <w:r w:rsidRPr="00A63868">
        <w:rPr>
          <w:rFonts w:cs="Arial"/>
          <w:noProof/>
          <w:sz w:val="24"/>
          <w:szCs w:val="24"/>
          <w:lang w:val="en-US"/>
        </w:rPr>
        <w:tab/>
        <w:t>Klein J, Dawson LA, Jiang H, Kim J, Dinniwell R, Brierley J, et al. Prospective Longitudinal Assessment of Quality of Life for Liver Cancer Patients  Treated With Stereotactic Body Radiation Therapy. Int J Radiat Oncol Biol Phys 2015;93:16–25.</w:t>
      </w:r>
    </w:p>
    <w:p w14:paraId="70091454"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[35]</w:t>
      </w:r>
      <w:r w:rsidRPr="00A63868">
        <w:rPr>
          <w:rFonts w:cs="Arial"/>
          <w:noProof/>
          <w:sz w:val="24"/>
          <w:szCs w:val="24"/>
          <w:lang w:val="en-US"/>
        </w:rPr>
        <w:tab/>
        <w:t>Wahl DR, Stenmark MH, Tao Y, Pollom EL, Caoili EM, Lawrence TS, et al. Outcomes after stereotactic body radiotherapy or radiofrequency ablation for hepatocellular carcinoma. J Clin Oncol 2016;34:452–9.</w:t>
      </w:r>
    </w:p>
    <w:p w14:paraId="275DDF37"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[36]</w:t>
      </w:r>
      <w:r w:rsidRPr="00A63868">
        <w:rPr>
          <w:rFonts w:cs="Arial"/>
          <w:noProof/>
          <w:sz w:val="24"/>
          <w:szCs w:val="24"/>
          <w:lang w:val="en-US"/>
        </w:rPr>
        <w:tab/>
        <w:t>Sapir E, Tao Y, Schipper MJ, Bazzi L, Novelli PM, Devlin P, et al. Stereotactic Body Radiation Therapy as an Alternative to Transarterial Chemoembolization for Hepatocellular Carcinoma. Int J Radiat Oncol 2017.</w:t>
      </w:r>
    </w:p>
    <w:p w14:paraId="57490ED4"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[37]</w:t>
      </w:r>
      <w:r w:rsidRPr="00A63868">
        <w:rPr>
          <w:rFonts w:cs="Arial"/>
          <w:noProof/>
          <w:sz w:val="24"/>
          <w:szCs w:val="24"/>
          <w:lang w:val="en-US"/>
        </w:rPr>
        <w:tab/>
        <w:t xml:space="preserve">Sapisochin G, Barry A, Doherty M, Fischer S, Goldaracena N, Rosales R, et al. Stereotactic body radiotherapy versus TACE or RFA as a bridge to transplant in patients with hepatocellular carcinoma. An intention-to-treat analysis. J </w:t>
      </w:r>
      <w:r w:rsidRPr="00A63868">
        <w:rPr>
          <w:rFonts w:cs="Arial"/>
          <w:noProof/>
          <w:sz w:val="24"/>
          <w:szCs w:val="24"/>
          <w:lang w:val="en-US"/>
        </w:rPr>
        <w:lastRenderedPageBreak/>
        <w:t>Hepatol 2017.</w:t>
      </w:r>
    </w:p>
    <w:p w14:paraId="28CAD0A8"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[38]</w:t>
      </w:r>
      <w:r w:rsidRPr="00A63868">
        <w:rPr>
          <w:rFonts w:cs="Arial"/>
          <w:noProof/>
          <w:sz w:val="24"/>
          <w:szCs w:val="24"/>
          <w:lang w:val="en-US"/>
        </w:rPr>
        <w:tab/>
        <w:t>Katz AW, Chawla S, Qu Z, Kashyap R, Milano MT, Hezel AF. Stereotactic hypofractionated radiation therapy as a bridge to transplantation for hepatocellular carcinoma: Clinical outcome and pathologic correlation. Int J Radiat Oncol Biol Phys 2012;83:895–900.</w:t>
      </w:r>
    </w:p>
    <w:p w14:paraId="07B37741"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DA0A5D">
        <w:rPr>
          <w:rFonts w:cs="Arial"/>
          <w:noProof/>
          <w:sz w:val="24"/>
          <w:szCs w:val="24"/>
          <w:lang w:val="it-IT"/>
        </w:rPr>
        <w:t>[39]</w:t>
      </w:r>
      <w:r w:rsidRPr="00DA0A5D">
        <w:rPr>
          <w:rFonts w:cs="Arial"/>
          <w:noProof/>
          <w:sz w:val="24"/>
          <w:szCs w:val="24"/>
          <w:lang w:val="it-IT"/>
        </w:rPr>
        <w:tab/>
        <w:t xml:space="preserve">Sandroussi C, Dawson L a, Lee M, Guindi M, Fischer S, Ghanekar A, et al. </w:t>
      </w:r>
      <w:r w:rsidRPr="00A63868">
        <w:rPr>
          <w:rFonts w:cs="Arial"/>
          <w:noProof/>
          <w:sz w:val="24"/>
          <w:szCs w:val="24"/>
          <w:lang w:val="en-US"/>
        </w:rPr>
        <w:t>Radiotherapy as a bridge to liver transplantation for hepatocellular carcinoma. Transpl Int 2010;23:299–306.</w:t>
      </w:r>
    </w:p>
    <w:p w14:paraId="0AF2B143"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[40]</w:t>
      </w:r>
      <w:r w:rsidRPr="00A63868">
        <w:rPr>
          <w:rFonts w:cs="Arial"/>
          <w:noProof/>
          <w:sz w:val="24"/>
          <w:szCs w:val="24"/>
          <w:lang w:val="en-US"/>
        </w:rPr>
        <w:tab/>
        <w:t>Mohamed M, Katz AW, Tejani MA, Sharma AK, Kashyap R, Noel MS, et al. Comparison of outcomes between SBRT, yttrium-90 radioembolization, transarterial chemoembolization, and radiofrequency ablation as bridge to transplant for hepatocellular carcinoma. Adv Radiat Oncol 2016;1:35–42.</w:t>
      </w:r>
    </w:p>
    <w:p w14:paraId="1B87171B"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[41]</w:t>
      </w:r>
      <w:r w:rsidRPr="00A63868">
        <w:rPr>
          <w:rFonts w:cs="Arial"/>
          <w:noProof/>
          <w:sz w:val="24"/>
          <w:szCs w:val="24"/>
          <w:lang w:val="en-US"/>
        </w:rPr>
        <w:tab/>
        <w:t>Brade AM, Ng S, Brierley J, Kim J, Dinniwell R, Ringash J, et al. Phase 1 Trial of Sorafenib and Stereotactic Body Radiation Therapy for Hepatocellular Carcinoma. Int J Radiat Oncol Biol Phys 2016;94:580–7.</w:t>
      </w:r>
    </w:p>
    <w:p w14:paraId="288E3064" w14:textId="77777777" w:rsidR="00FC6AC8" w:rsidRPr="00FC6AC8" w:rsidRDefault="00FC6AC8" w:rsidP="00FC6AC8">
      <w:pPr>
        <w:widowControl w:val="0"/>
        <w:autoSpaceDE w:val="0"/>
        <w:autoSpaceDN w:val="0"/>
        <w:adjustRightInd w:val="0"/>
        <w:spacing w:line="480" w:lineRule="auto"/>
        <w:ind w:left="640" w:hanging="640"/>
        <w:rPr>
          <w:rFonts w:cs="Arial"/>
          <w:noProof/>
          <w:sz w:val="24"/>
          <w:szCs w:val="24"/>
        </w:rPr>
      </w:pPr>
      <w:r w:rsidRPr="00A63868">
        <w:rPr>
          <w:rFonts w:cs="Arial"/>
          <w:noProof/>
          <w:sz w:val="24"/>
          <w:szCs w:val="24"/>
          <w:lang w:val="en-US"/>
        </w:rPr>
        <w:t>[42]</w:t>
      </w:r>
      <w:r w:rsidRPr="00A63868">
        <w:rPr>
          <w:rFonts w:cs="Arial"/>
          <w:noProof/>
          <w:sz w:val="24"/>
          <w:szCs w:val="24"/>
          <w:lang w:val="en-US"/>
        </w:rPr>
        <w:tab/>
        <w:t xml:space="preserve">Yen C, Sharma R, Rimassa L, Arizumi T, Bettinger D, Choo HY, et al. Treatment Stage Migration Maximizes Survival Outcomes in Patients with Hepatocellular Carcinoma Treated with Sorafenib: An Observational Study. </w:t>
      </w:r>
      <w:r w:rsidRPr="00FC6AC8">
        <w:rPr>
          <w:rFonts w:cs="Arial"/>
          <w:noProof/>
          <w:sz w:val="24"/>
          <w:szCs w:val="24"/>
        </w:rPr>
        <w:t>Liver Cancer 2017;6.</w:t>
      </w:r>
    </w:p>
    <w:p w14:paraId="71E32E0A"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[43]</w:t>
      </w:r>
      <w:r w:rsidRPr="00FC6AC8">
        <w:rPr>
          <w:rFonts w:cs="Arial"/>
          <w:noProof/>
          <w:sz w:val="24"/>
          <w:szCs w:val="24"/>
        </w:rPr>
        <w:tab/>
        <w:t xml:space="preserve">Bettinger D, Spode R, Glaser N, Buettner N, Boettler T, Neumann-Haefelin C, et al. </w:t>
      </w:r>
      <w:r w:rsidRPr="00A63868">
        <w:rPr>
          <w:rFonts w:cs="Arial"/>
          <w:noProof/>
          <w:sz w:val="24"/>
          <w:szCs w:val="24"/>
          <w:lang w:val="en-US"/>
        </w:rPr>
        <w:t>Survival benefit of transarterial chemoembolization in patients with metastatic hepatocellular carcinoma: A single center experience. BMC Gastroenterol 2017;17.</w:t>
      </w:r>
    </w:p>
    <w:p w14:paraId="336A1AF0"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lastRenderedPageBreak/>
        <w:t>[44]</w:t>
      </w:r>
      <w:r w:rsidRPr="00A63868">
        <w:rPr>
          <w:rFonts w:cs="Arial"/>
          <w:noProof/>
          <w:sz w:val="24"/>
          <w:szCs w:val="24"/>
          <w:lang w:val="en-US"/>
        </w:rPr>
        <w:tab/>
        <w:t>Zhao Y, Cai G, Zhou L, Liu L, Qi X, Bai M, et al. Transarterial chemoembolization in hepatocellular carcinoma with vascular invasion or extrahepatic metastasis: A systematic review n.d.</w:t>
      </w:r>
    </w:p>
    <w:p w14:paraId="089832D9"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[45]</w:t>
      </w:r>
      <w:r w:rsidRPr="00FC6AC8">
        <w:rPr>
          <w:rFonts w:cs="Arial"/>
          <w:noProof/>
          <w:sz w:val="24"/>
          <w:szCs w:val="24"/>
        </w:rPr>
        <w:tab/>
        <w:t xml:space="preserve">Kanda M, Tateishi R, Yoshida H, Sato T, Masuzaki R, Ohki T, et al. </w:t>
      </w:r>
      <w:r w:rsidRPr="00A63868">
        <w:rPr>
          <w:rFonts w:cs="Arial"/>
          <w:noProof/>
          <w:sz w:val="24"/>
          <w:szCs w:val="24"/>
          <w:lang w:val="en-US"/>
        </w:rPr>
        <w:t>Extrahepatic metastasis of hepatocellular carcinoma: incidence and risk factors. Liver Int 2008;28:1256–63.</w:t>
      </w:r>
    </w:p>
    <w:p w14:paraId="51E35126"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[46]</w:t>
      </w:r>
      <w:r w:rsidRPr="00A63868">
        <w:rPr>
          <w:rFonts w:cs="Arial"/>
          <w:noProof/>
          <w:sz w:val="24"/>
          <w:szCs w:val="24"/>
          <w:lang w:val="en-US"/>
        </w:rPr>
        <w:tab/>
        <w:t>Natsuizaka M, Omura T, Akaike T, Kuwata Y, Yamazaki K, Sato T, et al. Clinical features of hepatocellular carcinoma with extrahepatic metastases. J Gastroenterol Hepatol 2005;20:1781–7.</w:t>
      </w:r>
    </w:p>
    <w:p w14:paraId="18ACFFFD"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FC6AC8">
        <w:rPr>
          <w:rFonts w:cs="Arial"/>
          <w:noProof/>
          <w:sz w:val="24"/>
          <w:szCs w:val="24"/>
        </w:rPr>
        <w:t>[47]</w:t>
      </w:r>
      <w:r w:rsidRPr="00FC6AC8">
        <w:rPr>
          <w:rFonts w:cs="Arial"/>
          <w:noProof/>
          <w:sz w:val="24"/>
          <w:szCs w:val="24"/>
        </w:rPr>
        <w:tab/>
        <w:t xml:space="preserve">Desar IME, Braam PM, Kaal SEJ, Gerritsen WR, Oyen WJG, van der Graaf WTA. </w:t>
      </w:r>
      <w:r w:rsidRPr="00A63868">
        <w:rPr>
          <w:rFonts w:cs="Arial"/>
          <w:noProof/>
          <w:sz w:val="24"/>
          <w:szCs w:val="24"/>
          <w:lang w:val="en-US"/>
        </w:rPr>
        <w:t>Abscopal effect of radiotherapy in a patient with metastatic diffuse-type giant cell tumor. Acta Oncol 2016;55:1510–2.</w:t>
      </w:r>
    </w:p>
    <w:p w14:paraId="3FE556F1"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[48]</w:t>
      </w:r>
      <w:r w:rsidRPr="00A63868">
        <w:rPr>
          <w:rFonts w:cs="Arial"/>
          <w:noProof/>
          <w:sz w:val="24"/>
          <w:szCs w:val="24"/>
          <w:lang w:val="en-US"/>
        </w:rPr>
        <w:tab/>
        <w:t>Brix N, Tiefenthaller A, Anders H, Belka C, Lauber K. Abscopal, immunological effects of radiotherapy: Narrowing the gap between clinical and preclinical experiences. Immunol Rev 2017;280:249–79.</w:t>
      </w:r>
    </w:p>
    <w:p w14:paraId="5C4520B5"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[49]</w:t>
      </w:r>
      <w:r w:rsidRPr="00A63868">
        <w:rPr>
          <w:rFonts w:cs="Arial"/>
          <w:noProof/>
          <w:sz w:val="24"/>
          <w:szCs w:val="24"/>
          <w:lang w:val="en-US"/>
        </w:rPr>
        <w:tab/>
        <w:t>Hu ZI, McArthur HL, Ho AY. The Abscopal Effect of Radiation Therapy: What Is It and How Can We Use It in Breast Cancer? Curr Breast Cancer Rep 2017;9:45–51.</w:t>
      </w:r>
    </w:p>
    <w:p w14:paraId="6304B2B1" w14:textId="77777777" w:rsidR="00FC6AC8" w:rsidRPr="00DA0A5D" w:rsidRDefault="00FC6AC8" w:rsidP="00FC6AC8">
      <w:pPr>
        <w:widowControl w:val="0"/>
        <w:autoSpaceDE w:val="0"/>
        <w:autoSpaceDN w:val="0"/>
        <w:adjustRightInd w:val="0"/>
        <w:spacing w:line="480" w:lineRule="auto"/>
        <w:ind w:left="640" w:hanging="640"/>
        <w:rPr>
          <w:rFonts w:cs="Arial"/>
          <w:noProof/>
          <w:sz w:val="24"/>
          <w:szCs w:val="24"/>
          <w:lang w:val="it-IT"/>
        </w:rPr>
      </w:pPr>
      <w:r w:rsidRPr="00A63868">
        <w:rPr>
          <w:rFonts w:cs="Arial"/>
          <w:noProof/>
          <w:sz w:val="24"/>
          <w:szCs w:val="24"/>
          <w:lang w:val="en-US"/>
        </w:rPr>
        <w:t>[50]</w:t>
      </w:r>
      <w:r w:rsidRPr="00A63868">
        <w:rPr>
          <w:rFonts w:cs="Arial"/>
          <w:noProof/>
          <w:sz w:val="24"/>
          <w:szCs w:val="24"/>
          <w:lang w:val="en-US"/>
        </w:rPr>
        <w:tab/>
        <w:t xml:space="preserve">Siva S, MacManus MP, Martin RF, Martin OA. Abscopal effects of radiation therapy: A clinical review for the radiobiologist. </w:t>
      </w:r>
      <w:r w:rsidRPr="00DA0A5D">
        <w:rPr>
          <w:rFonts w:cs="Arial"/>
          <w:noProof/>
          <w:sz w:val="24"/>
          <w:szCs w:val="24"/>
          <w:lang w:val="it-IT"/>
        </w:rPr>
        <w:t>Cancer Lett 2015;356:82–90.</w:t>
      </w:r>
    </w:p>
    <w:p w14:paraId="46482291"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DA0A5D">
        <w:rPr>
          <w:rFonts w:cs="Arial"/>
          <w:noProof/>
          <w:sz w:val="24"/>
          <w:szCs w:val="24"/>
          <w:lang w:val="it-IT"/>
        </w:rPr>
        <w:t>[51]</w:t>
      </w:r>
      <w:r w:rsidRPr="00DA0A5D">
        <w:rPr>
          <w:rFonts w:cs="Arial"/>
          <w:noProof/>
          <w:sz w:val="24"/>
          <w:szCs w:val="24"/>
          <w:lang w:val="it-IT"/>
        </w:rPr>
        <w:tab/>
        <w:t xml:space="preserve">Ohba K, Omagari K, Nakamura T, Ikuno N, Saeki S, Matsuo I, et al. </w:t>
      </w:r>
      <w:r w:rsidRPr="00A63868">
        <w:rPr>
          <w:rFonts w:cs="Arial"/>
          <w:noProof/>
          <w:sz w:val="24"/>
          <w:szCs w:val="24"/>
          <w:lang w:val="en-US"/>
        </w:rPr>
        <w:t>Abscopal regression of hepatocellular carcinoma after radiotherapy for bone metastasis. Gut 1998;43:575–7.</w:t>
      </w:r>
    </w:p>
    <w:p w14:paraId="5862EE97"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lastRenderedPageBreak/>
        <w:t>[52]</w:t>
      </w:r>
      <w:r w:rsidRPr="00A63868">
        <w:rPr>
          <w:rFonts w:cs="Arial"/>
          <w:noProof/>
          <w:sz w:val="24"/>
          <w:szCs w:val="24"/>
          <w:lang w:val="en-US"/>
        </w:rPr>
        <w:tab/>
        <w:t>Miyanaga O, Shirahama M, Ishibashi H. [A case of remission in metastatic lung tumor from hepatocellular carcinoma after combined CDDP and PSK therapy]. Gan No Rinsho 1990;36:527–31.</w:t>
      </w:r>
    </w:p>
    <w:p w14:paraId="6667EF7E"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[53]</w:t>
      </w:r>
      <w:r w:rsidRPr="00A63868">
        <w:rPr>
          <w:rFonts w:cs="Arial"/>
          <w:noProof/>
          <w:sz w:val="24"/>
          <w:szCs w:val="24"/>
          <w:lang w:val="en-US"/>
        </w:rPr>
        <w:tab/>
        <w:t>Nakanishi M, Chuma M, Hige S, Asaka M. Abscopal effect on hepatocellular carcinoma. Am J Gastroenterol 2008;103:1320–1.</w:t>
      </w:r>
    </w:p>
    <w:p w14:paraId="3C5BB068"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[54]</w:t>
      </w:r>
      <w:r w:rsidRPr="00A63868">
        <w:rPr>
          <w:rFonts w:cs="Arial"/>
          <w:noProof/>
          <w:sz w:val="24"/>
          <w:szCs w:val="24"/>
          <w:lang w:val="en-US"/>
        </w:rPr>
        <w:tab/>
        <w:t>Okuma K, Yamashita H, Niibe Y, Hayakawa K, Nakagawa K. Abscopal effect of radiation on lung metastases of hepatocellular carcinoma: a case report. J Med Case Rep 2011;5:111.</w:t>
      </w:r>
    </w:p>
    <w:p w14:paraId="248B5462"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[55]</w:t>
      </w:r>
      <w:r w:rsidRPr="00A63868">
        <w:rPr>
          <w:rFonts w:cs="Arial"/>
          <w:noProof/>
          <w:sz w:val="24"/>
          <w:szCs w:val="24"/>
          <w:lang w:val="en-US"/>
        </w:rPr>
        <w:tab/>
        <w:t>Popp I, Grosu AL, Niedermann G, Duda DG. Immune modulation by hypofractionated stereotactic radiation therapy: Therapeutic implications. Radiother Oncol 2016;120:185–94.</w:t>
      </w:r>
    </w:p>
    <w:p w14:paraId="1030FBD6"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[56]</w:t>
      </w:r>
      <w:r w:rsidRPr="00A63868">
        <w:rPr>
          <w:rFonts w:cs="Arial"/>
          <w:noProof/>
          <w:sz w:val="24"/>
          <w:szCs w:val="24"/>
          <w:lang w:val="en-US"/>
        </w:rPr>
        <w:tab/>
        <w:t>Hong Rim C, Yong Kim C, Sik Yang D, Sup Yoon W. Comparison of radiation therapy modalities for hepatocellular carcinoma with portal vein thrombosis: A meta-analysis and systematic review 2017.</w:t>
      </w:r>
    </w:p>
    <w:p w14:paraId="4239F81D" w14:textId="77777777" w:rsidR="00FC6AC8" w:rsidRPr="00A63868" w:rsidRDefault="00FC6AC8" w:rsidP="00FC6AC8">
      <w:pPr>
        <w:widowControl w:val="0"/>
        <w:autoSpaceDE w:val="0"/>
        <w:autoSpaceDN w:val="0"/>
        <w:adjustRightInd w:val="0"/>
        <w:spacing w:line="480" w:lineRule="auto"/>
        <w:ind w:left="640" w:hanging="640"/>
        <w:rPr>
          <w:rFonts w:cs="Arial"/>
          <w:noProof/>
          <w:sz w:val="24"/>
          <w:szCs w:val="24"/>
          <w:lang w:val="en-US"/>
        </w:rPr>
      </w:pPr>
      <w:r w:rsidRPr="00A63868">
        <w:rPr>
          <w:rFonts w:cs="Arial"/>
          <w:noProof/>
          <w:sz w:val="24"/>
          <w:szCs w:val="24"/>
          <w:lang w:val="en-US"/>
        </w:rPr>
        <w:t>[57]</w:t>
      </w:r>
      <w:r w:rsidRPr="00A63868">
        <w:rPr>
          <w:rFonts w:cs="Arial"/>
          <w:noProof/>
          <w:sz w:val="24"/>
          <w:szCs w:val="24"/>
          <w:lang w:val="en-US"/>
        </w:rPr>
        <w:tab/>
        <w:t>Kulik LM, Carr BI, Mulcahy MF, Lewandowski RJ, Atassi B, Ryu RK, et al. Safety and efficacy of 90Y radiotherapy for hepatocellular carcinoma with and without portal vein thrombosis. Hepatology 2008.</w:t>
      </w:r>
    </w:p>
    <w:p w14:paraId="44F0534A" w14:textId="77777777" w:rsidR="00FC6AC8" w:rsidRPr="00FC6AC8" w:rsidRDefault="00FC6AC8" w:rsidP="00FC6AC8">
      <w:pPr>
        <w:widowControl w:val="0"/>
        <w:autoSpaceDE w:val="0"/>
        <w:autoSpaceDN w:val="0"/>
        <w:adjustRightInd w:val="0"/>
        <w:spacing w:line="480" w:lineRule="auto"/>
        <w:ind w:left="640" w:hanging="640"/>
        <w:rPr>
          <w:rFonts w:cs="Arial"/>
          <w:noProof/>
          <w:sz w:val="24"/>
        </w:rPr>
      </w:pPr>
      <w:r w:rsidRPr="00A63868">
        <w:rPr>
          <w:rFonts w:cs="Arial"/>
          <w:noProof/>
          <w:sz w:val="24"/>
          <w:szCs w:val="24"/>
          <w:lang w:val="en-US"/>
        </w:rPr>
        <w:t>[58]</w:t>
      </w:r>
      <w:r w:rsidRPr="00A63868">
        <w:rPr>
          <w:rFonts w:cs="Arial"/>
          <w:noProof/>
          <w:sz w:val="24"/>
          <w:szCs w:val="24"/>
          <w:lang w:val="en-US"/>
        </w:rPr>
        <w:tab/>
        <w:t xml:space="preserve">Rajyaguru DJ, Borgert AJ, Smith AL, Thomes RM, Conway PD, Halfdanarson TR, et al. Radiofrequency Ablation Versus Stereotactic Body Radiotherapy for Localized Hepatocellular Carcinoma in Nonsurgically Managed Patients: Analysis of the National Cancer Database. </w:t>
      </w:r>
      <w:r w:rsidRPr="00FC6AC8">
        <w:rPr>
          <w:rFonts w:cs="Arial"/>
          <w:noProof/>
          <w:sz w:val="24"/>
          <w:szCs w:val="24"/>
        </w:rPr>
        <w:t>J Clin Oncol 2018:JCO2017753228.</w:t>
      </w:r>
    </w:p>
    <w:p w14:paraId="52B82728" w14:textId="77777777" w:rsidR="00826E7C" w:rsidRDefault="00995C75" w:rsidP="00FC6AC8">
      <w:pPr>
        <w:widowControl w:val="0"/>
        <w:autoSpaceDE w:val="0"/>
        <w:autoSpaceDN w:val="0"/>
        <w:adjustRightInd w:val="0"/>
        <w:spacing w:line="480" w:lineRule="auto"/>
        <w:ind w:left="640" w:hanging="640"/>
        <w:rPr>
          <w:rFonts w:cs="Arial"/>
          <w:sz w:val="24"/>
          <w:szCs w:val="24"/>
          <w:lang w:val="en-US"/>
        </w:rPr>
      </w:pPr>
      <w:r>
        <w:rPr>
          <w:sz w:val="24"/>
          <w:szCs w:val="24"/>
          <w:lang w:val="en-US"/>
        </w:rPr>
        <w:fldChar w:fldCharType="end"/>
      </w:r>
      <w:r w:rsidR="00643251">
        <w:rPr>
          <w:rFonts w:cs="Arial"/>
          <w:sz w:val="24"/>
          <w:szCs w:val="24"/>
          <w:lang w:val="en-US"/>
        </w:rPr>
        <w:fldChar w:fldCharType="begin"/>
      </w:r>
      <w:r w:rsidR="00643251">
        <w:rPr>
          <w:rFonts w:cs="Arial"/>
          <w:sz w:val="24"/>
          <w:szCs w:val="24"/>
          <w:lang w:val="en-US"/>
        </w:rPr>
        <w:instrText xml:space="preserve"> ADDIN EN.REFLIST </w:instrText>
      </w:r>
      <w:r w:rsidR="00643251">
        <w:rPr>
          <w:rFonts w:cs="Arial"/>
          <w:sz w:val="24"/>
          <w:szCs w:val="24"/>
          <w:lang w:val="en-US"/>
        </w:rPr>
        <w:fldChar w:fldCharType="end"/>
      </w:r>
    </w:p>
    <w:sectPr w:rsidR="00826E7C" w:rsidSect="0089127C">
      <w:pgSz w:w="11906" w:h="16838"/>
      <w:pgMar w:top="1417" w:right="1417" w:bottom="1134"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F41315" w14:textId="77777777" w:rsidR="00341507" w:rsidRDefault="00341507" w:rsidP="0044623D">
      <w:pPr>
        <w:spacing w:after="0" w:line="240" w:lineRule="auto"/>
      </w:pPr>
      <w:r>
        <w:separator/>
      </w:r>
    </w:p>
  </w:endnote>
  <w:endnote w:type="continuationSeparator" w:id="0">
    <w:p w14:paraId="76662DBD" w14:textId="77777777" w:rsidR="00341507" w:rsidRDefault="00341507" w:rsidP="00446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altName w:val="Calibri"/>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UI">
    <w:altName w:val="Calibri"/>
    <w:panose1 w:val="020B0604020202020204"/>
    <w:charset w:val="00"/>
    <w:family w:val="swiss"/>
    <w:pitch w:val="default"/>
    <w:sig w:usb0="00000003" w:usb1="00000000" w:usb2="00000000" w:usb3="00000000" w:csb0="00000001" w:csb1="00000000"/>
  </w:font>
  <w:font w:name="ScalaLancetPro">
    <w:altName w:val="ScalaLancetPro"/>
    <w:panose1 w:val="020B06040202020202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0A05F3" w14:textId="77777777" w:rsidR="00341507" w:rsidRDefault="00341507" w:rsidP="0044623D">
      <w:pPr>
        <w:spacing w:after="0" w:line="240" w:lineRule="auto"/>
      </w:pPr>
      <w:r>
        <w:separator/>
      </w:r>
    </w:p>
  </w:footnote>
  <w:footnote w:type="continuationSeparator" w:id="0">
    <w:p w14:paraId="572A7436" w14:textId="77777777" w:rsidR="00341507" w:rsidRDefault="00341507" w:rsidP="00446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6833663"/>
      <w:docPartObj>
        <w:docPartGallery w:val="Page Numbers (Top of Page)"/>
        <w:docPartUnique/>
      </w:docPartObj>
    </w:sdtPr>
    <w:sdtEndPr/>
    <w:sdtContent>
      <w:p w14:paraId="5298CC20" w14:textId="77777777" w:rsidR="00BC506C" w:rsidRDefault="00BC506C">
        <w:pPr>
          <w:pStyle w:val="Header"/>
        </w:pPr>
        <w:r>
          <w:fldChar w:fldCharType="begin"/>
        </w:r>
        <w:r>
          <w:instrText>PAGE   \* MERGEFORMAT</w:instrText>
        </w:r>
        <w:r>
          <w:fldChar w:fldCharType="separate"/>
        </w:r>
        <w:r>
          <w:rPr>
            <w:noProof/>
          </w:rPr>
          <w:t>1</w:t>
        </w:r>
        <w:r>
          <w:rPr>
            <w:noProof/>
          </w:rPr>
          <w:fldChar w:fldCharType="end"/>
        </w:r>
      </w:p>
    </w:sdtContent>
  </w:sdt>
  <w:p w14:paraId="4ADBBEBB" w14:textId="77777777" w:rsidR="00BC506C" w:rsidRDefault="00BC50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B3E2F"/>
    <w:multiLevelType w:val="hybridMultilevel"/>
    <w:tmpl w:val="AF526F68"/>
    <w:lvl w:ilvl="0" w:tplc="1396BBA2">
      <w:start w:val="23"/>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AC245D"/>
    <w:multiLevelType w:val="hybridMultilevel"/>
    <w:tmpl w:val="7C4AA2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967FBC"/>
    <w:multiLevelType w:val="hybridMultilevel"/>
    <w:tmpl w:val="60BC727A"/>
    <w:lvl w:ilvl="0" w:tplc="D58617C6">
      <w:start w:val="1"/>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03F2BB4"/>
    <w:multiLevelType w:val="hybridMultilevel"/>
    <w:tmpl w:val="522A64C4"/>
    <w:lvl w:ilvl="0" w:tplc="65C47D8E">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1363F7"/>
    <w:multiLevelType w:val="hybridMultilevel"/>
    <w:tmpl w:val="B8148038"/>
    <w:lvl w:ilvl="0" w:tplc="B3F2BD82">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BC1F34"/>
    <w:multiLevelType w:val="hybridMultilevel"/>
    <w:tmpl w:val="BFB05B48"/>
    <w:lvl w:ilvl="0" w:tplc="0478D2D4">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02281D"/>
    <w:multiLevelType w:val="hybridMultilevel"/>
    <w:tmpl w:val="6CACA1BE"/>
    <w:lvl w:ilvl="0" w:tplc="735CE97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84C4F6F"/>
    <w:multiLevelType w:val="hybridMultilevel"/>
    <w:tmpl w:val="1F6259C8"/>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8" w15:restartNumberingAfterBreak="0">
    <w:nsid w:val="4BEE21D9"/>
    <w:multiLevelType w:val="hybridMultilevel"/>
    <w:tmpl w:val="565C7F3E"/>
    <w:lvl w:ilvl="0" w:tplc="923A5D50">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AB3D72"/>
    <w:multiLevelType w:val="hybridMultilevel"/>
    <w:tmpl w:val="588ED87C"/>
    <w:lvl w:ilvl="0" w:tplc="ADB47198">
      <w:numFmt w:val="bullet"/>
      <w:lvlText w:val=""/>
      <w:lvlJc w:val="left"/>
      <w:pPr>
        <w:ind w:left="720" w:hanging="360"/>
      </w:pPr>
      <w:rPr>
        <w:rFonts w:ascii="Symbol" w:eastAsiaTheme="minorHAnsi" w:hAnsi="Symbol" w:cstheme="minorBidi" w:hint="default"/>
        <w:b w:val="0"/>
        <w:sz w:val="2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D1C3C21"/>
    <w:multiLevelType w:val="hybridMultilevel"/>
    <w:tmpl w:val="3A449FE8"/>
    <w:lvl w:ilvl="0" w:tplc="CCB84458">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7AC7286"/>
    <w:multiLevelType w:val="hybridMultilevel"/>
    <w:tmpl w:val="C49C144C"/>
    <w:lvl w:ilvl="0" w:tplc="CA965170">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1D4100B"/>
    <w:multiLevelType w:val="hybridMultilevel"/>
    <w:tmpl w:val="3272B9AA"/>
    <w:lvl w:ilvl="0" w:tplc="C756C4C4">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9"/>
  </w:num>
  <w:num w:numId="4">
    <w:abstractNumId w:val="2"/>
  </w:num>
  <w:num w:numId="5">
    <w:abstractNumId w:val="6"/>
  </w:num>
  <w:num w:numId="6">
    <w:abstractNumId w:val="3"/>
  </w:num>
  <w:num w:numId="7">
    <w:abstractNumId w:val="11"/>
  </w:num>
  <w:num w:numId="8">
    <w:abstractNumId w:val="4"/>
  </w:num>
  <w:num w:numId="9">
    <w:abstractNumId w:val="1"/>
  </w:num>
  <w:num w:numId="10">
    <w:abstractNumId w:val="10"/>
  </w:num>
  <w:num w:numId="11">
    <w:abstractNumId w:val="5"/>
  </w:num>
  <w:num w:numId="12">
    <w:abstractNumId w:val="7"/>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ENInstantFormat&gt;"/>
    <w:docVar w:name="EN.Layout" w:val="&lt;ENLayout&gt;&lt;Style&gt;Alimentary Pharm Therap Copy&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zrvdra5xaep9he02wrv09r2p095vdezep2a&quot;&gt;Library&lt;record-ids&gt;&lt;item&gt;9&lt;/item&gt;&lt;item&gt;11&lt;/item&gt;&lt;item&gt;12&lt;/item&gt;&lt;item&gt;70&lt;/item&gt;&lt;item&gt;112&lt;/item&gt;&lt;item&gt;548&lt;/item&gt;&lt;/record-ids&gt;&lt;/item&gt;&lt;/Libraries&gt;"/>
  </w:docVars>
  <w:rsids>
    <w:rsidRoot w:val="00913EEB"/>
    <w:rsid w:val="0000148D"/>
    <w:rsid w:val="00007970"/>
    <w:rsid w:val="00007C13"/>
    <w:rsid w:val="00007FCC"/>
    <w:rsid w:val="0001200B"/>
    <w:rsid w:val="000146E7"/>
    <w:rsid w:val="000151BA"/>
    <w:rsid w:val="0001692D"/>
    <w:rsid w:val="00017689"/>
    <w:rsid w:val="000236F3"/>
    <w:rsid w:val="00024AE5"/>
    <w:rsid w:val="00025E52"/>
    <w:rsid w:val="0002600A"/>
    <w:rsid w:val="0002780B"/>
    <w:rsid w:val="00033817"/>
    <w:rsid w:val="00033FE9"/>
    <w:rsid w:val="00034149"/>
    <w:rsid w:val="00044C71"/>
    <w:rsid w:val="00061142"/>
    <w:rsid w:val="00062054"/>
    <w:rsid w:val="000624BD"/>
    <w:rsid w:val="00065AA7"/>
    <w:rsid w:val="0006642E"/>
    <w:rsid w:val="00066BC4"/>
    <w:rsid w:val="00070846"/>
    <w:rsid w:val="00072124"/>
    <w:rsid w:val="0007227F"/>
    <w:rsid w:val="0008188F"/>
    <w:rsid w:val="00084317"/>
    <w:rsid w:val="00085D9E"/>
    <w:rsid w:val="00091AA9"/>
    <w:rsid w:val="000A5187"/>
    <w:rsid w:val="000A56EE"/>
    <w:rsid w:val="000A63A7"/>
    <w:rsid w:val="000A790E"/>
    <w:rsid w:val="000B0494"/>
    <w:rsid w:val="000B16A1"/>
    <w:rsid w:val="000B44E6"/>
    <w:rsid w:val="000B7C80"/>
    <w:rsid w:val="000C0D67"/>
    <w:rsid w:val="000C2521"/>
    <w:rsid w:val="000C25A7"/>
    <w:rsid w:val="000C2BE7"/>
    <w:rsid w:val="000C4400"/>
    <w:rsid w:val="000C52A4"/>
    <w:rsid w:val="000C586F"/>
    <w:rsid w:val="000C7270"/>
    <w:rsid w:val="000D06D9"/>
    <w:rsid w:val="000D5385"/>
    <w:rsid w:val="000D5DA6"/>
    <w:rsid w:val="000D69E3"/>
    <w:rsid w:val="000E013B"/>
    <w:rsid w:val="000E14D5"/>
    <w:rsid w:val="000E1FF0"/>
    <w:rsid w:val="000E4355"/>
    <w:rsid w:val="000E474A"/>
    <w:rsid w:val="000E53F8"/>
    <w:rsid w:val="000F1C25"/>
    <w:rsid w:val="000F3FD1"/>
    <w:rsid w:val="0010523A"/>
    <w:rsid w:val="001060E6"/>
    <w:rsid w:val="001062EB"/>
    <w:rsid w:val="001105A1"/>
    <w:rsid w:val="00110CE6"/>
    <w:rsid w:val="00111491"/>
    <w:rsid w:val="001132B9"/>
    <w:rsid w:val="00117982"/>
    <w:rsid w:val="0012019C"/>
    <w:rsid w:val="00121B63"/>
    <w:rsid w:val="0012544E"/>
    <w:rsid w:val="001266F6"/>
    <w:rsid w:val="00130761"/>
    <w:rsid w:val="00130F39"/>
    <w:rsid w:val="0013299C"/>
    <w:rsid w:val="00132A1E"/>
    <w:rsid w:val="001338A9"/>
    <w:rsid w:val="00135F82"/>
    <w:rsid w:val="00136E30"/>
    <w:rsid w:val="00142697"/>
    <w:rsid w:val="00143D12"/>
    <w:rsid w:val="00155026"/>
    <w:rsid w:val="001578E0"/>
    <w:rsid w:val="001648C9"/>
    <w:rsid w:val="00167C14"/>
    <w:rsid w:val="00172A3C"/>
    <w:rsid w:val="0017424C"/>
    <w:rsid w:val="00174DAF"/>
    <w:rsid w:val="00181268"/>
    <w:rsid w:val="00181321"/>
    <w:rsid w:val="00185642"/>
    <w:rsid w:val="00186BA7"/>
    <w:rsid w:val="00187455"/>
    <w:rsid w:val="00190C54"/>
    <w:rsid w:val="00193787"/>
    <w:rsid w:val="00195F2A"/>
    <w:rsid w:val="001969A9"/>
    <w:rsid w:val="00197100"/>
    <w:rsid w:val="001A12D8"/>
    <w:rsid w:val="001A386D"/>
    <w:rsid w:val="001B050C"/>
    <w:rsid w:val="001B6860"/>
    <w:rsid w:val="001B6B60"/>
    <w:rsid w:val="001C1B3B"/>
    <w:rsid w:val="001C2659"/>
    <w:rsid w:val="001C33F6"/>
    <w:rsid w:val="001C4D69"/>
    <w:rsid w:val="001C500B"/>
    <w:rsid w:val="001D3598"/>
    <w:rsid w:val="001D3B73"/>
    <w:rsid w:val="001D5FDF"/>
    <w:rsid w:val="001E4B23"/>
    <w:rsid w:val="001F0A2A"/>
    <w:rsid w:val="001F0E52"/>
    <w:rsid w:val="0020048A"/>
    <w:rsid w:val="00205996"/>
    <w:rsid w:val="00212CB8"/>
    <w:rsid w:val="0021650F"/>
    <w:rsid w:val="0022330D"/>
    <w:rsid w:val="00224302"/>
    <w:rsid w:val="00224F95"/>
    <w:rsid w:val="00227235"/>
    <w:rsid w:val="00227D6A"/>
    <w:rsid w:val="00231158"/>
    <w:rsid w:val="00232E16"/>
    <w:rsid w:val="002379BF"/>
    <w:rsid w:val="00237EA6"/>
    <w:rsid w:val="00240A3F"/>
    <w:rsid w:val="00253FC6"/>
    <w:rsid w:val="002565DD"/>
    <w:rsid w:val="0025797E"/>
    <w:rsid w:val="002628E7"/>
    <w:rsid w:val="00263072"/>
    <w:rsid w:val="002675C7"/>
    <w:rsid w:val="00270622"/>
    <w:rsid w:val="00276824"/>
    <w:rsid w:val="00281C09"/>
    <w:rsid w:val="00282F53"/>
    <w:rsid w:val="00286013"/>
    <w:rsid w:val="0029392A"/>
    <w:rsid w:val="00294363"/>
    <w:rsid w:val="002A0ABC"/>
    <w:rsid w:val="002A1A15"/>
    <w:rsid w:val="002A2EBF"/>
    <w:rsid w:val="002A7044"/>
    <w:rsid w:val="002B1FA0"/>
    <w:rsid w:val="002B5C9A"/>
    <w:rsid w:val="002B60BF"/>
    <w:rsid w:val="002C2FA9"/>
    <w:rsid w:val="002C7789"/>
    <w:rsid w:val="002D0B98"/>
    <w:rsid w:val="002D21E8"/>
    <w:rsid w:val="002D285E"/>
    <w:rsid w:val="002D2A01"/>
    <w:rsid w:val="002D6D35"/>
    <w:rsid w:val="002E1BD7"/>
    <w:rsid w:val="002E20D2"/>
    <w:rsid w:val="002E2151"/>
    <w:rsid w:val="002E5901"/>
    <w:rsid w:val="002F1869"/>
    <w:rsid w:val="002F60CB"/>
    <w:rsid w:val="003001A9"/>
    <w:rsid w:val="003016D9"/>
    <w:rsid w:val="00302AE7"/>
    <w:rsid w:val="003110A7"/>
    <w:rsid w:val="00315C5B"/>
    <w:rsid w:val="00316CE3"/>
    <w:rsid w:val="0031781B"/>
    <w:rsid w:val="00317DFF"/>
    <w:rsid w:val="00321F39"/>
    <w:rsid w:val="00326121"/>
    <w:rsid w:val="003278FC"/>
    <w:rsid w:val="00331DE5"/>
    <w:rsid w:val="00336059"/>
    <w:rsid w:val="003364E4"/>
    <w:rsid w:val="003366DD"/>
    <w:rsid w:val="00340C7B"/>
    <w:rsid w:val="00341507"/>
    <w:rsid w:val="00341BCF"/>
    <w:rsid w:val="003460D6"/>
    <w:rsid w:val="0035139F"/>
    <w:rsid w:val="00356C7B"/>
    <w:rsid w:val="00357A88"/>
    <w:rsid w:val="003640D4"/>
    <w:rsid w:val="003651B8"/>
    <w:rsid w:val="003653FF"/>
    <w:rsid w:val="00365E1D"/>
    <w:rsid w:val="00366863"/>
    <w:rsid w:val="00366D42"/>
    <w:rsid w:val="00367CCE"/>
    <w:rsid w:val="0037410E"/>
    <w:rsid w:val="003879E1"/>
    <w:rsid w:val="003935D9"/>
    <w:rsid w:val="003938B1"/>
    <w:rsid w:val="003949E5"/>
    <w:rsid w:val="00395F50"/>
    <w:rsid w:val="003976F8"/>
    <w:rsid w:val="00397BE0"/>
    <w:rsid w:val="003A1334"/>
    <w:rsid w:val="003A1AA9"/>
    <w:rsid w:val="003A3A11"/>
    <w:rsid w:val="003A7ED9"/>
    <w:rsid w:val="003B2A0B"/>
    <w:rsid w:val="003B428D"/>
    <w:rsid w:val="003B71F0"/>
    <w:rsid w:val="003C31D7"/>
    <w:rsid w:val="003D178B"/>
    <w:rsid w:val="003D548E"/>
    <w:rsid w:val="003D7945"/>
    <w:rsid w:val="003D7EFA"/>
    <w:rsid w:val="003E2616"/>
    <w:rsid w:val="003E2AFE"/>
    <w:rsid w:val="003F2034"/>
    <w:rsid w:val="003F4731"/>
    <w:rsid w:val="003F757C"/>
    <w:rsid w:val="00400188"/>
    <w:rsid w:val="00403E4C"/>
    <w:rsid w:val="00407C0B"/>
    <w:rsid w:val="00416B53"/>
    <w:rsid w:val="00416BE5"/>
    <w:rsid w:val="004201F8"/>
    <w:rsid w:val="0042366C"/>
    <w:rsid w:val="0042700B"/>
    <w:rsid w:val="0043164C"/>
    <w:rsid w:val="00433081"/>
    <w:rsid w:val="00434562"/>
    <w:rsid w:val="00435323"/>
    <w:rsid w:val="0043547E"/>
    <w:rsid w:val="0043615C"/>
    <w:rsid w:val="0044156C"/>
    <w:rsid w:val="00444C75"/>
    <w:rsid w:val="00444F55"/>
    <w:rsid w:val="0044623D"/>
    <w:rsid w:val="00447E9C"/>
    <w:rsid w:val="004510FA"/>
    <w:rsid w:val="00457E64"/>
    <w:rsid w:val="00460078"/>
    <w:rsid w:val="004614C0"/>
    <w:rsid w:val="00461E70"/>
    <w:rsid w:val="0046411C"/>
    <w:rsid w:val="00465413"/>
    <w:rsid w:val="00465732"/>
    <w:rsid w:val="004726B1"/>
    <w:rsid w:val="004727E1"/>
    <w:rsid w:val="0047333C"/>
    <w:rsid w:val="00474D56"/>
    <w:rsid w:val="00482A98"/>
    <w:rsid w:val="00482DBA"/>
    <w:rsid w:val="00492599"/>
    <w:rsid w:val="00492F68"/>
    <w:rsid w:val="00497BA5"/>
    <w:rsid w:val="004A03E9"/>
    <w:rsid w:val="004A4097"/>
    <w:rsid w:val="004A4ADA"/>
    <w:rsid w:val="004A711E"/>
    <w:rsid w:val="004C0C56"/>
    <w:rsid w:val="004D099F"/>
    <w:rsid w:val="004D14A9"/>
    <w:rsid w:val="004D212E"/>
    <w:rsid w:val="004D56D3"/>
    <w:rsid w:val="004E1036"/>
    <w:rsid w:val="004E1B43"/>
    <w:rsid w:val="004E3897"/>
    <w:rsid w:val="004F102E"/>
    <w:rsid w:val="004F1A9C"/>
    <w:rsid w:val="004F1CFE"/>
    <w:rsid w:val="004F4710"/>
    <w:rsid w:val="004F6509"/>
    <w:rsid w:val="0050162D"/>
    <w:rsid w:val="005234E2"/>
    <w:rsid w:val="00523736"/>
    <w:rsid w:val="005269C4"/>
    <w:rsid w:val="00527C5D"/>
    <w:rsid w:val="00530D64"/>
    <w:rsid w:val="0053364E"/>
    <w:rsid w:val="005356C6"/>
    <w:rsid w:val="0053717F"/>
    <w:rsid w:val="00541FA5"/>
    <w:rsid w:val="00542B90"/>
    <w:rsid w:val="005449EC"/>
    <w:rsid w:val="0054631F"/>
    <w:rsid w:val="00550AF6"/>
    <w:rsid w:val="00551AD7"/>
    <w:rsid w:val="00552ED4"/>
    <w:rsid w:val="00553B5E"/>
    <w:rsid w:val="005540B6"/>
    <w:rsid w:val="005569CB"/>
    <w:rsid w:val="005614E9"/>
    <w:rsid w:val="005622CC"/>
    <w:rsid w:val="00570C4C"/>
    <w:rsid w:val="00571362"/>
    <w:rsid w:val="00571A3D"/>
    <w:rsid w:val="00573428"/>
    <w:rsid w:val="0057498C"/>
    <w:rsid w:val="00576D59"/>
    <w:rsid w:val="00577AD9"/>
    <w:rsid w:val="005810FB"/>
    <w:rsid w:val="00583ECE"/>
    <w:rsid w:val="005853E6"/>
    <w:rsid w:val="00591CE9"/>
    <w:rsid w:val="00592873"/>
    <w:rsid w:val="005944B7"/>
    <w:rsid w:val="005A6669"/>
    <w:rsid w:val="005B09A9"/>
    <w:rsid w:val="005B11D1"/>
    <w:rsid w:val="005C0072"/>
    <w:rsid w:val="005C485E"/>
    <w:rsid w:val="005C5415"/>
    <w:rsid w:val="005C7993"/>
    <w:rsid w:val="005D3345"/>
    <w:rsid w:val="005D365C"/>
    <w:rsid w:val="005D4C39"/>
    <w:rsid w:val="005E4B56"/>
    <w:rsid w:val="005F0766"/>
    <w:rsid w:val="005F2BD3"/>
    <w:rsid w:val="005F3B1C"/>
    <w:rsid w:val="00602AB2"/>
    <w:rsid w:val="00604444"/>
    <w:rsid w:val="006054AD"/>
    <w:rsid w:val="006072E5"/>
    <w:rsid w:val="00610884"/>
    <w:rsid w:val="006119F1"/>
    <w:rsid w:val="00620A2B"/>
    <w:rsid w:val="00621247"/>
    <w:rsid w:val="006223EA"/>
    <w:rsid w:val="00623603"/>
    <w:rsid w:val="00625AA5"/>
    <w:rsid w:val="0063227E"/>
    <w:rsid w:val="00641350"/>
    <w:rsid w:val="00641A95"/>
    <w:rsid w:val="00642BF4"/>
    <w:rsid w:val="00643084"/>
    <w:rsid w:val="00643251"/>
    <w:rsid w:val="00643A5B"/>
    <w:rsid w:val="00650123"/>
    <w:rsid w:val="00653AAF"/>
    <w:rsid w:val="00660AF3"/>
    <w:rsid w:val="00661CF3"/>
    <w:rsid w:val="006637E4"/>
    <w:rsid w:val="0066584B"/>
    <w:rsid w:val="006664E4"/>
    <w:rsid w:val="006669C0"/>
    <w:rsid w:val="00667C81"/>
    <w:rsid w:val="00673E21"/>
    <w:rsid w:val="00674BE6"/>
    <w:rsid w:val="00677860"/>
    <w:rsid w:val="006802E1"/>
    <w:rsid w:val="00684237"/>
    <w:rsid w:val="00690967"/>
    <w:rsid w:val="00693EED"/>
    <w:rsid w:val="006A124D"/>
    <w:rsid w:val="006A4B41"/>
    <w:rsid w:val="006A5C4D"/>
    <w:rsid w:val="006A66A8"/>
    <w:rsid w:val="006B084C"/>
    <w:rsid w:val="006B7A50"/>
    <w:rsid w:val="006C0F28"/>
    <w:rsid w:val="006C2853"/>
    <w:rsid w:val="006D0128"/>
    <w:rsid w:val="006D1CD4"/>
    <w:rsid w:val="006E40C3"/>
    <w:rsid w:val="006E5A7D"/>
    <w:rsid w:val="006E6D3E"/>
    <w:rsid w:val="006E7745"/>
    <w:rsid w:val="006F1459"/>
    <w:rsid w:val="006F194C"/>
    <w:rsid w:val="006F368D"/>
    <w:rsid w:val="006F3B0D"/>
    <w:rsid w:val="006F4664"/>
    <w:rsid w:val="006F7E62"/>
    <w:rsid w:val="007004B4"/>
    <w:rsid w:val="00706130"/>
    <w:rsid w:val="00706184"/>
    <w:rsid w:val="00712804"/>
    <w:rsid w:val="0071295A"/>
    <w:rsid w:val="00712B8F"/>
    <w:rsid w:val="00715200"/>
    <w:rsid w:val="0071741E"/>
    <w:rsid w:val="00727B46"/>
    <w:rsid w:val="00727CC1"/>
    <w:rsid w:val="00730833"/>
    <w:rsid w:val="00736D32"/>
    <w:rsid w:val="00736FC5"/>
    <w:rsid w:val="0074099D"/>
    <w:rsid w:val="00742C74"/>
    <w:rsid w:val="007435CE"/>
    <w:rsid w:val="007437C3"/>
    <w:rsid w:val="00743875"/>
    <w:rsid w:val="00745E5E"/>
    <w:rsid w:val="0075469B"/>
    <w:rsid w:val="007570F5"/>
    <w:rsid w:val="00761BF0"/>
    <w:rsid w:val="0076427D"/>
    <w:rsid w:val="00765E94"/>
    <w:rsid w:val="007660C2"/>
    <w:rsid w:val="0076766E"/>
    <w:rsid w:val="007704A3"/>
    <w:rsid w:val="00772E9B"/>
    <w:rsid w:val="00774C68"/>
    <w:rsid w:val="00780F89"/>
    <w:rsid w:val="0078127D"/>
    <w:rsid w:val="0078550F"/>
    <w:rsid w:val="007A0CE0"/>
    <w:rsid w:val="007A6415"/>
    <w:rsid w:val="007A7231"/>
    <w:rsid w:val="007B0581"/>
    <w:rsid w:val="007B19C5"/>
    <w:rsid w:val="007B4899"/>
    <w:rsid w:val="007B4FA4"/>
    <w:rsid w:val="007B5FE1"/>
    <w:rsid w:val="007B6020"/>
    <w:rsid w:val="007C0B2F"/>
    <w:rsid w:val="007C1DC6"/>
    <w:rsid w:val="007C2177"/>
    <w:rsid w:val="007C5C0F"/>
    <w:rsid w:val="007C7331"/>
    <w:rsid w:val="007C7EC5"/>
    <w:rsid w:val="007C7FC3"/>
    <w:rsid w:val="007D22EF"/>
    <w:rsid w:val="007D77B5"/>
    <w:rsid w:val="007D7A37"/>
    <w:rsid w:val="007E021E"/>
    <w:rsid w:val="007E10A5"/>
    <w:rsid w:val="007E63A7"/>
    <w:rsid w:val="007E649E"/>
    <w:rsid w:val="007F00ED"/>
    <w:rsid w:val="007F2C3D"/>
    <w:rsid w:val="007F5156"/>
    <w:rsid w:val="007F7825"/>
    <w:rsid w:val="007F7AD1"/>
    <w:rsid w:val="007F7DF4"/>
    <w:rsid w:val="00801E3F"/>
    <w:rsid w:val="00803FFE"/>
    <w:rsid w:val="00804BF3"/>
    <w:rsid w:val="0081575D"/>
    <w:rsid w:val="0082085D"/>
    <w:rsid w:val="00823AAB"/>
    <w:rsid w:val="0082483C"/>
    <w:rsid w:val="00826E7C"/>
    <w:rsid w:val="0082794D"/>
    <w:rsid w:val="00832CBA"/>
    <w:rsid w:val="00840F63"/>
    <w:rsid w:val="00841001"/>
    <w:rsid w:val="0084176A"/>
    <w:rsid w:val="00841F99"/>
    <w:rsid w:val="00842986"/>
    <w:rsid w:val="00845E54"/>
    <w:rsid w:val="00850745"/>
    <w:rsid w:val="008518CD"/>
    <w:rsid w:val="00853416"/>
    <w:rsid w:val="00860083"/>
    <w:rsid w:val="00864ED2"/>
    <w:rsid w:val="00872176"/>
    <w:rsid w:val="00875A18"/>
    <w:rsid w:val="00876EDA"/>
    <w:rsid w:val="00880270"/>
    <w:rsid w:val="0089127C"/>
    <w:rsid w:val="0089600D"/>
    <w:rsid w:val="008968A4"/>
    <w:rsid w:val="00896F30"/>
    <w:rsid w:val="008A008C"/>
    <w:rsid w:val="008A4748"/>
    <w:rsid w:val="008A4866"/>
    <w:rsid w:val="008A5190"/>
    <w:rsid w:val="008B2582"/>
    <w:rsid w:val="008B530C"/>
    <w:rsid w:val="008B531E"/>
    <w:rsid w:val="008B6FC4"/>
    <w:rsid w:val="008C03F2"/>
    <w:rsid w:val="008C7194"/>
    <w:rsid w:val="008C7A52"/>
    <w:rsid w:val="008D11E5"/>
    <w:rsid w:val="008D3695"/>
    <w:rsid w:val="008D4719"/>
    <w:rsid w:val="008D6B4C"/>
    <w:rsid w:val="008D7AF2"/>
    <w:rsid w:val="008E4748"/>
    <w:rsid w:val="008E4EC7"/>
    <w:rsid w:val="008E5292"/>
    <w:rsid w:val="008E6502"/>
    <w:rsid w:val="008E73C8"/>
    <w:rsid w:val="008F1E48"/>
    <w:rsid w:val="008F59CA"/>
    <w:rsid w:val="008F634C"/>
    <w:rsid w:val="009037CB"/>
    <w:rsid w:val="00904993"/>
    <w:rsid w:val="009050A6"/>
    <w:rsid w:val="00906ED2"/>
    <w:rsid w:val="00910197"/>
    <w:rsid w:val="00913EEB"/>
    <w:rsid w:val="00914226"/>
    <w:rsid w:val="00915A21"/>
    <w:rsid w:val="009161BF"/>
    <w:rsid w:val="00921C71"/>
    <w:rsid w:val="00922A2A"/>
    <w:rsid w:val="00923BF2"/>
    <w:rsid w:val="00924DE2"/>
    <w:rsid w:val="009261FF"/>
    <w:rsid w:val="009263B4"/>
    <w:rsid w:val="009312F7"/>
    <w:rsid w:val="00933660"/>
    <w:rsid w:val="00937361"/>
    <w:rsid w:val="00937AC3"/>
    <w:rsid w:val="00954823"/>
    <w:rsid w:val="0095546D"/>
    <w:rsid w:val="009575A8"/>
    <w:rsid w:val="00960199"/>
    <w:rsid w:val="009639A9"/>
    <w:rsid w:val="00965C1E"/>
    <w:rsid w:val="00966965"/>
    <w:rsid w:val="00966E70"/>
    <w:rsid w:val="0097071E"/>
    <w:rsid w:val="00972625"/>
    <w:rsid w:val="009743E2"/>
    <w:rsid w:val="009759BE"/>
    <w:rsid w:val="00983600"/>
    <w:rsid w:val="00986A0A"/>
    <w:rsid w:val="00986CFE"/>
    <w:rsid w:val="00990722"/>
    <w:rsid w:val="00990796"/>
    <w:rsid w:val="009955BD"/>
    <w:rsid w:val="00995C75"/>
    <w:rsid w:val="00995E3C"/>
    <w:rsid w:val="009960CC"/>
    <w:rsid w:val="009A0502"/>
    <w:rsid w:val="009A26A0"/>
    <w:rsid w:val="009A51A7"/>
    <w:rsid w:val="009A5551"/>
    <w:rsid w:val="009A5884"/>
    <w:rsid w:val="009A7F2A"/>
    <w:rsid w:val="009B1161"/>
    <w:rsid w:val="009B63A6"/>
    <w:rsid w:val="009C5D9C"/>
    <w:rsid w:val="009C60EA"/>
    <w:rsid w:val="009C75DB"/>
    <w:rsid w:val="009D0EEC"/>
    <w:rsid w:val="009D1475"/>
    <w:rsid w:val="009D25A2"/>
    <w:rsid w:val="009D55D2"/>
    <w:rsid w:val="009E01A4"/>
    <w:rsid w:val="009E417F"/>
    <w:rsid w:val="009E5393"/>
    <w:rsid w:val="009E7634"/>
    <w:rsid w:val="009F7F2C"/>
    <w:rsid w:val="00A023D7"/>
    <w:rsid w:val="00A05605"/>
    <w:rsid w:val="00A06175"/>
    <w:rsid w:val="00A062AB"/>
    <w:rsid w:val="00A06E14"/>
    <w:rsid w:val="00A072EA"/>
    <w:rsid w:val="00A14829"/>
    <w:rsid w:val="00A1769E"/>
    <w:rsid w:val="00A203C3"/>
    <w:rsid w:val="00A21622"/>
    <w:rsid w:val="00A22C2C"/>
    <w:rsid w:val="00A257C1"/>
    <w:rsid w:val="00A257F2"/>
    <w:rsid w:val="00A27574"/>
    <w:rsid w:val="00A313AE"/>
    <w:rsid w:val="00A375A4"/>
    <w:rsid w:val="00A37EC1"/>
    <w:rsid w:val="00A41B5B"/>
    <w:rsid w:val="00A44569"/>
    <w:rsid w:val="00A455F6"/>
    <w:rsid w:val="00A51F83"/>
    <w:rsid w:val="00A53BE3"/>
    <w:rsid w:val="00A57AF1"/>
    <w:rsid w:val="00A612A1"/>
    <w:rsid w:val="00A63868"/>
    <w:rsid w:val="00A638F2"/>
    <w:rsid w:val="00A6409D"/>
    <w:rsid w:val="00A65CEE"/>
    <w:rsid w:val="00A7418C"/>
    <w:rsid w:val="00A755FA"/>
    <w:rsid w:val="00A762F3"/>
    <w:rsid w:val="00A8204C"/>
    <w:rsid w:val="00A82EB5"/>
    <w:rsid w:val="00A8454C"/>
    <w:rsid w:val="00A927DD"/>
    <w:rsid w:val="00A9299A"/>
    <w:rsid w:val="00A932DB"/>
    <w:rsid w:val="00A963E4"/>
    <w:rsid w:val="00A96E93"/>
    <w:rsid w:val="00A97340"/>
    <w:rsid w:val="00AA0022"/>
    <w:rsid w:val="00AA02F1"/>
    <w:rsid w:val="00AA0DAE"/>
    <w:rsid w:val="00AA64B6"/>
    <w:rsid w:val="00AB3D1C"/>
    <w:rsid w:val="00AB3EA2"/>
    <w:rsid w:val="00AC0B34"/>
    <w:rsid w:val="00AC5830"/>
    <w:rsid w:val="00AC5D43"/>
    <w:rsid w:val="00AC7F7F"/>
    <w:rsid w:val="00AD246F"/>
    <w:rsid w:val="00AD3DBD"/>
    <w:rsid w:val="00AD3FE4"/>
    <w:rsid w:val="00AD4169"/>
    <w:rsid w:val="00AD5481"/>
    <w:rsid w:val="00AD7812"/>
    <w:rsid w:val="00AE240B"/>
    <w:rsid w:val="00AE45EF"/>
    <w:rsid w:val="00AE49C5"/>
    <w:rsid w:val="00AE5AFC"/>
    <w:rsid w:val="00AE7B38"/>
    <w:rsid w:val="00AF0D14"/>
    <w:rsid w:val="00AF10F2"/>
    <w:rsid w:val="00AF718A"/>
    <w:rsid w:val="00B14324"/>
    <w:rsid w:val="00B14B66"/>
    <w:rsid w:val="00B153F4"/>
    <w:rsid w:val="00B15E05"/>
    <w:rsid w:val="00B25637"/>
    <w:rsid w:val="00B2624E"/>
    <w:rsid w:val="00B26257"/>
    <w:rsid w:val="00B32050"/>
    <w:rsid w:val="00B32110"/>
    <w:rsid w:val="00B33B9F"/>
    <w:rsid w:val="00B34558"/>
    <w:rsid w:val="00B34B2F"/>
    <w:rsid w:val="00B378B0"/>
    <w:rsid w:val="00B40981"/>
    <w:rsid w:val="00B41336"/>
    <w:rsid w:val="00B41370"/>
    <w:rsid w:val="00B4221B"/>
    <w:rsid w:val="00B43442"/>
    <w:rsid w:val="00B5172B"/>
    <w:rsid w:val="00B5217A"/>
    <w:rsid w:val="00B61996"/>
    <w:rsid w:val="00B628A1"/>
    <w:rsid w:val="00B65A26"/>
    <w:rsid w:val="00B670D4"/>
    <w:rsid w:val="00B8328E"/>
    <w:rsid w:val="00B854BC"/>
    <w:rsid w:val="00B90183"/>
    <w:rsid w:val="00B9156B"/>
    <w:rsid w:val="00B928E1"/>
    <w:rsid w:val="00BA08EE"/>
    <w:rsid w:val="00BA11D4"/>
    <w:rsid w:val="00BA1311"/>
    <w:rsid w:val="00BA19AA"/>
    <w:rsid w:val="00BA1AA0"/>
    <w:rsid w:val="00BA2032"/>
    <w:rsid w:val="00BA56F1"/>
    <w:rsid w:val="00BB1667"/>
    <w:rsid w:val="00BB4DD5"/>
    <w:rsid w:val="00BC506C"/>
    <w:rsid w:val="00BD5B62"/>
    <w:rsid w:val="00BE0EAE"/>
    <w:rsid w:val="00BE28D5"/>
    <w:rsid w:val="00BE4F01"/>
    <w:rsid w:val="00BE7F12"/>
    <w:rsid w:val="00BF0E03"/>
    <w:rsid w:val="00BF1F89"/>
    <w:rsid w:val="00BF6DF7"/>
    <w:rsid w:val="00C024F1"/>
    <w:rsid w:val="00C14B3C"/>
    <w:rsid w:val="00C22506"/>
    <w:rsid w:val="00C23EDA"/>
    <w:rsid w:val="00C25314"/>
    <w:rsid w:val="00C257ED"/>
    <w:rsid w:val="00C26B62"/>
    <w:rsid w:val="00C35BD8"/>
    <w:rsid w:val="00C37372"/>
    <w:rsid w:val="00C37768"/>
    <w:rsid w:val="00C42CC6"/>
    <w:rsid w:val="00C50786"/>
    <w:rsid w:val="00C5175E"/>
    <w:rsid w:val="00C55960"/>
    <w:rsid w:val="00C61901"/>
    <w:rsid w:val="00C66585"/>
    <w:rsid w:val="00C70938"/>
    <w:rsid w:val="00C720A1"/>
    <w:rsid w:val="00C74176"/>
    <w:rsid w:val="00C75F49"/>
    <w:rsid w:val="00C768DD"/>
    <w:rsid w:val="00C77526"/>
    <w:rsid w:val="00C82A0A"/>
    <w:rsid w:val="00C835CB"/>
    <w:rsid w:val="00C838F9"/>
    <w:rsid w:val="00C86561"/>
    <w:rsid w:val="00C86AD1"/>
    <w:rsid w:val="00C92360"/>
    <w:rsid w:val="00C931C9"/>
    <w:rsid w:val="00C94025"/>
    <w:rsid w:val="00C9579E"/>
    <w:rsid w:val="00CA49C1"/>
    <w:rsid w:val="00CA4CA9"/>
    <w:rsid w:val="00CA582B"/>
    <w:rsid w:val="00CA797C"/>
    <w:rsid w:val="00CB26EA"/>
    <w:rsid w:val="00CB3C55"/>
    <w:rsid w:val="00CB6943"/>
    <w:rsid w:val="00CB6F4F"/>
    <w:rsid w:val="00CC017D"/>
    <w:rsid w:val="00CC10F4"/>
    <w:rsid w:val="00CC4854"/>
    <w:rsid w:val="00CC4A52"/>
    <w:rsid w:val="00CD11C5"/>
    <w:rsid w:val="00CD354F"/>
    <w:rsid w:val="00CD3ADA"/>
    <w:rsid w:val="00CE0BB5"/>
    <w:rsid w:val="00CE4733"/>
    <w:rsid w:val="00CE5DAB"/>
    <w:rsid w:val="00CE7985"/>
    <w:rsid w:val="00CF02D6"/>
    <w:rsid w:val="00CF47CE"/>
    <w:rsid w:val="00CF510E"/>
    <w:rsid w:val="00CF5122"/>
    <w:rsid w:val="00CF590B"/>
    <w:rsid w:val="00CF7258"/>
    <w:rsid w:val="00CF7A57"/>
    <w:rsid w:val="00D04E76"/>
    <w:rsid w:val="00D06677"/>
    <w:rsid w:val="00D10C64"/>
    <w:rsid w:val="00D13076"/>
    <w:rsid w:val="00D147CE"/>
    <w:rsid w:val="00D156C2"/>
    <w:rsid w:val="00D234F1"/>
    <w:rsid w:val="00D26B78"/>
    <w:rsid w:val="00D31259"/>
    <w:rsid w:val="00D31A3B"/>
    <w:rsid w:val="00D31E19"/>
    <w:rsid w:val="00D32211"/>
    <w:rsid w:val="00D33245"/>
    <w:rsid w:val="00D335B0"/>
    <w:rsid w:val="00D33BC7"/>
    <w:rsid w:val="00D37C33"/>
    <w:rsid w:val="00D45571"/>
    <w:rsid w:val="00D469A2"/>
    <w:rsid w:val="00D4717D"/>
    <w:rsid w:val="00D536B0"/>
    <w:rsid w:val="00D546EE"/>
    <w:rsid w:val="00D57151"/>
    <w:rsid w:val="00D61FAF"/>
    <w:rsid w:val="00D66623"/>
    <w:rsid w:val="00D740E9"/>
    <w:rsid w:val="00D74466"/>
    <w:rsid w:val="00D7529F"/>
    <w:rsid w:val="00D76D24"/>
    <w:rsid w:val="00D76E49"/>
    <w:rsid w:val="00D772E0"/>
    <w:rsid w:val="00D77B0B"/>
    <w:rsid w:val="00D81EEA"/>
    <w:rsid w:val="00D86B33"/>
    <w:rsid w:val="00D87F7F"/>
    <w:rsid w:val="00D91449"/>
    <w:rsid w:val="00DA0504"/>
    <w:rsid w:val="00DA0A5D"/>
    <w:rsid w:val="00DA102A"/>
    <w:rsid w:val="00DA2518"/>
    <w:rsid w:val="00DA2A63"/>
    <w:rsid w:val="00DA501F"/>
    <w:rsid w:val="00DA6B2C"/>
    <w:rsid w:val="00DA6D53"/>
    <w:rsid w:val="00DA7956"/>
    <w:rsid w:val="00DB4748"/>
    <w:rsid w:val="00DB682A"/>
    <w:rsid w:val="00DB7082"/>
    <w:rsid w:val="00DC0500"/>
    <w:rsid w:val="00DC20E7"/>
    <w:rsid w:val="00DC465A"/>
    <w:rsid w:val="00DC53D8"/>
    <w:rsid w:val="00DD3E44"/>
    <w:rsid w:val="00DD3F38"/>
    <w:rsid w:val="00DD621A"/>
    <w:rsid w:val="00DD7B4E"/>
    <w:rsid w:val="00DE07F6"/>
    <w:rsid w:val="00DE4F4C"/>
    <w:rsid w:val="00DE5083"/>
    <w:rsid w:val="00DF05A4"/>
    <w:rsid w:val="00DF5081"/>
    <w:rsid w:val="00DF7115"/>
    <w:rsid w:val="00DF771B"/>
    <w:rsid w:val="00E03366"/>
    <w:rsid w:val="00E04415"/>
    <w:rsid w:val="00E0493E"/>
    <w:rsid w:val="00E05243"/>
    <w:rsid w:val="00E07908"/>
    <w:rsid w:val="00E10E55"/>
    <w:rsid w:val="00E10E81"/>
    <w:rsid w:val="00E146BA"/>
    <w:rsid w:val="00E15DB8"/>
    <w:rsid w:val="00E31278"/>
    <w:rsid w:val="00E33D41"/>
    <w:rsid w:val="00E341D9"/>
    <w:rsid w:val="00E35C69"/>
    <w:rsid w:val="00E36DC0"/>
    <w:rsid w:val="00E4697F"/>
    <w:rsid w:val="00E52105"/>
    <w:rsid w:val="00E55DD2"/>
    <w:rsid w:val="00E5722B"/>
    <w:rsid w:val="00E57AC2"/>
    <w:rsid w:val="00E63355"/>
    <w:rsid w:val="00E63529"/>
    <w:rsid w:val="00E64717"/>
    <w:rsid w:val="00E708B9"/>
    <w:rsid w:val="00E71C8A"/>
    <w:rsid w:val="00E734AC"/>
    <w:rsid w:val="00E7369E"/>
    <w:rsid w:val="00E738EE"/>
    <w:rsid w:val="00E74E41"/>
    <w:rsid w:val="00E77F85"/>
    <w:rsid w:val="00E8066E"/>
    <w:rsid w:val="00E87A38"/>
    <w:rsid w:val="00E902A8"/>
    <w:rsid w:val="00EA066D"/>
    <w:rsid w:val="00EA319A"/>
    <w:rsid w:val="00EB024A"/>
    <w:rsid w:val="00EB0E1F"/>
    <w:rsid w:val="00EB5D64"/>
    <w:rsid w:val="00EB66A2"/>
    <w:rsid w:val="00EC0771"/>
    <w:rsid w:val="00EC0C0F"/>
    <w:rsid w:val="00ED34D5"/>
    <w:rsid w:val="00ED7884"/>
    <w:rsid w:val="00EE1317"/>
    <w:rsid w:val="00EE1904"/>
    <w:rsid w:val="00EE789C"/>
    <w:rsid w:val="00EF027D"/>
    <w:rsid w:val="00EF1F43"/>
    <w:rsid w:val="00EF40E6"/>
    <w:rsid w:val="00EF5A74"/>
    <w:rsid w:val="00EF738F"/>
    <w:rsid w:val="00F05693"/>
    <w:rsid w:val="00F07C2F"/>
    <w:rsid w:val="00F07D5A"/>
    <w:rsid w:val="00F11893"/>
    <w:rsid w:val="00F12CFB"/>
    <w:rsid w:val="00F14049"/>
    <w:rsid w:val="00F15BAF"/>
    <w:rsid w:val="00F17B2E"/>
    <w:rsid w:val="00F23EEB"/>
    <w:rsid w:val="00F3232F"/>
    <w:rsid w:val="00F3436F"/>
    <w:rsid w:val="00F346B6"/>
    <w:rsid w:val="00F34A55"/>
    <w:rsid w:val="00F34C8E"/>
    <w:rsid w:val="00F360ED"/>
    <w:rsid w:val="00F373BF"/>
    <w:rsid w:val="00F456DE"/>
    <w:rsid w:val="00F521C7"/>
    <w:rsid w:val="00F53395"/>
    <w:rsid w:val="00F64B22"/>
    <w:rsid w:val="00F65671"/>
    <w:rsid w:val="00F65A98"/>
    <w:rsid w:val="00F67DF4"/>
    <w:rsid w:val="00F70FA4"/>
    <w:rsid w:val="00F749BD"/>
    <w:rsid w:val="00F813C8"/>
    <w:rsid w:val="00F84C39"/>
    <w:rsid w:val="00F85474"/>
    <w:rsid w:val="00F85E8C"/>
    <w:rsid w:val="00F912C0"/>
    <w:rsid w:val="00F92862"/>
    <w:rsid w:val="00F96FB7"/>
    <w:rsid w:val="00F97871"/>
    <w:rsid w:val="00FA5B84"/>
    <w:rsid w:val="00FB7B5E"/>
    <w:rsid w:val="00FC1223"/>
    <w:rsid w:val="00FC179E"/>
    <w:rsid w:val="00FC2C44"/>
    <w:rsid w:val="00FC41D8"/>
    <w:rsid w:val="00FC6AC8"/>
    <w:rsid w:val="00FD0303"/>
    <w:rsid w:val="00FD0391"/>
    <w:rsid w:val="00FD72DD"/>
    <w:rsid w:val="00FE3B3F"/>
    <w:rsid w:val="00FE58B7"/>
    <w:rsid w:val="00FF5C7B"/>
    <w:rsid w:val="00FF7771"/>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99D4EB"/>
  <w15:docId w15:val="{0E261A1C-DDAB-2244-9395-BB0E6596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Standard.neu"/>
    <w:qFormat/>
    <w:rsid w:val="00913EEB"/>
    <w:pPr>
      <w:spacing w:line="276" w:lineRule="auto"/>
      <w:jc w:val="left"/>
    </w:pPr>
    <w:rPr>
      <w:rFonts w:ascii="Arial" w:hAnsi="Arial"/>
    </w:rPr>
  </w:style>
  <w:style w:type="paragraph" w:styleId="Heading1">
    <w:name w:val="heading 1"/>
    <w:basedOn w:val="Normal"/>
    <w:link w:val="Heading1Char"/>
    <w:uiPriority w:val="9"/>
    <w:qFormat/>
    <w:rsid w:val="00BE7F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2C74"/>
    <w:pPr>
      <w:ind w:left="720"/>
      <w:contextualSpacing/>
    </w:pPr>
  </w:style>
  <w:style w:type="paragraph" w:styleId="BalloonText">
    <w:name w:val="Balloon Text"/>
    <w:basedOn w:val="Normal"/>
    <w:link w:val="BalloonTextChar"/>
    <w:uiPriority w:val="99"/>
    <w:semiHidden/>
    <w:unhideWhenUsed/>
    <w:rsid w:val="00742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C74"/>
    <w:rPr>
      <w:rFonts w:ascii="Tahoma" w:hAnsi="Tahoma" w:cs="Tahoma"/>
      <w:sz w:val="16"/>
      <w:szCs w:val="16"/>
    </w:rPr>
  </w:style>
  <w:style w:type="paragraph" w:styleId="Header">
    <w:name w:val="header"/>
    <w:basedOn w:val="Normal"/>
    <w:link w:val="HeaderChar"/>
    <w:uiPriority w:val="99"/>
    <w:unhideWhenUsed/>
    <w:rsid w:val="004462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4623D"/>
    <w:rPr>
      <w:rFonts w:ascii="Arial" w:hAnsi="Arial"/>
    </w:rPr>
  </w:style>
  <w:style w:type="paragraph" w:styleId="Footer">
    <w:name w:val="footer"/>
    <w:basedOn w:val="Normal"/>
    <w:link w:val="FooterChar"/>
    <w:uiPriority w:val="99"/>
    <w:unhideWhenUsed/>
    <w:rsid w:val="004462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4623D"/>
    <w:rPr>
      <w:rFonts w:ascii="Arial" w:hAnsi="Arial"/>
    </w:rPr>
  </w:style>
  <w:style w:type="character" w:styleId="Hyperlink">
    <w:name w:val="Hyperlink"/>
    <w:basedOn w:val="DefaultParagraphFont"/>
    <w:uiPriority w:val="99"/>
    <w:unhideWhenUsed/>
    <w:rsid w:val="00BB1667"/>
    <w:rPr>
      <w:color w:val="0000FF" w:themeColor="hyperlink"/>
      <w:u w:val="single"/>
    </w:rPr>
  </w:style>
  <w:style w:type="table" w:styleId="TableGrid">
    <w:name w:val="Table Grid"/>
    <w:basedOn w:val="TableNormal"/>
    <w:uiPriority w:val="59"/>
    <w:rsid w:val="00CC017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5156"/>
    <w:rPr>
      <w:sz w:val="16"/>
      <w:szCs w:val="16"/>
    </w:rPr>
  </w:style>
  <w:style w:type="paragraph" w:styleId="CommentText">
    <w:name w:val="annotation text"/>
    <w:basedOn w:val="Normal"/>
    <w:link w:val="CommentTextChar"/>
    <w:uiPriority w:val="99"/>
    <w:unhideWhenUsed/>
    <w:rsid w:val="007F5156"/>
    <w:pPr>
      <w:spacing w:line="240" w:lineRule="auto"/>
    </w:pPr>
    <w:rPr>
      <w:sz w:val="20"/>
      <w:szCs w:val="20"/>
    </w:rPr>
  </w:style>
  <w:style w:type="character" w:customStyle="1" w:styleId="CommentTextChar">
    <w:name w:val="Comment Text Char"/>
    <w:basedOn w:val="DefaultParagraphFont"/>
    <w:link w:val="CommentText"/>
    <w:uiPriority w:val="99"/>
    <w:rsid w:val="007F515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F5156"/>
    <w:rPr>
      <w:b/>
      <w:bCs/>
    </w:rPr>
  </w:style>
  <w:style w:type="character" w:customStyle="1" w:styleId="CommentSubjectChar">
    <w:name w:val="Comment Subject Char"/>
    <w:basedOn w:val="CommentTextChar"/>
    <w:link w:val="CommentSubject"/>
    <w:uiPriority w:val="99"/>
    <w:semiHidden/>
    <w:rsid w:val="007F5156"/>
    <w:rPr>
      <w:rFonts w:ascii="Arial" w:hAnsi="Arial"/>
      <w:b/>
      <w:bCs/>
      <w:sz w:val="20"/>
      <w:szCs w:val="20"/>
    </w:rPr>
  </w:style>
  <w:style w:type="paragraph" w:customStyle="1" w:styleId="TableNote">
    <w:name w:val="TableNote"/>
    <w:basedOn w:val="Normal"/>
    <w:rsid w:val="00826E7C"/>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826E7C"/>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826E7C"/>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826E7C"/>
  </w:style>
  <w:style w:type="character" w:styleId="LineNumber">
    <w:name w:val="line number"/>
    <w:basedOn w:val="DefaultParagraphFont"/>
    <w:uiPriority w:val="99"/>
    <w:semiHidden/>
    <w:unhideWhenUsed/>
    <w:rsid w:val="0089127C"/>
  </w:style>
  <w:style w:type="table" w:styleId="LightShading">
    <w:name w:val="Light Shading"/>
    <w:basedOn w:val="TableNormal"/>
    <w:uiPriority w:val="60"/>
    <w:rsid w:val="0001692D"/>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
    <w:name w:val="Body Text"/>
    <w:basedOn w:val="Normal"/>
    <w:link w:val="BodyTextChar"/>
    <w:semiHidden/>
    <w:rsid w:val="003B2A0B"/>
    <w:pPr>
      <w:overflowPunct w:val="0"/>
      <w:autoSpaceDE w:val="0"/>
      <w:autoSpaceDN w:val="0"/>
      <w:adjustRightInd w:val="0"/>
      <w:spacing w:before="120" w:after="120" w:line="360" w:lineRule="auto"/>
      <w:jc w:val="both"/>
      <w:textAlignment w:val="baseline"/>
    </w:pPr>
    <w:rPr>
      <w:rFonts w:ascii="Times New Roman" w:eastAsia="Times New Roman" w:hAnsi="Times New Roman" w:cs="Times New Roman"/>
      <w:szCs w:val="24"/>
      <w:lang w:eastAsia="de-DE"/>
    </w:rPr>
  </w:style>
  <w:style w:type="character" w:customStyle="1" w:styleId="BodyTextChar">
    <w:name w:val="Body Text Char"/>
    <w:basedOn w:val="DefaultParagraphFont"/>
    <w:link w:val="BodyText"/>
    <w:semiHidden/>
    <w:rsid w:val="003B2A0B"/>
    <w:rPr>
      <w:rFonts w:ascii="Times New Roman" w:eastAsia="Times New Roman" w:hAnsi="Times New Roman" w:cs="Times New Roman"/>
      <w:szCs w:val="24"/>
      <w:lang w:eastAsia="de-DE"/>
    </w:rPr>
  </w:style>
  <w:style w:type="character" w:customStyle="1" w:styleId="st">
    <w:name w:val="st"/>
    <w:basedOn w:val="DefaultParagraphFont"/>
    <w:rsid w:val="00DC53D8"/>
  </w:style>
  <w:style w:type="character" w:customStyle="1" w:styleId="Heading1Char">
    <w:name w:val="Heading 1 Char"/>
    <w:basedOn w:val="DefaultParagraphFont"/>
    <w:link w:val="Heading1"/>
    <w:uiPriority w:val="9"/>
    <w:rsid w:val="00BE7F12"/>
    <w:rPr>
      <w:rFonts w:ascii="Times New Roman" w:eastAsia="Times New Roman" w:hAnsi="Times New Roman" w:cs="Times New Roman"/>
      <w:b/>
      <w:bCs/>
      <w:kern w:val="36"/>
      <w:sz w:val="48"/>
      <w:szCs w:val="48"/>
      <w:lang w:eastAsia="de-DE"/>
    </w:rPr>
  </w:style>
  <w:style w:type="character" w:customStyle="1" w:styleId="highlight">
    <w:name w:val="highlight"/>
    <w:basedOn w:val="DefaultParagraphFont"/>
    <w:rsid w:val="00BE7F12"/>
  </w:style>
  <w:style w:type="paragraph" w:customStyle="1" w:styleId="desc">
    <w:name w:val="desc"/>
    <w:basedOn w:val="Normal"/>
    <w:rsid w:val="00BE7F1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tails">
    <w:name w:val="details"/>
    <w:basedOn w:val="Normal"/>
    <w:rsid w:val="00BE7F12"/>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jrnl">
    <w:name w:val="jrnl"/>
    <w:basedOn w:val="DefaultParagraphFont"/>
    <w:rsid w:val="00BE7F12"/>
  </w:style>
  <w:style w:type="character" w:customStyle="1" w:styleId="EndNoteBibliographyZchn">
    <w:name w:val="EndNote Bibliography Zchn"/>
    <w:basedOn w:val="DefaultParagraphFont"/>
    <w:link w:val="EndNoteBibliography"/>
    <w:rsid w:val="00315C5B"/>
    <w:rPr>
      <w:color w:val="00000A"/>
    </w:rPr>
  </w:style>
  <w:style w:type="paragraph" w:customStyle="1" w:styleId="EndNoteBibliography">
    <w:name w:val="EndNote Bibliography"/>
    <w:basedOn w:val="Normal"/>
    <w:link w:val="EndNoteBibliographyZchn"/>
    <w:rsid w:val="00315C5B"/>
    <w:pPr>
      <w:suppressAutoHyphens/>
      <w:spacing w:line="240" w:lineRule="auto"/>
    </w:pPr>
    <w:rPr>
      <w:rFonts w:asciiTheme="minorHAnsi" w:hAnsiTheme="minorHAnsi"/>
      <w:color w:val="00000A"/>
    </w:rPr>
  </w:style>
  <w:style w:type="character" w:styleId="Emphasis">
    <w:name w:val="Emphasis"/>
    <w:basedOn w:val="DefaultParagraphFont"/>
    <w:uiPriority w:val="20"/>
    <w:qFormat/>
    <w:rsid w:val="005449EC"/>
    <w:rPr>
      <w:i/>
      <w:iCs/>
    </w:rPr>
  </w:style>
  <w:style w:type="paragraph" w:customStyle="1" w:styleId="Titel1">
    <w:name w:val="Titel1"/>
    <w:basedOn w:val="Normal"/>
    <w:rsid w:val="00F34C8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PlaceholderText">
    <w:name w:val="Placeholder Text"/>
    <w:basedOn w:val="DefaultParagraphFont"/>
    <w:uiPriority w:val="99"/>
    <w:semiHidden/>
    <w:rsid w:val="0013299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970065">
      <w:bodyDiv w:val="1"/>
      <w:marLeft w:val="0"/>
      <w:marRight w:val="0"/>
      <w:marTop w:val="0"/>
      <w:marBottom w:val="0"/>
      <w:divBdr>
        <w:top w:val="none" w:sz="0" w:space="0" w:color="auto"/>
        <w:left w:val="none" w:sz="0" w:space="0" w:color="auto"/>
        <w:bottom w:val="none" w:sz="0" w:space="0" w:color="auto"/>
        <w:right w:val="none" w:sz="0" w:space="0" w:color="auto"/>
      </w:divBdr>
    </w:div>
    <w:div w:id="88817140">
      <w:bodyDiv w:val="1"/>
      <w:marLeft w:val="0"/>
      <w:marRight w:val="0"/>
      <w:marTop w:val="0"/>
      <w:marBottom w:val="0"/>
      <w:divBdr>
        <w:top w:val="none" w:sz="0" w:space="0" w:color="auto"/>
        <w:left w:val="none" w:sz="0" w:space="0" w:color="auto"/>
        <w:bottom w:val="none" w:sz="0" w:space="0" w:color="auto"/>
        <w:right w:val="none" w:sz="0" w:space="0" w:color="auto"/>
      </w:divBdr>
    </w:div>
    <w:div w:id="103812280">
      <w:bodyDiv w:val="1"/>
      <w:marLeft w:val="0"/>
      <w:marRight w:val="0"/>
      <w:marTop w:val="0"/>
      <w:marBottom w:val="0"/>
      <w:divBdr>
        <w:top w:val="none" w:sz="0" w:space="0" w:color="auto"/>
        <w:left w:val="none" w:sz="0" w:space="0" w:color="auto"/>
        <w:bottom w:val="none" w:sz="0" w:space="0" w:color="auto"/>
        <w:right w:val="none" w:sz="0" w:space="0" w:color="auto"/>
      </w:divBdr>
    </w:div>
    <w:div w:id="525212528">
      <w:bodyDiv w:val="1"/>
      <w:marLeft w:val="0"/>
      <w:marRight w:val="0"/>
      <w:marTop w:val="0"/>
      <w:marBottom w:val="0"/>
      <w:divBdr>
        <w:top w:val="none" w:sz="0" w:space="0" w:color="auto"/>
        <w:left w:val="none" w:sz="0" w:space="0" w:color="auto"/>
        <w:bottom w:val="none" w:sz="0" w:space="0" w:color="auto"/>
        <w:right w:val="none" w:sz="0" w:space="0" w:color="auto"/>
      </w:divBdr>
      <w:divsChild>
        <w:div w:id="1480078578">
          <w:marLeft w:val="0"/>
          <w:marRight w:val="0"/>
          <w:marTop w:val="0"/>
          <w:marBottom w:val="0"/>
          <w:divBdr>
            <w:top w:val="none" w:sz="0" w:space="0" w:color="auto"/>
            <w:left w:val="none" w:sz="0" w:space="0" w:color="auto"/>
            <w:bottom w:val="none" w:sz="0" w:space="0" w:color="auto"/>
            <w:right w:val="none" w:sz="0" w:space="0" w:color="auto"/>
          </w:divBdr>
        </w:div>
        <w:div w:id="994796068">
          <w:marLeft w:val="0"/>
          <w:marRight w:val="0"/>
          <w:marTop w:val="0"/>
          <w:marBottom w:val="0"/>
          <w:divBdr>
            <w:top w:val="none" w:sz="0" w:space="0" w:color="auto"/>
            <w:left w:val="none" w:sz="0" w:space="0" w:color="auto"/>
            <w:bottom w:val="none" w:sz="0" w:space="0" w:color="auto"/>
            <w:right w:val="none" w:sz="0" w:space="0" w:color="auto"/>
          </w:divBdr>
        </w:div>
      </w:divsChild>
    </w:div>
    <w:div w:id="661354000">
      <w:bodyDiv w:val="1"/>
      <w:marLeft w:val="0"/>
      <w:marRight w:val="0"/>
      <w:marTop w:val="0"/>
      <w:marBottom w:val="0"/>
      <w:divBdr>
        <w:top w:val="none" w:sz="0" w:space="0" w:color="auto"/>
        <w:left w:val="none" w:sz="0" w:space="0" w:color="auto"/>
        <w:bottom w:val="none" w:sz="0" w:space="0" w:color="auto"/>
        <w:right w:val="none" w:sz="0" w:space="0" w:color="auto"/>
      </w:divBdr>
    </w:div>
    <w:div w:id="1155996517">
      <w:bodyDiv w:val="1"/>
      <w:marLeft w:val="0"/>
      <w:marRight w:val="0"/>
      <w:marTop w:val="0"/>
      <w:marBottom w:val="0"/>
      <w:divBdr>
        <w:top w:val="none" w:sz="0" w:space="0" w:color="auto"/>
        <w:left w:val="none" w:sz="0" w:space="0" w:color="auto"/>
        <w:bottom w:val="none" w:sz="0" w:space="0" w:color="auto"/>
        <w:right w:val="none" w:sz="0" w:space="0" w:color="auto"/>
      </w:divBdr>
    </w:div>
    <w:div w:id="1460302769">
      <w:bodyDiv w:val="1"/>
      <w:marLeft w:val="0"/>
      <w:marRight w:val="0"/>
      <w:marTop w:val="0"/>
      <w:marBottom w:val="0"/>
      <w:divBdr>
        <w:top w:val="none" w:sz="0" w:space="0" w:color="auto"/>
        <w:left w:val="none" w:sz="0" w:space="0" w:color="auto"/>
        <w:bottom w:val="none" w:sz="0" w:space="0" w:color="auto"/>
        <w:right w:val="none" w:sz="0" w:space="0" w:color="auto"/>
      </w:divBdr>
    </w:div>
    <w:div w:id="1461724285">
      <w:bodyDiv w:val="1"/>
      <w:marLeft w:val="0"/>
      <w:marRight w:val="0"/>
      <w:marTop w:val="0"/>
      <w:marBottom w:val="0"/>
      <w:divBdr>
        <w:top w:val="none" w:sz="0" w:space="0" w:color="auto"/>
        <w:left w:val="none" w:sz="0" w:space="0" w:color="auto"/>
        <w:bottom w:val="none" w:sz="0" w:space="0" w:color="auto"/>
        <w:right w:val="none" w:sz="0" w:space="0" w:color="auto"/>
      </w:divBdr>
      <w:divsChild>
        <w:div w:id="508328470">
          <w:marLeft w:val="0"/>
          <w:marRight w:val="0"/>
          <w:marTop w:val="0"/>
          <w:marBottom w:val="0"/>
          <w:divBdr>
            <w:top w:val="none" w:sz="0" w:space="0" w:color="auto"/>
            <w:left w:val="none" w:sz="0" w:space="0" w:color="auto"/>
            <w:bottom w:val="none" w:sz="0" w:space="0" w:color="auto"/>
            <w:right w:val="none" w:sz="0" w:space="0" w:color="auto"/>
          </w:divBdr>
        </w:div>
        <w:div w:id="1119492543">
          <w:marLeft w:val="0"/>
          <w:marRight w:val="0"/>
          <w:marTop w:val="0"/>
          <w:marBottom w:val="0"/>
          <w:divBdr>
            <w:top w:val="none" w:sz="0" w:space="0" w:color="auto"/>
            <w:left w:val="none" w:sz="0" w:space="0" w:color="auto"/>
            <w:bottom w:val="none" w:sz="0" w:space="0" w:color="auto"/>
            <w:right w:val="none" w:sz="0" w:space="0" w:color="auto"/>
          </w:divBdr>
        </w:div>
      </w:divsChild>
    </w:div>
    <w:div w:id="2142069739">
      <w:bodyDiv w:val="1"/>
      <w:marLeft w:val="0"/>
      <w:marRight w:val="0"/>
      <w:marTop w:val="0"/>
      <w:marBottom w:val="0"/>
      <w:divBdr>
        <w:top w:val="none" w:sz="0" w:space="0" w:color="auto"/>
        <w:left w:val="none" w:sz="0" w:space="0" w:color="auto"/>
        <w:bottom w:val="none" w:sz="0" w:space="0" w:color="auto"/>
        <w:right w:val="none" w:sz="0" w:space="0" w:color="auto"/>
      </w:divBdr>
      <w:divsChild>
        <w:div w:id="1217163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84715-E6E3-B64C-A511-8587D75AD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41787</Words>
  <Characters>254903</Characters>
  <Application>Microsoft Office Word</Application>
  <DocSecurity>0</DocSecurity>
  <Lines>3590</Lines>
  <Paragraphs>699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Dominik Bettinger</dc:creator>
  <cp:lastModifiedBy>Pinato, David J</cp:lastModifiedBy>
  <cp:revision>2</cp:revision>
  <cp:lastPrinted>2017-05-17T08:29:00Z</cp:lastPrinted>
  <dcterms:created xsi:type="dcterms:W3CDTF">2018-08-04T08:52:00Z</dcterms:created>
  <dcterms:modified xsi:type="dcterms:W3CDTF">2018-08-04T08:52:00Z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http://www.zotero.org/styles/chicago-author-date</vt:lpwstr>
  </property>
  <property fmtid="{D5CDD505-2E9C-101B-9397-08002B2CF9AE}" pid="3" name="Mendeley Recent Style Name 0_1">
    <vt:lpwstr>Chicago Manual of Style 16th edition (author-date)</vt:lpwstr>
  </property>
  <property fmtid="{D5CDD505-2E9C-101B-9397-08002B2CF9AE}" pid="4" name="Mendeley Recent Style Id 1_1">
    <vt:lpwstr>http://csl.mendeley.com/styles/7512693/elsevier-vancouver</vt:lpwstr>
  </property>
  <property fmtid="{D5CDD505-2E9C-101B-9397-08002B2CF9AE}" pid="5" name="Mendeley Recent Style Name 1_1">
    <vt:lpwstr>Elsevier - Vancouver - Dominik Bettinger</vt:lpwstr>
  </property>
  <property fmtid="{D5CDD505-2E9C-101B-9397-08002B2CF9AE}" pid="6" name="Mendeley Recent Style Id 2_1">
    <vt:lpwstr>http://www.zotero.org/styles/harvard1</vt:lpwstr>
  </property>
  <property fmtid="{D5CDD505-2E9C-101B-9397-08002B2CF9AE}" pid="7" name="Mendeley Recent Style Name 2_1">
    <vt:lpwstr>Harvard Reference format 1 (author-date)</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http://www.zotero.org/styles/journal-of-hepatology</vt:lpwstr>
  </property>
  <property fmtid="{D5CDD505-2E9C-101B-9397-08002B2CF9AE}" pid="11" name="Mendeley Recent Style Name 4_1">
    <vt:lpwstr>Journal of Hepatology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http://www.zotero.org/styles/radiotherapy-and-oncology</vt:lpwstr>
  </property>
  <property fmtid="{D5CDD505-2E9C-101B-9397-08002B2CF9AE}" pid="19" name="Mendeley Recent Style Name 8_1">
    <vt:lpwstr>Radiotherapy and Oncology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2e85b6f4-c2c5-39de-bf70-3f5b3bf66aa0</vt:lpwstr>
  </property>
  <property fmtid="{D5CDD505-2E9C-101B-9397-08002B2CF9AE}" pid="24" name="Mendeley Citation Style_1">
    <vt:lpwstr>http://csl.mendeley.com/styles/7512693/elsevier-vancouver</vt:lpwstr>
  </property>
</Properties>
</file>