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page" w:tblpX="370" w:tblpY="1265"/>
        <w:tblW w:w="11335" w:type="dxa"/>
        <w:tblLayout w:type="fixed"/>
        <w:tblLook w:val="0000"/>
      </w:tblPr>
      <w:tblGrid>
        <w:gridCol w:w="1795"/>
        <w:gridCol w:w="9540"/>
      </w:tblGrid>
      <w:tr w:rsidR="00D57612" w:rsidTr="00D57612">
        <w:trPr>
          <w:trHeight w:val="342"/>
        </w:trPr>
        <w:tc>
          <w:tcPr>
            <w:tcW w:w="1795" w:type="dxa"/>
          </w:tcPr>
          <w:p w:rsidR="00D57612" w:rsidRDefault="00D57612" w:rsidP="00D57612">
            <w:pPr>
              <w:widowControl w:val="0"/>
              <w:autoSpaceDE w:val="0"/>
              <w:autoSpaceDN w:val="0"/>
              <w:adjustRightInd w:val="0"/>
              <w:jc w:val="right"/>
              <w:rPr>
                <w:rFonts w:ascii="Arial" w:hAnsi="Arial" w:cs="Arial"/>
                <w:sz w:val="22"/>
                <w:szCs w:val="22"/>
                <w:lang w:val="en-US"/>
              </w:rPr>
            </w:pPr>
            <w:r>
              <w:rPr>
                <w:rFonts w:ascii="Arial" w:hAnsi="Arial" w:cs="Arial"/>
                <w:color w:val="262626"/>
                <w:sz w:val="22"/>
                <w:szCs w:val="22"/>
                <w:lang w:val="en-US"/>
              </w:rPr>
              <w:t>Topic:</w:t>
            </w:r>
          </w:p>
        </w:tc>
        <w:tc>
          <w:tcPr>
            <w:tcW w:w="9540" w:type="dxa"/>
            <w:vAlign w:val="center"/>
          </w:tcPr>
          <w:p w:rsidR="00D57612" w:rsidRDefault="00D57612" w:rsidP="00D57612">
            <w:pPr>
              <w:widowControl w:val="0"/>
              <w:autoSpaceDE w:val="0"/>
              <w:autoSpaceDN w:val="0"/>
              <w:adjustRightInd w:val="0"/>
              <w:rPr>
                <w:rFonts w:ascii="Arial" w:hAnsi="Arial" w:cs="Arial"/>
                <w:sz w:val="22"/>
                <w:szCs w:val="22"/>
                <w:lang w:val="en-US"/>
              </w:rPr>
            </w:pPr>
            <w:r>
              <w:rPr>
                <w:rFonts w:ascii="Arial" w:hAnsi="Arial" w:cs="Arial"/>
                <w:color w:val="262626"/>
                <w:sz w:val="22"/>
                <w:szCs w:val="22"/>
                <w:lang w:val="en-US"/>
              </w:rPr>
              <w:t>Mucosal immunology</w:t>
            </w:r>
          </w:p>
        </w:tc>
      </w:tr>
      <w:tr w:rsidR="00D57612" w:rsidTr="00D57612">
        <w:tc>
          <w:tcPr>
            <w:tcW w:w="1795" w:type="dxa"/>
          </w:tcPr>
          <w:p w:rsidR="00D57612" w:rsidRDefault="00D57612" w:rsidP="00D57612">
            <w:pPr>
              <w:widowControl w:val="0"/>
              <w:autoSpaceDE w:val="0"/>
              <w:autoSpaceDN w:val="0"/>
              <w:adjustRightInd w:val="0"/>
              <w:jc w:val="right"/>
              <w:rPr>
                <w:rFonts w:ascii="Arial" w:hAnsi="Arial" w:cs="Arial"/>
                <w:sz w:val="22"/>
                <w:szCs w:val="22"/>
                <w:lang w:val="en-US"/>
              </w:rPr>
            </w:pPr>
            <w:r>
              <w:rPr>
                <w:rFonts w:ascii="Arial" w:hAnsi="Arial" w:cs="Arial"/>
                <w:b/>
                <w:bCs/>
                <w:color w:val="262626"/>
                <w:sz w:val="22"/>
                <w:szCs w:val="22"/>
                <w:lang w:val="en-US"/>
              </w:rPr>
              <w:t>Title:</w:t>
            </w:r>
          </w:p>
        </w:tc>
        <w:tc>
          <w:tcPr>
            <w:tcW w:w="9540" w:type="dxa"/>
            <w:vAlign w:val="center"/>
          </w:tcPr>
          <w:p w:rsidR="00D57612" w:rsidRDefault="00D57612" w:rsidP="00D57612">
            <w:pPr>
              <w:widowControl w:val="0"/>
              <w:autoSpaceDE w:val="0"/>
              <w:autoSpaceDN w:val="0"/>
              <w:adjustRightInd w:val="0"/>
              <w:rPr>
                <w:rFonts w:ascii="Arial" w:hAnsi="Arial" w:cs="Arial"/>
                <w:sz w:val="22"/>
                <w:szCs w:val="22"/>
                <w:lang w:val="en-US"/>
              </w:rPr>
            </w:pPr>
            <w:r>
              <w:rPr>
                <w:rFonts w:ascii="Arial" w:hAnsi="Arial" w:cs="Arial"/>
                <w:b/>
                <w:bCs/>
                <w:color w:val="262626"/>
                <w:sz w:val="22"/>
                <w:szCs w:val="22"/>
                <w:lang w:val="en-US"/>
              </w:rPr>
              <w:t xml:space="preserve">Programming T and B Cell Homing to Mucosal Sites to Induce Protective and/or Therapeutic Vaccination Using </w:t>
            </w:r>
            <w:proofErr w:type="spellStart"/>
            <w:r>
              <w:rPr>
                <w:rFonts w:ascii="Arial" w:hAnsi="Arial" w:cs="Arial"/>
                <w:b/>
                <w:bCs/>
                <w:color w:val="262626"/>
                <w:sz w:val="22"/>
                <w:szCs w:val="22"/>
                <w:lang w:val="en-US"/>
              </w:rPr>
              <w:t>Chemokine-Adjuvanted</w:t>
            </w:r>
            <w:proofErr w:type="spellEnd"/>
            <w:r>
              <w:rPr>
                <w:rFonts w:ascii="Arial" w:hAnsi="Arial" w:cs="Arial"/>
                <w:b/>
                <w:bCs/>
                <w:color w:val="262626"/>
                <w:sz w:val="22"/>
                <w:szCs w:val="22"/>
                <w:lang w:val="en-US"/>
              </w:rPr>
              <w:t xml:space="preserve"> DNA Plasmids.</w:t>
            </w:r>
          </w:p>
        </w:tc>
      </w:tr>
      <w:tr w:rsidR="00D57612" w:rsidTr="00D57612">
        <w:tc>
          <w:tcPr>
            <w:tcW w:w="1795" w:type="dxa"/>
          </w:tcPr>
          <w:p w:rsidR="00D57612" w:rsidRDefault="00D57612" w:rsidP="00D57612">
            <w:pPr>
              <w:widowControl w:val="0"/>
              <w:autoSpaceDE w:val="0"/>
              <w:autoSpaceDN w:val="0"/>
              <w:adjustRightInd w:val="0"/>
              <w:jc w:val="right"/>
              <w:rPr>
                <w:rFonts w:ascii="Arial" w:hAnsi="Arial" w:cs="Arial"/>
                <w:sz w:val="22"/>
                <w:szCs w:val="22"/>
                <w:lang w:val="en-US"/>
              </w:rPr>
            </w:pPr>
            <w:r>
              <w:rPr>
                <w:rFonts w:ascii="Arial" w:hAnsi="Arial" w:cs="Arial"/>
                <w:color w:val="262626"/>
                <w:sz w:val="22"/>
                <w:szCs w:val="22"/>
                <w:lang w:val="en-US"/>
              </w:rPr>
              <w:t>Author(s):</w:t>
            </w:r>
          </w:p>
        </w:tc>
        <w:tc>
          <w:tcPr>
            <w:tcW w:w="9540" w:type="dxa"/>
            <w:vAlign w:val="center"/>
          </w:tcPr>
          <w:p w:rsidR="00D57612" w:rsidRDefault="00D57612" w:rsidP="00D57612">
            <w:pPr>
              <w:widowControl w:val="0"/>
              <w:autoSpaceDE w:val="0"/>
              <w:autoSpaceDN w:val="0"/>
              <w:adjustRightInd w:val="0"/>
              <w:rPr>
                <w:rFonts w:ascii="Arial" w:hAnsi="Arial" w:cs="Arial"/>
                <w:sz w:val="22"/>
                <w:szCs w:val="22"/>
                <w:u w:color="262626"/>
                <w:lang w:val="en-US"/>
              </w:rPr>
            </w:pPr>
            <w:proofErr w:type="spellStart"/>
            <w:r>
              <w:rPr>
                <w:rFonts w:ascii="Arial" w:hAnsi="Arial" w:cs="Arial"/>
                <w:color w:val="262626"/>
                <w:sz w:val="22"/>
                <w:szCs w:val="22"/>
                <w:u w:val="single" w:color="262626"/>
                <w:lang w:val="en-US"/>
              </w:rPr>
              <w:t>Yoann</w:t>
            </w:r>
            <w:proofErr w:type="spellEnd"/>
            <w:r>
              <w:rPr>
                <w:rFonts w:ascii="Arial" w:hAnsi="Arial" w:cs="Arial"/>
                <w:color w:val="262626"/>
                <w:sz w:val="22"/>
                <w:szCs w:val="22"/>
                <w:u w:val="single" w:color="262626"/>
                <w:lang w:val="en-US"/>
              </w:rPr>
              <w:t xml:space="preserve"> </w:t>
            </w:r>
            <w:proofErr w:type="spellStart"/>
            <w:r>
              <w:rPr>
                <w:rFonts w:ascii="Arial" w:hAnsi="Arial" w:cs="Arial"/>
                <w:color w:val="262626"/>
                <w:sz w:val="22"/>
                <w:szCs w:val="22"/>
                <w:u w:val="single" w:color="262626"/>
                <w:lang w:val="en-US"/>
              </w:rPr>
              <w:t>Aldon</w:t>
            </w:r>
            <w:proofErr w:type="spellEnd"/>
            <w:r>
              <w:rPr>
                <w:rFonts w:ascii="Arial" w:hAnsi="Arial" w:cs="Arial"/>
                <w:color w:val="262626"/>
                <w:sz w:val="22"/>
                <w:szCs w:val="22"/>
                <w:u w:color="262626"/>
                <w:lang w:val="en-US"/>
              </w:rPr>
              <w:t xml:space="preserve">, Sven </w:t>
            </w:r>
            <w:proofErr w:type="spellStart"/>
            <w:r>
              <w:rPr>
                <w:rFonts w:ascii="Arial" w:hAnsi="Arial" w:cs="Arial"/>
                <w:color w:val="262626"/>
                <w:sz w:val="22"/>
                <w:szCs w:val="22"/>
                <w:u w:color="262626"/>
                <w:lang w:val="en-US"/>
              </w:rPr>
              <w:t>Kratochvil</w:t>
            </w:r>
            <w:proofErr w:type="spellEnd"/>
            <w:r>
              <w:rPr>
                <w:rFonts w:ascii="Arial" w:hAnsi="Arial" w:cs="Arial"/>
                <w:color w:val="262626"/>
                <w:sz w:val="22"/>
                <w:szCs w:val="22"/>
                <w:u w:color="262626"/>
                <w:lang w:val="en-US"/>
              </w:rPr>
              <w:t xml:space="preserve">, Robin J. </w:t>
            </w:r>
            <w:proofErr w:type="spellStart"/>
            <w:r>
              <w:rPr>
                <w:rFonts w:ascii="Arial" w:hAnsi="Arial" w:cs="Arial"/>
                <w:color w:val="262626"/>
                <w:sz w:val="22"/>
                <w:szCs w:val="22"/>
                <w:u w:color="262626"/>
                <w:lang w:val="en-US"/>
              </w:rPr>
              <w:t>Shattock</w:t>
            </w:r>
            <w:proofErr w:type="spellEnd"/>
            <w:r>
              <w:rPr>
                <w:rFonts w:ascii="Arial" w:hAnsi="Arial" w:cs="Arial"/>
                <w:color w:val="262626"/>
                <w:sz w:val="22"/>
                <w:szCs w:val="22"/>
                <w:u w:color="262626"/>
                <w:lang w:val="en-US"/>
              </w:rPr>
              <w:t>, Paul F. McKay</w:t>
            </w:r>
          </w:p>
        </w:tc>
      </w:tr>
      <w:tr w:rsidR="00D57612" w:rsidTr="00D57612">
        <w:tc>
          <w:tcPr>
            <w:tcW w:w="1795" w:type="dxa"/>
          </w:tcPr>
          <w:p w:rsidR="00D57612" w:rsidRDefault="00D57612" w:rsidP="00D57612">
            <w:pPr>
              <w:widowControl w:val="0"/>
              <w:autoSpaceDE w:val="0"/>
              <w:autoSpaceDN w:val="0"/>
              <w:adjustRightInd w:val="0"/>
              <w:jc w:val="right"/>
              <w:rPr>
                <w:rFonts w:ascii="Arial" w:hAnsi="Arial" w:cs="Arial"/>
                <w:sz w:val="22"/>
                <w:szCs w:val="22"/>
                <w:u w:color="262626"/>
                <w:lang w:val="en-US"/>
              </w:rPr>
            </w:pPr>
            <w:r>
              <w:rPr>
                <w:rFonts w:ascii="Arial" w:hAnsi="Arial" w:cs="Arial"/>
                <w:i/>
                <w:iCs/>
                <w:color w:val="262626"/>
                <w:sz w:val="22"/>
                <w:szCs w:val="22"/>
                <w:u w:color="262626"/>
                <w:lang w:val="en-US"/>
              </w:rPr>
              <w:t>Institute(s):</w:t>
            </w:r>
          </w:p>
        </w:tc>
        <w:tc>
          <w:tcPr>
            <w:tcW w:w="9540" w:type="dxa"/>
            <w:vAlign w:val="center"/>
          </w:tcPr>
          <w:p w:rsidR="00D57612" w:rsidRDefault="00D57612" w:rsidP="00D57612">
            <w:pPr>
              <w:widowControl w:val="0"/>
              <w:autoSpaceDE w:val="0"/>
              <w:autoSpaceDN w:val="0"/>
              <w:adjustRightInd w:val="0"/>
              <w:rPr>
                <w:rFonts w:ascii="Arial" w:hAnsi="Arial" w:cs="Arial"/>
                <w:sz w:val="22"/>
                <w:szCs w:val="22"/>
                <w:u w:color="262626"/>
                <w:lang w:val="en-US"/>
              </w:rPr>
            </w:pPr>
            <w:r>
              <w:rPr>
                <w:rFonts w:ascii="Arial" w:hAnsi="Arial" w:cs="Arial"/>
                <w:i/>
                <w:iCs/>
                <w:color w:val="262626"/>
                <w:sz w:val="22"/>
                <w:szCs w:val="22"/>
                <w:u w:color="262626"/>
                <w:lang w:val="en-US"/>
              </w:rPr>
              <w:t>Imperial College London, Medicine, London, United Kingdom</w:t>
            </w:r>
          </w:p>
        </w:tc>
      </w:tr>
      <w:tr w:rsidR="00D57612" w:rsidTr="00D57612">
        <w:trPr>
          <w:trHeight w:val="3750"/>
        </w:trPr>
        <w:tc>
          <w:tcPr>
            <w:tcW w:w="1795" w:type="dxa"/>
          </w:tcPr>
          <w:p w:rsidR="00D57612" w:rsidRDefault="00D57612" w:rsidP="00D57612">
            <w:pPr>
              <w:widowControl w:val="0"/>
              <w:autoSpaceDE w:val="0"/>
              <w:autoSpaceDN w:val="0"/>
              <w:adjustRightInd w:val="0"/>
              <w:jc w:val="right"/>
              <w:rPr>
                <w:rFonts w:ascii="Arial" w:hAnsi="Arial" w:cs="Arial"/>
                <w:sz w:val="22"/>
                <w:szCs w:val="22"/>
                <w:u w:color="262626"/>
                <w:lang w:val="en-US"/>
              </w:rPr>
            </w:pPr>
            <w:r>
              <w:rPr>
                <w:rFonts w:ascii="Arial" w:hAnsi="Arial" w:cs="Arial"/>
                <w:color w:val="262626"/>
                <w:sz w:val="22"/>
                <w:szCs w:val="22"/>
                <w:u w:color="262626"/>
                <w:lang w:val="en-US"/>
              </w:rPr>
              <w:t>Text:</w:t>
            </w:r>
          </w:p>
        </w:tc>
        <w:tc>
          <w:tcPr>
            <w:tcW w:w="9540" w:type="dxa"/>
            <w:vAlign w:val="center"/>
          </w:tcPr>
          <w:p w:rsidR="00D57612" w:rsidRDefault="00D57612" w:rsidP="00D57612">
            <w:pPr>
              <w:widowControl w:val="0"/>
              <w:autoSpaceDE w:val="0"/>
              <w:autoSpaceDN w:val="0"/>
              <w:adjustRightInd w:val="0"/>
              <w:rPr>
                <w:rFonts w:ascii="Arial" w:hAnsi="Arial" w:cs="Arial"/>
                <w:sz w:val="22"/>
                <w:szCs w:val="22"/>
                <w:u w:color="262626"/>
                <w:lang w:val="en-US"/>
              </w:rPr>
            </w:pPr>
            <w:r>
              <w:rPr>
                <w:rFonts w:ascii="Arial" w:hAnsi="Arial" w:cs="Arial"/>
                <w:b/>
                <w:bCs/>
                <w:color w:val="262626"/>
                <w:sz w:val="22"/>
                <w:szCs w:val="22"/>
                <w:u w:color="262626"/>
                <w:lang w:val="en-US"/>
              </w:rPr>
              <w:t xml:space="preserve">Background: </w:t>
            </w:r>
            <w:r>
              <w:rPr>
                <w:rFonts w:ascii="Arial" w:hAnsi="Arial" w:cs="Arial"/>
                <w:color w:val="262626"/>
                <w:sz w:val="22"/>
                <w:szCs w:val="22"/>
                <w:u w:color="262626"/>
                <w:lang w:val="en-US"/>
              </w:rPr>
              <w:t xml:space="preserve">Naked plasmid DNA vaccines are promising but poorly immunogenic. Delivery with electroporation increases expression levels and the systemic response. However, mucosal responses remain low and new strategies are needed to improve mucosal-associated immunity. Here, we seek to program T and B cells to home to the gastro-intestinal and vaginal mucosa using </w:t>
            </w:r>
            <w:proofErr w:type="spellStart"/>
            <w:r>
              <w:rPr>
                <w:rFonts w:ascii="Arial" w:hAnsi="Arial" w:cs="Arial"/>
                <w:color w:val="262626"/>
                <w:sz w:val="22"/>
                <w:szCs w:val="22"/>
                <w:u w:color="262626"/>
                <w:lang w:val="en-US"/>
              </w:rPr>
              <w:t>chemokine</w:t>
            </w:r>
            <w:proofErr w:type="spellEnd"/>
            <w:r>
              <w:rPr>
                <w:rFonts w:ascii="Arial" w:hAnsi="Arial" w:cs="Arial"/>
                <w:color w:val="262626"/>
                <w:sz w:val="22"/>
                <w:szCs w:val="22"/>
                <w:u w:color="262626"/>
                <w:lang w:val="en-US"/>
              </w:rPr>
              <w:t xml:space="preserve"> genetic </w:t>
            </w:r>
            <w:proofErr w:type="spellStart"/>
            <w:r>
              <w:rPr>
                <w:rFonts w:ascii="Arial" w:hAnsi="Arial" w:cs="Arial"/>
                <w:color w:val="262626"/>
                <w:sz w:val="22"/>
                <w:szCs w:val="22"/>
                <w:u w:color="262626"/>
                <w:lang w:val="en-US"/>
              </w:rPr>
              <w:t>adjvuvants</w:t>
            </w:r>
            <w:proofErr w:type="spellEnd"/>
            <w:r>
              <w:rPr>
                <w:rFonts w:ascii="Arial" w:hAnsi="Arial" w:cs="Arial"/>
                <w:color w:val="262626"/>
                <w:sz w:val="22"/>
                <w:szCs w:val="22"/>
                <w:u w:color="262626"/>
                <w:lang w:val="en-US"/>
              </w:rPr>
              <w:t>.</w:t>
            </w:r>
          </w:p>
          <w:p w:rsidR="00D57612" w:rsidRDefault="00D57612" w:rsidP="00D57612">
            <w:pPr>
              <w:widowControl w:val="0"/>
              <w:autoSpaceDE w:val="0"/>
              <w:autoSpaceDN w:val="0"/>
              <w:adjustRightInd w:val="0"/>
              <w:rPr>
                <w:rFonts w:ascii="Arial" w:hAnsi="Arial" w:cs="Arial"/>
                <w:sz w:val="22"/>
                <w:szCs w:val="22"/>
                <w:u w:color="262626"/>
                <w:lang w:val="en-US"/>
              </w:rPr>
            </w:pPr>
            <w:r>
              <w:rPr>
                <w:rFonts w:ascii="Arial" w:hAnsi="Arial" w:cs="Arial"/>
                <w:b/>
                <w:bCs/>
                <w:color w:val="262626"/>
                <w:sz w:val="22"/>
                <w:szCs w:val="22"/>
                <w:u w:color="262626"/>
                <w:lang w:val="en-US"/>
              </w:rPr>
              <w:t xml:space="preserve">Methods: </w:t>
            </w:r>
            <w:r>
              <w:rPr>
                <w:rFonts w:ascii="Arial" w:hAnsi="Arial" w:cs="Arial"/>
                <w:color w:val="262626"/>
                <w:sz w:val="22"/>
                <w:szCs w:val="22"/>
                <w:u w:color="262626"/>
                <w:lang w:val="en-US"/>
              </w:rPr>
              <w:t xml:space="preserve">Plasmid DNA expressing vectors were generated, co-expressing HIV </w:t>
            </w:r>
            <w:proofErr w:type="spellStart"/>
            <w:r>
              <w:rPr>
                <w:rFonts w:ascii="Arial" w:hAnsi="Arial" w:cs="Arial"/>
                <w:color w:val="262626"/>
                <w:sz w:val="22"/>
                <w:szCs w:val="22"/>
                <w:u w:color="262626"/>
                <w:lang w:val="en-US"/>
              </w:rPr>
              <w:t>Env</w:t>
            </w:r>
            <w:proofErr w:type="spellEnd"/>
            <w:r>
              <w:rPr>
                <w:rFonts w:ascii="Arial" w:hAnsi="Arial" w:cs="Arial"/>
                <w:color w:val="262626"/>
                <w:sz w:val="22"/>
                <w:szCs w:val="22"/>
                <w:u w:color="262626"/>
                <w:lang w:val="en-US"/>
              </w:rPr>
              <w:t xml:space="preserve"> CN54gp140 antigen and various </w:t>
            </w:r>
            <w:proofErr w:type="spellStart"/>
            <w:r>
              <w:rPr>
                <w:rFonts w:ascii="Arial" w:hAnsi="Arial" w:cs="Arial"/>
                <w:color w:val="262626"/>
                <w:sz w:val="22"/>
                <w:szCs w:val="22"/>
                <w:u w:color="262626"/>
                <w:lang w:val="en-US"/>
              </w:rPr>
              <w:t>chemokine</w:t>
            </w:r>
            <w:proofErr w:type="spellEnd"/>
            <w:r>
              <w:rPr>
                <w:rFonts w:ascii="Arial" w:hAnsi="Arial" w:cs="Arial"/>
                <w:color w:val="262626"/>
                <w:sz w:val="22"/>
                <w:szCs w:val="22"/>
                <w:u w:color="262626"/>
                <w:lang w:val="en-US"/>
              </w:rPr>
              <w:t xml:space="preserve">/cytokine </w:t>
            </w:r>
            <w:proofErr w:type="spellStart"/>
            <w:r>
              <w:rPr>
                <w:rFonts w:ascii="Arial" w:hAnsi="Arial" w:cs="Arial"/>
                <w:color w:val="262626"/>
                <w:sz w:val="22"/>
                <w:szCs w:val="22"/>
                <w:u w:color="262626"/>
                <w:lang w:val="en-US"/>
              </w:rPr>
              <w:t>transgenes</w:t>
            </w:r>
            <w:proofErr w:type="spellEnd"/>
            <w:r>
              <w:rPr>
                <w:rFonts w:ascii="Arial" w:hAnsi="Arial" w:cs="Arial"/>
                <w:color w:val="262626"/>
                <w:sz w:val="22"/>
                <w:szCs w:val="22"/>
                <w:u w:color="262626"/>
                <w:lang w:val="en-US"/>
              </w:rPr>
              <w:t xml:space="preserve">: CCL20/25/27/28, </w:t>
            </w:r>
            <w:proofErr w:type="spellStart"/>
            <w:r>
              <w:rPr>
                <w:rFonts w:ascii="Arial" w:hAnsi="Arial" w:cs="Arial"/>
                <w:color w:val="262626"/>
                <w:sz w:val="22"/>
                <w:szCs w:val="22"/>
                <w:u w:color="262626"/>
                <w:lang w:val="en-US"/>
              </w:rPr>
              <w:t>TNFa</w:t>
            </w:r>
            <w:proofErr w:type="spellEnd"/>
            <w:r>
              <w:rPr>
                <w:rFonts w:ascii="Arial" w:hAnsi="Arial" w:cs="Arial"/>
                <w:color w:val="262626"/>
                <w:sz w:val="22"/>
                <w:szCs w:val="22"/>
                <w:u w:color="262626"/>
                <w:lang w:val="en-US"/>
              </w:rPr>
              <w:t xml:space="preserve"> and CCL20-scrambled control (scCCL20). Mice were vaccinated 3x IM + EP using 10 </w:t>
            </w:r>
            <w:proofErr w:type="spellStart"/>
            <w:r>
              <w:rPr>
                <w:rFonts w:ascii="Arial" w:hAnsi="Arial" w:cs="Arial"/>
                <w:color w:val="262626"/>
                <w:sz w:val="22"/>
                <w:szCs w:val="22"/>
                <w:u w:color="262626"/>
                <w:lang w:val="en-US"/>
              </w:rPr>
              <w:t>ug</w:t>
            </w:r>
            <w:proofErr w:type="spellEnd"/>
            <w:r>
              <w:rPr>
                <w:rFonts w:ascii="Arial" w:hAnsi="Arial" w:cs="Arial"/>
                <w:color w:val="262626"/>
                <w:sz w:val="22"/>
                <w:szCs w:val="22"/>
                <w:u w:color="262626"/>
                <w:lang w:val="en-US"/>
              </w:rPr>
              <w:t xml:space="preserve"> DNA followed by </w:t>
            </w:r>
            <w:proofErr w:type="spellStart"/>
            <w:r>
              <w:rPr>
                <w:rFonts w:ascii="Arial" w:hAnsi="Arial" w:cs="Arial"/>
                <w:color w:val="262626"/>
                <w:sz w:val="22"/>
                <w:szCs w:val="22"/>
                <w:u w:color="262626"/>
                <w:lang w:val="en-US"/>
              </w:rPr>
              <w:t>intravaginal</w:t>
            </w:r>
            <w:proofErr w:type="spellEnd"/>
            <w:r>
              <w:rPr>
                <w:rFonts w:ascii="Arial" w:hAnsi="Arial" w:cs="Arial"/>
                <w:color w:val="262626"/>
                <w:sz w:val="22"/>
                <w:szCs w:val="22"/>
                <w:u w:color="262626"/>
                <w:lang w:val="en-US"/>
              </w:rPr>
              <w:t xml:space="preserve"> protein boost (10 </w:t>
            </w:r>
            <w:proofErr w:type="spellStart"/>
            <w:r>
              <w:rPr>
                <w:rFonts w:ascii="Arial" w:hAnsi="Arial" w:cs="Arial"/>
                <w:color w:val="262626"/>
                <w:sz w:val="22"/>
                <w:szCs w:val="22"/>
                <w:u w:color="262626"/>
                <w:lang w:val="en-US"/>
              </w:rPr>
              <w:t>ug</w:t>
            </w:r>
            <w:proofErr w:type="spellEnd"/>
            <w:r>
              <w:rPr>
                <w:rFonts w:ascii="Arial" w:hAnsi="Arial" w:cs="Arial"/>
                <w:color w:val="262626"/>
                <w:sz w:val="22"/>
                <w:szCs w:val="22"/>
                <w:u w:color="262626"/>
                <w:lang w:val="en-US"/>
              </w:rPr>
              <w:t xml:space="preserve"> gp140 + MPLA). Serum samples were collected throughout the study and mice were sacrificed 10 days post-boost. Isolated </w:t>
            </w:r>
            <w:proofErr w:type="spellStart"/>
            <w:r>
              <w:rPr>
                <w:rFonts w:ascii="Arial" w:hAnsi="Arial" w:cs="Arial"/>
                <w:color w:val="262626"/>
                <w:sz w:val="22"/>
                <w:szCs w:val="22"/>
                <w:u w:color="262626"/>
                <w:lang w:val="en-US"/>
              </w:rPr>
              <w:t>splenocytes</w:t>
            </w:r>
            <w:proofErr w:type="spellEnd"/>
            <w:r>
              <w:rPr>
                <w:rFonts w:ascii="Arial" w:hAnsi="Arial" w:cs="Arial"/>
                <w:color w:val="262626"/>
                <w:sz w:val="22"/>
                <w:szCs w:val="22"/>
                <w:u w:color="262626"/>
                <w:lang w:val="en-US"/>
              </w:rPr>
              <w:t>, intestinal and genital lymphocytes as well as serum and intestinal luminal contents were assessed for antigen-specific reactivity (</w:t>
            </w:r>
            <w:proofErr w:type="spellStart"/>
            <w:r>
              <w:rPr>
                <w:rFonts w:ascii="Arial" w:hAnsi="Arial" w:cs="Arial"/>
                <w:color w:val="262626"/>
                <w:sz w:val="22"/>
                <w:szCs w:val="22"/>
                <w:u w:color="262626"/>
                <w:lang w:val="en-US"/>
              </w:rPr>
              <w:t>ELISpots</w:t>
            </w:r>
            <w:proofErr w:type="spellEnd"/>
            <w:r>
              <w:rPr>
                <w:rFonts w:ascii="Arial" w:hAnsi="Arial" w:cs="Arial"/>
                <w:color w:val="262626"/>
                <w:sz w:val="22"/>
                <w:szCs w:val="22"/>
                <w:u w:color="262626"/>
                <w:lang w:val="en-US"/>
              </w:rPr>
              <w:t xml:space="preserve">, ELISA). Flow </w:t>
            </w:r>
            <w:proofErr w:type="spellStart"/>
            <w:r>
              <w:rPr>
                <w:rFonts w:ascii="Arial" w:hAnsi="Arial" w:cs="Arial"/>
                <w:color w:val="262626"/>
                <w:sz w:val="22"/>
                <w:szCs w:val="22"/>
                <w:u w:color="262626"/>
                <w:lang w:val="en-US"/>
              </w:rPr>
              <w:t>cytometric</w:t>
            </w:r>
            <w:proofErr w:type="spellEnd"/>
            <w:r>
              <w:rPr>
                <w:rFonts w:ascii="Arial" w:hAnsi="Arial" w:cs="Arial"/>
                <w:color w:val="262626"/>
                <w:sz w:val="22"/>
                <w:szCs w:val="22"/>
                <w:u w:color="262626"/>
                <w:lang w:val="en-US"/>
              </w:rPr>
              <w:t xml:space="preserve"> analysis of lymphocytes was performed using T and B cell panels.</w:t>
            </w:r>
          </w:p>
          <w:p w:rsidR="00D57612" w:rsidRDefault="00D57612" w:rsidP="00D57612">
            <w:pPr>
              <w:widowControl w:val="0"/>
              <w:autoSpaceDE w:val="0"/>
              <w:autoSpaceDN w:val="0"/>
              <w:adjustRightInd w:val="0"/>
              <w:rPr>
                <w:rFonts w:ascii="Arial" w:hAnsi="Arial" w:cs="Arial"/>
                <w:sz w:val="22"/>
                <w:szCs w:val="22"/>
                <w:u w:color="262626"/>
                <w:lang w:val="en-US"/>
              </w:rPr>
            </w:pPr>
            <w:r>
              <w:rPr>
                <w:rFonts w:ascii="Arial" w:hAnsi="Arial" w:cs="Arial"/>
                <w:b/>
                <w:bCs/>
                <w:color w:val="262626"/>
                <w:sz w:val="22"/>
                <w:szCs w:val="22"/>
                <w:u w:color="262626"/>
                <w:lang w:val="en-US"/>
              </w:rPr>
              <w:t xml:space="preserve">Results: </w:t>
            </w:r>
            <w:r>
              <w:rPr>
                <w:rFonts w:ascii="Arial" w:hAnsi="Arial" w:cs="Arial"/>
                <w:color w:val="262626"/>
                <w:sz w:val="22"/>
                <w:szCs w:val="22"/>
                <w:u w:color="262626"/>
                <w:lang w:val="en-US"/>
              </w:rPr>
              <w:t xml:space="preserve">CCL20 showed significantly elevated gp140-specific serum IgG levels with other molecular adjuvants equivalent to control. CCL25 reduced antigen-specific systemic T cell </w:t>
            </w:r>
            <w:proofErr w:type="spellStart"/>
            <w:r>
              <w:rPr>
                <w:rFonts w:ascii="Arial" w:hAnsi="Arial" w:cs="Arial"/>
                <w:color w:val="262626"/>
                <w:sz w:val="22"/>
                <w:szCs w:val="22"/>
                <w:u w:color="262626"/>
                <w:lang w:val="en-US"/>
              </w:rPr>
              <w:t>IFNg</w:t>
            </w:r>
            <w:proofErr w:type="spellEnd"/>
            <w:r>
              <w:rPr>
                <w:rFonts w:ascii="Arial" w:hAnsi="Arial" w:cs="Arial"/>
                <w:color w:val="262626"/>
                <w:sz w:val="22"/>
                <w:szCs w:val="22"/>
                <w:u w:color="262626"/>
                <w:lang w:val="en-US"/>
              </w:rPr>
              <w:t xml:space="preserve"> </w:t>
            </w:r>
            <w:proofErr w:type="spellStart"/>
            <w:r>
              <w:rPr>
                <w:rFonts w:ascii="Arial" w:hAnsi="Arial" w:cs="Arial"/>
                <w:color w:val="262626"/>
                <w:sz w:val="22"/>
                <w:szCs w:val="22"/>
                <w:u w:color="262626"/>
                <w:lang w:val="en-US"/>
              </w:rPr>
              <w:t>ELISpot</w:t>
            </w:r>
            <w:proofErr w:type="spellEnd"/>
            <w:r>
              <w:rPr>
                <w:rFonts w:ascii="Arial" w:hAnsi="Arial" w:cs="Arial"/>
                <w:color w:val="262626"/>
                <w:sz w:val="22"/>
                <w:szCs w:val="22"/>
                <w:u w:color="262626"/>
                <w:lang w:val="en-US"/>
              </w:rPr>
              <w:t xml:space="preserve"> responses. Specific memory B cells were higher in CCL20/28 and all constructs induced vaginal mucosal T cell specific responses, CCL28 being the highest. Intestinal luminal antigen-specific IgG reached &gt;20% of total IgG present for CCL20 and &lt; 10% for CCL27, 28 and </w:t>
            </w:r>
            <w:proofErr w:type="spellStart"/>
            <w:r>
              <w:rPr>
                <w:rFonts w:ascii="Arial" w:hAnsi="Arial" w:cs="Arial"/>
                <w:color w:val="262626"/>
                <w:sz w:val="22"/>
                <w:szCs w:val="22"/>
                <w:u w:color="262626"/>
                <w:lang w:val="en-US"/>
              </w:rPr>
              <w:t>TNFa</w:t>
            </w:r>
            <w:proofErr w:type="spellEnd"/>
            <w:r>
              <w:rPr>
                <w:rFonts w:ascii="Arial" w:hAnsi="Arial" w:cs="Arial"/>
                <w:color w:val="262626"/>
                <w:sz w:val="22"/>
                <w:szCs w:val="22"/>
                <w:u w:color="262626"/>
                <w:lang w:val="en-US"/>
              </w:rPr>
              <w:t xml:space="preserve">. Flow </w:t>
            </w:r>
            <w:proofErr w:type="spellStart"/>
            <w:r>
              <w:rPr>
                <w:rFonts w:ascii="Arial" w:hAnsi="Arial" w:cs="Arial"/>
                <w:color w:val="262626"/>
                <w:sz w:val="22"/>
                <w:szCs w:val="22"/>
                <w:u w:color="262626"/>
                <w:lang w:val="en-US"/>
              </w:rPr>
              <w:t>cytometric</w:t>
            </w:r>
            <w:proofErr w:type="spellEnd"/>
            <w:r>
              <w:rPr>
                <w:rFonts w:ascii="Arial" w:hAnsi="Arial" w:cs="Arial"/>
                <w:color w:val="262626"/>
                <w:sz w:val="22"/>
                <w:szCs w:val="22"/>
                <w:u w:color="262626"/>
                <w:lang w:val="en-US"/>
              </w:rPr>
              <w:t xml:space="preserve"> analysis comparing naïve, scCCL20, CCL20 and 25 showed significant changes in immune cell frequencies for CCL25, and CD4+ T cells were significantly higher in the vaginal tissue of all 3 groups, with increased activated CD4+CD103-CD69+ phenotype.</w:t>
            </w:r>
          </w:p>
          <w:p w:rsidR="00D57612" w:rsidRDefault="00D57612" w:rsidP="00D57612">
            <w:pPr>
              <w:widowControl w:val="0"/>
              <w:autoSpaceDE w:val="0"/>
              <w:autoSpaceDN w:val="0"/>
              <w:adjustRightInd w:val="0"/>
              <w:rPr>
                <w:rFonts w:ascii="Arial" w:hAnsi="Arial" w:cs="Arial"/>
                <w:color w:val="262626"/>
                <w:sz w:val="22"/>
                <w:szCs w:val="22"/>
                <w:u w:color="262626"/>
                <w:lang w:val="en-US"/>
              </w:rPr>
            </w:pPr>
            <w:r>
              <w:rPr>
                <w:rFonts w:ascii="Arial" w:hAnsi="Arial" w:cs="Arial"/>
                <w:b/>
                <w:bCs/>
                <w:color w:val="262626"/>
                <w:sz w:val="22"/>
                <w:szCs w:val="22"/>
                <w:u w:color="262626"/>
                <w:lang w:val="en-US"/>
              </w:rPr>
              <w:t xml:space="preserve">Conclusions: </w:t>
            </w:r>
            <w:r>
              <w:rPr>
                <w:rFonts w:ascii="Arial" w:hAnsi="Arial" w:cs="Arial"/>
                <w:color w:val="262626"/>
                <w:sz w:val="22"/>
                <w:szCs w:val="22"/>
                <w:u w:color="262626"/>
                <w:lang w:val="en-US"/>
              </w:rPr>
              <w:t>Our data showed that chemokine molecular adjuvants can enhance vaccine antigen-specific mucosal antibody responses and direct T cells to the genital tract. Further elucidation and separation of these effects will inform the future design of DNA vaccines.</w:t>
            </w:r>
            <w:bookmarkStart w:id="0" w:name="_GoBack"/>
            <w:bookmarkEnd w:id="0"/>
          </w:p>
        </w:tc>
      </w:tr>
    </w:tbl>
    <w:p w:rsidR="00945DB8" w:rsidRDefault="007C3767"/>
    <w:sectPr w:rsidR="00945DB8" w:rsidSect="00D57612">
      <w:pgSz w:w="11900" w:h="16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7612"/>
    <w:rsid w:val="001F54A6"/>
    <w:rsid w:val="007C3767"/>
    <w:rsid w:val="00B90BFA"/>
    <w:rsid w:val="00D07F7B"/>
    <w:rsid w:val="00D57612"/>
    <w:rsid w:val="00D71C1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C1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2024</Characters>
  <Application>Microsoft Office Word</Application>
  <DocSecurity>0</DocSecurity>
  <Lines>16</Lines>
  <Paragraphs>4</Paragraphs>
  <ScaleCrop>false</ScaleCrop>
  <Company>Imperial College</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Aldon, Yoann</dc:creator>
  <cp:lastModifiedBy>Paul McKay</cp:lastModifiedBy>
  <cp:revision>2</cp:revision>
  <dcterms:created xsi:type="dcterms:W3CDTF">2016-04-11T12:27:00Z</dcterms:created>
  <dcterms:modified xsi:type="dcterms:W3CDTF">2016-04-11T12:27:00Z</dcterms:modified>
</cp:coreProperties>
</file>