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0E066" w14:textId="77777777" w:rsidR="00DA74F6" w:rsidRDefault="00DA74F6" w:rsidP="00DA74F6">
      <w:bookmarkStart w:id="0" w:name="_wztzcyqv6grs" w:colFirst="0" w:colLast="0"/>
      <w:bookmarkEnd w:id="0"/>
      <w:r>
        <w:t>This is the author’s version of the work. It is posted here by permission of the AAAS for personal use, not for redistribution.</w:t>
      </w:r>
      <w:bookmarkStart w:id="1" w:name="_GoBack"/>
      <w:bookmarkEnd w:id="1"/>
      <w:r>
        <w:t xml:space="preserve"> The definitive version was published in Science, 10 Apr 2020:</w:t>
      </w:r>
    </w:p>
    <w:p w14:paraId="6881AA21" w14:textId="1C5D6B4B" w:rsidR="00DA74F6" w:rsidRDefault="00DA74F6" w:rsidP="00DA74F6">
      <w:r>
        <w:t>Vol. 368, Issue 6487, pp. 138-140, DOI: 10.1126/</w:t>
      </w:r>
      <w:proofErr w:type="gramStart"/>
      <w:r>
        <w:t>science.aba</w:t>
      </w:r>
      <w:proofErr w:type="gramEnd"/>
      <w:r>
        <w:t>2932</w:t>
      </w:r>
    </w:p>
    <w:p w14:paraId="00000001" w14:textId="2A430774" w:rsidR="008B56F5" w:rsidRDefault="00F044C1">
      <w:pPr>
        <w:pStyle w:val="Heading2"/>
      </w:pPr>
      <w:r>
        <w:t xml:space="preserve">Title </w:t>
      </w:r>
    </w:p>
    <w:p w14:paraId="00000002" w14:textId="77777777" w:rsidR="008B56F5" w:rsidRDefault="00F044C1">
      <w:r>
        <w:t>Experimentation in Biosecurity Governance</w:t>
      </w:r>
    </w:p>
    <w:p w14:paraId="00000004" w14:textId="77777777" w:rsidR="008B56F5" w:rsidRDefault="00F044C1">
      <w:pPr>
        <w:pStyle w:val="Heading2"/>
      </w:pPr>
      <w:bookmarkStart w:id="2" w:name="_a1bsoq8iri0r" w:colFirst="0" w:colLast="0"/>
      <w:bookmarkEnd w:id="2"/>
      <w:r>
        <w:t>Abstract</w:t>
      </w:r>
    </w:p>
    <w:p w14:paraId="00000005" w14:textId="77777777" w:rsidR="008B56F5" w:rsidRDefault="00F044C1">
      <w:r>
        <w:t>Biological research and its applications are rapidly evolving, and their governance should be as well. This piece argues for the value of thinking of the governance of biosecurity as itself an experimental space. Doing so focuses our attention on the set of assumptions we make in the process of governing and the iterative and continuously evolving nature of governance. We draw out three lessons for better working with experiments in biosecurity governance.</w:t>
      </w:r>
    </w:p>
    <w:p w14:paraId="00000006" w14:textId="77777777" w:rsidR="008B56F5" w:rsidRDefault="00F044C1">
      <w:pPr>
        <w:pStyle w:val="Heading2"/>
      </w:pPr>
      <w:bookmarkStart w:id="3" w:name="_o7cy269fx0mx" w:colFirst="0" w:colLast="0"/>
      <w:bookmarkEnd w:id="3"/>
      <w:r>
        <w:t xml:space="preserve">Authors and Contributions: </w:t>
      </w:r>
    </w:p>
    <w:p w14:paraId="00000007" w14:textId="77777777" w:rsidR="008B56F5" w:rsidRDefault="00F044C1">
      <w:pPr>
        <w:numPr>
          <w:ilvl w:val="0"/>
          <w:numId w:val="2"/>
        </w:numPr>
      </w:pPr>
      <w:r>
        <w:t>Sam Weiss Evans (lead), Program on Science, Technology, and Society, John F Kennedy School of Government, Harvard University</w:t>
      </w:r>
    </w:p>
    <w:p w14:paraId="00000008" w14:textId="77777777" w:rsidR="008B56F5" w:rsidRDefault="00F044C1">
      <w:pPr>
        <w:numPr>
          <w:ilvl w:val="1"/>
          <w:numId w:val="2"/>
        </w:numPr>
      </w:pPr>
      <w:r>
        <w:t>Wrote first draft. Orchestrated all edits. Designed and ran the workshop connected with this article.</w:t>
      </w:r>
    </w:p>
    <w:p w14:paraId="00000009" w14:textId="77777777" w:rsidR="008B56F5" w:rsidRDefault="00F044C1">
      <w:pPr>
        <w:numPr>
          <w:ilvl w:val="0"/>
          <w:numId w:val="2"/>
        </w:numPr>
      </w:pPr>
      <w:r>
        <w:t>Jacob Beal, Raytheon BBN Technologies</w:t>
      </w:r>
    </w:p>
    <w:p w14:paraId="0000000A" w14:textId="77777777" w:rsidR="008B56F5" w:rsidRDefault="00F044C1">
      <w:pPr>
        <w:numPr>
          <w:ilvl w:val="1"/>
          <w:numId w:val="2"/>
        </w:numPr>
      </w:pPr>
      <w:r>
        <w:t>Contributed language on the industry perspective and general edits throughout</w:t>
      </w:r>
    </w:p>
    <w:p w14:paraId="0000000B" w14:textId="77777777" w:rsidR="008B56F5" w:rsidRDefault="00F044C1">
      <w:pPr>
        <w:numPr>
          <w:ilvl w:val="0"/>
          <w:numId w:val="2"/>
        </w:numPr>
      </w:pPr>
      <w:r>
        <w:t>Kavita Berger, Gryphon Scientific</w:t>
      </w:r>
    </w:p>
    <w:p w14:paraId="0000000C" w14:textId="77777777" w:rsidR="008B56F5" w:rsidRDefault="00F044C1">
      <w:pPr>
        <w:numPr>
          <w:ilvl w:val="1"/>
          <w:numId w:val="2"/>
        </w:numPr>
      </w:pPr>
      <w:r>
        <w:t>Rewrote substantial portions of various drafts. Heavily involved in framing discussions. Panelist at the workshop.</w:t>
      </w:r>
    </w:p>
    <w:p w14:paraId="0000000D" w14:textId="77777777" w:rsidR="008B56F5" w:rsidRDefault="00F044C1">
      <w:pPr>
        <w:numPr>
          <w:ilvl w:val="0"/>
          <w:numId w:val="2"/>
        </w:numPr>
      </w:pPr>
      <w:proofErr w:type="spellStart"/>
      <w:r>
        <w:t>Diederik</w:t>
      </w:r>
      <w:proofErr w:type="spellEnd"/>
      <w:r>
        <w:t xml:space="preserve"> A. </w:t>
      </w:r>
      <w:proofErr w:type="spellStart"/>
      <w:r>
        <w:t>Bleijs</w:t>
      </w:r>
      <w:proofErr w:type="spellEnd"/>
      <w:r>
        <w:t xml:space="preserve">, Netherlands Biosecurity Office, National Institute for Public Health and the Environment, </w:t>
      </w:r>
      <w:proofErr w:type="spellStart"/>
      <w:r>
        <w:t>Bilthoven</w:t>
      </w:r>
      <w:proofErr w:type="spellEnd"/>
      <w:r>
        <w:t>, The Netherlands</w:t>
      </w:r>
    </w:p>
    <w:p w14:paraId="0000000E" w14:textId="77777777" w:rsidR="008B56F5" w:rsidRDefault="00F044C1">
      <w:pPr>
        <w:numPr>
          <w:ilvl w:val="1"/>
          <w:numId w:val="2"/>
        </w:numPr>
      </w:pPr>
      <w:r>
        <w:t>Edited early versions of the draft. Ensured health security was incorporated</w:t>
      </w:r>
    </w:p>
    <w:p w14:paraId="0000000F" w14:textId="77777777" w:rsidR="008B56F5" w:rsidRDefault="00F044C1">
      <w:pPr>
        <w:numPr>
          <w:ilvl w:val="0"/>
          <w:numId w:val="2"/>
        </w:numPr>
      </w:pPr>
      <w:r>
        <w:t xml:space="preserve">Alessia </w:t>
      </w:r>
      <w:proofErr w:type="spellStart"/>
      <w:r>
        <w:t>Cagnetti</w:t>
      </w:r>
      <w:proofErr w:type="spellEnd"/>
      <w:r>
        <w:t xml:space="preserve">, </w:t>
      </w:r>
      <w:r>
        <w:rPr>
          <w:color w:val="272728"/>
          <w:sz w:val="21"/>
          <w:szCs w:val="21"/>
          <w:highlight w:val="white"/>
        </w:rPr>
        <w:t xml:space="preserve">Polo </w:t>
      </w:r>
      <w:proofErr w:type="spellStart"/>
      <w:r>
        <w:rPr>
          <w:color w:val="272728"/>
          <w:sz w:val="21"/>
          <w:szCs w:val="21"/>
          <w:highlight w:val="white"/>
        </w:rPr>
        <w:t>d'Innovazione</w:t>
      </w:r>
      <w:proofErr w:type="spellEnd"/>
      <w:r>
        <w:rPr>
          <w:color w:val="272728"/>
          <w:sz w:val="21"/>
          <w:szCs w:val="21"/>
          <w:highlight w:val="white"/>
        </w:rPr>
        <w:t xml:space="preserve"> </w:t>
      </w:r>
      <w:proofErr w:type="spellStart"/>
      <w:r>
        <w:rPr>
          <w:color w:val="272728"/>
          <w:sz w:val="21"/>
          <w:szCs w:val="21"/>
          <w:highlight w:val="white"/>
        </w:rPr>
        <w:t>Genomica</w:t>
      </w:r>
      <w:proofErr w:type="spellEnd"/>
      <w:r>
        <w:rPr>
          <w:color w:val="272728"/>
          <w:sz w:val="21"/>
          <w:szCs w:val="21"/>
          <w:highlight w:val="white"/>
        </w:rPr>
        <w:t xml:space="preserve"> </w:t>
      </w:r>
      <w:proofErr w:type="spellStart"/>
      <w:r>
        <w:rPr>
          <w:color w:val="272728"/>
          <w:sz w:val="21"/>
          <w:szCs w:val="21"/>
          <w:highlight w:val="white"/>
        </w:rPr>
        <w:t>Genetica</w:t>
      </w:r>
      <w:proofErr w:type="spellEnd"/>
      <w:r>
        <w:rPr>
          <w:color w:val="272728"/>
          <w:sz w:val="21"/>
          <w:szCs w:val="21"/>
          <w:highlight w:val="white"/>
        </w:rPr>
        <w:t xml:space="preserve"> e </w:t>
      </w:r>
      <w:proofErr w:type="spellStart"/>
      <w:r>
        <w:rPr>
          <w:color w:val="272728"/>
          <w:sz w:val="21"/>
          <w:szCs w:val="21"/>
          <w:highlight w:val="white"/>
        </w:rPr>
        <w:t>Biologia</w:t>
      </w:r>
      <w:proofErr w:type="spellEnd"/>
      <w:r>
        <w:rPr>
          <w:color w:val="272728"/>
          <w:sz w:val="21"/>
          <w:szCs w:val="21"/>
          <w:highlight w:val="white"/>
        </w:rPr>
        <w:t xml:space="preserve"> (</w:t>
      </w:r>
      <w:proofErr w:type="spellStart"/>
      <w:r>
        <w:rPr>
          <w:color w:val="272728"/>
          <w:sz w:val="21"/>
          <w:szCs w:val="21"/>
          <w:highlight w:val="white"/>
        </w:rPr>
        <w:t>PoloGGB</w:t>
      </w:r>
      <w:proofErr w:type="spellEnd"/>
      <w:r>
        <w:rPr>
          <w:color w:val="272728"/>
          <w:sz w:val="21"/>
          <w:szCs w:val="21"/>
          <w:highlight w:val="white"/>
        </w:rPr>
        <w:t xml:space="preserve">), Terni, Italy </w:t>
      </w:r>
    </w:p>
    <w:p w14:paraId="00000010" w14:textId="77777777" w:rsidR="008B56F5" w:rsidRDefault="00F044C1">
      <w:pPr>
        <w:numPr>
          <w:ilvl w:val="1"/>
          <w:numId w:val="2"/>
        </w:numPr>
      </w:pPr>
      <w:r>
        <w:t>Edited draft for flow and clarity and provided references for non-state actors</w:t>
      </w:r>
    </w:p>
    <w:p w14:paraId="00000011" w14:textId="77777777" w:rsidR="008B56F5" w:rsidRDefault="00F044C1">
      <w:pPr>
        <w:numPr>
          <w:ilvl w:val="0"/>
          <w:numId w:val="2"/>
        </w:numPr>
      </w:pPr>
      <w:r>
        <w:t xml:space="preserve">Francesca </w:t>
      </w:r>
      <w:proofErr w:type="spellStart"/>
      <w:r>
        <w:t>Ceroni</w:t>
      </w:r>
      <w:proofErr w:type="spellEnd"/>
      <w:r>
        <w:t>, 1. Department of Chemical Engineering Imperial College London, 2. Imperial College Centre for Synthetic Biology.</w:t>
      </w:r>
    </w:p>
    <w:p w14:paraId="00000012" w14:textId="77777777" w:rsidR="008B56F5" w:rsidRDefault="00F044C1">
      <w:pPr>
        <w:numPr>
          <w:ilvl w:val="1"/>
          <w:numId w:val="2"/>
        </w:numPr>
      </w:pPr>
      <w:r>
        <w:t>Updated references for technical literature, and edited lessons learned</w:t>
      </w:r>
    </w:p>
    <w:p w14:paraId="00000013" w14:textId="77777777" w:rsidR="008B56F5" w:rsidRDefault="00F044C1">
      <w:pPr>
        <w:numPr>
          <w:ilvl w:val="0"/>
          <w:numId w:val="2"/>
        </w:numPr>
      </w:pPr>
      <w:r>
        <w:t>Gerald L. Epstein, Center for the Study of Weapons of Mass Destruction, National Defense University</w:t>
      </w:r>
    </w:p>
    <w:p w14:paraId="00000014" w14:textId="77777777" w:rsidR="008B56F5" w:rsidRDefault="00F044C1">
      <w:pPr>
        <w:numPr>
          <w:ilvl w:val="1"/>
          <w:numId w:val="2"/>
        </w:numPr>
      </w:pPr>
      <w:r>
        <w:t>Clarified wording throughout, particularly on government-facing points</w:t>
      </w:r>
    </w:p>
    <w:p w14:paraId="00000015" w14:textId="77777777" w:rsidR="008B56F5" w:rsidRDefault="00F044C1">
      <w:pPr>
        <w:numPr>
          <w:ilvl w:val="0"/>
          <w:numId w:val="2"/>
        </w:numPr>
      </w:pPr>
      <w:r>
        <w:t>Natalia Garcia-</w:t>
      </w:r>
      <w:proofErr w:type="spellStart"/>
      <w:r>
        <w:t>Reyero</w:t>
      </w:r>
      <w:proofErr w:type="spellEnd"/>
      <w:r>
        <w:t>, Engineer Research and Development Center, U.S. Army</w:t>
      </w:r>
    </w:p>
    <w:p w14:paraId="00000016" w14:textId="77777777" w:rsidR="008B56F5" w:rsidRDefault="00F044C1">
      <w:pPr>
        <w:numPr>
          <w:ilvl w:val="1"/>
          <w:numId w:val="2"/>
        </w:numPr>
      </w:pPr>
      <w:r>
        <w:t>Improved references to non-state actors and technical capabilities and drafted figure</w:t>
      </w:r>
    </w:p>
    <w:p w14:paraId="00000017" w14:textId="77777777" w:rsidR="008B56F5" w:rsidRDefault="00F044C1">
      <w:pPr>
        <w:numPr>
          <w:ilvl w:val="0"/>
          <w:numId w:val="2"/>
        </w:numPr>
      </w:pPr>
      <w:r>
        <w:t>David Gillum, Arizona State University</w:t>
      </w:r>
    </w:p>
    <w:p w14:paraId="00000018" w14:textId="77777777" w:rsidR="008B56F5" w:rsidRDefault="00F044C1">
      <w:pPr>
        <w:numPr>
          <w:ilvl w:val="1"/>
          <w:numId w:val="2"/>
        </w:numPr>
      </w:pPr>
      <w:r>
        <w:t>Provided revisions throughout draft. Lead the ABSA working group at the workshop. Involved in framing discussions. Panelist at the workshop</w:t>
      </w:r>
    </w:p>
    <w:p w14:paraId="00000019" w14:textId="77777777" w:rsidR="008B56F5" w:rsidRDefault="00F044C1">
      <w:pPr>
        <w:numPr>
          <w:ilvl w:val="0"/>
          <w:numId w:val="2"/>
        </w:numPr>
      </w:pPr>
      <w:r>
        <w:lastRenderedPageBreak/>
        <w:t xml:space="preserve">Graeme </w:t>
      </w:r>
      <w:proofErr w:type="spellStart"/>
      <w:r>
        <w:t>Harkess</w:t>
      </w:r>
      <w:proofErr w:type="spellEnd"/>
      <w:r>
        <w:t>, The Pirbright Institute</w:t>
      </w:r>
    </w:p>
    <w:p w14:paraId="0000001A" w14:textId="77777777" w:rsidR="008B56F5" w:rsidRDefault="00F044C1">
      <w:pPr>
        <w:numPr>
          <w:ilvl w:val="1"/>
          <w:numId w:val="2"/>
        </w:numPr>
      </w:pPr>
      <w:r>
        <w:t>Clarified terminology and edited sections on working with less developed governance efforts</w:t>
      </w:r>
    </w:p>
    <w:p w14:paraId="0000001B" w14:textId="77777777" w:rsidR="008B56F5" w:rsidRDefault="00F044C1">
      <w:pPr>
        <w:numPr>
          <w:ilvl w:val="0"/>
          <w:numId w:val="2"/>
        </w:numPr>
      </w:pPr>
      <w:r>
        <w:t>Nathan J. Hillson, Joint Genome Institute, U.S. Department of Energy</w:t>
      </w:r>
    </w:p>
    <w:p w14:paraId="0000001C" w14:textId="77777777" w:rsidR="008B56F5" w:rsidRDefault="00F044C1">
      <w:pPr>
        <w:numPr>
          <w:ilvl w:val="1"/>
          <w:numId w:val="2"/>
        </w:numPr>
      </w:pPr>
      <w:r>
        <w:t>Lead the JGI working group at the workshop. Edited early drafts</w:t>
      </w:r>
    </w:p>
    <w:p w14:paraId="0000001D" w14:textId="77777777" w:rsidR="008B56F5" w:rsidRDefault="00F044C1">
      <w:pPr>
        <w:numPr>
          <w:ilvl w:val="0"/>
          <w:numId w:val="2"/>
        </w:numPr>
      </w:pPr>
      <w:r>
        <w:t xml:space="preserve">Petra A.M. </w:t>
      </w:r>
      <w:proofErr w:type="spellStart"/>
      <w:r>
        <w:t>Hogervorst</w:t>
      </w:r>
      <w:proofErr w:type="spellEnd"/>
      <w:r>
        <w:t xml:space="preserve">, Netherlands Biosecurity Office, National Institute for Public Health and the Environment, </w:t>
      </w:r>
      <w:proofErr w:type="spellStart"/>
      <w:r>
        <w:t>Bilthoven</w:t>
      </w:r>
      <w:proofErr w:type="spellEnd"/>
      <w:r>
        <w:t>, The Netherlands</w:t>
      </w:r>
    </w:p>
    <w:p w14:paraId="0000001E" w14:textId="77777777" w:rsidR="008B56F5" w:rsidRDefault="00F044C1">
      <w:pPr>
        <w:numPr>
          <w:ilvl w:val="1"/>
          <w:numId w:val="2"/>
        </w:numPr>
      </w:pPr>
      <w:r>
        <w:t>Edited throughout document, particularly bringing in global perspectives.</w:t>
      </w:r>
    </w:p>
    <w:p w14:paraId="0000001F" w14:textId="77777777" w:rsidR="008B56F5" w:rsidRDefault="00F044C1">
      <w:pPr>
        <w:numPr>
          <w:ilvl w:val="0"/>
          <w:numId w:val="2"/>
        </w:numPr>
      </w:pPr>
      <w:r>
        <w:t>Jacob L. Jordan, Nuclear Threat Initiative</w:t>
      </w:r>
    </w:p>
    <w:p w14:paraId="00000020" w14:textId="77777777" w:rsidR="008B56F5" w:rsidRDefault="00F044C1">
      <w:pPr>
        <w:numPr>
          <w:ilvl w:val="1"/>
          <w:numId w:val="2"/>
        </w:numPr>
      </w:pPr>
      <w:r>
        <w:t>Edited throughout. Ensured language mapped well with other NTI efforts.</w:t>
      </w:r>
    </w:p>
    <w:p w14:paraId="00000021" w14:textId="77777777" w:rsidR="008B56F5" w:rsidRDefault="00F044C1">
      <w:pPr>
        <w:numPr>
          <w:ilvl w:val="0"/>
          <w:numId w:val="2"/>
        </w:numPr>
      </w:pPr>
      <w:r>
        <w:t>Geneviève Lacroix, Centre for Biosecurity, Public Health Agency of Canada</w:t>
      </w:r>
    </w:p>
    <w:p w14:paraId="00000022" w14:textId="77777777" w:rsidR="008B56F5" w:rsidRDefault="00F044C1">
      <w:pPr>
        <w:numPr>
          <w:ilvl w:val="1"/>
          <w:numId w:val="2"/>
        </w:numPr>
      </w:pPr>
      <w:r>
        <w:t>Extensive edits throughout the process, and heavily involved in framing discussions.</w:t>
      </w:r>
    </w:p>
    <w:p w14:paraId="00000023" w14:textId="77777777" w:rsidR="008B56F5" w:rsidRDefault="00F044C1">
      <w:pPr>
        <w:numPr>
          <w:ilvl w:val="0"/>
          <w:numId w:val="2"/>
        </w:numPr>
      </w:pPr>
      <w:r>
        <w:t>Rebecca Moritz, University of Wisconsin, Madison</w:t>
      </w:r>
    </w:p>
    <w:p w14:paraId="00000024" w14:textId="77777777" w:rsidR="008B56F5" w:rsidRDefault="00F044C1">
      <w:pPr>
        <w:numPr>
          <w:ilvl w:val="1"/>
          <w:numId w:val="2"/>
        </w:numPr>
      </w:pPr>
      <w:r>
        <w:t>Extensive edits throughout, and involved in framing discussions.</w:t>
      </w:r>
    </w:p>
    <w:p w14:paraId="00000025" w14:textId="77777777" w:rsidR="008B56F5" w:rsidRDefault="00F044C1">
      <w:pPr>
        <w:numPr>
          <w:ilvl w:val="0"/>
          <w:numId w:val="2"/>
        </w:numPr>
      </w:pPr>
      <w:proofErr w:type="spellStart"/>
      <w:r>
        <w:t>Seán</w:t>
      </w:r>
      <w:proofErr w:type="spellEnd"/>
      <w:r>
        <w:t xml:space="preserve"> S </w:t>
      </w:r>
      <w:proofErr w:type="spellStart"/>
      <w:r>
        <w:t>ÓhÉigeartaigh</w:t>
      </w:r>
      <w:proofErr w:type="spellEnd"/>
      <w:r>
        <w:t>, Centre for the Study of Existential Risk, University of Cambridge</w:t>
      </w:r>
    </w:p>
    <w:p w14:paraId="00000026" w14:textId="77777777" w:rsidR="008B56F5" w:rsidRDefault="00F044C1">
      <w:pPr>
        <w:numPr>
          <w:ilvl w:val="1"/>
          <w:numId w:val="2"/>
        </w:numPr>
      </w:pPr>
      <w:r>
        <w:t xml:space="preserve">Revised draft for clarity and flow. </w:t>
      </w:r>
    </w:p>
    <w:p w14:paraId="00000027" w14:textId="77777777" w:rsidR="008B56F5" w:rsidRDefault="00F044C1">
      <w:pPr>
        <w:numPr>
          <w:ilvl w:val="0"/>
          <w:numId w:val="2"/>
        </w:numPr>
      </w:pPr>
      <w:r>
        <w:t>Megan J. Palmer, Center for International Security and Cooperation, Stanford University</w:t>
      </w:r>
    </w:p>
    <w:p w14:paraId="00000028" w14:textId="77777777" w:rsidR="008B56F5" w:rsidRDefault="00F044C1">
      <w:pPr>
        <w:numPr>
          <w:ilvl w:val="1"/>
          <w:numId w:val="2"/>
        </w:numPr>
      </w:pPr>
      <w:r>
        <w:t xml:space="preserve">Heavily involved in framing discussions, and edits throughout drafting. Co-lead </w:t>
      </w:r>
      <w:proofErr w:type="spellStart"/>
      <w:r>
        <w:t>iGEM</w:t>
      </w:r>
      <w:proofErr w:type="spellEnd"/>
      <w:r>
        <w:t xml:space="preserve"> working group at the workshop</w:t>
      </w:r>
    </w:p>
    <w:p w14:paraId="00000029" w14:textId="77777777" w:rsidR="008B56F5" w:rsidRDefault="00F044C1">
      <w:pPr>
        <w:numPr>
          <w:ilvl w:val="0"/>
          <w:numId w:val="2"/>
        </w:numPr>
      </w:pPr>
      <w:r>
        <w:t xml:space="preserve">Mark van Passel, Netherlands Biosecurity Office, National Institute for Public Health and the Environment, </w:t>
      </w:r>
      <w:proofErr w:type="spellStart"/>
      <w:r>
        <w:t>Bilthoven</w:t>
      </w:r>
      <w:proofErr w:type="spellEnd"/>
      <w:r>
        <w:t>, The Netherlands</w:t>
      </w:r>
    </w:p>
    <w:p w14:paraId="0000002A" w14:textId="77777777" w:rsidR="008B56F5" w:rsidRDefault="00F044C1">
      <w:pPr>
        <w:numPr>
          <w:ilvl w:val="1"/>
          <w:numId w:val="2"/>
        </w:numPr>
      </w:pPr>
      <w:r>
        <w:t>Brought in global health security perspective in edits, including specific clarifications on the Global Health Security Agenda. Panelist at the workshop.</w:t>
      </w:r>
    </w:p>
    <w:p w14:paraId="0000002B" w14:textId="77777777" w:rsidR="008B56F5" w:rsidRDefault="00F044C1">
      <w:pPr>
        <w:pStyle w:val="Heading2"/>
      </w:pPr>
      <w:bookmarkStart w:id="4" w:name="_hutu6jo7xvln" w:colFirst="0" w:colLast="0"/>
      <w:bookmarkEnd w:id="4"/>
      <w:r>
        <w:t xml:space="preserve">Intended venue: </w:t>
      </w:r>
    </w:p>
    <w:p w14:paraId="0000002C" w14:textId="77777777" w:rsidR="008B56F5" w:rsidRDefault="00F044C1">
      <w:pPr>
        <w:numPr>
          <w:ilvl w:val="0"/>
          <w:numId w:val="1"/>
        </w:numPr>
      </w:pPr>
      <w:r>
        <w:rPr>
          <w:i/>
        </w:rPr>
        <w:t>Science</w:t>
      </w:r>
      <w:r>
        <w:t xml:space="preserve"> </w:t>
      </w:r>
      <w:hyperlink r:id="rId5">
        <w:r>
          <w:rPr>
            <w:color w:val="1155CC"/>
            <w:u w:val="single"/>
          </w:rPr>
          <w:t>Policy Forum</w:t>
        </w:r>
      </w:hyperlink>
      <w:r>
        <w:t xml:space="preserve">  (1000 to 2000 words, 1-2 figures, and up to 15 references) presents issues related to the intersections between science and society that have policy implications.</w:t>
      </w:r>
    </w:p>
    <w:p w14:paraId="0000002D" w14:textId="77777777" w:rsidR="008B56F5" w:rsidRDefault="00F044C1">
      <w:pPr>
        <w:numPr>
          <w:ilvl w:val="1"/>
          <w:numId w:val="1"/>
        </w:numPr>
      </w:pPr>
      <w:r>
        <w:t xml:space="preserve">Issues to keep in mind: </w:t>
      </w:r>
    </w:p>
    <w:p w14:paraId="0000002E" w14:textId="77777777" w:rsidR="008B56F5" w:rsidRDefault="00F044C1">
      <w:pPr>
        <w:numPr>
          <w:ilvl w:val="2"/>
          <w:numId w:val="1"/>
        </w:numPr>
      </w:pPr>
      <w:r>
        <w:t>This is NOT a workshop summary</w:t>
      </w:r>
    </w:p>
    <w:p w14:paraId="0000002F" w14:textId="77777777" w:rsidR="008B56F5" w:rsidRDefault="00F044C1">
      <w:pPr>
        <w:numPr>
          <w:ilvl w:val="2"/>
          <w:numId w:val="1"/>
        </w:numPr>
      </w:pPr>
      <w:r>
        <w:t>Need to draw out that this is a problem not well recognized</w:t>
      </w:r>
    </w:p>
    <w:p w14:paraId="00000030" w14:textId="77777777" w:rsidR="008B56F5" w:rsidRDefault="00F044C1">
      <w:pPr>
        <w:numPr>
          <w:ilvl w:val="2"/>
          <w:numId w:val="1"/>
        </w:numPr>
      </w:pPr>
      <w:r>
        <w:t>The solutions proposed need to be actionable, or at least specific</w:t>
      </w:r>
    </w:p>
    <w:p w14:paraId="00000031" w14:textId="77777777" w:rsidR="008B56F5" w:rsidRDefault="00F044C1">
      <w:pPr>
        <w:numPr>
          <w:ilvl w:val="2"/>
          <w:numId w:val="1"/>
        </w:numPr>
      </w:pPr>
      <w:r>
        <w:t>The goal of the paper is not to be watered down so that everyone can sign on, but to push the kernel of an idea that can be further developed and acted upon.</w:t>
      </w:r>
    </w:p>
    <w:p w14:paraId="00000032" w14:textId="77777777" w:rsidR="008B56F5" w:rsidRDefault="00F044C1">
      <w:pPr>
        <w:pStyle w:val="Heading1"/>
      </w:pPr>
      <w:bookmarkStart w:id="5" w:name="_n4g9i5j5hcbe" w:colFirst="0" w:colLast="0"/>
      <w:bookmarkEnd w:id="5"/>
      <w:r>
        <w:t>Article</w:t>
      </w:r>
    </w:p>
    <w:p w14:paraId="00000033" w14:textId="77777777" w:rsidR="008B56F5" w:rsidRDefault="00F044C1">
      <w:r>
        <w:t xml:space="preserve">Biological research and its applications are rapidly evolving, and their governance should be as well. Life scientists are today joined by computer scientists, engineers, material scientists, chemists, and others in a quest to manipulate biological materials for a variety of purposes. The </w:t>
      </w:r>
      <w:r>
        <w:lastRenderedPageBreak/>
        <w:t xml:space="preserve">pace and nature of these advances are straining many traditional forms of governance. In response, we are seeing attempts at the governance of biology, where traditional assumptions about how the process of science works, how knowledge is generated, and how it relates to society all are being re-thought. Unlike experiments in science, however, these approaches to governance are often not evaluated, analyzed, or compared. This makes it difficult to build a cumulative base of experience, hindering opportunities for learning. </w:t>
      </w:r>
    </w:p>
    <w:p w14:paraId="00000034" w14:textId="77777777" w:rsidR="008B56F5" w:rsidRDefault="008B56F5"/>
    <w:p w14:paraId="00000035" w14:textId="77777777" w:rsidR="008B56F5" w:rsidRDefault="00F044C1">
      <w:r>
        <w:t>Consider the area of biosecurity governance, a term which has no internationally agreed definition, but which we define here to be the processes and communities influencing and shaping behavior to prevent or deter the misuse of biological science and technology. Traditional international biosecurity efforts have focused largely on risk management (i.e., the process of addressing accidental and deliberate risks presented by pathogens and toxins) and dual use research (i.e., the potential for malicious exploitation of knowledge, skills, and technology). Most of these efforts focus on a defined (and thus already known) list of pathogens and toxins, and specific established facilities and personnel that are authorized to work with them (</w:t>
      </w:r>
      <w:r>
        <w:rPr>
          <w:i/>
        </w:rPr>
        <w:t>1</w:t>
      </w:r>
      <w:r>
        <w:t xml:space="preserve">, </w:t>
      </w:r>
      <w:r>
        <w:rPr>
          <w:i/>
        </w:rPr>
        <w:t>2</w:t>
      </w:r>
      <w:r>
        <w:t>). In the last decade, however, our ability to manipulate living organisms and entire genomes has rapidly advanced thanks to novel tools like CRISPR, improved sequencing techniques, and fast-paced synthetic genomics approaches (</w:t>
      </w:r>
      <w:r>
        <w:rPr>
          <w:i/>
        </w:rPr>
        <w:t>3</w:t>
      </w:r>
      <w:r>
        <w:t>). This can potentially improve our ability to generate novel pathogens, cell types, animals, materials, and gene drives, all of which may represent additional security concerns. Moreover, there is increasing evidence of non-state actor interest in utilizing biological weapons (</w:t>
      </w:r>
      <w:r>
        <w:rPr>
          <w:i/>
        </w:rPr>
        <w:t>4</w:t>
      </w:r>
      <w:r>
        <w:t>). Even when policies are updated to cover these changes, it is not always either clear or straightforward how to change the practices of biosecurity governance accordingly.</w:t>
      </w:r>
    </w:p>
    <w:p w14:paraId="00000036" w14:textId="77777777" w:rsidR="008B56F5" w:rsidRDefault="008B56F5"/>
    <w:p w14:paraId="00000037" w14:textId="77777777" w:rsidR="008B56F5" w:rsidRDefault="00F044C1">
      <w:r>
        <w:t>Changes are afoot, however. As various communities involved in aspects of governing the life sciences--be they funders, researchers, publishers, governments, research institutions, corporations (both large and small), users, or other stakeholders--have begun thinking more about security concerns, some of these groups have decided that existing ways of governing are not yet adequate for minimizing the inadvertent or malicious harmful outcomes of biology (</w:t>
      </w:r>
      <w:r>
        <w:rPr>
          <w:i/>
        </w:rPr>
        <w:t>5</w:t>
      </w:r>
      <w:r>
        <w:t xml:space="preserve">, </w:t>
      </w:r>
      <w:r>
        <w:rPr>
          <w:i/>
        </w:rPr>
        <w:t>6</w:t>
      </w:r>
      <w:r>
        <w:t xml:space="preserve">). These groups are experimenting in the practices of security governance by looking beyond existing models, policies and procedures to address perceived shortcomings. </w:t>
      </w:r>
    </w:p>
    <w:p w14:paraId="00000038" w14:textId="77777777" w:rsidR="008B56F5" w:rsidRDefault="008B56F5"/>
    <w:p w14:paraId="00000039" w14:textId="77777777" w:rsidR="008B56F5" w:rsidRDefault="00F044C1">
      <w:r>
        <w:t>The experiments range from community labs developing biosecurity oversight processes to government agencies. For example, the Federal Bureau of Investigation’s Biological Countermeasures Unit is currently fundamentally rethinking the way government interacts with nontraditional practitioners such as the "Do-It-Yourself" community, engaging them as partners rather than viewing them as threats (</w:t>
      </w:r>
      <w:r>
        <w:rPr>
          <w:i/>
        </w:rPr>
        <w:t>6</w:t>
      </w:r>
      <w:r>
        <w:t xml:space="preserve">). </w:t>
      </w:r>
    </w:p>
    <w:p w14:paraId="0000003A" w14:textId="77777777" w:rsidR="008B56F5" w:rsidRDefault="008B56F5"/>
    <w:p w14:paraId="0000003B" w14:textId="77777777" w:rsidR="008B56F5" w:rsidRDefault="00F044C1">
      <w:r>
        <w:t>These experiments are about much more than mitigating the tension between academic freedom and national security that has been a dominant framing in many policy debates, particularly in the United States (</w:t>
      </w:r>
      <w:r>
        <w:rPr>
          <w:i/>
        </w:rPr>
        <w:t>7</w:t>
      </w:r>
      <w:r>
        <w:t xml:space="preserve">). Instead, the new and traditional groups conducting these experiments recognize that there is a broad network of people in different organizational capacities with a role to play in identifying and governing security concerns. </w:t>
      </w:r>
    </w:p>
    <w:p w14:paraId="0000003C" w14:textId="77777777" w:rsidR="008B56F5" w:rsidRDefault="008B56F5"/>
    <w:p w14:paraId="0000003D" w14:textId="77777777" w:rsidR="008B56F5" w:rsidRDefault="00F044C1">
      <w:r>
        <w:lastRenderedPageBreak/>
        <w:t>To innovate on how states, companies, research communities, and the public interact to govern biosecurity, we need to foster an attitude of experimentation in the governance of biosecurity. This entails understanding the limitations of existing systems and promoting governance experiments that address or work around them. We also need to develop better methods to collect data about how a governance experiment is going, coupled with methods to share that data across experiments and with future experiments. Having these meta-level discussions is itself a key component of any robust and adaptive biosecurity governance system (</w:t>
      </w:r>
      <w:r>
        <w:rPr>
          <w:i/>
        </w:rPr>
        <w:t>8</w:t>
      </w:r>
      <w:r>
        <w:t>).</w:t>
      </w:r>
    </w:p>
    <w:p w14:paraId="0000003E" w14:textId="77777777" w:rsidR="008B56F5" w:rsidRDefault="00F044C1">
      <w:pPr>
        <w:pStyle w:val="Heading2"/>
      </w:pPr>
      <w:bookmarkStart w:id="6" w:name="_y51erkz4jt83" w:colFirst="0" w:colLast="0"/>
      <w:bookmarkEnd w:id="6"/>
      <w:r>
        <w:t>Biosecurity governance as an experiment</w:t>
      </w:r>
    </w:p>
    <w:p w14:paraId="0000003F" w14:textId="77777777" w:rsidR="008B56F5" w:rsidRDefault="00F044C1">
      <w:r>
        <w:t>Thinking about biosecurity governance as an experiment focuses our attention on several oft-underappreciated aspects of governance. The first is the set of assumptions we make in the process of governing, most notably about the structure of science, governing authorities, and how those relate to specific conceptions of security. These assumptions tend to come in packages. Understanding science, for example, as being composed of discrete knowledge entities (e.g., published articles or biological specimens) might lead one to structure security governance around preventing known objects of concern from being widely distributed, such as through a state-based system like export controls. Using export controls, however, carries an assumption that threats are likely to originate abroad, as opposed to, say, assessing the insider threat within labs in your country. From a technical side, using export controls for intangible technology, such as information, relies on an assumption that these technologies can be controlled in the same way that physical products can. In drawing out these assumptions and comparing them across experiments, we can more systematically understand the contexts in which these assumptions are likely to hold and where experimentation with different assumptions might be more productive.</w:t>
      </w:r>
    </w:p>
    <w:p w14:paraId="00000040" w14:textId="77777777" w:rsidR="008B56F5" w:rsidRDefault="008B56F5"/>
    <w:p w14:paraId="00000041" w14:textId="77777777" w:rsidR="008B56F5" w:rsidRDefault="00F044C1">
      <w:r>
        <w:t>A second underappreciated aspect of governance is its iterative and continuously evolving nature. Governance processes and the associated communities are continually renewed, both in response to changing technological capabilities and to changing community and societal conditions, and we can take advantage of this to learn from past governance experiments. Currently, learning from governance experiments usually occurs through ad hoc meetings and publications written because of an organic desire to share experiences (</w:t>
      </w:r>
      <w:r>
        <w:rPr>
          <w:i/>
        </w:rPr>
        <w:t>9</w:t>
      </w:r>
      <w:r>
        <w:t>), but sometimes this learning is part of a broader strategy to create space to talk about lived experiences (</w:t>
      </w:r>
      <w:r>
        <w:rPr>
          <w:i/>
        </w:rPr>
        <w:t>10</w:t>
      </w:r>
      <w:r>
        <w:t xml:space="preserve">). The coauthors were part of a recent workshop at the University of Cambridge called </w:t>
      </w:r>
      <w:r>
        <w:rPr>
          <w:i/>
        </w:rPr>
        <w:t>Novel Practices in Biosecurity Governance</w:t>
      </w:r>
      <w:r>
        <w:t>, which tested approaches to sharing and iterating across experiences relating to a range of current and proposed biosecurity governance experiments. These included: the international Genetically Engineered Machines Competition (</w:t>
      </w:r>
      <w:proofErr w:type="spellStart"/>
      <w:r>
        <w:t>iGEM</w:t>
      </w:r>
      <w:proofErr w:type="spellEnd"/>
      <w:r>
        <w:t xml:space="preserve">)’s Science and Security Program; the US Department of Energy’s Joint Genome Institute funding review process; the UK Biosafety Strategic Leadership Group (BSLG); a proposed biosecurity credential for the American Biological Safety Association (ABSA) International; and a proposed seal of approval in biosecurity being developed through NTI’s Biosecurity Innovation and Risk Reduction Initiative, as well as discussing other key ongoing governance experiments, such as the International Gene Synthesis Consortium (IGSC). </w:t>
      </w:r>
    </w:p>
    <w:p w14:paraId="00000042" w14:textId="77777777" w:rsidR="008B56F5" w:rsidRDefault="00F044C1">
      <w:pPr>
        <w:pStyle w:val="Heading2"/>
      </w:pPr>
      <w:bookmarkStart w:id="7" w:name="_ylyfe843gq1f" w:colFirst="0" w:colLast="0"/>
      <w:bookmarkEnd w:id="7"/>
      <w:r>
        <w:lastRenderedPageBreak/>
        <w:t>Learning across experiments</w:t>
      </w:r>
    </w:p>
    <w:p w14:paraId="00000043" w14:textId="77777777" w:rsidR="008B56F5" w:rsidRDefault="00F044C1">
      <w:r>
        <w:t xml:space="preserve">Based on discussions at the workshop and further engagement amongst us as representatives of a wide range of biosecurity governance experiments, we have identified three lessons that other experimenters can draw on. </w:t>
      </w:r>
    </w:p>
    <w:p w14:paraId="00000044" w14:textId="77777777" w:rsidR="008B56F5" w:rsidRDefault="008B56F5"/>
    <w:p w14:paraId="00000045" w14:textId="77777777" w:rsidR="008B56F5" w:rsidRDefault="00F044C1">
      <w:r>
        <w:t>First, in designing a governance experiment, consider what it would take for others to understand the basis on which you made your assumptions: about the science, the governing authorities, and how those relate to a specific conception of a security concern. This may involve documenting these decisions in meeting notes that you could use later to develop a public-facing statement. It can be very helpful here--both in designing and documenting your experiment--to work with social scientists and anthropologists who can identify hidden assumptions, and develop alternatives that might better align with the goals of governance (</w:t>
      </w:r>
      <w:r>
        <w:rPr>
          <w:i/>
        </w:rPr>
        <w:t>11</w:t>
      </w:r>
      <w:r>
        <w:t>). Consideration should also be taken on the definition and standardization of terminology, as terms vary widely across technical and national contexts.</w:t>
      </w:r>
    </w:p>
    <w:p w14:paraId="00000046" w14:textId="77777777" w:rsidR="008B56F5" w:rsidRDefault="008B56F5"/>
    <w:p w14:paraId="00000047" w14:textId="77777777" w:rsidR="008B56F5" w:rsidRDefault="00F044C1">
      <w:r>
        <w:t xml:space="preserve">Second, develop a capacity in your experiment to quickly identify difficult or unanticipated cases and adapt governing processes to account for them. For example, </w:t>
      </w:r>
      <w:proofErr w:type="spellStart"/>
      <w:r>
        <w:t>iGEM</w:t>
      </w:r>
      <w:proofErr w:type="spellEnd"/>
      <w:r>
        <w:t xml:space="preserve"> does this through a yearly review of its Safety and Security Program, adapting its oversight and policies regularly (</w:t>
      </w:r>
      <w:r>
        <w:rPr>
          <w:i/>
        </w:rPr>
        <w:t>5</w:t>
      </w:r>
      <w:r>
        <w:t>). The goal here is to use moments where the governance system encountered difficulties as a way to reflect and update the assumptions being made about the science and its contexts. To the extent possible, sharing case studies (including both failures and “near misses”) in a timely fashion could aid other biosecurity processes greatly.</w:t>
      </w:r>
    </w:p>
    <w:p w14:paraId="00000048" w14:textId="77777777" w:rsidR="008B56F5" w:rsidRDefault="008B56F5"/>
    <w:p w14:paraId="00000049" w14:textId="77777777" w:rsidR="008B56F5" w:rsidRDefault="00F044C1">
      <w:r>
        <w:t>Third, recognize that you are not alone. We need to develop trusted networks and capacities within all governance communities--from networks of community biolabs to international efforts like the Global Health Security Agenda’s action package on biosafety and biosecurity--to think of biosecurity governance as an experimental space. One example of how to do this is the Emerging Biosecurity Leadership Initiative, which provides both a broad training in biosecurity and an active network of alumni to consult. We also need to strengthen our capabilities to speak across these communities about lessons we are learning from these experiments, whether it is through fora like the Biological and Toxin Weapons Convention Meeting of Experts, or a non-state venue like the ABSA Biosecurity Symposium scheduled to be held in May 2020. Developing communication across communities means addressing barriers to communication, such as industrial considerations of competition-sensitivity, governmental controls (e.g., export restriction, classification), differing terminology, and the time and resource costs imposed by in-person meetings.</w:t>
      </w:r>
    </w:p>
    <w:p w14:paraId="0000004A" w14:textId="77777777" w:rsidR="008B56F5" w:rsidRDefault="008B56F5"/>
    <w:p w14:paraId="0000004B" w14:textId="77777777" w:rsidR="008B56F5" w:rsidRDefault="00F044C1">
      <w:r>
        <w:t xml:space="preserve">We recognize that there was limited representation at the workshop from industry and regions of the world that have little to no current biosecurity governance in place, and would be interested to learn how our lessons might change by incorporating their voices more fully. The industrial and commercial development of biology represents a significant amount of biological research and innovation. Industrial organizations also have significant influence on state governance decisions, and are themselves experimenting in biosecurity governance through efforts like </w:t>
      </w:r>
      <w:r>
        <w:lastRenderedPageBreak/>
        <w:t xml:space="preserve">sequence screening in the International Gene Synthesis Consortium. For many regions of the world without biosecurity governance, getting basic oversight capacity in place is already a major lift. We should establish and strengthen shared resources to help bootstrap groups wishing to establish new governance systems for their communities. Two such resources are the International Network on Biotechnology run by UNICRI and the Middle East and North Africa community of practice for biological and chemical safety and security run by Gryphon Scientific. </w:t>
      </w:r>
    </w:p>
    <w:p w14:paraId="0000004C" w14:textId="77777777" w:rsidR="008B56F5" w:rsidRDefault="008B56F5"/>
    <w:p w14:paraId="0000004D" w14:textId="77777777" w:rsidR="008B56F5" w:rsidRDefault="00F044C1">
      <w:r>
        <w:t xml:space="preserve">Following through on efforts such as sharing near misses and examining the assumptions and considerations we make in designing our experiments will likely raise some concerns themselves. Publicly discussing specific instances of biosecurity concern that our governance systems do not cover can itself be an information hazard, but the </w:t>
      </w:r>
      <w:r>
        <w:rPr>
          <w:i/>
        </w:rPr>
        <w:t>processes</w:t>
      </w:r>
      <w:r>
        <w:t xml:space="preserve"> of biosecurity governance may be less of a hazard to discuss. A particularly important challenge is enabling the safe migration of useful learnings in a sanitized form from more restricted environments (e.g., classified facilities, industrial operations) to less restricted environments (e.g., lower safety level university labs, the DIY community). Institutions have many reasons beyond security (such as reputational and intellectual property risks) to not share information such as this, and we encourage the exploration of options to discuss these more sensitive issues in a semi-secure setting (</w:t>
      </w:r>
      <w:r>
        <w:rPr>
          <w:i/>
        </w:rPr>
        <w:t>12</w:t>
      </w:r>
      <w:r>
        <w:t>). The sharing of an evidence base on what has and has not worked is already recognized as a necessary aspect of developing better biosecurity governance (</w:t>
      </w:r>
      <w:r>
        <w:rPr>
          <w:i/>
        </w:rPr>
        <w:t>13</w:t>
      </w:r>
      <w:r>
        <w:t>).</w:t>
      </w:r>
    </w:p>
    <w:p w14:paraId="0000004E" w14:textId="77777777" w:rsidR="008B56F5" w:rsidRDefault="008B56F5"/>
    <w:p w14:paraId="0000004F" w14:textId="77777777" w:rsidR="008B56F5" w:rsidRDefault="00F044C1">
      <w:r>
        <w:t>The value of experimenting in biosecurity governance warrants exploring creative solutions to these concerns, rather than using the concerns as a reason not to experiment in biosecurity governance. Becoming more rigorous in the design, analysis, and sharing of biosecurity governance experiments will help us learn across experiments. Encouraging experimentation involves promoting reflective, adaptive, and networked governance experimenters, as well as lowering the organizational, financial, political and other costs of conducting the experiments. This in turn will allow the building of frameworks that will further allow experiments to be reproduced and shared more readily. As in science, greater value should also be placed on what we can learn from failed experiments.</w:t>
      </w:r>
    </w:p>
    <w:p w14:paraId="00000050" w14:textId="77777777" w:rsidR="008B56F5" w:rsidRDefault="008B56F5"/>
    <w:p w14:paraId="00000051" w14:textId="77777777" w:rsidR="008B56F5" w:rsidRDefault="00F044C1">
      <w:r>
        <w:t>Overall, understanding biosecurity governance as an experimental space will open up our ability to be more proactive, rather than reactive (</w:t>
      </w:r>
      <w:r>
        <w:rPr>
          <w:i/>
        </w:rPr>
        <w:t>2</w:t>
      </w:r>
      <w:r>
        <w:t>), in addressing the biosecurity challenges of the 21st Century.</w:t>
      </w:r>
    </w:p>
    <w:p w14:paraId="00000052" w14:textId="77777777" w:rsidR="008B56F5" w:rsidRDefault="008B56F5"/>
    <w:p w14:paraId="00000053" w14:textId="77777777" w:rsidR="008B56F5" w:rsidRDefault="00F044C1">
      <w:pPr>
        <w:pStyle w:val="Heading1"/>
      </w:pPr>
      <w:bookmarkStart w:id="8" w:name="_ueggfcd6y7vz" w:colFirst="0" w:colLast="0"/>
      <w:bookmarkEnd w:id="8"/>
      <w:r>
        <w:t>Acknowledgments</w:t>
      </w:r>
    </w:p>
    <w:p w14:paraId="00000054" w14:textId="77777777" w:rsidR="008B56F5" w:rsidRDefault="00F044C1">
      <w:r>
        <w:t xml:space="preserve">The authors express their gratitude to all the participants of the </w:t>
      </w:r>
      <w:r>
        <w:rPr>
          <w:i/>
        </w:rPr>
        <w:t>Novel Practices in Biosecurity Governance</w:t>
      </w:r>
      <w:r>
        <w:t xml:space="preserve"> workshop organized by Sam Weiss Evans and convened at the University of Cambridge on 11-13 July 2019 through the Biosecurity Research Initiative at St. Catharine’s (</w:t>
      </w:r>
      <w:proofErr w:type="spellStart"/>
      <w:r>
        <w:t>BioRISC</w:t>
      </w:r>
      <w:proofErr w:type="spellEnd"/>
      <w:r>
        <w:t>) and the Centre for the Study of Existential Risk (CSER). This document does not contain technology or technical data controlled under either U.S. International Traffic in Arms Regulation or U.S. Export Administration Regulations. The views expressed in the paper are those of the authors and not those of any institutions with which they may be affiliated.</w:t>
      </w:r>
    </w:p>
    <w:p w14:paraId="00000055" w14:textId="77777777" w:rsidR="008B56F5" w:rsidRDefault="00F044C1">
      <w:pPr>
        <w:pStyle w:val="Heading1"/>
      </w:pPr>
      <w:bookmarkStart w:id="9" w:name="_lyfxiy695oq8" w:colFirst="0" w:colLast="0"/>
      <w:bookmarkEnd w:id="9"/>
      <w:r>
        <w:lastRenderedPageBreak/>
        <w:t>References</w:t>
      </w:r>
    </w:p>
    <w:p w14:paraId="00000056" w14:textId="77777777" w:rsidR="008B56F5" w:rsidRDefault="00F044C1">
      <w:pPr>
        <w:widowControl w:val="0"/>
        <w:pBdr>
          <w:top w:val="nil"/>
          <w:left w:val="nil"/>
          <w:bottom w:val="nil"/>
          <w:right w:val="nil"/>
          <w:between w:val="nil"/>
        </w:pBdr>
        <w:spacing w:line="240" w:lineRule="auto"/>
        <w:ind w:left="384" w:hanging="384"/>
        <w:rPr>
          <w:rFonts w:ascii="Times New Roman" w:eastAsia="Times New Roman" w:hAnsi="Times New Roman" w:cs="Times New Roman"/>
          <w:sz w:val="20"/>
          <w:szCs w:val="20"/>
          <w:vertAlign w:val="superscript"/>
        </w:rPr>
      </w:pPr>
      <w:r>
        <w:t xml:space="preserve">  </w:t>
      </w:r>
    </w:p>
    <w:p w14:paraId="00000057" w14:textId="77777777" w:rsidR="008B56F5" w:rsidRDefault="008B56F5">
      <w:pPr>
        <w:widowControl w:val="0"/>
        <w:pBdr>
          <w:top w:val="nil"/>
          <w:left w:val="nil"/>
          <w:bottom w:val="nil"/>
          <w:right w:val="nil"/>
          <w:between w:val="nil"/>
        </w:pBdr>
        <w:spacing w:line="240" w:lineRule="auto"/>
        <w:ind w:left="384" w:hanging="384"/>
      </w:pPr>
    </w:p>
    <w:p w14:paraId="00000058" w14:textId="77777777" w:rsidR="008B56F5" w:rsidRDefault="00F044C1">
      <w:pPr>
        <w:widowControl w:val="0"/>
        <w:pBdr>
          <w:top w:val="nil"/>
          <w:left w:val="nil"/>
          <w:bottom w:val="nil"/>
          <w:right w:val="nil"/>
          <w:between w:val="nil"/>
        </w:pBdr>
        <w:spacing w:line="240" w:lineRule="auto"/>
        <w:ind w:left="384" w:hanging="384"/>
      </w:pPr>
      <w:r>
        <w:t xml:space="preserve">1. </w:t>
      </w:r>
      <w:r>
        <w:tab/>
        <w:t xml:space="preserve">K. M. Berger, D. </w:t>
      </w:r>
      <w:proofErr w:type="spellStart"/>
      <w:r>
        <w:t>DiEuliis</w:t>
      </w:r>
      <w:proofErr w:type="spellEnd"/>
      <w:r>
        <w:t xml:space="preserve">, C. Meyer, V. Rao, </w:t>
      </w:r>
      <w:r>
        <w:rPr>
          <w:i/>
        </w:rPr>
        <w:t>Roadmap for Biosecurity and Biodefense Policy in the United States</w:t>
      </w:r>
      <w:r>
        <w:t xml:space="preserve"> (Gryphon Scientific, 2017).</w:t>
      </w:r>
    </w:p>
    <w:p w14:paraId="00000059" w14:textId="77777777" w:rsidR="008B56F5" w:rsidRDefault="00F044C1">
      <w:pPr>
        <w:widowControl w:val="0"/>
        <w:pBdr>
          <w:top w:val="nil"/>
          <w:left w:val="nil"/>
          <w:bottom w:val="nil"/>
          <w:right w:val="nil"/>
          <w:between w:val="nil"/>
        </w:pBdr>
        <w:spacing w:line="240" w:lineRule="auto"/>
        <w:ind w:left="384" w:hanging="384"/>
      </w:pPr>
      <w:r>
        <w:t xml:space="preserve">2. </w:t>
      </w:r>
      <w:r>
        <w:tab/>
        <w:t xml:space="preserve">D. </w:t>
      </w:r>
      <w:proofErr w:type="spellStart"/>
      <w:r>
        <w:t>DiEuliis</w:t>
      </w:r>
      <w:proofErr w:type="spellEnd"/>
      <w:r>
        <w:t xml:space="preserve">, V. Rao, E. A. Billings, C. B. Meyer, K. Berger, Biodefense Policy Analysis—A Systems-based Approach. </w:t>
      </w:r>
      <w:r>
        <w:rPr>
          <w:i/>
        </w:rPr>
        <w:t xml:space="preserve">Health </w:t>
      </w:r>
      <w:proofErr w:type="spellStart"/>
      <w:r>
        <w:rPr>
          <w:i/>
        </w:rPr>
        <w:t>Secur</w:t>
      </w:r>
      <w:proofErr w:type="spellEnd"/>
      <w:r>
        <w:rPr>
          <w:i/>
        </w:rPr>
        <w:t xml:space="preserve">. </w:t>
      </w:r>
      <w:r>
        <w:rPr>
          <w:b/>
        </w:rPr>
        <w:t>17</w:t>
      </w:r>
      <w:r>
        <w:t>, 83–99 (2019).</w:t>
      </w:r>
    </w:p>
    <w:p w14:paraId="0000005A" w14:textId="77777777" w:rsidR="008B56F5" w:rsidRDefault="00F044C1">
      <w:pPr>
        <w:widowControl w:val="0"/>
        <w:pBdr>
          <w:top w:val="nil"/>
          <w:left w:val="nil"/>
          <w:bottom w:val="nil"/>
          <w:right w:val="nil"/>
          <w:between w:val="nil"/>
        </w:pBdr>
        <w:spacing w:line="240" w:lineRule="auto"/>
        <w:ind w:left="384" w:hanging="384"/>
      </w:pPr>
      <w:r>
        <w:t xml:space="preserve">3. </w:t>
      </w:r>
      <w:r>
        <w:tab/>
        <w:t xml:space="preserve">L. Cong, F. A. Ran, D. Cox, S. Lin, R. </w:t>
      </w:r>
      <w:proofErr w:type="spellStart"/>
      <w:r>
        <w:t>Barretto</w:t>
      </w:r>
      <w:proofErr w:type="spellEnd"/>
      <w:r>
        <w:t xml:space="preserve">, N. Habib, P. D. Hsu, X. Wu, W. Jiang, L. A. </w:t>
      </w:r>
      <w:proofErr w:type="spellStart"/>
      <w:r>
        <w:t>Marraffini</w:t>
      </w:r>
      <w:proofErr w:type="spellEnd"/>
      <w:r>
        <w:t xml:space="preserve">, F. Zhang, Multiplex Genome Engineering Using CRISPR/Cas Systems. </w:t>
      </w:r>
      <w:r>
        <w:rPr>
          <w:i/>
        </w:rPr>
        <w:t>Science</w:t>
      </w:r>
      <w:r>
        <w:t xml:space="preserve">. </w:t>
      </w:r>
      <w:r>
        <w:rPr>
          <w:b/>
        </w:rPr>
        <w:t>339</w:t>
      </w:r>
      <w:r>
        <w:t>, 819–823 (2013).</w:t>
      </w:r>
    </w:p>
    <w:p w14:paraId="0000005B" w14:textId="77777777" w:rsidR="008B56F5" w:rsidRDefault="00F044C1">
      <w:pPr>
        <w:widowControl w:val="0"/>
        <w:pBdr>
          <w:top w:val="nil"/>
          <w:left w:val="nil"/>
          <w:bottom w:val="nil"/>
          <w:right w:val="nil"/>
          <w:between w:val="nil"/>
        </w:pBdr>
        <w:spacing w:line="240" w:lineRule="auto"/>
        <w:ind w:left="384" w:hanging="384"/>
      </w:pPr>
      <w:r>
        <w:t xml:space="preserve">4. </w:t>
      </w:r>
      <w:r>
        <w:tab/>
        <w:t xml:space="preserve">C. McLeish, D. </w:t>
      </w:r>
      <w:proofErr w:type="spellStart"/>
      <w:r>
        <w:t>Feakes</w:t>
      </w:r>
      <w:proofErr w:type="spellEnd"/>
      <w:r>
        <w:t xml:space="preserve">, Biosecurity and stakeholders: the rise of networks and non-state actors. </w:t>
      </w:r>
      <w:r>
        <w:rPr>
          <w:i/>
        </w:rPr>
        <w:t>Sci. Public Policy</w:t>
      </w:r>
      <w:r>
        <w:t xml:space="preserve">. </w:t>
      </w:r>
      <w:r>
        <w:rPr>
          <w:b/>
        </w:rPr>
        <w:t>35</w:t>
      </w:r>
      <w:r>
        <w:t>, 5–12 (2008).</w:t>
      </w:r>
    </w:p>
    <w:p w14:paraId="0000005C" w14:textId="77777777" w:rsidR="008B56F5" w:rsidRDefault="00F044C1">
      <w:pPr>
        <w:widowControl w:val="0"/>
        <w:pBdr>
          <w:top w:val="nil"/>
          <w:left w:val="nil"/>
          <w:bottom w:val="nil"/>
          <w:right w:val="nil"/>
          <w:between w:val="nil"/>
        </w:pBdr>
        <w:spacing w:line="240" w:lineRule="auto"/>
        <w:ind w:left="384" w:hanging="384"/>
      </w:pPr>
      <w:r>
        <w:t xml:space="preserve">5. </w:t>
      </w:r>
      <w:r>
        <w:tab/>
        <w:t xml:space="preserve">P. Millett, T. </w:t>
      </w:r>
      <w:proofErr w:type="spellStart"/>
      <w:r>
        <w:t>Binz</w:t>
      </w:r>
      <w:proofErr w:type="spellEnd"/>
      <w:r>
        <w:t xml:space="preserve">, S. W. Evans, T. </w:t>
      </w:r>
      <w:proofErr w:type="spellStart"/>
      <w:r>
        <w:t>Kuiken</w:t>
      </w:r>
      <w:proofErr w:type="spellEnd"/>
      <w:r>
        <w:t xml:space="preserve">, K. </w:t>
      </w:r>
      <w:proofErr w:type="spellStart"/>
      <w:r>
        <w:t>Oye</w:t>
      </w:r>
      <w:proofErr w:type="spellEnd"/>
      <w:r>
        <w:t xml:space="preserve">, M. J. Palmer, C. van der </w:t>
      </w:r>
      <w:proofErr w:type="spellStart"/>
      <w:r>
        <w:t>Vlugt</w:t>
      </w:r>
      <w:proofErr w:type="spellEnd"/>
      <w:r>
        <w:t xml:space="preserve">, K. </w:t>
      </w:r>
      <w:proofErr w:type="spellStart"/>
      <w:r>
        <w:t>Yambao</w:t>
      </w:r>
      <w:proofErr w:type="spellEnd"/>
      <w:r>
        <w:t xml:space="preserve">, S. Yu, Developing a Comprehensive, Adaptive, and International Biosafety and Biosecurity Program for Advanced Biotechnology: The </w:t>
      </w:r>
      <w:proofErr w:type="spellStart"/>
      <w:r>
        <w:t>iGEM</w:t>
      </w:r>
      <w:proofErr w:type="spellEnd"/>
      <w:r>
        <w:t xml:space="preserve"> Experience. </w:t>
      </w:r>
      <w:r>
        <w:rPr>
          <w:i/>
        </w:rPr>
        <w:t xml:space="preserve">Appl. </w:t>
      </w:r>
      <w:proofErr w:type="spellStart"/>
      <w:r>
        <w:rPr>
          <w:i/>
        </w:rPr>
        <w:t>Biosaf</w:t>
      </w:r>
      <w:proofErr w:type="spellEnd"/>
      <w:r>
        <w:rPr>
          <w:i/>
        </w:rPr>
        <w:t>.</w:t>
      </w:r>
      <w:r>
        <w:t>, 1535676019838075 (2019).</w:t>
      </w:r>
    </w:p>
    <w:p w14:paraId="0000005D" w14:textId="77777777" w:rsidR="008B56F5" w:rsidRDefault="00F044C1">
      <w:pPr>
        <w:widowControl w:val="0"/>
        <w:pBdr>
          <w:top w:val="nil"/>
          <w:left w:val="nil"/>
          <w:bottom w:val="nil"/>
          <w:right w:val="nil"/>
          <w:between w:val="nil"/>
        </w:pBdr>
        <w:spacing w:line="240" w:lineRule="auto"/>
        <w:ind w:left="384" w:hanging="384"/>
      </w:pPr>
      <w:r>
        <w:t xml:space="preserve">6. </w:t>
      </w:r>
      <w:r>
        <w:tab/>
        <w:t xml:space="preserve">K. Hummel, A View from the CT Foxhole: Edward You, FBI Weapons of Mass Destruction Directorate, Biological Countermeasures Unit. </w:t>
      </w:r>
      <w:r>
        <w:rPr>
          <w:i/>
        </w:rPr>
        <w:t>Combat. Terror. Cent. West Point</w:t>
      </w:r>
      <w:r>
        <w:t xml:space="preserve">. </w:t>
      </w:r>
      <w:r>
        <w:rPr>
          <w:b/>
        </w:rPr>
        <w:t>10</w:t>
      </w:r>
      <w:r>
        <w:t>, 9–12 (2017).</w:t>
      </w:r>
    </w:p>
    <w:p w14:paraId="0000005E" w14:textId="77777777" w:rsidR="008B56F5" w:rsidRDefault="00F044C1">
      <w:pPr>
        <w:widowControl w:val="0"/>
        <w:pBdr>
          <w:top w:val="nil"/>
          <w:left w:val="nil"/>
          <w:bottom w:val="nil"/>
          <w:right w:val="nil"/>
          <w:between w:val="nil"/>
        </w:pBdr>
        <w:spacing w:line="240" w:lineRule="auto"/>
        <w:ind w:left="384" w:hanging="384"/>
      </w:pPr>
      <w:r>
        <w:t xml:space="preserve">7. </w:t>
      </w:r>
      <w:r>
        <w:tab/>
        <w:t xml:space="preserve">S. A. W. Evans, W. D. Valdivia, Export Controls and the Tensions Between Academic Freedom and National Security. </w:t>
      </w:r>
      <w:r>
        <w:rPr>
          <w:i/>
        </w:rPr>
        <w:t>Minerva</w:t>
      </w:r>
      <w:r>
        <w:t xml:space="preserve">. </w:t>
      </w:r>
      <w:r>
        <w:rPr>
          <w:b/>
        </w:rPr>
        <w:t>50</w:t>
      </w:r>
      <w:r>
        <w:t>, 169–190 (2012).</w:t>
      </w:r>
    </w:p>
    <w:p w14:paraId="0000005F" w14:textId="77777777" w:rsidR="008B56F5" w:rsidRDefault="00F044C1">
      <w:pPr>
        <w:widowControl w:val="0"/>
        <w:pBdr>
          <w:top w:val="nil"/>
          <w:left w:val="nil"/>
          <w:bottom w:val="nil"/>
          <w:right w:val="nil"/>
          <w:between w:val="nil"/>
        </w:pBdr>
        <w:spacing w:line="240" w:lineRule="auto"/>
        <w:ind w:left="384" w:hanging="384"/>
      </w:pPr>
      <w:r>
        <w:t xml:space="preserve">8. </w:t>
      </w:r>
      <w:r>
        <w:tab/>
        <w:t xml:space="preserve">F. </w:t>
      </w:r>
      <w:proofErr w:type="spellStart"/>
      <w:r>
        <w:t>Daviter</w:t>
      </w:r>
      <w:proofErr w:type="spellEnd"/>
      <w:r>
        <w:t xml:space="preserve">, in </w:t>
      </w:r>
      <w:r>
        <w:rPr>
          <w:i/>
        </w:rPr>
        <w:t>Learning in Public Policy: Analysis, Modes and Outcomes</w:t>
      </w:r>
      <w:r>
        <w:t xml:space="preserve">, C. A. Dunlop, C. M. </w:t>
      </w:r>
      <w:proofErr w:type="spellStart"/>
      <w:r>
        <w:t>Radaelli</w:t>
      </w:r>
      <w:proofErr w:type="spellEnd"/>
      <w:r>
        <w:t xml:space="preserve">, P. </w:t>
      </w:r>
      <w:proofErr w:type="spellStart"/>
      <w:r>
        <w:t>Trein</w:t>
      </w:r>
      <w:proofErr w:type="spellEnd"/>
      <w:r>
        <w:t xml:space="preserve">, Eds. (Springer International Publishing, Cham, 2018; https://doi.org/10.1007/978-3-319-76210-4_7), </w:t>
      </w:r>
      <w:r>
        <w:rPr>
          <w:i/>
        </w:rPr>
        <w:t>International Series on Public Policy</w:t>
      </w:r>
      <w:r>
        <w:t>, pp. 145–165.</w:t>
      </w:r>
    </w:p>
    <w:p w14:paraId="00000060" w14:textId="77777777" w:rsidR="008B56F5" w:rsidRDefault="00F044C1">
      <w:pPr>
        <w:widowControl w:val="0"/>
        <w:pBdr>
          <w:top w:val="nil"/>
          <w:left w:val="nil"/>
          <w:bottom w:val="nil"/>
          <w:right w:val="nil"/>
          <w:between w:val="nil"/>
        </w:pBdr>
        <w:spacing w:line="240" w:lineRule="auto"/>
        <w:ind w:left="384" w:hanging="384"/>
      </w:pPr>
      <w:r>
        <w:t xml:space="preserve">9. </w:t>
      </w:r>
      <w:r>
        <w:tab/>
        <w:t xml:space="preserve">E. M. Davidson, R. </w:t>
      </w:r>
      <w:proofErr w:type="spellStart"/>
      <w:r>
        <w:t>Frothingham</w:t>
      </w:r>
      <w:proofErr w:type="spellEnd"/>
      <w:r>
        <w:t xml:space="preserve">, R. Cook-Deegan, Practical Experiences in Dual-Use Review. </w:t>
      </w:r>
      <w:r>
        <w:rPr>
          <w:i/>
        </w:rPr>
        <w:t>Science</w:t>
      </w:r>
      <w:r>
        <w:t xml:space="preserve">. </w:t>
      </w:r>
      <w:r>
        <w:rPr>
          <w:b/>
        </w:rPr>
        <w:t>316</w:t>
      </w:r>
      <w:r>
        <w:t>, 1432–1433 (2007).</w:t>
      </w:r>
    </w:p>
    <w:p w14:paraId="00000061" w14:textId="77777777" w:rsidR="008B56F5" w:rsidRDefault="00F044C1">
      <w:pPr>
        <w:widowControl w:val="0"/>
        <w:pBdr>
          <w:top w:val="nil"/>
          <w:left w:val="nil"/>
          <w:bottom w:val="nil"/>
          <w:right w:val="nil"/>
          <w:between w:val="nil"/>
        </w:pBdr>
        <w:spacing w:line="240" w:lineRule="auto"/>
        <w:ind w:left="384" w:hanging="384"/>
      </w:pPr>
      <w:r>
        <w:t xml:space="preserve">10. </w:t>
      </w:r>
      <w:r>
        <w:tab/>
        <w:t>ABSA Distance Learning Committee, (2018; https://absa.org/event/ual-use-research-of-concern-durc-roundtable-discussion/).</w:t>
      </w:r>
    </w:p>
    <w:p w14:paraId="00000062" w14:textId="77777777" w:rsidR="008B56F5" w:rsidRDefault="00F044C1">
      <w:pPr>
        <w:widowControl w:val="0"/>
        <w:pBdr>
          <w:top w:val="nil"/>
          <w:left w:val="nil"/>
          <w:bottom w:val="nil"/>
          <w:right w:val="nil"/>
          <w:between w:val="nil"/>
        </w:pBdr>
        <w:spacing w:line="240" w:lineRule="auto"/>
        <w:ind w:left="384" w:hanging="384"/>
      </w:pPr>
      <w:r>
        <w:t xml:space="preserve">11. </w:t>
      </w:r>
      <w:r>
        <w:tab/>
        <w:t xml:space="preserve">A. S. Balmer, J. Calvert, C. Marris, S. Molyneux-Hodgson, E. </w:t>
      </w:r>
      <w:proofErr w:type="spellStart"/>
      <w:r>
        <w:t>Frow</w:t>
      </w:r>
      <w:proofErr w:type="spellEnd"/>
      <w:r>
        <w:t xml:space="preserve">, M. </w:t>
      </w:r>
      <w:proofErr w:type="spellStart"/>
      <w:r>
        <w:t>Kearnes</w:t>
      </w:r>
      <w:proofErr w:type="spellEnd"/>
      <w:r>
        <w:t xml:space="preserve">, K. </w:t>
      </w:r>
      <w:proofErr w:type="spellStart"/>
      <w:r>
        <w:t>Bulpin</w:t>
      </w:r>
      <w:proofErr w:type="spellEnd"/>
      <w:r>
        <w:t xml:space="preserve">, P. </w:t>
      </w:r>
      <w:proofErr w:type="spellStart"/>
      <w:r>
        <w:t>Schyfter</w:t>
      </w:r>
      <w:proofErr w:type="spellEnd"/>
      <w:r>
        <w:t xml:space="preserve">, A. </w:t>
      </w:r>
      <w:proofErr w:type="spellStart"/>
      <w:r>
        <w:t>MacKenzie</w:t>
      </w:r>
      <w:proofErr w:type="spellEnd"/>
      <w:r>
        <w:t xml:space="preserve">, P. Martin, </w:t>
      </w:r>
      <w:proofErr w:type="gramStart"/>
      <w:r>
        <w:t>Taking</w:t>
      </w:r>
      <w:proofErr w:type="gramEnd"/>
      <w:r>
        <w:t xml:space="preserve"> roles in interdisciplinary collaborations: Reflections on working in post-ELSI spaces in the UK synthetic biology community. </w:t>
      </w:r>
      <w:r>
        <w:rPr>
          <w:i/>
        </w:rPr>
        <w:t xml:space="preserve">Sci. Technol. Stud. </w:t>
      </w:r>
      <w:r>
        <w:rPr>
          <w:b/>
        </w:rPr>
        <w:t>28</w:t>
      </w:r>
      <w:r>
        <w:t>, 3–25 (2015).</w:t>
      </w:r>
    </w:p>
    <w:p w14:paraId="00000063" w14:textId="77777777" w:rsidR="008B56F5" w:rsidRDefault="00F044C1">
      <w:pPr>
        <w:widowControl w:val="0"/>
        <w:pBdr>
          <w:top w:val="nil"/>
          <w:left w:val="nil"/>
          <w:bottom w:val="nil"/>
          <w:right w:val="nil"/>
          <w:between w:val="nil"/>
        </w:pBdr>
        <w:spacing w:line="240" w:lineRule="auto"/>
        <w:ind w:left="384" w:hanging="384"/>
      </w:pPr>
      <w:r>
        <w:t xml:space="preserve">12. </w:t>
      </w:r>
      <w:r>
        <w:tab/>
        <w:t xml:space="preserve">NASEM (National Academies of Sciences, Engineering, and Medicine), </w:t>
      </w:r>
      <w:r>
        <w:rPr>
          <w:i/>
        </w:rPr>
        <w:t>Dual Use Research of Concern in the Life Sciences: Current Issues and Controversies</w:t>
      </w:r>
      <w:r>
        <w:t xml:space="preserve"> (2017; https://www.nap.edu/catalog/24761/dual-use-research-of-concern-in-the-life-sciences-current).</w:t>
      </w:r>
    </w:p>
    <w:p w14:paraId="00000064" w14:textId="77777777" w:rsidR="008B56F5" w:rsidRDefault="00F044C1">
      <w:pPr>
        <w:widowControl w:val="0"/>
        <w:pBdr>
          <w:top w:val="nil"/>
          <w:left w:val="nil"/>
          <w:bottom w:val="nil"/>
          <w:right w:val="nil"/>
          <w:between w:val="nil"/>
        </w:pBdr>
        <w:spacing w:line="240" w:lineRule="auto"/>
        <w:ind w:left="384" w:hanging="384"/>
      </w:pPr>
      <w:r>
        <w:t xml:space="preserve">13. </w:t>
      </w:r>
      <w:r>
        <w:tab/>
        <w:t xml:space="preserve">NASEM (National Academies of Sciences, Engineering, and Medicine), </w:t>
      </w:r>
      <w:r>
        <w:rPr>
          <w:i/>
        </w:rPr>
        <w:t>Governance of Dual Use Research in the Life Sciences: Advancing Global Consensus on Research Oversight: Proceedings of a Workshop</w:t>
      </w:r>
      <w:r>
        <w:t xml:space="preserve"> (2018; https://www.nap.edu/catalog/25154/governance-of-dual-use-research-in-the-life-sciences-advancing).</w:t>
      </w:r>
    </w:p>
    <w:sectPr w:rsidR="008B56F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E50AFC"/>
    <w:multiLevelType w:val="multilevel"/>
    <w:tmpl w:val="2354A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F9D7D31"/>
    <w:multiLevelType w:val="multilevel"/>
    <w:tmpl w:val="37400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6F5"/>
    <w:rsid w:val="008B56F5"/>
    <w:rsid w:val="00DA74F6"/>
    <w:rsid w:val="00F04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E6449"/>
  <w15:docId w15:val="{515DFDA5-A466-574C-B2F9-7BDA078D5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ciencemag.org/authors/science-information-autho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3143</Words>
  <Characters>17916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Murtagh, John P</dc:creator>
  <cp:lastModifiedBy>Murtagh, John P</cp:lastModifiedBy>
  <cp:revision>2</cp:revision>
  <dcterms:created xsi:type="dcterms:W3CDTF">2020-05-15T15:35:00Z</dcterms:created>
  <dcterms:modified xsi:type="dcterms:W3CDTF">2020-05-15T15:35:00Z</dcterms:modified>
</cp:coreProperties>
</file>