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35734B" w14:textId="77777777" w:rsidR="0001335C" w:rsidRDefault="0001335C"/>
    <w:p w14:paraId="2094EF2C" w14:textId="77777777" w:rsidR="00C64194" w:rsidRDefault="00F06B09" w:rsidP="00275339">
      <w:pPr>
        <w:rPr>
          <w:b/>
        </w:rPr>
      </w:pPr>
      <w:r>
        <w:rPr>
          <w:b/>
        </w:rPr>
        <w:t>H</w:t>
      </w:r>
      <w:r w:rsidR="00AB4D6B">
        <w:rPr>
          <w:b/>
        </w:rPr>
        <w:t>ealth</w:t>
      </w:r>
      <w:r>
        <w:rPr>
          <w:b/>
        </w:rPr>
        <w:t>care</w:t>
      </w:r>
      <w:r w:rsidR="00AB4D6B">
        <w:rPr>
          <w:b/>
        </w:rPr>
        <w:t xml:space="preserve"> </w:t>
      </w:r>
      <w:r w:rsidR="005C40FA" w:rsidRPr="005C40FA">
        <w:rPr>
          <w:b/>
        </w:rPr>
        <w:t>outcomes</w:t>
      </w:r>
      <w:r w:rsidR="005C40FA">
        <w:rPr>
          <w:b/>
        </w:rPr>
        <w:t xml:space="preserve"> and </w:t>
      </w:r>
      <w:r w:rsidR="005C40FA" w:rsidRPr="005C40FA">
        <w:rPr>
          <w:b/>
        </w:rPr>
        <w:t>quality</w:t>
      </w:r>
      <w:r w:rsidR="00AB4D6B">
        <w:rPr>
          <w:b/>
        </w:rPr>
        <w:t xml:space="preserve"> </w:t>
      </w:r>
      <w:r>
        <w:rPr>
          <w:b/>
        </w:rPr>
        <w:t>in the NHS: how do we compare</w:t>
      </w:r>
      <w:r w:rsidR="005C40FA" w:rsidRPr="005C40FA">
        <w:rPr>
          <w:b/>
        </w:rPr>
        <w:t>, and how might the NHS improve?</w:t>
      </w:r>
      <w:r w:rsidR="005C40FA">
        <w:rPr>
          <w:b/>
        </w:rPr>
        <w:t xml:space="preserve"> </w:t>
      </w:r>
    </w:p>
    <w:p w14:paraId="0CA8262E" w14:textId="77777777" w:rsidR="005C40FA" w:rsidRDefault="005C40FA" w:rsidP="00275339"/>
    <w:p w14:paraId="29CD7938" w14:textId="77777777" w:rsidR="001B7738" w:rsidRDefault="00C64194" w:rsidP="00275339">
      <w:r>
        <w:t>Author</w:t>
      </w:r>
      <w:r w:rsidR="005C40FA">
        <w:t>s</w:t>
      </w:r>
      <w:r>
        <w:t xml:space="preserve">: </w:t>
      </w:r>
      <w:r w:rsidR="001B7738">
        <w:t>Azeem Majeed</w:t>
      </w:r>
      <w:r w:rsidR="001F7417">
        <w:t xml:space="preserve">, Dominique Allwood, </w:t>
      </w:r>
      <w:r w:rsidR="00734AED">
        <w:t>Kim Foley</w:t>
      </w:r>
      <w:r w:rsidR="001F7417">
        <w:t>, Andrew Bindman</w:t>
      </w:r>
    </w:p>
    <w:p w14:paraId="4AB03043" w14:textId="77777777" w:rsidR="00E72EE2" w:rsidRDefault="00E72EE2" w:rsidP="00275339">
      <w:pPr>
        <w:rPr>
          <w:b/>
        </w:rPr>
      </w:pPr>
    </w:p>
    <w:p w14:paraId="643848CA" w14:textId="77777777" w:rsidR="006C64C3" w:rsidRPr="00E72EE2" w:rsidRDefault="006C64C3" w:rsidP="00275339">
      <w:pPr>
        <w:rPr>
          <w:b/>
          <w:i/>
        </w:rPr>
      </w:pPr>
      <w:r w:rsidRPr="00E72EE2">
        <w:rPr>
          <w:b/>
          <w:i/>
        </w:rPr>
        <w:t>Department of Primary Care &amp; Public Health, Imperial College London, London</w:t>
      </w:r>
      <w:r w:rsidR="008F4DED" w:rsidRPr="00E72EE2">
        <w:rPr>
          <w:b/>
          <w:i/>
        </w:rPr>
        <w:t xml:space="preserve"> W6 8RP</w:t>
      </w:r>
      <w:r w:rsidRPr="00E72EE2">
        <w:rPr>
          <w:b/>
          <w:i/>
        </w:rPr>
        <w:t xml:space="preserve"> </w:t>
      </w:r>
    </w:p>
    <w:p w14:paraId="5E4D4E0A" w14:textId="77777777" w:rsidR="0074407C" w:rsidRDefault="001B7738" w:rsidP="00275339">
      <w:r>
        <w:t>Azeem Majeed, Professor of Primary Care</w:t>
      </w:r>
    </w:p>
    <w:p w14:paraId="56B7BB9C" w14:textId="77777777" w:rsidR="000905C3" w:rsidRDefault="00734AED" w:rsidP="00275339">
      <w:r>
        <w:t>Kim Foley</w:t>
      </w:r>
      <w:r w:rsidR="001F7417">
        <w:t>, NHS Patient</w:t>
      </w:r>
    </w:p>
    <w:p w14:paraId="61A531AD" w14:textId="77777777" w:rsidR="001F7417" w:rsidRDefault="001F7417" w:rsidP="00275339"/>
    <w:p w14:paraId="196FAA2B" w14:textId="77777777" w:rsidR="001F7417" w:rsidRPr="00727D57" w:rsidRDefault="006F0EF8" w:rsidP="00275339">
      <w:pPr>
        <w:rPr>
          <w:b/>
          <w:i/>
        </w:rPr>
      </w:pPr>
      <w:r w:rsidRPr="00727D57">
        <w:rPr>
          <w:b/>
          <w:i/>
        </w:rPr>
        <w:t xml:space="preserve">The </w:t>
      </w:r>
      <w:r w:rsidR="001F7417" w:rsidRPr="00727D57">
        <w:rPr>
          <w:b/>
          <w:i/>
        </w:rPr>
        <w:t>Health Foundation</w:t>
      </w:r>
      <w:r w:rsidRPr="00727D57">
        <w:rPr>
          <w:b/>
          <w:i/>
        </w:rPr>
        <w:t>, 90 Long Acre, London WC2E 9RA</w:t>
      </w:r>
    </w:p>
    <w:p w14:paraId="6BDFF1CF" w14:textId="77777777" w:rsidR="001F7417" w:rsidRDefault="001F7417" w:rsidP="00275339">
      <w:r>
        <w:t>Dominique Allwood</w:t>
      </w:r>
      <w:r w:rsidR="006F0EF8">
        <w:t xml:space="preserve">, </w:t>
      </w:r>
      <w:r w:rsidR="006F0EF8" w:rsidRPr="006F0EF8">
        <w:t>Assistant Director of Improvement</w:t>
      </w:r>
    </w:p>
    <w:p w14:paraId="094C8944" w14:textId="77777777" w:rsidR="001F7417" w:rsidRDefault="001F7417" w:rsidP="00275339"/>
    <w:p w14:paraId="583A9AF1" w14:textId="77777777" w:rsidR="001F7417" w:rsidRPr="00727D57" w:rsidRDefault="001F7417" w:rsidP="006F0EF8">
      <w:pPr>
        <w:rPr>
          <w:b/>
          <w:i/>
        </w:rPr>
      </w:pPr>
      <w:r w:rsidRPr="00727D57">
        <w:rPr>
          <w:b/>
          <w:i/>
        </w:rPr>
        <w:t>UCSF</w:t>
      </w:r>
      <w:r w:rsidR="006F0EF8" w:rsidRPr="00727D57">
        <w:rPr>
          <w:b/>
          <w:i/>
        </w:rPr>
        <w:t xml:space="preserve"> School of Medicine, </w:t>
      </w:r>
      <w:r w:rsidR="00F6228A">
        <w:rPr>
          <w:b/>
          <w:i/>
        </w:rPr>
        <w:t>3333 California Street</w:t>
      </w:r>
      <w:r w:rsidR="006F0EF8" w:rsidRPr="00727D57">
        <w:rPr>
          <w:b/>
          <w:i/>
        </w:rPr>
        <w:t>, San Francisco CA 9411</w:t>
      </w:r>
      <w:r w:rsidR="00F6228A">
        <w:rPr>
          <w:b/>
          <w:i/>
        </w:rPr>
        <w:t>8</w:t>
      </w:r>
      <w:r w:rsidR="006F0EF8" w:rsidRPr="00727D57">
        <w:rPr>
          <w:b/>
          <w:i/>
        </w:rPr>
        <w:t>, USA</w:t>
      </w:r>
    </w:p>
    <w:p w14:paraId="5B56F3F4" w14:textId="77777777" w:rsidR="001F7417" w:rsidRDefault="001F7417" w:rsidP="00275339">
      <w:r>
        <w:t xml:space="preserve">Andrew </w:t>
      </w:r>
      <w:r w:rsidR="00F6228A">
        <w:t xml:space="preserve">B. </w:t>
      </w:r>
      <w:r>
        <w:t>Bindman</w:t>
      </w:r>
      <w:r w:rsidR="006F0EF8">
        <w:t xml:space="preserve">, </w:t>
      </w:r>
      <w:r w:rsidR="006F0EF8" w:rsidRPr="006F0EF8">
        <w:t xml:space="preserve">Professor of Medicine, Health Policy, </w:t>
      </w:r>
      <w:r w:rsidR="00F6228A">
        <w:t xml:space="preserve">and </w:t>
      </w:r>
      <w:r w:rsidR="006F0EF8" w:rsidRPr="006F0EF8">
        <w:t xml:space="preserve">Epidemiology </w:t>
      </w:r>
      <w:r w:rsidR="00F6228A">
        <w:t>&amp;</w:t>
      </w:r>
      <w:r w:rsidR="00F6228A" w:rsidRPr="006F0EF8">
        <w:t xml:space="preserve"> </w:t>
      </w:r>
      <w:r w:rsidR="006F0EF8" w:rsidRPr="006F0EF8">
        <w:t>Biostatistics</w:t>
      </w:r>
    </w:p>
    <w:p w14:paraId="31D9C0C4" w14:textId="77777777" w:rsidR="001F7417" w:rsidRDefault="001F7417" w:rsidP="00275339"/>
    <w:p w14:paraId="09C4F2FA" w14:textId="77777777" w:rsidR="006C64C3" w:rsidRPr="006206AB" w:rsidRDefault="006C64C3" w:rsidP="00275339">
      <w:pPr>
        <w:rPr>
          <w:b/>
        </w:rPr>
      </w:pPr>
      <w:r w:rsidRPr="006206AB">
        <w:rPr>
          <w:b/>
        </w:rPr>
        <w:t>Correspondence t</w:t>
      </w:r>
      <w:r w:rsidR="006206AB" w:rsidRPr="006206AB">
        <w:rPr>
          <w:b/>
        </w:rPr>
        <w:t>o</w:t>
      </w:r>
      <w:r w:rsidRPr="006206AB">
        <w:rPr>
          <w:b/>
        </w:rPr>
        <w:t>:</w:t>
      </w:r>
    </w:p>
    <w:p w14:paraId="63AA1724" w14:textId="77777777" w:rsidR="006C64C3" w:rsidRDefault="006C64C3" w:rsidP="006C64C3">
      <w:r>
        <w:t>Professor Azeem Majeed, Department of Primary Care &amp; Public Health, Imperial College London, London W6 8RP</w:t>
      </w:r>
      <w:r w:rsidR="00CC1B21">
        <w:t>,</w:t>
      </w:r>
      <w:r>
        <w:t xml:space="preserve"> UK</w:t>
      </w:r>
    </w:p>
    <w:p w14:paraId="0F46B45F" w14:textId="77777777" w:rsidR="006C64C3" w:rsidRDefault="006C64C3" w:rsidP="006C64C3">
      <w:r>
        <w:t xml:space="preserve">Tel: 00 44 (0) 207 594 </w:t>
      </w:r>
      <w:r w:rsidR="008327DC">
        <w:t>3368</w:t>
      </w:r>
    </w:p>
    <w:p w14:paraId="26825065" w14:textId="77777777" w:rsidR="006C64C3" w:rsidRDefault="006C64C3" w:rsidP="006C64C3">
      <w:r>
        <w:t xml:space="preserve">Email: </w:t>
      </w:r>
      <w:hyperlink r:id="rId8" w:history="1">
        <w:r w:rsidR="00E41F9D" w:rsidRPr="008C0D1A">
          <w:rPr>
            <w:rStyle w:val="Hyperlink"/>
          </w:rPr>
          <w:t>a.majeed@imperial.ac.uk</w:t>
        </w:r>
      </w:hyperlink>
      <w:r w:rsidR="00E41F9D">
        <w:t xml:space="preserve"> </w:t>
      </w:r>
    </w:p>
    <w:p w14:paraId="7052E8C9" w14:textId="77777777" w:rsidR="006C64C3" w:rsidRDefault="00746B56" w:rsidP="00275339">
      <w:r>
        <w:t xml:space="preserve">Twitter: </w:t>
      </w:r>
      <w:r w:rsidRPr="00746B56">
        <w:t>@Azeem_Majeed</w:t>
      </w:r>
      <w:r>
        <w:t xml:space="preserve"> </w:t>
      </w:r>
    </w:p>
    <w:p w14:paraId="37B96CC4" w14:textId="5E7CC266" w:rsidR="0074407C" w:rsidRDefault="009E51EA">
      <w:r>
        <w:t xml:space="preserve">Word count: </w:t>
      </w:r>
      <w:r w:rsidR="00D23B90">
        <w:t xml:space="preserve"> </w:t>
      </w:r>
      <w:r w:rsidR="006B561A">
        <w:t>19</w:t>
      </w:r>
      <w:r w:rsidR="008048DB">
        <w:t>83</w:t>
      </w:r>
      <w:bookmarkStart w:id="0" w:name="_GoBack"/>
      <w:bookmarkEnd w:id="0"/>
      <w:r w:rsidR="000373D0">
        <w:t xml:space="preserve"> </w:t>
      </w:r>
      <w:r>
        <w:t>words</w:t>
      </w:r>
    </w:p>
    <w:p w14:paraId="5F8E7DE2" w14:textId="77777777" w:rsidR="006206AB" w:rsidRDefault="006206AB"/>
    <w:p w14:paraId="78802968" w14:textId="77777777" w:rsidR="0074407C" w:rsidRDefault="0074407C"/>
    <w:p w14:paraId="67C1609B" w14:textId="54E948C0" w:rsidR="00AB4D6B" w:rsidRDefault="0074407C" w:rsidP="005C40FA">
      <w:r>
        <w:rPr>
          <w:b/>
        </w:rPr>
        <w:br w:type="page"/>
      </w:r>
      <w:r w:rsidR="00AB4D6B">
        <w:lastRenderedPageBreak/>
        <w:t>The World Health Organization defines</w:t>
      </w:r>
      <w:r w:rsidR="006F5FF5">
        <w:t xml:space="preserve"> </w:t>
      </w:r>
      <w:r w:rsidR="00AB4D6B">
        <w:t>quality of healthcare as “the</w:t>
      </w:r>
      <w:r w:rsidR="00AB4D6B" w:rsidRPr="00AB4D6B">
        <w:t xml:space="preserve"> extent to which health care services provided to individuals and patient populations improve desired health outcomes</w:t>
      </w:r>
      <w:r w:rsidR="00AB4D6B">
        <w:t>”.[</w:t>
      </w:r>
      <w:r w:rsidR="00916D50">
        <w:t>1</w:t>
      </w:r>
      <w:r w:rsidR="00AB4D6B">
        <w:t xml:space="preserve">] In this article, we review selected aspects of the quality of care and health outcomes achieved by the </w:t>
      </w:r>
      <w:r w:rsidR="00CB0B1B">
        <w:t>National Health Service (</w:t>
      </w:r>
      <w:r w:rsidR="00AB4D6B">
        <w:t>NHS</w:t>
      </w:r>
      <w:r w:rsidR="00CB0B1B">
        <w:t>)</w:t>
      </w:r>
      <w:r w:rsidR="00AB4D6B">
        <w:t xml:space="preserve">. </w:t>
      </w:r>
      <w:r w:rsidR="00372BDF">
        <w:t>W</w:t>
      </w:r>
      <w:r w:rsidR="00AB4D6B">
        <w:t xml:space="preserve">e have focused on a few key areas that are important to patients, policy-makers, and clinicians; such as child health, cancer survival and the management of long-term conditions. </w:t>
      </w:r>
      <w:r w:rsidR="003A2095">
        <w:t>These are also areas where there is comparative international data.</w:t>
      </w:r>
    </w:p>
    <w:p w14:paraId="00A414D2" w14:textId="77777777" w:rsidR="00363B22" w:rsidRDefault="00AB4D6B" w:rsidP="005C40FA">
      <w:r>
        <w:t>Health outcome</w:t>
      </w:r>
      <w:r w:rsidR="005F62F9">
        <w:t>s</w:t>
      </w:r>
      <w:r>
        <w:t xml:space="preserve"> in the United Kingdom </w:t>
      </w:r>
      <w:r w:rsidR="005F62F9">
        <w:t xml:space="preserve">(UK) </w:t>
      </w:r>
      <w:r>
        <w:t xml:space="preserve">have improved substantially since the NHS was </w:t>
      </w:r>
      <w:r w:rsidR="00013983" w:rsidRPr="00013983">
        <w:t>established in 1948.</w:t>
      </w:r>
      <w:r w:rsidR="00D739C1">
        <w:t>[</w:t>
      </w:r>
      <w:r w:rsidR="00916D50">
        <w:t>2</w:t>
      </w:r>
      <w:r w:rsidR="00D739C1">
        <w:t xml:space="preserve">] </w:t>
      </w:r>
      <w:r>
        <w:t xml:space="preserve">For example, average life expectancy has increased by around 12 years from 68 to 80 years; and infant mortality has fallen nearly 90%, from 34 </w:t>
      </w:r>
      <w:r w:rsidR="009927AA">
        <w:t xml:space="preserve">to </w:t>
      </w:r>
      <w:r w:rsidR="009F385F">
        <w:t>under 4</w:t>
      </w:r>
      <w:r w:rsidR="009927AA">
        <w:t xml:space="preserve"> </w:t>
      </w:r>
      <w:r>
        <w:t>deaths per 1,000</w:t>
      </w:r>
      <w:r w:rsidR="005F62F9">
        <w:t>.[</w:t>
      </w:r>
      <w:r w:rsidR="00916D50">
        <w:t>3</w:t>
      </w:r>
      <w:r w:rsidR="005F62F9">
        <w:t xml:space="preserve">] </w:t>
      </w:r>
      <w:r w:rsidR="00897084">
        <w:t xml:space="preserve">The NHS performs well in </w:t>
      </w:r>
      <w:r w:rsidR="00D739C1">
        <w:t xml:space="preserve">many </w:t>
      </w:r>
      <w:r w:rsidR="00897084">
        <w:t>international comparisons</w:t>
      </w:r>
      <w:r w:rsidR="00CB0B1B">
        <w:t xml:space="preserve"> </w:t>
      </w:r>
      <w:r w:rsidR="00897084">
        <w:t>on measures such as efficiency, equity and access.</w:t>
      </w:r>
      <w:r w:rsidR="00844C29">
        <w:t>[</w:t>
      </w:r>
      <w:r w:rsidR="00916D50">
        <w:t>4</w:t>
      </w:r>
      <w:r w:rsidR="00844C29">
        <w:t>]</w:t>
      </w:r>
      <w:r w:rsidR="00897084">
        <w:t xml:space="preserve"> </w:t>
      </w:r>
      <w:r w:rsidR="00013983">
        <w:t>Despite these achievements, however, problems remain with the health outcomes ach</w:t>
      </w:r>
      <w:r w:rsidR="009B6CD6">
        <w:t xml:space="preserve">ieved by the NHS. </w:t>
      </w:r>
      <w:r w:rsidR="005F62F9">
        <w:t xml:space="preserve">Moreover, </w:t>
      </w:r>
      <w:r w:rsidR="00966D3E">
        <w:t>other European countries have also improved their health outcome</w:t>
      </w:r>
      <w:r w:rsidR="00AB7802">
        <w:t>s</w:t>
      </w:r>
      <w:r w:rsidR="00966D3E">
        <w:t xml:space="preserve"> </w:t>
      </w:r>
      <w:r w:rsidR="00897084">
        <w:t>in recent decades</w:t>
      </w:r>
      <w:r w:rsidR="00966D3E">
        <w:t xml:space="preserve">, </w:t>
      </w:r>
      <w:r w:rsidR="0098655A">
        <w:t xml:space="preserve">often at a faster rate than the UK. </w:t>
      </w:r>
      <w:r w:rsidR="005F62F9">
        <w:t>Consequently, t</w:t>
      </w:r>
      <w:r w:rsidR="00C608B6">
        <w:t xml:space="preserve">he UK now lags behind many other </w:t>
      </w:r>
      <w:r w:rsidR="004740BF">
        <w:t xml:space="preserve">European </w:t>
      </w:r>
      <w:r w:rsidR="00C608B6">
        <w:t xml:space="preserve">countries in </w:t>
      </w:r>
      <w:r w:rsidR="00B47582">
        <w:t xml:space="preserve">key health outcomes in </w:t>
      </w:r>
      <w:r w:rsidR="00C608B6">
        <w:t>areas such as child health</w:t>
      </w:r>
      <w:r w:rsidR="002E24C6">
        <w:t xml:space="preserve"> and </w:t>
      </w:r>
      <w:r w:rsidR="00C608B6">
        <w:t>cancer survival.</w:t>
      </w:r>
    </w:p>
    <w:p w14:paraId="31BF6F17" w14:textId="77777777" w:rsidR="00897084" w:rsidRDefault="00897084" w:rsidP="005C40FA"/>
    <w:p w14:paraId="1815A50B" w14:textId="77777777" w:rsidR="00A41BA7" w:rsidRPr="00A41BA7" w:rsidRDefault="00A41BA7" w:rsidP="005C40FA">
      <w:pPr>
        <w:rPr>
          <w:b/>
        </w:rPr>
      </w:pPr>
      <w:r w:rsidRPr="00A41BA7">
        <w:rPr>
          <w:b/>
        </w:rPr>
        <w:t xml:space="preserve">How </w:t>
      </w:r>
      <w:r>
        <w:rPr>
          <w:b/>
        </w:rPr>
        <w:t xml:space="preserve">does </w:t>
      </w:r>
      <w:r w:rsidRPr="00A41BA7">
        <w:rPr>
          <w:b/>
        </w:rPr>
        <w:t xml:space="preserve">the NHS compares with other </w:t>
      </w:r>
      <w:r w:rsidR="00DC2139">
        <w:rPr>
          <w:b/>
        </w:rPr>
        <w:t>countries</w:t>
      </w:r>
      <w:r>
        <w:rPr>
          <w:b/>
        </w:rPr>
        <w:t>?</w:t>
      </w:r>
    </w:p>
    <w:p w14:paraId="11695441" w14:textId="77777777" w:rsidR="00982A61" w:rsidRPr="00982A61" w:rsidRDefault="00982A61" w:rsidP="00982A61">
      <w:pPr>
        <w:rPr>
          <w:b/>
          <w:i/>
        </w:rPr>
      </w:pPr>
      <w:r w:rsidRPr="00982A61">
        <w:rPr>
          <w:b/>
          <w:i/>
        </w:rPr>
        <w:t>Life expectancy</w:t>
      </w:r>
    </w:p>
    <w:p w14:paraId="10D1F4C1" w14:textId="288002CC" w:rsidR="00982A61" w:rsidRDefault="00982A61" w:rsidP="00982A61">
      <w:r>
        <w:t>One important measure of population health is the average life expectancy in a country</w:t>
      </w:r>
      <w:r w:rsidR="009F385F">
        <w:t>, which</w:t>
      </w:r>
      <w:r>
        <w:t xml:space="preserve"> is less prone to bias than some other measures. For men, </w:t>
      </w:r>
      <w:r w:rsidR="009F385F">
        <w:t xml:space="preserve">current </w:t>
      </w:r>
      <w:r>
        <w:t>average life expectancy in the UK (79.2 years) is around the average for countries in the Organisation for Economic Cooperation and Development (OECD). For women, the average life expectancy – although higher than for men – is below the average for the OECD (82.8 for the UK versus 83.9 for the OECD).[</w:t>
      </w:r>
      <w:r w:rsidR="00424870">
        <w:t>5</w:t>
      </w:r>
      <w:r>
        <w:t xml:space="preserve">] </w:t>
      </w:r>
    </w:p>
    <w:p w14:paraId="61A7559C" w14:textId="77777777" w:rsidR="00720C7B" w:rsidRPr="00720C7B" w:rsidRDefault="00720C7B" w:rsidP="005C40FA"/>
    <w:p w14:paraId="6B8C1A6C" w14:textId="77777777" w:rsidR="00966D3E" w:rsidRPr="00A41BA7" w:rsidRDefault="00966D3E" w:rsidP="005C40FA">
      <w:pPr>
        <w:rPr>
          <w:b/>
          <w:i/>
        </w:rPr>
      </w:pPr>
      <w:r w:rsidRPr="00A41BA7">
        <w:rPr>
          <w:b/>
          <w:i/>
        </w:rPr>
        <w:t>Child health</w:t>
      </w:r>
    </w:p>
    <w:p w14:paraId="78DE942C" w14:textId="60E063D3" w:rsidR="00D739C1" w:rsidRDefault="00372BDF" w:rsidP="0010100E">
      <w:r>
        <w:t>I</w:t>
      </w:r>
      <w:r w:rsidR="004740BF">
        <w:t xml:space="preserve">mprovements in child mortality in the UK have lagged behind those seen in </w:t>
      </w:r>
      <w:r w:rsidR="005F62F9">
        <w:t xml:space="preserve">many </w:t>
      </w:r>
      <w:r w:rsidR="004740BF">
        <w:t xml:space="preserve">other European countries. </w:t>
      </w:r>
      <w:r w:rsidR="00B47582">
        <w:t>For example, t</w:t>
      </w:r>
      <w:r w:rsidR="004740BF">
        <w:t>he average infant mortality in the 28 current members of the European Union (EU28) in 1961 was 36.2 per 1,000, substantially above the level in the UK</w:t>
      </w:r>
      <w:r w:rsidR="00AB7802">
        <w:t xml:space="preserve"> in that year (22.1)</w:t>
      </w:r>
      <w:r w:rsidR="004740BF">
        <w:t xml:space="preserve">; but by 2015, infant mortality in the EU28 had fallen to 3.6 per 1,000, below the level in the UK </w:t>
      </w:r>
      <w:r w:rsidR="00AB7802">
        <w:t xml:space="preserve">(3.9) </w:t>
      </w:r>
      <w:r w:rsidR="004740BF">
        <w:t>in the same year</w:t>
      </w:r>
      <w:r w:rsidR="00727D57">
        <w:t xml:space="preserve"> (Figure 1)</w:t>
      </w:r>
      <w:r w:rsidR="004740BF">
        <w:t>.</w:t>
      </w:r>
      <w:r w:rsidR="00886C6C">
        <w:t xml:space="preserve"> </w:t>
      </w:r>
      <w:r w:rsidR="0005116C">
        <w:t xml:space="preserve">The absolute differences </w:t>
      </w:r>
      <w:r w:rsidR="002E24C6">
        <w:t xml:space="preserve">in childhood mortality are now </w:t>
      </w:r>
      <w:r w:rsidR="0005116C">
        <w:t xml:space="preserve">though </w:t>
      </w:r>
      <w:r w:rsidR="002E24C6">
        <w:t>q</w:t>
      </w:r>
      <w:r w:rsidR="0005116C">
        <w:t>uite small and may be better addressed through social measures – such as addressing poverty – than through health service interventions.</w:t>
      </w:r>
    </w:p>
    <w:p w14:paraId="0DE74E67" w14:textId="1BA57B5D" w:rsidR="00966D3E" w:rsidRDefault="0010100E" w:rsidP="0010100E">
      <w:r>
        <w:t>The UK also lags behind many other EU countries in childhood mortality from potentially preventable causes such as meningococcal disease, pneumonia and asthma. Although death rates in children from these conditions are low, the higher death rates in the UK suggests there may be problems with their recognition and management</w:t>
      </w:r>
      <w:r w:rsidR="00AB7802">
        <w:t xml:space="preserve">, and </w:t>
      </w:r>
      <w:r w:rsidR="007A2DF4">
        <w:t>t</w:t>
      </w:r>
      <w:r w:rsidR="00AB7802">
        <w:t>he way in which health and social support for children is organised in the UK</w:t>
      </w:r>
      <w:r w:rsidR="00CC26B3">
        <w:t xml:space="preserve"> (for example, a lack of integration between primary care and specialist child health services)</w:t>
      </w:r>
      <w:r w:rsidR="00AC79F4">
        <w:t>; as well as adverse effects on child health from austerity in the public sector.</w:t>
      </w:r>
      <w:r w:rsidR="003A2095">
        <w:t>[6]</w:t>
      </w:r>
      <w:r w:rsidR="00A17D1B">
        <w:t xml:space="preserve"> The UK also lags on some of the </w:t>
      </w:r>
      <w:r w:rsidR="00522173">
        <w:t xml:space="preserve">important </w:t>
      </w:r>
      <w:r w:rsidR="00A17D1B">
        <w:t xml:space="preserve">wider </w:t>
      </w:r>
      <w:r w:rsidR="00CC26B3">
        <w:t xml:space="preserve">socially </w:t>
      </w:r>
      <w:r w:rsidR="00A17D1B">
        <w:t>determin</w:t>
      </w:r>
      <w:r w:rsidR="00CC26B3">
        <w:t xml:space="preserve">ed aspects </w:t>
      </w:r>
      <w:r w:rsidR="00A17D1B">
        <w:t xml:space="preserve">of child </w:t>
      </w:r>
      <w:r w:rsidR="00A17D1B">
        <w:lastRenderedPageBreak/>
        <w:t>health. For example, the UK has low breastfeeding rates, and high rates of ch</w:t>
      </w:r>
      <w:r w:rsidR="00916D50">
        <w:t>ildhood overweight and obesity.</w:t>
      </w:r>
      <w:r w:rsidR="00A17D1B">
        <w:t>[</w:t>
      </w:r>
      <w:r w:rsidR="00424870">
        <w:t>7</w:t>
      </w:r>
      <w:r w:rsidR="00A17D1B">
        <w:t>]</w:t>
      </w:r>
    </w:p>
    <w:p w14:paraId="7DB786FA" w14:textId="77777777" w:rsidR="00AC79F4" w:rsidRDefault="00AC79F4" w:rsidP="0010100E"/>
    <w:p w14:paraId="04C2228E" w14:textId="77777777" w:rsidR="0010100E" w:rsidRPr="00A41BA7" w:rsidRDefault="00DF2F48" w:rsidP="00CB0B1B">
      <w:pPr>
        <w:keepNext/>
        <w:rPr>
          <w:b/>
          <w:i/>
        </w:rPr>
      </w:pPr>
      <w:r w:rsidRPr="00A41BA7">
        <w:rPr>
          <w:b/>
          <w:i/>
        </w:rPr>
        <w:t>Management o</w:t>
      </w:r>
      <w:r w:rsidR="00DC2139">
        <w:rPr>
          <w:b/>
          <w:i/>
        </w:rPr>
        <w:t>f</w:t>
      </w:r>
      <w:r w:rsidRPr="00A41BA7">
        <w:rPr>
          <w:b/>
          <w:i/>
        </w:rPr>
        <w:t xml:space="preserve"> long-term conditions</w:t>
      </w:r>
    </w:p>
    <w:p w14:paraId="26B44D45" w14:textId="77777777" w:rsidR="00DF2F48" w:rsidRDefault="00DF2F48" w:rsidP="003F161C">
      <w:r>
        <w:t>The NHS generally performs well on measures of the management of long-term conditions in adults. The UK Quality and Outcomes Framework is the largest primary-care based pay for performance programme in Europe and has helped to improve prescribing in key areas, such as diabetes and coronary heart disease.</w:t>
      </w:r>
      <w:r w:rsidR="00D739C1">
        <w:t>[</w:t>
      </w:r>
      <w:r w:rsidR="00424870">
        <w:t>8</w:t>
      </w:r>
      <w:r w:rsidR="00D739C1">
        <w:t>]</w:t>
      </w:r>
      <w:r>
        <w:t xml:space="preserve"> For example, the UK has the highest per capita use of statins in Europe</w:t>
      </w:r>
      <w:r w:rsidR="004E53BC">
        <w:t>, a key drug in the primary and secondary prevention of cardiovascular disease</w:t>
      </w:r>
      <w:r>
        <w:t>. The UK also has amongst the lowest amputation rates of the distal leg in Europe (Table</w:t>
      </w:r>
      <w:r w:rsidR="00727D57">
        <w:t xml:space="preserve"> 1</w:t>
      </w:r>
      <w:r>
        <w:t xml:space="preserve">). </w:t>
      </w:r>
      <w:r w:rsidR="00FC515B">
        <w:t xml:space="preserve">A 2014 study comparing 30 European countries ranked the UK fourth for </w:t>
      </w:r>
      <w:r w:rsidR="004E53BC">
        <w:t xml:space="preserve">the </w:t>
      </w:r>
      <w:r w:rsidR="00FC515B">
        <w:t>quality of diabetes care</w:t>
      </w:r>
      <w:r w:rsidR="004E53BC">
        <w:t>,</w:t>
      </w:r>
      <w:r w:rsidR="00FC515B">
        <w:t xml:space="preserve"> behind only Sweden, the Netherlands and Denmark.</w:t>
      </w:r>
      <w:r w:rsidR="00BA61F8">
        <w:t>[</w:t>
      </w:r>
      <w:r w:rsidR="00424870">
        <w:t>9</w:t>
      </w:r>
      <w:r w:rsidR="00BA61F8">
        <w:t>]</w:t>
      </w:r>
      <w:r w:rsidR="00FC515B">
        <w:t xml:space="preserve"> </w:t>
      </w:r>
    </w:p>
    <w:p w14:paraId="6E0525EF" w14:textId="77777777" w:rsidR="00897084" w:rsidRDefault="00897084" w:rsidP="005C40FA"/>
    <w:p w14:paraId="568D21CE" w14:textId="77777777" w:rsidR="00966D3E" w:rsidRPr="00A41BA7" w:rsidRDefault="00966D3E" w:rsidP="005C40FA">
      <w:pPr>
        <w:rPr>
          <w:b/>
          <w:i/>
        </w:rPr>
      </w:pPr>
      <w:r w:rsidRPr="00A41BA7">
        <w:rPr>
          <w:b/>
          <w:i/>
        </w:rPr>
        <w:t>Cancer survival</w:t>
      </w:r>
    </w:p>
    <w:p w14:paraId="7F56CFE5" w14:textId="2BB34E0F" w:rsidR="00966D3E" w:rsidRDefault="00671B20" w:rsidP="005C40FA">
      <w:r>
        <w:t xml:space="preserve">The UK has long lagged behind comparator countries in cancer survival and this difference has persisted in recent years, despite the introduction of the ‘2-week rule’ whereby patients with suspected cancer are seen by a specialist within 14 days of their referral by a general practitioner. </w:t>
      </w:r>
      <w:r w:rsidR="00E55B70">
        <w:t xml:space="preserve">For example, </w:t>
      </w:r>
      <w:r w:rsidR="003A22B4">
        <w:t xml:space="preserve">in the CONCORD study, 5-year cancer survival </w:t>
      </w:r>
      <w:r w:rsidR="00CC2375">
        <w:t xml:space="preserve">in the UK </w:t>
      </w:r>
      <w:r w:rsidR="003A22B4">
        <w:t xml:space="preserve">was below that of </w:t>
      </w:r>
      <w:r w:rsidR="00AB7802">
        <w:t xml:space="preserve">many </w:t>
      </w:r>
      <w:r w:rsidR="003A22B4">
        <w:t>other European countries (</w:t>
      </w:r>
      <w:r w:rsidR="00EC37E9">
        <w:t xml:space="preserve">Colon Cancer 5 year survival as example, </w:t>
      </w:r>
      <w:r w:rsidR="003A22B4">
        <w:t>Table</w:t>
      </w:r>
      <w:r w:rsidR="00727D57">
        <w:t xml:space="preserve"> 2</w:t>
      </w:r>
      <w:r w:rsidR="003A22B4">
        <w:t>).</w:t>
      </w:r>
      <w:r w:rsidR="006A0071">
        <w:t>[</w:t>
      </w:r>
      <w:r w:rsidR="00424870">
        <w:t>10</w:t>
      </w:r>
      <w:r w:rsidR="006A0071">
        <w:t>]</w:t>
      </w:r>
      <w:r w:rsidR="003A22B4">
        <w:t xml:space="preserve"> The underlying reasons for the poorer cancer outcomes in the UK are complex. The</w:t>
      </w:r>
      <w:r w:rsidR="00AB7802">
        <w:t xml:space="preserve"> explanations</w:t>
      </w:r>
      <w:r w:rsidR="003A22B4">
        <w:t xml:space="preserve"> will include factors such as delayed presentation by patients to their general practitioners; delays in recognising cancer symptoms and referring patients on to specialists; farther delays in completing specialist-initiated investigations; and </w:t>
      </w:r>
      <w:r w:rsidR="009D51CC">
        <w:t xml:space="preserve">regional </w:t>
      </w:r>
      <w:r w:rsidR="003A22B4">
        <w:t>variations in the uptake of the most evidence-based treatment</w:t>
      </w:r>
      <w:r w:rsidR="009D51CC">
        <w:t>s</w:t>
      </w:r>
      <w:r w:rsidR="003A22B4">
        <w:t xml:space="preserve"> for cancer.</w:t>
      </w:r>
      <w:r w:rsidR="00A93024">
        <w:t>[</w:t>
      </w:r>
      <w:r w:rsidR="00D44A11">
        <w:t>1</w:t>
      </w:r>
      <w:r w:rsidR="003F17B5">
        <w:t>1</w:t>
      </w:r>
      <w:r w:rsidR="00D44A11">
        <w:t xml:space="preserve">, </w:t>
      </w:r>
      <w:r w:rsidR="00916D50">
        <w:t>1</w:t>
      </w:r>
      <w:r w:rsidR="003F17B5">
        <w:t>2</w:t>
      </w:r>
      <w:r w:rsidR="00A93024">
        <w:t>]</w:t>
      </w:r>
    </w:p>
    <w:p w14:paraId="40729241" w14:textId="77777777" w:rsidR="00671B20" w:rsidRDefault="00671B20" w:rsidP="005C40FA"/>
    <w:p w14:paraId="6CBA96F2" w14:textId="6E65795F" w:rsidR="00B35C6A" w:rsidRPr="00A41BA7" w:rsidRDefault="006D67C7" w:rsidP="005C40FA">
      <w:pPr>
        <w:rPr>
          <w:b/>
          <w:i/>
        </w:rPr>
      </w:pPr>
      <w:r>
        <w:rPr>
          <w:b/>
          <w:i/>
        </w:rPr>
        <w:t>I</w:t>
      </w:r>
      <w:r w:rsidR="0036639D" w:rsidRPr="00A41BA7">
        <w:rPr>
          <w:b/>
          <w:i/>
        </w:rPr>
        <w:t>mproving health outcomes</w:t>
      </w:r>
      <w:r>
        <w:rPr>
          <w:b/>
          <w:i/>
        </w:rPr>
        <w:t>—aiming above the European average</w:t>
      </w:r>
    </w:p>
    <w:p w14:paraId="4D3DAF16" w14:textId="77777777" w:rsidR="00B35C6A" w:rsidRDefault="00DA2C0C" w:rsidP="005C40FA">
      <w:r>
        <w:t xml:space="preserve">The NHS needs to focus </w:t>
      </w:r>
      <w:r w:rsidR="00C7201A">
        <w:t xml:space="preserve">its efforts </w:t>
      </w:r>
      <w:r>
        <w:t>on improving health outcomes so the UK is once again above the European average</w:t>
      </w:r>
      <w:r w:rsidR="004E53BC">
        <w:t xml:space="preserve"> for key health indicators in areas such as child health and cancer </w:t>
      </w:r>
      <w:r w:rsidR="00A93024">
        <w:t>survival</w:t>
      </w:r>
      <w:r>
        <w:t xml:space="preserve">. The implementation of </w:t>
      </w:r>
      <w:r w:rsidR="00E46C6C">
        <w:t xml:space="preserve">all </w:t>
      </w:r>
      <w:r>
        <w:t xml:space="preserve">new health policies should be viewed through this objective and politically expedient schemes that are not cost-effective and that do not improve health outcomes – such as extended hours primary care services – should be jettisoned.  </w:t>
      </w:r>
    </w:p>
    <w:p w14:paraId="5272AB7E" w14:textId="76303FB5" w:rsidR="00DA2C0C" w:rsidRDefault="00CD490B" w:rsidP="005C40FA">
      <w:r>
        <w:t xml:space="preserve">A lot of focus in the UK </w:t>
      </w:r>
      <w:r w:rsidR="006D67C7">
        <w:t xml:space="preserve">is </w:t>
      </w:r>
      <w:r>
        <w:t xml:space="preserve">on ‘avoidable’ admissions. As these mainly occur among frail, elderly people, this may lead to insufficient emphasis on morbidity among children in whom the prevalence of long-term conditions, unplanned admissions and deaths are all much </w:t>
      </w:r>
      <w:r w:rsidR="00372BDF">
        <w:t>lower</w:t>
      </w:r>
      <w:r>
        <w:t xml:space="preserve"> than in older people.</w:t>
      </w:r>
      <w:r w:rsidR="00C7201A">
        <w:t>[</w:t>
      </w:r>
      <w:r w:rsidR="00DC084E">
        <w:t>1</w:t>
      </w:r>
      <w:r w:rsidR="003F17B5">
        <w:t>3</w:t>
      </w:r>
      <w:r w:rsidR="00C7201A">
        <w:t xml:space="preserve">] Improving health outcomes also means addressing regional variations in the quality of care and health outcomes, </w:t>
      </w:r>
      <w:r w:rsidR="00BA493E">
        <w:t xml:space="preserve">for example in mortality after hospital admission for hip fracture, </w:t>
      </w:r>
      <w:r w:rsidR="00C7201A">
        <w:t>which have continued to persist in the NHS ever since its foundation.</w:t>
      </w:r>
      <w:r w:rsidR="00016733">
        <w:t xml:space="preserve"> Reducing these variations by </w:t>
      </w:r>
      <w:r w:rsidR="00016733">
        <w:lastRenderedPageBreak/>
        <w:t>improving outcomes in the worst performing geographical areas would substantially improve the overall health outcomes achieved by the NHS.</w:t>
      </w:r>
      <w:r w:rsidR="00C7201A">
        <w:t>[</w:t>
      </w:r>
      <w:r w:rsidR="00BA493E">
        <w:t>1</w:t>
      </w:r>
      <w:r w:rsidR="003F17B5">
        <w:t>4</w:t>
      </w:r>
      <w:r w:rsidR="00424870">
        <w:t>, 1</w:t>
      </w:r>
      <w:r w:rsidR="003F17B5">
        <w:t>5</w:t>
      </w:r>
      <w:r w:rsidR="00C7201A">
        <w:t>]</w:t>
      </w:r>
    </w:p>
    <w:p w14:paraId="420D886B" w14:textId="77777777" w:rsidR="004C358A" w:rsidRDefault="004C358A" w:rsidP="004C358A"/>
    <w:p w14:paraId="29A9D93F" w14:textId="77777777" w:rsidR="004C358A" w:rsidRPr="004C358A" w:rsidRDefault="004C358A" w:rsidP="004C358A">
      <w:pPr>
        <w:rPr>
          <w:b/>
        </w:rPr>
      </w:pPr>
      <w:r w:rsidRPr="004C358A">
        <w:rPr>
          <w:b/>
        </w:rPr>
        <w:t>What is needed to achieve better outcomes?</w:t>
      </w:r>
    </w:p>
    <w:p w14:paraId="14EE3723" w14:textId="021F9A8A" w:rsidR="004C358A" w:rsidRDefault="004C358A" w:rsidP="004C358A">
      <w:r>
        <w:t xml:space="preserve">The NHS has a number of strengths in the way it is structured. These include its single-payer status whereby its funding comes largely from taxation with only a small proportion raised through user fees (such as prescription charges). This has allowed the NHS to control costs better than health systems in many other countries; thereby scoring well on international comparisons of health system efficiency, while not </w:t>
      </w:r>
      <w:r w:rsidR="00372BDF">
        <w:t xml:space="preserve">always </w:t>
      </w:r>
      <w:r>
        <w:t xml:space="preserve">performing well on outcome measures.[4] Furthermore, its centralised structure means that innovations and changes in clinical services can take place relatively quickly. However, despite these strengths, the NHS does still have some structural problems. </w:t>
      </w:r>
    </w:p>
    <w:p w14:paraId="79A527E8" w14:textId="77777777" w:rsidR="006D67C7" w:rsidRDefault="006D67C7" w:rsidP="005C40FA"/>
    <w:p w14:paraId="4FF8F8D9" w14:textId="77777777" w:rsidR="006D67C7" w:rsidRPr="004C358A" w:rsidRDefault="006D67C7" w:rsidP="006D67C7">
      <w:pPr>
        <w:keepNext/>
        <w:rPr>
          <w:b/>
          <w:i/>
        </w:rPr>
      </w:pPr>
      <w:r w:rsidRPr="004C358A">
        <w:rPr>
          <w:b/>
          <w:i/>
        </w:rPr>
        <w:t>Integration of services</w:t>
      </w:r>
    </w:p>
    <w:p w14:paraId="1D6F898E" w14:textId="77777777" w:rsidR="006D67C7" w:rsidRPr="004C358A" w:rsidRDefault="006D67C7" w:rsidP="006D67C7">
      <w:r w:rsidRPr="004C358A">
        <w:t>When the NHS was first established, general practitioners remained independent contractors. Although they provided publicly-funded primary care, they were not employed by the NHS. This resulted in a split between the provision of primary care and specialist services, which has persisted until now. Despite decades of speaking about the importance of the integration of services, it is difficult to see how the NHS can achieve this objective when hospitals and general practices remain separate organisations. For patients, this split can be hard to understand as they generally see the NHS as one organisation and do not understand why the different parts of the NHS are not more connected (Box 1).</w:t>
      </w:r>
    </w:p>
    <w:p w14:paraId="5AFCD591" w14:textId="00B3FB03" w:rsidR="006D67C7" w:rsidRPr="004C358A" w:rsidRDefault="006D67C7" w:rsidP="006D67C7">
      <w:r w:rsidRPr="004C358A">
        <w:t>Bringing together general practices and specialist services into one organisation will not be politically straightforward and nor will it be cheap.[1</w:t>
      </w:r>
      <w:r w:rsidR="003F17B5">
        <w:t>6</w:t>
      </w:r>
      <w:r w:rsidRPr="004C358A">
        <w:t xml:space="preserve">] Investment in integrated services will however ensure that people can obtain appropriate care promptly. This is particularly important for patients with long-term conditions such as heart failure or chronic airways disease where complications and unplanned hospital admissions are common if exacerbations are not identified and treated quickly. </w:t>
      </w:r>
    </w:p>
    <w:p w14:paraId="3099F25E" w14:textId="77777777" w:rsidR="006D67C7" w:rsidRPr="004C358A" w:rsidRDefault="006D67C7" w:rsidP="006D67C7">
      <w:r w:rsidRPr="004C358A">
        <w:t xml:space="preserve">Another key area for integration is urgent care. Currently, patients with acute problems are faced with a range of services they can make use of. In England this includes, for example, NHS 111, out-of-hours primary care services, urgent care centres, emergency departments, pharmacies, community nursing services and the ambulance service. Patients are often confused about which service is most appropriate for their needs, which in turn leads to inappropriate use of some services (such as emergency departments and ambulance services). Integrating these services and having one single point of contact would be beneficial both for the NHS and for patients. </w:t>
      </w:r>
    </w:p>
    <w:p w14:paraId="1CF3E00F" w14:textId="77777777" w:rsidR="006D67C7" w:rsidRPr="004C358A" w:rsidRDefault="006D67C7" w:rsidP="006D67C7"/>
    <w:p w14:paraId="52E7661B" w14:textId="77777777" w:rsidR="006D67C7" w:rsidRPr="006F1969" w:rsidRDefault="006D67C7" w:rsidP="006D67C7">
      <w:pPr>
        <w:rPr>
          <w:b/>
          <w:i/>
        </w:rPr>
      </w:pPr>
      <w:r w:rsidRPr="006F1969">
        <w:rPr>
          <w:b/>
          <w:i/>
        </w:rPr>
        <w:t>Specialist services</w:t>
      </w:r>
    </w:p>
    <w:p w14:paraId="1244FEAA" w14:textId="16003A51" w:rsidR="006D67C7" w:rsidRPr="004C358A" w:rsidRDefault="006D67C7" w:rsidP="006D67C7">
      <w:r w:rsidRPr="004C358A">
        <w:t xml:space="preserve">Specialist services also need increased investment if the NHS is to continue to improve the population’s health status and health outcomes. On many key structural indicators – such as the number of hospital beds and diagnostic equipment – the UK lags behind most other European </w:t>
      </w:r>
      <w:r w:rsidRPr="004C358A">
        <w:lastRenderedPageBreak/>
        <w:t>countries. The impact of this under-investment is now being seen – for example, in fewer patients meeting targets for cancer treatment, increased pressures on emergency departments and lower public satisfaction with the NHS.[1</w:t>
      </w:r>
      <w:r w:rsidR="003F17B5">
        <w:t>7</w:t>
      </w:r>
      <w:r w:rsidRPr="004C358A">
        <w:t>]</w:t>
      </w:r>
    </w:p>
    <w:p w14:paraId="6F223622" w14:textId="77777777" w:rsidR="00CD490B" w:rsidRDefault="00CD490B" w:rsidP="005C40FA"/>
    <w:p w14:paraId="0E83BBA7" w14:textId="77777777" w:rsidR="00AB7802" w:rsidRPr="00A41BA7" w:rsidRDefault="00A41BA7" w:rsidP="009929FB">
      <w:pPr>
        <w:keepNext/>
        <w:rPr>
          <w:b/>
          <w:i/>
        </w:rPr>
      </w:pPr>
      <w:r w:rsidRPr="00A41BA7">
        <w:rPr>
          <w:b/>
          <w:i/>
        </w:rPr>
        <w:t>Address s</w:t>
      </w:r>
      <w:r w:rsidR="00AB7802" w:rsidRPr="00A41BA7">
        <w:rPr>
          <w:b/>
          <w:i/>
        </w:rPr>
        <w:t>hortages of health professionals</w:t>
      </w:r>
    </w:p>
    <w:p w14:paraId="6EC2AE89" w14:textId="44547812" w:rsidR="008306CA" w:rsidRDefault="00AB7802" w:rsidP="009929FB">
      <w:pPr>
        <w:keepNext/>
      </w:pPr>
      <w:r>
        <w:t>The UK has shortages in key medical specialties such as general practice, paediatrics and emergency medicine</w:t>
      </w:r>
      <w:r w:rsidR="00427AD7">
        <w:t xml:space="preserve">; and in groups </w:t>
      </w:r>
      <w:r>
        <w:t>such as nurs</w:t>
      </w:r>
      <w:r w:rsidR="00001502">
        <w:t>es</w:t>
      </w:r>
      <w:r>
        <w:t xml:space="preserve"> and therapists.</w:t>
      </w:r>
      <w:r w:rsidR="008306CA" w:rsidRPr="008306CA">
        <w:t xml:space="preserve"> </w:t>
      </w:r>
      <w:r w:rsidR="008306CA">
        <w:t xml:space="preserve">The UK has around 2.8 doctors per 1,000 population, which is below the </w:t>
      </w:r>
      <w:r w:rsidR="00372BDF">
        <w:t xml:space="preserve">European </w:t>
      </w:r>
      <w:r w:rsidR="008306CA">
        <w:t>average. The UK also has fewer nur</w:t>
      </w:r>
      <w:r w:rsidR="00153B1D">
        <w:t xml:space="preserve">ses per 1,000 population (7.9) than countries such as </w:t>
      </w:r>
      <w:r w:rsidR="008306CA">
        <w:t>Germany (13.3 per 1,000 or Switzerland (18 per 1,000).[</w:t>
      </w:r>
      <w:r w:rsidR="009929FB">
        <w:t>1</w:t>
      </w:r>
      <w:r w:rsidR="003F17B5">
        <w:t>7</w:t>
      </w:r>
      <w:r w:rsidR="008306CA">
        <w:t xml:space="preserve">] </w:t>
      </w:r>
      <w:r>
        <w:t>Although the government has promised to address such shortages, little progress has been made and in the last few years</w:t>
      </w:r>
      <w:r w:rsidR="00001502">
        <w:t>;</w:t>
      </w:r>
      <w:r>
        <w:t xml:space="preserve"> for example, the number of general practitioners working in the NHS in England has declined further.</w:t>
      </w:r>
      <w:r w:rsidR="008306CA">
        <w:t>[</w:t>
      </w:r>
      <w:r w:rsidR="009929FB">
        <w:t>1</w:t>
      </w:r>
      <w:r w:rsidR="00424870">
        <w:t>8</w:t>
      </w:r>
      <w:r w:rsidR="009929FB">
        <w:t>]</w:t>
      </w:r>
      <w:r w:rsidR="00153B1D">
        <w:t xml:space="preserve"> Given that these shortages will present for s</w:t>
      </w:r>
      <w:r w:rsidR="00001502">
        <w:t>ome years to come, t</w:t>
      </w:r>
      <w:r w:rsidR="00153B1D">
        <w:t>he NHS also needs to look at ways in which the skills of health professionals are used appropriately; for example, by reducing the low-value administrative work they undertake.</w:t>
      </w:r>
    </w:p>
    <w:p w14:paraId="3DAEB8CD" w14:textId="77777777" w:rsidR="00AB7802" w:rsidRDefault="008306CA" w:rsidP="008306CA">
      <w:r>
        <w:t xml:space="preserve"> </w:t>
      </w:r>
    </w:p>
    <w:p w14:paraId="72F47433" w14:textId="77777777" w:rsidR="0034038E" w:rsidRPr="00A41BA7" w:rsidRDefault="0034038E" w:rsidP="00427AD7">
      <w:pPr>
        <w:keepNext/>
        <w:rPr>
          <w:b/>
          <w:i/>
        </w:rPr>
      </w:pPr>
      <w:r w:rsidRPr="00A41BA7">
        <w:rPr>
          <w:b/>
          <w:i/>
        </w:rPr>
        <w:t>Improved use of digital technology</w:t>
      </w:r>
    </w:p>
    <w:p w14:paraId="271ABFAA" w14:textId="411C190C" w:rsidR="00AB7802" w:rsidRDefault="0053112D" w:rsidP="005C40FA">
      <w:r w:rsidRPr="0053112D">
        <w:t>A</w:t>
      </w:r>
      <w:r w:rsidR="00427AD7">
        <w:t xml:space="preserve">n </w:t>
      </w:r>
      <w:r w:rsidRPr="0053112D">
        <w:t xml:space="preserve">opportunity for </w:t>
      </w:r>
      <w:r>
        <w:t>the NHS</w:t>
      </w:r>
      <w:r w:rsidRPr="0053112D">
        <w:t xml:space="preserve"> arises from the rapid advances we are seeing in information technology. Through the Internet and websites such as NHS Choices, patients in the UK now have easy access to medical information</w:t>
      </w:r>
      <w:r w:rsidR="00427AD7">
        <w:t xml:space="preserve"> for </w:t>
      </w:r>
      <w:r w:rsidR="00001502">
        <w:t>s</w:t>
      </w:r>
      <w:r w:rsidR="00427AD7">
        <w:t>elf-care</w:t>
      </w:r>
      <w:r w:rsidRPr="0053112D">
        <w:t xml:space="preserve">. We are also now seeing developments in artificial intelligence (AI) leading to alternative routes for accessing medical and health promotion advice. For example, the NHS has </w:t>
      </w:r>
      <w:r w:rsidR="00427AD7">
        <w:t>piloted</w:t>
      </w:r>
      <w:r w:rsidRPr="0053112D">
        <w:t xml:space="preserve"> AI-based ‘chatbots’ to offer health advice to patients when they contact the NHS telephone advice line (NHS 111) for medical advice.[</w:t>
      </w:r>
      <w:r w:rsidR="00522173">
        <w:t>1</w:t>
      </w:r>
      <w:r w:rsidR="00424870">
        <w:t>9</w:t>
      </w:r>
      <w:r w:rsidRPr="0053112D">
        <w:t>].</w:t>
      </w:r>
      <w:r w:rsidR="00121AF3">
        <w:t xml:space="preserve"> In the longer term, as well as providing health advice, AI may also be used to support doctors and other health professionals in their work, for example, in areas such as radiology and dermatology</w:t>
      </w:r>
      <w:r w:rsidR="008C4AF6">
        <w:t>; and provide tools to support the further integration of health services; for example, better medical record sharing between health services and with patients.</w:t>
      </w:r>
      <w:r w:rsidR="00F41C8D">
        <w:t xml:space="preserve"> One caveat about digital health however is the </w:t>
      </w:r>
      <w:r w:rsidR="00F41C8D" w:rsidRPr="00F41C8D">
        <w:t xml:space="preserve">gap between the postulated and empirically demonstrated benefits of </w:t>
      </w:r>
      <w:r w:rsidR="00F41C8D">
        <w:t>these</w:t>
      </w:r>
      <w:r w:rsidR="00F41C8D" w:rsidRPr="00F41C8D">
        <w:t xml:space="preserve"> technologies. </w:t>
      </w:r>
      <w:r w:rsidR="003807C8">
        <w:t>T</w:t>
      </w:r>
      <w:r w:rsidR="00F41C8D" w:rsidRPr="00F41C8D">
        <w:t xml:space="preserve">here is </w:t>
      </w:r>
      <w:r w:rsidR="003807C8">
        <w:t xml:space="preserve">also </w:t>
      </w:r>
      <w:r w:rsidR="00F41C8D" w:rsidRPr="00F41C8D">
        <w:t xml:space="preserve">a lack of </w:t>
      </w:r>
      <w:r w:rsidR="00F41C8D">
        <w:t>well-designed studies</w:t>
      </w:r>
      <w:r w:rsidR="00F41C8D" w:rsidRPr="00F41C8D">
        <w:t xml:space="preserve"> on the risks of implementing these technologies</w:t>
      </w:r>
      <w:r w:rsidR="00F41C8D">
        <w:t>;</w:t>
      </w:r>
      <w:r w:rsidR="00F41C8D" w:rsidRPr="00F41C8D">
        <w:t xml:space="preserve"> and </w:t>
      </w:r>
      <w:r w:rsidR="003807C8">
        <w:t xml:space="preserve">on </w:t>
      </w:r>
      <w:r w:rsidR="00F41C8D" w:rsidRPr="00F41C8D">
        <w:t>their cost-effectiveness</w:t>
      </w:r>
      <w:r w:rsidR="00F41C8D">
        <w:t>.[</w:t>
      </w:r>
      <w:r w:rsidR="00424870">
        <w:t>20</w:t>
      </w:r>
      <w:r w:rsidR="00F41C8D">
        <w:t>]</w:t>
      </w:r>
      <w:r w:rsidR="009F385F">
        <w:t xml:space="preserve"> </w:t>
      </w:r>
      <w:r w:rsidR="004C358A">
        <w:t xml:space="preserve">There also </w:t>
      </w:r>
      <w:r w:rsidR="00F63676">
        <w:t>needs to be linked to an increased focus on prevention and self-care.</w:t>
      </w:r>
      <w:r w:rsidR="00DC084E">
        <w:t>[</w:t>
      </w:r>
      <w:r w:rsidR="00424870">
        <w:t>21, 22</w:t>
      </w:r>
      <w:r w:rsidR="00DC084E">
        <w:t>]</w:t>
      </w:r>
    </w:p>
    <w:p w14:paraId="4837AF67" w14:textId="77777777" w:rsidR="00AD6FB4" w:rsidRDefault="00AD6FB4" w:rsidP="005C40FA"/>
    <w:p w14:paraId="1B50E9AC" w14:textId="77777777" w:rsidR="0034038E" w:rsidRPr="00A41BA7" w:rsidRDefault="0034038E" w:rsidP="005C40FA">
      <w:pPr>
        <w:rPr>
          <w:b/>
          <w:i/>
        </w:rPr>
      </w:pPr>
      <w:r w:rsidRPr="00A41BA7">
        <w:rPr>
          <w:b/>
          <w:i/>
        </w:rPr>
        <w:t>Addres</w:t>
      </w:r>
      <w:r w:rsidR="00DC2139">
        <w:rPr>
          <w:b/>
          <w:i/>
        </w:rPr>
        <w:t>s</w:t>
      </w:r>
      <w:r w:rsidRPr="00A41BA7">
        <w:rPr>
          <w:b/>
          <w:i/>
        </w:rPr>
        <w:t xml:space="preserve"> health inequalities</w:t>
      </w:r>
    </w:p>
    <w:p w14:paraId="0A212A81" w14:textId="77777777" w:rsidR="0034038E" w:rsidRDefault="008C4AF6" w:rsidP="005C40FA">
      <w:r>
        <w:t>Many</w:t>
      </w:r>
      <w:r w:rsidR="00AB7802">
        <w:t xml:space="preserve"> of the poorer health outcomes in the UK can be explained by the wider determinants of health such as housing, employment, poverty and social support.</w:t>
      </w:r>
      <w:r w:rsidR="00BA493E">
        <w:t>[2</w:t>
      </w:r>
      <w:r w:rsidR="00424870">
        <w:t>3</w:t>
      </w:r>
      <w:r w:rsidR="00BA493E">
        <w:t>]</w:t>
      </w:r>
      <w:r w:rsidR="00AB7802">
        <w:t xml:space="preserve"> These </w:t>
      </w:r>
      <w:r w:rsidR="00B0167A">
        <w:t xml:space="preserve">factors </w:t>
      </w:r>
      <w:r w:rsidR="00AB7802">
        <w:t>will be particularly important for groups such as children and the elderly where NHS-based initiatives by themselves will not be enough to improve UK health indicators</w:t>
      </w:r>
      <w:r w:rsidR="003E3D0B">
        <w:t>.</w:t>
      </w:r>
      <w:r w:rsidR="00F64D0F">
        <w:t xml:space="preserve"> </w:t>
      </w:r>
    </w:p>
    <w:p w14:paraId="35684120" w14:textId="77777777" w:rsidR="00BA493E" w:rsidRDefault="00BA493E" w:rsidP="005C40FA"/>
    <w:p w14:paraId="7B972D2E" w14:textId="77777777" w:rsidR="00A0167A" w:rsidRPr="00A0167A" w:rsidRDefault="00A0167A" w:rsidP="00372BDF">
      <w:pPr>
        <w:keepNext/>
        <w:rPr>
          <w:b/>
        </w:rPr>
      </w:pPr>
      <w:r w:rsidRPr="00A0167A">
        <w:rPr>
          <w:b/>
        </w:rPr>
        <w:lastRenderedPageBreak/>
        <w:t>Conclusions</w:t>
      </w:r>
    </w:p>
    <w:p w14:paraId="71AD45A1" w14:textId="331AEFC0" w:rsidR="00013983" w:rsidRDefault="002457CC" w:rsidP="005C40FA">
      <w:r>
        <w:t xml:space="preserve">The NHS, despite its many achievements, lags behind health systems in </w:t>
      </w:r>
      <w:r w:rsidR="00043F33">
        <w:t xml:space="preserve">some </w:t>
      </w:r>
      <w:r>
        <w:t xml:space="preserve">other comparator countries </w:t>
      </w:r>
      <w:r w:rsidR="008C4AF6">
        <w:t xml:space="preserve">in </w:t>
      </w:r>
      <w:r>
        <w:t xml:space="preserve">achieving good population health outcomes. </w:t>
      </w:r>
      <w:r w:rsidR="009B6CD6">
        <w:t>Addressing these issues will require a concerted focus on the quality of care, including a much greater emphasis on improving health outcomes when planning and implementing health services</w:t>
      </w:r>
      <w:r w:rsidR="00A6025D">
        <w:t xml:space="preserve">. A </w:t>
      </w:r>
      <w:r w:rsidR="009B6CD6">
        <w:t xml:space="preserve">greater focus </w:t>
      </w:r>
      <w:r w:rsidR="00A6025D">
        <w:t xml:space="preserve">is also needed on evidence-based disease prevention and </w:t>
      </w:r>
      <w:r w:rsidR="009B6CD6">
        <w:t>patient self-management</w:t>
      </w:r>
      <w:r w:rsidR="00A6025D">
        <w:t>,</w:t>
      </w:r>
      <w:r w:rsidR="008C4AF6">
        <w:t xml:space="preserve"> and better use of information technology</w:t>
      </w:r>
      <w:proofErr w:type="gramStart"/>
      <w:r w:rsidR="009B6CD6">
        <w:t>.</w:t>
      </w:r>
      <w:r w:rsidR="00BA493E">
        <w:t>[</w:t>
      </w:r>
      <w:proofErr w:type="gramEnd"/>
      <w:r w:rsidR="00BA493E">
        <w:t>2</w:t>
      </w:r>
      <w:r w:rsidR="00424870">
        <w:t>4</w:t>
      </w:r>
      <w:r w:rsidR="000927A9">
        <w:t>]</w:t>
      </w:r>
      <w:r w:rsidR="004C358A">
        <w:t xml:space="preserve"> </w:t>
      </w:r>
    </w:p>
    <w:p w14:paraId="1F551E83" w14:textId="142703C4" w:rsidR="00CC1899" w:rsidRDefault="003807C8" w:rsidP="005C40FA">
      <w:r>
        <w:t>T</w:t>
      </w:r>
      <w:r w:rsidR="00CC1899">
        <w:t>he additional investment the government has recently promised for the NHS in England (along with investment for the NHS in the devolved nations) is very welcome.</w:t>
      </w:r>
      <w:r w:rsidR="00427AD7">
        <w:t>[2</w:t>
      </w:r>
      <w:r w:rsidR="00424870">
        <w:t>5</w:t>
      </w:r>
      <w:r w:rsidR="00427AD7">
        <w:t>]</w:t>
      </w:r>
      <w:r w:rsidR="00CC1899">
        <w:t xml:space="preserve"> However, we remain to see if this additional funding will be sufficient to meet the needs of the UK and whether lower rates of </w:t>
      </w:r>
      <w:r w:rsidR="00DB5EB6">
        <w:t xml:space="preserve">public </w:t>
      </w:r>
      <w:r w:rsidR="00CC1899">
        <w:t xml:space="preserve">spending in other areas – such as housing </w:t>
      </w:r>
      <w:r w:rsidR="00D70E22">
        <w:t>and</w:t>
      </w:r>
      <w:r w:rsidR="00CC1899">
        <w:t xml:space="preserve"> education – leads to health outcomes in the UK</w:t>
      </w:r>
      <w:r w:rsidR="00DB5EB6">
        <w:t xml:space="preserve"> falling further behind those in other European countries</w:t>
      </w:r>
      <w:r w:rsidR="00CC1899">
        <w:t>.</w:t>
      </w:r>
      <w:r w:rsidR="00DB5EB6">
        <w:t xml:space="preserve"> </w:t>
      </w:r>
    </w:p>
    <w:p w14:paraId="1F804628" w14:textId="77777777" w:rsidR="009B6CD6" w:rsidRDefault="009B6CD6" w:rsidP="005C40FA"/>
    <w:p w14:paraId="171039B6" w14:textId="77777777" w:rsidR="00013983" w:rsidRDefault="00013983" w:rsidP="005C40FA"/>
    <w:p w14:paraId="6482B20A" w14:textId="77777777" w:rsidR="00747573" w:rsidRDefault="00F05B6A" w:rsidP="00275339">
      <w:r w:rsidRPr="00A855E3">
        <w:rPr>
          <w:b/>
        </w:rPr>
        <w:t>Competing interests:</w:t>
      </w:r>
      <w:r w:rsidRPr="00F05B6A">
        <w:t xml:space="preserve"> </w:t>
      </w:r>
      <w:r w:rsidR="005C40FA">
        <w:t>We</w:t>
      </w:r>
      <w:r>
        <w:t xml:space="preserve"> </w:t>
      </w:r>
      <w:r w:rsidRPr="00F05B6A">
        <w:t>have read and understood the BMJ Group policy on declaration of interests and declare the following interests</w:t>
      </w:r>
      <w:r w:rsidR="008C2BAB">
        <w:t xml:space="preserve">: </w:t>
      </w:r>
      <w:r w:rsidR="005C40FA">
        <w:t>AM is</w:t>
      </w:r>
      <w:r w:rsidR="00E32A70">
        <w:t xml:space="preserve"> a GP Principal in the </w:t>
      </w:r>
      <w:r w:rsidR="005C40FA">
        <w:t xml:space="preserve">NHS general </w:t>
      </w:r>
      <w:r w:rsidR="00E32A70">
        <w:t>practice of Dr Curran and Partners in Clapham, London.</w:t>
      </w:r>
      <w:r w:rsidR="00734AED">
        <w:t xml:space="preserve"> DA is a Consultant in Public Health Medicine with the Imperial College Healthcare NHS Trust.</w:t>
      </w:r>
    </w:p>
    <w:p w14:paraId="04F508F2" w14:textId="77777777" w:rsidR="00D90298" w:rsidRDefault="009221F9">
      <w:r w:rsidRPr="00A855E3">
        <w:rPr>
          <w:b/>
        </w:rPr>
        <w:t>Funding:</w:t>
      </w:r>
      <w:r w:rsidRPr="009221F9">
        <w:t xml:space="preserve"> This </w:t>
      </w:r>
      <w:r w:rsidR="008F4DED">
        <w:t>article</w:t>
      </w:r>
      <w:r w:rsidRPr="009221F9">
        <w:t xml:space="preserve"> received no specific grant from any funding agency in the public, commercial, or not-for-profit sectors. </w:t>
      </w:r>
      <w:r w:rsidR="008F4DED">
        <w:t xml:space="preserve"> </w:t>
      </w:r>
    </w:p>
    <w:p w14:paraId="4764E130" w14:textId="77777777" w:rsidR="003F42C8" w:rsidRDefault="003F42C8" w:rsidP="003F42C8">
      <w:r w:rsidRPr="003F42C8">
        <w:rPr>
          <w:b/>
        </w:rPr>
        <w:t>Acknowledgements:</w:t>
      </w:r>
      <w:r>
        <w:t xml:space="preserve"> Imperial College London </w:t>
      </w:r>
      <w:r w:rsidR="00E32A70">
        <w:t>is</w:t>
      </w:r>
      <w:r>
        <w:t xml:space="preserve"> grateful for support from the NIHR Collaboration for Leadership in Applied Health Research and Care </w:t>
      </w:r>
      <w:r w:rsidR="001644EB">
        <w:t>programme</w:t>
      </w:r>
      <w:r>
        <w:t>.</w:t>
      </w:r>
    </w:p>
    <w:p w14:paraId="041FCDE6" w14:textId="77777777" w:rsidR="00D90298" w:rsidRDefault="00A855E3">
      <w:r w:rsidRPr="00A855E3">
        <w:rPr>
          <w:b/>
        </w:rPr>
        <w:t>Licence:</w:t>
      </w:r>
      <w:r>
        <w:t xml:space="preserve"> </w:t>
      </w:r>
      <w:r w:rsidR="00916D50" w:rsidRPr="00916D50">
        <w:t xml:space="preserve">The Corresponding Author has the right to grant on behalf of all authors and does grant on behalf of all authors, an exclusive licence (or </w:t>
      </w:r>
      <w:proofErr w:type="spellStart"/>
      <w:r w:rsidR="00916D50" w:rsidRPr="00916D50">
        <w:t>non exclusive</w:t>
      </w:r>
      <w:proofErr w:type="spellEnd"/>
      <w:r w:rsidR="00916D50" w:rsidRPr="00916D50">
        <w:t xml:space="preserve"> for government employees) on a worldwide basis to the BMJ Publishing Group Ltd to permit this article (if accepted) to be published in BMJ and any other BMJPGL products and </w:t>
      </w:r>
      <w:proofErr w:type="spellStart"/>
      <w:r w:rsidR="00916D50" w:rsidRPr="00916D50">
        <w:t>sublicences</w:t>
      </w:r>
      <w:proofErr w:type="spellEnd"/>
      <w:r w:rsidR="00916D50" w:rsidRPr="00916D50">
        <w:t xml:space="preserve"> such use and exploit all subsidiary rights, as set out in our licence (http://group.bmj.com/products/journals/instructions-for-authors/licence-forms).</w:t>
      </w:r>
    </w:p>
    <w:p w14:paraId="532AB3C4" w14:textId="77777777" w:rsidR="00D90298" w:rsidRDefault="00A855E3">
      <w:r w:rsidRPr="00A855E3">
        <w:rPr>
          <w:b/>
        </w:rPr>
        <w:t>Contribution:</w:t>
      </w:r>
      <w:r>
        <w:t xml:space="preserve"> </w:t>
      </w:r>
      <w:r w:rsidR="005C40FA">
        <w:t xml:space="preserve"> AM wrote the first draft and received comments from </w:t>
      </w:r>
      <w:r w:rsidR="00734AED">
        <w:t>DA, KF</w:t>
      </w:r>
      <w:r w:rsidR="005C40FA">
        <w:t xml:space="preserve"> and </w:t>
      </w:r>
      <w:r w:rsidR="00734AED">
        <w:t>AB</w:t>
      </w:r>
      <w:r w:rsidR="00AD6FB4">
        <w:t>.</w:t>
      </w:r>
      <w:r w:rsidR="005C40FA">
        <w:t xml:space="preserve"> </w:t>
      </w:r>
      <w:r>
        <w:t xml:space="preserve">AM </w:t>
      </w:r>
      <w:r w:rsidR="00E32A70">
        <w:t xml:space="preserve">is </w:t>
      </w:r>
      <w:r>
        <w:t xml:space="preserve">the guarantor. </w:t>
      </w:r>
    </w:p>
    <w:p w14:paraId="283F3D6C" w14:textId="77777777" w:rsidR="001E6799" w:rsidRDefault="0020357A" w:rsidP="00275339">
      <w:pPr>
        <w:rPr>
          <w:b/>
        </w:rPr>
      </w:pPr>
      <w:r w:rsidRPr="00D90298">
        <w:br w:type="page"/>
      </w:r>
      <w:r w:rsidR="001E6799" w:rsidRPr="001E6799">
        <w:rPr>
          <w:b/>
        </w:rPr>
        <w:lastRenderedPageBreak/>
        <w:t>References</w:t>
      </w:r>
    </w:p>
    <w:p w14:paraId="4F4C7E30" w14:textId="77777777" w:rsidR="003F17B5" w:rsidRDefault="003F17B5" w:rsidP="003F17B5">
      <w:r>
        <w:t>1. World Health Organization. What is Quality of Care and why is it important? http://www.who.int/maternal_child_adolescent/topics/quality-of-care/definition/en/</w:t>
      </w:r>
    </w:p>
    <w:p w14:paraId="4491E0DD" w14:textId="77777777" w:rsidR="003F17B5" w:rsidRDefault="003F17B5" w:rsidP="003F17B5">
      <w:r>
        <w:t>2. Majeed A. Universal health coverage in the United Kingdom. Journal of Ambulatory Care Management. 2003</w:t>
      </w:r>
      <w:proofErr w:type="gramStart"/>
      <w:r>
        <w:t>;26</w:t>
      </w:r>
      <w:proofErr w:type="gramEnd"/>
      <w:r>
        <w:t>(4):373-7.</w:t>
      </w:r>
    </w:p>
    <w:p w14:paraId="2B6C4791" w14:textId="77777777" w:rsidR="003F17B5" w:rsidRDefault="003F17B5" w:rsidP="003F17B5">
      <w:r>
        <w:t>3. NHS England. NHS70 – Highlights of the last 70 years. https://www.england.nhs.uk/nhs70/resources/images-films-and-digital-assets/</w:t>
      </w:r>
    </w:p>
    <w:p w14:paraId="740251E0" w14:textId="77777777" w:rsidR="003F17B5" w:rsidRDefault="003F17B5" w:rsidP="003F17B5">
      <w:r>
        <w:t xml:space="preserve">4. Schneider EC, </w:t>
      </w:r>
      <w:proofErr w:type="spellStart"/>
      <w:r>
        <w:t>Sarnak</w:t>
      </w:r>
      <w:proofErr w:type="spellEnd"/>
      <w:r>
        <w:t xml:space="preserve"> DO, Squires A, Shah A, Doty MM. Mirror, </w:t>
      </w:r>
      <w:proofErr w:type="gramStart"/>
      <w:r>
        <w:t>Mirror</w:t>
      </w:r>
      <w:proofErr w:type="gramEnd"/>
      <w:r>
        <w:t xml:space="preserve"> 2017: International Comparison Reflects Flaws and Opportunities for Better U.S. Health Care, The Commonwealth Fund, July 2017.</w:t>
      </w:r>
    </w:p>
    <w:p w14:paraId="180BF42A" w14:textId="77777777" w:rsidR="003F17B5" w:rsidRDefault="003F17B5" w:rsidP="003F17B5">
      <w:r>
        <w:t>5. Dayan M, Ward D, Gardner T, Kelly E. The NHS at 70: How good is the NHS? The Nuffield Trust, London 2018. https://www.nuffieldtrust.org.uk/research/the-nhs-at-70-how-good-is-the-nhs</w:t>
      </w:r>
    </w:p>
    <w:p w14:paraId="1DA2B76B" w14:textId="77777777" w:rsidR="003F17B5" w:rsidRDefault="003F17B5" w:rsidP="003F17B5">
      <w:r>
        <w:t xml:space="preserve">6. Wolfe I, Thompson M, Gill P, </w:t>
      </w:r>
      <w:proofErr w:type="spellStart"/>
      <w:r>
        <w:t>Tamburlini</w:t>
      </w:r>
      <w:proofErr w:type="spellEnd"/>
      <w:r>
        <w:t xml:space="preserve"> G, Blair M, Van Den </w:t>
      </w:r>
      <w:proofErr w:type="spellStart"/>
      <w:r>
        <w:t>Bruel</w:t>
      </w:r>
      <w:proofErr w:type="spellEnd"/>
      <w:r>
        <w:t xml:space="preserve"> A, </w:t>
      </w:r>
      <w:proofErr w:type="spellStart"/>
      <w:r>
        <w:t>Ehrich</w:t>
      </w:r>
      <w:proofErr w:type="spellEnd"/>
      <w:r>
        <w:t xml:space="preserve"> J, </w:t>
      </w:r>
      <w:proofErr w:type="spellStart"/>
      <w:r>
        <w:t>Pettoello-Mantovani</w:t>
      </w:r>
      <w:proofErr w:type="spellEnd"/>
      <w:r>
        <w:t xml:space="preserve"> M, Janson S, </w:t>
      </w:r>
      <w:proofErr w:type="spellStart"/>
      <w:r>
        <w:t>Karanikolos</w:t>
      </w:r>
      <w:proofErr w:type="spellEnd"/>
      <w:r>
        <w:t xml:space="preserve"> M, McKee M. Health services for children in </w:t>
      </w:r>
      <w:proofErr w:type="gramStart"/>
      <w:r>
        <w:t>western</w:t>
      </w:r>
      <w:proofErr w:type="gramEnd"/>
      <w:r>
        <w:t xml:space="preserve"> Europe. The Lancet. 2013 Apr 6</w:t>
      </w:r>
      <w:proofErr w:type="gramStart"/>
      <w:r>
        <w:t>;381</w:t>
      </w:r>
      <w:proofErr w:type="gramEnd"/>
      <w:r>
        <w:t>(9873):1224-34.</w:t>
      </w:r>
    </w:p>
    <w:p w14:paraId="06633447" w14:textId="77777777" w:rsidR="003F17B5" w:rsidRDefault="003F17B5" w:rsidP="003F17B5">
      <w:r>
        <w:t>7. Cheung R. International comparisons of health and wellbeing in early childhood. Nuffield Trust, London 2018. https://www.nuffieldtrust.org.uk/files/2018-03/1521031084_child-health-international-comparisons-report-web.pdf</w:t>
      </w:r>
    </w:p>
    <w:p w14:paraId="26D9484F" w14:textId="77777777" w:rsidR="003F17B5" w:rsidRDefault="003F17B5" w:rsidP="003F17B5">
      <w:r>
        <w:t xml:space="preserve">8. Gillam SJ, </w:t>
      </w:r>
      <w:proofErr w:type="spellStart"/>
      <w:r>
        <w:t>Siriwardena</w:t>
      </w:r>
      <w:proofErr w:type="spellEnd"/>
      <w:r>
        <w:t xml:space="preserve"> AN, Steel N. Pay-for-performance in the United Kingdom: impact of the quality and outcomes framework—a systematic review. Annals of Family Medicine. 2012</w:t>
      </w:r>
      <w:proofErr w:type="gramStart"/>
      <w:r>
        <w:t>;10:461</w:t>
      </w:r>
      <w:proofErr w:type="gramEnd"/>
      <w:r>
        <w:t>-8.</w:t>
      </w:r>
    </w:p>
    <w:p w14:paraId="78B7C13B" w14:textId="77777777" w:rsidR="003F17B5" w:rsidRDefault="003F17B5" w:rsidP="003F17B5">
      <w:r>
        <w:t xml:space="preserve">9. Molloy A, Gardner T, </w:t>
      </w:r>
      <w:proofErr w:type="spellStart"/>
      <w:r>
        <w:t>Thorlby</w:t>
      </w:r>
      <w:proofErr w:type="spellEnd"/>
      <w:r>
        <w:t xml:space="preserve"> R. Quality of care in the English NHS – In the balance. The Health Foundation, London 2017.</w:t>
      </w:r>
    </w:p>
    <w:p w14:paraId="3C7D0007" w14:textId="77777777" w:rsidR="003F17B5" w:rsidRDefault="003F17B5" w:rsidP="003F17B5">
      <w:r>
        <w:t>10. CONCORD Working Group. Global surveillance of trends in cancer survival 2000–14 (CONCORD-3): analysis of individual records for 37 513 025 patients diagnosed with one of 18 cancers from 322 population-based registries in 71 countries. Lancet 2018; 391: 1023–75.</w:t>
      </w:r>
    </w:p>
    <w:p w14:paraId="2276CF4E" w14:textId="77777777" w:rsidR="003F17B5" w:rsidRDefault="003F17B5" w:rsidP="003F17B5">
      <w:r>
        <w:t xml:space="preserve">11. </w:t>
      </w:r>
      <w:proofErr w:type="spellStart"/>
      <w:r>
        <w:t>Hiom</w:t>
      </w:r>
      <w:proofErr w:type="spellEnd"/>
      <w:r>
        <w:t xml:space="preserve"> SC. Diagnosing cancer earlier: reviewing the evidence for improving cancer survival. Br J Cancer, 112 (</w:t>
      </w:r>
      <w:proofErr w:type="spellStart"/>
      <w:r>
        <w:t>suppl</w:t>
      </w:r>
      <w:proofErr w:type="spellEnd"/>
      <w:r>
        <w:t xml:space="preserve"> 1) (2015), pp. S1-S5.</w:t>
      </w:r>
    </w:p>
    <w:p w14:paraId="42FBB71B" w14:textId="77777777" w:rsidR="003F17B5" w:rsidRDefault="003F17B5" w:rsidP="003F17B5">
      <w:r>
        <w:t>12. The King’s Fund. How to improve cancer survival. Explaining England’s relatively poor rates. https://www.kingsfund.org.uk/sites/default/files/How-to-improve-cancer-survival-Explaining-England-poor-rates-Kings-Fund-June-2011.pdf</w:t>
      </w:r>
    </w:p>
    <w:p w14:paraId="4DAC637F" w14:textId="77777777" w:rsidR="003F17B5" w:rsidRDefault="003F17B5" w:rsidP="003F17B5">
      <w:r>
        <w:t xml:space="preserve">13. Richardson J. RCPCH’s Russell Viner: “The NHS does not prioritise children’s health” BMJ 2018; </w:t>
      </w:r>
      <w:proofErr w:type="gramStart"/>
      <w:r>
        <w:t>361 :</w:t>
      </w:r>
      <w:proofErr w:type="gramEnd"/>
      <w:r>
        <w:t>k2073</w:t>
      </w:r>
    </w:p>
    <w:p w14:paraId="6971CD0F" w14:textId="77777777" w:rsidR="003F17B5" w:rsidRDefault="003F17B5" w:rsidP="003F17B5">
      <w:r>
        <w:t>14. Atlas of Variation. https://fingertips.phe.org.uk/profile/atlas-of-variation</w:t>
      </w:r>
    </w:p>
    <w:p w14:paraId="4DD4B50E" w14:textId="77777777" w:rsidR="003F17B5" w:rsidRDefault="003F17B5" w:rsidP="003F17B5">
      <w:r>
        <w:t xml:space="preserve">15. Bottle </w:t>
      </w:r>
      <w:proofErr w:type="gramStart"/>
      <w:r>
        <w:t>A</w:t>
      </w:r>
      <w:proofErr w:type="gramEnd"/>
      <w:r>
        <w:t>, Aylin P. Mortality associated with delay in operation after hip fracture: observational study BMJ 2006; 332: 947.</w:t>
      </w:r>
    </w:p>
    <w:p w14:paraId="7432B68B" w14:textId="77777777" w:rsidR="003F17B5" w:rsidRDefault="003F17B5" w:rsidP="003F17B5">
      <w:r>
        <w:lastRenderedPageBreak/>
        <w:t xml:space="preserve">16. Majeed A, </w:t>
      </w:r>
      <w:proofErr w:type="spellStart"/>
      <w:r>
        <w:t>Buckman</w:t>
      </w:r>
      <w:proofErr w:type="spellEnd"/>
      <w:r>
        <w:t xml:space="preserve"> L. Should all GPs become NHS employees? BMJ 2016; </w:t>
      </w:r>
      <w:proofErr w:type="gramStart"/>
      <w:r>
        <w:t>355 :</w:t>
      </w:r>
      <w:proofErr w:type="gramEnd"/>
      <w:r>
        <w:t>i5064</w:t>
      </w:r>
    </w:p>
    <w:p w14:paraId="5891F83E" w14:textId="77777777" w:rsidR="003F17B5" w:rsidRDefault="003F17B5" w:rsidP="003F17B5">
      <w:r>
        <w:t xml:space="preserve">17. Ward D, </w:t>
      </w:r>
      <w:proofErr w:type="spellStart"/>
      <w:r>
        <w:t>Chijoko</w:t>
      </w:r>
      <w:proofErr w:type="spellEnd"/>
      <w:r>
        <w:t xml:space="preserve"> L. Spending on and availability of health care resources: how does the UK compare to other countries? The King’s Fund, London 2018. https://www.kingsfund.org.uk/publications/spending-and-availability-health-care-resources</w:t>
      </w:r>
    </w:p>
    <w:p w14:paraId="1384BE33" w14:textId="77777777" w:rsidR="003F17B5" w:rsidRDefault="003F17B5" w:rsidP="003F17B5">
      <w:r>
        <w:t xml:space="preserve">18. Majeed A. Shortage of general practitioners in the NHS BMJ 2017; </w:t>
      </w:r>
      <w:proofErr w:type="gramStart"/>
      <w:r>
        <w:t>358 :</w:t>
      </w:r>
      <w:proofErr w:type="gramEnd"/>
      <w:r>
        <w:t>j3191</w:t>
      </w:r>
    </w:p>
    <w:p w14:paraId="668169FD" w14:textId="77777777" w:rsidR="003F17B5" w:rsidRDefault="003F17B5" w:rsidP="003F17B5">
      <w:r>
        <w:t>19. Burgess, M. (2017). The NHS is trialling an AI chatbots to answer your medical questions. http://www.wired.co.uk/article/babylon-nhs-chatbot-app</w:t>
      </w:r>
    </w:p>
    <w:p w14:paraId="0DCC0959" w14:textId="77777777" w:rsidR="003F17B5" w:rsidRDefault="003F17B5" w:rsidP="003F17B5">
      <w:r>
        <w:t xml:space="preserve">20. Black AD, Car J, </w:t>
      </w:r>
      <w:proofErr w:type="spellStart"/>
      <w:r>
        <w:t>Pagliari</w:t>
      </w:r>
      <w:proofErr w:type="spellEnd"/>
      <w:r>
        <w:t xml:space="preserve"> C, </w:t>
      </w:r>
      <w:proofErr w:type="spellStart"/>
      <w:r>
        <w:t>Anandan</w:t>
      </w:r>
      <w:proofErr w:type="spellEnd"/>
      <w:r>
        <w:t xml:space="preserve"> C, </w:t>
      </w:r>
      <w:proofErr w:type="spellStart"/>
      <w:r>
        <w:t>Cresswell</w:t>
      </w:r>
      <w:proofErr w:type="spellEnd"/>
      <w:r>
        <w:t xml:space="preserve"> K, </w:t>
      </w:r>
      <w:proofErr w:type="spellStart"/>
      <w:r>
        <w:t>Bokun</w:t>
      </w:r>
      <w:proofErr w:type="spellEnd"/>
      <w:r>
        <w:t xml:space="preserve"> T, </w:t>
      </w:r>
      <w:proofErr w:type="spellStart"/>
      <w:r>
        <w:t>McKinstry</w:t>
      </w:r>
      <w:proofErr w:type="spellEnd"/>
      <w:r>
        <w:t xml:space="preserve"> B, Procter R, Majeed A, Sheikh A. The impact of eHealth on the quality and safety of health care: a systematic overview. </w:t>
      </w:r>
      <w:proofErr w:type="spellStart"/>
      <w:r>
        <w:t>PLoS</w:t>
      </w:r>
      <w:proofErr w:type="spellEnd"/>
      <w:r>
        <w:t xml:space="preserve"> Medicine. 2011 Jan 18</w:t>
      </w:r>
      <w:proofErr w:type="gramStart"/>
      <w:r>
        <w:t>;8</w:t>
      </w:r>
      <w:proofErr w:type="gramEnd"/>
      <w:r>
        <w:t>(1):e1000387.</w:t>
      </w:r>
    </w:p>
    <w:p w14:paraId="678F472A" w14:textId="77777777" w:rsidR="003F17B5" w:rsidRDefault="003F17B5" w:rsidP="003F17B5">
      <w:r>
        <w:t>21. Rogers J, Maini A. Coaching for Health: Why it Works and how to Do it. Open University Press; 2016.</w:t>
      </w:r>
    </w:p>
    <w:p w14:paraId="7EA9FA0F" w14:textId="77777777" w:rsidR="003F17B5" w:rsidRDefault="003F17B5" w:rsidP="003F17B5">
      <w:r>
        <w:t xml:space="preserve">22. Pinnock H, Thomas M. Does self-management prevent severe exacerbations?  </w:t>
      </w:r>
      <w:proofErr w:type="spellStart"/>
      <w:r>
        <w:t>Curr</w:t>
      </w:r>
      <w:proofErr w:type="spellEnd"/>
      <w:r>
        <w:t xml:space="preserve"> </w:t>
      </w:r>
      <w:proofErr w:type="spellStart"/>
      <w:r>
        <w:t>Opin</w:t>
      </w:r>
      <w:proofErr w:type="spellEnd"/>
      <w:r>
        <w:t xml:space="preserve"> </w:t>
      </w:r>
      <w:proofErr w:type="spellStart"/>
      <w:r>
        <w:t>Pulm</w:t>
      </w:r>
      <w:proofErr w:type="spellEnd"/>
      <w:r>
        <w:t xml:space="preserve"> Med. 2015; 21:95-102.</w:t>
      </w:r>
    </w:p>
    <w:p w14:paraId="59EB0F8D" w14:textId="77777777" w:rsidR="003F17B5" w:rsidRDefault="003F17B5" w:rsidP="003F17B5">
      <w:r>
        <w:t xml:space="preserve">23. Marmot M, </w:t>
      </w:r>
      <w:proofErr w:type="spellStart"/>
      <w:r>
        <w:t>Friel</w:t>
      </w:r>
      <w:proofErr w:type="spellEnd"/>
      <w:r>
        <w:t xml:space="preserve"> S, Bell R, </w:t>
      </w:r>
      <w:proofErr w:type="spellStart"/>
      <w:r>
        <w:t>Houweling</w:t>
      </w:r>
      <w:proofErr w:type="spellEnd"/>
      <w:r>
        <w:t xml:space="preserve"> TA, Taylor S, Commission on Social Determinants of Health. Closing the gap in a generation: health equity through action on the social determinants of health. The Lancet 2008; 372: 1661-9.</w:t>
      </w:r>
    </w:p>
    <w:p w14:paraId="29C0890A" w14:textId="77777777" w:rsidR="003F17B5" w:rsidRDefault="003F17B5" w:rsidP="003F17B5">
      <w:r>
        <w:t xml:space="preserve">24. </w:t>
      </w:r>
      <w:proofErr w:type="spellStart"/>
      <w:r>
        <w:t>Califf</w:t>
      </w:r>
      <w:proofErr w:type="spellEnd"/>
      <w:r>
        <w:t xml:space="preserve"> RM, Robb MA, Bindman AB et al. Transforming evidence generation to support health and health care decisions. N </w:t>
      </w:r>
      <w:proofErr w:type="spellStart"/>
      <w:r>
        <w:t>Engl</w:t>
      </w:r>
      <w:proofErr w:type="spellEnd"/>
      <w:r>
        <w:t xml:space="preserve"> J Med 2016; 375:2395-2400.</w:t>
      </w:r>
    </w:p>
    <w:p w14:paraId="23F9C080" w14:textId="5A55FEED" w:rsidR="009929FB" w:rsidRDefault="003F17B5" w:rsidP="003F17B5">
      <w:r>
        <w:t xml:space="preserve">25. Ham C. A funding boost for the NHS in England. BMJ 2018; </w:t>
      </w:r>
      <w:proofErr w:type="gramStart"/>
      <w:r>
        <w:t>361 :</w:t>
      </w:r>
      <w:proofErr w:type="gramEnd"/>
      <w:r>
        <w:t>k2741</w:t>
      </w:r>
    </w:p>
    <w:p w14:paraId="3021B014" w14:textId="77777777" w:rsidR="003F17B5" w:rsidRDefault="003F17B5" w:rsidP="003F17B5"/>
    <w:p w14:paraId="3F5AB1C9" w14:textId="77777777" w:rsidR="00936E0E" w:rsidRDefault="00660184" w:rsidP="009929FB">
      <w:r>
        <w:br w:type="page"/>
      </w:r>
    </w:p>
    <w:p w14:paraId="15634A35" w14:textId="77777777" w:rsidR="00660184" w:rsidRPr="002E60D0" w:rsidRDefault="00671B20" w:rsidP="002E60D0">
      <w:pPr>
        <w:rPr>
          <w:b/>
        </w:rPr>
      </w:pPr>
      <w:r w:rsidRPr="002E60D0">
        <w:rPr>
          <w:b/>
        </w:rPr>
        <w:lastRenderedPageBreak/>
        <w:t>Table</w:t>
      </w:r>
      <w:r w:rsidR="002E60D0">
        <w:rPr>
          <w:b/>
        </w:rPr>
        <w:t xml:space="preserve"> 1</w:t>
      </w:r>
      <w:r w:rsidRPr="002E60D0">
        <w:rPr>
          <w:b/>
        </w:rPr>
        <w:t xml:space="preserve">. </w:t>
      </w:r>
      <w:r w:rsidR="002E60D0" w:rsidRPr="002E60D0">
        <w:rPr>
          <w:b/>
        </w:rPr>
        <w:t>Major lower extremity amputation in adults</w:t>
      </w:r>
      <w:r w:rsidR="006419B8">
        <w:rPr>
          <w:b/>
        </w:rPr>
        <w:t xml:space="preserve"> in selected European countries</w:t>
      </w:r>
      <w:r w:rsidR="002E60D0" w:rsidRPr="002E60D0">
        <w:rPr>
          <w:b/>
        </w:rPr>
        <w:t>, 2015 (or nearest year). Rate per 100,000 population (age-sex standardised)</w:t>
      </w:r>
    </w:p>
    <w:tbl>
      <w:tblPr>
        <w:tblW w:w="4519" w:type="dxa"/>
        <w:tblInd w:w="108" w:type="dxa"/>
        <w:tblLook w:val="04A0" w:firstRow="1" w:lastRow="0" w:firstColumn="1" w:lastColumn="0" w:noHBand="0" w:noVBand="1"/>
      </w:tblPr>
      <w:tblGrid>
        <w:gridCol w:w="960"/>
        <w:gridCol w:w="2920"/>
        <w:gridCol w:w="639"/>
      </w:tblGrid>
      <w:tr w:rsidR="00671B20" w:rsidRPr="00671B20" w14:paraId="734FA4A8" w14:textId="77777777" w:rsidTr="002E60D0">
        <w:trPr>
          <w:trHeight w:val="255"/>
        </w:trPr>
        <w:tc>
          <w:tcPr>
            <w:tcW w:w="960" w:type="dxa"/>
            <w:tcBorders>
              <w:top w:val="nil"/>
              <w:left w:val="nil"/>
              <w:bottom w:val="nil"/>
              <w:right w:val="nil"/>
            </w:tcBorders>
            <w:shd w:val="clear" w:color="auto" w:fill="auto"/>
            <w:noWrap/>
            <w:vAlign w:val="bottom"/>
            <w:hideMark/>
          </w:tcPr>
          <w:p w14:paraId="1D229318" w14:textId="77777777" w:rsidR="00671B20" w:rsidRPr="00671B20" w:rsidRDefault="00671B20" w:rsidP="00671B20">
            <w:pPr>
              <w:spacing w:after="0" w:line="240" w:lineRule="auto"/>
              <w:rPr>
                <w:rFonts w:ascii="Times New Roman" w:hAnsi="Times New Roman"/>
                <w:sz w:val="20"/>
                <w:szCs w:val="20"/>
              </w:rPr>
            </w:pPr>
          </w:p>
        </w:tc>
        <w:tc>
          <w:tcPr>
            <w:tcW w:w="3559" w:type="dxa"/>
            <w:gridSpan w:val="2"/>
            <w:tcBorders>
              <w:top w:val="nil"/>
              <w:left w:val="nil"/>
              <w:bottom w:val="nil"/>
              <w:right w:val="nil"/>
            </w:tcBorders>
            <w:shd w:val="clear" w:color="auto" w:fill="auto"/>
            <w:noWrap/>
            <w:vAlign w:val="bottom"/>
          </w:tcPr>
          <w:p w14:paraId="5271D044" w14:textId="77777777" w:rsidR="00671B20" w:rsidRPr="00671B20" w:rsidRDefault="00671B20" w:rsidP="00671B20">
            <w:pPr>
              <w:spacing w:after="0" w:line="240" w:lineRule="auto"/>
              <w:rPr>
                <w:rFonts w:ascii="Arial" w:hAnsi="Arial" w:cs="Arial"/>
                <w:b/>
                <w:bCs/>
                <w:sz w:val="20"/>
                <w:szCs w:val="20"/>
              </w:rPr>
            </w:pPr>
          </w:p>
        </w:tc>
      </w:tr>
      <w:tr w:rsidR="00671B20" w:rsidRPr="00671B20" w14:paraId="694A038F" w14:textId="77777777" w:rsidTr="002E60D0">
        <w:trPr>
          <w:trHeight w:val="255"/>
        </w:trPr>
        <w:tc>
          <w:tcPr>
            <w:tcW w:w="960" w:type="dxa"/>
            <w:tcBorders>
              <w:top w:val="nil"/>
              <w:left w:val="nil"/>
              <w:bottom w:val="nil"/>
              <w:right w:val="nil"/>
            </w:tcBorders>
            <w:shd w:val="clear" w:color="auto" w:fill="auto"/>
            <w:noWrap/>
            <w:vAlign w:val="bottom"/>
            <w:hideMark/>
          </w:tcPr>
          <w:p w14:paraId="516CA6B5" w14:textId="77777777" w:rsidR="00671B20" w:rsidRPr="00671B20" w:rsidRDefault="00671B20" w:rsidP="00671B20">
            <w:pPr>
              <w:spacing w:after="0" w:line="240" w:lineRule="auto"/>
              <w:rPr>
                <w:rFonts w:ascii="Arial" w:hAnsi="Arial" w:cs="Arial"/>
                <w:b/>
                <w:bCs/>
                <w:sz w:val="20"/>
                <w:szCs w:val="20"/>
              </w:rPr>
            </w:pPr>
          </w:p>
        </w:tc>
        <w:tc>
          <w:tcPr>
            <w:tcW w:w="3559" w:type="dxa"/>
            <w:gridSpan w:val="2"/>
            <w:tcBorders>
              <w:top w:val="nil"/>
              <w:left w:val="nil"/>
              <w:bottom w:val="nil"/>
              <w:right w:val="nil"/>
            </w:tcBorders>
            <w:shd w:val="clear" w:color="auto" w:fill="auto"/>
            <w:noWrap/>
            <w:vAlign w:val="bottom"/>
          </w:tcPr>
          <w:p w14:paraId="50445A53" w14:textId="77777777" w:rsidR="00671B20" w:rsidRPr="00671B20" w:rsidRDefault="00671B20" w:rsidP="00671B20">
            <w:pPr>
              <w:spacing w:after="0" w:line="240" w:lineRule="auto"/>
              <w:rPr>
                <w:rFonts w:ascii="Arial" w:hAnsi="Arial" w:cs="Arial"/>
                <w:color w:val="000000"/>
                <w:sz w:val="20"/>
                <w:szCs w:val="20"/>
              </w:rPr>
            </w:pPr>
          </w:p>
        </w:tc>
      </w:tr>
      <w:tr w:rsidR="00671B20" w:rsidRPr="00671B20" w14:paraId="46533355" w14:textId="77777777" w:rsidTr="002E60D0">
        <w:trPr>
          <w:trHeight w:val="255"/>
        </w:trPr>
        <w:tc>
          <w:tcPr>
            <w:tcW w:w="960" w:type="dxa"/>
            <w:tcBorders>
              <w:top w:val="nil"/>
              <w:left w:val="nil"/>
              <w:bottom w:val="nil"/>
              <w:right w:val="nil"/>
            </w:tcBorders>
            <w:shd w:val="clear" w:color="auto" w:fill="auto"/>
            <w:noWrap/>
            <w:vAlign w:val="bottom"/>
            <w:hideMark/>
          </w:tcPr>
          <w:p w14:paraId="577763E2" w14:textId="77777777" w:rsidR="00671B20" w:rsidRPr="00671B20" w:rsidRDefault="00671B20" w:rsidP="00671B20">
            <w:pPr>
              <w:spacing w:after="0" w:line="240" w:lineRule="auto"/>
              <w:rPr>
                <w:rFonts w:ascii="Arial" w:hAnsi="Arial" w:cs="Arial"/>
                <w:color w:val="000000"/>
                <w:sz w:val="20"/>
                <w:szCs w:val="20"/>
              </w:rPr>
            </w:pPr>
          </w:p>
        </w:tc>
        <w:tc>
          <w:tcPr>
            <w:tcW w:w="2920" w:type="dxa"/>
            <w:tcBorders>
              <w:top w:val="single" w:sz="4" w:space="0" w:color="C0C0C0"/>
              <w:left w:val="single" w:sz="4" w:space="0" w:color="C0C0C0"/>
              <w:bottom w:val="single" w:sz="4" w:space="0" w:color="C0C0C0"/>
              <w:right w:val="single" w:sz="4" w:space="0" w:color="C0C0C0"/>
            </w:tcBorders>
            <w:shd w:val="clear" w:color="auto" w:fill="auto"/>
            <w:noWrap/>
            <w:vAlign w:val="bottom"/>
            <w:hideMark/>
          </w:tcPr>
          <w:p w14:paraId="1A3FB443"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 </w:t>
            </w:r>
          </w:p>
        </w:tc>
        <w:tc>
          <w:tcPr>
            <w:tcW w:w="639" w:type="dxa"/>
            <w:tcBorders>
              <w:top w:val="single" w:sz="4" w:space="0" w:color="C0C0C0"/>
              <w:left w:val="nil"/>
              <w:bottom w:val="single" w:sz="4" w:space="0" w:color="C0C0C0"/>
              <w:right w:val="single" w:sz="4" w:space="0" w:color="C0C0C0"/>
            </w:tcBorders>
            <w:shd w:val="clear" w:color="auto" w:fill="auto"/>
            <w:noWrap/>
            <w:vAlign w:val="bottom"/>
            <w:hideMark/>
          </w:tcPr>
          <w:p w14:paraId="18F33C0B"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 </w:t>
            </w:r>
          </w:p>
        </w:tc>
      </w:tr>
      <w:tr w:rsidR="00671B20" w:rsidRPr="00671B20" w14:paraId="0C25445D" w14:textId="77777777" w:rsidTr="002E60D0">
        <w:trPr>
          <w:trHeight w:val="255"/>
        </w:trPr>
        <w:tc>
          <w:tcPr>
            <w:tcW w:w="960" w:type="dxa"/>
            <w:tcBorders>
              <w:top w:val="nil"/>
              <w:left w:val="nil"/>
              <w:bottom w:val="nil"/>
              <w:right w:val="nil"/>
            </w:tcBorders>
            <w:shd w:val="clear" w:color="auto" w:fill="auto"/>
            <w:noWrap/>
            <w:vAlign w:val="bottom"/>
            <w:hideMark/>
          </w:tcPr>
          <w:p w14:paraId="00E52CB5" w14:textId="77777777" w:rsidR="00671B20" w:rsidRPr="00671B20" w:rsidRDefault="00671B20" w:rsidP="00671B20">
            <w:pPr>
              <w:spacing w:after="0" w:line="240" w:lineRule="auto"/>
              <w:jc w:val="right"/>
              <w:rPr>
                <w:rFonts w:ascii="Arial" w:hAnsi="Arial" w:cs="Arial"/>
                <w:color w:val="000000"/>
                <w:sz w:val="20"/>
                <w:szCs w:val="20"/>
              </w:rPr>
            </w:pPr>
            <w:r w:rsidRPr="00671B20">
              <w:rPr>
                <w:rFonts w:ascii="Arial" w:hAnsi="Arial" w:cs="Arial"/>
                <w:color w:val="000000"/>
                <w:sz w:val="20"/>
                <w:szCs w:val="20"/>
              </w:rPr>
              <w:t>Rank</w:t>
            </w:r>
          </w:p>
        </w:tc>
        <w:tc>
          <w:tcPr>
            <w:tcW w:w="2920" w:type="dxa"/>
            <w:tcBorders>
              <w:top w:val="nil"/>
              <w:left w:val="single" w:sz="4" w:space="0" w:color="C0C0C0"/>
              <w:bottom w:val="single" w:sz="4" w:space="0" w:color="C0C0C0"/>
              <w:right w:val="single" w:sz="4" w:space="0" w:color="C0C0C0"/>
            </w:tcBorders>
            <w:shd w:val="clear" w:color="auto" w:fill="auto"/>
            <w:noWrap/>
            <w:vAlign w:val="bottom"/>
            <w:hideMark/>
          </w:tcPr>
          <w:p w14:paraId="72F0D3A6"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Country</w:t>
            </w:r>
          </w:p>
        </w:tc>
        <w:tc>
          <w:tcPr>
            <w:tcW w:w="639" w:type="dxa"/>
            <w:tcBorders>
              <w:top w:val="nil"/>
              <w:left w:val="nil"/>
              <w:bottom w:val="single" w:sz="4" w:space="0" w:color="C0C0C0"/>
              <w:right w:val="single" w:sz="4" w:space="0" w:color="C0C0C0"/>
            </w:tcBorders>
            <w:shd w:val="clear" w:color="auto" w:fill="auto"/>
            <w:noWrap/>
            <w:vAlign w:val="bottom"/>
            <w:hideMark/>
          </w:tcPr>
          <w:p w14:paraId="1BF4747B"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Rate</w:t>
            </w:r>
          </w:p>
        </w:tc>
      </w:tr>
      <w:tr w:rsidR="00671B20" w:rsidRPr="00671B20" w14:paraId="1C88E451" w14:textId="77777777" w:rsidTr="002E60D0">
        <w:trPr>
          <w:trHeight w:val="255"/>
        </w:trPr>
        <w:tc>
          <w:tcPr>
            <w:tcW w:w="960" w:type="dxa"/>
            <w:tcBorders>
              <w:top w:val="nil"/>
              <w:left w:val="nil"/>
              <w:bottom w:val="nil"/>
              <w:right w:val="nil"/>
            </w:tcBorders>
            <w:shd w:val="clear" w:color="auto" w:fill="auto"/>
            <w:noWrap/>
            <w:vAlign w:val="bottom"/>
            <w:hideMark/>
          </w:tcPr>
          <w:p w14:paraId="0CBC67AC" w14:textId="77777777" w:rsidR="00671B20" w:rsidRPr="00671B20" w:rsidRDefault="00671B20" w:rsidP="00671B20">
            <w:pPr>
              <w:spacing w:after="0" w:line="240" w:lineRule="auto"/>
              <w:jc w:val="right"/>
              <w:rPr>
                <w:rFonts w:ascii="Arial" w:hAnsi="Arial" w:cs="Arial"/>
                <w:color w:val="000000"/>
                <w:sz w:val="20"/>
                <w:szCs w:val="20"/>
              </w:rPr>
            </w:pPr>
            <w:r w:rsidRPr="00671B20">
              <w:rPr>
                <w:rFonts w:ascii="Arial" w:hAnsi="Arial" w:cs="Arial"/>
                <w:color w:val="000000"/>
                <w:sz w:val="20"/>
                <w:szCs w:val="20"/>
              </w:rPr>
              <w:t>1</w:t>
            </w:r>
          </w:p>
        </w:tc>
        <w:tc>
          <w:tcPr>
            <w:tcW w:w="2920" w:type="dxa"/>
            <w:tcBorders>
              <w:top w:val="nil"/>
              <w:left w:val="single" w:sz="4" w:space="0" w:color="C0C0C0"/>
              <w:bottom w:val="single" w:sz="4" w:space="0" w:color="C0C0C0"/>
              <w:right w:val="single" w:sz="4" w:space="0" w:color="C0C0C0"/>
            </w:tcBorders>
            <w:shd w:val="clear" w:color="auto" w:fill="auto"/>
            <w:noWrap/>
            <w:vAlign w:val="bottom"/>
            <w:hideMark/>
          </w:tcPr>
          <w:p w14:paraId="32E1FAB1"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Italy</w:t>
            </w:r>
          </w:p>
        </w:tc>
        <w:tc>
          <w:tcPr>
            <w:tcW w:w="639" w:type="dxa"/>
            <w:tcBorders>
              <w:top w:val="nil"/>
              <w:left w:val="nil"/>
              <w:bottom w:val="single" w:sz="4" w:space="0" w:color="C0C0C0"/>
              <w:right w:val="single" w:sz="4" w:space="0" w:color="C0C0C0"/>
            </w:tcBorders>
            <w:shd w:val="clear" w:color="auto" w:fill="auto"/>
            <w:noWrap/>
            <w:vAlign w:val="bottom"/>
            <w:hideMark/>
          </w:tcPr>
          <w:p w14:paraId="225B1D89"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2.7</w:t>
            </w:r>
          </w:p>
        </w:tc>
      </w:tr>
      <w:tr w:rsidR="00671B20" w:rsidRPr="00671B20" w14:paraId="1739F110" w14:textId="77777777" w:rsidTr="002E60D0">
        <w:trPr>
          <w:trHeight w:val="255"/>
        </w:trPr>
        <w:tc>
          <w:tcPr>
            <w:tcW w:w="960" w:type="dxa"/>
            <w:tcBorders>
              <w:top w:val="nil"/>
              <w:left w:val="nil"/>
              <w:bottom w:val="nil"/>
              <w:right w:val="nil"/>
            </w:tcBorders>
            <w:shd w:val="clear" w:color="auto" w:fill="auto"/>
            <w:noWrap/>
            <w:vAlign w:val="bottom"/>
            <w:hideMark/>
          </w:tcPr>
          <w:p w14:paraId="4AABBF35" w14:textId="77777777" w:rsidR="00671B20" w:rsidRPr="00671B20" w:rsidRDefault="00671B20" w:rsidP="00671B20">
            <w:pPr>
              <w:spacing w:after="0" w:line="240" w:lineRule="auto"/>
              <w:jc w:val="right"/>
              <w:rPr>
                <w:rFonts w:ascii="Arial" w:hAnsi="Arial" w:cs="Arial"/>
                <w:color w:val="000000"/>
                <w:sz w:val="20"/>
                <w:szCs w:val="20"/>
              </w:rPr>
            </w:pPr>
            <w:r w:rsidRPr="00671B20">
              <w:rPr>
                <w:rFonts w:ascii="Arial" w:hAnsi="Arial" w:cs="Arial"/>
                <w:color w:val="000000"/>
                <w:sz w:val="20"/>
                <w:szCs w:val="20"/>
              </w:rPr>
              <w:t>2</w:t>
            </w:r>
          </w:p>
        </w:tc>
        <w:tc>
          <w:tcPr>
            <w:tcW w:w="2920" w:type="dxa"/>
            <w:tcBorders>
              <w:top w:val="nil"/>
              <w:left w:val="single" w:sz="4" w:space="0" w:color="C0C0C0"/>
              <w:bottom w:val="single" w:sz="4" w:space="0" w:color="C0C0C0"/>
              <w:right w:val="single" w:sz="4" w:space="0" w:color="C0C0C0"/>
            </w:tcBorders>
            <w:shd w:val="clear" w:color="auto" w:fill="auto"/>
            <w:noWrap/>
            <w:vAlign w:val="bottom"/>
            <w:hideMark/>
          </w:tcPr>
          <w:p w14:paraId="39D32E8B"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Finland</w:t>
            </w:r>
          </w:p>
        </w:tc>
        <w:tc>
          <w:tcPr>
            <w:tcW w:w="639" w:type="dxa"/>
            <w:tcBorders>
              <w:top w:val="nil"/>
              <w:left w:val="nil"/>
              <w:bottom w:val="single" w:sz="4" w:space="0" w:color="C0C0C0"/>
              <w:right w:val="single" w:sz="4" w:space="0" w:color="C0C0C0"/>
            </w:tcBorders>
            <w:shd w:val="clear" w:color="auto" w:fill="auto"/>
            <w:noWrap/>
            <w:vAlign w:val="bottom"/>
            <w:hideMark/>
          </w:tcPr>
          <w:p w14:paraId="75AD5F9D"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2.8</w:t>
            </w:r>
          </w:p>
        </w:tc>
      </w:tr>
      <w:tr w:rsidR="00671B20" w:rsidRPr="00671B20" w14:paraId="5F26D9B8" w14:textId="77777777" w:rsidTr="002E60D0">
        <w:trPr>
          <w:trHeight w:val="255"/>
        </w:trPr>
        <w:tc>
          <w:tcPr>
            <w:tcW w:w="960" w:type="dxa"/>
            <w:tcBorders>
              <w:top w:val="nil"/>
              <w:left w:val="nil"/>
              <w:bottom w:val="nil"/>
              <w:right w:val="nil"/>
            </w:tcBorders>
            <w:shd w:val="clear" w:color="auto" w:fill="auto"/>
            <w:noWrap/>
            <w:vAlign w:val="bottom"/>
            <w:hideMark/>
          </w:tcPr>
          <w:p w14:paraId="24E1C35D" w14:textId="77777777" w:rsidR="00671B20" w:rsidRPr="00671B20" w:rsidRDefault="00671B20" w:rsidP="00671B20">
            <w:pPr>
              <w:spacing w:after="0" w:line="240" w:lineRule="auto"/>
              <w:jc w:val="right"/>
              <w:rPr>
                <w:rFonts w:ascii="Arial" w:hAnsi="Arial" w:cs="Arial"/>
                <w:color w:val="000000"/>
                <w:sz w:val="20"/>
                <w:szCs w:val="20"/>
              </w:rPr>
            </w:pPr>
            <w:r w:rsidRPr="00671B20">
              <w:rPr>
                <w:rFonts w:ascii="Arial" w:hAnsi="Arial" w:cs="Arial"/>
                <w:color w:val="000000"/>
                <w:sz w:val="20"/>
                <w:szCs w:val="20"/>
              </w:rPr>
              <w:t>3</w:t>
            </w:r>
          </w:p>
        </w:tc>
        <w:tc>
          <w:tcPr>
            <w:tcW w:w="2920" w:type="dxa"/>
            <w:tcBorders>
              <w:top w:val="nil"/>
              <w:left w:val="single" w:sz="4" w:space="0" w:color="C0C0C0"/>
              <w:bottom w:val="single" w:sz="4" w:space="0" w:color="C0C0C0"/>
              <w:right w:val="single" w:sz="4" w:space="0" w:color="C0C0C0"/>
            </w:tcBorders>
            <w:shd w:val="clear" w:color="auto" w:fill="auto"/>
            <w:noWrap/>
            <w:vAlign w:val="bottom"/>
            <w:hideMark/>
          </w:tcPr>
          <w:p w14:paraId="04108461" w14:textId="77777777" w:rsidR="00671B20" w:rsidRPr="00671B20" w:rsidRDefault="00671B20" w:rsidP="00671B20">
            <w:pPr>
              <w:spacing w:after="0" w:line="240" w:lineRule="auto"/>
              <w:jc w:val="right"/>
              <w:rPr>
                <w:rFonts w:ascii="Arial" w:hAnsi="Arial" w:cs="Arial"/>
                <w:b/>
                <w:sz w:val="20"/>
                <w:szCs w:val="20"/>
              </w:rPr>
            </w:pPr>
            <w:r w:rsidRPr="00671B20">
              <w:rPr>
                <w:rFonts w:ascii="Arial" w:hAnsi="Arial" w:cs="Arial"/>
                <w:b/>
                <w:sz w:val="20"/>
                <w:szCs w:val="20"/>
              </w:rPr>
              <w:t>United Kingdom</w:t>
            </w:r>
          </w:p>
        </w:tc>
        <w:tc>
          <w:tcPr>
            <w:tcW w:w="639" w:type="dxa"/>
            <w:tcBorders>
              <w:top w:val="nil"/>
              <w:left w:val="nil"/>
              <w:bottom w:val="single" w:sz="4" w:space="0" w:color="C0C0C0"/>
              <w:right w:val="single" w:sz="4" w:space="0" w:color="C0C0C0"/>
            </w:tcBorders>
            <w:shd w:val="clear" w:color="auto" w:fill="auto"/>
            <w:noWrap/>
            <w:vAlign w:val="bottom"/>
            <w:hideMark/>
          </w:tcPr>
          <w:p w14:paraId="08B33C8E"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2.9</w:t>
            </w:r>
          </w:p>
        </w:tc>
      </w:tr>
      <w:tr w:rsidR="00671B20" w:rsidRPr="00671B20" w14:paraId="458B7D62" w14:textId="77777777" w:rsidTr="002E60D0">
        <w:trPr>
          <w:trHeight w:val="255"/>
        </w:trPr>
        <w:tc>
          <w:tcPr>
            <w:tcW w:w="960" w:type="dxa"/>
            <w:tcBorders>
              <w:top w:val="nil"/>
              <w:left w:val="nil"/>
              <w:bottom w:val="nil"/>
              <w:right w:val="nil"/>
            </w:tcBorders>
            <w:shd w:val="clear" w:color="auto" w:fill="auto"/>
            <w:noWrap/>
            <w:vAlign w:val="bottom"/>
            <w:hideMark/>
          </w:tcPr>
          <w:p w14:paraId="707B4248" w14:textId="77777777" w:rsidR="00671B20" w:rsidRPr="00671B20" w:rsidRDefault="00671B20" w:rsidP="00671B20">
            <w:pPr>
              <w:spacing w:after="0" w:line="240" w:lineRule="auto"/>
              <w:jc w:val="right"/>
              <w:rPr>
                <w:rFonts w:ascii="Arial" w:hAnsi="Arial" w:cs="Arial"/>
                <w:color w:val="000000"/>
                <w:sz w:val="20"/>
                <w:szCs w:val="20"/>
              </w:rPr>
            </w:pPr>
            <w:r w:rsidRPr="00671B20">
              <w:rPr>
                <w:rFonts w:ascii="Arial" w:hAnsi="Arial" w:cs="Arial"/>
                <w:color w:val="000000"/>
                <w:sz w:val="20"/>
                <w:szCs w:val="20"/>
              </w:rPr>
              <w:t>4</w:t>
            </w:r>
          </w:p>
        </w:tc>
        <w:tc>
          <w:tcPr>
            <w:tcW w:w="2920" w:type="dxa"/>
            <w:tcBorders>
              <w:top w:val="nil"/>
              <w:left w:val="single" w:sz="4" w:space="0" w:color="C0C0C0"/>
              <w:bottom w:val="single" w:sz="4" w:space="0" w:color="C0C0C0"/>
              <w:right w:val="single" w:sz="4" w:space="0" w:color="C0C0C0"/>
            </w:tcBorders>
            <w:shd w:val="clear" w:color="auto" w:fill="auto"/>
            <w:noWrap/>
            <w:vAlign w:val="bottom"/>
            <w:hideMark/>
          </w:tcPr>
          <w:p w14:paraId="43AAA736"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Ireland</w:t>
            </w:r>
          </w:p>
        </w:tc>
        <w:tc>
          <w:tcPr>
            <w:tcW w:w="639" w:type="dxa"/>
            <w:tcBorders>
              <w:top w:val="nil"/>
              <w:left w:val="nil"/>
              <w:bottom w:val="single" w:sz="4" w:space="0" w:color="C0C0C0"/>
              <w:right w:val="single" w:sz="4" w:space="0" w:color="C0C0C0"/>
            </w:tcBorders>
            <w:shd w:val="clear" w:color="auto" w:fill="auto"/>
            <w:noWrap/>
            <w:vAlign w:val="bottom"/>
            <w:hideMark/>
          </w:tcPr>
          <w:p w14:paraId="04DDA18E"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3.2</w:t>
            </w:r>
          </w:p>
        </w:tc>
      </w:tr>
      <w:tr w:rsidR="00671B20" w:rsidRPr="00671B20" w14:paraId="651B7EF5" w14:textId="77777777" w:rsidTr="002E60D0">
        <w:trPr>
          <w:trHeight w:val="255"/>
        </w:trPr>
        <w:tc>
          <w:tcPr>
            <w:tcW w:w="960" w:type="dxa"/>
            <w:tcBorders>
              <w:top w:val="nil"/>
              <w:left w:val="nil"/>
              <w:bottom w:val="nil"/>
              <w:right w:val="nil"/>
            </w:tcBorders>
            <w:shd w:val="clear" w:color="auto" w:fill="auto"/>
            <w:noWrap/>
            <w:vAlign w:val="bottom"/>
            <w:hideMark/>
          </w:tcPr>
          <w:p w14:paraId="1355E64E" w14:textId="77777777" w:rsidR="00671B20" w:rsidRPr="00671B20" w:rsidRDefault="00671B20" w:rsidP="00671B20">
            <w:pPr>
              <w:spacing w:after="0" w:line="240" w:lineRule="auto"/>
              <w:jc w:val="right"/>
              <w:rPr>
                <w:rFonts w:ascii="Arial" w:hAnsi="Arial" w:cs="Arial"/>
                <w:color w:val="000000"/>
                <w:sz w:val="20"/>
                <w:szCs w:val="20"/>
              </w:rPr>
            </w:pPr>
            <w:r w:rsidRPr="00671B20">
              <w:rPr>
                <w:rFonts w:ascii="Arial" w:hAnsi="Arial" w:cs="Arial"/>
                <w:color w:val="000000"/>
                <w:sz w:val="20"/>
                <w:szCs w:val="20"/>
              </w:rPr>
              <w:t>5</w:t>
            </w:r>
          </w:p>
        </w:tc>
        <w:tc>
          <w:tcPr>
            <w:tcW w:w="2920" w:type="dxa"/>
            <w:tcBorders>
              <w:top w:val="nil"/>
              <w:left w:val="single" w:sz="4" w:space="0" w:color="C0C0C0"/>
              <w:bottom w:val="single" w:sz="4" w:space="0" w:color="C0C0C0"/>
              <w:right w:val="single" w:sz="4" w:space="0" w:color="C0C0C0"/>
            </w:tcBorders>
            <w:shd w:val="clear" w:color="auto" w:fill="auto"/>
            <w:noWrap/>
            <w:vAlign w:val="bottom"/>
            <w:hideMark/>
          </w:tcPr>
          <w:p w14:paraId="6170FFAC"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Luxembourg</w:t>
            </w:r>
          </w:p>
        </w:tc>
        <w:tc>
          <w:tcPr>
            <w:tcW w:w="639" w:type="dxa"/>
            <w:tcBorders>
              <w:top w:val="nil"/>
              <w:left w:val="nil"/>
              <w:bottom w:val="single" w:sz="4" w:space="0" w:color="C0C0C0"/>
              <w:right w:val="single" w:sz="4" w:space="0" w:color="C0C0C0"/>
            </w:tcBorders>
            <w:shd w:val="clear" w:color="auto" w:fill="auto"/>
            <w:noWrap/>
            <w:vAlign w:val="bottom"/>
            <w:hideMark/>
          </w:tcPr>
          <w:p w14:paraId="470D524F"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3.6</w:t>
            </w:r>
          </w:p>
        </w:tc>
      </w:tr>
      <w:tr w:rsidR="00671B20" w:rsidRPr="00671B20" w14:paraId="47628222" w14:textId="77777777" w:rsidTr="002E60D0">
        <w:trPr>
          <w:trHeight w:val="255"/>
        </w:trPr>
        <w:tc>
          <w:tcPr>
            <w:tcW w:w="960" w:type="dxa"/>
            <w:tcBorders>
              <w:top w:val="nil"/>
              <w:left w:val="nil"/>
              <w:bottom w:val="nil"/>
              <w:right w:val="nil"/>
            </w:tcBorders>
            <w:shd w:val="clear" w:color="auto" w:fill="auto"/>
            <w:noWrap/>
            <w:vAlign w:val="bottom"/>
            <w:hideMark/>
          </w:tcPr>
          <w:p w14:paraId="6AE26A2C" w14:textId="77777777" w:rsidR="00671B20" w:rsidRPr="00671B20" w:rsidRDefault="00671B20" w:rsidP="00671B20">
            <w:pPr>
              <w:spacing w:after="0" w:line="240" w:lineRule="auto"/>
              <w:jc w:val="right"/>
              <w:rPr>
                <w:rFonts w:ascii="Arial" w:hAnsi="Arial" w:cs="Arial"/>
                <w:color w:val="000000"/>
                <w:sz w:val="20"/>
                <w:szCs w:val="20"/>
              </w:rPr>
            </w:pPr>
            <w:r w:rsidRPr="00671B20">
              <w:rPr>
                <w:rFonts w:ascii="Arial" w:hAnsi="Arial" w:cs="Arial"/>
                <w:color w:val="000000"/>
                <w:sz w:val="20"/>
                <w:szCs w:val="20"/>
              </w:rPr>
              <w:t>6</w:t>
            </w:r>
          </w:p>
        </w:tc>
        <w:tc>
          <w:tcPr>
            <w:tcW w:w="2920" w:type="dxa"/>
            <w:tcBorders>
              <w:top w:val="nil"/>
              <w:left w:val="single" w:sz="4" w:space="0" w:color="C0C0C0"/>
              <w:bottom w:val="single" w:sz="4" w:space="0" w:color="C0C0C0"/>
              <w:right w:val="single" w:sz="4" w:space="0" w:color="C0C0C0"/>
            </w:tcBorders>
            <w:shd w:val="clear" w:color="auto" w:fill="auto"/>
            <w:noWrap/>
            <w:vAlign w:val="bottom"/>
            <w:hideMark/>
          </w:tcPr>
          <w:p w14:paraId="0B100CC7"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Sweden</w:t>
            </w:r>
          </w:p>
        </w:tc>
        <w:tc>
          <w:tcPr>
            <w:tcW w:w="639" w:type="dxa"/>
            <w:tcBorders>
              <w:top w:val="nil"/>
              <w:left w:val="nil"/>
              <w:bottom w:val="single" w:sz="4" w:space="0" w:color="C0C0C0"/>
              <w:right w:val="single" w:sz="4" w:space="0" w:color="C0C0C0"/>
            </w:tcBorders>
            <w:shd w:val="clear" w:color="auto" w:fill="auto"/>
            <w:noWrap/>
            <w:vAlign w:val="bottom"/>
            <w:hideMark/>
          </w:tcPr>
          <w:p w14:paraId="01C6EC43"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3.7</w:t>
            </w:r>
          </w:p>
        </w:tc>
      </w:tr>
      <w:tr w:rsidR="00671B20" w:rsidRPr="00671B20" w14:paraId="5F8B37B8" w14:textId="77777777" w:rsidTr="002E60D0">
        <w:trPr>
          <w:trHeight w:val="255"/>
        </w:trPr>
        <w:tc>
          <w:tcPr>
            <w:tcW w:w="960" w:type="dxa"/>
            <w:tcBorders>
              <w:top w:val="nil"/>
              <w:left w:val="nil"/>
              <w:bottom w:val="nil"/>
              <w:right w:val="nil"/>
            </w:tcBorders>
            <w:shd w:val="clear" w:color="auto" w:fill="auto"/>
            <w:noWrap/>
            <w:vAlign w:val="bottom"/>
            <w:hideMark/>
          </w:tcPr>
          <w:p w14:paraId="29272A3F" w14:textId="77777777" w:rsidR="00671B20" w:rsidRPr="00671B20" w:rsidRDefault="00671B20" w:rsidP="00671B20">
            <w:pPr>
              <w:spacing w:after="0" w:line="240" w:lineRule="auto"/>
              <w:jc w:val="right"/>
              <w:rPr>
                <w:rFonts w:ascii="Arial" w:hAnsi="Arial" w:cs="Arial"/>
                <w:color w:val="000000"/>
                <w:sz w:val="20"/>
                <w:szCs w:val="20"/>
              </w:rPr>
            </w:pPr>
            <w:r w:rsidRPr="00671B20">
              <w:rPr>
                <w:rFonts w:ascii="Arial" w:hAnsi="Arial" w:cs="Arial"/>
                <w:color w:val="000000"/>
                <w:sz w:val="20"/>
                <w:szCs w:val="20"/>
              </w:rPr>
              <w:t>7</w:t>
            </w:r>
          </w:p>
        </w:tc>
        <w:tc>
          <w:tcPr>
            <w:tcW w:w="2920" w:type="dxa"/>
            <w:tcBorders>
              <w:top w:val="nil"/>
              <w:left w:val="single" w:sz="4" w:space="0" w:color="C0C0C0"/>
              <w:bottom w:val="single" w:sz="4" w:space="0" w:color="C0C0C0"/>
              <w:right w:val="single" w:sz="4" w:space="0" w:color="C0C0C0"/>
            </w:tcBorders>
            <w:shd w:val="clear" w:color="auto" w:fill="auto"/>
            <w:noWrap/>
            <w:vAlign w:val="bottom"/>
            <w:hideMark/>
          </w:tcPr>
          <w:p w14:paraId="5E8C7FD6"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Belgium</w:t>
            </w:r>
          </w:p>
        </w:tc>
        <w:tc>
          <w:tcPr>
            <w:tcW w:w="639" w:type="dxa"/>
            <w:tcBorders>
              <w:top w:val="nil"/>
              <w:left w:val="nil"/>
              <w:bottom w:val="single" w:sz="4" w:space="0" w:color="C0C0C0"/>
              <w:right w:val="single" w:sz="4" w:space="0" w:color="C0C0C0"/>
            </w:tcBorders>
            <w:shd w:val="clear" w:color="auto" w:fill="auto"/>
            <w:noWrap/>
            <w:vAlign w:val="bottom"/>
            <w:hideMark/>
          </w:tcPr>
          <w:p w14:paraId="4F11237C"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4.1</w:t>
            </w:r>
          </w:p>
        </w:tc>
      </w:tr>
      <w:tr w:rsidR="00671B20" w:rsidRPr="00671B20" w14:paraId="3C97ABB7" w14:textId="77777777" w:rsidTr="002E60D0">
        <w:trPr>
          <w:trHeight w:val="255"/>
        </w:trPr>
        <w:tc>
          <w:tcPr>
            <w:tcW w:w="960" w:type="dxa"/>
            <w:tcBorders>
              <w:top w:val="nil"/>
              <w:left w:val="nil"/>
              <w:bottom w:val="nil"/>
              <w:right w:val="nil"/>
            </w:tcBorders>
            <w:shd w:val="clear" w:color="auto" w:fill="auto"/>
            <w:noWrap/>
            <w:vAlign w:val="bottom"/>
            <w:hideMark/>
          </w:tcPr>
          <w:p w14:paraId="7AE5685B" w14:textId="77777777" w:rsidR="00671B20" w:rsidRPr="00671B20" w:rsidRDefault="00671B20" w:rsidP="00671B20">
            <w:pPr>
              <w:spacing w:after="0" w:line="240" w:lineRule="auto"/>
              <w:jc w:val="right"/>
              <w:rPr>
                <w:rFonts w:ascii="Arial" w:hAnsi="Arial" w:cs="Arial"/>
                <w:color w:val="000000"/>
                <w:sz w:val="20"/>
                <w:szCs w:val="20"/>
              </w:rPr>
            </w:pPr>
            <w:r w:rsidRPr="00671B20">
              <w:rPr>
                <w:rFonts w:ascii="Arial" w:hAnsi="Arial" w:cs="Arial"/>
                <w:color w:val="000000"/>
                <w:sz w:val="20"/>
                <w:szCs w:val="20"/>
              </w:rPr>
              <w:t>8</w:t>
            </w:r>
          </w:p>
        </w:tc>
        <w:tc>
          <w:tcPr>
            <w:tcW w:w="2920" w:type="dxa"/>
            <w:tcBorders>
              <w:top w:val="nil"/>
              <w:left w:val="single" w:sz="4" w:space="0" w:color="C0C0C0"/>
              <w:bottom w:val="single" w:sz="4" w:space="0" w:color="C0C0C0"/>
              <w:right w:val="single" w:sz="4" w:space="0" w:color="C0C0C0"/>
            </w:tcBorders>
            <w:shd w:val="clear" w:color="auto" w:fill="auto"/>
            <w:noWrap/>
            <w:vAlign w:val="bottom"/>
            <w:hideMark/>
          </w:tcPr>
          <w:p w14:paraId="4DE15515"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France</w:t>
            </w:r>
          </w:p>
        </w:tc>
        <w:tc>
          <w:tcPr>
            <w:tcW w:w="639" w:type="dxa"/>
            <w:tcBorders>
              <w:top w:val="nil"/>
              <w:left w:val="nil"/>
              <w:bottom w:val="single" w:sz="4" w:space="0" w:color="C0C0C0"/>
              <w:right w:val="single" w:sz="4" w:space="0" w:color="C0C0C0"/>
            </w:tcBorders>
            <w:shd w:val="clear" w:color="auto" w:fill="auto"/>
            <w:noWrap/>
            <w:vAlign w:val="bottom"/>
            <w:hideMark/>
          </w:tcPr>
          <w:p w14:paraId="5889E15E"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4.3</w:t>
            </w:r>
          </w:p>
        </w:tc>
      </w:tr>
      <w:tr w:rsidR="00671B20" w:rsidRPr="00671B20" w14:paraId="043406FB" w14:textId="77777777" w:rsidTr="002E60D0">
        <w:trPr>
          <w:trHeight w:val="255"/>
        </w:trPr>
        <w:tc>
          <w:tcPr>
            <w:tcW w:w="960" w:type="dxa"/>
            <w:tcBorders>
              <w:top w:val="nil"/>
              <w:left w:val="nil"/>
              <w:bottom w:val="nil"/>
              <w:right w:val="nil"/>
            </w:tcBorders>
            <w:shd w:val="clear" w:color="auto" w:fill="auto"/>
            <w:noWrap/>
            <w:vAlign w:val="bottom"/>
            <w:hideMark/>
          </w:tcPr>
          <w:p w14:paraId="21A359C8" w14:textId="77777777" w:rsidR="00671B20" w:rsidRPr="00671B20" w:rsidRDefault="00671B20" w:rsidP="00671B20">
            <w:pPr>
              <w:spacing w:after="0" w:line="240" w:lineRule="auto"/>
              <w:jc w:val="right"/>
              <w:rPr>
                <w:rFonts w:ascii="Arial" w:hAnsi="Arial" w:cs="Arial"/>
                <w:color w:val="000000"/>
                <w:sz w:val="20"/>
                <w:szCs w:val="20"/>
              </w:rPr>
            </w:pPr>
            <w:r w:rsidRPr="00671B20">
              <w:rPr>
                <w:rFonts w:ascii="Arial" w:hAnsi="Arial" w:cs="Arial"/>
                <w:color w:val="000000"/>
                <w:sz w:val="20"/>
                <w:szCs w:val="20"/>
              </w:rPr>
              <w:t>9</w:t>
            </w:r>
          </w:p>
        </w:tc>
        <w:tc>
          <w:tcPr>
            <w:tcW w:w="2920" w:type="dxa"/>
            <w:tcBorders>
              <w:top w:val="nil"/>
              <w:left w:val="single" w:sz="4" w:space="0" w:color="C0C0C0"/>
              <w:bottom w:val="single" w:sz="4" w:space="0" w:color="C0C0C0"/>
              <w:right w:val="single" w:sz="4" w:space="0" w:color="C0C0C0"/>
            </w:tcBorders>
            <w:shd w:val="clear" w:color="auto" w:fill="auto"/>
            <w:noWrap/>
            <w:vAlign w:val="bottom"/>
            <w:hideMark/>
          </w:tcPr>
          <w:p w14:paraId="12B82061"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Netherlands</w:t>
            </w:r>
          </w:p>
        </w:tc>
        <w:tc>
          <w:tcPr>
            <w:tcW w:w="639" w:type="dxa"/>
            <w:tcBorders>
              <w:top w:val="nil"/>
              <w:left w:val="nil"/>
              <w:bottom w:val="single" w:sz="4" w:space="0" w:color="C0C0C0"/>
              <w:right w:val="single" w:sz="4" w:space="0" w:color="C0C0C0"/>
            </w:tcBorders>
            <w:shd w:val="clear" w:color="auto" w:fill="auto"/>
            <w:noWrap/>
            <w:vAlign w:val="bottom"/>
            <w:hideMark/>
          </w:tcPr>
          <w:p w14:paraId="3CBEF118"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4.7</w:t>
            </w:r>
          </w:p>
        </w:tc>
      </w:tr>
      <w:tr w:rsidR="00671B20" w:rsidRPr="00671B20" w14:paraId="2C2DC4FA" w14:textId="77777777" w:rsidTr="002E60D0">
        <w:trPr>
          <w:trHeight w:val="255"/>
        </w:trPr>
        <w:tc>
          <w:tcPr>
            <w:tcW w:w="960" w:type="dxa"/>
            <w:tcBorders>
              <w:top w:val="nil"/>
              <w:left w:val="nil"/>
              <w:bottom w:val="nil"/>
              <w:right w:val="nil"/>
            </w:tcBorders>
            <w:shd w:val="clear" w:color="auto" w:fill="auto"/>
            <w:noWrap/>
            <w:vAlign w:val="bottom"/>
            <w:hideMark/>
          </w:tcPr>
          <w:p w14:paraId="5AFC75D1" w14:textId="77777777" w:rsidR="00671B20" w:rsidRPr="00671B20" w:rsidRDefault="00671B20" w:rsidP="00671B20">
            <w:pPr>
              <w:spacing w:after="0" w:line="240" w:lineRule="auto"/>
              <w:jc w:val="right"/>
              <w:rPr>
                <w:rFonts w:ascii="Arial" w:hAnsi="Arial" w:cs="Arial"/>
                <w:color w:val="000000"/>
                <w:sz w:val="20"/>
                <w:szCs w:val="20"/>
              </w:rPr>
            </w:pPr>
            <w:r w:rsidRPr="00671B20">
              <w:rPr>
                <w:rFonts w:ascii="Arial" w:hAnsi="Arial" w:cs="Arial"/>
                <w:color w:val="000000"/>
                <w:sz w:val="20"/>
                <w:szCs w:val="20"/>
              </w:rPr>
              <w:t>10</w:t>
            </w:r>
          </w:p>
        </w:tc>
        <w:tc>
          <w:tcPr>
            <w:tcW w:w="2920" w:type="dxa"/>
            <w:tcBorders>
              <w:top w:val="nil"/>
              <w:left w:val="single" w:sz="4" w:space="0" w:color="C0C0C0"/>
              <w:bottom w:val="single" w:sz="4" w:space="0" w:color="C0C0C0"/>
              <w:right w:val="single" w:sz="4" w:space="0" w:color="C0C0C0"/>
            </w:tcBorders>
            <w:shd w:val="clear" w:color="auto" w:fill="auto"/>
            <w:noWrap/>
            <w:vAlign w:val="bottom"/>
            <w:hideMark/>
          </w:tcPr>
          <w:p w14:paraId="2240BA54"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Poland</w:t>
            </w:r>
          </w:p>
        </w:tc>
        <w:tc>
          <w:tcPr>
            <w:tcW w:w="639" w:type="dxa"/>
            <w:tcBorders>
              <w:top w:val="nil"/>
              <w:left w:val="nil"/>
              <w:bottom w:val="single" w:sz="4" w:space="0" w:color="C0C0C0"/>
              <w:right w:val="single" w:sz="4" w:space="0" w:color="C0C0C0"/>
            </w:tcBorders>
            <w:shd w:val="clear" w:color="auto" w:fill="auto"/>
            <w:noWrap/>
            <w:vAlign w:val="bottom"/>
            <w:hideMark/>
          </w:tcPr>
          <w:p w14:paraId="2838F578"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4.9</w:t>
            </w:r>
          </w:p>
        </w:tc>
      </w:tr>
      <w:tr w:rsidR="00671B20" w:rsidRPr="00671B20" w14:paraId="08030359" w14:textId="77777777" w:rsidTr="002E60D0">
        <w:trPr>
          <w:trHeight w:val="255"/>
        </w:trPr>
        <w:tc>
          <w:tcPr>
            <w:tcW w:w="960" w:type="dxa"/>
            <w:tcBorders>
              <w:top w:val="nil"/>
              <w:left w:val="nil"/>
              <w:bottom w:val="nil"/>
              <w:right w:val="nil"/>
            </w:tcBorders>
            <w:shd w:val="clear" w:color="auto" w:fill="auto"/>
            <w:noWrap/>
            <w:vAlign w:val="bottom"/>
            <w:hideMark/>
          </w:tcPr>
          <w:p w14:paraId="72EA7020" w14:textId="77777777" w:rsidR="00671B20" w:rsidRPr="00671B20" w:rsidRDefault="00671B20" w:rsidP="00671B20">
            <w:pPr>
              <w:spacing w:after="0" w:line="240" w:lineRule="auto"/>
              <w:jc w:val="right"/>
              <w:rPr>
                <w:rFonts w:ascii="Arial" w:hAnsi="Arial" w:cs="Arial"/>
                <w:color w:val="000000"/>
                <w:sz w:val="20"/>
                <w:szCs w:val="20"/>
              </w:rPr>
            </w:pPr>
            <w:r w:rsidRPr="00671B20">
              <w:rPr>
                <w:rFonts w:ascii="Arial" w:hAnsi="Arial" w:cs="Arial"/>
                <w:color w:val="000000"/>
                <w:sz w:val="20"/>
                <w:szCs w:val="20"/>
              </w:rPr>
              <w:t>11</w:t>
            </w:r>
          </w:p>
        </w:tc>
        <w:tc>
          <w:tcPr>
            <w:tcW w:w="2920" w:type="dxa"/>
            <w:tcBorders>
              <w:top w:val="nil"/>
              <w:left w:val="single" w:sz="4" w:space="0" w:color="C0C0C0"/>
              <w:bottom w:val="single" w:sz="4" w:space="0" w:color="C0C0C0"/>
              <w:right w:val="single" w:sz="4" w:space="0" w:color="C0C0C0"/>
            </w:tcBorders>
            <w:shd w:val="clear" w:color="auto" w:fill="auto"/>
            <w:noWrap/>
            <w:vAlign w:val="bottom"/>
            <w:hideMark/>
          </w:tcPr>
          <w:p w14:paraId="26DC7C81"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Spain</w:t>
            </w:r>
          </w:p>
        </w:tc>
        <w:tc>
          <w:tcPr>
            <w:tcW w:w="639" w:type="dxa"/>
            <w:tcBorders>
              <w:top w:val="nil"/>
              <w:left w:val="nil"/>
              <w:bottom w:val="single" w:sz="4" w:space="0" w:color="C0C0C0"/>
              <w:right w:val="single" w:sz="4" w:space="0" w:color="C0C0C0"/>
            </w:tcBorders>
            <w:shd w:val="clear" w:color="auto" w:fill="auto"/>
            <w:noWrap/>
            <w:vAlign w:val="bottom"/>
            <w:hideMark/>
          </w:tcPr>
          <w:p w14:paraId="73A12485"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6.2</w:t>
            </w:r>
          </w:p>
        </w:tc>
      </w:tr>
      <w:tr w:rsidR="00671B20" w:rsidRPr="00671B20" w14:paraId="3B74817C" w14:textId="77777777" w:rsidTr="002E60D0">
        <w:trPr>
          <w:trHeight w:val="255"/>
        </w:trPr>
        <w:tc>
          <w:tcPr>
            <w:tcW w:w="960" w:type="dxa"/>
            <w:tcBorders>
              <w:top w:val="nil"/>
              <w:left w:val="nil"/>
              <w:bottom w:val="nil"/>
              <w:right w:val="nil"/>
            </w:tcBorders>
            <w:shd w:val="clear" w:color="auto" w:fill="auto"/>
            <w:noWrap/>
            <w:vAlign w:val="bottom"/>
            <w:hideMark/>
          </w:tcPr>
          <w:p w14:paraId="76A418B6" w14:textId="77777777" w:rsidR="00671B20" w:rsidRPr="00671B20" w:rsidRDefault="00671B20" w:rsidP="00671B20">
            <w:pPr>
              <w:spacing w:after="0" w:line="240" w:lineRule="auto"/>
              <w:jc w:val="right"/>
              <w:rPr>
                <w:rFonts w:ascii="Arial" w:hAnsi="Arial" w:cs="Arial"/>
                <w:color w:val="000000"/>
                <w:sz w:val="20"/>
                <w:szCs w:val="20"/>
              </w:rPr>
            </w:pPr>
            <w:r w:rsidRPr="00671B20">
              <w:rPr>
                <w:rFonts w:ascii="Arial" w:hAnsi="Arial" w:cs="Arial"/>
                <w:color w:val="000000"/>
                <w:sz w:val="20"/>
                <w:szCs w:val="20"/>
              </w:rPr>
              <w:t>12</w:t>
            </w:r>
          </w:p>
        </w:tc>
        <w:tc>
          <w:tcPr>
            <w:tcW w:w="2920" w:type="dxa"/>
            <w:tcBorders>
              <w:top w:val="nil"/>
              <w:left w:val="single" w:sz="4" w:space="0" w:color="C0C0C0"/>
              <w:bottom w:val="single" w:sz="4" w:space="0" w:color="C0C0C0"/>
              <w:right w:val="single" w:sz="4" w:space="0" w:color="C0C0C0"/>
            </w:tcBorders>
            <w:shd w:val="clear" w:color="auto" w:fill="auto"/>
            <w:noWrap/>
            <w:vAlign w:val="bottom"/>
            <w:hideMark/>
          </w:tcPr>
          <w:p w14:paraId="105504D7"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Lithuania</w:t>
            </w:r>
          </w:p>
        </w:tc>
        <w:tc>
          <w:tcPr>
            <w:tcW w:w="639" w:type="dxa"/>
            <w:tcBorders>
              <w:top w:val="nil"/>
              <w:left w:val="nil"/>
              <w:bottom w:val="single" w:sz="4" w:space="0" w:color="C0C0C0"/>
              <w:right w:val="single" w:sz="4" w:space="0" w:color="C0C0C0"/>
            </w:tcBorders>
            <w:shd w:val="clear" w:color="auto" w:fill="auto"/>
            <w:noWrap/>
            <w:vAlign w:val="bottom"/>
            <w:hideMark/>
          </w:tcPr>
          <w:p w14:paraId="28A7765C"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6.7</w:t>
            </w:r>
          </w:p>
        </w:tc>
      </w:tr>
      <w:tr w:rsidR="00671B20" w:rsidRPr="00671B20" w14:paraId="30365181" w14:textId="77777777" w:rsidTr="002E60D0">
        <w:trPr>
          <w:trHeight w:val="255"/>
        </w:trPr>
        <w:tc>
          <w:tcPr>
            <w:tcW w:w="960" w:type="dxa"/>
            <w:tcBorders>
              <w:top w:val="nil"/>
              <w:left w:val="nil"/>
              <w:bottom w:val="nil"/>
              <w:right w:val="nil"/>
            </w:tcBorders>
            <w:shd w:val="clear" w:color="auto" w:fill="auto"/>
            <w:noWrap/>
            <w:vAlign w:val="bottom"/>
            <w:hideMark/>
          </w:tcPr>
          <w:p w14:paraId="7F98589F" w14:textId="77777777" w:rsidR="00671B20" w:rsidRPr="00671B20" w:rsidRDefault="00671B20" w:rsidP="00671B20">
            <w:pPr>
              <w:spacing w:after="0" w:line="240" w:lineRule="auto"/>
              <w:jc w:val="right"/>
              <w:rPr>
                <w:rFonts w:ascii="Arial" w:hAnsi="Arial" w:cs="Arial"/>
                <w:color w:val="000000"/>
                <w:sz w:val="20"/>
                <w:szCs w:val="20"/>
              </w:rPr>
            </w:pPr>
            <w:r w:rsidRPr="00671B20">
              <w:rPr>
                <w:rFonts w:ascii="Arial" w:hAnsi="Arial" w:cs="Arial"/>
                <w:color w:val="000000"/>
                <w:sz w:val="20"/>
                <w:szCs w:val="20"/>
              </w:rPr>
              <w:t>13</w:t>
            </w:r>
          </w:p>
        </w:tc>
        <w:tc>
          <w:tcPr>
            <w:tcW w:w="2920" w:type="dxa"/>
            <w:tcBorders>
              <w:top w:val="nil"/>
              <w:left w:val="single" w:sz="4" w:space="0" w:color="C0C0C0"/>
              <w:bottom w:val="single" w:sz="4" w:space="0" w:color="C0C0C0"/>
              <w:right w:val="single" w:sz="4" w:space="0" w:color="C0C0C0"/>
            </w:tcBorders>
            <w:shd w:val="clear" w:color="auto" w:fill="auto"/>
            <w:noWrap/>
            <w:vAlign w:val="bottom"/>
            <w:hideMark/>
          </w:tcPr>
          <w:p w14:paraId="128CBF28"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Latvia</w:t>
            </w:r>
          </w:p>
        </w:tc>
        <w:tc>
          <w:tcPr>
            <w:tcW w:w="639" w:type="dxa"/>
            <w:tcBorders>
              <w:top w:val="nil"/>
              <w:left w:val="nil"/>
              <w:bottom w:val="single" w:sz="4" w:space="0" w:color="C0C0C0"/>
              <w:right w:val="single" w:sz="4" w:space="0" w:color="C0C0C0"/>
            </w:tcBorders>
            <w:shd w:val="clear" w:color="auto" w:fill="auto"/>
            <w:noWrap/>
            <w:vAlign w:val="bottom"/>
            <w:hideMark/>
          </w:tcPr>
          <w:p w14:paraId="3C8E0A84"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8.1</w:t>
            </w:r>
          </w:p>
        </w:tc>
      </w:tr>
      <w:tr w:rsidR="00671B20" w:rsidRPr="00671B20" w14:paraId="75C248F4" w14:textId="77777777" w:rsidTr="002E60D0">
        <w:trPr>
          <w:trHeight w:val="255"/>
        </w:trPr>
        <w:tc>
          <w:tcPr>
            <w:tcW w:w="960" w:type="dxa"/>
            <w:tcBorders>
              <w:top w:val="nil"/>
              <w:left w:val="nil"/>
              <w:bottom w:val="nil"/>
              <w:right w:val="nil"/>
            </w:tcBorders>
            <w:shd w:val="clear" w:color="auto" w:fill="auto"/>
            <w:noWrap/>
            <w:vAlign w:val="bottom"/>
            <w:hideMark/>
          </w:tcPr>
          <w:p w14:paraId="2EE19CC1" w14:textId="77777777" w:rsidR="00671B20" w:rsidRPr="00671B20" w:rsidRDefault="00671B20" w:rsidP="00671B20">
            <w:pPr>
              <w:spacing w:after="0" w:line="240" w:lineRule="auto"/>
              <w:jc w:val="right"/>
              <w:rPr>
                <w:rFonts w:ascii="Arial" w:hAnsi="Arial" w:cs="Arial"/>
                <w:color w:val="000000"/>
                <w:sz w:val="20"/>
                <w:szCs w:val="20"/>
              </w:rPr>
            </w:pPr>
            <w:r w:rsidRPr="00671B20">
              <w:rPr>
                <w:rFonts w:ascii="Arial" w:hAnsi="Arial" w:cs="Arial"/>
                <w:color w:val="000000"/>
                <w:sz w:val="20"/>
                <w:szCs w:val="20"/>
              </w:rPr>
              <w:t>14</w:t>
            </w:r>
          </w:p>
        </w:tc>
        <w:tc>
          <w:tcPr>
            <w:tcW w:w="2920" w:type="dxa"/>
            <w:tcBorders>
              <w:top w:val="nil"/>
              <w:left w:val="single" w:sz="4" w:space="0" w:color="C0C0C0"/>
              <w:bottom w:val="single" w:sz="4" w:space="0" w:color="C0C0C0"/>
              <w:right w:val="single" w:sz="4" w:space="0" w:color="C0C0C0"/>
            </w:tcBorders>
            <w:shd w:val="clear" w:color="auto" w:fill="auto"/>
            <w:noWrap/>
            <w:vAlign w:val="bottom"/>
            <w:hideMark/>
          </w:tcPr>
          <w:p w14:paraId="20475841"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Denmark</w:t>
            </w:r>
          </w:p>
        </w:tc>
        <w:tc>
          <w:tcPr>
            <w:tcW w:w="639" w:type="dxa"/>
            <w:tcBorders>
              <w:top w:val="nil"/>
              <w:left w:val="nil"/>
              <w:bottom w:val="single" w:sz="4" w:space="0" w:color="C0C0C0"/>
              <w:right w:val="single" w:sz="4" w:space="0" w:color="C0C0C0"/>
            </w:tcBorders>
            <w:shd w:val="clear" w:color="auto" w:fill="auto"/>
            <w:noWrap/>
            <w:vAlign w:val="bottom"/>
            <w:hideMark/>
          </w:tcPr>
          <w:p w14:paraId="6C117BAB"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8.3</w:t>
            </w:r>
          </w:p>
        </w:tc>
      </w:tr>
      <w:tr w:rsidR="00671B20" w:rsidRPr="00671B20" w14:paraId="0F38FE8B" w14:textId="77777777" w:rsidTr="002E60D0">
        <w:trPr>
          <w:trHeight w:val="255"/>
        </w:trPr>
        <w:tc>
          <w:tcPr>
            <w:tcW w:w="960" w:type="dxa"/>
            <w:tcBorders>
              <w:top w:val="nil"/>
              <w:left w:val="nil"/>
              <w:bottom w:val="nil"/>
              <w:right w:val="nil"/>
            </w:tcBorders>
            <w:shd w:val="clear" w:color="auto" w:fill="auto"/>
            <w:noWrap/>
            <w:vAlign w:val="bottom"/>
            <w:hideMark/>
          </w:tcPr>
          <w:p w14:paraId="39759FF8" w14:textId="77777777" w:rsidR="00671B20" w:rsidRPr="00671B20" w:rsidRDefault="00671B20" w:rsidP="00671B20">
            <w:pPr>
              <w:spacing w:after="0" w:line="240" w:lineRule="auto"/>
              <w:jc w:val="right"/>
              <w:rPr>
                <w:rFonts w:ascii="Arial" w:hAnsi="Arial" w:cs="Arial"/>
                <w:color w:val="000000"/>
                <w:sz w:val="20"/>
                <w:szCs w:val="20"/>
              </w:rPr>
            </w:pPr>
            <w:r w:rsidRPr="00671B20">
              <w:rPr>
                <w:rFonts w:ascii="Arial" w:hAnsi="Arial" w:cs="Arial"/>
                <w:color w:val="000000"/>
                <w:sz w:val="20"/>
                <w:szCs w:val="20"/>
              </w:rPr>
              <w:t>15</w:t>
            </w:r>
          </w:p>
        </w:tc>
        <w:tc>
          <w:tcPr>
            <w:tcW w:w="2920" w:type="dxa"/>
            <w:tcBorders>
              <w:top w:val="nil"/>
              <w:left w:val="single" w:sz="4" w:space="0" w:color="C0C0C0"/>
              <w:bottom w:val="single" w:sz="4" w:space="0" w:color="C0C0C0"/>
              <w:right w:val="single" w:sz="4" w:space="0" w:color="C0C0C0"/>
            </w:tcBorders>
            <w:shd w:val="clear" w:color="auto" w:fill="auto"/>
            <w:noWrap/>
            <w:vAlign w:val="bottom"/>
            <w:hideMark/>
          </w:tcPr>
          <w:p w14:paraId="7086B326"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Germany</w:t>
            </w:r>
          </w:p>
        </w:tc>
        <w:tc>
          <w:tcPr>
            <w:tcW w:w="639" w:type="dxa"/>
            <w:tcBorders>
              <w:top w:val="nil"/>
              <w:left w:val="nil"/>
              <w:bottom w:val="single" w:sz="4" w:space="0" w:color="C0C0C0"/>
              <w:right w:val="single" w:sz="4" w:space="0" w:color="C0C0C0"/>
            </w:tcBorders>
            <w:shd w:val="clear" w:color="auto" w:fill="auto"/>
            <w:noWrap/>
            <w:vAlign w:val="bottom"/>
            <w:hideMark/>
          </w:tcPr>
          <w:p w14:paraId="7A93B2A3"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8.6</w:t>
            </w:r>
          </w:p>
        </w:tc>
      </w:tr>
      <w:tr w:rsidR="00671B20" w:rsidRPr="00671B20" w14:paraId="1BF17BD4" w14:textId="77777777" w:rsidTr="002E60D0">
        <w:trPr>
          <w:trHeight w:val="255"/>
        </w:trPr>
        <w:tc>
          <w:tcPr>
            <w:tcW w:w="960" w:type="dxa"/>
            <w:tcBorders>
              <w:top w:val="nil"/>
              <w:left w:val="nil"/>
              <w:bottom w:val="nil"/>
              <w:right w:val="nil"/>
            </w:tcBorders>
            <w:shd w:val="clear" w:color="auto" w:fill="auto"/>
            <w:noWrap/>
            <w:vAlign w:val="bottom"/>
            <w:hideMark/>
          </w:tcPr>
          <w:p w14:paraId="1889E08F" w14:textId="77777777" w:rsidR="00671B20" w:rsidRPr="00671B20" w:rsidRDefault="00671B20" w:rsidP="00671B20">
            <w:pPr>
              <w:spacing w:after="0" w:line="240" w:lineRule="auto"/>
              <w:jc w:val="right"/>
              <w:rPr>
                <w:rFonts w:ascii="Arial" w:hAnsi="Arial" w:cs="Arial"/>
                <w:color w:val="000000"/>
                <w:sz w:val="20"/>
                <w:szCs w:val="20"/>
              </w:rPr>
            </w:pPr>
            <w:r w:rsidRPr="00671B20">
              <w:rPr>
                <w:rFonts w:ascii="Arial" w:hAnsi="Arial" w:cs="Arial"/>
                <w:color w:val="000000"/>
                <w:sz w:val="20"/>
                <w:szCs w:val="20"/>
              </w:rPr>
              <w:t>16</w:t>
            </w:r>
          </w:p>
        </w:tc>
        <w:tc>
          <w:tcPr>
            <w:tcW w:w="2920" w:type="dxa"/>
            <w:tcBorders>
              <w:top w:val="nil"/>
              <w:left w:val="single" w:sz="4" w:space="0" w:color="C0C0C0"/>
              <w:bottom w:val="single" w:sz="4" w:space="0" w:color="C0C0C0"/>
              <w:right w:val="single" w:sz="4" w:space="0" w:color="C0C0C0"/>
            </w:tcBorders>
            <w:shd w:val="clear" w:color="auto" w:fill="auto"/>
            <w:noWrap/>
            <w:vAlign w:val="bottom"/>
            <w:hideMark/>
          </w:tcPr>
          <w:p w14:paraId="7C787B0D"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Estonia</w:t>
            </w:r>
          </w:p>
        </w:tc>
        <w:tc>
          <w:tcPr>
            <w:tcW w:w="639" w:type="dxa"/>
            <w:tcBorders>
              <w:top w:val="nil"/>
              <w:left w:val="nil"/>
              <w:bottom w:val="single" w:sz="4" w:space="0" w:color="C0C0C0"/>
              <w:right w:val="single" w:sz="4" w:space="0" w:color="C0C0C0"/>
            </w:tcBorders>
            <w:shd w:val="clear" w:color="auto" w:fill="auto"/>
            <w:noWrap/>
            <w:vAlign w:val="bottom"/>
            <w:hideMark/>
          </w:tcPr>
          <w:p w14:paraId="3515AF43"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8.9</w:t>
            </w:r>
          </w:p>
        </w:tc>
      </w:tr>
      <w:tr w:rsidR="00671B20" w:rsidRPr="00671B20" w14:paraId="7F1E4620" w14:textId="77777777" w:rsidTr="002E60D0">
        <w:trPr>
          <w:trHeight w:val="255"/>
        </w:trPr>
        <w:tc>
          <w:tcPr>
            <w:tcW w:w="960" w:type="dxa"/>
            <w:tcBorders>
              <w:top w:val="nil"/>
              <w:left w:val="nil"/>
              <w:bottom w:val="nil"/>
              <w:right w:val="nil"/>
            </w:tcBorders>
            <w:shd w:val="clear" w:color="auto" w:fill="auto"/>
            <w:noWrap/>
            <w:vAlign w:val="bottom"/>
            <w:hideMark/>
          </w:tcPr>
          <w:p w14:paraId="1A28295E" w14:textId="77777777" w:rsidR="00671B20" w:rsidRPr="00671B20" w:rsidRDefault="00671B20" w:rsidP="00671B20">
            <w:pPr>
              <w:spacing w:after="0" w:line="240" w:lineRule="auto"/>
              <w:jc w:val="right"/>
              <w:rPr>
                <w:rFonts w:ascii="Arial" w:hAnsi="Arial" w:cs="Arial"/>
                <w:color w:val="000000"/>
                <w:sz w:val="20"/>
                <w:szCs w:val="20"/>
              </w:rPr>
            </w:pPr>
            <w:r w:rsidRPr="00671B20">
              <w:rPr>
                <w:rFonts w:ascii="Arial" w:hAnsi="Arial" w:cs="Arial"/>
                <w:color w:val="000000"/>
                <w:sz w:val="20"/>
                <w:szCs w:val="20"/>
              </w:rPr>
              <w:t>17</w:t>
            </w:r>
          </w:p>
        </w:tc>
        <w:tc>
          <w:tcPr>
            <w:tcW w:w="2920" w:type="dxa"/>
            <w:tcBorders>
              <w:top w:val="nil"/>
              <w:left w:val="single" w:sz="4" w:space="0" w:color="C0C0C0"/>
              <w:bottom w:val="single" w:sz="4" w:space="0" w:color="C0C0C0"/>
              <w:right w:val="single" w:sz="4" w:space="0" w:color="C0C0C0"/>
            </w:tcBorders>
            <w:shd w:val="clear" w:color="auto" w:fill="auto"/>
            <w:noWrap/>
            <w:vAlign w:val="bottom"/>
            <w:hideMark/>
          </w:tcPr>
          <w:p w14:paraId="11C7BB37"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Portugal</w:t>
            </w:r>
          </w:p>
        </w:tc>
        <w:tc>
          <w:tcPr>
            <w:tcW w:w="639" w:type="dxa"/>
            <w:tcBorders>
              <w:top w:val="nil"/>
              <w:left w:val="nil"/>
              <w:bottom w:val="single" w:sz="4" w:space="0" w:color="C0C0C0"/>
              <w:right w:val="single" w:sz="4" w:space="0" w:color="C0C0C0"/>
            </w:tcBorders>
            <w:shd w:val="clear" w:color="auto" w:fill="auto"/>
            <w:noWrap/>
            <w:vAlign w:val="bottom"/>
            <w:hideMark/>
          </w:tcPr>
          <w:p w14:paraId="3665EC12"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9.1</w:t>
            </w:r>
          </w:p>
        </w:tc>
      </w:tr>
      <w:tr w:rsidR="00671B20" w:rsidRPr="00671B20" w14:paraId="24F32FF9" w14:textId="77777777" w:rsidTr="002E60D0">
        <w:trPr>
          <w:trHeight w:val="255"/>
        </w:trPr>
        <w:tc>
          <w:tcPr>
            <w:tcW w:w="960" w:type="dxa"/>
            <w:tcBorders>
              <w:top w:val="nil"/>
              <w:left w:val="nil"/>
              <w:bottom w:val="nil"/>
              <w:right w:val="nil"/>
            </w:tcBorders>
            <w:shd w:val="clear" w:color="auto" w:fill="auto"/>
            <w:noWrap/>
            <w:vAlign w:val="bottom"/>
            <w:hideMark/>
          </w:tcPr>
          <w:p w14:paraId="477546CA" w14:textId="77777777" w:rsidR="00671B20" w:rsidRPr="00671B20" w:rsidRDefault="00671B20" w:rsidP="00671B20">
            <w:pPr>
              <w:spacing w:after="0" w:line="240" w:lineRule="auto"/>
              <w:jc w:val="right"/>
              <w:rPr>
                <w:rFonts w:ascii="Arial" w:hAnsi="Arial" w:cs="Arial"/>
                <w:color w:val="000000"/>
                <w:sz w:val="20"/>
                <w:szCs w:val="20"/>
              </w:rPr>
            </w:pPr>
            <w:r w:rsidRPr="00671B20">
              <w:rPr>
                <w:rFonts w:ascii="Arial" w:hAnsi="Arial" w:cs="Arial"/>
                <w:color w:val="000000"/>
                <w:sz w:val="20"/>
                <w:szCs w:val="20"/>
              </w:rPr>
              <w:t>18</w:t>
            </w:r>
          </w:p>
        </w:tc>
        <w:tc>
          <w:tcPr>
            <w:tcW w:w="2920" w:type="dxa"/>
            <w:tcBorders>
              <w:top w:val="nil"/>
              <w:left w:val="single" w:sz="4" w:space="0" w:color="C0C0C0"/>
              <w:bottom w:val="single" w:sz="4" w:space="0" w:color="C0C0C0"/>
              <w:right w:val="single" w:sz="4" w:space="0" w:color="C0C0C0"/>
            </w:tcBorders>
            <w:shd w:val="clear" w:color="auto" w:fill="auto"/>
            <w:noWrap/>
            <w:vAlign w:val="bottom"/>
            <w:hideMark/>
          </w:tcPr>
          <w:p w14:paraId="79299550"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Austria</w:t>
            </w:r>
          </w:p>
        </w:tc>
        <w:tc>
          <w:tcPr>
            <w:tcW w:w="639" w:type="dxa"/>
            <w:tcBorders>
              <w:top w:val="nil"/>
              <w:left w:val="nil"/>
              <w:bottom w:val="single" w:sz="4" w:space="0" w:color="C0C0C0"/>
              <w:right w:val="single" w:sz="4" w:space="0" w:color="C0C0C0"/>
            </w:tcBorders>
            <w:shd w:val="clear" w:color="auto" w:fill="auto"/>
            <w:noWrap/>
            <w:vAlign w:val="bottom"/>
            <w:hideMark/>
          </w:tcPr>
          <w:p w14:paraId="4B520769" w14:textId="77777777" w:rsidR="00671B20" w:rsidRPr="00671B20" w:rsidRDefault="00671B20" w:rsidP="00671B20">
            <w:pPr>
              <w:spacing w:after="0" w:line="240" w:lineRule="auto"/>
              <w:jc w:val="right"/>
              <w:rPr>
                <w:rFonts w:ascii="Arial" w:hAnsi="Arial" w:cs="Arial"/>
                <w:sz w:val="20"/>
                <w:szCs w:val="20"/>
              </w:rPr>
            </w:pPr>
            <w:r w:rsidRPr="00671B20">
              <w:rPr>
                <w:rFonts w:ascii="Arial" w:hAnsi="Arial" w:cs="Arial"/>
                <w:sz w:val="20"/>
                <w:szCs w:val="20"/>
              </w:rPr>
              <w:t>14.1</w:t>
            </w:r>
          </w:p>
        </w:tc>
      </w:tr>
    </w:tbl>
    <w:p w14:paraId="20841B5B" w14:textId="77777777" w:rsidR="00671B20" w:rsidRDefault="00671B20" w:rsidP="00764C5D"/>
    <w:p w14:paraId="071A38DF" w14:textId="77777777" w:rsidR="006419B8" w:rsidRDefault="006419B8" w:rsidP="00764C5D">
      <w:r>
        <w:t>Source: OECD</w:t>
      </w:r>
    </w:p>
    <w:p w14:paraId="14046914" w14:textId="77777777" w:rsidR="006419B8" w:rsidRDefault="006419B8" w:rsidP="00764C5D"/>
    <w:p w14:paraId="083FE23C" w14:textId="77777777" w:rsidR="002E60D0" w:rsidRDefault="00E55B70" w:rsidP="00764C5D">
      <w:r>
        <w:br w:type="page"/>
      </w:r>
    </w:p>
    <w:p w14:paraId="15D6D398" w14:textId="77777777" w:rsidR="00E55B70" w:rsidRPr="002E60D0" w:rsidRDefault="00E55B70" w:rsidP="00764C5D">
      <w:pPr>
        <w:rPr>
          <w:b/>
        </w:rPr>
      </w:pPr>
      <w:r w:rsidRPr="002E60D0">
        <w:rPr>
          <w:b/>
        </w:rPr>
        <w:lastRenderedPageBreak/>
        <w:t>Table</w:t>
      </w:r>
      <w:r w:rsidR="002E60D0" w:rsidRPr="002E60D0">
        <w:rPr>
          <w:b/>
        </w:rPr>
        <w:t xml:space="preserve"> 2</w:t>
      </w:r>
      <w:r w:rsidRPr="002E60D0">
        <w:rPr>
          <w:b/>
        </w:rPr>
        <w:t>.</w:t>
      </w:r>
      <w:r w:rsidR="002E60D0" w:rsidRPr="002E60D0">
        <w:rPr>
          <w:b/>
        </w:rPr>
        <w:t xml:space="preserve"> Colon cancer five-year net survival 2010-14</w:t>
      </w:r>
    </w:p>
    <w:tbl>
      <w:tblPr>
        <w:tblW w:w="4600" w:type="dxa"/>
        <w:tblInd w:w="108" w:type="dxa"/>
        <w:tblLook w:val="04A0" w:firstRow="1" w:lastRow="0" w:firstColumn="1" w:lastColumn="0" w:noHBand="0" w:noVBand="1"/>
      </w:tblPr>
      <w:tblGrid>
        <w:gridCol w:w="960"/>
        <w:gridCol w:w="3160"/>
        <w:gridCol w:w="894"/>
      </w:tblGrid>
      <w:tr w:rsidR="00E55B70" w:rsidRPr="00E55B70" w14:paraId="52F6AA79" w14:textId="77777777" w:rsidTr="00E55B70">
        <w:trPr>
          <w:trHeight w:val="255"/>
        </w:trPr>
        <w:tc>
          <w:tcPr>
            <w:tcW w:w="960" w:type="dxa"/>
            <w:tcBorders>
              <w:top w:val="nil"/>
              <w:left w:val="nil"/>
              <w:bottom w:val="nil"/>
              <w:right w:val="nil"/>
            </w:tcBorders>
            <w:shd w:val="clear" w:color="auto" w:fill="auto"/>
            <w:noWrap/>
            <w:vAlign w:val="bottom"/>
            <w:hideMark/>
          </w:tcPr>
          <w:p w14:paraId="6D801FBE" w14:textId="77777777" w:rsidR="00E55B70" w:rsidRPr="00E55B70" w:rsidRDefault="00E55B70" w:rsidP="00E55B70">
            <w:pPr>
              <w:spacing w:after="0" w:line="240" w:lineRule="auto"/>
              <w:rPr>
                <w:rFonts w:ascii="Times New Roman" w:hAnsi="Times New Roman"/>
                <w:sz w:val="20"/>
                <w:szCs w:val="20"/>
              </w:rPr>
            </w:pPr>
          </w:p>
        </w:tc>
        <w:tc>
          <w:tcPr>
            <w:tcW w:w="3640" w:type="dxa"/>
            <w:gridSpan w:val="2"/>
            <w:tcBorders>
              <w:top w:val="nil"/>
              <w:left w:val="nil"/>
              <w:bottom w:val="nil"/>
              <w:right w:val="nil"/>
            </w:tcBorders>
            <w:shd w:val="clear" w:color="auto" w:fill="auto"/>
            <w:noWrap/>
            <w:vAlign w:val="bottom"/>
            <w:hideMark/>
          </w:tcPr>
          <w:p w14:paraId="674EBEB2" w14:textId="77777777" w:rsidR="00E55B70" w:rsidRPr="00E55B70" w:rsidRDefault="00E55B70" w:rsidP="00E55B70">
            <w:pPr>
              <w:spacing w:after="0" w:line="240" w:lineRule="auto"/>
              <w:rPr>
                <w:rFonts w:ascii="Arial" w:hAnsi="Arial" w:cs="Arial"/>
                <w:b/>
                <w:bCs/>
                <w:color w:val="000000"/>
                <w:sz w:val="20"/>
                <w:szCs w:val="20"/>
              </w:rPr>
            </w:pPr>
          </w:p>
        </w:tc>
      </w:tr>
      <w:tr w:rsidR="00E55B70" w:rsidRPr="00E55B70" w14:paraId="52156E9D" w14:textId="77777777" w:rsidTr="00E55B70">
        <w:trPr>
          <w:trHeight w:val="255"/>
        </w:trPr>
        <w:tc>
          <w:tcPr>
            <w:tcW w:w="960" w:type="dxa"/>
            <w:tcBorders>
              <w:top w:val="nil"/>
              <w:left w:val="nil"/>
              <w:bottom w:val="nil"/>
              <w:right w:val="nil"/>
            </w:tcBorders>
            <w:shd w:val="clear" w:color="auto" w:fill="auto"/>
            <w:noWrap/>
            <w:vAlign w:val="bottom"/>
            <w:hideMark/>
          </w:tcPr>
          <w:p w14:paraId="5BF6CECE" w14:textId="77777777" w:rsidR="00E55B70" w:rsidRPr="00E55B70" w:rsidRDefault="00E55B70" w:rsidP="00E55B70">
            <w:pPr>
              <w:spacing w:after="0" w:line="240" w:lineRule="auto"/>
              <w:rPr>
                <w:rFonts w:ascii="Arial" w:hAnsi="Arial" w:cs="Arial"/>
                <w:b/>
                <w:bCs/>
                <w:color w:val="000000"/>
                <w:sz w:val="20"/>
                <w:szCs w:val="20"/>
              </w:rPr>
            </w:pPr>
          </w:p>
        </w:tc>
        <w:tc>
          <w:tcPr>
            <w:tcW w:w="3160" w:type="dxa"/>
            <w:tcBorders>
              <w:top w:val="nil"/>
              <w:left w:val="nil"/>
              <w:bottom w:val="nil"/>
              <w:right w:val="nil"/>
            </w:tcBorders>
            <w:shd w:val="clear" w:color="auto" w:fill="auto"/>
            <w:noWrap/>
            <w:vAlign w:val="bottom"/>
            <w:hideMark/>
          </w:tcPr>
          <w:p w14:paraId="26688F6D" w14:textId="77777777" w:rsidR="00E55B70" w:rsidRPr="00E55B70" w:rsidRDefault="00E55B70" w:rsidP="00E55B70">
            <w:pPr>
              <w:spacing w:after="0" w:line="240" w:lineRule="auto"/>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1453133B" w14:textId="77777777" w:rsidR="00E55B70" w:rsidRPr="00E55B70" w:rsidRDefault="00E55B70" w:rsidP="00E55B70">
            <w:pPr>
              <w:spacing w:after="0" w:line="240" w:lineRule="auto"/>
              <w:rPr>
                <w:rFonts w:ascii="Times New Roman" w:hAnsi="Times New Roman"/>
                <w:sz w:val="20"/>
                <w:szCs w:val="20"/>
              </w:rPr>
            </w:pPr>
          </w:p>
        </w:tc>
      </w:tr>
      <w:tr w:rsidR="00E55B70" w:rsidRPr="00E55B70" w14:paraId="2AA608B0" w14:textId="77777777" w:rsidTr="00E55B70">
        <w:trPr>
          <w:trHeight w:val="255"/>
        </w:trPr>
        <w:tc>
          <w:tcPr>
            <w:tcW w:w="960" w:type="dxa"/>
            <w:tcBorders>
              <w:top w:val="nil"/>
              <w:left w:val="nil"/>
              <w:bottom w:val="nil"/>
              <w:right w:val="nil"/>
            </w:tcBorders>
            <w:shd w:val="clear" w:color="auto" w:fill="auto"/>
            <w:noWrap/>
            <w:vAlign w:val="bottom"/>
            <w:hideMark/>
          </w:tcPr>
          <w:p w14:paraId="1B414F02"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Rank</w:t>
            </w:r>
          </w:p>
        </w:tc>
        <w:tc>
          <w:tcPr>
            <w:tcW w:w="3160" w:type="dxa"/>
            <w:tcBorders>
              <w:top w:val="nil"/>
              <w:left w:val="nil"/>
              <w:bottom w:val="nil"/>
              <w:right w:val="nil"/>
            </w:tcBorders>
            <w:shd w:val="clear" w:color="auto" w:fill="auto"/>
            <w:noWrap/>
            <w:vAlign w:val="bottom"/>
            <w:hideMark/>
          </w:tcPr>
          <w:p w14:paraId="3380CEA1"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Country</w:t>
            </w:r>
          </w:p>
        </w:tc>
        <w:tc>
          <w:tcPr>
            <w:tcW w:w="480" w:type="dxa"/>
            <w:tcBorders>
              <w:top w:val="nil"/>
              <w:left w:val="nil"/>
              <w:bottom w:val="nil"/>
              <w:right w:val="nil"/>
            </w:tcBorders>
            <w:shd w:val="clear" w:color="auto" w:fill="auto"/>
            <w:noWrap/>
            <w:vAlign w:val="bottom"/>
            <w:hideMark/>
          </w:tcPr>
          <w:p w14:paraId="6F83B43A"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5-year survival</w:t>
            </w:r>
          </w:p>
        </w:tc>
      </w:tr>
      <w:tr w:rsidR="00E55B70" w:rsidRPr="00E55B70" w14:paraId="49F9D10F" w14:textId="77777777" w:rsidTr="00E55B70">
        <w:trPr>
          <w:trHeight w:val="255"/>
        </w:trPr>
        <w:tc>
          <w:tcPr>
            <w:tcW w:w="960" w:type="dxa"/>
            <w:tcBorders>
              <w:top w:val="nil"/>
              <w:left w:val="nil"/>
              <w:bottom w:val="nil"/>
              <w:right w:val="nil"/>
            </w:tcBorders>
            <w:shd w:val="clear" w:color="auto" w:fill="auto"/>
            <w:noWrap/>
            <w:vAlign w:val="bottom"/>
            <w:hideMark/>
          </w:tcPr>
          <w:p w14:paraId="3EA805E7"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1</w:t>
            </w:r>
          </w:p>
        </w:tc>
        <w:tc>
          <w:tcPr>
            <w:tcW w:w="3160" w:type="dxa"/>
            <w:tcBorders>
              <w:top w:val="nil"/>
              <w:left w:val="nil"/>
              <w:bottom w:val="nil"/>
              <w:right w:val="nil"/>
            </w:tcBorders>
            <w:shd w:val="clear" w:color="auto" w:fill="auto"/>
            <w:noWrap/>
            <w:vAlign w:val="bottom"/>
            <w:hideMark/>
          </w:tcPr>
          <w:p w14:paraId="4EF75113"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Belgium</w:t>
            </w:r>
          </w:p>
        </w:tc>
        <w:tc>
          <w:tcPr>
            <w:tcW w:w="480" w:type="dxa"/>
            <w:tcBorders>
              <w:top w:val="nil"/>
              <w:left w:val="nil"/>
              <w:bottom w:val="nil"/>
              <w:right w:val="nil"/>
            </w:tcBorders>
            <w:shd w:val="clear" w:color="auto" w:fill="auto"/>
            <w:noWrap/>
            <w:vAlign w:val="bottom"/>
            <w:hideMark/>
          </w:tcPr>
          <w:p w14:paraId="00EE1DCC"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67.8</w:t>
            </w:r>
          </w:p>
        </w:tc>
      </w:tr>
      <w:tr w:rsidR="00E55B70" w:rsidRPr="00E55B70" w14:paraId="77F55D9B" w14:textId="77777777" w:rsidTr="00E55B70">
        <w:trPr>
          <w:trHeight w:val="255"/>
        </w:trPr>
        <w:tc>
          <w:tcPr>
            <w:tcW w:w="960" w:type="dxa"/>
            <w:tcBorders>
              <w:top w:val="nil"/>
              <w:left w:val="nil"/>
              <w:bottom w:val="nil"/>
              <w:right w:val="nil"/>
            </w:tcBorders>
            <w:shd w:val="clear" w:color="auto" w:fill="auto"/>
            <w:noWrap/>
            <w:vAlign w:val="bottom"/>
            <w:hideMark/>
          </w:tcPr>
          <w:p w14:paraId="0FD5FDE7"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2</w:t>
            </w:r>
          </w:p>
        </w:tc>
        <w:tc>
          <w:tcPr>
            <w:tcW w:w="3160" w:type="dxa"/>
            <w:tcBorders>
              <w:top w:val="nil"/>
              <w:left w:val="nil"/>
              <w:bottom w:val="nil"/>
              <w:right w:val="nil"/>
            </w:tcBorders>
            <w:shd w:val="clear" w:color="auto" w:fill="auto"/>
            <w:noWrap/>
            <w:vAlign w:val="bottom"/>
            <w:hideMark/>
          </w:tcPr>
          <w:p w14:paraId="1F7A3081"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Sweden</w:t>
            </w:r>
          </w:p>
        </w:tc>
        <w:tc>
          <w:tcPr>
            <w:tcW w:w="480" w:type="dxa"/>
            <w:tcBorders>
              <w:top w:val="nil"/>
              <w:left w:val="nil"/>
              <w:bottom w:val="nil"/>
              <w:right w:val="nil"/>
            </w:tcBorders>
            <w:shd w:val="clear" w:color="auto" w:fill="auto"/>
            <w:noWrap/>
            <w:vAlign w:val="bottom"/>
            <w:hideMark/>
          </w:tcPr>
          <w:p w14:paraId="2DA39770"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64.9</w:t>
            </w:r>
          </w:p>
        </w:tc>
      </w:tr>
      <w:tr w:rsidR="00E55B70" w:rsidRPr="00E55B70" w14:paraId="69FAB7B8" w14:textId="77777777" w:rsidTr="00E55B70">
        <w:trPr>
          <w:trHeight w:val="255"/>
        </w:trPr>
        <w:tc>
          <w:tcPr>
            <w:tcW w:w="960" w:type="dxa"/>
            <w:tcBorders>
              <w:top w:val="nil"/>
              <w:left w:val="nil"/>
              <w:bottom w:val="nil"/>
              <w:right w:val="nil"/>
            </w:tcBorders>
            <w:shd w:val="clear" w:color="auto" w:fill="auto"/>
            <w:noWrap/>
            <w:vAlign w:val="bottom"/>
            <w:hideMark/>
          </w:tcPr>
          <w:p w14:paraId="1B14ECCF"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3</w:t>
            </w:r>
          </w:p>
        </w:tc>
        <w:tc>
          <w:tcPr>
            <w:tcW w:w="3160" w:type="dxa"/>
            <w:tcBorders>
              <w:top w:val="nil"/>
              <w:left w:val="nil"/>
              <w:bottom w:val="nil"/>
              <w:right w:val="nil"/>
            </w:tcBorders>
            <w:shd w:val="clear" w:color="auto" w:fill="auto"/>
            <w:noWrap/>
            <w:vAlign w:val="bottom"/>
            <w:hideMark/>
          </w:tcPr>
          <w:p w14:paraId="0CCD9173"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Finland</w:t>
            </w:r>
          </w:p>
        </w:tc>
        <w:tc>
          <w:tcPr>
            <w:tcW w:w="480" w:type="dxa"/>
            <w:tcBorders>
              <w:top w:val="nil"/>
              <w:left w:val="nil"/>
              <w:bottom w:val="nil"/>
              <w:right w:val="nil"/>
            </w:tcBorders>
            <w:shd w:val="clear" w:color="auto" w:fill="auto"/>
            <w:noWrap/>
            <w:vAlign w:val="bottom"/>
            <w:hideMark/>
          </w:tcPr>
          <w:p w14:paraId="4551B0DC"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64.8</w:t>
            </w:r>
          </w:p>
        </w:tc>
      </w:tr>
      <w:tr w:rsidR="00E55B70" w:rsidRPr="00E55B70" w14:paraId="73B13873" w14:textId="77777777" w:rsidTr="00E55B70">
        <w:trPr>
          <w:trHeight w:val="255"/>
        </w:trPr>
        <w:tc>
          <w:tcPr>
            <w:tcW w:w="960" w:type="dxa"/>
            <w:tcBorders>
              <w:top w:val="nil"/>
              <w:left w:val="nil"/>
              <w:bottom w:val="nil"/>
              <w:right w:val="nil"/>
            </w:tcBorders>
            <w:shd w:val="clear" w:color="auto" w:fill="auto"/>
            <w:noWrap/>
            <w:vAlign w:val="bottom"/>
            <w:hideMark/>
          </w:tcPr>
          <w:p w14:paraId="5266F8D7"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4</w:t>
            </w:r>
          </w:p>
        </w:tc>
        <w:tc>
          <w:tcPr>
            <w:tcW w:w="3160" w:type="dxa"/>
            <w:tcBorders>
              <w:top w:val="nil"/>
              <w:left w:val="nil"/>
              <w:bottom w:val="nil"/>
              <w:right w:val="nil"/>
            </w:tcBorders>
            <w:shd w:val="clear" w:color="auto" w:fill="auto"/>
            <w:noWrap/>
            <w:vAlign w:val="bottom"/>
            <w:hideMark/>
          </w:tcPr>
          <w:p w14:paraId="536538A1"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Germany</w:t>
            </w:r>
          </w:p>
        </w:tc>
        <w:tc>
          <w:tcPr>
            <w:tcW w:w="480" w:type="dxa"/>
            <w:tcBorders>
              <w:top w:val="nil"/>
              <w:left w:val="nil"/>
              <w:bottom w:val="nil"/>
              <w:right w:val="nil"/>
            </w:tcBorders>
            <w:shd w:val="clear" w:color="auto" w:fill="auto"/>
            <w:noWrap/>
            <w:vAlign w:val="bottom"/>
            <w:hideMark/>
          </w:tcPr>
          <w:p w14:paraId="6D3A613C"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64.8</w:t>
            </w:r>
          </w:p>
        </w:tc>
      </w:tr>
      <w:tr w:rsidR="00E55B70" w:rsidRPr="00E55B70" w14:paraId="52FB791E" w14:textId="77777777" w:rsidTr="00E55B70">
        <w:trPr>
          <w:trHeight w:val="255"/>
        </w:trPr>
        <w:tc>
          <w:tcPr>
            <w:tcW w:w="960" w:type="dxa"/>
            <w:tcBorders>
              <w:top w:val="nil"/>
              <w:left w:val="nil"/>
              <w:bottom w:val="nil"/>
              <w:right w:val="nil"/>
            </w:tcBorders>
            <w:shd w:val="clear" w:color="auto" w:fill="auto"/>
            <w:noWrap/>
            <w:vAlign w:val="bottom"/>
            <w:hideMark/>
          </w:tcPr>
          <w:p w14:paraId="70CF8524"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5</w:t>
            </w:r>
          </w:p>
        </w:tc>
        <w:tc>
          <w:tcPr>
            <w:tcW w:w="3160" w:type="dxa"/>
            <w:tcBorders>
              <w:top w:val="nil"/>
              <w:left w:val="nil"/>
              <w:bottom w:val="nil"/>
              <w:right w:val="nil"/>
            </w:tcBorders>
            <w:shd w:val="clear" w:color="auto" w:fill="auto"/>
            <w:noWrap/>
            <w:vAlign w:val="bottom"/>
            <w:hideMark/>
          </w:tcPr>
          <w:p w14:paraId="6433AF89"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Italy</w:t>
            </w:r>
          </w:p>
        </w:tc>
        <w:tc>
          <w:tcPr>
            <w:tcW w:w="480" w:type="dxa"/>
            <w:tcBorders>
              <w:top w:val="nil"/>
              <w:left w:val="nil"/>
              <w:bottom w:val="nil"/>
              <w:right w:val="nil"/>
            </w:tcBorders>
            <w:shd w:val="clear" w:color="auto" w:fill="auto"/>
            <w:noWrap/>
            <w:vAlign w:val="bottom"/>
            <w:hideMark/>
          </w:tcPr>
          <w:p w14:paraId="2DE2058B"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64.1</w:t>
            </w:r>
          </w:p>
        </w:tc>
      </w:tr>
      <w:tr w:rsidR="00E55B70" w:rsidRPr="00E55B70" w14:paraId="0F7D0A49" w14:textId="77777777" w:rsidTr="00E55B70">
        <w:trPr>
          <w:trHeight w:val="255"/>
        </w:trPr>
        <w:tc>
          <w:tcPr>
            <w:tcW w:w="960" w:type="dxa"/>
            <w:tcBorders>
              <w:top w:val="nil"/>
              <w:left w:val="nil"/>
              <w:bottom w:val="nil"/>
              <w:right w:val="nil"/>
            </w:tcBorders>
            <w:shd w:val="clear" w:color="auto" w:fill="auto"/>
            <w:noWrap/>
            <w:vAlign w:val="bottom"/>
            <w:hideMark/>
          </w:tcPr>
          <w:p w14:paraId="146242A7"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6</w:t>
            </w:r>
          </w:p>
        </w:tc>
        <w:tc>
          <w:tcPr>
            <w:tcW w:w="3160" w:type="dxa"/>
            <w:tcBorders>
              <w:top w:val="nil"/>
              <w:left w:val="nil"/>
              <w:bottom w:val="nil"/>
              <w:right w:val="nil"/>
            </w:tcBorders>
            <w:shd w:val="clear" w:color="auto" w:fill="auto"/>
            <w:noWrap/>
            <w:vAlign w:val="bottom"/>
            <w:hideMark/>
          </w:tcPr>
          <w:p w14:paraId="18A3B07A"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Austria</w:t>
            </w:r>
          </w:p>
        </w:tc>
        <w:tc>
          <w:tcPr>
            <w:tcW w:w="480" w:type="dxa"/>
            <w:tcBorders>
              <w:top w:val="nil"/>
              <w:left w:val="nil"/>
              <w:bottom w:val="nil"/>
              <w:right w:val="nil"/>
            </w:tcBorders>
            <w:shd w:val="clear" w:color="auto" w:fill="auto"/>
            <w:noWrap/>
            <w:vAlign w:val="bottom"/>
            <w:hideMark/>
          </w:tcPr>
          <w:p w14:paraId="5AB5E773"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63.7</w:t>
            </w:r>
          </w:p>
        </w:tc>
      </w:tr>
      <w:tr w:rsidR="00E55B70" w:rsidRPr="00E55B70" w14:paraId="1A6DE84B" w14:textId="77777777" w:rsidTr="00E55B70">
        <w:trPr>
          <w:trHeight w:val="255"/>
        </w:trPr>
        <w:tc>
          <w:tcPr>
            <w:tcW w:w="960" w:type="dxa"/>
            <w:tcBorders>
              <w:top w:val="nil"/>
              <w:left w:val="nil"/>
              <w:bottom w:val="nil"/>
              <w:right w:val="nil"/>
            </w:tcBorders>
            <w:shd w:val="clear" w:color="auto" w:fill="auto"/>
            <w:noWrap/>
            <w:vAlign w:val="bottom"/>
            <w:hideMark/>
          </w:tcPr>
          <w:p w14:paraId="4B004E63"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7</w:t>
            </w:r>
          </w:p>
        </w:tc>
        <w:tc>
          <w:tcPr>
            <w:tcW w:w="3160" w:type="dxa"/>
            <w:tcBorders>
              <w:top w:val="nil"/>
              <w:left w:val="nil"/>
              <w:bottom w:val="nil"/>
              <w:right w:val="nil"/>
            </w:tcBorders>
            <w:shd w:val="clear" w:color="auto" w:fill="auto"/>
            <w:noWrap/>
            <w:vAlign w:val="bottom"/>
            <w:hideMark/>
          </w:tcPr>
          <w:p w14:paraId="65CC0AD2"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France</w:t>
            </w:r>
          </w:p>
        </w:tc>
        <w:tc>
          <w:tcPr>
            <w:tcW w:w="480" w:type="dxa"/>
            <w:tcBorders>
              <w:top w:val="nil"/>
              <w:left w:val="nil"/>
              <w:bottom w:val="nil"/>
              <w:right w:val="nil"/>
            </w:tcBorders>
            <w:shd w:val="clear" w:color="auto" w:fill="auto"/>
            <w:noWrap/>
            <w:vAlign w:val="bottom"/>
            <w:hideMark/>
          </w:tcPr>
          <w:p w14:paraId="5FC818D7"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63.7</w:t>
            </w:r>
          </w:p>
        </w:tc>
      </w:tr>
      <w:tr w:rsidR="00E55B70" w:rsidRPr="00E55B70" w14:paraId="43EB43C9" w14:textId="77777777" w:rsidTr="00E55B70">
        <w:trPr>
          <w:trHeight w:val="255"/>
        </w:trPr>
        <w:tc>
          <w:tcPr>
            <w:tcW w:w="960" w:type="dxa"/>
            <w:tcBorders>
              <w:top w:val="nil"/>
              <w:left w:val="nil"/>
              <w:bottom w:val="nil"/>
              <w:right w:val="nil"/>
            </w:tcBorders>
            <w:shd w:val="clear" w:color="auto" w:fill="auto"/>
            <w:noWrap/>
            <w:vAlign w:val="bottom"/>
            <w:hideMark/>
          </w:tcPr>
          <w:p w14:paraId="05754636"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8</w:t>
            </w:r>
          </w:p>
        </w:tc>
        <w:tc>
          <w:tcPr>
            <w:tcW w:w="3160" w:type="dxa"/>
            <w:tcBorders>
              <w:top w:val="nil"/>
              <w:left w:val="nil"/>
              <w:bottom w:val="nil"/>
              <w:right w:val="nil"/>
            </w:tcBorders>
            <w:shd w:val="clear" w:color="auto" w:fill="auto"/>
            <w:noWrap/>
            <w:vAlign w:val="bottom"/>
            <w:hideMark/>
          </w:tcPr>
          <w:p w14:paraId="7F134B99"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Spain</w:t>
            </w:r>
          </w:p>
        </w:tc>
        <w:tc>
          <w:tcPr>
            <w:tcW w:w="480" w:type="dxa"/>
            <w:tcBorders>
              <w:top w:val="nil"/>
              <w:left w:val="nil"/>
              <w:bottom w:val="nil"/>
              <w:right w:val="nil"/>
            </w:tcBorders>
            <w:shd w:val="clear" w:color="auto" w:fill="auto"/>
            <w:noWrap/>
            <w:vAlign w:val="bottom"/>
            <w:hideMark/>
          </w:tcPr>
          <w:p w14:paraId="22481F73"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63.3</w:t>
            </w:r>
          </w:p>
        </w:tc>
      </w:tr>
      <w:tr w:rsidR="00E55B70" w:rsidRPr="00E55B70" w14:paraId="4435591C" w14:textId="77777777" w:rsidTr="00E55B70">
        <w:trPr>
          <w:trHeight w:val="255"/>
        </w:trPr>
        <w:tc>
          <w:tcPr>
            <w:tcW w:w="960" w:type="dxa"/>
            <w:tcBorders>
              <w:top w:val="nil"/>
              <w:left w:val="nil"/>
              <w:bottom w:val="nil"/>
              <w:right w:val="nil"/>
            </w:tcBorders>
            <w:shd w:val="clear" w:color="auto" w:fill="auto"/>
            <w:noWrap/>
            <w:vAlign w:val="bottom"/>
            <w:hideMark/>
          </w:tcPr>
          <w:p w14:paraId="33945B06"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9</w:t>
            </w:r>
          </w:p>
        </w:tc>
        <w:tc>
          <w:tcPr>
            <w:tcW w:w="3160" w:type="dxa"/>
            <w:tcBorders>
              <w:top w:val="nil"/>
              <w:left w:val="nil"/>
              <w:bottom w:val="nil"/>
              <w:right w:val="nil"/>
            </w:tcBorders>
            <w:shd w:val="clear" w:color="auto" w:fill="auto"/>
            <w:noWrap/>
            <w:vAlign w:val="bottom"/>
            <w:hideMark/>
          </w:tcPr>
          <w:p w14:paraId="5D74C953"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Netherlands</w:t>
            </w:r>
          </w:p>
        </w:tc>
        <w:tc>
          <w:tcPr>
            <w:tcW w:w="480" w:type="dxa"/>
            <w:tcBorders>
              <w:top w:val="nil"/>
              <w:left w:val="nil"/>
              <w:bottom w:val="nil"/>
              <w:right w:val="nil"/>
            </w:tcBorders>
            <w:shd w:val="clear" w:color="auto" w:fill="auto"/>
            <w:noWrap/>
            <w:vAlign w:val="bottom"/>
            <w:hideMark/>
          </w:tcPr>
          <w:p w14:paraId="645C4E51"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63.0</w:t>
            </w:r>
          </w:p>
        </w:tc>
      </w:tr>
      <w:tr w:rsidR="00E55B70" w:rsidRPr="00E55B70" w14:paraId="33DF43FF" w14:textId="77777777" w:rsidTr="00E55B70">
        <w:trPr>
          <w:trHeight w:val="255"/>
        </w:trPr>
        <w:tc>
          <w:tcPr>
            <w:tcW w:w="960" w:type="dxa"/>
            <w:tcBorders>
              <w:top w:val="nil"/>
              <w:left w:val="nil"/>
              <w:bottom w:val="nil"/>
              <w:right w:val="nil"/>
            </w:tcBorders>
            <w:shd w:val="clear" w:color="auto" w:fill="auto"/>
            <w:noWrap/>
            <w:vAlign w:val="bottom"/>
            <w:hideMark/>
          </w:tcPr>
          <w:p w14:paraId="4DA85F49"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10</w:t>
            </w:r>
          </w:p>
        </w:tc>
        <w:tc>
          <w:tcPr>
            <w:tcW w:w="3160" w:type="dxa"/>
            <w:tcBorders>
              <w:top w:val="nil"/>
              <w:left w:val="nil"/>
              <w:bottom w:val="nil"/>
              <w:right w:val="nil"/>
            </w:tcBorders>
            <w:shd w:val="clear" w:color="auto" w:fill="auto"/>
            <w:noWrap/>
            <w:vAlign w:val="bottom"/>
            <w:hideMark/>
          </w:tcPr>
          <w:p w14:paraId="4F5C64BC"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Slovenia</w:t>
            </w:r>
          </w:p>
        </w:tc>
        <w:tc>
          <w:tcPr>
            <w:tcW w:w="480" w:type="dxa"/>
            <w:tcBorders>
              <w:top w:val="nil"/>
              <w:left w:val="nil"/>
              <w:bottom w:val="nil"/>
              <w:right w:val="nil"/>
            </w:tcBorders>
            <w:shd w:val="clear" w:color="auto" w:fill="auto"/>
            <w:noWrap/>
            <w:vAlign w:val="bottom"/>
            <w:hideMark/>
          </w:tcPr>
          <w:p w14:paraId="26916BBF"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61.9</w:t>
            </w:r>
          </w:p>
        </w:tc>
      </w:tr>
      <w:tr w:rsidR="00E55B70" w:rsidRPr="00E55B70" w14:paraId="6CC7866B" w14:textId="77777777" w:rsidTr="00E55B70">
        <w:trPr>
          <w:trHeight w:val="255"/>
        </w:trPr>
        <w:tc>
          <w:tcPr>
            <w:tcW w:w="960" w:type="dxa"/>
            <w:tcBorders>
              <w:top w:val="nil"/>
              <w:left w:val="nil"/>
              <w:bottom w:val="nil"/>
              <w:right w:val="nil"/>
            </w:tcBorders>
            <w:shd w:val="clear" w:color="auto" w:fill="auto"/>
            <w:noWrap/>
            <w:vAlign w:val="bottom"/>
            <w:hideMark/>
          </w:tcPr>
          <w:p w14:paraId="17405DAA"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11</w:t>
            </w:r>
          </w:p>
        </w:tc>
        <w:tc>
          <w:tcPr>
            <w:tcW w:w="3160" w:type="dxa"/>
            <w:tcBorders>
              <w:top w:val="nil"/>
              <w:left w:val="nil"/>
              <w:bottom w:val="nil"/>
              <w:right w:val="nil"/>
            </w:tcBorders>
            <w:shd w:val="clear" w:color="auto" w:fill="auto"/>
            <w:noWrap/>
            <w:vAlign w:val="bottom"/>
            <w:hideMark/>
          </w:tcPr>
          <w:p w14:paraId="1B55F5F0"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Denmark</w:t>
            </w:r>
          </w:p>
        </w:tc>
        <w:tc>
          <w:tcPr>
            <w:tcW w:w="480" w:type="dxa"/>
            <w:tcBorders>
              <w:top w:val="nil"/>
              <w:left w:val="nil"/>
              <w:bottom w:val="nil"/>
              <w:right w:val="nil"/>
            </w:tcBorders>
            <w:shd w:val="clear" w:color="auto" w:fill="auto"/>
            <w:noWrap/>
            <w:vAlign w:val="bottom"/>
            <w:hideMark/>
          </w:tcPr>
          <w:p w14:paraId="4BC8ADFC"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61.6</w:t>
            </w:r>
          </w:p>
        </w:tc>
      </w:tr>
      <w:tr w:rsidR="00E55B70" w:rsidRPr="00E55B70" w14:paraId="0021D3A4" w14:textId="77777777" w:rsidTr="00E55B70">
        <w:trPr>
          <w:trHeight w:val="255"/>
        </w:trPr>
        <w:tc>
          <w:tcPr>
            <w:tcW w:w="960" w:type="dxa"/>
            <w:tcBorders>
              <w:top w:val="nil"/>
              <w:left w:val="nil"/>
              <w:bottom w:val="nil"/>
              <w:right w:val="nil"/>
            </w:tcBorders>
            <w:shd w:val="clear" w:color="auto" w:fill="auto"/>
            <w:noWrap/>
            <w:vAlign w:val="bottom"/>
            <w:hideMark/>
          </w:tcPr>
          <w:p w14:paraId="3D7CA9F6"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12</w:t>
            </w:r>
          </w:p>
        </w:tc>
        <w:tc>
          <w:tcPr>
            <w:tcW w:w="3160" w:type="dxa"/>
            <w:tcBorders>
              <w:top w:val="nil"/>
              <w:left w:val="nil"/>
              <w:bottom w:val="nil"/>
              <w:right w:val="nil"/>
            </w:tcBorders>
            <w:shd w:val="clear" w:color="auto" w:fill="auto"/>
            <w:noWrap/>
            <w:vAlign w:val="bottom"/>
            <w:hideMark/>
          </w:tcPr>
          <w:p w14:paraId="72911C34"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Portugal</w:t>
            </w:r>
          </w:p>
        </w:tc>
        <w:tc>
          <w:tcPr>
            <w:tcW w:w="480" w:type="dxa"/>
            <w:tcBorders>
              <w:top w:val="nil"/>
              <w:left w:val="nil"/>
              <w:bottom w:val="nil"/>
              <w:right w:val="nil"/>
            </w:tcBorders>
            <w:shd w:val="clear" w:color="auto" w:fill="auto"/>
            <w:noWrap/>
            <w:vAlign w:val="bottom"/>
            <w:hideMark/>
          </w:tcPr>
          <w:p w14:paraId="43F3EEED"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60.9</w:t>
            </w:r>
          </w:p>
        </w:tc>
      </w:tr>
      <w:tr w:rsidR="00E55B70" w:rsidRPr="00E55B70" w14:paraId="35DC6F55" w14:textId="77777777" w:rsidTr="00E55B70">
        <w:trPr>
          <w:trHeight w:val="255"/>
        </w:trPr>
        <w:tc>
          <w:tcPr>
            <w:tcW w:w="960" w:type="dxa"/>
            <w:tcBorders>
              <w:top w:val="nil"/>
              <w:left w:val="nil"/>
              <w:bottom w:val="nil"/>
              <w:right w:val="nil"/>
            </w:tcBorders>
            <w:shd w:val="clear" w:color="auto" w:fill="auto"/>
            <w:noWrap/>
            <w:vAlign w:val="bottom"/>
            <w:hideMark/>
          </w:tcPr>
          <w:p w14:paraId="2CC0F061"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13</w:t>
            </w:r>
          </w:p>
        </w:tc>
        <w:tc>
          <w:tcPr>
            <w:tcW w:w="3160" w:type="dxa"/>
            <w:tcBorders>
              <w:top w:val="nil"/>
              <w:left w:val="nil"/>
              <w:bottom w:val="nil"/>
              <w:right w:val="nil"/>
            </w:tcBorders>
            <w:shd w:val="clear" w:color="auto" w:fill="auto"/>
            <w:noWrap/>
            <w:vAlign w:val="bottom"/>
            <w:hideMark/>
          </w:tcPr>
          <w:p w14:paraId="00D27CC1"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Ireland</w:t>
            </w:r>
          </w:p>
        </w:tc>
        <w:tc>
          <w:tcPr>
            <w:tcW w:w="480" w:type="dxa"/>
            <w:tcBorders>
              <w:top w:val="nil"/>
              <w:left w:val="nil"/>
              <w:bottom w:val="nil"/>
              <w:right w:val="nil"/>
            </w:tcBorders>
            <w:shd w:val="clear" w:color="auto" w:fill="auto"/>
            <w:noWrap/>
            <w:vAlign w:val="bottom"/>
            <w:hideMark/>
          </w:tcPr>
          <w:p w14:paraId="2608ACDD"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60.5</w:t>
            </w:r>
          </w:p>
        </w:tc>
      </w:tr>
      <w:tr w:rsidR="00E55B70" w:rsidRPr="00E55B70" w14:paraId="3AF10763" w14:textId="77777777" w:rsidTr="00E55B70">
        <w:trPr>
          <w:trHeight w:val="255"/>
        </w:trPr>
        <w:tc>
          <w:tcPr>
            <w:tcW w:w="960" w:type="dxa"/>
            <w:tcBorders>
              <w:top w:val="nil"/>
              <w:left w:val="nil"/>
              <w:bottom w:val="nil"/>
              <w:right w:val="nil"/>
            </w:tcBorders>
            <w:shd w:val="clear" w:color="auto" w:fill="auto"/>
            <w:noWrap/>
            <w:vAlign w:val="bottom"/>
            <w:hideMark/>
          </w:tcPr>
          <w:p w14:paraId="64A7D513"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14</w:t>
            </w:r>
          </w:p>
        </w:tc>
        <w:tc>
          <w:tcPr>
            <w:tcW w:w="3160" w:type="dxa"/>
            <w:tcBorders>
              <w:top w:val="nil"/>
              <w:left w:val="nil"/>
              <w:bottom w:val="nil"/>
              <w:right w:val="nil"/>
            </w:tcBorders>
            <w:shd w:val="clear" w:color="auto" w:fill="auto"/>
            <w:noWrap/>
            <w:vAlign w:val="bottom"/>
            <w:hideMark/>
          </w:tcPr>
          <w:p w14:paraId="15A61D1C" w14:textId="77777777" w:rsidR="00E55B70" w:rsidRPr="00E55B70" w:rsidRDefault="00E55B70" w:rsidP="00E55B70">
            <w:pPr>
              <w:spacing w:after="0" w:line="240" w:lineRule="auto"/>
              <w:rPr>
                <w:rFonts w:ascii="Arial" w:hAnsi="Arial" w:cs="Arial"/>
                <w:b/>
                <w:bCs/>
                <w:color w:val="000000"/>
                <w:sz w:val="20"/>
                <w:szCs w:val="20"/>
              </w:rPr>
            </w:pPr>
            <w:r w:rsidRPr="00E55B70">
              <w:rPr>
                <w:rFonts w:ascii="Arial" w:hAnsi="Arial" w:cs="Arial"/>
                <w:b/>
                <w:bCs/>
                <w:color w:val="000000"/>
                <w:sz w:val="20"/>
                <w:szCs w:val="20"/>
              </w:rPr>
              <w:t>United Kingdom</w:t>
            </w:r>
          </w:p>
        </w:tc>
        <w:tc>
          <w:tcPr>
            <w:tcW w:w="480" w:type="dxa"/>
            <w:tcBorders>
              <w:top w:val="nil"/>
              <w:left w:val="nil"/>
              <w:bottom w:val="nil"/>
              <w:right w:val="nil"/>
            </w:tcBorders>
            <w:shd w:val="clear" w:color="auto" w:fill="auto"/>
            <w:noWrap/>
            <w:vAlign w:val="bottom"/>
            <w:hideMark/>
          </w:tcPr>
          <w:p w14:paraId="20B78188" w14:textId="77777777" w:rsidR="00E55B70" w:rsidRPr="00E55B70" w:rsidRDefault="00E55B70" w:rsidP="00E55B70">
            <w:pPr>
              <w:spacing w:after="0" w:line="240" w:lineRule="auto"/>
              <w:jc w:val="right"/>
              <w:rPr>
                <w:rFonts w:ascii="Arial" w:hAnsi="Arial" w:cs="Arial"/>
                <w:b/>
                <w:bCs/>
                <w:color w:val="000000"/>
                <w:sz w:val="20"/>
                <w:szCs w:val="20"/>
              </w:rPr>
            </w:pPr>
            <w:r w:rsidRPr="00E55B70">
              <w:rPr>
                <w:rFonts w:ascii="Arial" w:hAnsi="Arial" w:cs="Arial"/>
                <w:b/>
                <w:bCs/>
                <w:color w:val="000000"/>
                <w:sz w:val="20"/>
                <w:szCs w:val="20"/>
              </w:rPr>
              <w:t>60.0</w:t>
            </w:r>
          </w:p>
        </w:tc>
      </w:tr>
      <w:tr w:rsidR="00E55B70" w:rsidRPr="00E55B70" w14:paraId="7BED291B" w14:textId="77777777" w:rsidTr="00E55B70">
        <w:trPr>
          <w:trHeight w:val="255"/>
        </w:trPr>
        <w:tc>
          <w:tcPr>
            <w:tcW w:w="960" w:type="dxa"/>
            <w:tcBorders>
              <w:top w:val="nil"/>
              <w:left w:val="nil"/>
              <w:bottom w:val="nil"/>
              <w:right w:val="nil"/>
            </w:tcBorders>
            <w:shd w:val="clear" w:color="auto" w:fill="auto"/>
            <w:noWrap/>
            <w:vAlign w:val="bottom"/>
            <w:hideMark/>
          </w:tcPr>
          <w:p w14:paraId="4BB537A8"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15</w:t>
            </w:r>
          </w:p>
        </w:tc>
        <w:tc>
          <w:tcPr>
            <w:tcW w:w="3160" w:type="dxa"/>
            <w:tcBorders>
              <w:top w:val="nil"/>
              <w:left w:val="nil"/>
              <w:bottom w:val="nil"/>
              <w:right w:val="nil"/>
            </w:tcBorders>
            <w:shd w:val="clear" w:color="auto" w:fill="auto"/>
            <w:noWrap/>
            <w:vAlign w:val="bottom"/>
            <w:hideMark/>
          </w:tcPr>
          <w:p w14:paraId="022507F2"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Estonia</w:t>
            </w:r>
          </w:p>
        </w:tc>
        <w:tc>
          <w:tcPr>
            <w:tcW w:w="480" w:type="dxa"/>
            <w:tcBorders>
              <w:top w:val="nil"/>
              <w:left w:val="nil"/>
              <w:bottom w:val="nil"/>
              <w:right w:val="nil"/>
            </w:tcBorders>
            <w:shd w:val="clear" w:color="auto" w:fill="auto"/>
            <w:noWrap/>
            <w:vAlign w:val="bottom"/>
            <w:hideMark/>
          </w:tcPr>
          <w:p w14:paraId="61AE6F35"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58.4</w:t>
            </w:r>
          </w:p>
        </w:tc>
      </w:tr>
      <w:tr w:rsidR="00E55B70" w:rsidRPr="00E55B70" w14:paraId="05E561F0" w14:textId="77777777" w:rsidTr="00E55B70">
        <w:trPr>
          <w:trHeight w:val="255"/>
        </w:trPr>
        <w:tc>
          <w:tcPr>
            <w:tcW w:w="960" w:type="dxa"/>
            <w:tcBorders>
              <w:top w:val="nil"/>
              <w:left w:val="nil"/>
              <w:bottom w:val="nil"/>
              <w:right w:val="nil"/>
            </w:tcBorders>
            <w:shd w:val="clear" w:color="auto" w:fill="auto"/>
            <w:noWrap/>
            <w:vAlign w:val="bottom"/>
            <w:hideMark/>
          </w:tcPr>
          <w:p w14:paraId="544EF462"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16</w:t>
            </w:r>
          </w:p>
        </w:tc>
        <w:tc>
          <w:tcPr>
            <w:tcW w:w="3160" w:type="dxa"/>
            <w:tcBorders>
              <w:top w:val="nil"/>
              <w:left w:val="nil"/>
              <w:bottom w:val="nil"/>
              <w:right w:val="nil"/>
            </w:tcBorders>
            <w:shd w:val="clear" w:color="auto" w:fill="auto"/>
            <w:noWrap/>
            <w:vAlign w:val="bottom"/>
            <w:hideMark/>
          </w:tcPr>
          <w:p w14:paraId="74022BF0"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Lithuania</w:t>
            </w:r>
          </w:p>
        </w:tc>
        <w:tc>
          <w:tcPr>
            <w:tcW w:w="480" w:type="dxa"/>
            <w:tcBorders>
              <w:top w:val="nil"/>
              <w:left w:val="nil"/>
              <w:bottom w:val="nil"/>
              <w:right w:val="nil"/>
            </w:tcBorders>
            <w:shd w:val="clear" w:color="auto" w:fill="auto"/>
            <w:noWrap/>
            <w:vAlign w:val="bottom"/>
            <w:hideMark/>
          </w:tcPr>
          <w:p w14:paraId="125C9C50"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56.9</w:t>
            </w:r>
          </w:p>
        </w:tc>
      </w:tr>
      <w:tr w:rsidR="00E55B70" w:rsidRPr="00E55B70" w14:paraId="5C4CF3EE" w14:textId="77777777" w:rsidTr="00E55B70">
        <w:trPr>
          <w:trHeight w:val="255"/>
        </w:trPr>
        <w:tc>
          <w:tcPr>
            <w:tcW w:w="960" w:type="dxa"/>
            <w:tcBorders>
              <w:top w:val="nil"/>
              <w:left w:val="nil"/>
              <w:bottom w:val="nil"/>
              <w:right w:val="nil"/>
            </w:tcBorders>
            <w:shd w:val="clear" w:color="auto" w:fill="auto"/>
            <w:noWrap/>
            <w:vAlign w:val="bottom"/>
            <w:hideMark/>
          </w:tcPr>
          <w:p w14:paraId="4BEAE27E"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17</w:t>
            </w:r>
          </w:p>
        </w:tc>
        <w:tc>
          <w:tcPr>
            <w:tcW w:w="3160" w:type="dxa"/>
            <w:tcBorders>
              <w:top w:val="nil"/>
              <w:left w:val="nil"/>
              <w:bottom w:val="nil"/>
              <w:right w:val="nil"/>
            </w:tcBorders>
            <w:shd w:val="clear" w:color="auto" w:fill="auto"/>
            <w:noWrap/>
            <w:vAlign w:val="bottom"/>
            <w:hideMark/>
          </w:tcPr>
          <w:p w14:paraId="0CFFDF5B"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Latvia</w:t>
            </w:r>
          </w:p>
        </w:tc>
        <w:tc>
          <w:tcPr>
            <w:tcW w:w="480" w:type="dxa"/>
            <w:tcBorders>
              <w:top w:val="nil"/>
              <w:left w:val="nil"/>
              <w:bottom w:val="nil"/>
              <w:right w:val="nil"/>
            </w:tcBorders>
            <w:shd w:val="clear" w:color="auto" w:fill="auto"/>
            <w:noWrap/>
            <w:vAlign w:val="bottom"/>
            <w:hideMark/>
          </w:tcPr>
          <w:p w14:paraId="4F2868E5"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56.4</w:t>
            </w:r>
          </w:p>
        </w:tc>
      </w:tr>
      <w:tr w:rsidR="00E55B70" w:rsidRPr="00E55B70" w14:paraId="657908A8" w14:textId="77777777" w:rsidTr="00E55B70">
        <w:trPr>
          <w:trHeight w:val="255"/>
        </w:trPr>
        <w:tc>
          <w:tcPr>
            <w:tcW w:w="960" w:type="dxa"/>
            <w:tcBorders>
              <w:top w:val="nil"/>
              <w:left w:val="nil"/>
              <w:bottom w:val="nil"/>
              <w:right w:val="nil"/>
            </w:tcBorders>
            <w:shd w:val="clear" w:color="auto" w:fill="auto"/>
            <w:noWrap/>
            <w:vAlign w:val="bottom"/>
            <w:hideMark/>
          </w:tcPr>
          <w:p w14:paraId="0F36CA08"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18</w:t>
            </w:r>
          </w:p>
        </w:tc>
        <w:tc>
          <w:tcPr>
            <w:tcW w:w="3160" w:type="dxa"/>
            <w:tcBorders>
              <w:top w:val="nil"/>
              <w:left w:val="nil"/>
              <w:bottom w:val="nil"/>
              <w:right w:val="nil"/>
            </w:tcBorders>
            <w:shd w:val="clear" w:color="auto" w:fill="auto"/>
            <w:noWrap/>
            <w:vAlign w:val="bottom"/>
            <w:hideMark/>
          </w:tcPr>
          <w:p w14:paraId="43F13CD8"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Czech Rep.</w:t>
            </w:r>
          </w:p>
        </w:tc>
        <w:tc>
          <w:tcPr>
            <w:tcW w:w="480" w:type="dxa"/>
            <w:tcBorders>
              <w:top w:val="nil"/>
              <w:left w:val="nil"/>
              <w:bottom w:val="nil"/>
              <w:right w:val="nil"/>
            </w:tcBorders>
            <w:shd w:val="clear" w:color="auto" w:fill="auto"/>
            <w:noWrap/>
            <w:vAlign w:val="bottom"/>
            <w:hideMark/>
          </w:tcPr>
          <w:p w14:paraId="18B7FD31"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56.1</w:t>
            </w:r>
          </w:p>
        </w:tc>
      </w:tr>
      <w:tr w:rsidR="00E55B70" w:rsidRPr="00E55B70" w14:paraId="01A401E7" w14:textId="77777777" w:rsidTr="00E55B70">
        <w:trPr>
          <w:trHeight w:val="255"/>
        </w:trPr>
        <w:tc>
          <w:tcPr>
            <w:tcW w:w="960" w:type="dxa"/>
            <w:tcBorders>
              <w:top w:val="nil"/>
              <w:left w:val="nil"/>
              <w:bottom w:val="nil"/>
              <w:right w:val="nil"/>
            </w:tcBorders>
            <w:shd w:val="clear" w:color="auto" w:fill="auto"/>
            <w:noWrap/>
            <w:vAlign w:val="bottom"/>
            <w:hideMark/>
          </w:tcPr>
          <w:p w14:paraId="6F4DF649"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19</w:t>
            </w:r>
          </w:p>
        </w:tc>
        <w:tc>
          <w:tcPr>
            <w:tcW w:w="3160" w:type="dxa"/>
            <w:tcBorders>
              <w:top w:val="nil"/>
              <w:left w:val="nil"/>
              <w:bottom w:val="nil"/>
              <w:right w:val="nil"/>
            </w:tcBorders>
            <w:shd w:val="clear" w:color="auto" w:fill="auto"/>
            <w:noWrap/>
            <w:vAlign w:val="bottom"/>
            <w:hideMark/>
          </w:tcPr>
          <w:p w14:paraId="1CEE45E2"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Poland</w:t>
            </w:r>
          </w:p>
        </w:tc>
        <w:tc>
          <w:tcPr>
            <w:tcW w:w="480" w:type="dxa"/>
            <w:tcBorders>
              <w:top w:val="nil"/>
              <w:left w:val="nil"/>
              <w:bottom w:val="nil"/>
              <w:right w:val="nil"/>
            </w:tcBorders>
            <w:shd w:val="clear" w:color="auto" w:fill="auto"/>
            <w:noWrap/>
            <w:vAlign w:val="bottom"/>
            <w:hideMark/>
          </w:tcPr>
          <w:p w14:paraId="7BFBB036"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52.8</w:t>
            </w:r>
          </w:p>
        </w:tc>
      </w:tr>
      <w:tr w:rsidR="00E55B70" w:rsidRPr="00E55B70" w14:paraId="7FBAF523" w14:textId="77777777" w:rsidTr="00E55B70">
        <w:trPr>
          <w:trHeight w:val="255"/>
        </w:trPr>
        <w:tc>
          <w:tcPr>
            <w:tcW w:w="960" w:type="dxa"/>
            <w:tcBorders>
              <w:top w:val="nil"/>
              <w:left w:val="nil"/>
              <w:bottom w:val="nil"/>
              <w:right w:val="nil"/>
            </w:tcBorders>
            <w:shd w:val="clear" w:color="auto" w:fill="auto"/>
            <w:noWrap/>
            <w:vAlign w:val="bottom"/>
            <w:hideMark/>
          </w:tcPr>
          <w:p w14:paraId="0BE9BF2E"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20</w:t>
            </w:r>
          </w:p>
        </w:tc>
        <w:tc>
          <w:tcPr>
            <w:tcW w:w="3160" w:type="dxa"/>
            <w:tcBorders>
              <w:top w:val="nil"/>
              <w:left w:val="nil"/>
              <w:bottom w:val="nil"/>
              <w:right w:val="nil"/>
            </w:tcBorders>
            <w:shd w:val="clear" w:color="auto" w:fill="auto"/>
            <w:noWrap/>
            <w:vAlign w:val="bottom"/>
            <w:hideMark/>
          </w:tcPr>
          <w:p w14:paraId="21580D66" w14:textId="77777777" w:rsidR="00E55B70" w:rsidRPr="00E55B70" w:rsidRDefault="00E55B70" w:rsidP="00E55B70">
            <w:pPr>
              <w:spacing w:after="0" w:line="240" w:lineRule="auto"/>
              <w:rPr>
                <w:rFonts w:ascii="Arial" w:hAnsi="Arial" w:cs="Arial"/>
                <w:color w:val="000000"/>
                <w:sz w:val="20"/>
                <w:szCs w:val="20"/>
              </w:rPr>
            </w:pPr>
            <w:r w:rsidRPr="00E55B70">
              <w:rPr>
                <w:rFonts w:ascii="Arial" w:hAnsi="Arial" w:cs="Arial"/>
                <w:color w:val="000000"/>
                <w:sz w:val="20"/>
                <w:szCs w:val="20"/>
              </w:rPr>
              <w:t>Slovak Rep</w:t>
            </w:r>
          </w:p>
        </w:tc>
        <w:tc>
          <w:tcPr>
            <w:tcW w:w="480" w:type="dxa"/>
            <w:tcBorders>
              <w:top w:val="nil"/>
              <w:left w:val="nil"/>
              <w:bottom w:val="nil"/>
              <w:right w:val="nil"/>
            </w:tcBorders>
            <w:shd w:val="clear" w:color="auto" w:fill="auto"/>
            <w:noWrap/>
            <w:vAlign w:val="bottom"/>
            <w:hideMark/>
          </w:tcPr>
          <w:p w14:paraId="4A06BE2F" w14:textId="77777777" w:rsidR="00E55B70" w:rsidRPr="00E55B70" w:rsidRDefault="00E55B70" w:rsidP="00E55B70">
            <w:pPr>
              <w:spacing w:after="0" w:line="240" w:lineRule="auto"/>
              <w:jc w:val="right"/>
              <w:rPr>
                <w:rFonts w:ascii="Arial" w:hAnsi="Arial" w:cs="Arial"/>
                <w:color w:val="000000"/>
                <w:sz w:val="20"/>
                <w:szCs w:val="20"/>
              </w:rPr>
            </w:pPr>
            <w:r w:rsidRPr="00E55B70">
              <w:rPr>
                <w:rFonts w:ascii="Arial" w:hAnsi="Arial" w:cs="Arial"/>
                <w:color w:val="000000"/>
                <w:sz w:val="20"/>
                <w:szCs w:val="20"/>
              </w:rPr>
              <w:t>51.7</w:t>
            </w:r>
          </w:p>
        </w:tc>
      </w:tr>
    </w:tbl>
    <w:p w14:paraId="425B42FD" w14:textId="77777777" w:rsidR="00E55B70" w:rsidRDefault="00E55B70" w:rsidP="00764C5D"/>
    <w:p w14:paraId="4225C6BE" w14:textId="77777777" w:rsidR="00E55B70" w:rsidRDefault="006419B8" w:rsidP="00764C5D">
      <w:r>
        <w:t xml:space="preserve">Source: </w:t>
      </w:r>
      <w:r w:rsidR="00325617">
        <w:t>OECD</w:t>
      </w:r>
    </w:p>
    <w:p w14:paraId="3E4630E7" w14:textId="77777777" w:rsidR="006419B8" w:rsidRDefault="006419B8" w:rsidP="00764C5D"/>
    <w:p w14:paraId="25CEEB81" w14:textId="77777777" w:rsidR="00E55B70" w:rsidRDefault="00E55B70" w:rsidP="00764C5D"/>
    <w:p w14:paraId="0E2D88AF" w14:textId="77777777" w:rsidR="00660184" w:rsidRPr="00660184" w:rsidRDefault="00660184" w:rsidP="00764C5D">
      <w:pPr>
        <w:rPr>
          <w:b/>
        </w:rPr>
      </w:pPr>
      <w:r>
        <w:br w:type="page"/>
      </w:r>
      <w:r w:rsidR="002E60D0" w:rsidRPr="002E60D0">
        <w:rPr>
          <w:b/>
        </w:rPr>
        <w:lastRenderedPageBreak/>
        <w:t>Figure 1</w:t>
      </w:r>
      <w:r w:rsidR="002E60D0">
        <w:t xml:space="preserve">. </w:t>
      </w:r>
      <w:r w:rsidRPr="00660184">
        <w:rPr>
          <w:b/>
        </w:rPr>
        <w:t>Infant mortality per 1,000 live births: EU28, UK and Sweden 1960-2015</w:t>
      </w:r>
    </w:p>
    <w:p w14:paraId="03E16CBB" w14:textId="77777777" w:rsidR="00660184" w:rsidRDefault="003071E1" w:rsidP="00764C5D">
      <w:r>
        <w:rPr>
          <w:noProof/>
        </w:rPr>
        <w:drawing>
          <wp:inline distT="0" distB="0" distL="0" distR="0" wp14:anchorId="2F9F1FED" wp14:editId="0698A0CA">
            <wp:extent cx="5730240" cy="2976880"/>
            <wp:effectExtent l="0" t="0" r="1016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0240" cy="2976880"/>
                    </a:xfrm>
                    <a:prstGeom prst="rect">
                      <a:avLst/>
                    </a:prstGeom>
                    <a:noFill/>
                    <a:ln>
                      <a:noFill/>
                    </a:ln>
                  </pic:spPr>
                </pic:pic>
              </a:graphicData>
            </a:graphic>
          </wp:inline>
        </w:drawing>
      </w:r>
    </w:p>
    <w:p w14:paraId="7A14FC86" w14:textId="77777777" w:rsidR="00660184" w:rsidRDefault="00660184" w:rsidP="00764C5D"/>
    <w:p w14:paraId="1228A289" w14:textId="77777777" w:rsidR="00660184" w:rsidRDefault="00A76A95" w:rsidP="00764C5D">
      <w:r>
        <w:br w:type="page"/>
      </w:r>
    </w:p>
    <w:p w14:paraId="3BF00D01" w14:textId="77777777" w:rsidR="002E60D0" w:rsidRPr="002E60D0" w:rsidRDefault="002E60D0" w:rsidP="00764C5D">
      <w:pPr>
        <w:rPr>
          <w:b/>
        </w:rPr>
      </w:pPr>
      <w:r w:rsidRPr="002E60D0">
        <w:rPr>
          <w:b/>
        </w:rPr>
        <w:lastRenderedPageBreak/>
        <w:t>Box</w:t>
      </w:r>
      <w:r w:rsidR="006419B8">
        <w:rPr>
          <w:b/>
        </w:rPr>
        <w:t xml:space="preserve"> 1</w:t>
      </w:r>
      <w:r w:rsidRPr="002E60D0">
        <w:rPr>
          <w:b/>
        </w:rPr>
        <w:t>. Quality of NHS care – a patient perspective.</w:t>
      </w:r>
    </w:p>
    <w:p w14:paraId="032FB1CA" w14:textId="77777777" w:rsidR="00660184" w:rsidRPr="00936E0E" w:rsidRDefault="00936E0E" w:rsidP="00764C5D">
      <w:pPr>
        <w:rPr>
          <w:i/>
        </w:rPr>
      </w:pPr>
      <w:r>
        <w:rPr>
          <w:i/>
        </w:rPr>
        <w:t>“</w:t>
      </w:r>
      <w:r w:rsidR="00771976" w:rsidRPr="00771976">
        <w:rPr>
          <w:i/>
        </w:rPr>
        <w:t>As an NHS patient, I have been pleased at the prompt access to care when needed. I have had many positive interactions with health care professionals and staff members at the surgeries and clinics and I have been grateful for the opportunity to be involved in decision-making with respect to my care and treatment plans. Based on my personal experience, one area that I feel could use attention is the communication between specialists and my GP surgery. As a specific example, I was referred to a specialist for a suspicious mole. Although an appointment was made quickly for me and the mole removed, I then did not hear anything about the results afterwards for a couple of months. My GP was unable to assist as they did not have access to that information, and the delays caused me some anxiety. I was unsure of whom to contact for the test results and eventually called the ‘Patient Advice and Liaison Service’ to assist me in chasing the results. Perhaps it was that my expectations for receiving the test results were unrealistic, but enhanced communication in this area (or between the specialist and my GP), would have improved my experience of the NHS”</w:t>
      </w:r>
      <w:r w:rsidR="002E60D0" w:rsidRPr="00936E0E">
        <w:rPr>
          <w:i/>
        </w:rPr>
        <w:t>.</w:t>
      </w:r>
    </w:p>
    <w:p w14:paraId="57C43E5D" w14:textId="77777777" w:rsidR="002E60D0" w:rsidRDefault="002E60D0" w:rsidP="00764C5D"/>
    <w:p w14:paraId="1E996788" w14:textId="77777777" w:rsidR="00BA493E" w:rsidRDefault="00D43C81" w:rsidP="006419B8">
      <w:r>
        <w:br w:type="page"/>
      </w:r>
    </w:p>
    <w:p w14:paraId="7E258C8B" w14:textId="77777777" w:rsidR="00BA493E" w:rsidRPr="00BA493E" w:rsidRDefault="00BA493E" w:rsidP="006419B8">
      <w:pPr>
        <w:rPr>
          <w:b/>
        </w:rPr>
      </w:pPr>
      <w:r w:rsidRPr="00BA493E">
        <w:rPr>
          <w:b/>
        </w:rPr>
        <w:lastRenderedPageBreak/>
        <w:t>Key messages</w:t>
      </w:r>
    </w:p>
    <w:p w14:paraId="018D9CEC" w14:textId="77777777" w:rsidR="00BA493E" w:rsidRDefault="00BA493E" w:rsidP="002E24C6">
      <w:pPr>
        <w:numPr>
          <w:ilvl w:val="0"/>
          <w:numId w:val="4"/>
        </w:numPr>
      </w:pPr>
      <w:r>
        <w:t>Important health outcomes such as life expectancy and infant mortality have improved substantially in the United Kingdom since 1948.</w:t>
      </w:r>
    </w:p>
    <w:p w14:paraId="30C9B6EB" w14:textId="77777777" w:rsidR="00BA493E" w:rsidRDefault="00BA493E" w:rsidP="002E24C6">
      <w:pPr>
        <w:numPr>
          <w:ilvl w:val="0"/>
          <w:numId w:val="4"/>
        </w:numPr>
      </w:pPr>
      <w:r>
        <w:t>In some key areas, such as child health outcomes and cancer survival, the UK has fallen behind other European countries.</w:t>
      </w:r>
    </w:p>
    <w:p w14:paraId="457B1D27" w14:textId="77777777" w:rsidR="00BA493E" w:rsidRDefault="00BA493E" w:rsidP="002E24C6">
      <w:pPr>
        <w:numPr>
          <w:ilvl w:val="0"/>
          <w:numId w:val="4"/>
        </w:numPr>
      </w:pPr>
      <w:r w:rsidRPr="00BA493E">
        <w:t>The NHS needs to focus its efforts on improving health outcomes so the UK is once again above the European average. The implementation of all new health policies should be viewed through this objective</w:t>
      </w:r>
      <w:r>
        <w:t>.</w:t>
      </w:r>
    </w:p>
    <w:p w14:paraId="1F1A46F6" w14:textId="77777777" w:rsidR="00BA493E" w:rsidRDefault="00BA493E" w:rsidP="002E24C6">
      <w:pPr>
        <w:numPr>
          <w:ilvl w:val="0"/>
          <w:numId w:val="4"/>
        </w:numPr>
      </w:pPr>
      <w:r>
        <w:t>We also need to ensure that there is continued progress on tackling the wider determinants of health; such as poverty, housing, education, employment and the environment.</w:t>
      </w:r>
    </w:p>
    <w:p w14:paraId="4E2108CF" w14:textId="77777777" w:rsidR="00BA493E" w:rsidRDefault="00BA493E" w:rsidP="006419B8"/>
    <w:p w14:paraId="645BC4F0" w14:textId="77777777" w:rsidR="00BA493E" w:rsidRPr="00FF7A6D" w:rsidRDefault="00BA493E" w:rsidP="006419B8"/>
    <w:sectPr w:rsidR="00BA493E" w:rsidRPr="00FF7A6D" w:rsidSect="00F4337E">
      <w:footerReference w:type="default" r:id="rId10"/>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B7B041" w14:textId="77777777" w:rsidR="004B0B74" w:rsidRDefault="004B0B74" w:rsidP="00940BB8">
      <w:pPr>
        <w:spacing w:after="0" w:line="240" w:lineRule="auto"/>
      </w:pPr>
      <w:r>
        <w:separator/>
      </w:r>
    </w:p>
  </w:endnote>
  <w:endnote w:type="continuationSeparator" w:id="0">
    <w:p w14:paraId="3CAEF33B" w14:textId="77777777" w:rsidR="004B0B74" w:rsidRDefault="004B0B74" w:rsidP="00940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DD9D96" w14:textId="77777777" w:rsidR="00167820" w:rsidRDefault="00167820">
    <w:pPr>
      <w:pStyle w:val="Footer"/>
      <w:jc w:val="center"/>
    </w:pPr>
    <w:r>
      <w:fldChar w:fldCharType="begin"/>
    </w:r>
    <w:r>
      <w:instrText xml:space="preserve"> PAGE   \* MERGEFORMAT </w:instrText>
    </w:r>
    <w:r>
      <w:fldChar w:fldCharType="separate"/>
    </w:r>
    <w:r w:rsidR="008048DB">
      <w:rPr>
        <w:noProof/>
      </w:rPr>
      <w:t>13</w:t>
    </w:r>
    <w:r>
      <w:fldChar w:fldCharType="end"/>
    </w:r>
  </w:p>
  <w:p w14:paraId="79F3662B" w14:textId="77777777" w:rsidR="00167820" w:rsidRDefault="001678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95FBF5" w14:textId="77777777" w:rsidR="004B0B74" w:rsidRDefault="004B0B74" w:rsidP="00940BB8">
      <w:pPr>
        <w:spacing w:after="0" w:line="240" w:lineRule="auto"/>
      </w:pPr>
      <w:r>
        <w:separator/>
      </w:r>
    </w:p>
  </w:footnote>
  <w:footnote w:type="continuationSeparator" w:id="0">
    <w:p w14:paraId="47270415" w14:textId="77777777" w:rsidR="004B0B74" w:rsidRDefault="004B0B74" w:rsidP="00940B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ADEE2E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29D55A7"/>
    <w:multiLevelType w:val="hybridMultilevel"/>
    <w:tmpl w:val="644C3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D50812"/>
    <w:multiLevelType w:val="hybridMultilevel"/>
    <w:tmpl w:val="BA7A6F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AAB36DB"/>
    <w:multiLevelType w:val="hybridMultilevel"/>
    <w:tmpl w:val="4894D7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339"/>
    <w:rsid w:val="00001502"/>
    <w:rsid w:val="000103BD"/>
    <w:rsid w:val="00011425"/>
    <w:rsid w:val="00012DA2"/>
    <w:rsid w:val="0001335C"/>
    <w:rsid w:val="00013983"/>
    <w:rsid w:val="00014720"/>
    <w:rsid w:val="00016733"/>
    <w:rsid w:val="0001723C"/>
    <w:rsid w:val="00027721"/>
    <w:rsid w:val="000373D0"/>
    <w:rsid w:val="000409F0"/>
    <w:rsid w:val="00042CDC"/>
    <w:rsid w:val="00043F33"/>
    <w:rsid w:val="0004529D"/>
    <w:rsid w:val="0005116C"/>
    <w:rsid w:val="00051655"/>
    <w:rsid w:val="000545AD"/>
    <w:rsid w:val="00060B50"/>
    <w:rsid w:val="000611CE"/>
    <w:rsid w:val="00061E26"/>
    <w:rsid w:val="00062FA0"/>
    <w:rsid w:val="00070A53"/>
    <w:rsid w:val="00080CA6"/>
    <w:rsid w:val="00080DC5"/>
    <w:rsid w:val="00081A88"/>
    <w:rsid w:val="00083BFB"/>
    <w:rsid w:val="0008526B"/>
    <w:rsid w:val="000905AB"/>
    <w:rsid w:val="000905C3"/>
    <w:rsid w:val="00091480"/>
    <w:rsid w:val="000927A9"/>
    <w:rsid w:val="00094A13"/>
    <w:rsid w:val="000A5184"/>
    <w:rsid w:val="000A52C4"/>
    <w:rsid w:val="000A7A0A"/>
    <w:rsid w:val="000B0A89"/>
    <w:rsid w:val="000C3423"/>
    <w:rsid w:val="000C7155"/>
    <w:rsid w:val="000C7B39"/>
    <w:rsid w:val="000D6752"/>
    <w:rsid w:val="000E05B9"/>
    <w:rsid w:val="000E0A4F"/>
    <w:rsid w:val="000E155A"/>
    <w:rsid w:val="000E68E2"/>
    <w:rsid w:val="000E7B97"/>
    <w:rsid w:val="000F527A"/>
    <w:rsid w:val="000F53DF"/>
    <w:rsid w:val="000F5CDB"/>
    <w:rsid w:val="000F7E1E"/>
    <w:rsid w:val="00100580"/>
    <w:rsid w:val="0010100E"/>
    <w:rsid w:val="001066E1"/>
    <w:rsid w:val="00111ED0"/>
    <w:rsid w:val="00121AF3"/>
    <w:rsid w:val="0012581E"/>
    <w:rsid w:val="00126712"/>
    <w:rsid w:val="00131F6F"/>
    <w:rsid w:val="001432A7"/>
    <w:rsid w:val="00144EFA"/>
    <w:rsid w:val="00153A9E"/>
    <w:rsid w:val="00153B1D"/>
    <w:rsid w:val="00160DE3"/>
    <w:rsid w:val="00162F2E"/>
    <w:rsid w:val="001644EB"/>
    <w:rsid w:val="00164CFA"/>
    <w:rsid w:val="00167820"/>
    <w:rsid w:val="00170AEE"/>
    <w:rsid w:val="00176F2D"/>
    <w:rsid w:val="00181016"/>
    <w:rsid w:val="00185EDC"/>
    <w:rsid w:val="00186BDA"/>
    <w:rsid w:val="0019094F"/>
    <w:rsid w:val="00191528"/>
    <w:rsid w:val="00194610"/>
    <w:rsid w:val="001A012C"/>
    <w:rsid w:val="001A0C41"/>
    <w:rsid w:val="001A3155"/>
    <w:rsid w:val="001A4ED8"/>
    <w:rsid w:val="001A6CEB"/>
    <w:rsid w:val="001B043F"/>
    <w:rsid w:val="001B46E3"/>
    <w:rsid w:val="001B6B0D"/>
    <w:rsid w:val="001B753D"/>
    <w:rsid w:val="001B7738"/>
    <w:rsid w:val="001C7180"/>
    <w:rsid w:val="001D1ACE"/>
    <w:rsid w:val="001D1E34"/>
    <w:rsid w:val="001D38EE"/>
    <w:rsid w:val="001E43E7"/>
    <w:rsid w:val="001E5966"/>
    <w:rsid w:val="001E6799"/>
    <w:rsid w:val="001E68DF"/>
    <w:rsid w:val="001F4738"/>
    <w:rsid w:val="001F69C9"/>
    <w:rsid w:val="001F70C9"/>
    <w:rsid w:val="001F7417"/>
    <w:rsid w:val="001F7886"/>
    <w:rsid w:val="00200561"/>
    <w:rsid w:val="0020357A"/>
    <w:rsid w:val="002110E1"/>
    <w:rsid w:val="00211462"/>
    <w:rsid w:val="002114EA"/>
    <w:rsid w:val="00211576"/>
    <w:rsid w:val="00215329"/>
    <w:rsid w:val="002206A3"/>
    <w:rsid w:val="002215C4"/>
    <w:rsid w:val="0022192A"/>
    <w:rsid w:val="00223C30"/>
    <w:rsid w:val="00232389"/>
    <w:rsid w:val="00235FAE"/>
    <w:rsid w:val="002425B1"/>
    <w:rsid w:val="00242EC0"/>
    <w:rsid w:val="002451E2"/>
    <w:rsid w:val="002457CC"/>
    <w:rsid w:val="00253CB7"/>
    <w:rsid w:val="002562C1"/>
    <w:rsid w:val="00260356"/>
    <w:rsid w:val="00261BF9"/>
    <w:rsid w:val="00264E4F"/>
    <w:rsid w:val="0026643E"/>
    <w:rsid w:val="00267308"/>
    <w:rsid w:val="00267ABA"/>
    <w:rsid w:val="002730B9"/>
    <w:rsid w:val="00275339"/>
    <w:rsid w:val="00280B88"/>
    <w:rsid w:val="002830F8"/>
    <w:rsid w:val="0028544B"/>
    <w:rsid w:val="00290187"/>
    <w:rsid w:val="002A5BDE"/>
    <w:rsid w:val="002A7CE7"/>
    <w:rsid w:val="002B0869"/>
    <w:rsid w:val="002B4FB1"/>
    <w:rsid w:val="002C5C0E"/>
    <w:rsid w:val="002C63BC"/>
    <w:rsid w:val="002D00A8"/>
    <w:rsid w:val="002D507C"/>
    <w:rsid w:val="002E1CDD"/>
    <w:rsid w:val="002E24C6"/>
    <w:rsid w:val="002E417A"/>
    <w:rsid w:val="002E60D0"/>
    <w:rsid w:val="002F28D8"/>
    <w:rsid w:val="002F2A3C"/>
    <w:rsid w:val="002F2FE5"/>
    <w:rsid w:val="002F303C"/>
    <w:rsid w:val="002F55C6"/>
    <w:rsid w:val="002F5DD7"/>
    <w:rsid w:val="002F6083"/>
    <w:rsid w:val="002F717B"/>
    <w:rsid w:val="00301B1A"/>
    <w:rsid w:val="00302ED5"/>
    <w:rsid w:val="003033EC"/>
    <w:rsid w:val="003071E1"/>
    <w:rsid w:val="003110C0"/>
    <w:rsid w:val="003167B2"/>
    <w:rsid w:val="00322BC0"/>
    <w:rsid w:val="00322CAD"/>
    <w:rsid w:val="00325617"/>
    <w:rsid w:val="00327A43"/>
    <w:rsid w:val="003317B0"/>
    <w:rsid w:val="00333E4B"/>
    <w:rsid w:val="0033787A"/>
    <w:rsid w:val="00337AD5"/>
    <w:rsid w:val="0034038E"/>
    <w:rsid w:val="00343336"/>
    <w:rsid w:val="00345CE7"/>
    <w:rsid w:val="003467EC"/>
    <w:rsid w:val="003502BD"/>
    <w:rsid w:val="003510CF"/>
    <w:rsid w:val="003537BC"/>
    <w:rsid w:val="00363B22"/>
    <w:rsid w:val="0036614A"/>
    <w:rsid w:val="0036639D"/>
    <w:rsid w:val="00366F4B"/>
    <w:rsid w:val="00370B02"/>
    <w:rsid w:val="00372BDF"/>
    <w:rsid w:val="00376BE4"/>
    <w:rsid w:val="003807C8"/>
    <w:rsid w:val="00383810"/>
    <w:rsid w:val="00384362"/>
    <w:rsid w:val="0038455A"/>
    <w:rsid w:val="00393AA0"/>
    <w:rsid w:val="00393BAE"/>
    <w:rsid w:val="0039678C"/>
    <w:rsid w:val="003A2095"/>
    <w:rsid w:val="003A22B4"/>
    <w:rsid w:val="003A434B"/>
    <w:rsid w:val="003A5166"/>
    <w:rsid w:val="003A6517"/>
    <w:rsid w:val="003B36AE"/>
    <w:rsid w:val="003C4BA2"/>
    <w:rsid w:val="003D4A76"/>
    <w:rsid w:val="003E1A73"/>
    <w:rsid w:val="003E3D0B"/>
    <w:rsid w:val="003E4985"/>
    <w:rsid w:val="003E7767"/>
    <w:rsid w:val="003F161C"/>
    <w:rsid w:val="003F17B5"/>
    <w:rsid w:val="003F42C8"/>
    <w:rsid w:val="003F7F5F"/>
    <w:rsid w:val="00403190"/>
    <w:rsid w:val="00415363"/>
    <w:rsid w:val="0041623D"/>
    <w:rsid w:val="00417201"/>
    <w:rsid w:val="00424870"/>
    <w:rsid w:val="00426CFC"/>
    <w:rsid w:val="00427AD7"/>
    <w:rsid w:val="0043227A"/>
    <w:rsid w:val="004417D3"/>
    <w:rsid w:val="00461C46"/>
    <w:rsid w:val="0046415C"/>
    <w:rsid w:val="00465F5A"/>
    <w:rsid w:val="004740BF"/>
    <w:rsid w:val="00474364"/>
    <w:rsid w:val="00475CA6"/>
    <w:rsid w:val="004832C3"/>
    <w:rsid w:val="00483A8C"/>
    <w:rsid w:val="00483CE4"/>
    <w:rsid w:val="004874D2"/>
    <w:rsid w:val="00490323"/>
    <w:rsid w:val="004A18CF"/>
    <w:rsid w:val="004A260F"/>
    <w:rsid w:val="004A4C5C"/>
    <w:rsid w:val="004A6FB7"/>
    <w:rsid w:val="004B0B74"/>
    <w:rsid w:val="004B4DF9"/>
    <w:rsid w:val="004B62FC"/>
    <w:rsid w:val="004C358A"/>
    <w:rsid w:val="004C4164"/>
    <w:rsid w:val="004C5D99"/>
    <w:rsid w:val="004C6D34"/>
    <w:rsid w:val="004C7A95"/>
    <w:rsid w:val="004D50B0"/>
    <w:rsid w:val="004D698C"/>
    <w:rsid w:val="004E03B2"/>
    <w:rsid w:val="004E53BC"/>
    <w:rsid w:val="004F07F9"/>
    <w:rsid w:val="004F0DE4"/>
    <w:rsid w:val="004F25DF"/>
    <w:rsid w:val="005009C2"/>
    <w:rsid w:val="005030AC"/>
    <w:rsid w:val="00512E65"/>
    <w:rsid w:val="0051467A"/>
    <w:rsid w:val="005158B9"/>
    <w:rsid w:val="0052034C"/>
    <w:rsid w:val="005209FA"/>
    <w:rsid w:val="00522173"/>
    <w:rsid w:val="00522A98"/>
    <w:rsid w:val="0052330C"/>
    <w:rsid w:val="00524930"/>
    <w:rsid w:val="00526C78"/>
    <w:rsid w:val="0053112D"/>
    <w:rsid w:val="0053137C"/>
    <w:rsid w:val="0054353F"/>
    <w:rsid w:val="005452C8"/>
    <w:rsid w:val="00546BE9"/>
    <w:rsid w:val="00547562"/>
    <w:rsid w:val="00547CEB"/>
    <w:rsid w:val="00553655"/>
    <w:rsid w:val="00555D42"/>
    <w:rsid w:val="00555EBF"/>
    <w:rsid w:val="005660AA"/>
    <w:rsid w:val="0056621A"/>
    <w:rsid w:val="005672A6"/>
    <w:rsid w:val="00570217"/>
    <w:rsid w:val="00572382"/>
    <w:rsid w:val="00577AAD"/>
    <w:rsid w:val="00584F28"/>
    <w:rsid w:val="00591374"/>
    <w:rsid w:val="005A1BB0"/>
    <w:rsid w:val="005A419C"/>
    <w:rsid w:val="005A4E2D"/>
    <w:rsid w:val="005A6757"/>
    <w:rsid w:val="005B51F8"/>
    <w:rsid w:val="005B6AEC"/>
    <w:rsid w:val="005C3AF0"/>
    <w:rsid w:val="005C3D29"/>
    <w:rsid w:val="005C40FA"/>
    <w:rsid w:val="005C442F"/>
    <w:rsid w:val="005E3167"/>
    <w:rsid w:val="005F62F9"/>
    <w:rsid w:val="00600794"/>
    <w:rsid w:val="0060167D"/>
    <w:rsid w:val="00602DBC"/>
    <w:rsid w:val="00603883"/>
    <w:rsid w:val="00605280"/>
    <w:rsid w:val="0060720A"/>
    <w:rsid w:val="00612FD3"/>
    <w:rsid w:val="006176A3"/>
    <w:rsid w:val="006206AB"/>
    <w:rsid w:val="00625190"/>
    <w:rsid w:val="00626A42"/>
    <w:rsid w:val="006272BB"/>
    <w:rsid w:val="006333E3"/>
    <w:rsid w:val="006403EC"/>
    <w:rsid w:val="00640F7A"/>
    <w:rsid w:val="006419B8"/>
    <w:rsid w:val="00660184"/>
    <w:rsid w:val="006623CE"/>
    <w:rsid w:val="00663FAA"/>
    <w:rsid w:val="00670595"/>
    <w:rsid w:val="00670600"/>
    <w:rsid w:val="00671B20"/>
    <w:rsid w:val="00684F7B"/>
    <w:rsid w:val="00685D7F"/>
    <w:rsid w:val="00692811"/>
    <w:rsid w:val="00695478"/>
    <w:rsid w:val="006A0071"/>
    <w:rsid w:val="006A7F21"/>
    <w:rsid w:val="006B13D0"/>
    <w:rsid w:val="006B4CF6"/>
    <w:rsid w:val="006B543B"/>
    <w:rsid w:val="006B561A"/>
    <w:rsid w:val="006C0881"/>
    <w:rsid w:val="006C4254"/>
    <w:rsid w:val="006C50F1"/>
    <w:rsid w:val="006C64C3"/>
    <w:rsid w:val="006D1552"/>
    <w:rsid w:val="006D67C7"/>
    <w:rsid w:val="006D6F36"/>
    <w:rsid w:val="006E50C3"/>
    <w:rsid w:val="006F0EF8"/>
    <w:rsid w:val="006F1969"/>
    <w:rsid w:val="006F43BE"/>
    <w:rsid w:val="006F5FF5"/>
    <w:rsid w:val="00705C1F"/>
    <w:rsid w:val="00711130"/>
    <w:rsid w:val="007130EE"/>
    <w:rsid w:val="00713CE7"/>
    <w:rsid w:val="00713F3D"/>
    <w:rsid w:val="007150C8"/>
    <w:rsid w:val="00720C7B"/>
    <w:rsid w:val="00720FBA"/>
    <w:rsid w:val="00727D57"/>
    <w:rsid w:val="007310C7"/>
    <w:rsid w:val="00734AED"/>
    <w:rsid w:val="007412B1"/>
    <w:rsid w:val="00741A53"/>
    <w:rsid w:val="0074407C"/>
    <w:rsid w:val="00745EF8"/>
    <w:rsid w:val="00746666"/>
    <w:rsid w:val="0074688E"/>
    <w:rsid w:val="00746B56"/>
    <w:rsid w:val="00747573"/>
    <w:rsid w:val="00761473"/>
    <w:rsid w:val="0076281C"/>
    <w:rsid w:val="007628A1"/>
    <w:rsid w:val="00764C5D"/>
    <w:rsid w:val="00767E54"/>
    <w:rsid w:val="00771976"/>
    <w:rsid w:val="00776F54"/>
    <w:rsid w:val="00780ED3"/>
    <w:rsid w:val="00785D7C"/>
    <w:rsid w:val="007A1419"/>
    <w:rsid w:val="007A2DF4"/>
    <w:rsid w:val="007A62E9"/>
    <w:rsid w:val="007B7AB4"/>
    <w:rsid w:val="007C0FD6"/>
    <w:rsid w:val="007C6CD2"/>
    <w:rsid w:val="007D323D"/>
    <w:rsid w:val="007D37F7"/>
    <w:rsid w:val="007E0C4F"/>
    <w:rsid w:val="007F1D0B"/>
    <w:rsid w:val="007F3AED"/>
    <w:rsid w:val="007F7AD8"/>
    <w:rsid w:val="008048DB"/>
    <w:rsid w:val="00811C91"/>
    <w:rsid w:val="008136F2"/>
    <w:rsid w:val="00816393"/>
    <w:rsid w:val="00817E95"/>
    <w:rsid w:val="00826CDA"/>
    <w:rsid w:val="008306CA"/>
    <w:rsid w:val="008327DC"/>
    <w:rsid w:val="00835B40"/>
    <w:rsid w:val="008432A1"/>
    <w:rsid w:val="00843C3F"/>
    <w:rsid w:val="00844C29"/>
    <w:rsid w:val="00844FCA"/>
    <w:rsid w:val="00847DE5"/>
    <w:rsid w:val="008522D0"/>
    <w:rsid w:val="008538F1"/>
    <w:rsid w:val="008560A0"/>
    <w:rsid w:val="008616B4"/>
    <w:rsid w:val="00862FF7"/>
    <w:rsid w:val="008662F3"/>
    <w:rsid w:val="00870864"/>
    <w:rsid w:val="00874E30"/>
    <w:rsid w:val="00874E4E"/>
    <w:rsid w:val="00875187"/>
    <w:rsid w:val="00886C6C"/>
    <w:rsid w:val="00887F48"/>
    <w:rsid w:val="008951DB"/>
    <w:rsid w:val="008959DD"/>
    <w:rsid w:val="00895B1C"/>
    <w:rsid w:val="00897084"/>
    <w:rsid w:val="008A3875"/>
    <w:rsid w:val="008A4B80"/>
    <w:rsid w:val="008A517F"/>
    <w:rsid w:val="008A7044"/>
    <w:rsid w:val="008A7337"/>
    <w:rsid w:val="008B1FF3"/>
    <w:rsid w:val="008B2E2F"/>
    <w:rsid w:val="008B7FF2"/>
    <w:rsid w:val="008C1EC8"/>
    <w:rsid w:val="008C2BAB"/>
    <w:rsid w:val="008C4AF6"/>
    <w:rsid w:val="008C6E9B"/>
    <w:rsid w:val="008C6F8D"/>
    <w:rsid w:val="008D0BCA"/>
    <w:rsid w:val="008D4C72"/>
    <w:rsid w:val="008D67D5"/>
    <w:rsid w:val="008D6BCC"/>
    <w:rsid w:val="008D7359"/>
    <w:rsid w:val="008E3584"/>
    <w:rsid w:val="008E7329"/>
    <w:rsid w:val="008F1BD6"/>
    <w:rsid w:val="008F35CB"/>
    <w:rsid w:val="008F4DED"/>
    <w:rsid w:val="008F74F0"/>
    <w:rsid w:val="00900DD4"/>
    <w:rsid w:val="00916D50"/>
    <w:rsid w:val="00922185"/>
    <w:rsid w:val="009221F9"/>
    <w:rsid w:val="009231CD"/>
    <w:rsid w:val="00923970"/>
    <w:rsid w:val="00927626"/>
    <w:rsid w:val="00932A67"/>
    <w:rsid w:val="009363C9"/>
    <w:rsid w:val="00936E0E"/>
    <w:rsid w:val="00940BB8"/>
    <w:rsid w:val="009411AD"/>
    <w:rsid w:val="00946289"/>
    <w:rsid w:val="00950DAB"/>
    <w:rsid w:val="009519BD"/>
    <w:rsid w:val="00951E14"/>
    <w:rsid w:val="00956D83"/>
    <w:rsid w:val="00963C64"/>
    <w:rsid w:val="0096539C"/>
    <w:rsid w:val="00966616"/>
    <w:rsid w:val="00966D3E"/>
    <w:rsid w:val="00967625"/>
    <w:rsid w:val="009738D1"/>
    <w:rsid w:val="0097655D"/>
    <w:rsid w:val="00976739"/>
    <w:rsid w:val="00977691"/>
    <w:rsid w:val="00977F52"/>
    <w:rsid w:val="00981F66"/>
    <w:rsid w:val="00982460"/>
    <w:rsid w:val="00982A61"/>
    <w:rsid w:val="00985518"/>
    <w:rsid w:val="0098655A"/>
    <w:rsid w:val="009914CC"/>
    <w:rsid w:val="009927AA"/>
    <w:rsid w:val="009929FB"/>
    <w:rsid w:val="009A29EB"/>
    <w:rsid w:val="009A48DD"/>
    <w:rsid w:val="009A50D2"/>
    <w:rsid w:val="009A5CAC"/>
    <w:rsid w:val="009A7943"/>
    <w:rsid w:val="009A7EEC"/>
    <w:rsid w:val="009B1918"/>
    <w:rsid w:val="009B6CD6"/>
    <w:rsid w:val="009C01C1"/>
    <w:rsid w:val="009C476C"/>
    <w:rsid w:val="009C5D19"/>
    <w:rsid w:val="009D09EA"/>
    <w:rsid w:val="009D30E3"/>
    <w:rsid w:val="009D51CC"/>
    <w:rsid w:val="009E51EA"/>
    <w:rsid w:val="009E5ECA"/>
    <w:rsid w:val="009E67F9"/>
    <w:rsid w:val="009F385F"/>
    <w:rsid w:val="009F39D4"/>
    <w:rsid w:val="009F44F0"/>
    <w:rsid w:val="009F6424"/>
    <w:rsid w:val="00A00C7C"/>
    <w:rsid w:val="00A0167A"/>
    <w:rsid w:val="00A07174"/>
    <w:rsid w:val="00A10171"/>
    <w:rsid w:val="00A125F7"/>
    <w:rsid w:val="00A17D1B"/>
    <w:rsid w:val="00A257AB"/>
    <w:rsid w:val="00A30C95"/>
    <w:rsid w:val="00A34406"/>
    <w:rsid w:val="00A41BA7"/>
    <w:rsid w:val="00A425AB"/>
    <w:rsid w:val="00A42DFB"/>
    <w:rsid w:val="00A469BC"/>
    <w:rsid w:val="00A50FC2"/>
    <w:rsid w:val="00A549FD"/>
    <w:rsid w:val="00A6025D"/>
    <w:rsid w:val="00A614CA"/>
    <w:rsid w:val="00A719CD"/>
    <w:rsid w:val="00A76A95"/>
    <w:rsid w:val="00A80A2D"/>
    <w:rsid w:val="00A81807"/>
    <w:rsid w:val="00A82DE2"/>
    <w:rsid w:val="00A855E3"/>
    <w:rsid w:val="00A85F3E"/>
    <w:rsid w:val="00A93024"/>
    <w:rsid w:val="00A97B7D"/>
    <w:rsid w:val="00AA52FB"/>
    <w:rsid w:val="00AA5E46"/>
    <w:rsid w:val="00AA6E7C"/>
    <w:rsid w:val="00AB4967"/>
    <w:rsid w:val="00AB4997"/>
    <w:rsid w:val="00AB4D6B"/>
    <w:rsid w:val="00AB7802"/>
    <w:rsid w:val="00AC1FAB"/>
    <w:rsid w:val="00AC4908"/>
    <w:rsid w:val="00AC79F4"/>
    <w:rsid w:val="00AD104C"/>
    <w:rsid w:val="00AD673C"/>
    <w:rsid w:val="00AD6FB4"/>
    <w:rsid w:val="00AE4654"/>
    <w:rsid w:val="00AE5B17"/>
    <w:rsid w:val="00AF0321"/>
    <w:rsid w:val="00AF68EC"/>
    <w:rsid w:val="00B0085B"/>
    <w:rsid w:val="00B0167A"/>
    <w:rsid w:val="00B063D4"/>
    <w:rsid w:val="00B10570"/>
    <w:rsid w:val="00B11545"/>
    <w:rsid w:val="00B1306E"/>
    <w:rsid w:val="00B137FB"/>
    <w:rsid w:val="00B13AC7"/>
    <w:rsid w:val="00B13FA4"/>
    <w:rsid w:val="00B16112"/>
    <w:rsid w:val="00B25F36"/>
    <w:rsid w:val="00B34362"/>
    <w:rsid w:val="00B35C6A"/>
    <w:rsid w:val="00B37394"/>
    <w:rsid w:val="00B37574"/>
    <w:rsid w:val="00B41BA3"/>
    <w:rsid w:val="00B427EF"/>
    <w:rsid w:val="00B43D5B"/>
    <w:rsid w:val="00B4466B"/>
    <w:rsid w:val="00B45173"/>
    <w:rsid w:val="00B45D21"/>
    <w:rsid w:val="00B47582"/>
    <w:rsid w:val="00B502D5"/>
    <w:rsid w:val="00B5682C"/>
    <w:rsid w:val="00B65763"/>
    <w:rsid w:val="00B661C7"/>
    <w:rsid w:val="00B71479"/>
    <w:rsid w:val="00B74107"/>
    <w:rsid w:val="00B83C03"/>
    <w:rsid w:val="00B93835"/>
    <w:rsid w:val="00B9438E"/>
    <w:rsid w:val="00BA325E"/>
    <w:rsid w:val="00BA493E"/>
    <w:rsid w:val="00BA61F8"/>
    <w:rsid w:val="00BB3ADA"/>
    <w:rsid w:val="00BC646B"/>
    <w:rsid w:val="00BD4518"/>
    <w:rsid w:val="00BD796B"/>
    <w:rsid w:val="00BE6C57"/>
    <w:rsid w:val="00BF0DB7"/>
    <w:rsid w:val="00BF236F"/>
    <w:rsid w:val="00BF24BD"/>
    <w:rsid w:val="00BF2D5A"/>
    <w:rsid w:val="00BF46BA"/>
    <w:rsid w:val="00BF5DCB"/>
    <w:rsid w:val="00C01133"/>
    <w:rsid w:val="00C03DF3"/>
    <w:rsid w:val="00C04770"/>
    <w:rsid w:val="00C11241"/>
    <w:rsid w:val="00C16280"/>
    <w:rsid w:val="00C24363"/>
    <w:rsid w:val="00C30516"/>
    <w:rsid w:val="00C30A6F"/>
    <w:rsid w:val="00C319A4"/>
    <w:rsid w:val="00C334B7"/>
    <w:rsid w:val="00C36386"/>
    <w:rsid w:val="00C43B73"/>
    <w:rsid w:val="00C45759"/>
    <w:rsid w:val="00C47909"/>
    <w:rsid w:val="00C50CAB"/>
    <w:rsid w:val="00C5768D"/>
    <w:rsid w:val="00C578CC"/>
    <w:rsid w:val="00C608B6"/>
    <w:rsid w:val="00C60D19"/>
    <w:rsid w:val="00C64194"/>
    <w:rsid w:val="00C64632"/>
    <w:rsid w:val="00C71509"/>
    <w:rsid w:val="00C7201A"/>
    <w:rsid w:val="00C72AC7"/>
    <w:rsid w:val="00C72CE0"/>
    <w:rsid w:val="00C84E08"/>
    <w:rsid w:val="00C86CF5"/>
    <w:rsid w:val="00C94A9D"/>
    <w:rsid w:val="00C97F8B"/>
    <w:rsid w:val="00CA38FE"/>
    <w:rsid w:val="00CA495B"/>
    <w:rsid w:val="00CA540D"/>
    <w:rsid w:val="00CB03A7"/>
    <w:rsid w:val="00CB0B1B"/>
    <w:rsid w:val="00CB3147"/>
    <w:rsid w:val="00CB3368"/>
    <w:rsid w:val="00CB47EB"/>
    <w:rsid w:val="00CC1899"/>
    <w:rsid w:val="00CC1B21"/>
    <w:rsid w:val="00CC2375"/>
    <w:rsid w:val="00CC26B3"/>
    <w:rsid w:val="00CC41D7"/>
    <w:rsid w:val="00CC4313"/>
    <w:rsid w:val="00CC559D"/>
    <w:rsid w:val="00CD0F61"/>
    <w:rsid w:val="00CD2646"/>
    <w:rsid w:val="00CD431B"/>
    <w:rsid w:val="00CD4692"/>
    <w:rsid w:val="00CD490B"/>
    <w:rsid w:val="00CE2C65"/>
    <w:rsid w:val="00CE6367"/>
    <w:rsid w:val="00CF067A"/>
    <w:rsid w:val="00CF2FCF"/>
    <w:rsid w:val="00CF4B0E"/>
    <w:rsid w:val="00D001F8"/>
    <w:rsid w:val="00D01D5A"/>
    <w:rsid w:val="00D05693"/>
    <w:rsid w:val="00D05B3D"/>
    <w:rsid w:val="00D15E1F"/>
    <w:rsid w:val="00D21573"/>
    <w:rsid w:val="00D23B90"/>
    <w:rsid w:val="00D279AA"/>
    <w:rsid w:val="00D41399"/>
    <w:rsid w:val="00D43C81"/>
    <w:rsid w:val="00D44A11"/>
    <w:rsid w:val="00D4561B"/>
    <w:rsid w:val="00D50340"/>
    <w:rsid w:val="00D52901"/>
    <w:rsid w:val="00D545C0"/>
    <w:rsid w:val="00D61E52"/>
    <w:rsid w:val="00D61ECC"/>
    <w:rsid w:val="00D63EA7"/>
    <w:rsid w:val="00D70E22"/>
    <w:rsid w:val="00D70F88"/>
    <w:rsid w:val="00D7112B"/>
    <w:rsid w:val="00D739C1"/>
    <w:rsid w:val="00D74954"/>
    <w:rsid w:val="00D766F8"/>
    <w:rsid w:val="00D82CEF"/>
    <w:rsid w:val="00D83ED5"/>
    <w:rsid w:val="00D85835"/>
    <w:rsid w:val="00D86C91"/>
    <w:rsid w:val="00D90298"/>
    <w:rsid w:val="00D90400"/>
    <w:rsid w:val="00D91596"/>
    <w:rsid w:val="00D93538"/>
    <w:rsid w:val="00D97A81"/>
    <w:rsid w:val="00DA2C0C"/>
    <w:rsid w:val="00DA4C94"/>
    <w:rsid w:val="00DA6873"/>
    <w:rsid w:val="00DB2CDA"/>
    <w:rsid w:val="00DB3057"/>
    <w:rsid w:val="00DB5EB6"/>
    <w:rsid w:val="00DB6C89"/>
    <w:rsid w:val="00DC084E"/>
    <w:rsid w:val="00DC2139"/>
    <w:rsid w:val="00DC7760"/>
    <w:rsid w:val="00DD0D72"/>
    <w:rsid w:val="00DD3C06"/>
    <w:rsid w:val="00DD4066"/>
    <w:rsid w:val="00DD5C30"/>
    <w:rsid w:val="00DE14EF"/>
    <w:rsid w:val="00DE1CA6"/>
    <w:rsid w:val="00DF2F48"/>
    <w:rsid w:val="00DF5729"/>
    <w:rsid w:val="00DF7F4C"/>
    <w:rsid w:val="00E05689"/>
    <w:rsid w:val="00E067AB"/>
    <w:rsid w:val="00E07739"/>
    <w:rsid w:val="00E10D83"/>
    <w:rsid w:val="00E135DF"/>
    <w:rsid w:val="00E1473E"/>
    <w:rsid w:val="00E17767"/>
    <w:rsid w:val="00E24E13"/>
    <w:rsid w:val="00E27A44"/>
    <w:rsid w:val="00E27D2F"/>
    <w:rsid w:val="00E31659"/>
    <w:rsid w:val="00E317AA"/>
    <w:rsid w:val="00E32A70"/>
    <w:rsid w:val="00E3561F"/>
    <w:rsid w:val="00E41F9D"/>
    <w:rsid w:val="00E4566E"/>
    <w:rsid w:val="00E46C6C"/>
    <w:rsid w:val="00E47B05"/>
    <w:rsid w:val="00E500F3"/>
    <w:rsid w:val="00E51143"/>
    <w:rsid w:val="00E537D4"/>
    <w:rsid w:val="00E55B70"/>
    <w:rsid w:val="00E57ADF"/>
    <w:rsid w:val="00E61A74"/>
    <w:rsid w:val="00E62078"/>
    <w:rsid w:val="00E626C1"/>
    <w:rsid w:val="00E668A3"/>
    <w:rsid w:val="00E71B79"/>
    <w:rsid w:val="00E72EE2"/>
    <w:rsid w:val="00E7309C"/>
    <w:rsid w:val="00E73A3E"/>
    <w:rsid w:val="00E8570B"/>
    <w:rsid w:val="00E8646B"/>
    <w:rsid w:val="00E87DF6"/>
    <w:rsid w:val="00EA3785"/>
    <w:rsid w:val="00EA3D58"/>
    <w:rsid w:val="00EA5CC4"/>
    <w:rsid w:val="00EB0EAA"/>
    <w:rsid w:val="00EB2A22"/>
    <w:rsid w:val="00EB3E01"/>
    <w:rsid w:val="00EB7512"/>
    <w:rsid w:val="00EC37E9"/>
    <w:rsid w:val="00EC41AC"/>
    <w:rsid w:val="00EC5E2E"/>
    <w:rsid w:val="00EC615B"/>
    <w:rsid w:val="00EC70E0"/>
    <w:rsid w:val="00EC7B29"/>
    <w:rsid w:val="00ED63EB"/>
    <w:rsid w:val="00EE5E92"/>
    <w:rsid w:val="00EF6634"/>
    <w:rsid w:val="00EF77DF"/>
    <w:rsid w:val="00F05B6A"/>
    <w:rsid w:val="00F06B09"/>
    <w:rsid w:val="00F11BD1"/>
    <w:rsid w:val="00F120ED"/>
    <w:rsid w:val="00F136D0"/>
    <w:rsid w:val="00F154B1"/>
    <w:rsid w:val="00F166ED"/>
    <w:rsid w:val="00F16734"/>
    <w:rsid w:val="00F20EE0"/>
    <w:rsid w:val="00F31013"/>
    <w:rsid w:val="00F31C2A"/>
    <w:rsid w:val="00F32AF2"/>
    <w:rsid w:val="00F3318E"/>
    <w:rsid w:val="00F41C8D"/>
    <w:rsid w:val="00F424E0"/>
    <w:rsid w:val="00F4337E"/>
    <w:rsid w:val="00F45E16"/>
    <w:rsid w:val="00F50C55"/>
    <w:rsid w:val="00F53294"/>
    <w:rsid w:val="00F6189B"/>
    <w:rsid w:val="00F6228A"/>
    <w:rsid w:val="00F63676"/>
    <w:rsid w:val="00F64D0F"/>
    <w:rsid w:val="00F66FA6"/>
    <w:rsid w:val="00F673D4"/>
    <w:rsid w:val="00F6753B"/>
    <w:rsid w:val="00F71A6B"/>
    <w:rsid w:val="00F71BDE"/>
    <w:rsid w:val="00F8656A"/>
    <w:rsid w:val="00F87129"/>
    <w:rsid w:val="00F91F22"/>
    <w:rsid w:val="00F93D24"/>
    <w:rsid w:val="00F94C8A"/>
    <w:rsid w:val="00F95D7F"/>
    <w:rsid w:val="00F95F67"/>
    <w:rsid w:val="00F96940"/>
    <w:rsid w:val="00FA3347"/>
    <w:rsid w:val="00FB13F4"/>
    <w:rsid w:val="00FB250D"/>
    <w:rsid w:val="00FB275F"/>
    <w:rsid w:val="00FB65E7"/>
    <w:rsid w:val="00FC0764"/>
    <w:rsid w:val="00FC35F0"/>
    <w:rsid w:val="00FC3727"/>
    <w:rsid w:val="00FC3F70"/>
    <w:rsid w:val="00FC45F0"/>
    <w:rsid w:val="00FC515B"/>
    <w:rsid w:val="00FC649B"/>
    <w:rsid w:val="00FD4DD5"/>
    <w:rsid w:val="00FE0760"/>
    <w:rsid w:val="00FF3484"/>
    <w:rsid w:val="00FF524C"/>
    <w:rsid w:val="00FF7A6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D3F9A2"/>
  <w15:docId w15:val="{1B625CD9-DCBB-4A73-96C9-6ABC9BE17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qFormat="1"/>
    <w:lsdException w:name="Colorful Grid" w:uiPriority="64" w:qFormat="1"/>
    <w:lsdException w:name="Light Shading Accent 1" w:uiPriority="65"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qFormat="1"/>
    <w:lsdException w:name="Medium List 2 Accent 6" w:uiPriority="71" w:qFormat="1"/>
    <w:lsdException w:name="Medium Grid 1 Accent 6" w:uiPriority="72" w:qFormat="1"/>
    <w:lsdException w:name="Medium Grid 2 Accent 6" w:uiPriority="73" w:qFormat="1"/>
    <w:lsdException w:name="Medium Grid 3 Accent 6" w:uiPriority="60" w:qFormat="1"/>
    <w:lsdException w:name="Dark List Accent 6" w:uiPriority="61"/>
    <w:lsdException w:name="Colorful Shading Accent 6" w:uiPriority="62"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623D"/>
    <w:pPr>
      <w:spacing w:after="200" w:line="276" w:lineRule="auto"/>
    </w:pPr>
    <w:rPr>
      <w:sz w:val="22"/>
      <w:szCs w:val="22"/>
      <w:lang w:eastAsia="en-GB"/>
    </w:rPr>
  </w:style>
  <w:style w:type="paragraph" w:styleId="Heading3">
    <w:name w:val="heading 3"/>
    <w:basedOn w:val="Normal"/>
    <w:link w:val="Heading3Char"/>
    <w:uiPriority w:val="9"/>
    <w:qFormat/>
    <w:rsid w:val="00C72CE0"/>
    <w:pPr>
      <w:spacing w:before="100" w:beforeAutospacing="1" w:after="100" w:afterAutospacing="1" w:line="240" w:lineRule="auto"/>
      <w:outlineLvl w:val="2"/>
    </w:pPr>
    <w:rPr>
      <w:rFonts w:ascii="Times New Roman" w:hAnsi="Times New Roman"/>
      <w:b/>
      <w:bCs/>
      <w:sz w:val="27"/>
      <w:szCs w:val="27"/>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B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0BB8"/>
  </w:style>
  <w:style w:type="paragraph" w:styleId="Footer">
    <w:name w:val="footer"/>
    <w:basedOn w:val="Normal"/>
    <w:link w:val="FooterChar"/>
    <w:uiPriority w:val="99"/>
    <w:unhideWhenUsed/>
    <w:rsid w:val="00940B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0BB8"/>
  </w:style>
  <w:style w:type="character" w:styleId="Hyperlink">
    <w:name w:val="Hyperlink"/>
    <w:uiPriority w:val="99"/>
    <w:unhideWhenUsed/>
    <w:rsid w:val="00F6189B"/>
    <w:rPr>
      <w:color w:val="0000FF"/>
      <w:u w:val="single"/>
    </w:rPr>
  </w:style>
  <w:style w:type="paragraph" w:customStyle="1" w:styleId="LightGrid-Accent31">
    <w:name w:val="Light Grid - Accent 31"/>
    <w:basedOn w:val="Normal"/>
    <w:uiPriority w:val="34"/>
    <w:qFormat/>
    <w:rsid w:val="001B46E3"/>
    <w:pPr>
      <w:ind w:left="720"/>
      <w:contextualSpacing/>
    </w:pPr>
  </w:style>
  <w:style w:type="character" w:styleId="FollowedHyperlink">
    <w:name w:val="FollowedHyperlink"/>
    <w:uiPriority w:val="99"/>
    <w:semiHidden/>
    <w:unhideWhenUsed/>
    <w:rsid w:val="00B5682C"/>
    <w:rPr>
      <w:color w:val="800080"/>
      <w:u w:val="single"/>
    </w:rPr>
  </w:style>
  <w:style w:type="character" w:customStyle="1" w:styleId="Heading3Char">
    <w:name w:val="Heading 3 Char"/>
    <w:link w:val="Heading3"/>
    <w:uiPriority w:val="9"/>
    <w:rsid w:val="00C72CE0"/>
    <w:rPr>
      <w:rFonts w:ascii="Times New Roman" w:eastAsia="Times New Roman" w:hAnsi="Times New Roman" w:cs="Times New Roman"/>
      <w:b/>
      <w:bCs/>
      <w:sz w:val="27"/>
      <w:szCs w:val="27"/>
      <w:lang w:eastAsia="en-GB"/>
    </w:rPr>
  </w:style>
  <w:style w:type="character" w:styleId="Emphasis">
    <w:name w:val="Emphasis"/>
    <w:uiPriority w:val="20"/>
    <w:qFormat/>
    <w:rsid w:val="00C72CE0"/>
    <w:rPr>
      <w:i/>
      <w:iCs/>
    </w:rPr>
  </w:style>
  <w:style w:type="character" w:styleId="CommentReference">
    <w:name w:val="annotation reference"/>
    <w:uiPriority w:val="99"/>
    <w:semiHidden/>
    <w:unhideWhenUsed/>
    <w:rsid w:val="00C72CE0"/>
    <w:rPr>
      <w:sz w:val="16"/>
      <w:szCs w:val="16"/>
    </w:rPr>
  </w:style>
  <w:style w:type="paragraph" w:styleId="CommentText">
    <w:name w:val="annotation text"/>
    <w:basedOn w:val="Normal"/>
    <w:link w:val="CommentTextChar"/>
    <w:uiPriority w:val="99"/>
    <w:unhideWhenUsed/>
    <w:rsid w:val="00C72CE0"/>
    <w:pPr>
      <w:spacing w:line="240" w:lineRule="auto"/>
    </w:pPr>
    <w:rPr>
      <w:sz w:val="20"/>
      <w:szCs w:val="20"/>
      <w:lang w:val="x-none" w:eastAsia="x-none"/>
    </w:rPr>
  </w:style>
  <w:style w:type="character" w:customStyle="1" w:styleId="CommentTextChar">
    <w:name w:val="Comment Text Char"/>
    <w:link w:val="CommentText"/>
    <w:uiPriority w:val="99"/>
    <w:rsid w:val="00C72CE0"/>
    <w:rPr>
      <w:sz w:val="20"/>
      <w:szCs w:val="20"/>
    </w:rPr>
  </w:style>
  <w:style w:type="paragraph" w:styleId="CommentSubject">
    <w:name w:val="annotation subject"/>
    <w:basedOn w:val="CommentText"/>
    <w:next w:val="CommentText"/>
    <w:link w:val="CommentSubjectChar"/>
    <w:uiPriority w:val="99"/>
    <w:semiHidden/>
    <w:unhideWhenUsed/>
    <w:rsid w:val="00C72CE0"/>
    <w:rPr>
      <w:b/>
      <w:bCs/>
    </w:rPr>
  </w:style>
  <w:style w:type="character" w:customStyle="1" w:styleId="CommentSubjectChar">
    <w:name w:val="Comment Subject Char"/>
    <w:link w:val="CommentSubject"/>
    <w:uiPriority w:val="99"/>
    <w:semiHidden/>
    <w:rsid w:val="00C72CE0"/>
    <w:rPr>
      <w:b/>
      <w:bCs/>
      <w:sz w:val="20"/>
      <w:szCs w:val="20"/>
    </w:rPr>
  </w:style>
  <w:style w:type="paragraph" w:styleId="BalloonText">
    <w:name w:val="Balloon Text"/>
    <w:basedOn w:val="Normal"/>
    <w:link w:val="BalloonTextChar"/>
    <w:uiPriority w:val="99"/>
    <w:semiHidden/>
    <w:unhideWhenUsed/>
    <w:rsid w:val="00C72CE0"/>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C72CE0"/>
    <w:rPr>
      <w:rFonts w:ascii="Tahoma" w:hAnsi="Tahoma" w:cs="Tahoma"/>
      <w:sz w:val="16"/>
      <w:szCs w:val="16"/>
    </w:rPr>
  </w:style>
  <w:style w:type="paragraph" w:styleId="FootnoteText">
    <w:name w:val="footnote text"/>
    <w:basedOn w:val="Normal"/>
    <w:link w:val="FootnoteTextChar"/>
    <w:uiPriority w:val="99"/>
    <w:semiHidden/>
    <w:unhideWhenUsed/>
    <w:rsid w:val="001066E1"/>
    <w:pPr>
      <w:spacing w:after="0" w:line="240" w:lineRule="auto"/>
    </w:pPr>
    <w:rPr>
      <w:sz w:val="20"/>
      <w:szCs w:val="20"/>
      <w:lang w:val="x-none" w:eastAsia="x-none"/>
    </w:rPr>
  </w:style>
  <w:style w:type="character" w:customStyle="1" w:styleId="FootnoteTextChar">
    <w:name w:val="Footnote Text Char"/>
    <w:link w:val="FootnoteText"/>
    <w:uiPriority w:val="99"/>
    <w:semiHidden/>
    <w:rsid w:val="001066E1"/>
    <w:rPr>
      <w:sz w:val="20"/>
      <w:szCs w:val="20"/>
    </w:rPr>
  </w:style>
  <w:style w:type="character" w:styleId="FootnoteReference">
    <w:name w:val="footnote reference"/>
    <w:uiPriority w:val="99"/>
    <w:semiHidden/>
    <w:unhideWhenUsed/>
    <w:rsid w:val="001066E1"/>
    <w:rPr>
      <w:vertAlign w:val="superscript"/>
    </w:rPr>
  </w:style>
  <w:style w:type="paragraph" w:styleId="EndnoteText">
    <w:name w:val="endnote text"/>
    <w:basedOn w:val="Normal"/>
    <w:link w:val="EndnoteTextChar"/>
    <w:uiPriority w:val="99"/>
    <w:unhideWhenUsed/>
    <w:rsid w:val="001066E1"/>
    <w:pPr>
      <w:spacing w:after="0" w:line="240" w:lineRule="auto"/>
    </w:pPr>
    <w:rPr>
      <w:sz w:val="20"/>
      <w:szCs w:val="20"/>
      <w:lang w:val="x-none" w:eastAsia="x-none"/>
    </w:rPr>
  </w:style>
  <w:style w:type="character" w:customStyle="1" w:styleId="EndnoteTextChar">
    <w:name w:val="Endnote Text Char"/>
    <w:link w:val="EndnoteText"/>
    <w:uiPriority w:val="99"/>
    <w:rsid w:val="001066E1"/>
    <w:rPr>
      <w:sz w:val="20"/>
      <w:szCs w:val="20"/>
    </w:rPr>
  </w:style>
  <w:style w:type="character" w:styleId="EndnoteReference">
    <w:name w:val="endnote reference"/>
    <w:uiPriority w:val="99"/>
    <w:semiHidden/>
    <w:unhideWhenUsed/>
    <w:rsid w:val="001066E1"/>
    <w:rPr>
      <w:vertAlign w:val="superscript"/>
    </w:rPr>
  </w:style>
  <w:style w:type="paragraph" w:customStyle="1" w:styleId="selectionshareable">
    <w:name w:val="selectionshareable"/>
    <w:basedOn w:val="Normal"/>
    <w:rsid w:val="000E7B97"/>
    <w:pPr>
      <w:spacing w:before="100" w:beforeAutospacing="1" w:after="100" w:afterAutospacing="1" w:line="240" w:lineRule="auto"/>
    </w:pPr>
    <w:rPr>
      <w:rFonts w:ascii="Times New Roman" w:hAnsi="Times New Roman"/>
      <w:sz w:val="24"/>
      <w:szCs w:val="24"/>
      <w:lang w:val="en-US" w:eastAsia="en-US"/>
    </w:rPr>
  </w:style>
  <w:style w:type="paragraph" w:styleId="Revision">
    <w:name w:val="Revision"/>
    <w:hidden/>
    <w:uiPriority w:val="71"/>
    <w:rsid w:val="006D67C7"/>
    <w:rPr>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088326">
      <w:bodyDiv w:val="1"/>
      <w:marLeft w:val="0"/>
      <w:marRight w:val="0"/>
      <w:marTop w:val="0"/>
      <w:marBottom w:val="0"/>
      <w:divBdr>
        <w:top w:val="none" w:sz="0" w:space="0" w:color="auto"/>
        <w:left w:val="none" w:sz="0" w:space="0" w:color="auto"/>
        <w:bottom w:val="none" w:sz="0" w:space="0" w:color="auto"/>
        <w:right w:val="none" w:sz="0" w:space="0" w:color="auto"/>
      </w:divBdr>
    </w:div>
    <w:div w:id="380518979">
      <w:bodyDiv w:val="1"/>
      <w:marLeft w:val="0"/>
      <w:marRight w:val="0"/>
      <w:marTop w:val="0"/>
      <w:marBottom w:val="0"/>
      <w:divBdr>
        <w:top w:val="none" w:sz="0" w:space="0" w:color="auto"/>
        <w:left w:val="none" w:sz="0" w:space="0" w:color="auto"/>
        <w:bottom w:val="none" w:sz="0" w:space="0" w:color="auto"/>
        <w:right w:val="none" w:sz="0" w:space="0" w:color="auto"/>
      </w:divBdr>
      <w:divsChild>
        <w:div w:id="8223156">
          <w:marLeft w:val="0"/>
          <w:marRight w:val="0"/>
          <w:marTop w:val="0"/>
          <w:marBottom w:val="0"/>
          <w:divBdr>
            <w:top w:val="none" w:sz="0" w:space="0" w:color="auto"/>
            <w:left w:val="none" w:sz="0" w:space="0" w:color="auto"/>
            <w:bottom w:val="none" w:sz="0" w:space="0" w:color="auto"/>
            <w:right w:val="none" w:sz="0" w:space="0" w:color="auto"/>
          </w:divBdr>
        </w:div>
        <w:div w:id="25956776">
          <w:marLeft w:val="0"/>
          <w:marRight w:val="0"/>
          <w:marTop w:val="0"/>
          <w:marBottom w:val="0"/>
          <w:divBdr>
            <w:top w:val="none" w:sz="0" w:space="0" w:color="auto"/>
            <w:left w:val="none" w:sz="0" w:space="0" w:color="auto"/>
            <w:bottom w:val="none" w:sz="0" w:space="0" w:color="auto"/>
            <w:right w:val="none" w:sz="0" w:space="0" w:color="auto"/>
          </w:divBdr>
        </w:div>
        <w:div w:id="33383506">
          <w:marLeft w:val="0"/>
          <w:marRight w:val="0"/>
          <w:marTop w:val="0"/>
          <w:marBottom w:val="0"/>
          <w:divBdr>
            <w:top w:val="none" w:sz="0" w:space="0" w:color="auto"/>
            <w:left w:val="none" w:sz="0" w:space="0" w:color="auto"/>
            <w:bottom w:val="none" w:sz="0" w:space="0" w:color="auto"/>
            <w:right w:val="none" w:sz="0" w:space="0" w:color="auto"/>
          </w:divBdr>
        </w:div>
        <w:div w:id="125398717">
          <w:marLeft w:val="0"/>
          <w:marRight w:val="0"/>
          <w:marTop w:val="0"/>
          <w:marBottom w:val="0"/>
          <w:divBdr>
            <w:top w:val="none" w:sz="0" w:space="0" w:color="auto"/>
            <w:left w:val="none" w:sz="0" w:space="0" w:color="auto"/>
            <w:bottom w:val="none" w:sz="0" w:space="0" w:color="auto"/>
            <w:right w:val="none" w:sz="0" w:space="0" w:color="auto"/>
          </w:divBdr>
        </w:div>
        <w:div w:id="150296564">
          <w:marLeft w:val="0"/>
          <w:marRight w:val="0"/>
          <w:marTop w:val="0"/>
          <w:marBottom w:val="0"/>
          <w:divBdr>
            <w:top w:val="none" w:sz="0" w:space="0" w:color="auto"/>
            <w:left w:val="none" w:sz="0" w:space="0" w:color="auto"/>
            <w:bottom w:val="none" w:sz="0" w:space="0" w:color="auto"/>
            <w:right w:val="none" w:sz="0" w:space="0" w:color="auto"/>
          </w:divBdr>
        </w:div>
        <w:div w:id="163907574">
          <w:marLeft w:val="0"/>
          <w:marRight w:val="0"/>
          <w:marTop w:val="0"/>
          <w:marBottom w:val="0"/>
          <w:divBdr>
            <w:top w:val="none" w:sz="0" w:space="0" w:color="auto"/>
            <w:left w:val="none" w:sz="0" w:space="0" w:color="auto"/>
            <w:bottom w:val="none" w:sz="0" w:space="0" w:color="auto"/>
            <w:right w:val="none" w:sz="0" w:space="0" w:color="auto"/>
          </w:divBdr>
        </w:div>
        <w:div w:id="297103390">
          <w:marLeft w:val="0"/>
          <w:marRight w:val="0"/>
          <w:marTop w:val="0"/>
          <w:marBottom w:val="0"/>
          <w:divBdr>
            <w:top w:val="none" w:sz="0" w:space="0" w:color="auto"/>
            <w:left w:val="none" w:sz="0" w:space="0" w:color="auto"/>
            <w:bottom w:val="none" w:sz="0" w:space="0" w:color="auto"/>
            <w:right w:val="none" w:sz="0" w:space="0" w:color="auto"/>
          </w:divBdr>
        </w:div>
        <w:div w:id="391002960">
          <w:marLeft w:val="0"/>
          <w:marRight w:val="0"/>
          <w:marTop w:val="0"/>
          <w:marBottom w:val="0"/>
          <w:divBdr>
            <w:top w:val="none" w:sz="0" w:space="0" w:color="auto"/>
            <w:left w:val="none" w:sz="0" w:space="0" w:color="auto"/>
            <w:bottom w:val="none" w:sz="0" w:space="0" w:color="auto"/>
            <w:right w:val="none" w:sz="0" w:space="0" w:color="auto"/>
          </w:divBdr>
        </w:div>
        <w:div w:id="456338929">
          <w:marLeft w:val="0"/>
          <w:marRight w:val="0"/>
          <w:marTop w:val="0"/>
          <w:marBottom w:val="0"/>
          <w:divBdr>
            <w:top w:val="none" w:sz="0" w:space="0" w:color="auto"/>
            <w:left w:val="none" w:sz="0" w:space="0" w:color="auto"/>
            <w:bottom w:val="none" w:sz="0" w:space="0" w:color="auto"/>
            <w:right w:val="none" w:sz="0" w:space="0" w:color="auto"/>
          </w:divBdr>
        </w:div>
        <w:div w:id="540485700">
          <w:marLeft w:val="0"/>
          <w:marRight w:val="0"/>
          <w:marTop w:val="0"/>
          <w:marBottom w:val="0"/>
          <w:divBdr>
            <w:top w:val="none" w:sz="0" w:space="0" w:color="auto"/>
            <w:left w:val="none" w:sz="0" w:space="0" w:color="auto"/>
            <w:bottom w:val="none" w:sz="0" w:space="0" w:color="auto"/>
            <w:right w:val="none" w:sz="0" w:space="0" w:color="auto"/>
          </w:divBdr>
        </w:div>
        <w:div w:id="656307164">
          <w:marLeft w:val="0"/>
          <w:marRight w:val="0"/>
          <w:marTop w:val="0"/>
          <w:marBottom w:val="0"/>
          <w:divBdr>
            <w:top w:val="none" w:sz="0" w:space="0" w:color="auto"/>
            <w:left w:val="none" w:sz="0" w:space="0" w:color="auto"/>
            <w:bottom w:val="none" w:sz="0" w:space="0" w:color="auto"/>
            <w:right w:val="none" w:sz="0" w:space="0" w:color="auto"/>
          </w:divBdr>
        </w:div>
        <w:div w:id="826244081">
          <w:marLeft w:val="0"/>
          <w:marRight w:val="0"/>
          <w:marTop w:val="0"/>
          <w:marBottom w:val="0"/>
          <w:divBdr>
            <w:top w:val="none" w:sz="0" w:space="0" w:color="auto"/>
            <w:left w:val="none" w:sz="0" w:space="0" w:color="auto"/>
            <w:bottom w:val="none" w:sz="0" w:space="0" w:color="auto"/>
            <w:right w:val="none" w:sz="0" w:space="0" w:color="auto"/>
          </w:divBdr>
        </w:div>
        <w:div w:id="993683804">
          <w:marLeft w:val="0"/>
          <w:marRight w:val="0"/>
          <w:marTop w:val="0"/>
          <w:marBottom w:val="0"/>
          <w:divBdr>
            <w:top w:val="none" w:sz="0" w:space="0" w:color="auto"/>
            <w:left w:val="none" w:sz="0" w:space="0" w:color="auto"/>
            <w:bottom w:val="none" w:sz="0" w:space="0" w:color="auto"/>
            <w:right w:val="none" w:sz="0" w:space="0" w:color="auto"/>
          </w:divBdr>
        </w:div>
        <w:div w:id="1017774568">
          <w:marLeft w:val="0"/>
          <w:marRight w:val="0"/>
          <w:marTop w:val="0"/>
          <w:marBottom w:val="0"/>
          <w:divBdr>
            <w:top w:val="none" w:sz="0" w:space="0" w:color="auto"/>
            <w:left w:val="none" w:sz="0" w:space="0" w:color="auto"/>
            <w:bottom w:val="none" w:sz="0" w:space="0" w:color="auto"/>
            <w:right w:val="none" w:sz="0" w:space="0" w:color="auto"/>
          </w:divBdr>
        </w:div>
        <w:div w:id="1283420943">
          <w:marLeft w:val="0"/>
          <w:marRight w:val="0"/>
          <w:marTop w:val="0"/>
          <w:marBottom w:val="0"/>
          <w:divBdr>
            <w:top w:val="none" w:sz="0" w:space="0" w:color="auto"/>
            <w:left w:val="none" w:sz="0" w:space="0" w:color="auto"/>
            <w:bottom w:val="none" w:sz="0" w:space="0" w:color="auto"/>
            <w:right w:val="none" w:sz="0" w:space="0" w:color="auto"/>
          </w:divBdr>
        </w:div>
        <w:div w:id="1284655100">
          <w:marLeft w:val="0"/>
          <w:marRight w:val="0"/>
          <w:marTop w:val="0"/>
          <w:marBottom w:val="0"/>
          <w:divBdr>
            <w:top w:val="none" w:sz="0" w:space="0" w:color="auto"/>
            <w:left w:val="none" w:sz="0" w:space="0" w:color="auto"/>
            <w:bottom w:val="none" w:sz="0" w:space="0" w:color="auto"/>
            <w:right w:val="none" w:sz="0" w:space="0" w:color="auto"/>
          </w:divBdr>
        </w:div>
        <w:div w:id="1433352573">
          <w:marLeft w:val="0"/>
          <w:marRight w:val="0"/>
          <w:marTop w:val="0"/>
          <w:marBottom w:val="0"/>
          <w:divBdr>
            <w:top w:val="none" w:sz="0" w:space="0" w:color="auto"/>
            <w:left w:val="none" w:sz="0" w:space="0" w:color="auto"/>
            <w:bottom w:val="none" w:sz="0" w:space="0" w:color="auto"/>
            <w:right w:val="none" w:sz="0" w:space="0" w:color="auto"/>
          </w:divBdr>
        </w:div>
        <w:div w:id="1440681332">
          <w:marLeft w:val="0"/>
          <w:marRight w:val="0"/>
          <w:marTop w:val="0"/>
          <w:marBottom w:val="0"/>
          <w:divBdr>
            <w:top w:val="none" w:sz="0" w:space="0" w:color="auto"/>
            <w:left w:val="none" w:sz="0" w:space="0" w:color="auto"/>
            <w:bottom w:val="none" w:sz="0" w:space="0" w:color="auto"/>
            <w:right w:val="none" w:sz="0" w:space="0" w:color="auto"/>
          </w:divBdr>
        </w:div>
        <w:div w:id="1455635646">
          <w:marLeft w:val="0"/>
          <w:marRight w:val="0"/>
          <w:marTop w:val="0"/>
          <w:marBottom w:val="0"/>
          <w:divBdr>
            <w:top w:val="none" w:sz="0" w:space="0" w:color="auto"/>
            <w:left w:val="none" w:sz="0" w:space="0" w:color="auto"/>
            <w:bottom w:val="none" w:sz="0" w:space="0" w:color="auto"/>
            <w:right w:val="none" w:sz="0" w:space="0" w:color="auto"/>
          </w:divBdr>
        </w:div>
        <w:div w:id="1489636920">
          <w:marLeft w:val="0"/>
          <w:marRight w:val="0"/>
          <w:marTop w:val="0"/>
          <w:marBottom w:val="0"/>
          <w:divBdr>
            <w:top w:val="none" w:sz="0" w:space="0" w:color="auto"/>
            <w:left w:val="none" w:sz="0" w:space="0" w:color="auto"/>
            <w:bottom w:val="none" w:sz="0" w:space="0" w:color="auto"/>
            <w:right w:val="none" w:sz="0" w:space="0" w:color="auto"/>
          </w:divBdr>
        </w:div>
        <w:div w:id="1491024032">
          <w:marLeft w:val="0"/>
          <w:marRight w:val="0"/>
          <w:marTop w:val="0"/>
          <w:marBottom w:val="0"/>
          <w:divBdr>
            <w:top w:val="none" w:sz="0" w:space="0" w:color="auto"/>
            <w:left w:val="none" w:sz="0" w:space="0" w:color="auto"/>
            <w:bottom w:val="none" w:sz="0" w:space="0" w:color="auto"/>
            <w:right w:val="none" w:sz="0" w:space="0" w:color="auto"/>
          </w:divBdr>
        </w:div>
        <w:div w:id="1576739324">
          <w:marLeft w:val="0"/>
          <w:marRight w:val="0"/>
          <w:marTop w:val="0"/>
          <w:marBottom w:val="0"/>
          <w:divBdr>
            <w:top w:val="none" w:sz="0" w:space="0" w:color="auto"/>
            <w:left w:val="none" w:sz="0" w:space="0" w:color="auto"/>
            <w:bottom w:val="none" w:sz="0" w:space="0" w:color="auto"/>
            <w:right w:val="none" w:sz="0" w:space="0" w:color="auto"/>
          </w:divBdr>
        </w:div>
        <w:div w:id="1613243403">
          <w:marLeft w:val="0"/>
          <w:marRight w:val="0"/>
          <w:marTop w:val="0"/>
          <w:marBottom w:val="0"/>
          <w:divBdr>
            <w:top w:val="none" w:sz="0" w:space="0" w:color="auto"/>
            <w:left w:val="none" w:sz="0" w:space="0" w:color="auto"/>
            <w:bottom w:val="none" w:sz="0" w:space="0" w:color="auto"/>
            <w:right w:val="none" w:sz="0" w:space="0" w:color="auto"/>
          </w:divBdr>
        </w:div>
        <w:div w:id="1635910148">
          <w:marLeft w:val="0"/>
          <w:marRight w:val="0"/>
          <w:marTop w:val="0"/>
          <w:marBottom w:val="0"/>
          <w:divBdr>
            <w:top w:val="none" w:sz="0" w:space="0" w:color="auto"/>
            <w:left w:val="none" w:sz="0" w:space="0" w:color="auto"/>
            <w:bottom w:val="none" w:sz="0" w:space="0" w:color="auto"/>
            <w:right w:val="none" w:sz="0" w:space="0" w:color="auto"/>
          </w:divBdr>
        </w:div>
        <w:div w:id="1717003553">
          <w:marLeft w:val="0"/>
          <w:marRight w:val="0"/>
          <w:marTop w:val="0"/>
          <w:marBottom w:val="0"/>
          <w:divBdr>
            <w:top w:val="none" w:sz="0" w:space="0" w:color="auto"/>
            <w:left w:val="none" w:sz="0" w:space="0" w:color="auto"/>
            <w:bottom w:val="none" w:sz="0" w:space="0" w:color="auto"/>
            <w:right w:val="none" w:sz="0" w:space="0" w:color="auto"/>
          </w:divBdr>
        </w:div>
        <w:div w:id="1720279517">
          <w:marLeft w:val="0"/>
          <w:marRight w:val="0"/>
          <w:marTop w:val="0"/>
          <w:marBottom w:val="0"/>
          <w:divBdr>
            <w:top w:val="none" w:sz="0" w:space="0" w:color="auto"/>
            <w:left w:val="none" w:sz="0" w:space="0" w:color="auto"/>
            <w:bottom w:val="none" w:sz="0" w:space="0" w:color="auto"/>
            <w:right w:val="none" w:sz="0" w:space="0" w:color="auto"/>
          </w:divBdr>
        </w:div>
        <w:div w:id="1831866865">
          <w:marLeft w:val="0"/>
          <w:marRight w:val="0"/>
          <w:marTop w:val="0"/>
          <w:marBottom w:val="0"/>
          <w:divBdr>
            <w:top w:val="none" w:sz="0" w:space="0" w:color="auto"/>
            <w:left w:val="none" w:sz="0" w:space="0" w:color="auto"/>
            <w:bottom w:val="none" w:sz="0" w:space="0" w:color="auto"/>
            <w:right w:val="none" w:sz="0" w:space="0" w:color="auto"/>
          </w:divBdr>
        </w:div>
        <w:div w:id="1895241232">
          <w:marLeft w:val="0"/>
          <w:marRight w:val="0"/>
          <w:marTop w:val="0"/>
          <w:marBottom w:val="0"/>
          <w:divBdr>
            <w:top w:val="none" w:sz="0" w:space="0" w:color="auto"/>
            <w:left w:val="none" w:sz="0" w:space="0" w:color="auto"/>
            <w:bottom w:val="none" w:sz="0" w:space="0" w:color="auto"/>
            <w:right w:val="none" w:sz="0" w:space="0" w:color="auto"/>
          </w:divBdr>
        </w:div>
        <w:div w:id="1902718042">
          <w:marLeft w:val="0"/>
          <w:marRight w:val="0"/>
          <w:marTop w:val="0"/>
          <w:marBottom w:val="0"/>
          <w:divBdr>
            <w:top w:val="none" w:sz="0" w:space="0" w:color="auto"/>
            <w:left w:val="none" w:sz="0" w:space="0" w:color="auto"/>
            <w:bottom w:val="none" w:sz="0" w:space="0" w:color="auto"/>
            <w:right w:val="none" w:sz="0" w:space="0" w:color="auto"/>
          </w:divBdr>
        </w:div>
        <w:div w:id="1986932884">
          <w:marLeft w:val="0"/>
          <w:marRight w:val="0"/>
          <w:marTop w:val="0"/>
          <w:marBottom w:val="0"/>
          <w:divBdr>
            <w:top w:val="none" w:sz="0" w:space="0" w:color="auto"/>
            <w:left w:val="none" w:sz="0" w:space="0" w:color="auto"/>
            <w:bottom w:val="none" w:sz="0" w:space="0" w:color="auto"/>
            <w:right w:val="none" w:sz="0" w:space="0" w:color="auto"/>
          </w:divBdr>
        </w:div>
        <w:div w:id="2038115401">
          <w:marLeft w:val="0"/>
          <w:marRight w:val="0"/>
          <w:marTop w:val="0"/>
          <w:marBottom w:val="0"/>
          <w:divBdr>
            <w:top w:val="none" w:sz="0" w:space="0" w:color="auto"/>
            <w:left w:val="none" w:sz="0" w:space="0" w:color="auto"/>
            <w:bottom w:val="none" w:sz="0" w:space="0" w:color="auto"/>
            <w:right w:val="none" w:sz="0" w:space="0" w:color="auto"/>
          </w:divBdr>
        </w:div>
      </w:divsChild>
    </w:div>
    <w:div w:id="419956094">
      <w:bodyDiv w:val="1"/>
      <w:marLeft w:val="0"/>
      <w:marRight w:val="0"/>
      <w:marTop w:val="0"/>
      <w:marBottom w:val="0"/>
      <w:divBdr>
        <w:top w:val="none" w:sz="0" w:space="0" w:color="auto"/>
        <w:left w:val="none" w:sz="0" w:space="0" w:color="auto"/>
        <w:bottom w:val="none" w:sz="0" w:space="0" w:color="auto"/>
        <w:right w:val="none" w:sz="0" w:space="0" w:color="auto"/>
      </w:divBdr>
      <w:divsChild>
        <w:div w:id="534193707">
          <w:marLeft w:val="0"/>
          <w:marRight w:val="0"/>
          <w:marTop w:val="0"/>
          <w:marBottom w:val="0"/>
          <w:divBdr>
            <w:top w:val="none" w:sz="0" w:space="0" w:color="auto"/>
            <w:left w:val="none" w:sz="0" w:space="0" w:color="auto"/>
            <w:bottom w:val="none" w:sz="0" w:space="0" w:color="auto"/>
            <w:right w:val="none" w:sz="0" w:space="0" w:color="auto"/>
          </w:divBdr>
        </w:div>
        <w:div w:id="1270969189">
          <w:marLeft w:val="0"/>
          <w:marRight w:val="0"/>
          <w:marTop w:val="0"/>
          <w:marBottom w:val="0"/>
          <w:divBdr>
            <w:top w:val="none" w:sz="0" w:space="0" w:color="auto"/>
            <w:left w:val="none" w:sz="0" w:space="0" w:color="auto"/>
            <w:bottom w:val="none" w:sz="0" w:space="0" w:color="auto"/>
            <w:right w:val="none" w:sz="0" w:space="0" w:color="auto"/>
          </w:divBdr>
        </w:div>
        <w:div w:id="1286277011">
          <w:marLeft w:val="0"/>
          <w:marRight w:val="0"/>
          <w:marTop w:val="0"/>
          <w:marBottom w:val="0"/>
          <w:divBdr>
            <w:top w:val="none" w:sz="0" w:space="0" w:color="auto"/>
            <w:left w:val="none" w:sz="0" w:space="0" w:color="auto"/>
            <w:bottom w:val="none" w:sz="0" w:space="0" w:color="auto"/>
            <w:right w:val="none" w:sz="0" w:space="0" w:color="auto"/>
          </w:divBdr>
        </w:div>
        <w:div w:id="1706785926">
          <w:marLeft w:val="0"/>
          <w:marRight w:val="0"/>
          <w:marTop w:val="0"/>
          <w:marBottom w:val="0"/>
          <w:divBdr>
            <w:top w:val="none" w:sz="0" w:space="0" w:color="auto"/>
            <w:left w:val="none" w:sz="0" w:space="0" w:color="auto"/>
            <w:bottom w:val="none" w:sz="0" w:space="0" w:color="auto"/>
            <w:right w:val="none" w:sz="0" w:space="0" w:color="auto"/>
          </w:divBdr>
        </w:div>
      </w:divsChild>
    </w:div>
    <w:div w:id="487867287">
      <w:bodyDiv w:val="1"/>
      <w:marLeft w:val="0"/>
      <w:marRight w:val="0"/>
      <w:marTop w:val="0"/>
      <w:marBottom w:val="0"/>
      <w:divBdr>
        <w:top w:val="none" w:sz="0" w:space="0" w:color="auto"/>
        <w:left w:val="none" w:sz="0" w:space="0" w:color="auto"/>
        <w:bottom w:val="none" w:sz="0" w:space="0" w:color="auto"/>
        <w:right w:val="none" w:sz="0" w:space="0" w:color="auto"/>
      </w:divBdr>
    </w:div>
    <w:div w:id="596062247">
      <w:bodyDiv w:val="1"/>
      <w:marLeft w:val="0"/>
      <w:marRight w:val="0"/>
      <w:marTop w:val="0"/>
      <w:marBottom w:val="0"/>
      <w:divBdr>
        <w:top w:val="none" w:sz="0" w:space="0" w:color="auto"/>
        <w:left w:val="none" w:sz="0" w:space="0" w:color="auto"/>
        <w:bottom w:val="none" w:sz="0" w:space="0" w:color="auto"/>
        <w:right w:val="none" w:sz="0" w:space="0" w:color="auto"/>
      </w:divBdr>
      <w:divsChild>
        <w:div w:id="38671607">
          <w:marLeft w:val="0"/>
          <w:marRight w:val="0"/>
          <w:marTop w:val="0"/>
          <w:marBottom w:val="0"/>
          <w:divBdr>
            <w:top w:val="none" w:sz="0" w:space="0" w:color="auto"/>
            <w:left w:val="none" w:sz="0" w:space="0" w:color="auto"/>
            <w:bottom w:val="none" w:sz="0" w:space="0" w:color="auto"/>
            <w:right w:val="none" w:sz="0" w:space="0" w:color="auto"/>
          </w:divBdr>
        </w:div>
        <w:div w:id="255597829">
          <w:marLeft w:val="0"/>
          <w:marRight w:val="0"/>
          <w:marTop w:val="0"/>
          <w:marBottom w:val="0"/>
          <w:divBdr>
            <w:top w:val="none" w:sz="0" w:space="0" w:color="auto"/>
            <w:left w:val="none" w:sz="0" w:space="0" w:color="auto"/>
            <w:bottom w:val="none" w:sz="0" w:space="0" w:color="auto"/>
            <w:right w:val="none" w:sz="0" w:space="0" w:color="auto"/>
          </w:divBdr>
        </w:div>
        <w:div w:id="295138913">
          <w:marLeft w:val="0"/>
          <w:marRight w:val="0"/>
          <w:marTop w:val="0"/>
          <w:marBottom w:val="0"/>
          <w:divBdr>
            <w:top w:val="none" w:sz="0" w:space="0" w:color="auto"/>
            <w:left w:val="none" w:sz="0" w:space="0" w:color="auto"/>
            <w:bottom w:val="none" w:sz="0" w:space="0" w:color="auto"/>
            <w:right w:val="none" w:sz="0" w:space="0" w:color="auto"/>
          </w:divBdr>
        </w:div>
        <w:div w:id="1240598739">
          <w:marLeft w:val="0"/>
          <w:marRight w:val="0"/>
          <w:marTop w:val="0"/>
          <w:marBottom w:val="0"/>
          <w:divBdr>
            <w:top w:val="none" w:sz="0" w:space="0" w:color="auto"/>
            <w:left w:val="none" w:sz="0" w:space="0" w:color="auto"/>
            <w:bottom w:val="none" w:sz="0" w:space="0" w:color="auto"/>
            <w:right w:val="none" w:sz="0" w:space="0" w:color="auto"/>
          </w:divBdr>
        </w:div>
        <w:div w:id="1284267885">
          <w:marLeft w:val="0"/>
          <w:marRight w:val="0"/>
          <w:marTop w:val="0"/>
          <w:marBottom w:val="0"/>
          <w:divBdr>
            <w:top w:val="none" w:sz="0" w:space="0" w:color="auto"/>
            <w:left w:val="none" w:sz="0" w:space="0" w:color="auto"/>
            <w:bottom w:val="none" w:sz="0" w:space="0" w:color="auto"/>
            <w:right w:val="none" w:sz="0" w:space="0" w:color="auto"/>
          </w:divBdr>
        </w:div>
      </w:divsChild>
    </w:div>
    <w:div w:id="738789234">
      <w:bodyDiv w:val="1"/>
      <w:marLeft w:val="0"/>
      <w:marRight w:val="0"/>
      <w:marTop w:val="0"/>
      <w:marBottom w:val="0"/>
      <w:divBdr>
        <w:top w:val="none" w:sz="0" w:space="0" w:color="auto"/>
        <w:left w:val="none" w:sz="0" w:space="0" w:color="auto"/>
        <w:bottom w:val="none" w:sz="0" w:space="0" w:color="auto"/>
        <w:right w:val="none" w:sz="0" w:space="0" w:color="auto"/>
      </w:divBdr>
      <w:divsChild>
        <w:div w:id="11880060">
          <w:marLeft w:val="0"/>
          <w:marRight w:val="0"/>
          <w:marTop w:val="0"/>
          <w:marBottom w:val="0"/>
          <w:divBdr>
            <w:top w:val="none" w:sz="0" w:space="0" w:color="auto"/>
            <w:left w:val="none" w:sz="0" w:space="0" w:color="auto"/>
            <w:bottom w:val="none" w:sz="0" w:space="0" w:color="auto"/>
            <w:right w:val="none" w:sz="0" w:space="0" w:color="auto"/>
          </w:divBdr>
        </w:div>
        <w:div w:id="258099486">
          <w:marLeft w:val="0"/>
          <w:marRight w:val="0"/>
          <w:marTop w:val="0"/>
          <w:marBottom w:val="0"/>
          <w:divBdr>
            <w:top w:val="none" w:sz="0" w:space="0" w:color="auto"/>
            <w:left w:val="none" w:sz="0" w:space="0" w:color="auto"/>
            <w:bottom w:val="none" w:sz="0" w:space="0" w:color="auto"/>
            <w:right w:val="none" w:sz="0" w:space="0" w:color="auto"/>
          </w:divBdr>
        </w:div>
        <w:div w:id="279726492">
          <w:marLeft w:val="0"/>
          <w:marRight w:val="0"/>
          <w:marTop w:val="0"/>
          <w:marBottom w:val="0"/>
          <w:divBdr>
            <w:top w:val="none" w:sz="0" w:space="0" w:color="auto"/>
            <w:left w:val="none" w:sz="0" w:space="0" w:color="auto"/>
            <w:bottom w:val="none" w:sz="0" w:space="0" w:color="auto"/>
            <w:right w:val="none" w:sz="0" w:space="0" w:color="auto"/>
          </w:divBdr>
        </w:div>
        <w:div w:id="818812475">
          <w:marLeft w:val="0"/>
          <w:marRight w:val="0"/>
          <w:marTop w:val="0"/>
          <w:marBottom w:val="0"/>
          <w:divBdr>
            <w:top w:val="none" w:sz="0" w:space="0" w:color="auto"/>
            <w:left w:val="none" w:sz="0" w:space="0" w:color="auto"/>
            <w:bottom w:val="none" w:sz="0" w:space="0" w:color="auto"/>
            <w:right w:val="none" w:sz="0" w:space="0" w:color="auto"/>
          </w:divBdr>
        </w:div>
        <w:div w:id="918293735">
          <w:marLeft w:val="0"/>
          <w:marRight w:val="0"/>
          <w:marTop w:val="0"/>
          <w:marBottom w:val="0"/>
          <w:divBdr>
            <w:top w:val="none" w:sz="0" w:space="0" w:color="auto"/>
            <w:left w:val="none" w:sz="0" w:space="0" w:color="auto"/>
            <w:bottom w:val="none" w:sz="0" w:space="0" w:color="auto"/>
            <w:right w:val="none" w:sz="0" w:space="0" w:color="auto"/>
          </w:divBdr>
        </w:div>
        <w:div w:id="1636450590">
          <w:marLeft w:val="0"/>
          <w:marRight w:val="0"/>
          <w:marTop w:val="0"/>
          <w:marBottom w:val="0"/>
          <w:divBdr>
            <w:top w:val="none" w:sz="0" w:space="0" w:color="auto"/>
            <w:left w:val="none" w:sz="0" w:space="0" w:color="auto"/>
            <w:bottom w:val="none" w:sz="0" w:space="0" w:color="auto"/>
            <w:right w:val="none" w:sz="0" w:space="0" w:color="auto"/>
          </w:divBdr>
        </w:div>
      </w:divsChild>
    </w:div>
    <w:div w:id="858814319">
      <w:bodyDiv w:val="1"/>
      <w:marLeft w:val="0"/>
      <w:marRight w:val="0"/>
      <w:marTop w:val="0"/>
      <w:marBottom w:val="0"/>
      <w:divBdr>
        <w:top w:val="none" w:sz="0" w:space="0" w:color="auto"/>
        <w:left w:val="none" w:sz="0" w:space="0" w:color="auto"/>
        <w:bottom w:val="none" w:sz="0" w:space="0" w:color="auto"/>
        <w:right w:val="none" w:sz="0" w:space="0" w:color="auto"/>
      </w:divBdr>
    </w:div>
    <w:div w:id="902981969">
      <w:bodyDiv w:val="1"/>
      <w:marLeft w:val="0"/>
      <w:marRight w:val="0"/>
      <w:marTop w:val="0"/>
      <w:marBottom w:val="0"/>
      <w:divBdr>
        <w:top w:val="none" w:sz="0" w:space="0" w:color="auto"/>
        <w:left w:val="none" w:sz="0" w:space="0" w:color="auto"/>
        <w:bottom w:val="none" w:sz="0" w:space="0" w:color="auto"/>
        <w:right w:val="none" w:sz="0" w:space="0" w:color="auto"/>
      </w:divBdr>
      <w:divsChild>
        <w:div w:id="231164938">
          <w:marLeft w:val="0"/>
          <w:marRight w:val="0"/>
          <w:marTop w:val="0"/>
          <w:marBottom w:val="0"/>
          <w:divBdr>
            <w:top w:val="none" w:sz="0" w:space="0" w:color="auto"/>
            <w:left w:val="none" w:sz="0" w:space="0" w:color="auto"/>
            <w:bottom w:val="none" w:sz="0" w:space="0" w:color="auto"/>
            <w:right w:val="none" w:sz="0" w:space="0" w:color="auto"/>
          </w:divBdr>
        </w:div>
        <w:div w:id="282350204">
          <w:marLeft w:val="0"/>
          <w:marRight w:val="0"/>
          <w:marTop w:val="0"/>
          <w:marBottom w:val="0"/>
          <w:divBdr>
            <w:top w:val="none" w:sz="0" w:space="0" w:color="auto"/>
            <w:left w:val="none" w:sz="0" w:space="0" w:color="auto"/>
            <w:bottom w:val="none" w:sz="0" w:space="0" w:color="auto"/>
            <w:right w:val="none" w:sz="0" w:space="0" w:color="auto"/>
          </w:divBdr>
        </w:div>
        <w:div w:id="1026977707">
          <w:marLeft w:val="0"/>
          <w:marRight w:val="0"/>
          <w:marTop w:val="0"/>
          <w:marBottom w:val="0"/>
          <w:divBdr>
            <w:top w:val="none" w:sz="0" w:space="0" w:color="auto"/>
            <w:left w:val="none" w:sz="0" w:space="0" w:color="auto"/>
            <w:bottom w:val="none" w:sz="0" w:space="0" w:color="auto"/>
            <w:right w:val="none" w:sz="0" w:space="0" w:color="auto"/>
          </w:divBdr>
        </w:div>
        <w:div w:id="1578401756">
          <w:marLeft w:val="0"/>
          <w:marRight w:val="0"/>
          <w:marTop w:val="0"/>
          <w:marBottom w:val="0"/>
          <w:divBdr>
            <w:top w:val="none" w:sz="0" w:space="0" w:color="auto"/>
            <w:left w:val="none" w:sz="0" w:space="0" w:color="auto"/>
            <w:bottom w:val="none" w:sz="0" w:space="0" w:color="auto"/>
            <w:right w:val="none" w:sz="0" w:space="0" w:color="auto"/>
          </w:divBdr>
        </w:div>
      </w:divsChild>
    </w:div>
    <w:div w:id="1119687705">
      <w:bodyDiv w:val="1"/>
      <w:marLeft w:val="0"/>
      <w:marRight w:val="0"/>
      <w:marTop w:val="0"/>
      <w:marBottom w:val="0"/>
      <w:divBdr>
        <w:top w:val="none" w:sz="0" w:space="0" w:color="auto"/>
        <w:left w:val="none" w:sz="0" w:space="0" w:color="auto"/>
        <w:bottom w:val="none" w:sz="0" w:space="0" w:color="auto"/>
        <w:right w:val="none" w:sz="0" w:space="0" w:color="auto"/>
      </w:divBdr>
      <w:divsChild>
        <w:div w:id="55277700">
          <w:marLeft w:val="0"/>
          <w:marRight w:val="0"/>
          <w:marTop w:val="0"/>
          <w:marBottom w:val="0"/>
          <w:divBdr>
            <w:top w:val="none" w:sz="0" w:space="0" w:color="auto"/>
            <w:left w:val="none" w:sz="0" w:space="0" w:color="auto"/>
            <w:bottom w:val="none" w:sz="0" w:space="0" w:color="auto"/>
            <w:right w:val="none" w:sz="0" w:space="0" w:color="auto"/>
          </w:divBdr>
        </w:div>
        <w:div w:id="92090366">
          <w:marLeft w:val="0"/>
          <w:marRight w:val="0"/>
          <w:marTop w:val="0"/>
          <w:marBottom w:val="0"/>
          <w:divBdr>
            <w:top w:val="none" w:sz="0" w:space="0" w:color="auto"/>
            <w:left w:val="none" w:sz="0" w:space="0" w:color="auto"/>
            <w:bottom w:val="none" w:sz="0" w:space="0" w:color="auto"/>
            <w:right w:val="none" w:sz="0" w:space="0" w:color="auto"/>
          </w:divBdr>
        </w:div>
        <w:div w:id="93063992">
          <w:marLeft w:val="0"/>
          <w:marRight w:val="0"/>
          <w:marTop w:val="0"/>
          <w:marBottom w:val="0"/>
          <w:divBdr>
            <w:top w:val="none" w:sz="0" w:space="0" w:color="auto"/>
            <w:left w:val="none" w:sz="0" w:space="0" w:color="auto"/>
            <w:bottom w:val="none" w:sz="0" w:space="0" w:color="auto"/>
            <w:right w:val="none" w:sz="0" w:space="0" w:color="auto"/>
          </w:divBdr>
        </w:div>
        <w:div w:id="144323845">
          <w:marLeft w:val="0"/>
          <w:marRight w:val="0"/>
          <w:marTop w:val="0"/>
          <w:marBottom w:val="0"/>
          <w:divBdr>
            <w:top w:val="none" w:sz="0" w:space="0" w:color="auto"/>
            <w:left w:val="none" w:sz="0" w:space="0" w:color="auto"/>
            <w:bottom w:val="none" w:sz="0" w:space="0" w:color="auto"/>
            <w:right w:val="none" w:sz="0" w:space="0" w:color="auto"/>
          </w:divBdr>
        </w:div>
        <w:div w:id="150605920">
          <w:marLeft w:val="0"/>
          <w:marRight w:val="0"/>
          <w:marTop w:val="0"/>
          <w:marBottom w:val="0"/>
          <w:divBdr>
            <w:top w:val="none" w:sz="0" w:space="0" w:color="auto"/>
            <w:left w:val="none" w:sz="0" w:space="0" w:color="auto"/>
            <w:bottom w:val="none" w:sz="0" w:space="0" w:color="auto"/>
            <w:right w:val="none" w:sz="0" w:space="0" w:color="auto"/>
          </w:divBdr>
        </w:div>
        <w:div w:id="152725309">
          <w:marLeft w:val="0"/>
          <w:marRight w:val="0"/>
          <w:marTop w:val="0"/>
          <w:marBottom w:val="0"/>
          <w:divBdr>
            <w:top w:val="none" w:sz="0" w:space="0" w:color="auto"/>
            <w:left w:val="none" w:sz="0" w:space="0" w:color="auto"/>
            <w:bottom w:val="none" w:sz="0" w:space="0" w:color="auto"/>
            <w:right w:val="none" w:sz="0" w:space="0" w:color="auto"/>
          </w:divBdr>
        </w:div>
        <w:div w:id="309024716">
          <w:marLeft w:val="0"/>
          <w:marRight w:val="0"/>
          <w:marTop w:val="0"/>
          <w:marBottom w:val="0"/>
          <w:divBdr>
            <w:top w:val="none" w:sz="0" w:space="0" w:color="auto"/>
            <w:left w:val="none" w:sz="0" w:space="0" w:color="auto"/>
            <w:bottom w:val="none" w:sz="0" w:space="0" w:color="auto"/>
            <w:right w:val="none" w:sz="0" w:space="0" w:color="auto"/>
          </w:divBdr>
        </w:div>
        <w:div w:id="561062399">
          <w:marLeft w:val="0"/>
          <w:marRight w:val="0"/>
          <w:marTop w:val="0"/>
          <w:marBottom w:val="0"/>
          <w:divBdr>
            <w:top w:val="none" w:sz="0" w:space="0" w:color="auto"/>
            <w:left w:val="none" w:sz="0" w:space="0" w:color="auto"/>
            <w:bottom w:val="none" w:sz="0" w:space="0" w:color="auto"/>
            <w:right w:val="none" w:sz="0" w:space="0" w:color="auto"/>
          </w:divBdr>
        </w:div>
        <w:div w:id="575826838">
          <w:marLeft w:val="0"/>
          <w:marRight w:val="0"/>
          <w:marTop w:val="0"/>
          <w:marBottom w:val="0"/>
          <w:divBdr>
            <w:top w:val="none" w:sz="0" w:space="0" w:color="auto"/>
            <w:left w:val="none" w:sz="0" w:space="0" w:color="auto"/>
            <w:bottom w:val="none" w:sz="0" w:space="0" w:color="auto"/>
            <w:right w:val="none" w:sz="0" w:space="0" w:color="auto"/>
          </w:divBdr>
        </w:div>
        <w:div w:id="601886040">
          <w:marLeft w:val="0"/>
          <w:marRight w:val="0"/>
          <w:marTop w:val="0"/>
          <w:marBottom w:val="0"/>
          <w:divBdr>
            <w:top w:val="none" w:sz="0" w:space="0" w:color="auto"/>
            <w:left w:val="none" w:sz="0" w:space="0" w:color="auto"/>
            <w:bottom w:val="none" w:sz="0" w:space="0" w:color="auto"/>
            <w:right w:val="none" w:sz="0" w:space="0" w:color="auto"/>
          </w:divBdr>
        </w:div>
        <w:div w:id="671376722">
          <w:marLeft w:val="0"/>
          <w:marRight w:val="0"/>
          <w:marTop w:val="0"/>
          <w:marBottom w:val="0"/>
          <w:divBdr>
            <w:top w:val="none" w:sz="0" w:space="0" w:color="auto"/>
            <w:left w:val="none" w:sz="0" w:space="0" w:color="auto"/>
            <w:bottom w:val="none" w:sz="0" w:space="0" w:color="auto"/>
            <w:right w:val="none" w:sz="0" w:space="0" w:color="auto"/>
          </w:divBdr>
        </w:div>
        <w:div w:id="722557439">
          <w:marLeft w:val="0"/>
          <w:marRight w:val="0"/>
          <w:marTop w:val="0"/>
          <w:marBottom w:val="0"/>
          <w:divBdr>
            <w:top w:val="none" w:sz="0" w:space="0" w:color="auto"/>
            <w:left w:val="none" w:sz="0" w:space="0" w:color="auto"/>
            <w:bottom w:val="none" w:sz="0" w:space="0" w:color="auto"/>
            <w:right w:val="none" w:sz="0" w:space="0" w:color="auto"/>
          </w:divBdr>
        </w:div>
        <w:div w:id="725646901">
          <w:marLeft w:val="0"/>
          <w:marRight w:val="0"/>
          <w:marTop w:val="0"/>
          <w:marBottom w:val="0"/>
          <w:divBdr>
            <w:top w:val="none" w:sz="0" w:space="0" w:color="auto"/>
            <w:left w:val="none" w:sz="0" w:space="0" w:color="auto"/>
            <w:bottom w:val="none" w:sz="0" w:space="0" w:color="auto"/>
            <w:right w:val="none" w:sz="0" w:space="0" w:color="auto"/>
          </w:divBdr>
        </w:div>
        <w:div w:id="726301006">
          <w:marLeft w:val="0"/>
          <w:marRight w:val="0"/>
          <w:marTop w:val="0"/>
          <w:marBottom w:val="0"/>
          <w:divBdr>
            <w:top w:val="none" w:sz="0" w:space="0" w:color="auto"/>
            <w:left w:val="none" w:sz="0" w:space="0" w:color="auto"/>
            <w:bottom w:val="none" w:sz="0" w:space="0" w:color="auto"/>
            <w:right w:val="none" w:sz="0" w:space="0" w:color="auto"/>
          </w:divBdr>
        </w:div>
        <w:div w:id="853300295">
          <w:marLeft w:val="0"/>
          <w:marRight w:val="0"/>
          <w:marTop w:val="0"/>
          <w:marBottom w:val="0"/>
          <w:divBdr>
            <w:top w:val="none" w:sz="0" w:space="0" w:color="auto"/>
            <w:left w:val="none" w:sz="0" w:space="0" w:color="auto"/>
            <w:bottom w:val="none" w:sz="0" w:space="0" w:color="auto"/>
            <w:right w:val="none" w:sz="0" w:space="0" w:color="auto"/>
          </w:divBdr>
        </w:div>
        <w:div w:id="943151841">
          <w:marLeft w:val="0"/>
          <w:marRight w:val="0"/>
          <w:marTop w:val="0"/>
          <w:marBottom w:val="0"/>
          <w:divBdr>
            <w:top w:val="none" w:sz="0" w:space="0" w:color="auto"/>
            <w:left w:val="none" w:sz="0" w:space="0" w:color="auto"/>
            <w:bottom w:val="none" w:sz="0" w:space="0" w:color="auto"/>
            <w:right w:val="none" w:sz="0" w:space="0" w:color="auto"/>
          </w:divBdr>
        </w:div>
        <w:div w:id="954024065">
          <w:marLeft w:val="0"/>
          <w:marRight w:val="0"/>
          <w:marTop w:val="0"/>
          <w:marBottom w:val="0"/>
          <w:divBdr>
            <w:top w:val="none" w:sz="0" w:space="0" w:color="auto"/>
            <w:left w:val="none" w:sz="0" w:space="0" w:color="auto"/>
            <w:bottom w:val="none" w:sz="0" w:space="0" w:color="auto"/>
            <w:right w:val="none" w:sz="0" w:space="0" w:color="auto"/>
          </w:divBdr>
        </w:div>
        <w:div w:id="1009064254">
          <w:marLeft w:val="0"/>
          <w:marRight w:val="0"/>
          <w:marTop w:val="0"/>
          <w:marBottom w:val="0"/>
          <w:divBdr>
            <w:top w:val="none" w:sz="0" w:space="0" w:color="auto"/>
            <w:left w:val="none" w:sz="0" w:space="0" w:color="auto"/>
            <w:bottom w:val="none" w:sz="0" w:space="0" w:color="auto"/>
            <w:right w:val="none" w:sz="0" w:space="0" w:color="auto"/>
          </w:divBdr>
        </w:div>
        <w:div w:id="1160652847">
          <w:marLeft w:val="0"/>
          <w:marRight w:val="0"/>
          <w:marTop w:val="0"/>
          <w:marBottom w:val="0"/>
          <w:divBdr>
            <w:top w:val="none" w:sz="0" w:space="0" w:color="auto"/>
            <w:left w:val="none" w:sz="0" w:space="0" w:color="auto"/>
            <w:bottom w:val="none" w:sz="0" w:space="0" w:color="auto"/>
            <w:right w:val="none" w:sz="0" w:space="0" w:color="auto"/>
          </w:divBdr>
        </w:div>
        <w:div w:id="1188449263">
          <w:marLeft w:val="0"/>
          <w:marRight w:val="0"/>
          <w:marTop w:val="0"/>
          <w:marBottom w:val="0"/>
          <w:divBdr>
            <w:top w:val="none" w:sz="0" w:space="0" w:color="auto"/>
            <w:left w:val="none" w:sz="0" w:space="0" w:color="auto"/>
            <w:bottom w:val="none" w:sz="0" w:space="0" w:color="auto"/>
            <w:right w:val="none" w:sz="0" w:space="0" w:color="auto"/>
          </w:divBdr>
        </w:div>
        <w:div w:id="1205023672">
          <w:marLeft w:val="0"/>
          <w:marRight w:val="0"/>
          <w:marTop w:val="0"/>
          <w:marBottom w:val="0"/>
          <w:divBdr>
            <w:top w:val="none" w:sz="0" w:space="0" w:color="auto"/>
            <w:left w:val="none" w:sz="0" w:space="0" w:color="auto"/>
            <w:bottom w:val="none" w:sz="0" w:space="0" w:color="auto"/>
            <w:right w:val="none" w:sz="0" w:space="0" w:color="auto"/>
          </w:divBdr>
        </w:div>
        <w:div w:id="1296761866">
          <w:marLeft w:val="0"/>
          <w:marRight w:val="0"/>
          <w:marTop w:val="0"/>
          <w:marBottom w:val="0"/>
          <w:divBdr>
            <w:top w:val="none" w:sz="0" w:space="0" w:color="auto"/>
            <w:left w:val="none" w:sz="0" w:space="0" w:color="auto"/>
            <w:bottom w:val="none" w:sz="0" w:space="0" w:color="auto"/>
            <w:right w:val="none" w:sz="0" w:space="0" w:color="auto"/>
          </w:divBdr>
        </w:div>
        <w:div w:id="1299533296">
          <w:marLeft w:val="0"/>
          <w:marRight w:val="0"/>
          <w:marTop w:val="0"/>
          <w:marBottom w:val="0"/>
          <w:divBdr>
            <w:top w:val="none" w:sz="0" w:space="0" w:color="auto"/>
            <w:left w:val="none" w:sz="0" w:space="0" w:color="auto"/>
            <w:bottom w:val="none" w:sz="0" w:space="0" w:color="auto"/>
            <w:right w:val="none" w:sz="0" w:space="0" w:color="auto"/>
          </w:divBdr>
        </w:div>
        <w:div w:id="1337614453">
          <w:marLeft w:val="0"/>
          <w:marRight w:val="0"/>
          <w:marTop w:val="0"/>
          <w:marBottom w:val="0"/>
          <w:divBdr>
            <w:top w:val="none" w:sz="0" w:space="0" w:color="auto"/>
            <w:left w:val="none" w:sz="0" w:space="0" w:color="auto"/>
            <w:bottom w:val="none" w:sz="0" w:space="0" w:color="auto"/>
            <w:right w:val="none" w:sz="0" w:space="0" w:color="auto"/>
          </w:divBdr>
        </w:div>
        <w:div w:id="1581133824">
          <w:marLeft w:val="0"/>
          <w:marRight w:val="0"/>
          <w:marTop w:val="0"/>
          <w:marBottom w:val="0"/>
          <w:divBdr>
            <w:top w:val="none" w:sz="0" w:space="0" w:color="auto"/>
            <w:left w:val="none" w:sz="0" w:space="0" w:color="auto"/>
            <w:bottom w:val="none" w:sz="0" w:space="0" w:color="auto"/>
            <w:right w:val="none" w:sz="0" w:space="0" w:color="auto"/>
          </w:divBdr>
        </w:div>
        <w:div w:id="1619868691">
          <w:marLeft w:val="0"/>
          <w:marRight w:val="0"/>
          <w:marTop w:val="0"/>
          <w:marBottom w:val="0"/>
          <w:divBdr>
            <w:top w:val="none" w:sz="0" w:space="0" w:color="auto"/>
            <w:left w:val="none" w:sz="0" w:space="0" w:color="auto"/>
            <w:bottom w:val="none" w:sz="0" w:space="0" w:color="auto"/>
            <w:right w:val="none" w:sz="0" w:space="0" w:color="auto"/>
          </w:divBdr>
        </w:div>
        <w:div w:id="1695569730">
          <w:marLeft w:val="0"/>
          <w:marRight w:val="0"/>
          <w:marTop w:val="0"/>
          <w:marBottom w:val="0"/>
          <w:divBdr>
            <w:top w:val="none" w:sz="0" w:space="0" w:color="auto"/>
            <w:left w:val="none" w:sz="0" w:space="0" w:color="auto"/>
            <w:bottom w:val="none" w:sz="0" w:space="0" w:color="auto"/>
            <w:right w:val="none" w:sz="0" w:space="0" w:color="auto"/>
          </w:divBdr>
        </w:div>
        <w:div w:id="1701205698">
          <w:marLeft w:val="0"/>
          <w:marRight w:val="0"/>
          <w:marTop w:val="0"/>
          <w:marBottom w:val="0"/>
          <w:divBdr>
            <w:top w:val="none" w:sz="0" w:space="0" w:color="auto"/>
            <w:left w:val="none" w:sz="0" w:space="0" w:color="auto"/>
            <w:bottom w:val="none" w:sz="0" w:space="0" w:color="auto"/>
            <w:right w:val="none" w:sz="0" w:space="0" w:color="auto"/>
          </w:divBdr>
        </w:div>
        <w:div w:id="1880822699">
          <w:marLeft w:val="0"/>
          <w:marRight w:val="0"/>
          <w:marTop w:val="0"/>
          <w:marBottom w:val="0"/>
          <w:divBdr>
            <w:top w:val="none" w:sz="0" w:space="0" w:color="auto"/>
            <w:left w:val="none" w:sz="0" w:space="0" w:color="auto"/>
            <w:bottom w:val="none" w:sz="0" w:space="0" w:color="auto"/>
            <w:right w:val="none" w:sz="0" w:space="0" w:color="auto"/>
          </w:divBdr>
        </w:div>
        <w:div w:id="2041660882">
          <w:marLeft w:val="0"/>
          <w:marRight w:val="0"/>
          <w:marTop w:val="0"/>
          <w:marBottom w:val="0"/>
          <w:divBdr>
            <w:top w:val="none" w:sz="0" w:space="0" w:color="auto"/>
            <w:left w:val="none" w:sz="0" w:space="0" w:color="auto"/>
            <w:bottom w:val="none" w:sz="0" w:space="0" w:color="auto"/>
            <w:right w:val="none" w:sz="0" w:space="0" w:color="auto"/>
          </w:divBdr>
        </w:div>
        <w:div w:id="2046826500">
          <w:marLeft w:val="0"/>
          <w:marRight w:val="0"/>
          <w:marTop w:val="0"/>
          <w:marBottom w:val="0"/>
          <w:divBdr>
            <w:top w:val="none" w:sz="0" w:space="0" w:color="auto"/>
            <w:left w:val="none" w:sz="0" w:space="0" w:color="auto"/>
            <w:bottom w:val="none" w:sz="0" w:space="0" w:color="auto"/>
            <w:right w:val="none" w:sz="0" w:space="0" w:color="auto"/>
          </w:divBdr>
        </w:div>
      </w:divsChild>
    </w:div>
    <w:div w:id="1201868188">
      <w:bodyDiv w:val="1"/>
      <w:marLeft w:val="0"/>
      <w:marRight w:val="0"/>
      <w:marTop w:val="0"/>
      <w:marBottom w:val="0"/>
      <w:divBdr>
        <w:top w:val="none" w:sz="0" w:space="0" w:color="auto"/>
        <w:left w:val="none" w:sz="0" w:space="0" w:color="auto"/>
        <w:bottom w:val="none" w:sz="0" w:space="0" w:color="auto"/>
        <w:right w:val="none" w:sz="0" w:space="0" w:color="auto"/>
      </w:divBdr>
    </w:div>
    <w:div w:id="1641305212">
      <w:bodyDiv w:val="1"/>
      <w:marLeft w:val="0"/>
      <w:marRight w:val="0"/>
      <w:marTop w:val="0"/>
      <w:marBottom w:val="0"/>
      <w:divBdr>
        <w:top w:val="none" w:sz="0" w:space="0" w:color="auto"/>
        <w:left w:val="none" w:sz="0" w:space="0" w:color="auto"/>
        <w:bottom w:val="none" w:sz="0" w:space="0" w:color="auto"/>
        <w:right w:val="none" w:sz="0" w:space="0" w:color="auto"/>
      </w:divBdr>
    </w:div>
    <w:div w:id="1644577947">
      <w:bodyDiv w:val="1"/>
      <w:marLeft w:val="0"/>
      <w:marRight w:val="0"/>
      <w:marTop w:val="0"/>
      <w:marBottom w:val="0"/>
      <w:divBdr>
        <w:top w:val="none" w:sz="0" w:space="0" w:color="auto"/>
        <w:left w:val="none" w:sz="0" w:space="0" w:color="auto"/>
        <w:bottom w:val="none" w:sz="0" w:space="0" w:color="auto"/>
        <w:right w:val="none" w:sz="0" w:space="0" w:color="auto"/>
      </w:divBdr>
      <w:divsChild>
        <w:div w:id="1018233879">
          <w:marLeft w:val="0"/>
          <w:marRight w:val="0"/>
          <w:marTop w:val="0"/>
          <w:marBottom w:val="0"/>
          <w:divBdr>
            <w:top w:val="none" w:sz="0" w:space="0" w:color="auto"/>
            <w:left w:val="none" w:sz="0" w:space="0" w:color="auto"/>
            <w:bottom w:val="none" w:sz="0" w:space="0" w:color="auto"/>
            <w:right w:val="none" w:sz="0" w:space="0" w:color="auto"/>
          </w:divBdr>
        </w:div>
        <w:div w:id="1238245241">
          <w:marLeft w:val="0"/>
          <w:marRight w:val="0"/>
          <w:marTop w:val="0"/>
          <w:marBottom w:val="0"/>
          <w:divBdr>
            <w:top w:val="none" w:sz="0" w:space="0" w:color="auto"/>
            <w:left w:val="none" w:sz="0" w:space="0" w:color="auto"/>
            <w:bottom w:val="none" w:sz="0" w:space="0" w:color="auto"/>
            <w:right w:val="none" w:sz="0" w:space="0" w:color="auto"/>
          </w:divBdr>
        </w:div>
        <w:div w:id="1900286002">
          <w:marLeft w:val="0"/>
          <w:marRight w:val="0"/>
          <w:marTop w:val="0"/>
          <w:marBottom w:val="0"/>
          <w:divBdr>
            <w:top w:val="none" w:sz="0" w:space="0" w:color="auto"/>
            <w:left w:val="none" w:sz="0" w:space="0" w:color="auto"/>
            <w:bottom w:val="none" w:sz="0" w:space="0" w:color="auto"/>
            <w:right w:val="none" w:sz="0" w:space="0" w:color="auto"/>
          </w:divBdr>
        </w:div>
        <w:div w:id="2067215893">
          <w:marLeft w:val="0"/>
          <w:marRight w:val="0"/>
          <w:marTop w:val="0"/>
          <w:marBottom w:val="0"/>
          <w:divBdr>
            <w:top w:val="none" w:sz="0" w:space="0" w:color="auto"/>
            <w:left w:val="none" w:sz="0" w:space="0" w:color="auto"/>
            <w:bottom w:val="none" w:sz="0" w:space="0" w:color="auto"/>
            <w:right w:val="none" w:sz="0" w:space="0" w:color="auto"/>
          </w:divBdr>
        </w:div>
      </w:divsChild>
    </w:div>
    <w:div w:id="1819112214">
      <w:bodyDiv w:val="1"/>
      <w:marLeft w:val="0"/>
      <w:marRight w:val="0"/>
      <w:marTop w:val="0"/>
      <w:marBottom w:val="0"/>
      <w:divBdr>
        <w:top w:val="none" w:sz="0" w:space="0" w:color="auto"/>
        <w:left w:val="none" w:sz="0" w:space="0" w:color="auto"/>
        <w:bottom w:val="none" w:sz="0" w:space="0" w:color="auto"/>
        <w:right w:val="none" w:sz="0" w:space="0" w:color="auto"/>
      </w:divBdr>
      <w:divsChild>
        <w:div w:id="1562444336">
          <w:marLeft w:val="0"/>
          <w:marRight w:val="0"/>
          <w:marTop w:val="0"/>
          <w:marBottom w:val="0"/>
          <w:divBdr>
            <w:top w:val="none" w:sz="0" w:space="0" w:color="auto"/>
            <w:left w:val="none" w:sz="0" w:space="0" w:color="auto"/>
            <w:bottom w:val="none" w:sz="0" w:space="0" w:color="auto"/>
            <w:right w:val="none" w:sz="0" w:space="0" w:color="auto"/>
          </w:divBdr>
          <w:divsChild>
            <w:div w:id="13182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696488">
      <w:bodyDiv w:val="1"/>
      <w:marLeft w:val="0"/>
      <w:marRight w:val="0"/>
      <w:marTop w:val="0"/>
      <w:marBottom w:val="0"/>
      <w:divBdr>
        <w:top w:val="none" w:sz="0" w:space="0" w:color="auto"/>
        <w:left w:val="none" w:sz="0" w:space="0" w:color="auto"/>
        <w:bottom w:val="none" w:sz="0" w:space="0" w:color="auto"/>
        <w:right w:val="none" w:sz="0" w:space="0" w:color="auto"/>
      </w:divBdr>
    </w:div>
    <w:div w:id="20237059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majeed@imperial.ac.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11D1B-1282-4CD2-A55C-AFEC501D0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13</Pages>
  <Words>3256</Words>
  <Characters>18565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21778</CharactersWithSpaces>
  <SharedDoc>false</SharedDoc>
  <HLinks>
    <vt:vector size="6" baseType="variant">
      <vt:variant>
        <vt:i4>524342</vt:i4>
      </vt:variant>
      <vt:variant>
        <vt:i4>0</vt:i4>
      </vt:variant>
      <vt:variant>
        <vt:i4>0</vt:i4>
      </vt:variant>
      <vt:variant>
        <vt:i4>5</vt:i4>
      </vt:variant>
      <vt:variant>
        <vt:lpwstr>mailto:a.majeed@imperial.ac.uk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amajeed</dc:creator>
  <cp:keywords/>
  <dc:description/>
  <cp:lastModifiedBy>Majeed, Azeem</cp:lastModifiedBy>
  <cp:revision>20</cp:revision>
  <cp:lastPrinted>2014-05-14T10:03:00Z</cp:lastPrinted>
  <dcterms:created xsi:type="dcterms:W3CDTF">2018-07-05T14:05:00Z</dcterms:created>
  <dcterms:modified xsi:type="dcterms:W3CDTF">2018-07-05T16:56:00Z</dcterms:modified>
</cp:coreProperties>
</file>