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DBA8B" w14:textId="2147AC42"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t>Measurement of hepatic insulin sensitivity early after the bypass of the proximal small bowel in humans</w:t>
      </w:r>
    </w:p>
    <w:p w14:paraId="38C52E96" w14:textId="77777777" w:rsidR="002C2533" w:rsidRDefault="002C2533" w:rsidP="002C2533">
      <w:pPr>
        <w:spacing w:line="480" w:lineRule="auto"/>
        <w:jc w:val="both"/>
        <w:rPr>
          <w:rFonts w:ascii="Times New Roman" w:hAnsi="Times New Roman" w:cs="Times New Roman"/>
          <w:b/>
          <w:sz w:val="22"/>
          <w:szCs w:val="22"/>
        </w:rPr>
      </w:pPr>
    </w:p>
    <w:p w14:paraId="4F5A34DF"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b/>
          <w:sz w:val="22"/>
          <w:szCs w:val="22"/>
        </w:rPr>
        <w:t>Authors:</w:t>
      </w:r>
      <w:r w:rsidRPr="002C2533">
        <w:rPr>
          <w:rFonts w:ascii="Times New Roman" w:hAnsi="Times New Roman" w:cs="Times New Roman"/>
          <w:sz w:val="22"/>
          <w:szCs w:val="22"/>
        </w:rPr>
        <w:t xml:space="preserve"> Alexander D Miras</w:t>
      </w:r>
      <w:r w:rsidRPr="002C2533">
        <w:rPr>
          <w:rFonts w:ascii="Times New Roman" w:hAnsi="Times New Roman" w:cs="Times New Roman"/>
          <w:sz w:val="22"/>
          <w:szCs w:val="22"/>
          <w:vertAlign w:val="superscript"/>
        </w:rPr>
        <w:t>1</w:t>
      </w:r>
      <w:r w:rsidRPr="002C2533">
        <w:rPr>
          <w:rFonts w:ascii="Times New Roman" w:hAnsi="Times New Roman" w:cs="Times New Roman"/>
          <w:sz w:val="22"/>
          <w:szCs w:val="22"/>
        </w:rPr>
        <w:t>, Roselle Herring</w:t>
      </w:r>
      <w:r w:rsidRPr="002C2533">
        <w:rPr>
          <w:rFonts w:ascii="Times New Roman" w:hAnsi="Times New Roman" w:cs="Times New Roman"/>
          <w:sz w:val="22"/>
          <w:szCs w:val="22"/>
          <w:vertAlign w:val="superscript"/>
        </w:rPr>
        <w:t>2</w:t>
      </w:r>
      <w:r w:rsidRPr="002C2533">
        <w:rPr>
          <w:rFonts w:ascii="Times New Roman" w:hAnsi="Times New Roman" w:cs="Times New Roman"/>
          <w:sz w:val="22"/>
          <w:szCs w:val="22"/>
        </w:rPr>
        <w:t>, Amoolya Vusirikala</w:t>
      </w:r>
      <w:r w:rsidRPr="002C2533">
        <w:rPr>
          <w:rFonts w:ascii="Times New Roman" w:hAnsi="Times New Roman" w:cs="Times New Roman"/>
          <w:sz w:val="22"/>
          <w:szCs w:val="22"/>
          <w:vertAlign w:val="superscript"/>
        </w:rPr>
        <w:t>3</w:t>
      </w:r>
      <w:r w:rsidRPr="002C2533">
        <w:rPr>
          <w:rFonts w:ascii="Times New Roman" w:hAnsi="Times New Roman" w:cs="Times New Roman"/>
          <w:sz w:val="22"/>
          <w:szCs w:val="22"/>
        </w:rPr>
        <w:t>, Fariba Shojaee-Moradi</w:t>
      </w:r>
      <w:r w:rsidRPr="002C2533">
        <w:rPr>
          <w:rFonts w:ascii="Times New Roman" w:hAnsi="Times New Roman" w:cs="Times New Roman"/>
          <w:sz w:val="22"/>
          <w:szCs w:val="22"/>
          <w:vertAlign w:val="superscript"/>
        </w:rPr>
        <w:t>4</w:t>
      </w:r>
      <w:r w:rsidRPr="002C2533">
        <w:rPr>
          <w:rFonts w:ascii="Times New Roman" w:hAnsi="Times New Roman" w:cs="Times New Roman"/>
          <w:sz w:val="22"/>
          <w:szCs w:val="22"/>
        </w:rPr>
        <w:t>, Nicola C Jackson</w:t>
      </w:r>
      <w:r w:rsidRPr="002C2533">
        <w:rPr>
          <w:rFonts w:ascii="Times New Roman" w:hAnsi="Times New Roman" w:cs="Times New Roman"/>
          <w:sz w:val="22"/>
          <w:szCs w:val="22"/>
          <w:vertAlign w:val="superscript"/>
        </w:rPr>
        <w:t>4</w:t>
      </w:r>
      <w:r w:rsidRPr="002C2533">
        <w:rPr>
          <w:rFonts w:ascii="Times New Roman" w:hAnsi="Times New Roman" w:cs="Times New Roman"/>
          <w:sz w:val="22"/>
          <w:szCs w:val="22"/>
        </w:rPr>
        <w:t>, Shamil Chandaria</w:t>
      </w:r>
      <w:r w:rsidRPr="002C2533">
        <w:rPr>
          <w:rFonts w:ascii="Times New Roman" w:hAnsi="Times New Roman" w:cs="Times New Roman"/>
          <w:sz w:val="22"/>
          <w:szCs w:val="22"/>
          <w:vertAlign w:val="superscript"/>
        </w:rPr>
        <w:t>5</w:t>
      </w:r>
      <w:r w:rsidRPr="002C2533">
        <w:rPr>
          <w:rFonts w:ascii="Times New Roman" w:hAnsi="Times New Roman" w:cs="Times New Roman"/>
          <w:sz w:val="22"/>
          <w:szCs w:val="22"/>
        </w:rPr>
        <w:t>, Sabrina Nathasha Jackson</w:t>
      </w:r>
      <w:r w:rsidRPr="002C2533">
        <w:rPr>
          <w:rFonts w:ascii="Times New Roman" w:hAnsi="Times New Roman" w:cs="Times New Roman"/>
          <w:sz w:val="22"/>
          <w:szCs w:val="22"/>
          <w:vertAlign w:val="superscript"/>
        </w:rPr>
        <w:t>9</w:t>
      </w:r>
      <w:r w:rsidRPr="002C2533">
        <w:rPr>
          <w:rFonts w:ascii="Times New Roman" w:hAnsi="Times New Roman" w:cs="Times New Roman"/>
          <w:sz w:val="22"/>
          <w:szCs w:val="22"/>
        </w:rPr>
        <w:t>, Anthony P Goldstone</w:t>
      </w:r>
      <w:r w:rsidRPr="002C2533">
        <w:rPr>
          <w:rFonts w:ascii="Times New Roman" w:hAnsi="Times New Roman" w:cs="Times New Roman"/>
          <w:sz w:val="22"/>
          <w:szCs w:val="22"/>
          <w:vertAlign w:val="superscript"/>
        </w:rPr>
        <w:t>6</w:t>
      </w:r>
      <w:r w:rsidRPr="002C2533">
        <w:rPr>
          <w:rFonts w:ascii="Times New Roman" w:hAnsi="Times New Roman" w:cs="Times New Roman"/>
          <w:sz w:val="22"/>
          <w:szCs w:val="22"/>
        </w:rPr>
        <w:t>, Nadey Hakim</w:t>
      </w:r>
      <w:r w:rsidRPr="002C2533">
        <w:rPr>
          <w:rFonts w:ascii="Times New Roman" w:hAnsi="Times New Roman" w:cs="Times New Roman"/>
          <w:sz w:val="22"/>
          <w:szCs w:val="22"/>
          <w:vertAlign w:val="superscript"/>
        </w:rPr>
        <w:t>7</w:t>
      </w:r>
      <w:r w:rsidRPr="002C2533">
        <w:rPr>
          <w:rFonts w:ascii="Times New Roman" w:hAnsi="Times New Roman" w:cs="Times New Roman"/>
          <w:sz w:val="22"/>
          <w:szCs w:val="22"/>
        </w:rPr>
        <w:t>, Ameet Patel</w:t>
      </w:r>
      <w:r w:rsidRPr="002C2533">
        <w:rPr>
          <w:rFonts w:ascii="Times New Roman" w:hAnsi="Times New Roman" w:cs="Times New Roman"/>
          <w:sz w:val="22"/>
          <w:szCs w:val="22"/>
          <w:vertAlign w:val="superscript"/>
        </w:rPr>
        <w:t>8</w:t>
      </w:r>
      <w:r w:rsidRPr="002C2533">
        <w:rPr>
          <w:rFonts w:ascii="Times New Roman" w:hAnsi="Times New Roman" w:cs="Times New Roman"/>
          <w:sz w:val="22"/>
          <w:szCs w:val="22"/>
        </w:rPr>
        <w:t>, A M Umpleby</w:t>
      </w:r>
      <w:r w:rsidRPr="002C2533">
        <w:rPr>
          <w:rFonts w:ascii="Times New Roman" w:hAnsi="Times New Roman" w:cs="Times New Roman"/>
          <w:sz w:val="22"/>
          <w:szCs w:val="22"/>
          <w:vertAlign w:val="superscript"/>
        </w:rPr>
        <w:t xml:space="preserve">4 </w:t>
      </w:r>
      <w:r w:rsidRPr="002C2533">
        <w:rPr>
          <w:rFonts w:ascii="Times New Roman" w:hAnsi="Times New Roman" w:cs="Times New Roman"/>
          <w:sz w:val="22"/>
          <w:szCs w:val="22"/>
        </w:rPr>
        <w:t>and Carel W le Roux</w:t>
      </w:r>
      <w:r w:rsidRPr="002C2533">
        <w:rPr>
          <w:rFonts w:ascii="Times New Roman" w:hAnsi="Times New Roman" w:cs="Times New Roman"/>
          <w:sz w:val="22"/>
          <w:szCs w:val="22"/>
          <w:vertAlign w:val="superscript"/>
        </w:rPr>
        <w:t>1, 9</w:t>
      </w:r>
    </w:p>
    <w:p w14:paraId="52AB28B3" w14:textId="77777777" w:rsidR="002C2533" w:rsidRPr="002C2533" w:rsidRDefault="002C2533" w:rsidP="002C2533">
      <w:pPr>
        <w:spacing w:line="480" w:lineRule="auto"/>
        <w:jc w:val="both"/>
        <w:rPr>
          <w:rFonts w:ascii="Times New Roman" w:hAnsi="Times New Roman" w:cs="Times New Roman"/>
          <w:b/>
          <w:sz w:val="22"/>
          <w:szCs w:val="22"/>
        </w:rPr>
      </w:pPr>
    </w:p>
    <w:p w14:paraId="0B454521" w14:textId="77777777"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t>Affiliations</w:t>
      </w:r>
    </w:p>
    <w:p w14:paraId="7B79BE41"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1 Section of Investigative Medicine, Division of Diabetes, Endocrinology &amp; Metabolism, Imperial College London, 6th floor Commonwealth Building, Hammersmith Hospital, Du Cane Road, London, W12 0NN, UK</w:t>
      </w:r>
    </w:p>
    <w:p w14:paraId="0884B775"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2 CEDAR Centre, Royal Surrey County Hospital, Guildford, Surrey, UK</w:t>
      </w:r>
    </w:p>
    <w:p w14:paraId="667EAFEF"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3 University of Glasgow, Scotland, UK</w:t>
      </w:r>
    </w:p>
    <w:p w14:paraId="25305904"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4 Diabetes and Metabolic Medicine, Faculty of Health and Medical Sciences, University of Surrey, Guildford, UK</w:t>
      </w:r>
    </w:p>
    <w:p w14:paraId="4AD3A53A"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5 National Obesity Forum, UK</w:t>
      </w:r>
    </w:p>
    <w:p w14:paraId="34767372"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6 Centre for Neuropsychopharmacology and Computational, Cognitive and Clinical Neuroimaging Laboratory, Division of Brain Sciences, Imperial College London</w:t>
      </w:r>
    </w:p>
    <w:p w14:paraId="3F3799EE"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7 Faculty of Medicine, Department of Surgery &amp; Cancer, Imperial College London, London, UK</w:t>
      </w:r>
    </w:p>
    <w:p w14:paraId="53191E2B"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8 Hepatobiliary and minimal access surgery, King's College Hospital NHS Foundation Trust, UK</w:t>
      </w:r>
    </w:p>
    <w:p w14:paraId="05A7483E"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9 Diabetes Complications Research Centre, UCD Conway Institute, University College Dublin, Ireland</w:t>
      </w:r>
    </w:p>
    <w:p w14:paraId="7D8B2638" w14:textId="77777777" w:rsidR="002C2533" w:rsidRPr="002C2533" w:rsidRDefault="002C2533" w:rsidP="002C2533">
      <w:pPr>
        <w:spacing w:line="480" w:lineRule="auto"/>
        <w:jc w:val="both"/>
        <w:rPr>
          <w:rFonts w:ascii="Times New Roman" w:hAnsi="Times New Roman" w:cs="Times New Roman"/>
          <w:sz w:val="22"/>
          <w:szCs w:val="22"/>
        </w:rPr>
      </w:pPr>
    </w:p>
    <w:p w14:paraId="50E113FD" w14:textId="77777777" w:rsidR="002C2533" w:rsidRDefault="002C2533" w:rsidP="002C2533">
      <w:pPr>
        <w:spacing w:line="480" w:lineRule="auto"/>
        <w:jc w:val="both"/>
        <w:rPr>
          <w:rFonts w:ascii="Times New Roman" w:hAnsi="Times New Roman" w:cs="Times New Roman"/>
          <w:b/>
          <w:sz w:val="22"/>
          <w:szCs w:val="22"/>
        </w:rPr>
      </w:pPr>
    </w:p>
    <w:p w14:paraId="65C8C160" w14:textId="77777777" w:rsidR="002C2533" w:rsidRDefault="002C2533" w:rsidP="002C2533">
      <w:pPr>
        <w:spacing w:line="480" w:lineRule="auto"/>
        <w:jc w:val="both"/>
        <w:rPr>
          <w:rFonts w:ascii="Times New Roman" w:hAnsi="Times New Roman" w:cs="Times New Roman"/>
          <w:b/>
          <w:sz w:val="22"/>
          <w:szCs w:val="22"/>
        </w:rPr>
      </w:pPr>
    </w:p>
    <w:p w14:paraId="69338319" w14:textId="77777777" w:rsidR="002C2533" w:rsidRDefault="002C2533" w:rsidP="002C2533">
      <w:pPr>
        <w:spacing w:line="480" w:lineRule="auto"/>
        <w:jc w:val="both"/>
        <w:rPr>
          <w:rFonts w:ascii="Times New Roman" w:hAnsi="Times New Roman" w:cs="Times New Roman"/>
          <w:b/>
          <w:sz w:val="22"/>
          <w:szCs w:val="22"/>
        </w:rPr>
      </w:pPr>
    </w:p>
    <w:p w14:paraId="5E463F48" w14:textId="77777777"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lastRenderedPageBreak/>
        <w:t xml:space="preserve">Corresponding Author </w:t>
      </w:r>
    </w:p>
    <w:p w14:paraId="47F6A09F"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Dr Alexander Miras</w:t>
      </w:r>
    </w:p>
    <w:p w14:paraId="5B7CCA14"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Address: Section of Investigative Medicine, Division of Diabetes, Endocrinology &amp; Metabolism, Imperial College London, 6th floor Commonwealth Building, Hammersmith Hospital, Du Cane Road, London, W12 0NN, UK</w:t>
      </w:r>
    </w:p>
    <w:p w14:paraId="5D6144B2"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Telephone number:  +44 (0) 7958377674</w:t>
      </w:r>
    </w:p>
    <w:p w14:paraId="77953BEC"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Fax number: +44 (0) 2033130673</w:t>
      </w:r>
    </w:p>
    <w:p w14:paraId="3328D614"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Email address: a.miras@nhs.net</w:t>
      </w:r>
    </w:p>
    <w:p w14:paraId="40A99528" w14:textId="77777777" w:rsidR="002C2533" w:rsidRPr="00886520" w:rsidRDefault="002C2533" w:rsidP="002C2533">
      <w:pPr>
        <w:spacing w:line="480" w:lineRule="auto"/>
        <w:jc w:val="both"/>
        <w:rPr>
          <w:rFonts w:ascii="Times New Roman" w:hAnsi="Times New Roman" w:cs="Times New Roman"/>
          <w:b/>
          <w:sz w:val="22"/>
          <w:szCs w:val="22"/>
        </w:rPr>
      </w:pPr>
    </w:p>
    <w:p w14:paraId="1F79F2F7" w14:textId="65EC371E" w:rsidR="00A03077" w:rsidRPr="00A03077" w:rsidRDefault="00A03077" w:rsidP="002C2533">
      <w:pPr>
        <w:spacing w:line="480" w:lineRule="auto"/>
        <w:jc w:val="both"/>
        <w:rPr>
          <w:rFonts w:ascii="Times New Roman" w:hAnsi="Times New Roman" w:cs="Times New Roman"/>
          <w:sz w:val="22"/>
          <w:szCs w:val="22"/>
        </w:rPr>
      </w:pPr>
      <w:r>
        <w:rPr>
          <w:rFonts w:ascii="Times New Roman" w:hAnsi="Times New Roman" w:cs="Times New Roman"/>
          <w:b/>
          <w:sz w:val="22"/>
          <w:szCs w:val="22"/>
        </w:rPr>
        <w:t xml:space="preserve">Running title: </w:t>
      </w:r>
      <w:r w:rsidRPr="00A03077">
        <w:rPr>
          <w:rFonts w:ascii="Times New Roman" w:hAnsi="Times New Roman" w:cs="Times New Roman"/>
          <w:sz w:val="22"/>
          <w:szCs w:val="22"/>
        </w:rPr>
        <w:t>Insulin sensitivity after the Endobarrier</w:t>
      </w:r>
    </w:p>
    <w:p w14:paraId="2C5221EC" w14:textId="77777777" w:rsidR="00A03077" w:rsidRDefault="00A03077" w:rsidP="002C2533">
      <w:pPr>
        <w:spacing w:line="480" w:lineRule="auto"/>
        <w:jc w:val="both"/>
        <w:rPr>
          <w:rFonts w:ascii="Times New Roman" w:hAnsi="Times New Roman" w:cs="Times New Roman"/>
          <w:b/>
          <w:sz w:val="22"/>
          <w:szCs w:val="22"/>
        </w:rPr>
      </w:pPr>
    </w:p>
    <w:p w14:paraId="44CBFBD8" w14:textId="6D0E1496" w:rsidR="002C2533" w:rsidRPr="00886520" w:rsidRDefault="002C2533" w:rsidP="002C2533">
      <w:pPr>
        <w:spacing w:line="480" w:lineRule="auto"/>
        <w:jc w:val="both"/>
        <w:rPr>
          <w:rFonts w:ascii="Times New Roman" w:hAnsi="Times New Roman" w:cs="Times New Roman"/>
          <w:sz w:val="22"/>
          <w:szCs w:val="22"/>
        </w:rPr>
      </w:pPr>
      <w:r w:rsidRPr="00886520">
        <w:rPr>
          <w:rFonts w:ascii="Times New Roman" w:hAnsi="Times New Roman" w:cs="Times New Roman"/>
          <w:b/>
          <w:sz w:val="22"/>
          <w:szCs w:val="22"/>
        </w:rPr>
        <w:t xml:space="preserve">Word count: </w:t>
      </w:r>
      <w:r w:rsidR="004A7CD2">
        <w:rPr>
          <w:rFonts w:ascii="Times New Roman" w:hAnsi="Times New Roman" w:cs="Times New Roman"/>
          <w:sz w:val="22"/>
          <w:szCs w:val="22"/>
        </w:rPr>
        <w:t>1</w:t>
      </w:r>
      <w:r w:rsidR="00D73DA1">
        <w:rPr>
          <w:rFonts w:ascii="Times New Roman" w:hAnsi="Times New Roman" w:cs="Times New Roman"/>
          <w:sz w:val="22"/>
          <w:szCs w:val="22"/>
        </w:rPr>
        <w:t>484</w:t>
      </w:r>
    </w:p>
    <w:p w14:paraId="6DA99273" w14:textId="77777777" w:rsidR="00886520" w:rsidRPr="00886520" w:rsidRDefault="00886520" w:rsidP="002C2533">
      <w:pPr>
        <w:spacing w:line="480" w:lineRule="auto"/>
        <w:jc w:val="both"/>
        <w:rPr>
          <w:rFonts w:ascii="Times New Roman" w:hAnsi="Times New Roman" w:cs="Times New Roman"/>
          <w:sz w:val="22"/>
          <w:szCs w:val="22"/>
        </w:rPr>
      </w:pPr>
    </w:p>
    <w:p w14:paraId="29483218" w14:textId="1872F7FB" w:rsidR="00886520" w:rsidRPr="00886520" w:rsidRDefault="00886520" w:rsidP="002C2533">
      <w:pPr>
        <w:spacing w:line="480" w:lineRule="auto"/>
        <w:jc w:val="both"/>
        <w:rPr>
          <w:rFonts w:ascii="Times New Roman" w:hAnsi="Times New Roman" w:cs="Times New Roman"/>
          <w:sz w:val="22"/>
          <w:szCs w:val="22"/>
        </w:rPr>
      </w:pPr>
      <w:r w:rsidRPr="00886520">
        <w:rPr>
          <w:rFonts w:ascii="Times New Roman" w:hAnsi="Times New Roman" w:cs="Times New Roman"/>
          <w:b/>
          <w:sz w:val="22"/>
          <w:szCs w:val="22"/>
        </w:rPr>
        <w:t>Number of tables:</w:t>
      </w:r>
      <w:r w:rsidRPr="00886520">
        <w:rPr>
          <w:rFonts w:ascii="Times New Roman" w:hAnsi="Times New Roman" w:cs="Times New Roman"/>
          <w:sz w:val="22"/>
          <w:szCs w:val="22"/>
        </w:rPr>
        <w:t xml:space="preserve"> 1</w:t>
      </w:r>
    </w:p>
    <w:p w14:paraId="21DC3892" w14:textId="77777777" w:rsidR="00886520" w:rsidRPr="00886520" w:rsidRDefault="00886520" w:rsidP="002C2533">
      <w:pPr>
        <w:spacing w:line="480" w:lineRule="auto"/>
        <w:jc w:val="both"/>
        <w:rPr>
          <w:rFonts w:ascii="Times New Roman" w:hAnsi="Times New Roman" w:cs="Times New Roman"/>
          <w:sz w:val="22"/>
          <w:szCs w:val="22"/>
        </w:rPr>
      </w:pPr>
    </w:p>
    <w:p w14:paraId="0DA021D7" w14:textId="533EFDC9" w:rsidR="00886520" w:rsidRPr="00886520" w:rsidRDefault="00886520" w:rsidP="002C2533">
      <w:pPr>
        <w:spacing w:line="480" w:lineRule="auto"/>
        <w:jc w:val="both"/>
        <w:rPr>
          <w:rFonts w:ascii="Times New Roman" w:hAnsi="Times New Roman" w:cs="Times New Roman"/>
          <w:b/>
          <w:sz w:val="22"/>
          <w:szCs w:val="22"/>
        </w:rPr>
      </w:pPr>
      <w:r w:rsidRPr="00886520">
        <w:rPr>
          <w:rFonts w:ascii="Times New Roman" w:hAnsi="Times New Roman" w:cs="Times New Roman"/>
          <w:b/>
          <w:sz w:val="22"/>
          <w:szCs w:val="22"/>
        </w:rPr>
        <w:t>Number of figures:</w:t>
      </w:r>
      <w:r w:rsidRPr="00886520">
        <w:rPr>
          <w:rFonts w:ascii="Times New Roman" w:hAnsi="Times New Roman" w:cs="Times New Roman"/>
          <w:sz w:val="22"/>
          <w:szCs w:val="22"/>
        </w:rPr>
        <w:t xml:space="preserve"> 1</w:t>
      </w:r>
    </w:p>
    <w:p w14:paraId="60895EEA" w14:textId="77777777" w:rsidR="002C2533" w:rsidRPr="002C2533" w:rsidRDefault="002C2533" w:rsidP="002C2533">
      <w:pPr>
        <w:spacing w:line="480" w:lineRule="auto"/>
        <w:jc w:val="both"/>
        <w:rPr>
          <w:rFonts w:ascii="Times New Roman" w:hAnsi="Times New Roman" w:cs="Times New Roman"/>
          <w:b/>
          <w:sz w:val="22"/>
          <w:szCs w:val="22"/>
        </w:rPr>
      </w:pPr>
    </w:p>
    <w:p w14:paraId="110B21DC" w14:textId="77777777"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t>Keywords</w:t>
      </w:r>
      <w:r w:rsidRPr="002C2533">
        <w:rPr>
          <w:rFonts w:ascii="Times New Roman" w:hAnsi="Times New Roman" w:cs="Times New Roman"/>
          <w:sz w:val="22"/>
          <w:szCs w:val="22"/>
        </w:rPr>
        <w:t>: duodeno-jejunal bypass liner, endobarrier, gastric bypass, insulin clamp, caloric restriction, insulin resistance</w:t>
      </w:r>
    </w:p>
    <w:p w14:paraId="731EA925" w14:textId="77777777" w:rsidR="002C2533" w:rsidRPr="002C2533" w:rsidRDefault="002C2533" w:rsidP="002C2533">
      <w:pPr>
        <w:spacing w:line="480" w:lineRule="auto"/>
        <w:jc w:val="both"/>
        <w:rPr>
          <w:rFonts w:ascii="Times New Roman" w:hAnsi="Times New Roman" w:cs="Times New Roman"/>
          <w:sz w:val="22"/>
          <w:szCs w:val="22"/>
        </w:rPr>
      </w:pPr>
    </w:p>
    <w:p w14:paraId="7FE47D25" w14:textId="364602B2" w:rsidR="00B32CA1" w:rsidRPr="00B32CA1" w:rsidRDefault="00B32CA1" w:rsidP="00B32CA1">
      <w:pPr>
        <w:spacing w:line="480" w:lineRule="auto"/>
        <w:jc w:val="both"/>
        <w:rPr>
          <w:rFonts w:ascii="Times New Roman" w:hAnsi="Times New Roman" w:cs="Times New Roman"/>
          <w:b/>
          <w:sz w:val="22"/>
          <w:szCs w:val="22"/>
        </w:rPr>
      </w:pPr>
      <w:r w:rsidRPr="00B32CA1">
        <w:rPr>
          <w:rFonts w:ascii="Times New Roman" w:hAnsi="Times New Roman" w:cs="Times New Roman"/>
          <w:b/>
          <w:sz w:val="22"/>
          <w:szCs w:val="22"/>
        </w:rPr>
        <w:t>Funding</w:t>
      </w:r>
    </w:p>
    <w:p w14:paraId="53651FFB" w14:textId="55BA8F87" w:rsidR="00B32CA1" w:rsidRPr="002C2533" w:rsidRDefault="00300C25" w:rsidP="00B32CA1">
      <w:pPr>
        <w:spacing w:line="480" w:lineRule="auto"/>
        <w:jc w:val="both"/>
        <w:rPr>
          <w:rFonts w:ascii="Times New Roman" w:hAnsi="Times New Roman" w:cs="Times New Roman"/>
          <w:sz w:val="22"/>
          <w:szCs w:val="22"/>
        </w:rPr>
      </w:pPr>
      <w:r w:rsidRPr="00431598">
        <w:rPr>
          <w:rFonts w:ascii="Times New Roman" w:hAnsi="Times New Roman" w:cs="Times New Roman"/>
          <w:sz w:val="22"/>
          <w:szCs w:val="22"/>
        </w:rPr>
        <w:t>The Section of Endocrinology and Investigative Medicine is funded by grants from the MRC, BBSRC, NIHR,  an Integrative Mammalian Biology (IMB) Capacity Building Award, an FP7- HEALTH- 2009- 241592 EuroCHIP grant and is supported by the NIHR Biomedical Research Centre Funding Scheme. The views expressed are those of the author(s) and not necessarily those of the NHS, the NIHR or the Department of Health.</w:t>
      </w:r>
      <w:r w:rsidRPr="00431598">
        <w:rPr>
          <w:rFonts w:ascii="Times New Roman" w:hAnsi="Times New Roman" w:cs="Times New Roman"/>
        </w:rPr>
        <w:t>   </w:t>
      </w:r>
      <w:r w:rsidR="00B32CA1" w:rsidRPr="002C2533">
        <w:rPr>
          <w:rFonts w:ascii="Times New Roman" w:hAnsi="Times New Roman" w:cs="Times New Roman"/>
          <w:sz w:val="22"/>
          <w:szCs w:val="22"/>
        </w:rPr>
        <w:t xml:space="preserve">Alexander D. Miras has received funding from an MRC Clinical Training Fellowship, MRC Centenary Award, </w:t>
      </w:r>
      <w:r w:rsidR="00B32CA1" w:rsidRPr="002C2533">
        <w:rPr>
          <w:rFonts w:ascii="Times New Roman" w:hAnsi="Times New Roman" w:cs="Times New Roman"/>
          <w:sz w:val="22"/>
          <w:szCs w:val="22"/>
        </w:rPr>
        <w:lastRenderedPageBreak/>
        <w:t xml:space="preserve">and an NIHR Clinical Lectureship.  Carel W. le Roux has received funding from the Science Foundation Ireland (12/YI/B2480) and the Moulton Foundation UK.  </w:t>
      </w:r>
    </w:p>
    <w:p w14:paraId="7A4BE16E" w14:textId="77777777" w:rsidR="002C2533" w:rsidRPr="002C2533" w:rsidRDefault="002C2533" w:rsidP="002C2533">
      <w:pPr>
        <w:spacing w:line="480" w:lineRule="auto"/>
        <w:rPr>
          <w:rFonts w:ascii="Times New Roman" w:hAnsi="Times New Roman" w:cs="Times New Roman"/>
          <w:b/>
          <w:sz w:val="22"/>
          <w:szCs w:val="22"/>
        </w:rPr>
      </w:pPr>
    </w:p>
    <w:p w14:paraId="4C1435DE" w14:textId="4463951F" w:rsidR="002C2533" w:rsidRDefault="00B32CA1" w:rsidP="002C2533">
      <w:pPr>
        <w:spacing w:line="480" w:lineRule="auto"/>
        <w:rPr>
          <w:rFonts w:ascii="Times New Roman" w:hAnsi="Times New Roman" w:cs="Times New Roman"/>
          <w:b/>
          <w:sz w:val="22"/>
          <w:szCs w:val="22"/>
        </w:rPr>
      </w:pPr>
      <w:r>
        <w:rPr>
          <w:rFonts w:ascii="Times New Roman" w:hAnsi="Times New Roman" w:cs="Times New Roman"/>
          <w:b/>
          <w:sz w:val="22"/>
          <w:szCs w:val="22"/>
        </w:rPr>
        <w:t>Disclosures</w:t>
      </w:r>
    </w:p>
    <w:p w14:paraId="6FE1CC32" w14:textId="06D293E4" w:rsidR="00B32CA1" w:rsidRPr="00B32CA1" w:rsidRDefault="00B32CA1" w:rsidP="002C2533">
      <w:pPr>
        <w:spacing w:line="480" w:lineRule="auto"/>
        <w:rPr>
          <w:rFonts w:ascii="Times New Roman" w:hAnsi="Times New Roman" w:cs="Times New Roman"/>
          <w:sz w:val="22"/>
          <w:szCs w:val="22"/>
        </w:rPr>
      </w:pPr>
      <w:r w:rsidRPr="00B32CA1">
        <w:rPr>
          <w:rFonts w:ascii="Times New Roman" w:hAnsi="Times New Roman" w:cs="Times New Roman"/>
          <w:sz w:val="22"/>
          <w:szCs w:val="22"/>
        </w:rPr>
        <w:t>None relevant to this manuscript for any of the authors</w:t>
      </w:r>
    </w:p>
    <w:p w14:paraId="3E6357B2" w14:textId="77777777" w:rsidR="002C2533" w:rsidRPr="002C2533" w:rsidRDefault="002C2533" w:rsidP="00B46620">
      <w:pPr>
        <w:spacing w:line="480" w:lineRule="auto"/>
        <w:jc w:val="both"/>
        <w:rPr>
          <w:rFonts w:ascii="Times New Roman" w:hAnsi="Times New Roman" w:cs="Times New Roman"/>
          <w:b/>
          <w:sz w:val="22"/>
          <w:szCs w:val="22"/>
        </w:rPr>
      </w:pPr>
    </w:p>
    <w:p w14:paraId="00172651" w14:textId="77777777" w:rsidR="002C2533" w:rsidRPr="002C2533" w:rsidRDefault="002C2533">
      <w:pPr>
        <w:rPr>
          <w:rFonts w:ascii="Times New Roman" w:hAnsi="Times New Roman" w:cs="Times New Roman"/>
          <w:b/>
          <w:sz w:val="22"/>
          <w:szCs w:val="22"/>
        </w:rPr>
      </w:pPr>
      <w:r w:rsidRPr="002C2533">
        <w:rPr>
          <w:rFonts w:ascii="Times New Roman" w:hAnsi="Times New Roman" w:cs="Times New Roman"/>
          <w:b/>
          <w:sz w:val="22"/>
          <w:szCs w:val="22"/>
        </w:rPr>
        <w:br w:type="page"/>
      </w:r>
    </w:p>
    <w:p w14:paraId="53E5F975" w14:textId="1A7B1D13" w:rsidR="002C2533" w:rsidRPr="002C2533" w:rsidRDefault="002C2533" w:rsidP="002C2533">
      <w:pPr>
        <w:spacing w:line="480" w:lineRule="auto"/>
        <w:rPr>
          <w:rFonts w:ascii="Times New Roman" w:hAnsi="Times New Roman" w:cs="Times New Roman"/>
          <w:b/>
          <w:sz w:val="22"/>
          <w:szCs w:val="22"/>
        </w:rPr>
      </w:pPr>
      <w:r w:rsidRPr="002C2533">
        <w:rPr>
          <w:rFonts w:ascii="Times New Roman" w:hAnsi="Times New Roman" w:cs="Times New Roman"/>
          <w:b/>
          <w:sz w:val="22"/>
          <w:szCs w:val="22"/>
        </w:rPr>
        <w:lastRenderedPageBreak/>
        <w:t xml:space="preserve">Abstract </w:t>
      </w:r>
    </w:p>
    <w:p w14:paraId="2C49D774" w14:textId="77777777" w:rsidR="00A03077" w:rsidRDefault="00A03077" w:rsidP="002C2533">
      <w:pPr>
        <w:spacing w:line="480" w:lineRule="auto"/>
        <w:jc w:val="both"/>
        <w:rPr>
          <w:rFonts w:ascii="Times New Roman" w:hAnsi="Times New Roman" w:cs="Times New Roman"/>
          <w:sz w:val="22"/>
          <w:szCs w:val="22"/>
        </w:rPr>
      </w:pPr>
    </w:p>
    <w:p w14:paraId="3E53EEFD" w14:textId="542D3215" w:rsidR="00506593" w:rsidRPr="00506593" w:rsidRDefault="00506593" w:rsidP="00801A77">
      <w:pPr>
        <w:spacing w:line="480" w:lineRule="auto"/>
        <w:jc w:val="both"/>
        <w:rPr>
          <w:rFonts w:ascii="Times New Roman" w:hAnsi="Times New Roman" w:cs="Times New Roman"/>
          <w:b/>
          <w:sz w:val="22"/>
          <w:szCs w:val="22"/>
        </w:rPr>
      </w:pPr>
      <w:r>
        <w:rPr>
          <w:rFonts w:ascii="Times New Roman" w:hAnsi="Times New Roman" w:cs="Times New Roman"/>
          <w:b/>
          <w:sz w:val="22"/>
          <w:szCs w:val="22"/>
        </w:rPr>
        <w:t xml:space="preserve">Objective: </w:t>
      </w:r>
      <w:r w:rsidR="002C2533" w:rsidRPr="002C2533">
        <w:rPr>
          <w:rFonts w:ascii="Times New Roman" w:hAnsi="Times New Roman" w:cs="Times New Roman"/>
          <w:sz w:val="22"/>
          <w:szCs w:val="22"/>
        </w:rPr>
        <w:t xml:space="preserve">Unlike gastric banding </w:t>
      </w:r>
      <w:r w:rsidR="00300C25">
        <w:rPr>
          <w:rFonts w:ascii="Times New Roman" w:hAnsi="Times New Roman" w:cs="Times New Roman"/>
          <w:sz w:val="22"/>
          <w:szCs w:val="22"/>
        </w:rPr>
        <w:t xml:space="preserve">or sleeve gastrectomy </w:t>
      </w:r>
      <w:r w:rsidR="002C2533" w:rsidRPr="002C2533">
        <w:rPr>
          <w:rFonts w:ascii="Times New Roman" w:hAnsi="Times New Roman" w:cs="Times New Roman"/>
          <w:sz w:val="22"/>
          <w:szCs w:val="22"/>
        </w:rPr>
        <w:t xml:space="preserve">procedures, intestinal bypass procedures, and the Roux-en-Y gastric bypass (RYGB) in particular, lead to rapid improvements in glycaemia early after surgery. </w:t>
      </w:r>
      <w:r w:rsidR="00A03077">
        <w:rPr>
          <w:rFonts w:ascii="Times New Roman" w:hAnsi="Times New Roman" w:cs="Times New Roman"/>
          <w:sz w:val="22"/>
          <w:szCs w:val="22"/>
        </w:rPr>
        <w:t>T</w:t>
      </w:r>
      <w:r w:rsidR="002C2533" w:rsidRPr="002C2533">
        <w:rPr>
          <w:rFonts w:ascii="Times New Roman" w:hAnsi="Times New Roman" w:cs="Times New Roman"/>
          <w:sz w:val="22"/>
          <w:szCs w:val="22"/>
        </w:rPr>
        <w:t xml:space="preserve">he bypass of the proximal small bowel may have weight loss and even caloric restriction independent glucose-lowering properties on hepatic insulin sensitivity. In this first in humans mechanistic study, we examined this hypothesis by investigating the early effects of the </w:t>
      </w:r>
      <w:r w:rsidRPr="00B46620">
        <w:rPr>
          <w:rFonts w:ascii="Times New Roman" w:hAnsi="Times New Roman" w:cs="Times New Roman"/>
          <w:sz w:val="22"/>
          <w:szCs w:val="22"/>
        </w:rPr>
        <w:t xml:space="preserve">duodeno-jejunal bypass liner </w:t>
      </w:r>
      <w:r>
        <w:rPr>
          <w:rFonts w:ascii="Times New Roman" w:hAnsi="Times New Roman" w:cs="Times New Roman"/>
          <w:sz w:val="22"/>
          <w:szCs w:val="22"/>
        </w:rPr>
        <w:t>(DJBL</w:t>
      </w:r>
      <w:r w:rsidR="00300C25">
        <w:rPr>
          <w:rFonts w:ascii="Times New Roman" w:hAnsi="Times New Roman" w:cs="Times New Roman"/>
          <w:sz w:val="22"/>
          <w:szCs w:val="22"/>
        </w:rPr>
        <w:t xml:space="preserve">; </w:t>
      </w:r>
      <w:r w:rsidR="00300C25">
        <w:t>GI Dynamics, USA</w:t>
      </w:r>
      <w:r>
        <w:rPr>
          <w:rFonts w:ascii="Times New Roman" w:hAnsi="Times New Roman" w:cs="Times New Roman"/>
          <w:sz w:val="22"/>
          <w:szCs w:val="22"/>
        </w:rPr>
        <w:t>)</w:t>
      </w:r>
      <w:r w:rsidR="002C2533" w:rsidRPr="002C2533">
        <w:rPr>
          <w:rFonts w:ascii="Times New Roman" w:hAnsi="Times New Roman" w:cs="Times New Roman"/>
          <w:sz w:val="22"/>
          <w:szCs w:val="22"/>
        </w:rPr>
        <w:t xml:space="preserve"> on the </w:t>
      </w:r>
      <w:r w:rsidR="00A03077">
        <w:rPr>
          <w:rFonts w:ascii="Times New Roman" w:hAnsi="Times New Roman" w:cs="Times New Roman"/>
          <w:sz w:val="22"/>
          <w:szCs w:val="22"/>
        </w:rPr>
        <w:t xml:space="preserve">hepatic </w:t>
      </w:r>
      <w:r w:rsidR="002C2533" w:rsidRPr="002C2533">
        <w:rPr>
          <w:rStyle w:val="hlfld-fulltext"/>
          <w:rFonts w:ascii="Times New Roman" w:hAnsi="Times New Roman" w:cs="Times New Roman"/>
          <w:sz w:val="22"/>
          <w:szCs w:val="22"/>
        </w:rPr>
        <w:t xml:space="preserve">insulin sensitivity </w:t>
      </w:r>
      <w:r w:rsidR="002C2533" w:rsidRPr="002C2533">
        <w:rPr>
          <w:rFonts w:ascii="Times New Roman" w:hAnsi="Times New Roman" w:cs="Times New Roman"/>
          <w:sz w:val="22"/>
          <w:szCs w:val="22"/>
        </w:rPr>
        <w:t>using the gold standard euglycaemic hyperinsulinaemic clamp methodology.</w:t>
      </w:r>
      <w:r w:rsidR="00A03077">
        <w:rPr>
          <w:rFonts w:ascii="Times New Roman" w:hAnsi="Times New Roman" w:cs="Times New Roman"/>
          <w:sz w:val="22"/>
          <w:szCs w:val="22"/>
        </w:rPr>
        <w:t xml:space="preserve"> </w:t>
      </w:r>
    </w:p>
    <w:p w14:paraId="37409747" w14:textId="77777777" w:rsidR="00506593" w:rsidRDefault="00506593" w:rsidP="00801A77">
      <w:pPr>
        <w:spacing w:line="480" w:lineRule="auto"/>
        <w:jc w:val="both"/>
        <w:rPr>
          <w:rFonts w:ascii="Times New Roman" w:hAnsi="Times New Roman" w:cs="Times New Roman"/>
          <w:b/>
          <w:sz w:val="22"/>
          <w:szCs w:val="22"/>
        </w:rPr>
      </w:pPr>
    </w:p>
    <w:p w14:paraId="20948C12" w14:textId="60DE208A" w:rsidR="00506593" w:rsidRDefault="00506593" w:rsidP="00801A77">
      <w:pPr>
        <w:spacing w:line="480" w:lineRule="auto"/>
        <w:jc w:val="both"/>
        <w:rPr>
          <w:rFonts w:ascii="Times New Roman" w:hAnsi="Times New Roman" w:cs="Times New Roman"/>
          <w:sz w:val="22"/>
          <w:szCs w:val="22"/>
        </w:rPr>
      </w:pPr>
      <w:r>
        <w:rPr>
          <w:rFonts w:ascii="Times New Roman" w:hAnsi="Times New Roman" w:cs="Times New Roman"/>
          <w:b/>
          <w:sz w:val="22"/>
          <w:szCs w:val="22"/>
        </w:rPr>
        <w:t xml:space="preserve">Method: </w:t>
      </w:r>
      <w:r>
        <w:rPr>
          <w:rFonts w:ascii="Times New Roman" w:hAnsi="Times New Roman" w:cs="Times New Roman"/>
          <w:sz w:val="22"/>
          <w:szCs w:val="22"/>
        </w:rPr>
        <w:t xml:space="preserve">Seven </w:t>
      </w:r>
      <w:r w:rsidR="002C2533" w:rsidRPr="002C2533">
        <w:rPr>
          <w:rFonts w:ascii="Times New Roman" w:hAnsi="Times New Roman" w:cs="Times New Roman"/>
          <w:sz w:val="22"/>
          <w:szCs w:val="22"/>
        </w:rPr>
        <w:t xml:space="preserve">patients </w:t>
      </w:r>
      <w:r>
        <w:rPr>
          <w:rFonts w:ascii="Times New Roman" w:hAnsi="Times New Roman" w:cs="Times New Roman"/>
          <w:sz w:val="22"/>
          <w:szCs w:val="22"/>
        </w:rPr>
        <w:t xml:space="preserve">with obesity </w:t>
      </w:r>
      <w:r w:rsidR="002C2533" w:rsidRPr="002C2533">
        <w:rPr>
          <w:rFonts w:ascii="Times New Roman" w:hAnsi="Times New Roman" w:cs="Times New Roman"/>
          <w:sz w:val="22"/>
          <w:szCs w:val="22"/>
        </w:rPr>
        <w:t xml:space="preserve">underwent measurement of </w:t>
      </w:r>
      <w:r w:rsidR="00A03077">
        <w:rPr>
          <w:rFonts w:ascii="Times New Roman" w:hAnsi="Times New Roman" w:cs="Times New Roman"/>
          <w:sz w:val="22"/>
          <w:szCs w:val="22"/>
        </w:rPr>
        <w:t xml:space="preserve">hepatic insulin sensitivity </w:t>
      </w:r>
      <w:r w:rsidR="002C2533" w:rsidRPr="002C2533">
        <w:rPr>
          <w:rFonts w:ascii="Times New Roman" w:hAnsi="Times New Roman" w:cs="Times New Roman"/>
          <w:sz w:val="22"/>
          <w:szCs w:val="22"/>
        </w:rPr>
        <w:t xml:space="preserve">at baseline, one week after a low-calorie liquid diet and after a further one week following insertion of the </w:t>
      </w:r>
      <w:r w:rsidRPr="002C2533">
        <w:rPr>
          <w:rFonts w:ascii="Times New Roman" w:hAnsi="Times New Roman" w:cs="Times New Roman"/>
          <w:sz w:val="22"/>
          <w:szCs w:val="22"/>
        </w:rPr>
        <w:t>DJBL whilst on the same diet.</w:t>
      </w:r>
    </w:p>
    <w:p w14:paraId="43F846E0" w14:textId="77777777" w:rsidR="00506593" w:rsidRDefault="00506593" w:rsidP="00801A77">
      <w:pPr>
        <w:spacing w:line="480" w:lineRule="auto"/>
        <w:jc w:val="both"/>
        <w:rPr>
          <w:rFonts w:ascii="Times New Roman" w:hAnsi="Times New Roman" w:cs="Times New Roman"/>
          <w:b/>
          <w:sz w:val="22"/>
          <w:szCs w:val="22"/>
        </w:rPr>
      </w:pPr>
    </w:p>
    <w:p w14:paraId="6EAC78A3" w14:textId="477846E6" w:rsidR="00506593" w:rsidRPr="00506593" w:rsidRDefault="00506593" w:rsidP="00801A77">
      <w:pPr>
        <w:spacing w:line="480" w:lineRule="auto"/>
        <w:jc w:val="both"/>
        <w:rPr>
          <w:rFonts w:ascii="Times New Roman" w:hAnsi="Times New Roman" w:cs="Times New Roman"/>
          <w:b/>
          <w:sz w:val="22"/>
          <w:szCs w:val="22"/>
        </w:rPr>
      </w:pPr>
      <w:r w:rsidRPr="00506593">
        <w:rPr>
          <w:rFonts w:ascii="Times New Roman" w:hAnsi="Times New Roman" w:cs="Times New Roman"/>
          <w:b/>
          <w:sz w:val="22"/>
          <w:szCs w:val="22"/>
        </w:rPr>
        <w:t>Results</w:t>
      </w:r>
      <w:r>
        <w:rPr>
          <w:rFonts w:ascii="Times New Roman" w:hAnsi="Times New Roman" w:cs="Times New Roman"/>
          <w:b/>
          <w:sz w:val="22"/>
          <w:szCs w:val="22"/>
        </w:rPr>
        <w:t xml:space="preserve">: </w:t>
      </w:r>
      <w:r w:rsidR="002C2533" w:rsidRPr="002C2533">
        <w:rPr>
          <w:rFonts w:ascii="Times New Roman" w:hAnsi="Times New Roman" w:cs="Times New Roman"/>
          <w:sz w:val="22"/>
          <w:szCs w:val="22"/>
        </w:rPr>
        <w:t xml:space="preserve">DJBL did not improve the insulin sensitivity of </w:t>
      </w:r>
      <w:r w:rsidR="00C63413">
        <w:rPr>
          <w:rFonts w:ascii="Times New Roman" w:hAnsi="Times New Roman" w:cs="Times New Roman"/>
          <w:sz w:val="22"/>
          <w:szCs w:val="22"/>
        </w:rPr>
        <w:t>hepatic glucose production (</w:t>
      </w:r>
      <w:r w:rsidR="002C2533" w:rsidRPr="002C2533">
        <w:rPr>
          <w:rFonts w:ascii="Times New Roman" w:hAnsi="Times New Roman" w:cs="Times New Roman"/>
          <w:sz w:val="22"/>
          <w:szCs w:val="22"/>
        </w:rPr>
        <w:t>HGP</w:t>
      </w:r>
      <w:r w:rsidR="00C63413">
        <w:rPr>
          <w:rFonts w:ascii="Times New Roman" w:hAnsi="Times New Roman" w:cs="Times New Roman"/>
          <w:sz w:val="22"/>
          <w:szCs w:val="22"/>
        </w:rPr>
        <w:t>)</w:t>
      </w:r>
      <w:r w:rsidR="002C2533" w:rsidRPr="002C2533">
        <w:rPr>
          <w:rFonts w:ascii="Times New Roman" w:hAnsi="Times New Roman" w:cs="Times New Roman"/>
          <w:sz w:val="22"/>
          <w:szCs w:val="22"/>
        </w:rPr>
        <w:t xml:space="preserve"> beyond the improvements achieved with caloric restriction.</w:t>
      </w:r>
      <w:r w:rsidR="00A03077">
        <w:rPr>
          <w:rFonts w:ascii="Times New Roman" w:hAnsi="Times New Roman" w:cs="Times New Roman"/>
          <w:sz w:val="22"/>
          <w:szCs w:val="22"/>
        </w:rPr>
        <w:t xml:space="preserve"> </w:t>
      </w:r>
    </w:p>
    <w:p w14:paraId="26C3CF2D" w14:textId="77777777" w:rsidR="00506593" w:rsidRDefault="00506593" w:rsidP="00801A77">
      <w:pPr>
        <w:spacing w:line="480" w:lineRule="auto"/>
        <w:jc w:val="both"/>
        <w:rPr>
          <w:rFonts w:ascii="Times New Roman" w:hAnsi="Times New Roman" w:cs="Times New Roman"/>
          <w:b/>
          <w:sz w:val="22"/>
          <w:szCs w:val="22"/>
        </w:rPr>
      </w:pPr>
    </w:p>
    <w:p w14:paraId="33BCF0CD" w14:textId="574AEE6E" w:rsidR="002C2533" w:rsidRPr="00506593" w:rsidRDefault="00506593" w:rsidP="00801A77">
      <w:pPr>
        <w:spacing w:line="480" w:lineRule="auto"/>
        <w:jc w:val="both"/>
        <w:rPr>
          <w:rFonts w:ascii="Times New Roman" w:hAnsi="Times New Roman" w:cs="Times New Roman"/>
          <w:b/>
          <w:sz w:val="22"/>
          <w:szCs w:val="22"/>
        </w:rPr>
      </w:pPr>
      <w:r>
        <w:rPr>
          <w:rFonts w:ascii="Times New Roman" w:hAnsi="Times New Roman" w:cs="Times New Roman"/>
          <w:b/>
          <w:sz w:val="22"/>
          <w:szCs w:val="22"/>
        </w:rPr>
        <w:t xml:space="preserve">Conclusions: </w:t>
      </w:r>
      <w:r w:rsidR="00A03077">
        <w:rPr>
          <w:rFonts w:ascii="Times New Roman" w:hAnsi="Times New Roman" w:cs="Times New Roman"/>
          <w:sz w:val="22"/>
          <w:szCs w:val="22"/>
        </w:rPr>
        <w:t>C</w:t>
      </w:r>
      <w:r w:rsidR="002C2533" w:rsidRPr="002C2533">
        <w:rPr>
          <w:rFonts w:ascii="Times New Roman" w:hAnsi="Times New Roman" w:cs="Times New Roman"/>
          <w:sz w:val="22"/>
          <w:szCs w:val="22"/>
        </w:rPr>
        <w:t>aloric restriction may be the predominant driver of early increases in hepatic insulin sensitivity after the</w:t>
      </w:r>
      <w:r w:rsidR="009F354E">
        <w:rPr>
          <w:rFonts w:ascii="Times New Roman" w:hAnsi="Times New Roman" w:cs="Times New Roman"/>
          <w:sz w:val="22"/>
          <w:szCs w:val="22"/>
        </w:rPr>
        <w:t xml:space="preserve"> endoscopic</w:t>
      </w:r>
      <w:r w:rsidR="002C2533" w:rsidRPr="002C2533">
        <w:rPr>
          <w:rFonts w:ascii="Times New Roman" w:hAnsi="Times New Roman" w:cs="Times New Roman"/>
          <w:sz w:val="22"/>
          <w:szCs w:val="22"/>
        </w:rPr>
        <w:t xml:space="preserve"> bypass of the proximal small bowel. The same mechanism may be at play after RYGB and explain, at least in part, the rapid improvements in glycaemia.</w:t>
      </w:r>
      <w:r w:rsidR="002C2533" w:rsidRPr="002C2533">
        <w:rPr>
          <w:rFonts w:ascii="Times New Roman" w:hAnsi="Times New Roman" w:cs="Times New Roman"/>
          <w:b/>
        </w:rPr>
        <w:br w:type="page"/>
      </w:r>
    </w:p>
    <w:p w14:paraId="726EB426"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b/>
          <w:sz w:val="22"/>
          <w:szCs w:val="22"/>
        </w:rPr>
        <w:lastRenderedPageBreak/>
        <w:t>INTRODUCTION</w:t>
      </w:r>
    </w:p>
    <w:p w14:paraId="1C02012E" w14:textId="188285A1"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Bariatric surgery is the most effective treatme</w:t>
      </w:r>
      <w:r w:rsidR="00B22B0E">
        <w:rPr>
          <w:rFonts w:ascii="Times New Roman" w:hAnsi="Times New Roman" w:cs="Times New Roman"/>
          <w:sz w:val="22"/>
          <w:szCs w:val="22"/>
        </w:rPr>
        <w:t xml:space="preserve">nt for glucose control in </w:t>
      </w:r>
      <w:r w:rsidRPr="002C2533">
        <w:rPr>
          <w:rFonts w:ascii="Times New Roman" w:hAnsi="Times New Roman" w:cs="Times New Roman"/>
          <w:sz w:val="22"/>
          <w:szCs w:val="22"/>
        </w:rPr>
        <w:t>type 2 diabetes mellitus patients</w:t>
      </w:r>
      <w:r w:rsidR="00B22B0E">
        <w:rPr>
          <w:rFonts w:ascii="Times New Roman" w:hAnsi="Times New Roman" w:cs="Times New Roman"/>
          <w:sz w:val="22"/>
          <w:szCs w:val="22"/>
        </w:rPr>
        <w:t xml:space="preserve"> with obesity</w:t>
      </w:r>
      <w:r w:rsidRPr="002C2533">
        <w:rPr>
          <w:rFonts w:ascii="Times New Roman" w:hAnsi="Times New Roman" w:cs="Times New Roman"/>
          <w:sz w:val="22"/>
          <w:szCs w:val="22"/>
        </w:rPr>
        <w:t xml:space="preserve"> (e.g.</w:t>
      </w:r>
      <w:r w:rsidR="005536FC">
        <w:rPr>
          <w:rFonts w:ascii="Times New Roman" w:hAnsi="Times New Roman" w:cs="Times New Roman"/>
          <w:sz w:val="22"/>
          <w:szCs w:val="22"/>
        </w:rPr>
        <w:t xml:space="preserve"> </w:t>
      </w:r>
      <w:r w:rsidR="0096461E">
        <w:rPr>
          <w:rFonts w:ascii="Times New Roman" w:hAnsi="Times New Roman" w:cs="Times New Roman"/>
          <w:sz w:val="22"/>
          <w:szCs w:val="22"/>
        </w:rPr>
        <w:fldChar w:fldCharType="begin"/>
      </w:r>
      <w:r w:rsidR="00B32CA1">
        <w:rPr>
          <w:rFonts w:ascii="Times New Roman" w:hAnsi="Times New Roman" w:cs="Times New Roman"/>
          <w:sz w:val="22"/>
          <w:szCs w:val="22"/>
        </w:rPr>
        <w:instrText xml:space="preserve"> ADDIN EN.CITE &lt;EndNote&gt;&lt;Cite&gt;&lt;Author&gt;Mingrone&lt;/Author&gt;&lt;Year&gt;2012&lt;/Year&gt;&lt;RecNum&gt;417&lt;/RecNum&gt;&lt;DisplayText&gt;(1)&lt;/DisplayText&gt;&lt;record&gt;&lt;rec-number&gt;417&lt;/rec-number&gt;&lt;foreign-keys&gt;&lt;key app="EN" db-id="pr5z5wtv80t5xoex59tptpftdfs5rrtaaf9e" timestamp="0"&gt;417&lt;/key&gt;&lt;/foreign-keys&gt;&lt;ref-type name="Journal Article"&gt;17&lt;/ref-type&gt;&lt;contributors&gt;&lt;authors&gt;&lt;author&gt;Mingrone, G.&lt;/author&gt;&lt;author&gt;Panunzi, S.&lt;/author&gt;&lt;author&gt;De Gaetano, A.&lt;/author&gt;&lt;author&gt;Guidone, C.&lt;/author&gt;&lt;author&gt;Iaconelli, A.&lt;/author&gt;&lt;author&gt;Leccesi, L.&lt;/author&gt;&lt;author&gt;Nanni, G.&lt;/author&gt;&lt;author&gt;Pomp, A.&lt;/author&gt;&lt;author&gt;Castagneto, M.&lt;/author&gt;&lt;author&gt;Ghirlanda, G.&lt;/author&gt;&lt;author&gt;Rubino, F.&lt;/author&gt;&lt;/authors&gt;&lt;/contributors&gt;&lt;auth-address&gt;From the Departments of Internal Medicine (G.M., C.G., A.I., L.L., G.G.) and Surgery (G.N., M.C., F.R.), Universita Cattolica S. Cuore; and National Research Council of Italy-Institute of Systems Analysis and Computer Science (IASI), BioMatLab (S.P., A.D.G.) - both in Rome; and the Section of Gastrointestinal Metabolic Surgery, Weill Medical College of Cornell University, New York Presbyterian Hospital, New York (A.P., F.R.).&lt;/auth-address&gt;&lt;titles&gt;&lt;title&gt;Bariatric Surgery versus Conventional Medical Therapy for Type 2 Diabetes&lt;/title&gt;&lt;secondary-title&gt;N Engl J Med&lt;/secondary-title&gt;&lt;/titles&gt;&lt;periodical&gt;&lt;full-title&gt;N Engl J Med&lt;/full-title&gt;&lt;/periodical&gt;&lt;edition&gt;2012/03/28&lt;/edition&gt;&lt;dates&gt;&lt;year&gt;2012&lt;/year&gt;&lt;pub-dates&gt;&lt;date&gt;Mar 26&lt;/date&gt;&lt;/pub-dates&gt;&lt;/dates&gt;&lt;isbn&gt;1533-4406 (Electronic)&amp;#xD;0028-4793 (Linking)&lt;/isbn&gt;&lt;accession-num&gt;22449317&lt;/accession-num&gt;&lt;urls&gt;&lt;/urls&gt;&lt;electronic-resource-num&gt;10.1056/NEJMoa1200111&lt;/electronic-resource-num&gt;&lt;remote-database-provider&gt;NLM&lt;/remote-database-provider&gt;&lt;language&gt;Eng&lt;/language&gt;&lt;/record&gt;&lt;/Cite&gt;&lt;/EndNote&gt;</w:instrText>
      </w:r>
      <w:r w:rsidR="0096461E">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1" w:tooltip="Mingrone, 2012 #417" w:history="1">
        <w:r w:rsidR="00B32CA1">
          <w:rPr>
            <w:rFonts w:ascii="Times New Roman" w:hAnsi="Times New Roman" w:cs="Times New Roman"/>
            <w:noProof/>
            <w:sz w:val="22"/>
            <w:szCs w:val="22"/>
          </w:rPr>
          <w:t>1</w:t>
        </w:r>
      </w:hyperlink>
      <w:r w:rsidR="00B32CA1">
        <w:rPr>
          <w:rFonts w:ascii="Times New Roman" w:hAnsi="Times New Roman" w:cs="Times New Roman"/>
          <w:noProof/>
          <w:sz w:val="22"/>
          <w:szCs w:val="22"/>
        </w:rPr>
        <w:t>)</w:t>
      </w:r>
      <w:r w:rsidR="0096461E">
        <w:rPr>
          <w:rFonts w:ascii="Times New Roman" w:hAnsi="Times New Roman" w:cs="Times New Roman"/>
          <w:sz w:val="22"/>
          <w:szCs w:val="22"/>
        </w:rPr>
        <w:fldChar w:fldCharType="end"/>
      </w:r>
      <w:r w:rsidRPr="002C2533">
        <w:rPr>
          <w:rFonts w:ascii="Times New Roman" w:hAnsi="Times New Roman" w:cs="Times New Roman"/>
          <w:sz w:val="22"/>
          <w:szCs w:val="22"/>
        </w:rPr>
        <w:t>). Unlike gastric banding procedures, intestinal bypass procedures, and the Roux-en-Y gastric bypass (RYGB) in particular, lead to rapid improvements in glycaemia early after surgery</w:t>
      </w:r>
      <w:r w:rsidR="005536FC">
        <w:rPr>
          <w:rFonts w:ascii="Times New Roman" w:hAnsi="Times New Roman" w:cs="Times New Roman"/>
          <w:sz w:val="22"/>
          <w:szCs w:val="22"/>
        </w:rPr>
        <w:t xml:space="preserve"> </w:t>
      </w:r>
      <w:r w:rsidR="0096461E">
        <w:rPr>
          <w:rFonts w:ascii="Times New Roman" w:hAnsi="Times New Roman" w:cs="Times New Roman"/>
          <w:sz w:val="22"/>
          <w:szCs w:val="22"/>
        </w:rPr>
        <w:fldChar w:fldCharType="begin"/>
      </w:r>
      <w:r w:rsidR="00B32CA1">
        <w:rPr>
          <w:rFonts w:ascii="Times New Roman" w:hAnsi="Times New Roman" w:cs="Times New Roman"/>
          <w:sz w:val="22"/>
          <w:szCs w:val="22"/>
        </w:rPr>
        <w:instrText xml:space="preserve"> ADDIN EN.CITE &lt;EndNote&gt;&lt;Cite&gt;&lt;Author&gt;Pournaras&lt;/Author&gt;&lt;Year&gt;2010&lt;/Year&gt;&lt;RecNum&gt;1106&lt;/RecNum&gt;&lt;DisplayText&gt;(2)&lt;/DisplayText&gt;&lt;record&gt;&lt;rec-number&gt;1106&lt;/rec-number&gt;&lt;foreign-keys&gt;&lt;key app="EN" db-id="pr5z5wtv80t5xoex59tptpftdfs5rrtaaf9e" timestamp="1389896581"&gt;1106&lt;/key&gt;&lt;/foreign-keys&gt;&lt;ref-type name="Journal Article"&gt;17&lt;/ref-type&gt;&lt;contributors&gt;&lt;authors&gt;&lt;author&gt;Pournaras, D. J.&lt;/author&gt;&lt;author&gt;Osborne, A.&lt;/author&gt;&lt;author&gt;Hawkins, S. C.&lt;/author&gt;&lt;author&gt;Vincent, R. P.&lt;/author&gt;&lt;author&gt;Mahon, D.&lt;/author&gt;&lt;author&gt;Ewings, P.&lt;/author&gt;&lt;author&gt;Ghatei, M. A.&lt;/author&gt;&lt;author&gt;Bloom, S. R.&lt;/author&gt;&lt;author&gt;Welbourn, R.&lt;/author&gt;&lt;author&gt;le Roux, C. W.&lt;/author&gt;&lt;/authors&gt;&lt;/contributors&gt;&lt;auth-address&gt;Department of Bariatric Surgery, Musgrove Park Hospital, Taunton, Somerset, UK.&lt;/auth-address&gt;&lt;titles&gt;&lt;title&gt;Remission of type 2 diabetes after gastric bypass and banding: mechanisms and 2 year outcomes&lt;/title&gt;&lt;secondary-title&gt;Ann Surg&lt;/secondary-title&gt;&lt;/titles&gt;&lt;periodical&gt;&lt;full-title&gt;Ann Surg&lt;/full-title&gt;&lt;/periodical&gt;&lt;pages&gt;966-71&lt;/pages&gt;&lt;volume&gt;252&lt;/volume&gt;&lt;number&gt;6&lt;/number&gt;&lt;edition&gt;2010/11/26&lt;/edition&gt;&lt;keywords&gt;&lt;keyword&gt;Adult&lt;/keyword&gt;&lt;keyword&gt;Blood Glucose&lt;/keyword&gt;&lt;keyword&gt;Diabetes Mellitus, Type 2/blood/complications/ surgery&lt;/keyword&gt;&lt;keyword&gt;Gastric Bypass&lt;/keyword&gt;&lt;keyword&gt;Gastroplasty&lt;/keyword&gt;&lt;keyword&gt;Hemoglobin A, Glycosylated&lt;/keyword&gt;&lt;keyword&gt;Humans&lt;/keyword&gt;&lt;keyword&gt;Middle Aged&lt;/keyword&gt;&lt;keyword&gt;Obesity, Morbid/complications/ surgery&lt;/keyword&gt;&lt;keyword&gt;Remission Induction&lt;/keyword&gt;&lt;keyword&gt;Treatment Outcome&lt;/keyword&gt;&lt;/keywords&gt;&lt;dates&gt;&lt;year&gt;2010&lt;/year&gt;&lt;pub-dates&gt;&lt;date&gt;Dec&lt;/date&gt;&lt;/pub-dates&gt;&lt;/dates&gt;&lt;isbn&gt;1528-1140 (Electronic)&amp;#xD;0003-4932 (Linking)&lt;/isbn&gt;&lt;accession-num&gt;21107106&lt;/accession-num&gt;&lt;urls&gt;&lt;/urls&gt;&lt;electronic-resource-num&gt;10.1097/SLA.0b013e3181efc49a&lt;/electronic-resource-num&gt;&lt;remote-database-provider&gt;NLM&lt;/remote-database-provider&gt;&lt;language&gt;eng&lt;/language&gt;&lt;/record&gt;&lt;/Cite&gt;&lt;/EndNote&gt;</w:instrText>
      </w:r>
      <w:r w:rsidR="0096461E">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2" w:tooltip="Pournaras, 2010 #1106" w:history="1">
        <w:r w:rsidR="00B32CA1">
          <w:rPr>
            <w:rFonts w:ascii="Times New Roman" w:hAnsi="Times New Roman" w:cs="Times New Roman"/>
            <w:noProof/>
            <w:sz w:val="22"/>
            <w:szCs w:val="22"/>
          </w:rPr>
          <w:t>2</w:t>
        </w:r>
      </w:hyperlink>
      <w:r w:rsidR="00B32CA1">
        <w:rPr>
          <w:rFonts w:ascii="Times New Roman" w:hAnsi="Times New Roman" w:cs="Times New Roman"/>
          <w:noProof/>
          <w:sz w:val="22"/>
          <w:szCs w:val="22"/>
        </w:rPr>
        <w:t>)</w:t>
      </w:r>
      <w:r w:rsidR="0096461E">
        <w:rPr>
          <w:rFonts w:ascii="Times New Roman" w:hAnsi="Times New Roman" w:cs="Times New Roman"/>
          <w:sz w:val="22"/>
          <w:szCs w:val="22"/>
        </w:rPr>
        <w:fldChar w:fldCharType="end"/>
      </w:r>
      <w:r w:rsidRPr="002C2533">
        <w:rPr>
          <w:rFonts w:ascii="Times New Roman" w:hAnsi="Times New Roman" w:cs="Times New Roman"/>
          <w:sz w:val="22"/>
          <w:szCs w:val="22"/>
        </w:rPr>
        <w:t xml:space="preserve">. Duodeno-jejunal bypass surgery in non-obese streptozotocin-induced diabetic rats reduced plasma glucose and hepatic insulin sensitivity within two days of surgery, independent </w:t>
      </w:r>
      <w:r w:rsidR="005536FC">
        <w:rPr>
          <w:rFonts w:ascii="Times New Roman" w:hAnsi="Times New Roman" w:cs="Times New Roman"/>
          <w:sz w:val="22"/>
          <w:szCs w:val="22"/>
        </w:rPr>
        <w:t xml:space="preserve">of changes in caloric intake </w:t>
      </w:r>
      <w:r w:rsidR="0096461E">
        <w:rPr>
          <w:rFonts w:ascii="Times New Roman" w:hAnsi="Times New Roman" w:cs="Times New Roman"/>
          <w:sz w:val="22"/>
          <w:szCs w:val="22"/>
        </w:rPr>
        <w:fldChar w:fldCharType="begin"/>
      </w:r>
      <w:r w:rsidR="00B32CA1">
        <w:rPr>
          <w:rFonts w:ascii="Times New Roman" w:hAnsi="Times New Roman" w:cs="Times New Roman"/>
          <w:sz w:val="22"/>
          <w:szCs w:val="22"/>
        </w:rPr>
        <w:instrText xml:space="preserve"> ADDIN EN.CITE &lt;EndNote&gt;&lt;Cite&gt;&lt;Author&gt;Breen&lt;/Author&gt;&lt;Year&gt;2012&lt;/Year&gt;&lt;RecNum&gt;93&lt;/RecNum&gt;&lt;DisplayText&gt;(3)&lt;/DisplayText&gt;&lt;record&gt;&lt;rec-number&gt;93&lt;/rec-number&gt;&lt;foreign-keys&gt;&lt;key app="EN" db-id="pr5z5wtv80t5xoex59tptpftdfs5rrtaaf9e" timestamp="0"&gt;93&lt;/key&gt;&lt;/foreign-keys&gt;&lt;ref-type name="Journal Article"&gt;17&lt;/ref-type&gt;&lt;contributors&gt;&lt;authors&gt;&lt;author&gt;Breen, D. M.&lt;/author&gt;&lt;author&gt;Rasmussen, B. A.&lt;/author&gt;&lt;author&gt;Kokorovic, A.&lt;/author&gt;&lt;author&gt;Wang, R.&lt;/author&gt;&lt;author&gt;Cheung, G. W.&lt;/author&gt;&lt;author&gt;Lam, T. K.&lt;/author&gt;&lt;/authors&gt;&lt;/contributors&gt;&lt;auth-address&gt;Toronto General Research Institute, University Health Network, Toronto, Ontario, Canada.&lt;/auth-address&gt;&lt;titles&gt;&lt;title&gt;Jejunal nutrient sensing is required for duodenal-jejunal bypass surgery to rapidly lower glucose concentrations in uncontrolled diabetes&lt;/title&gt;&lt;secondary-title&gt;Nat Med&lt;/secondary-title&gt;&lt;/titles&gt;&lt;periodical&gt;&lt;full-title&gt;Nat Med&lt;/full-title&gt;&lt;abbr-1&gt;Nature medicine&lt;/abbr-1&gt;&lt;/periodical&gt;&lt;pages&gt;950-5&lt;/pages&gt;&lt;volume&gt;18&lt;/volume&gt;&lt;number&gt;6&lt;/number&gt;&lt;edition&gt;2012/05/23&lt;/edition&gt;&lt;keywords&gt;&lt;keyword&gt;Animals&lt;/keyword&gt;&lt;keyword&gt;Blood Glucose/ analysis&lt;/keyword&gt;&lt;keyword&gt;Diabetes Mellitus, Experimental/blood/ surgery&lt;/keyword&gt;&lt;keyword&gt;Duodenum/ surgery&lt;/keyword&gt;&lt;keyword&gt;Gastric Bypass&lt;/keyword&gt;&lt;keyword&gt;Jejunum/ surgery&lt;/keyword&gt;&lt;keyword&gt;Male&lt;/keyword&gt;&lt;keyword&gt;Rats&lt;/keyword&gt;&lt;keyword&gt;Rats, Sprague-Dawley&lt;/keyword&gt;&lt;keyword&gt;Streptozocin&lt;/keyword&gt;&lt;/keywords&gt;&lt;dates&gt;&lt;year&gt;2012&lt;/year&gt;&lt;pub-dates&gt;&lt;date&gt;Jun&lt;/date&gt;&lt;/pub-dates&gt;&lt;/dates&gt;&lt;isbn&gt;1546-170X (Electronic)&amp;#xD;1078-8956 (Linking)&lt;/isbn&gt;&lt;accession-num&gt;22610279&lt;/accession-num&gt;&lt;urls&gt;&lt;/urls&gt;&lt;electronic-resource-num&gt;10.1038/nm.2745&lt;/electronic-resource-num&gt;&lt;remote-database-provider&gt;NLM&lt;/remote-database-provider&gt;&lt;language&gt;eng&lt;/language&gt;&lt;/record&gt;&lt;/Cite&gt;&lt;/EndNote&gt;</w:instrText>
      </w:r>
      <w:r w:rsidR="0096461E">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3" w:tooltip="Breen, 2012 #93" w:history="1">
        <w:r w:rsidR="00B32CA1">
          <w:rPr>
            <w:rFonts w:ascii="Times New Roman" w:hAnsi="Times New Roman" w:cs="Times New Roman"/>
            <w:noProof/>
            <w:sz w:val="22"/>
            <w:szCs w:val="22"/>
          </w:rPr>
          <w:t>3</w:t>
        </w:r>
      </w:hyperlink>
      <w:r w:rsidR="00B32CA1">
        <w:rPr>
          <w:rFonts w:ascii="Times New Roman" w:hAnsi="Times New Roman" w:cs="Times New Roman"/>
          <w:noProof/>
          <w:sz w:val="22"/>
          <w:szCs w:val="22"/>
        </w:rPr>
        <w:t>)</w:t>
      </w:r>
      <w:r w:rsidR="0096461E">
        <w:rPr>
          <w:rFonts w:ascii="Times New Roman" w:hAnsi="Times New Roman" w:cs="Times New Roman"/>
          <w:sz w:val="22"/>
          <w:szCs w:val="22"/>
        </w:rPr>
        <w:fldChar w:fldCharType="end"/>
      </w:r>
      <w:r w:rsidRPr="002C2533">
        <w:rPr>
          <w:rFonts w:ascii="Times New Roman" w:hAnsi="Times New Roman" w:cs="Times New Roman"/>
          <w:sz w:val="22"/>
          <w:szCs w:val="22"/>
        </w:rPr>
        <w:t xml:space="preserve">. In addition, we and others have previously shown that one week after </w:t>
      </w:r>
      <w:r w:rsidR="00801A77">
        <w:rPr>
          <w:rFonts w:ascii="Times New Roman" w:hAnsi="Times New Roman" w:cs="Times New Roman"/>
          <w:sz w:val="22"/>
          <w:szCs w:val="22"/>
        </w:rPr>
        <w:t xml:space="preserve">the endoscopic implantation of the </w:t>
      </w:r>
      <w:r w:rsidRPr="002C2533">
        <w:rPr>
          <w:rFonts w:ascii="Times New Roman" w:hAnsi="Times New Roman" w:cs="Times New Roman"/>
          <w:sz w:val="22"/>
          <w:szCs w:val="22"/>
        </w:rPr>
        <w:t>duodeno-je</w:t>
      </w:r>
      <w:r w:rsidR="00801A77">
        <w:rPr>
          <w:rFonts w:ascii="Times New Roman" w:hAnsi="Times New Roman" w:cs="Times New Roman"/>
          <w:sz w:val="22"/>
          <w:szCs w:val="22"/>
        </w:rPr>
        <w:t xml:space="preserve">junal bypass liner (DJBL) </w:t>
      </w:r>
      <w:r w:rsidRPr="002C2533">
        <w:rPr>
          <w:rFonts w:ascii="Times New Roman" w:hAnsi="Times New Roman" w:cs="Times New Roman"/>
          <w:sz w:val="22"/>
          <w:szCs w:val="22"/>
        </w:rPr>
        <w:t xml:space="preserve">in humans, fasting and post-prandial glucose, but not insulin, concentrations </w:t>
      </w:r>
      <w:r w:rsidR="005536FC">
        <w:rPr>
          <w:rFonts w:ascii="Times New Roman" w:hAnsi="Times New Roman" w:cs="Times New Roman"/>
          <w:sz w:val="22"/>
          <w:szCs w:val="22"/>
        </w:rPr>
        <w:t xml:space="preserve">are significantly reduced </w:t>
      </w:r>
      <w:r w:rsidR="005536FC">
        <w:rPr>
          <w:rFonts w:ascii="Times New Roman" w:hAnsi="Times New Roman" w:cs="Times New Roman"/>
          <w:sz w:val="22"/>
          <w:szCs w:val="22"/>
        </w:rPr>
        <w:fldChar w:fldCharType="begin">
          <w:fldData xml:space="preserve">PEVuZE5vdGU+PENpdGU+PEF1dGhvcj5Db2hlbjwvQXV0aG9yPjxZZWFyPjIwMTM8L1llYXI+PFJl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</w:fldData>
        </w:fldChar>
      </w:r>
      <w:r w:rsidR="00B32CA1">
        <w:rPr>
          <w:rFonts w:ascii="Times New Roman" w:hAnsi="Times New Roman" w:cs="Times New Roman"/>
          <w:sz w:val="22"/>
          <w:szCs w:val="22"/>
        </w:rPr>
        <w:instrText xml:space="preserve"> ADDIN EN.CITE </w:instrText>
      </w:r>
      <w:r w:rsidR="00B32CA1">
        <w:rPr>
          <w:rFonts w:ascii="Times New Roman" w:hAnsi="Times New Roman" w:cs="Times New Roman"/>
          <w:sz w:val="22"/>
          <w:szCs w:val="22"/>
        </w:rPr>
        <w:fldChar w:fldCharType="begin">
          <w:fldData xml:space="preserve">PEVuZE5vdGU+PENpdGU+PEF1dGhvcj5Db2hlbjwvQXV0aG9yPjxZZWFyPjIwMTM8L1llYXI+PFJl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</w:fldData>
        </w:fldChar>
      </w:r>
      <w:r w:rsidR="00B32CA1">
        <w:rPr>
          <w:rFonts w:ascii="Times New Roman" w:hAnsi="Times New Roman" w:cs="Times New Roman"/>
          <w:sz w:val="22"/>
          <w:szCs w:val="22"/>
        </w:rPr>
        <w:instrText xml:space="preserve"> ADDIN EN.CITE.DATA </w:instrText>
      </w:r>
      <w:r w:rsidR="00B32CA1">
        <w:rPr>
          <w:rFonts w:ascii="Times New Roman" w:hAnsi="Times New Roman" w:cs="Times New Roman"/>
          <w:sz w:val="22"/>
          <w:szCs w:val="22"/>
        </w:rPr>
      </w:r>
      <w:r w:rsidR="00B32CA1">
        <w:rPr>
          <w:rFonts w:ascii="Times New Roman" w:hAnsi="Times New Roman" w:cs="Times New Roman"/>
          <w:sz w:val="22"/>
          <w:szCs w:val="22"/>
        </w:rPr>
        <w:fldChar w:fldCharType="end"/>
      </w:r>
      <w:r w:rsidR="005536FC">
        <w:rPr>
          <w:rFonts w:ascii="Times New Roman" w:hAnsi="Times New Roman" w:cs="Times New Roman"/>
          <w:sz w:val="22"/>
          <w:szCs w:val="22"/>
        </w:rPr>
      </w:r>
      <w:r w:rsidR="005536FC">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4" w:tooltip="Cohen, 2013 #1115" w:history="1">
        <w:r w:rsidR="00B32CA1">
          <w:rPr>
            <w:rFonts w:ascii="Times New Roman" w:hAnsi="Times New Roman" w:cs="Times New Roman"/>
            <w:noProof/>
            <w:sz w:val="22"/>
            <w:szCs w:val="22"/>
          </w:rPr>
          <w:t>4</w:t>
        </w:r>
      </w:hyperlink>
      <w:r w:rsidR="00B32CA1">
        <w:rPr>
          <w:rFonts w:ascii="Times New Roman" w:hAnsi="Times New Roman" w:cs="Times New Roman"/>
          <w:noProof/>
          <w:sz w:val="22"/>
          <w:szCs w:val="22"/>
        </w:rPr>
        <w:t xml:space="preserve">, </w:t>
      </w:r>
      <w:hyperlink w:anchor="_ENREF_5" w:tooltip="de Jonge, 2013 #515" w:history="1">
        <w:r w:rsidR="00B32CA1">
          <w:rPr>
            <w:rFonts w:ascii="Times New Roman" w:hAnsi="Times New Roman" w:cs="Times New Roman"/>
            <w:noProof/>
            <w:sz w:val="22"/>
            <w:szCs w:val="22"/>
          </w:rPr>
          <w:t>5</w:t>
        </w:r>
      </w:hyperlink>
      <w:r w:rsidR="00B32CA1">
        <w:rPr>
          <w:rFonts w:ascii="Times New Roman" w:hAnsi="Times New Roman" w:cs="Times New Roman"/>
          <w:noProof/>
          <w:sz w:val="22"/>
          <w:szCs w:val="22"/>
        </w:rPr>
        <w:t>)</w:t>
      </w:r>
      <w:r w:rsidR="005536FC">
        <w:rPr>
          <w:rFonts w:ascii="Times New Roman" w:hAnsi="Times New Roman" w:cs="Times New Roman"/>
          <w:sz w:val="22"/>
          <w:szCs w:val="22"/>
        </w:rPr>
        <w:fldChar w:fldCharType="end"/>
      </w:r>
      <w:r w:rsidRPr="002C2533">
        <w:rPr>
          <w:rFonts w:ascii="Times New Roman" w:hAnsi="Times New Roman" w:cs="Times New Roman"/>
          <w:sz w:val="22"/>
          <w:szCs w:val="22"/>
        </w:rPr>
        <w:t>. In these studies, markers of hepatic insulin sensitivity, but not insulin secretion, improved early after the procedure and before substantial weight loss has taken place. The results of these animal and human studies have therefore given rise to the hypothesis that the bypass of the proximal small bowel may have weight loss and even caloric restriction independent effects on hepatic insulin sensitiv</w:t>
      </w:r>
      <w:r w:rsidR="005536FC">
        <w:rPr>
          <w:rFonts w:ascii="Times New Roman" w:hAnsi="Times New Roman" w:cs="Times New Roman"/>
          <w:sz w:val="22"/>
          <w:szCs w:val="22"/>
        </w:rPr>
        <w:t xml:space="preserve">ity. </w:t>
      </w:r>
    </w:p>
    <w:p w14:paraId="5DB37461" w14:textId="77777777" w:rsidR="002C2533" w:rsidRDefault="002C2533" w:rsidP="002C2533">
      <w:pPr>
        <w:spacing w:line="480" w:lineRule="auto"/>
        <w:jc w:val="both"/>
        <w:rPr>
          <w:rFonts w:ascii="Times New Roman" w:hAnsi="Times New Roman" w:cs="Times New Roman"/>
          <w:sz w:val="22"/>
          <w:szCs w:val="22"/>
        </w:rPr>
      </w:pPr>
    </w:p>
    <w:p w14:paraId="13F4006E" w14:textId="31221796"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However, even in the absence of any intestinal interventions, caloric restriction </w:t>
      </w:r>
      <w:r w:rsidRPr="002C2533">
        <w:rPr>
          <w:rFonts w:ascii="Times New Roman" w:hAnsi="Times New Roman" w:cs="Times New Roman"/>
          <w:i/>
          <w:sz w:val="22"/>
          <w:szCs w:val="22"/>
        </w:rPr>
        <w:t>per se</w:t>
      </w:r>
      <w:r w:rsidRPr="002C2533">
        <w:rPr>
          <w:rFonts w:ascii="Times New Roman" w:hAnsi="Times New Roman" w:cs="Times New Roman"/>
          <w:sz w:val="22"/>
          <w:szCs w:val="22"/>
        </w:rPr>
        <w:t xml:space="preserve"> also improves glucose homeostasis and hepatic insulin sensitivity</w:t>
      </w:r>
      <w:r w:rsidR="005536FC">
        <w:rPr>
          <w:rFonts w:ascii="Times New Roman" w:hAnsi="Times New Roman" w:cs="Times New Roman"/>
          <w:sz w:val="22"/>
          <w:szCs w:val="22"/>
        </w:rPr>
        <w:t xml:space="preserve"> </w:t>
      </w:r>
      <w:r w:rsidR="0096461E">
        <w:rPr>
          <w:rFonts w:ascii="Times New Roman" w:hAnsi="Times New Roman" w:cs="Times New Roman"/>
          <w:sz w:val="22"/>
          <w:szCs w:val="22"/>
        </w:rPr>
        <w:fldChar w:fldCharType="begin"/>
      </w:r>
      <w:r w:rsidR="00B32CA1">
        <w:rPr>
          <w:rFonts w:ascii="Times New Roman" w:hAnsi="Times New Roman" w:cs="Times New Roman"/>
          <w:sz w:val="22"/>
          <w:szCs w:val="22"/>
        </w:rPr>
        <w:instrText xml:space="preserve"> ADDIN EN.CITE &lt;EndNote&gt;&lt;Cite&gt;&lt;Author&gt;Lim&lt;/Author&gt;&lt;Year&gt;2011&lt;/Year&gt;&lt;RecNum&gt;3009&lt;/RecNum&gt;&lt;DisplayText&gt;(6)&lt;/DisplayText&gt;&lt;record&gt;&lt;rec-number&gt;3009&lt;/rec-number&gt;&lt;foreign-keys&gt;&lt;key app="EN" db-id="pr5z5wtv80t5xoex59tptpftdfs5rrtaaf9e" timestamp="1444909483"&gt;3009&lt;/key&gt;&lt;/foreign-keys&gt;&lt;ref-type name="Journal Article"&gt;17&lt;/ref-type&gt;&lt;contributors&gt;&lt;authors&gt;&lt;author&gt;Lim, E. L.&lt;/author&gt;&lt;author&gt;Hollingsworth, K. G.&lt;/author&gt;&lt;author&gt;Aribisala, B. S.&lt;/author&gt;&lt;author&gt;Chen, M. J.&lt;/author&gt;&lt;author&gt;Mathers, J. C.&lt;/author&gt;&lt;author&gt;Taylor, R.&lt;/author&gt;&lt;/authors&gt;&lt;/contributors&gt;&lt;titles&gt;&lt;title&gt;Reversal of type 2 diabetes: normalisation of beta cell function in association with decreased pancreas and liver triacylglycerol&lt;/title&gt;&lt;secondary-title&gt;Diabetologia.&lt;/secondary-title&gt;&lt;/titles&gt;&lt;periodical&gt;&lt;full-title&gt;Diabetologia.&lt;/full-title&gt;&lt;/periodical&gt;&lt;pages&gt;2506-14. doi: 10.1007/s00125-011-2204-7. Epub 2011 Jun 9.&lt;/pages&gt;&lt;volume&gt;54&lt;/volume&gt;&lt;number&gt;10&lt;/number&gt;&lt;keywords&gt;&lt;keyword&gt;0 (Blood Glucose)&lt;/keyword&gt;&lt;keyword&gt;0 (Hemoglobin A, Glycosylated)&lt;/keyword&gt;&lt;keyword&gt;0 (Triglycerides)&lt;/keyword&gt;&lt;keyword&gt;Adult&lt;/keyword&gt;&lt;keyword&gt;Aged&lt;/keyword&gt;&lt;keyword&gt;Blood Glucose/metabolism&lt;/keyword&gt;&lt;keyword&gt;Body Composition/physiology&lt;/keyword&gt;&lt;keyword&gt;Body Weight/physiology&lt;/keyword&gt;&lt;keyword&gt;Diabetes Mellitus, Type 2/*diet therapy/metabolism/*physiopathology&lt;/keyword&gt;&lt;keyword&gt;Female&lt;/keyword&gt;&lt;keyword&gt;Hemoglobin A, Glycosylated/metabolism&lt;/keyword&gt;&lt;keyword&gt;Humans&lt;/keyword&gt;&lt;keyword&gt;Insulin-Secreting Cells/*physiology&lt;/keyword&gt;&lt;keyword&gt;Liver/*metabolism&lt;/keyword&gt;&lt;keyword&gt;Male&lt;/keyword&gt;&lt;keyword&gt;Middle Aged&lt;/keyword&gt;&lt;keyword&gt;Pancreas/*metabolism&lt;/keyword&gt;&lt;keyword&gt;Triglycerides/*metabolism&lt;/keyword&gt;&lt;/keywords&gt;&lt;dates&gt;&lt;year&gt;2011&lt;/year&gt;&lt;pub-dates&gt;&lt;date&gt;Oct&lt;/date&gt;&lt;/pub-dates&gt;&lt;/dates&gt;&lt;isbn&gt;1432-0428 (Electronic)&amp;#xD;0012-186X (Linking)&lt;/isbn&gt;&lt;work-type&gt;Clinical Trial&amp;#xD;Research Support, Non-U.S. Gov&amp;apos;t&lt;/work-type&gt;&lt;urls&gt;&lt;related-urls&gt;&lt;url&gt;http://www.ncbi.nlm.nih.gov/pmc/articles/PMC3168743/pdf/125_2011_Article_2204.pdf&lt;/url&gt;&lt;/related-urls&gt;&lt;/urls&gt;&lt;/record&gt;&lt;/Cite&gt;&lt;/EndNote&gt;</w:instrText>
      </w:r>
      <w:r w:rsidR="0096461E">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6" w:tooltip="Lim, 2011 #3009" w:history="1">
        <w:r w:rsidR="00B32CA1">
          <w:rPr>
            <w:rFonts w:ascii="Times New Roman" w:hAnsi="Times New Roman" w:cs="Times New Roman"/>
            <w:noProof/>
            <w:sz w:val="22"/>
            <w:szCs w:val="22"/>
          </w:rPr>
          <w:t>6</w:t>
        </w:r>
      </w:hyperlink>
      <w:r w:rsidR="00B32CA1">
        <w:rPr>
          <w:rFonts w:ascii="Times New Roman" w:hAnsi="Times New Roman" w:cs="Times New Roman"/>
          <w:noProof/>
          <w:sz w:val="22"/>
          <w:szCs w:val="22"/>
        </w:rPr>
        <w:t>)</w:t>
      </w:r>
      <w:r w:rsidR="0096461E">
        <w:rPr>
          <w:rFonts w:ascii="Times New Roman" w:hAnsi="Times New Roman" w:cs="Times New Roman"/>
          <w:sz w:val="22"/>
          <w:szCs w:val="22"/>
        </w:rPr>
        <w:fldChar w:fldCharType="end"/>
      </w:r>
      <w:r w:rsidRPr="002C2533">
        <w:rPr>
          <w:rFonts w:ascii="Times New Roman" w:hAnsi="Times New Roman" w:cs="Times New Roman"/>
          <w:sz w:val="22"/>
          <w:szCs w:val="22"/>
        </w:rPr>
        <w:t xml:space="preserve">, and the human DJBL studies did not control for this important confounder. In this first in </w:t>
      </w:r>
      <w:r w:rsidR="00BB7992" w:rsidRPr="002C2533">
        <w:rPr>
          <w:rFonts w:ascii="Times New Roman" w:hAnsi="Times New Roman" w:cs="Times New Roman"/>
          <w:sz w:val="22"/>
          <w:szCs w:val="22"/>
        </w:rPr>
        <w:t>humans mechanistic</w:t>
      </w:r>
      <w:r w:rsidRPr="002C2533">
        <w:rPr>
          <w:rFonts w:ascii="Times New Roman" w:hAnsi="Times New Roman" w:cs="Times New Roman"/>
          <w:sz w:val="22"/>
          <w:szCs w:val="22"/>
        </w:rPr>
        <w:t xml:space="preserve"> study, we controlled for the effects of caloric restriction and examined the early effects of the DJBL on the </w:t>
      </w:r>
      <w:r w:rsidRPr="002C2533">
        <w:rPr>
          <w:rStyle w:val="hlfld-fulltext"/>
          <w:rFonts w:ascii="Times New Roman" w:hAnsi="Times New Roman" w:cs="Times New Roman"/>
          <w:sz w:val="22"/>
          <w:szCs w:val="22"/>
        </w:rPr>
        <w:t xml:space="preserve">insulin sensitivity of hepatic glucose production (HGP) </w:t>
      </w:r>
      <w:r w:rsidRPr="002C2533">
        <w:rPr>
          <w:rFonts w:ascii="Times New Roman" w:hAnsi="Times New Roman" w:cs="Times New Roman"/>
          <w:sz w:val="22"/>
          <w:szCs w:val="22"/>
        </w:rPr>
        <w:t>using the gold standard euglycaemic hyperinsulinaemic clamp methodology.</w:t>
      </w:r>
    </w:p>
    <w:p w14:paraId="12C130B7" w14:textId="77777777" w:rsidR="002C2533" w:rsidRPr="002C2533" w:rsidRDefault="002C2533" w:rsidP="002C2533">
      <w:pPr>
        <w:spacing w:line="480" w:lineRule="auto"/>
        <w:jc w:val="both"/>
        <w:rPr>
          <w:rFonts w:ascii="Times New Roman" w:hAnsi="Times New Roman" w:cs="Times New Roman"/>
          <w:b/>
          <w:sz w:val="22"/>
          <w:szCs w:val="22"/>
        </w:rPr>
      </w:pPr>
    </w:p>
    <w:p w14:paraId="18768B2A" w14:textId="57C91E11"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t>METHODS</w:t>
      </w:r>
    </w:p>
    <w:p w14:paraId="16C583F5"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The trial protocols were approved by the West London 2 Research Ethics Committee (reference 11/LO/0322). All participants gave written informed consent and the trials were performed according to the principles of the Declaration of Helsinki. </w:t>
      </w:r>
    </w:p>
    <w:p w14:paraId="4884A559" w14:textId="77777777" w:rsidR="002C2533" w:rsidRDefault="002C2533" w:rsidP="002C2533">
      <w:pPr>
        <w:spacing w:line="480" w:lineRule="auto"/>
        <w:jc w:val="both"/>
        <w:rPr>
          <w:rFonts w:ascii="Times New Roman" w:hAnsi="Times New Roman" w:cs="Times New Roman"/>
          <w:sz w:val="22"/>
          <w:szCs w:val="22"/>
        </w:rPr>
      </w:pPr>
    </w:p>
    <w:p w14:paraId="3263FC3C" w14:textId="4ED54261" w:rsidR="002C2533" w:rsidRPr="002C2533" w:rsidRDefault="00B22B0E" w:rsidP="002C2533">
      <w:pPr>
        <w:spacing w:line="480"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Seven </w:t>
      </w:r>
      <w:r w:rsidR="002C2533" w:rsidRPr="002C2533">
        <w:rPr>
          <w:rFonts w:ascii="Times New Roman" w:hAnsi="Times New Roman" w:cs="Times New Roman"/>
          <w:sz w:val="22"/>
          <w:szCs w:val="22"/>
        </w:rPr>
        <w:t xml:space="preserve">patients </w:t>
      </w:r>
      <w:r>
        <w:rPr>
          <w:rFonts w:ascii="Times New Roman" w:hAnsi="Times New Roman" w:cs="Times New Roman"/>
          <w:sz w:val="22"/>
          <w:szCs w:val="22"/>
        </w:rPr>
        <w:t xml:space="preserve">with obesity </w:t>
      </w:r>
      <w:r w:rsidR="002C2533" w:rsidRPr="002C2533">
        <w:rPr>
          <w:rFonts w:ascii="Times New Roman" w:hAnsi="Times New Roman" w:cs="Times New Roman"/>
          <w:sz w:val="22"/>
          <w:szCs w:val="22"/>
        </w:rPr>
        <w:t>who were due to undergo treatment with the DJBL were recruited. This medical device is made from a non-permeable fluoropolymer and is inserted endoscopically to line the first 60 cm of the small bowel. Functionally this prevents food from having contact with the mucosa of the proximal small bowel, while simultaneously bile salts flow undiluted on this mucosa before mixing with food in the jejunum. The insulin sensitivity of HGP was measured using low dose euglycaemic hyperinsulinaemic clamps that were performed on three occasions: (i) at baseline - visit 1 (ii) one week after a low-calorie liquid diet (Fortisip</w:t>
      </w:r>
      <w:r w:rsidR="002C2533" w:rsidRPr="002C2533">
        <w:rPr>
          <w:rFonts w:ascii="Times New Roman" w:hAnsi="Times New Roman" w:cs="Times New Roman"/>
          <w:sz w:val="22"/>
          <w:szCs w:val="22"/>
          <w:vertAlign w:val="superscript"/>
        </w:rPr>
        <w:t>®</w:t>
      </w:r>
      <w:r w:rsidR="002C2533" w:rsidRPr="002C2533">
        <w:rPr>
          <w:rFonts w:ascii="Times New Roman" w:hAnsi="Times New Roman" w:cs="Times New Roman"/>
          <w:sz w:val="22"/>
          <w:szCs w:val="22"/>
        </w:rPr>
        <w:t xml:space="preserve"> compact, 1500 kCal per day) - visit 2 and (iii) one week after insertion of the DJBL whilst on the same low-calorie diet - visit 3. Dietary adherence was assessed with food diaries.</w:t>
      </w:r>
    </w:p>
    <w:p w14:paraId="23C827B1" w14:textId="77777777" w:rsidR="002C2533" w:rsidRDefault="002C2533" w:rsidP="002C2533">
      <w:pPr>
        <w:spacing w:line="480" w:lineRule="auto"/>
        <w:jc w:val="both"/>
        <w:rPr>
          <w:rFonts w:ascii="Times New Roman" w:hAnsi="Times New Roman" w:cs="Times New Roman"/>
          <w:sz w:val="22"/>
          <w:szCs w:val="22"/>
        </w:rPr>
      </w:pPr>
    </w:p>
    <w:p w14:paraId="162D7C8D" w14:textId="0723A16E" w:rsidR="00300C25" w:rsidRDefault="002C2533" w:rsidP="002C2533">
      <w:pPr>
        <w:spacing w:line="480" w:lineRule="auto"/>
        <w:jc w:val="both"/>
        <w:rPr>
          <w:rStyle w:val="hlfld-fulltext"/>
          <w:rFonts w:ascii="Times New Roman" w:hAnsi="Times New Roman" w:cs="Times New Roman"/>
          <w:sz w:val="22"/>
          <w:szCs w:val="22"/>
        </w:rPr>
      </w:pPr>
      <w:r w:rsidRPr="002C2533">
        <w:rPr>
          <w:rFonts w:ascii="Times New Roman" w:hAnsi="Times New Roman" w:cs="Times New Roman"/>
          <w:sz w:val="22"/>
          <w:szCs w:val="22"/>
        </w:rPr>
        <w:t>Patients attended in the fasted state.</w:t>
      </w:r>
      <w:r w:rsidRPr="002C2533">
        <w:rPr>
          <w:rStyle w:val="hlfld-fulltext"/>
          <w:rFonts w:ascii="Times New Roman" w:hAnsi="Times New Roman" w:cs="Times New Roman"/>
          <w:sz w:val="22"/>
          <w:szCs w:val="22"/>
        </w:rPr>
        <w:t xml:space="preserve"> After cannulation a primed continuous infusion of [6, 6-</w:t>
      </w:r>
      <w:r w:rsidRPr="002C2533">
        <w:rPr>
          <w:rStyle w:val="hlfld-fulltext"/>
          <w:rFonts w:ascii="Times New Roman" w:hAnsi="Times New Roman" w:cs="Times New Roman"/>
          <w:sz w:val="22"/>
          <w:szCs w:val="22"/>
          <w:vertAlign w:val="superscript"/>
        </w:rPr>
        <w:t>2</w:t>
      </w:r>
      <w:r w:rsidRPr="002C2533">
        <w:rPr>
          <w:rStyle w:val="hlfld-fulltext"/>
          <w:rFonts w:ascii="Times New Roman" w:hAnsi="Times New Roman" w:cs="Times New Roman"/>
          <w:sz w:val="22"/>
          <w:szCs w:val="22"/>
        </w:rPr>
        <w:t>H</w:t>
      </w:r>
      <w:r w:rsidRPr="002C2533">
        <w:rPr>
          <w:rStyle w:val="hlfld-fulltext"/>
          <w:rFonts w:ascii="Times New Roman" w:hAnsi="Times New Roman" w:cs="Times New Roman"/>
          <w:sz w:val="22"/>
          <w:szCs w:val="22"/>
          <w:vertAlign w:val="subscript"/>
        </w:rPr>
        <w:t>2</w:t>
      </w:r>
      <w:r w:rsidRPr="002C2533">
        <w:rPr>
          <w:rStyle w:val="hlfld-fulltext"/>
          <w:rFonts w:ascii="Times New Roman" w:hAnsi="Times New Roman" w:cs="Times New Roman"/>
          <w:sz w:val="22"/>
          <w:szCs w:val="22"/>
        </w:rPr>
        <w:t>] glucose (170mg; 1.7 mg/min) was commenced. Once a steady state of enrichment with the stable isotopes was achieved, five baseline samples were taken between 100 and 120 min for measurement of the glucose enrichment. At 120 min a one-step low-dose euglycaemic hyperinsulinaemic clamp was initiated. Insulin was infused at 0.3 mU/kg</w:t>
      </w:r>
      <w:r w:rsidRPr="002C2533">
        <w:rPr>
          <w:rStyle w:val="hlfld-fulltext"/>
          <w:rFonts w:ascii="Times New Roman" w:hAnsi="Times New Roman" w:cs="Times New Roman"/>
          <w:sz w:val="22"/>
          <w:szCs w:val="22"/>
          <w:vertAlign w:val="superscript"/>
        </w:rPr>
        <w:t>−1</w:t>
      </w:r>
      <w:r w:rsidRPr="002C2533">
        <w:rPr>
          <w:rStyle w:val="hlfld-fulltext"/>
          <w:rFonts w:ascii="Times New Roman" w:hAnsi="Times New Roman" w:cs="Times New Roman"/>
          <w:sz w:val="22"/>
          <w:szCs w:val="22"/>
        </w:rPr>
        <w:t xml:space="preserve"> · min</w:t>
      </w:r>
      <w:r w:rsidRPr="002C2533">
        <w:rPr>
          <w:rStyle w:val="hlfld-fulltext"/>
          <w:rFonts w:ascii="Times New Roman" w:hAnsi="Times New Roman" w:cs="Times New Roman"/>
          <w:sz w:val="22"/>
          <w:szCs w:val="22"/>
          <w:vertAlign w:val="superscript"/>
        </w:rPr>
        <w:t>−1</w:t>
      </w:r>
      <w:r w:rsidRPr="002C2533">
        <w:rPr>
          <w:rStyle w:val="hlfld-fulltext"/>
          <w:rFonts w:ascii="Times New Roman" w:hAnsi="Times New Roman" w:cs="Times New Roman"/>
          <w:sz w:val="22"/>
          <w:szCs w:val="22"/>
        </w:rPr>
        <w:t xml:space="preserve"> (Actrapid, Novo Nordisk, Copenhagen, Denmark) for 120 min to measure the insulin sensitivity of endogenous glucose production, which is predominantly a measure of HGP. Plasma glucose concentration was maintained at fasting levels using a variable infusion of 20% dextrose spiked with [6, 6-</w:t>
      </w:r>
      <w:r w:rsidRPr="002C2533">
        <w:rPr>
          <w:rStyle w:val="hlfld-fulltext"/>
          <w:rFonts w:ascii="Times New Roman" w:hAnsi="Times New Roman" w:cs="Times New Roman"/>
          <w:sz w:val="22"/>
          <w:szCs w:val="22"/>
          <w:vertAlign w:val="superscript"/>
        </w:rPr>
        <w:t>2</w:t>
      </w:r>
      <w:r w:rsidRPr="002C2533">
        <w:rPr>
          <w:rStyle w:val="hlfld-fulltext"/>
          <w:rFonts w:ascii="Times New Roman" w:hAnsi="Times New Roman" w:cs="Times New Roman"/>
          <w:sz w:val="22"/>
          <w:szCs w:val="22"/>
        </w:rPr>
        <w:t>H</w:t>
      </w:r>
      <w:r w:rsidRPr="002C2533">
        <w:rPr>
          <w:rStyle w:val="hlfld-fulltext"/>
          <w:rFonts w:ascii="Times New Roman" w:hAnsi="Times New Roman" w:cs="Times New Roman"/>
          <w:sz w:val="22"/>
          <w:szCs w:val="22"/>
          <w:vertAlign w:val="subscript"/>
        </w:rPr>
        <w:t>2</w:t>
      </w:r>
      <w:r w:rsidRPr="002C2533">
        <w:rPr>
          <w:rStyle w:val="hlfld-fulltext"/>
          <w:rFonts w:ascii="Times New Roman" w:hAnsi="Times New Roman" w:cs="Times New Roman"/>
          <w:sz w:val="22"/>
          <w:szCs w:val="22"/>
        </w:rPr>
        <w:t xml:space="preserve">] glucose (8mg/g). Blood samples were taken every 10 min with blood glucose measured immediately by the glucose oxidase method using a YSI biochemistry analyzer (YSI Life Sciences, Yellow Springs, Ohio). The isotopic enrichment of plasma glucose was measured by gas chromatography-mass spectrometry on an Agilent Technologies 5975C inert Xl EI/CI MSD system. Glucose concentrations were measured on the Mira autoanalyser using the glucose PAP assay (Horiba). HGP </w:t>
      </w:r>
      <w:r w:rsidR="00A06CBB">
        <w:rPr>
          <w:rStyle w:val="hlfld-fulltext"/>
          <w:rFonts w:ascii="Times New Roman" w:hAnsi="Times New Roman" w:cs="Times New Roman"/>
          <w:sz w:val="22"/>
          <w:szCs w:val="22"/>
        </w:rPr>
        <w:t xml:space="preserve">and </w:t>
      </w:r>
      <w:r w:rsidR="00A06CBB">
        <w:t>glucose disposal rate (</w:t>
      </w:r>
      <w:r w:rsidR="00A06CBB">
        <w:rPr>
          <w:rStyle w:val="Emphasis"/>
        </w:rPr>
        <w:t>R</w:t>
      </w:r>
      <w:r w:rsidR="00A06CBB">
        <w:rPr>
          <w:vertAlign w:val="subscript"/>
        </w:rPr>
        <w:t>d</w:t>
      </w:r>
      <w:r w:rsidR="00A06CBB">
        <w:t xml:space="preserve">) </w:t>
      </w:r>
      <w:r w:rsidRPr="002C2533">
        <w:rPr>
          <w:rStyle w:val="hlfld-fulltext"/>
          <w:rFonts w:ascii="Times New Roman" w:hAnsi="Times New Roman" w:cs="Times New Roman"/>
          <w:sz w:val="22"/>
          <w:szCs w:val="22"/>
        </w:rPr>
        <w:t xml:space="preserve">was calculated, using the model proposed by Steele </w:t>
      </w:r>
      <w:r w:rsidR="0096461E">
        <w:rPr>
          <w:rStyle w:val="hlfld-fulltext"/>
          <w:rFonts w:ascii="Times New Roman" w:hAnsi="Times New Roman" w:cs="Times New Roman"/>
          <w:sz w:val="22"/>
          <w:szCs w:val="22"/>
        </w:rPr>
        <w:fldChar w:fldCharType="begin"/>
      </w:r>
      <w:r w:rsidR="00B32CA1">
        <w:rPr>
          <w:rStyle w:val="hlfld-fulltext"/>
          <w:rFonts w:ascii="Times New Roman" w:hAnsi="Times New Roman" w:cs="Times New Roman"/>
          <w:sz w:val="22"/>
          <w:szCs w:val="22"/>
        </w:rPr>
        <w:instrText xml:space="preserve"> ADDIN EN.CITE &lt;EndNote&gt;&lt;Cite&gt;&lt;Author&gt;Steele&lt;/Author&gt;&lt;Year&gt;1959&lt;/Year&gt;&lt;RecNum&gt;3006&lt;/RecNum&gt;&lt;DisplayText&gt;(7)&lt;/DisplayText&gt;&lt;record&gt;&lt;rec-number&gt;3006&lt;/rec-number&gt;&lt;foreign-keys&gt;&lt;key app="EN" db-id="pr5z5wtv80t5xoex59tptpftdfs5rrtaaf9e" timestamp="1423161996"&gt;3006&lt;/key&gt;&lt;/foreign-keys&gt;&lt;ref-type name="Journal Article"&gt;17&lt;/ref-type&gt;&lt;contributors&gt;&lt;authors&gt;&lt;author&gt;Steele, R.&lt;/author&gt;&lt;/authors&gt;&lt;/contributors&gt;&lt;titles&gt;&lt;title&gt;Influences of glucose loading and of injected insulin on hepatic glucose output&lt;/title&gt;&lt;secondary-title&gt;Ann N Y Acad Sci.&lt;/secondary-title&gt;&lt;/titles&gt;&lt;periodical&gt;&lt;full-title&gt;Ann N Y Acad Sci.&lt;/full-title&gt;&lt;/periodical&gt;&lt;pages&gt;420-30.&lt;/pages&gt;&lt;volume&gt;82&lt;/volume&gt;&lt;keywords&gt;&lt;keyword&gt;0 (Insulin)&lt;/keyword&gt;&lt;keyword&gt;IY9XDZ35W2 (Glucose)&lt;/keyword&gt;&lt;keyword&gt;Glucose/*metabolism&lt;/keyword&gt;&lt;keyword&gt;Insulin/*pharmacology&lt;/keyword&gt;&lt;keyword&gt;Liver/*metabolism&lt;/keyword&gt;&lt;/keywords&gt;&lt;dates&gt;&lt;year&gt;1959&lt;/year&gt;&lt;pub-dates&gt;&lt;date&gt;Sep 25&lt;/date&gt;&lt;/pub-dates&gt;&lt;/dates&gt;&lt;orig-pub&gt;*GLUCOSE/metabolism&amp;#xD;*INSULIN/pharmacology&amp;#xD;*LIVER/metabolism&lt;/orig-pub&gt;&lt;isbn&gt;0077-8923 (Print)&amp;#xD;0077-8923 (Linking)&lt;/isbn&gt;&lt;urls&gt;&lt;related-urls&gt;&lt;url&gt;http://onlinelibrary.wiley.com/store/10.1111/j.1749-6632.1959.tb44923.x/asset/j.1749-6632.1959.tb44923.x.pdf?v=1&amp;amp;t=i5shwt9o&amp;amp;s=f9d5fc196fc6be41a5df2dcf558189da14f79533&lt;/url&gt;&lt;/related-urls&gt;&lt;/urls&gt;&lt;/record&gt;&lt;/Cite&gt;&lt;/EndNote&gt;</w:instrText>
      </w:r>
      <w:r w:rsidR="0096461E">
        <w:rPr>
          <w:rStyle w:val="hlfld-fulltext"/>
          <w:rFonts w:ascii="Times New Roman" w:hAnsi="Times New Roman" w:cs="Times New Roman"/>
          <w:sz w:val="22"/>
          <w:szCs w:val="22"/>
        </w:rPr>
        <w:fldChar w:fldCharType="separate"/>
      </w:r>
      <w:r w:rsidR="00B32CA1">
        <w:rPr>
          <w:rStyle w:val="hlfld-fulltext"/>
          <w:rFonts w:ascii="Times New Roman" w:hAnsi="Times New Roman" w:cs="Times New Roman"/>
          <w:noProof/>
          <w:sz w:val="22"/>
          <w:szCs w:val="22"/>
        </w:rPr>
        <w:t>(</w:t>
      </w:r>
      <w:hyperlink w:anchor="_ENREF_7" w:tooltip="Steele, 1959 #3006" w:history="1">
        <w:r w:rsidR="00B32CA1">
          <w:rPr>
            <w:rStyle w:val="hlfld-fulltext"/>
            <w:rFonts w:ascii="Times New Roman" w:hAnsi="Times New Roman" w:cs="Times New Roman"/>
            <w:noProof/>
            <w:sz w:val="22"/>
            <w:szCs w:val="22"/>
          </w:rPr>
          <w:t>7</w:t>
        </w:r>
      </w:hyperlink>
      <w:r w:rsidR="00B32CA1">
        <w:rPr>
          <w:rStyle w:val="hlfld-fulltext"/>
          <w:rFonts w:ascii="Times New Roman" w:hAnsi="Times New Roman" w:cs="Times New Roman"/>
          <w:noProof/>
          <w:sz w:val="22"/>
          <w:szCs w:val="22"/>
        </w:rPr>
        <w:t>)</w:t>
      </w:r>
      <w:r w:rsidR="0096461E">
        <w:rPr>
          <w:rStyle w:val="hlfld-fulltext"/>
          <w:rFonts w:ascii="Times New Roman" w:hAnsi="Times New Roman" w:cs="Times New Roman"/>
          <w:sz w:val="22"/>
          <w:szCs w:val="22"/>
        </w:rPr>
        <w:fldChar w:fldCharType="end"/>
      </w:r>
      <w:r w:rsidR="005536FC">
        <w:rPr>
          <w:rStyle w:val="hlfld-fulltext"/>
          <w:rFonts w:ascii="Times New Roman" w:hAnsi="Times New Roman" w:cs="Times New Roman"/>
          <w:sz w:val="22"/>
          <w:szCs w:val="22"/>
        </w:rPr>
        <w:t xml:space="preserve"> </w:t>
      </w:r>
      <w:r w:rsidRPr="002C2533">
        <w:rPr>
          <w:rStyle w:val="hlfld-fulltext"/>
          <w:rFonts w:ascii="Times New Roman" w:hAnsi="Times New Roman" w:cs="Times New Roman"/>
          <w:sz w:val="22"/>
          <w:szCs w:val="22"/>
        </w:rPr>
        <w:t xml:space="preserve">modified for the inclusion of stable isotopes </w:t>
      </w:r>
      <w:r w:rsidR="0096461E" w:rsidRPr="002C2533">
        <w:rPr>
          <w:rStyle w:val="hlfld-fulltext"/>
          <w:rFonts w:ascii="Times New Roman" w:hAnsi="Times New Roman" w:cs="Times New Roman"/>
          <w:sz w:val="22"/>
          <w:szCs w:val="22"/>
        </w:rPr>
        <w:fldChar w:fldCharType="begin">
          <w:fldData xml:space="preserve">PEVuZE5vdGU+PENpdGU+PEF1dGhvcj5TaG9qYWVlLU1vcmFkaWU8L0F1dGhvcj48WWVhcj4yMDA3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</w:fldData>
        </w:fldChar>
      </w:r>
      <w:r w:rsidR="00B32CA1">
        <w:rPr>
          <w:rStyle w:val="hlfld-fulltext"/>
          <w:rFonts w:ascii="Times New Roman" w:hAnsi="Times New Roman" w:cs="Times New Roman"/>
          <w:sz w:val="22"/>
          <w:szCs w:val="22"/>
        </w:rPr>
        <w:instrText xml:space="preserve"> ADDIN EN.CITE </w:instrText>
      </w:r>
      <w:r w:rsidR="00B32CA1">
        <w:rPr>
          <w:rStyle w:val="hlfld-fulltext"/>
          <w:rFonts w:ascii="Times New Roman" w:hAnsi="Times New Roman" w:cs="Times New Roman"/>
          <w:sz w:val="22"/>
          <w:szCs w:val="22"/>
        </w:rPr>
        <w:fldChar w:fldCharType="begin">
          <w:fldData xml:space="preserve">PEVuZE5vdGU+PENpdGU+PEF1dGhvcj5TaG9qYWVlLU1vcmFkaWU8L0F1dGhvcj48WWVhcj4yMDA3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</w:fldData>
        </w:fldChar>
      </w:r>
      <w:r w:rsidR="00B32CA1">
        <w:rPr>
          <w:rStyle w:val="hlfld-fulltext"/>
          <w:rFonts w:ascii="Times New Roman" w:hAnsi="Times New Roman" w:cs="Times New Roman"/>
          <w:sz w:val="22"/>
          <w:szCs w:val="22"/>
        </w:rPr>
        <w:instrText xml:space="preserve"> ADDIN EN.CITE.DATA </w:instrText>
      </w:r>
      <w:r w:rsidR="00B32CA1">
        <w:rPr>
          <w:rStyle w:val="hlfld-fulltext"/>
          <w:rFonts w:ascii="Times New Roman" w:hAnsi="Times New Roman" w:cs="Times New Roman"/>
          <w:sz w:val="22"/>
          <w:szCs w:val="22"/>
        </w:rPr>
      </w:r>
      <w:r w:rsidR="00B32CA1">
        <w:rPr>
          <w:rStyle w:val="hlfld-fulltext"/>
          <w:rFonts w:ascii="Times New Roman" w:hAnsi="Times New Roman" w:cs="Times New Roman"/>
          <w:sz w:val="22"/>
          <w:szCs w:val="22"/>
        </w:rPr>
        <w:fldChar w:fldCharType="end"/>
      </w:r>
      <w:r w:rsidR="0096461E" w:rsidRPr="002C2533">
        <w:rPr>
          <w:rStyle w:val="hlfld-fulltext"/>
          <w:rFonts w:ascii="Times New Roman" w:hAnsi="Times New Roman" w:cs="Times New Roman"/>
          <w:sz w:val="22"/>
          <w:szCs w:val="22"/>
        </w:rPr>
      </w:r>
      <w:r w:rsidR="0096461E" w:rsidRPr="002C2533">
        <w:rPr>
          <w:rStyle w:val="hlfld-fulltext"/>
          <w:rFonts w:ascii="Times New Roman" w:hAnsi="Times New Roman" w:cs="Times New Roman"/>
          <w:sz w:val="22"/>
          <w:szCs w:val="22"/>
        </w:rPr>
        <w:fldChar w:fldCharType="separate"/>
      </w:r>
      <w:r w:rsidR="00B32CA1">
        <w:rPr>
          <w:rStyle w:val="hlfld-fulltext"/>
          <w:rFonts w:ascii="Times New Roman" w:hAnsi="Times New Roman" w:cs="Times New Roman"/>
          <w:noProof/>
          <w:sz w:val="22"/>
          <w:szCs w:val="22"/>
        </w:rPr>
        <w:t>(</w:t>
      </w:r>
      <w:hyperlink w:anchor="_ENREF_8" w:tooltip="Shojaee-Moradie, 2007 #3008" w:history="1">
        <w:r w:rsidR="00B32CA1">
          <w:rPr>
            <w:rStyle w:val="hlfld-fulltext"/>
            <w:rFonts w:ascii="Times New Roman" w:hAnsi="Times New Roman" w:cs="Times New Roman"/>
            <w:noProof/>
            <w:sz w:val="22"/>
            <w:szCs w:val="22"/>
          </w:rPr>
          <w:t>8</w:t>
        </w:r>
      </w:hyperlink>
      <w:r w:rsidR="00B32CA1">
        <w:rPr>
          <w:rStyle w:val="hlfld-fulltext"/>
          <w:rFonts w:ascii="Times New Roman" w:hAnsi="Times New Roman" w:cs="Times New Roman"/>
          <w:noProof/>
          <w:sz w:val="22"/>
          <w:szCs w:val="22"/>
        </w:rPr>
        <w:t>)</w:t>
      </w:r>
      <w:r w:rsidR="0096461E" w:rsidRPr="002C2533">
        <w:rPr>
          <w:rStyle w:val="hlfld-fulltext"/>
          <w:rFonts w:ascii="Times New Roman" w:hAnsi="Times New Roman" w:cs="Times New Roman"/>
          <w:sz w:val="22"/>
          <w:szCs w:val="22"/>
        </w:rPr>
        <w:fldChar w:fldCharType="end"/>
      </w:r>
      <w:r w:rsidRPr="002C2533">
        <w:rPr>
          <w:rStyle w:val="hlfld-fulltext"/>
          <w:rFonts w:ascii="Times New Roman" w:hAnsi="Times New Roman" w:cs="Times New Roman"/>
          <w:sz w:val="22"/>
          <w:szCs w:val="22"/>
        </w:rPr>
        <w:t>.</w:t>
      </w:r>
      <w:r w:rsidR="000634B6">
        <w:rPr>
          <w:rStyle w:val="hlfld-fulltext"/>
          <w:rFonts w:ascii="Times New Roman" w:hAnsi="Times New Roman" w:cs="Times New Roman"/>
          <w:sz w:val="22"/>
          <w:szCs w:val="22"/>
        </w:rPr>
        <w:t xml:space="preserve"> </w:t>
      </w:r>
    </w:p>
    <w:p w14:paraId="41113ACB" w14:textId="382A7B3D" w:rsidR="00300C25" w:rsidRDefault="00300C25" w:rsidP="002C2533">
      <w:pPr>
        <w:spacing w:line="480" w:lineRule="auto"/>
        <w:jc w:val="both"/>
      </w:pPr>
      <w:r>
        <w:lastRenderedPageBreak/>
        <w:t xml:space="preserve">Glucose-lowering therapy did not change after the interventions in order to minimise the effects of this important confounder. </w:t>
      </w:r>
    </w:p>
    <w:p w14:paraId="501DE8E2" w14:textId="77777777" w:rsidR="00300C25" w:rsidRDefault="00300C25" w:rsidP="002C2533">
      <w:pPr>
        <w:spacing w:line="480" w:lineRule="auto"/>
        <w:jc w:val="both"/>
      </w:pPr>
    </w:p>
    <w:p w14:paraId="15F5911B" w14:textId="4D094347" w:rsidR="002C2533" w:rsidRPr="002C2533" w:rsidRDefault="002C2533" w:rsidP="002C2533">
      <w:pPr>
        <w:spacing w:line="480" w:lineRule="auto"/>
        <w:jc w:val="both"/>
        <w:rPr>
          <w:rFonts w:ascii="Times New Roman" w:hAnsi="Times New Roman" w:cs="Times New Roman"/>
          <w:sz w:val="22"/>
          <w:szCs w:val="22"/>
        </w:rPr>
      </w:pPr>
      <w:r w:rsidRPr="002C2533">
        <w:rPr>
          <w:rStyle w:val="hlfld-fulltext"/>
          <w:rFonts w:ascii="Times New Roman" w:hAnsi="Times New Roman" w:cs="Times New Roman"/>
          <w:sz w:val="22"/>
          <w:szCs w:val="22"/>
        </w:rPr>
        <w:t xml:space="preserve">Data are described as mean ± standard deviation. Statistical comparisons were made using a repeated measures one-way ANOVA with a </w:t>
      </w:r>
      <w:r w:rsidRPr="002C2533">
        <w:rPr>
          <w:rStyle w:val="hlfld-fulltext"/>
          <w:rFonts w:ascii="Times New Roman" w:hAnsi="Times New Roman" w:cs="Times New Roman"/>
          <w:i/>
          <w:sz w:val="22"/>
          <w:szCs w:val="22"/>
        </w:rPr>
        <w:t>post hoc</w:t>
      </w:r>
      <w:r w:rsidRPr="002C2533">
        <w:rPr>
          <w:rStyle w:val="hlfld-fulltext"/>
          <w:rFonts w:ascii="Times New Roman" w:hAnsi="Times New Roman" w:cs="Times New Roman"/>
          <w:sz w:val="22"/>
          <w:szCs w:val="22"/>
        </w:rPr>
        <w:t xml:space="preserve"> Newman-Keuls multiple comparison test on PRISM</w:t>
      </w:r>
      <w:r w:rsidRPr="002C2533">
        <w:rPr>
          <w:rStyle w:val="hlfld-fulltext"/>
          <w:rFonts w:ascii="Times New Roman" w:hAnsi="Times New Roman" w:cs="Times New Roman"/>
          <w:sz w:val="22"/>
          <w:szCs w:val="22"/>
          <w:vertAlign w:val="superscript"/>
        </w:rPr>
        <w:t>®</w:t>
      </w:r>
      <w:r w:rsidRPr="002C2533">
        <w:rPr>
          <w:rStyle w:val="hlfld-fulltext"/>
          <w:rFonts w:ascii="Times New Roman" w:hAnsi="Times New Roman" w:cs="Times New Roman"/>
          <w:sz w:val="22"/>
          <w:szCs w:val="22"/>
        </w:rPr>
        <w:t xml:space="preserve"> version 5.</w:t>
      </w:r>
    </w:p>
    <w:p w14:paraId="6F803333" w14:textId="77777777" w:rsidR="00300C25" w:rsidRDefault="00300C25" w:rsidP="002C2533">
      <w:pPr>
        <w:spacing w:line="480" w:lineRule="auto"/>
        <w:jc w:val="both"/>
        <w:rPr>
          <w:rFonts w:ascii="Times New Roman" w:hAnsi="Times New Roman" w:cs="Times New Roman"/>
          <w:b/>
          <w:sz w:val="22"/>
          <w:szCs w:val="22"/>
        </w:rPr>
      </w:pPr>
    </w:p>
    <w:p w14:paraId="08CC6CD0" w14:textId="77777777"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t>RESULTS</w:t>
      </w:r>
    </w:p>
    <w:p w14:paraId="76F9A789" w14:textId="6239B648" w:rsidR="00801A77"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The seven patients were all European Caucasians (Table 1). Six of the patients had type 2 diabetes treated with metformin (n=5), liraglutide (n=2), pioglitazone (n=1) and insulin (n=3). Patients reported good overall compliance with the 1500 kCal liquid LCD in their food diaries, apart for 1-3 days after the insertion of the DJBL when they reported consuming 1200-1500kCal of the liquid diet. </w:t>
      </w:r>
      <w:r w:rsidR="00300C25" w:rsidRPr="00300C25">
        <w:rPr>
          <w:lang w:val="en-GB"/>
        </w:rPr>
        <w:t>Hypoglycaemia</w:t>
      </w:r>
      <w:r w:rsidR="00300C25">
        <w:t xml:space="preserve"> was not reported by any of our participants.</w:t>
      </w:r>
    </w:p>
    <w:p w14:paraId="43F5A96A" w14:textId="77777777" w:rsidR="00801A77" w:rsidRDefault="00801A77" w:rsidP="002C2533">
      <w:pPr>
        <w:spacing w:line="480" w:lineRule="auto"/>
        <w:jc w:val="both"/>
        <w:rPr>
          <w:rFonts w:ascii="Times New Roman" w:hAnsi="Times New Roman" w:cs="Times New Roman"/>
          <w:sz w:val="22"/>
          <w:szCs w:val="22"/>
        </w:rPr>
      </w:pPr>
    </w:p>
    <w:p w14:paraId="75E54C8F" w14:textId="699D5AEE"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HGP before the clamp, and glucose and insulin concentrations during the clamp, were similar between the three visits (Table 1). HGP during the clamp </w:t>
      </w:r>
      <w:r w:rsidR="00D73DA1">
        <w:rPr>
          <w:rFonts w:ascii="Times New Roman" w:hAnsi="Times New Roman" w:cs="Times New Roman"/>
          <w:sz w:val="22"/>
          <w:szCs w:val="22"/>
        </w:rPr>
        <w:t>and fasting plasma glucose were</w:t>
      </w:r>
      <w:r w:rsidR="00726E47">
        <w:rPr>
          <w:rFonts w:ascii="Times New Roman" w:hAnsi="Times New Roman" w:cs="Times New Roman"/>
          <w:sz w:val="22"/>
          <w:szCs w:val="22"/>
        </w:rPr>
        <w:t xml:space="preserve"> </w:t>
      </w:r>
      <w:r w:rsidRPr="002C2533">
        <w:rPr>
          <w:rFonts w:ascii="Times New Roman" w:hAnsi="Times New Roman" w:cs="Times New Roman"/>
          <w:sz w:val="22"/>
          <w:szCs w:val="22"/>
        </w:rPr>
        <w:t>significantly reduced on visit 2, but not significantly reduced any further on visit 3 (Figure 1, Table 1). C-reactive protein, a marker of inflammation, increased significantly on visit 3</w:t>
      </w:r>
      <w:r w:rsidR="00726E47">
        <w:rPr>
          <w:rFonts w:ascii="Times New Roman" w:hAnsi="Times New Roman" w:cs="Times New Roman"/>
          <w:sz w:val="22"/>
          <w:szCs w:val="22"/>
        </w:rPr>
        <w:t xml:space="preserve"> compared to baseline</w:t>
      </w:r>
      <w:r w:rsidRPr="002C2533">
        <w:rPr>
          <w:rFonts w:ascii="Times New Roman" w:hAnsi="Times New Roman" w:cs="Times New Roman"/>
          <w:sz w:val="22"/>
          <w:szCs w:val="22"/>
        </w:rPr>
        <w:t xml:space="preserve">. </w:t>
      </w:r>
    </w:p>
    <w:p w14:paraId="78B6EDD3" w14:textId="77777777" w:rsidR="002C2533" w:rsidRPr="002C2533" w:rsidRDefault="002C2533" w:rsidP="002C2533">
      <w:pPr>
        <w:spacing w:line="480" w:lineRule="auto"/>
        <w:jc w:val="both"/>
        <w:rPr>
          <w:rFonts w:ascii="Times New Roman" w:hAnsi="Times New Roman" w:cs="Times New Roman"/>
          <w:b/>
          <w:sz w:val="22"/>
          <w:szCs w:val="22"/>
        </w:rPr>
      </w:pPr>
    </w:p>
    <w:p w14:paraId="1CCEBCCD" w14:textId="77777777" w:rsidR="002C2533" w:rsidRPr="002C2533" w:rsidRDefault="002C2533" w:rsidP="002C2533">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t>DISCUSSION</w:t>
      </w:r>
    </w:p>
    <w:p w14:paraId="422DD5C5" w14:textId="42711715"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In </w:t>
      </w:r>
      <w:r w:rsidR="006B61EF" w:rsidRPr="002C2533">
        <w:rPr>
          <w:rFonts w:ascii="Times New Roman" w:hAnsi="Times New Roman" w:cs="Times New Roman"/>
          <w:sz w:val="22"/>
          <w:szCs w:val="22"/>
        </w:rPr>
        <w:t>this mechanistic</w:t>
      </w:r>
      <w:r w:rsidRPr="002C2533">
        <w:rPr>
          <w:rFonts w:ascii="Times New Roman" w:hAnsi="Times New Roman" w:cs="Times New Roman"/>
          <w:sz w:val="22"/>
          <w:szCs w:val="22"/>
        </w:rPr>
        <w:t xml:space="preserve"> study the </w:t>
      </w:r>
      <w:r w:rsidR="00801A77">
        <w:rPr>
          <w:rFonts w:ascii="Times New Roman" w:hAnsi="Times New Roman" w:cs="Times New Roman"/>
          <w:sz w:val="22"/>
          <w:szCs w:val="22"/>
        </w:rPr>
        <w:t xml:space="preserve">endoscopic </w:t>
      </w:r>
      <w:r w:rsidRPr="002C2533">
        <w:rPr>
          <w:rFonts w:ascii="Times New Roman" w:hAnsi="Times New Roman" w:cs="Times New Roman"/>
          <w:sz w:val="22"/>
          <w:szCs w:val="22"/>
        </w:rPr>
        <w:t xml:space="preserve">bypass of the proximal small bowel with a DJBL device did not reduce hepatic insulin sensitivity beyond the improvements achieved with caloric restriction. </w:t>
      </w:r>
    </w:p>
    <w:p w14:paraId="783948B8" w14:textId="77777777" w:rsidR="002C2533" w:rsidRDefault="002C2533" w:rsidP="002C2533">
      <w:pPr>
        <w:spacing w:line="480" w:lineRule="auto"/>
        <w:jc w:val="both"/>
        <w:rPr>
          <w:rFonts w:ascii="Times New Roman" w:hAnsi="Times New Roman" w:cs="Times New Roman"/>
          <w:sz w:val="22"/>
          <w:szCs w:val="22"/>
        </w:rPr>
      </w:pPr>
    </w:p>
    <w:p w14:paraId="736EC37A" w14:textId="23A48466" w:rsidR="002C2533" w:rsidRPr="002C2533" w:rsidRDefault="002C2533" w:rsidP="002C2533">
      <w:pPr>
        <w:spacing w:line="480" w:lineRule="auto"/>
        <w:jc w:val="both"/>
        <w:rPr>
          <w:rFonts w:ascii="Times New Roman" w:hAnsi="Times New Roman" w:cs="Times New Roman"/>
          <w:sz w:val="22"/>
          <w:szCs w:val="22"/>
        </w:rPr>
      </w:pPr>
      <w:r>
        <w:rPr>
          <w:rFonts w:ascii="Times New Roman" w:hAnsi="Times New Roman" w:cs="Times New Roman"/>
          <w:sz w:val="22"/>
          <w:szCs w:val="22"/>
        </w:rPr>
        <w:lastRenderedPageBreak/>
        <w:t>P</w:t>
      </w:r>
      <w:r w:rsidRPr="002C2533">
        <w:rPr>
          <w:rFonts w:ascii="Times New Roman" w:hAnsi="Times New Roman" w:cs="Times New Roman"/>
          <w:sz w:val="22"/>
          <w:szCs w:val="22"/>
        </w:rPr>
        <w:t>revious human DJBL studies controlled for the effects of weight loss, but not control for the reduction in caloric intake that takes place after the procedure</w:t>
      </w:r>
      <w:r w:rsidR="005536FC">
        <w:rPr>
          <w:rFonts w:ascii="Times New Roman" w:hAnsi="Times New Roman" w:cs="Times New Roman"/>
          <w:sz w:val="22"/>
          <w:szCs w:val="22"/>
        </w:rPr>
        <w:t xml:space="preserve"> </w:t>
      </w:r>
      <w:r w:rsidR="005536FC">
        <w:rPr>
          <w:rFonts w:ascii="Times New Roman" w:hAnsi="Times New Roman" w:cs="Times New Roman"/>
          <w:sz w:val="22"/>
          <w:szCs w:val="22"/>
        </w:rPr>
        <w:fldChar w:fldCharType="begin">
          <w:fldData xml:space="preserve">PEVuZE5vdGU+PENpdGU+PEF1dGhvcj5kZSBKb25nZTwvQXV0aG9yPjxZZWFyPjIwMTM8L1llYXI+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</w:fldData>
        </w:fldChar>
      </w:r>
      <w:r w:rsidR="00B32CA1">
        <w:rPr>
          <w:rFonts w:ascii="Times New Roman" w:hAnsi="Times New Roman" w:cs="Times New Roman"/>
          <w:sz w:val="22"/>
          <w:szCs w:val="22"/>
        </w:rPr>
        <w:instrText xml:space="preserve"> ADDIN EN.CITE </w:instrText>
      </w:r>
      <w:r w:rsidR="00B32CA1">
        <w:rPr>
          <w:rFonts w:ascii="Times New Roman" w:hAnsi="Times New Roman" w:cs="Times New Roman"/>
          <w:sz w:val="22"/>
          <w:szCs w:val="22"/>
        </w:rPr>
        <w:fldChar w:fldCharType="begin">
          <w:fldData xml:space="preserve">PEVuZE5vdGU+PENpdGU+PEF1dGhvcj5kZSBKb25nZTwvQXV0aG9yPjxZZWFyPjIwMTM8L1llYXI+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</w:fldData>
        </w:fldChar>
      </w:r>
      <w:r w:rsidR="00B32CA1">
        <w:rPr>
          <w:rFonts w:ascii="Times New Roman" w:hAnsi="Times New Roman" w:cs="Times New Roman"/>
          <w:sz w:val="22"/>
          <w:szCs w:val="22"/>
        </w:rPr>
        <w:instrText xml:space="preserve"> ADDIN EN.CITE.DATA </w:instrText>
      </w:r>
      <w:r w:rsidR="00B32CA1">
        <w:rPr>
          <w:rFonts w:ascii="Times New Roman" w:hAnsi="Times New Roman" w:cs="Times New Roman"/>
          <w:sz w:val="22"/>
          <w:szCs w:val="22"/>
        </w:rPr>
      </w:r>
      <w:r w:rsidR="00B32CA1">
        <w:rPr>
          <w:rFonts w:ascii="Times New Roman" w:hAnsi="Times New Roman" w:cs="Times New Roman"/>
          <w:sz w:val="22"/>
          <w:szCs w:val="22"/>
        </w:rPr>
        <w:fldChar w:fldCharType="end"/>
      </w:r>
      <w:r w:rsidR="005536FC">
        <w:rPr>
          <w:rFonts w:ascii="Times New Roman" w:hAnsi="Times New Roman" w:cs="Times New Roman"/>
          <w:sz w:val="22"/>
          <w:szCs w:val="22"/>
        </w:rPr>
      </w:r>
      <w:r w:rsidR="005536FC">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4" w:tooltip="Cohen, 2013 #1115" w:history="1">
        <w:r w:rsidR="00B32CA1">
          <w:rPr>
            <w:rFonts w:ascii="Times New Roman" w:hAnsi="Times New Roman" w:cs="Times New Roman"/>
            <w:noProof/>
            <w:sz w:val="22"/>
            <w:szCs w:val="22"/>
          </w:rPr>
          <w:t>4</w:t>
        </w:r>
      </w:hyperlink>
      <w:r w:rsidR="00B32CA1">
        <w:rPr>
          <w:rFonts w:ascii="Times New Roman" w:hAnsi="Times New Roman" w:cs="Times New Roman"/>
          <w:noProof/>
          <w:sz w:val="22"/>
          <w:szCs w:val="22"/>
        </w:rPr>
        <w:t xml:space="preserve">, </w:t>
      </w:r>
      <w:hyperlink w:anchor="_ENREF_5" w:tooltip="de Jonge, 2013 #515" w:history="1">
        <w:r w:rsidR="00B32CA1">
          <w:rPr>
            <w:rFonts w:ascii="Times New Roman" w:hAnsi="Times New Roman" w:cs="Times New Roman"/>
            <w:noProof/>
            <w:sz w:val="22"/>
            <w:szCs w:val="22"/>
          </w:rPr>
          <w:t>5</w:t>
        </w:r>
      </w:hyperlink>
      <w:r w:rsidR="00B32CA1">
        <w:rPr>
          <w:rFonts w:ascii="Times New Roman" w:hAnsi="Times New Roman" w:cs="Times New Roman"/>
          <w:noProof/>
          <w:sz w:val="22"/>
          <w:szCs w:val="22"/>
        </w:rPr>
        <w:t>)</w:t>
      </w:r>
      <w:r w:rsidR="005536FC">
        <w:rPr>
          <w:rFonts w:ascii="Times New Roman" w:hAnsi="Times New Roman" w:cs="Times New Roman"/>
          <w:sz w:val="22"/>
          <w:szCs w:val="22"/>
        </w:rPr>
        <w:fldChar w:fldCharType="end"/>
      </w:r>
      <w:r w:rsidRPr="002C2533">
        <w:rPr>
          <w:rFonts w:ascii="Times New Roman" w:hAnsi="Times New Roman" w:cs="Times New Roman"/>
          <w:sz w:val="22"/>
          <w:szCs w:val="22"/>
        </w:rPr>
        <w:t>. The effects of caloric restriction were controlled for in an animal experiment where metabolic markers were compared between a group of Zucker Diabetic Fatty rats implanted with the DJBL and a group that was paired-fed to the DJBL rats</w:t>
      </w:r>
      <w:r w:rsidR="005536FC">
        <w:rPr>
          <w:rFonts w:ascii="Times New Roman" w:hAnsi="Times New Roman" w:cs="Times New Roman"/>
          <w:sz w:val="22"/>
          <w:szCs w:val="22"/>
        </w:rPr>
        <w:t xml:space="preserve"> </w:t>
      </w:r>
      <w:r w:rsidR="0096461E">
        <w:rPr>
          <w:rFonts w:ascii="Times New Roman" w:hAnsi="Times New Roman" w:cs="Times New Roman"/>
          <w:sz w:val="22"/>
          <w:szCs w:val="22"/>
        </w:rPr>
        <w:fldChar w:fldCharType="begin"/>
      </w:r>
      <w:r w:rsidR="00B32CA1">
        <w:rPr>
          <w:rFonts w:ascii="Times New Roman" w:hAnsi="Times New Roman" w:cs="Times New Roman"/>
          <w:sz w:val="22"/>
          <w:szCs w:val="22"/>
        </w:rPr>
        <w:instrText xml:space="preserve"> ADDIN EN.CITE &lt;EndNote&gt;&lt;Cite&gt;&lt;Author&gt;Habegger&lt;/Author&gt;&lt;Year&gt;2013&lt;/Year&gt;&lt;RecNum&gt;1931&lt;/RecNum&gt;&lt;DisplayText&gt;(9)&lt;/DisplayText&gt;&lt;record&gt;&lt;rec-number&gt;1931&lt;/rec-number&gt;&lt;foreign-keys&gt;&lt;key app="EN" db-id="pr5z5wtv80t5xoex59tptpftdfs5rrtaaf9e" timestamp="1396732808"&gt;1931&lt;/key&gt;&lt;key app="ENWeb" db-id=""&gt;0&lt;/key&gt;&lt;/foreign-keys&gt;&lt;ref-type name="Journal Article"&gt;17&lt;/ref-type&gt;&lt;contributors&gt;&lt;authors&gt;&lt;author&gt;Habegger, K. M.&lt;/author&gt;&lt;author&gt;Al-Massadi, O.&lt;/author&gt;&lt;author&gt;Heppner, K. M.&lt;/author&gt;&lt;author&gt;Myronovych, A.&lt;/author&gt;&lt;author&gt;Holland, J.&lt;/author&gt;&lt;author&gt;Berger, J.&lt;/author&gt;&lt;author&gt;Yi, C. X.&lt;/author&gt;&lt;author&gt;Gao, Y.&lt;/author&gt;&lt;author&gt;Lehti, M.&lt;/author&gt;&lt;author&gt;Ottaway, N.&lt;/author&gt;&lt;author&gt;Amburgy, S.&lt;/author&gt;&lt;author&gt;Raver, C.&lt;/author&gt;&lt;author&gt;Muller, T. D.&lt;/author&gt;&lt;author&gt;Pfluger, P. T.&lt;/author&gt;&lt;author&gt;Kohli, R.&lt;/author&gt;&lt;author&gt;Perez-Tilve, D.&lt;/author&gt;&lt;author&gt;Seeley, R. J.&lt;/author&gt;&lt;author&gt;Tschop, M. H.&lt;/author&gt;&lt;/authors&gt;&lt;/contributors&gt;&lt;auth-address&gt;Division of Endocrinology, Department of Internal Medicine, Metabolic Diseases Institute, Obesity Research Center, University of Cincinnati, , Cincinnati, Ohio, USA.&lt;/auth-address&gt;&lt;titles&gt;&lt;title&gt;Duodenal nutrient exclusion improves metabolic syndrome and stimulates villus hyperplasia&lt;/title&gt;&lt;secondary-title&gt;Gut&lt;/secondary-title&gt;&lt;alt-title&gt;Gut&lt;/alt-title&gt;&lt;/titles&gt;&lt;periodical&gt;&lt;full-title&gt;Gut&lt;/full-title&gt;&lt;abbr-1&gt;Gut&lt;/abbr-1&gt;&lt;/periodical&gt;&lt;alt-periodical&gt;&lt;full-title&gt;Gut&lt;/full-title&gt;&lt;abbr-1&gt;Gut&lt;/abbr-1&gt;&lt;/alt-periodical&gt;&lt;dates&gt;&lt;year&gt;2013&lt;/year&gt;&lt;pub-dates&gt;&lt;date&gt;Oct 9&lt;/date&gt;&lt;/pub-dates&gt;&lt;/dates&gt;&lt;isbn&gt;1468-3288 (Electronic)&amp;#xD;0017-5749 (Linking)&lt;/isbn&gt;&lt;accession-num&gt;24107591&lt;/accession-num&gt;&lt;urls&gt;&lt;related-urls&gt;&lt;url&gt;http://www.ncbi.nlm.nih.gov/pubmed/24107591&lt;/url&gt;&lt;/related-urls&gt;&lt;/urls&gt;&lt;electronic-resource-num&gt;10.1136/gutjnl-2013-304583&lt;/electronic-resource-num&gt;&lt;/record&gt;&lt;/Cite&gt;&lt;/EndNote&gt;</w:instrText>
      </w:r>
      <w:r w:rsidR="0096461E">
        <w:rPr>
          <w:rFonts w:ascii="Times New Roman" w:hAnsi="Times New Roman" w:cs="Times New Roman"/>
          <w:sz w:val="22"/>
          <w:szCs w:val="22"/>
        </w:rPr>
        <w:fldChar w:fldCharType="separate"/>
      </w:r>
      <w:r w:rsidR="00B32CA1">
        <w:rPr>
          <w:rFonts w:ascii="Times New Roman" w:hAnsi="Times New Roman" w:cs="Times New Roman"/>
          <w:noProof/>
          <w:sz w:val="22"/>
          <w:szCs w:val="22"/>
        </w:rPr>
        <w:t>(</w:t>
      </w:r>
      <w:hyperlink w:anchor="_ENREF_9" w:tooltip="Habegger, 2013 #1931" w:history="1">
        <w:r w:rsidR="00B32CA1">
          <w:rPr>
            <w:rFonts w:ascii="Times New Roman" w:hAnsi="Times New Roman" w:cs="Times New Roman"/>
            <w:noProof/>
            <w:sz w:val="22"/>
            <w:szCs w:val="22"/>
          </w:rPr>
          <w:t>9</w:t>
        </w:r>
      </w:hyperlink>
      <w:r w:rsidR="00B32CA1">
        <w:rPr>
          <w:rFonts w:ascii="Times New Roman" w:hAnsi="Times New Roman" w:cs="Times New Roman"/>
          <w:noProof/>
          <w:sz w:val="22"/>
          <w:szCs w:val="22"/>
        </w:rPr>
        <w:t>)</w:t>
      </w:r>
      <w:r w:rsidR="0096461E">
        <w:rPr>
          <w:rFonts w:ascii="Times New Roman" w:hAnsi="Times New Roman" w:cs="Times New Roman"/>
          <w:sz w:val="22"/>
          <w:szCs w:val="22"/>
        </w:rPr>
        <w:fldChar w:fldCharType="end"/>
      </w:r>
      <w:r w:rsidRPr="002C2533">
        <w:rPr>
          <w:rFonts w:ascii="Times New Roman" w:hAnsi="Times New Roman" w:cs="Times New Roman"/>
          <w:sz w:val="22"/>
          <w:szCs w:val="22"/>
        </w:rPr>
        <w:t>. Indeed, there were no significant differences in markers of hepatic insulin sensitivity (assessed indirectly by fasting glucose and insulin concentrations) between the groups, a finding which is consistent with the results of this current study in humans.</w:t>
      </w:r>
    </w:p>
    <w:p w14:paraId="2FEE1E32" w14:textId="77777777" w:rsidR="002C2533" w:rsidRDefault="002C2533" w:rsidP="002C2533">
      <w:pPr>
        <w:spacing w:line="480" w:lineRule="auto"/>
        <w:jc w:val="both"/>
        <w:rPr>
          <w:rFonts w:ascii="Times New Roman" w:hAnsi="Times New Roman" w:cs="Times New Roman"/>
          <w:sz w:val="22"/>
          <w:szCs w:val="22"/>
        </w:rPr>
      </w:pPr>
    </w:p>
    <w:p w14:paraId="7B4E0226" w14:textId="77777777"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The novelty of our study lies in that we largely controlled for the effects of caloric restriction by asking our patients to consume the same low-calorie liquid diet both before </w:t>
      </w:r>
      <w:r w:rsidRPr="002C2533">
        <w:rPr>
          <w:rFonts w:ascii="Times New Roman" w:hAnsi="Times New Roman" w:cs="Times New Roman"/>
          <w:i/>
          <w:sz w:val="22"/>
          <w:szCs w:val="22"/>
        </w:rPr>
        <w:t xml:space="preserve">and </w:t>
      </w:r>
      <w:r w:rsidRPr="002C2533">
        <w:rPr>
          <w:rFonts w:ascii="Times New Roman" w:hAnsi="Times New Roman" w:cs="Times New Roman"/>
          <w:sz w:val="22"/>
          <w:szCs w:val="22"/>
        </w:rPr>
        <w:t xml:space="preserve">after the bypass of their proximal small bowel. Between visits 1 and 2, and whilst on the low-calorie liquid diet, our patients exhibited the expected improvement in hepatic insulin sensitivity as reflected by the significantly lower HGP. The small amount of weight loss after the DJBL implantation, suggests that patients were still in a negative energy balance secondary to reduced calorie intake. Even so, this did not translate to an additional reduction in HGP. We cannot exclude that the rise in inflammatory markers after the procedure may have masked and counteracted any effects the DJBL may have on insulin sensitivity; nevertheless, these effects, if any, are likely to be of small physiological and clinical significance. </w:t>
      </w:r>
    </w:p>
    <w:p w14:paraId="5D094365" w14:textId="77777777" w:rsidR="002C2533" w:rsidRDefault="002C2533" w:rsidP="002C2533">
      <w:pPr>
        <w:spacing w:line="480" w:lineRule="auto"/>
        <w:jc w:val="both"/>
        <w:rPr>
          <w:rFonts w:ascii="Times New Roman" w:hAnsi="Times New Roman" w:cs="Times New Roman"/>
          <w:sz w:val="22"/>
          <w:szCs w:val="22"/>
        </w:rPr>
      </w:pPr>
    </w:p>
    <w:p w14:paraId="1A9BF5E5" w14:textId="6E893D81" w:rsid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Our study is limited by the small number of participants </w:t>
      </w:r>
      <w:r w:rsidR="006B61EF">
        <w:rPr>
          <w:rFonts w:ascii="Times New Roman" w:hAnsi="Times New Roman" w:cs="Times New Roman"/>
          <w:sz w:val="22"/>
          <w:szCs w:val="22"/>
        </w:rPr>
        <w:t xml:space="preserve">and the lack of a control group, and therefore our findings will need to be confirmed by larger randomized controlled trials (e.g. ISRCTN30845205).  </w:t>
      </w:r>
      <w:r w:rsidRPr="002C2533">
        <w:rPr>
          <w:rFonts w:ascii="Times New Roman" w:hAnsi="Times New Roman" w:cs="Times New Roman"/>
          <w:sz w:val="22"/>
          <w:szCs w:val="22"/>
        </w:rPr>
        <w:t xml:space="preserve"> As already mentioned, whilst our participants were instructed to consume the same amount of the LCD both before and after the DJBL implantation, this may not have been fully possible post-procedure due to the expected side effects of abdominal pain and nausea. Nevertheless, the reduction in caloric intake was reported to be small and so was the weight loss achieved. </w:t>
      </w:r>
    </w:p>
    <w:p w14:paraId="31657114" w14:textId="77777777" w:rsidR="00B32CA1" w:rsidRDefault="00B32CA1" w:rsidP="002C2533">
      <w:pPr>
        <w:spacing w:line="480" w:lineRule="auto"/>
        <w:jc w:val="both"/>
        <w:rPr>
          <w:rFonts w:ascii="Times New Roman" w:hAnsi="Times New Roman" w:cs="Times New Roman"/>
          <w:sz w:val="22"/>
          <w:szCs w:val="22"/>
        </w:rPr>
      </w:pPr>
    </w:p>
    <w:p w14:paraId="4E6F2026" w14:textId="688DFF21" w:rsidR="00B32CA1" w:rsidRPr="00B32CA1" w:rsidRDefault="00B32CA1" w:rsidP="002C2533">
      <w:pPr>
        <w:spacing w:line="480" w:lineRule="auto"/>
        <w:jc w:val="both"/>
        <w:rPr>
          <w:rFonts w:ascii="Times New Roman" w:hAnsi="Times New Roman" w:cs="Times New Roman"/>
          <w:b/>
          <w:sz w:val="22"/>
          <w:szCs w:val="22"/>
        </w:rPr>
      </w:pPr>
      <w:r w:rsidRPr="00B32CA1">
        <w:rPr>
          <w:rFonts w:ascii="Times New Roman" w:hAnsi="Times New Roman" w:cs="Times New Roman"/>
          <w:b/>
          <w:sz w:val="22"/>
          <w:szCs w:val="22"/>
        </w:rPr>
        <w:lastRenderedPageBreak/>
        <w:t>CONCLUSION</w:t>
      </w:r>
    </w:p>
    <w:p w14:paraId="6C350391" w14:textId="37D370CD"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 xml:space="preserve">Our findings suggest that caloric restriction may be the predominant driver of early increases in hepatic insulin sensitivity after the </w:t>
      </w:r>
      <w:r w:rsidR="00801A77">
        <w:rPr>
          <w:rFonts w:ascii="Times New Roman" w:hAnsi="Times New Roman" w:cs="Times New Roman"/>
          <w:sz w:val="22"/>
          <w:szCs w:val="22"/>
        </w:rPr>
        <w:t xml:space="preserve">endoscopic </w:t>
      </w:r>
      <w:r w:rsidRPr="002C2533">
        <w:rPr>
          <w:rFonts w:ascii="Times New Roman" w:hAnsi="Times New Roman" w:cs="Times New Roman"/>
          <w:sz w:val="22"/>
          <w:szCs w:val="22"/>
        </w:rPr>
        <w:t>bypass of the proximal small</w:t>
      </w:r>
      <w:r w:rsidR="00C63413">
        <w:rPr>
          <w:rFonts w:ascii="Times New Roman" w:hAnsi="Times New Roman" w:cs="Times New Roman"/>
          <w:sz w:val="22"/>
          <w:szCs w:val="22"/>
        </w:rPr>
        <w:t xml:space="preserve"> bowel</w:t>
      </w:r>
      <w:r w:rsidRPr="002C2533">
        <w:rPr>
          <w:rFonts w:ascii="Times New Roman" w:hAnsi="Times New Roman" w:cs="Times New Roman"/>
          <w:sz w:val="22"/>
          <w:szCs w:val="22"/>
        </w:rPr>
        <w:t>. The same mechanism may be at play after RYGB and explain, at least in part, the rapid improvements in glycaemia observed early after surgery.</w:t>
      </w:r>
    </w:p>
    <w:p w14:paraId="48D6C66A" w14:textId="77777777" w:rsidR="002C2533" w:rsidRPr="002C2533" w:rsidRDefault="002C2533" w:rsidP="002C2533">
      <w:pPr>
        <w:rPr>
          <w:rFonts w:ascii="Times New Roman" w:hAnsi="Times New Roman" w:cs="Times New Roman"/>
          <w:b/>
          <w:sz w:val="22"/>
          <w:szCs w:val="22"/>
        </w:rPr>
      </w:pPr>
    </w:p>
    <w:p w14:paraId="010AEBE7" w14:textId="77777777" w:rsidR="00B22B0E" w:rsidRPr="002C2533" w:rsidRDefault="00B22B0E" w:rsidP="00B22B0E">
      <w:pPr>
        <w:spacing w:line="480" w:lineRule="auto"/>
        <w:jc w:val="both"/>
        <w:rPr>
          <w:rFonts w:ascii="Times New Roman" w:hAnsi="Times New Roman" w:cs="Times New Roman"/>
          <w:sz w:val="22"/>
          <w:szCs w:val="22"/>
        </w:rPr>
      </w:pPr>
      <w:r w:rsidRPr="002C2533">
        <w:rPr>
          <w:rFonts w:ascii="Times New Roman" w:hAnsi="Times New Roman" w:cs="Times New Roman"/>
          <w:b/>
          <w:sz w:val="22"/>
          <w:szCs w:val="22"/>
        </w:rPr>
        <w:t>Table 1 Participant characteristics/data at baseline and during the course of the study</w:t>
      </w:r>
    </w:p>
    <w:tbl>
      <w:tblPr>
        <w:tblStyle w:val="TableGrid"/>
        <w:tblW w:w="5993" w:type="pct"/>
        <w:tblInd w:w="-560" w:type="dxa"/>
        <w:tblLook w:val="04A0" w:firstRow="1" w:lastRow="0" w:firstColumn="1" w:lastColumn="0" w:noHBand="0" w:noVBand="1"/>
      </w:tblPr>
      <w:tblGrid>
        <w:gridCol w:w="2804"/>
        <w:gridCol w:w="1388"/>
        <w:gridCol w:w="1437"/>
        <w:gridCol w:w="1437"/>
        <w:gridCol w:w="1051"/>
        <w:gridCol w:w="2090"/>
      </w:tblGrid>
      <w:tr w:rsidR="00B22B0E" w:rsidRPr="002C2533" w14:paraId="51D7485E" w14:textId="77777777" w:rsidTr="00207E23">
        <w:tc>
          <w:tcPr>
            <w:tcW w:w="1373" w:type="pct"/>
          </w:tcPr>
          <w:p w14:paraId="1B08A96E" w14:textId="77777777" w:rsidR="00B22B0E" w:rsidRPr="002C2533" w:rsidRDefault="00B22B0E" w:rsidP="00C63413">
            <w:pPr>
              <w:rPr>
                <w:rFonts w:ascii="Times New Roman" w:hAnsi="Times New Roman" w:cs="Times New Roman"/>
              </w:rPr>
            </w:pPr>
          </w:p>
        </w:tc>
        <w:tc>
          <w:tcPr>
            <w:tcW w:w="680" w:type="pct"/>
          </w:tcPr>
          <w:p w14:paraId="36589065"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Visit 1</w:t>
            </w:r>
          </w:p>
          <w:p w14:paraId="7EA830D7"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Baseline</w:t>
            </w:r>
          </w:p>
        </w:tc>
        <w:tc>
          <w:tcPr>
            <w:tcW w:w="704" w:type="pct"/>
          </w:tcPr>
          <w:p w14:paraId="1566AEE8"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Visit 2</w:t>
            </w:r>
          </w:p>
          <w:p w14:paraId="1F50A511"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Post LCD</w:t>
            </w:r>
          </w:p>
        </w:tc>
        <w:tc>
          <w:tcPr>
            <w:tcW w:w="704" w:type="pct"/>
          </w:tcPr>
          <w:p w14:paraId="73D94C26"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Visit 3</w:t>
            </w:r>
          </w:p>
          <w:p w14:paraId="724B38E0"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Post DJBL</w:t>
            </w:r>
          </w:p>
        </w:tc>
        <w:tc>
          <w:tcPr>
            <w:tcW w:w="515" w:type="pct"/>
          </w:tcPr>
          <w:p w14:paraId="4AD1D8F1"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ANOVA</w:t>
            </w:r>
          </w:p>
          <w:p w14:paraId="6F7C8138"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P value</w:t>
            </w:r>
          </w:p>
        </w:tc>
        <w:tc>
          <w:tcPr>
            <w:tcW w:w="1024" w:type="pct"/>
          </w:tcPr>
          <w:p w14:paraId="16764239" w14:textId="77777777" w:rsidR="00B22B0E" w:rsidRPr="002C2533" w:rsidRDefault="00B22B0E" w:rsidP="00C63413">
            <w:pPr>
              <w:jc w:val="center"/>
              <w:rPr>
                <w:rFonts w:ascii="Times New Roman" w:hAnsi="Times New Roman" w:cs="Times New Roman"/>
                <w:b/>
              </w:rPr>
            </w:pPr>
            <w:r w:rsidRPr="002C2533">
              <w:rPr>
                <w:rFonts w:ascii="Times New Roman" w:hAnsi="Times New Roman" w:cs="Times New Roman"/>
                <w:b/>
              </w:rPr>
              <w:t>Pairwise comparisons</w:t>
            </w:r>
          </w:p>
        </w:tc>
      </w:tr>
      <w:tr w:rsidR="00B22B0E" w:rsidRPr="002C2533" w14:paraId="6EA831A6" w14:textId="77777777" w:rsidTr="00207E23">
        <w:tc>
          <w:tcPr>
            <w:tcW w:w="1373" w:type="pct"/>
            <w:vAlign w:val="center"/>
          </w:tcPr>
          <w:p w14:paraId="4B0018D0" w14:textId="77777777" w:rsidR="00B22B0E" w:rsidRPr="002C2533" w:rsidRDefault="00B22B0E" w:rsidP="00C63413">
            <w:pPr>
              <w:rPr>
                <w:rFonts w:ascii="Times New Roman" w:hAnsi="Times New Roman" w:cs="Times New Roman"/>
                <w:b/>
              </w:rPr>
            </w:pPr>
            <w:r w:rsidRPr="002C2533">
              <w:rPr>
                <w:rFonts w:ascii="Times New Roman" w:hAnsi="Times New Roman" w:cs="Times New Roman"/>
                <w:b/>
              </w:rPr>
              <w:t xml:space="preserve">Age </w:t>
            </w:r>
            <w:r w:rsidRPr="002C2533">
              <w:rPr>
                <w:rFonts w:ascii="Times New Roman" w:hAnsi="Times New Roman" w:cs="Times New Roman"/>
              </w:rPr>
              <w:t>(years)</w:t>
            </w:r>
          </w:p>
        </w:tc>
        <w:tc>
          <w:tcPr>
            <w:tcW w:w="680" w:type="pct"/>
            <w:vAlign w:val="center"/>
          </w:tcPr>
          <w:p w14:paraId="5DC4B528"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52 ± 12</w:t>
            </w:r>
          </w:p>
        </w:tc>
        <w:tc>
          <w:tcPr>
            <w:tcW w:w="704" w:type="pct"/>
            <w:vAlign w:val="center"/>
          </w:tcPr>
          <w:p w14:paraId="5E66B850"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704" w:type="pct"/>
            <w:vAlign w:val="center"/>
          </w:tcPr>
          <w:p w14:paraId="25B9CDC6"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515" w:type="pct"/>
            <w:vAlign w:val="center"/>
          </w:tcPr>
          <w:p w14:paraId="6417F04E"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1024" w:type="pct"/>
            <w:vAlign w:val="center"/>
          </w:tcPr>
          <w:p w14:paraId="056AD634"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r>
      <w:tr w:rsidR="00B22B0E" w:rsidRPr="002C2533" w14:paraId="7002CE04" w14:textId="77777777" w:rsidTr="00207E23">
        <w:tc>
          <w:tcPr>
            <w:tcW w:w="1373" w:type="pct"/>
            <w:vAlign w:val="center"/>
          </w:tcPr>
          <w:p w14:paraId="4585A650" w14:textId="77777777" w:rsidR="00B22B0E" w:rsidRPr="002C2533" w:rsidRDefault="00B22B0E" w:rsidP="00C63413">
            <w:pPr>
              <w:rPr>
                <w:rFonts w:ascii="Times New Roman" w:hAnsi="Times New Roman" w:cs="Times New Roman"/>
                <w:b/>
              </w:rPr>
            </w:pPr>
            <w:r w:rsidRPr="002C2533">
              <w:rPr>
                <w:rFonts w:ascii="Times New Roman" w:hAnsi="Times New Roman" w:cs="Times New Roman"/>
                <w:b/>
              </w:rPr>
              <w:t xml:space="preserve">Gender </w:t>
            </w:r>
            <w:r w:rsidRPr="002C2533">
              <w:rPr>
                <w:rFonts w:ascii="Times New Roman" w:hAnsi="Times New Roman" w:cs="Times New Roman"/>
              </w:rPr>
              <w:t>(M/F)</w:t>
            </w:r>
          </w:p>
        </w:tc>
        <w:tc>
          <w:tcPr>
            <w:tcW w:w="680" w:type="pct"/>
            <w:vAlign w:val="center"/>
          </w:tcPr>
          <w:p w14:paraId="334A3264"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5/2</w:t>
            </w:r>
          </w:p>
        </w:tc>
        <w:tc>
          <w:tcPr>
            <w:tcW w:w="704" w:type="pct"/>
            <w:vAlign w:val="center"/>
          </w:tcPr>
          <w:p w14:paraId="407BEC50"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704" w:type="pct"/>
            <w:vAlign w:val="center"/>
          </w:tcPr>
          <w:p w14:paraId="6D258590"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515" w:type="pct"/>
            <w:vAlign w:val="center"/>
          </w:tcPr>
          <w:p w14:paraId="5381D09C"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1024" w:type="pct"/>
            <w:vAlign w:val="center"/>
          </w:tcPr>
          <w:p w14:paraId="362CCEB5"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r>
      <w:tr w:rsidR="00B22B0E" w:rsidRPr="002C2533" w14:paraId="5A4FD8D5" w14:textId="77777777" w:rsidTr="00207E23">
        <w:tc>
          <w:tcPr>
            <w:tcW w:w="1373" w:type="pct"/>
            <w:vAlign w:val="center"/>
          </w:tcPr>
          <w:p w14:paraId="36A66E9B" w14:textId="77777777" w:rsidR="00B22B0E" w:rsidRPr="002C2533" w:rsidRDefault="00B22B0E" w:rsidP="00C63413">
            <w:pPr>
              <w:rPr>
                <w:rFonts w:ascii="Times New Roman" w:hAnsi="Times New Roman" w:cs="Times New Roman"/>
              </w:rPr>
            </w:pPr>
            <w:r w:rsidRPr="002C2533">
              <w:rPr>
                <w:rFonts w:ascii="Times New Roman" w:hAnsi="Times New Roman" w:cs="Times New Roman"/>
                <w:b/>
              </w:rPr>
              <w:t xml:space="preserve">HbA1c </w:t>
            </w:r>
            <w:r w:rsidRPr="002C2533">
              <w:rPr>
                <w:rFonts w:ascii="Times New Roman" w:hAnsi="Times New Roman" w:cs="Times New Roman"/>
              </w:rPr>
              <w:t>(mmol/mol)</w:t>
            </w:r>
          </w:p>
          <w:p w14:paraId="29EE1397" w14:textId="77777777" w:rsidR="00B22B0E" w:rsidRPr="002C2533" w:rsidRDefault="00B22B0E" w:rsidP="00C63413">
            <w:pPr>
              <w:rPr>
                <w:rFonts w:ascii="Times New Roman" w:hAnsi="Times New Roman" w:cs="Times New Roman"/>
                <w:b/>
              </w:rPr>
            </w:pPr>
            <w:r w:rsidRPr="002C2533">
              <w:rPr>
                <w:rFonts w:ascii="Times New Roman" w:hAnsi="Times New Roman" w:cs="Times New Roman"/>
              </w:rPr>
              <w:t xml:space="preserve">             (%)</w:t>
            </w:r>
          </w:p>
        </w:tc>
        <w:tc>
          <w:tcPr>
            <w:tcW w:w="680" w:type="pct"/>
            <w:vAlign w:val="center"/>
          </w:tcPr>
          <w:p w14:paraId="2D72552F"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53 ± 17</w:t>
            </w:r>
          </w:p>
          <w:p w14:paraId="163AB0F0"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7.2 ± 1.6</w:t>
            </w:r>
          </w:p>
        </w:tc>
        <w:tc>
          <w:tcPr>
            <w:tcW w:w="704" w:type="pct"/>
            <w:vAlign w:val="center"/>
          </w:tcPr>
          <w:p w14:paraId="64A297E4"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704" w:type="pct"/>
            <w:vAlign w:val="center"/>
          </w:tcPr>
          <w:p w14:paraId="4CA9E237"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515" w:type="pct"/>
            <w:vAlign w:val="center"/>
          </w:tcPr>
          <w:p w14:paraId="2C583066"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c>
          <w:tcPr>
            <w:tcW w:w="1024" w:type="pct"/>
            <w:vAlign w:val="center"/>
          </w:tcPr>
          <w:p w14:paraId="4E45796B"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w:t>
            </w:r>
          </w:p>
        </w:tc>
      </w:tr>
      <w:tr w:rsidR="00B22B0E" w:rsidRPr="002C2533" w14:paraId="2B36BD94" w14:textId="77777777" w:rsidTr="00207E23">
        <w:tc>
          <w:tcPr>
            <w:tcW w:w="1373" w:type="pct"/>
            <w:vAlign w:val="center"/>
          </w:tcPr>
          <w:p w14:paraId="443E50D9" w14:textId="77777777" w:rsidR="00B22B0E" w:rsidRPr="002C2533" w:rsidRDefault="00B22B0E" w:rsidP="00C63413">
            <w:pPr>
              <w:rPr>
                <w:rFonts w:ascii="Times New Roman" w:hAnsi="Times New Roman" w:cs="Times New Roman"/>
                <w:b/>
              </w:rPr>
            </w:pPr>
            <w:r w:rsidRPr="002C2533">
              <w:rPr>
                <w:rFonts w:ascii="Times New Roman" w:hAnsi="Times New Roman" w:cs="Times New Roman"/>
                <w:b/>
              </w:rPr>
              <w:t xml:space="preserve">BMI </w:t>
            </w:r>
          </w:p>
          <w:p w14:paraId="25B07D22"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(Kg/m</w:t>
            </w:r>
            <w:r w:rsidRPr="002C2533">
              <w:rPr>
                <w:rFonts w:ascii="Times New Roman" w:hAnsi="Times New Roman" w:cs="Times New Roman"/>
                <w:vertAlign w:val="superscript"/>
              </w:rPr>
              <w:t>2</w:t>
            </w:r>
            <w:r w:rsidRPr="002C2533">
              <w:rPr>
                <w:rFonts w:ascii="Times New Roman" w:hAnsi="Times New Roman" w:cs="Times New Roman"/>
              </w:rPr>
              <w:t>)</w:t>
            </w:r>
          </w:p>
        </w:tc>
        <w:tc>
          <w:tcPr>
            <w:tcW w:w="680" w:type="pct"/>
            <w:vAlign w:val="center"/>
          </w:tcPr>
          <w:p w14:paraId="7EBD5531"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48.5 ± 7.9</w:t>
            </w:r>
          </w:p>
        </w:tc>
        <w:tc>
          <w:tcPr>
            <w:tcW w:w="704" w:type="pct"/>
            <w:vAlign w:val="center"/>
          </w:tcPr>
          <w:p w14:paraId="407A42D2"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47.1 ± 7.6</w:t>
            </w:r>
          </w:p>
        </w:tc>
        <w:tc>
          <w:tcPr>
            <w:tcW w:w="704" w:type="pct"/>
            <w:vAlign w:val="center"/>
          </w:tcPr>
          <w:p w14:paraId="2D623C18"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45.7 ± 7.8</w:t>
            </w:r>
          </w:p>
        </w:tc>
        <w:tc>
          <w:tcPr>
            <w:tcW w:w="515" w:type="pct"/>
            <w:vAlign w:val="center"/>
          </w:tcPr>
          <w:p w14:paraId="2CA83B56"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&lt;0.0001</w:t>
            </w:r>
          </w:p>
        </w:tc>
        <w:tc>
          <w:tcPr>
            <w:tcW w:w="1024" w:type="pct"/>
            <w:vAlign w:val="center"/>
          </w:tcPr>
          <w:p w14:paraId="4CF92B2E"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Visit 1 vs. 2 p&lt;0.01</w:t>
            </w:r>
          </w:p>
          <w:p w14:paraId="0DFA74DB"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Visit 2 vs. 3 p&lt;0.01</w:t>
            </w:r>
          </w:p>
          <w:p w14:paraId="5C61B3AC"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Visit 1 vs. 3 p&lt;0.001</w:t>
            </w:r>
          </w:p>
        </w:tc>
      </w:tr>
      <w:tr w:rsidR="00B22B0E" w:rsidRPr="002C2533" w14:paraId="0C99A76C" w14:textId="77777777" w:rsidTr="00207E23">
        <w:tc>
          <w:tcPr>
            <w:tcW w:w="1373" w:type="pct"/>
            <w:vAlign w:val="center"/>
          </w:tcPr>
          <w:p w14:paraId="6E13A669" w14:textId="77777777" w:rsidR="00B22B0E" w:rsidRPr="002C2533" w:rsidRDefault="00B22B0E" w:rsidP="00C63413">
            <w:pPr>
              <w:rPr>
                <w:rFonts w:ascii="Times New Roman" w:hAnsi="Times New Roman" w:cs="Times New Roman"/>
                <w:b/>
              </w:rPr>
            </w:pPr>
            <w:r w:rsidRPr="002C2533">
              <w:rPr>
                <w:rFonts w:ascii="Times New Roman" w:hAnsi="Times New Roman" w:cs="Times New Roman"/>
                <w:b/>
              </w:rPr>
              <w:t xml:space="preserve">Weight </w:t>
            </w:r>
          </w:p>
          <w:p w14:paraId="02E40D93"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(Kg)</w:t>
            </w:r>
          </w:p>
        </w:tc>
        <w:tc>
          <w:tcPr>
            <w:tcW w:w="680" w:type="pct"/>
            <w:vAlign w:val="center"/>
          </w:tcPr>
          <w:p w14:paraId="01E96472"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141.9 ± 26.5</w:t>
            </w:r>
          </w:p>
        </w:tc>
        <w:tc>
          <w:tcPr>
            <w:tcW w:w="704" w:type="pct"/>
            <w:vAlign w:val="center"/>
          </w:tcPr>
          <w:p w14:paraId="71BF2B0D"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138.3 ± 26.1</w:t>
            </w:r>
          </w:p>
        </w:tc>
        <w:tc>
          <w:tcPr>
            <w:tcW w:w="704" w:type="pct"/>
            <w:vAlign w:val="center"/>
          </w:tcPr>
          <w:p w14:paraId="4DE3870E"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134.0 ± 26.3</w:t>
            </w:r>
          </w:p>
        </w:tc>
        <w:tc>
          <w:tcPr>
            <w:tcW w:w="515" w:type="pct"/>
            <w:vAlign w:val="center"/>
          </w:tcPr>
          <w:p w14:paraId="2CC10784" w14:textId="77777777" w:rsidR="00B22B0E" w:rsidRPr="002C2533" w:rsidRDefault="00B22B0E" w:rsidP="00C63413">
            <w:pPr>
              <w:jc w:val="center"/>
              <w:rPr>
                <w:rFonts w:ascii="Times New Roman" w:hAnsi="Times New Roman" w:cs="Times New Roman"/>
              </w:rPr>
            </w:pPr>
            <w:r w:rsidRPr="002C2533">
              <w:rPr>
                <w:rFonts w:ascii="Times New Roman" w:hAnsi="Times New Roman" w:cs="Times New Roman"/>
              </w:rPr>
              <w:t>&lt;0.0001</w:t>
            </w:r>
          </w:p>
        </w:tc>
        <w:tc>
          <w:tcPr>
            <w:tcW w:w="1024" w:type="pct"/>
            <w:vAlign w:val="center"/>
          </w:tcPr>
          <w:p w14:paraId="044A2E38"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Visit 1 vs. 2 p&lt;0.01</w:t>
            </w:r>
          </w:p>
          <w:p w14:paraId="2CDBD6F6"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Visit 2 vs. 3 p&lt;0.01</w:t>
            </w:r>
          </w:p>
          <w:p w14:paraId="08D27330" w14:textId="77777777" w:rsidR="00B22B0E" w:rsidRPr="002C2533" w:rsidRDefault="00B22B0E" w:rsidP="00C63413">
            <w:pPr>
              <w:rPr>
                <w:rFonts w:ascii="Times New Roman" w:hAnsi="Times New Roman" w:cs="Times New Roman"/>
              </w:rPr>
            </w:pPr>
            <w:r w:rsidRPr="002C2533">
              <w:rPr>
                <w:rFonts w:ascii="Times New Roman" w:hAnsi="Times New Roman" w:cs="Times New Roman"/>
              </w:rPr>
              <w:t>Visit 1 vs. 3 p&lt;0.001</w:t>
            </w:r>
          </w:p>
        </w:tc>
      </w:tr>
      <w:tr w:rsidR="00E61AEA" w:rsidRPr="002C2533" w14:paraId="217C05C2" w14:textId="77777777" w:rsidTr="00207E23">
        <w:tc>
          <w:tcPr>
            <w:tcW w:w="1373" w:type="pct"/>
            <w:vAlign w:val="center"/>
          </w:tcPr>
          <w:p w14:paraId="31F3AC39" w14:textId="3CE84E2A" w:rsidR="00E61AEA" w:rsidRPr="002C2533" w:rsidRDefault="00E61AEA" w:rsidP="00C63413">
            <w:pPr>
              <w:rPr>
                <w:rFonts w:ascii="Times New Roman" w:hAnsi="Times New Roman" w:cs="Times New Roman"/>
                <w:b/>
              </w:rPr>
            </w:pPr>
            <w:r>
              <w:rPr>
                <w:rFonts w:ascii="Times New Roman" w:hAnsi="Times New Roman" w:cs="Times New Roman"/>
                <w:b/>
              </w:rPr>
              <w:t>Absolute body weight loss vs. baseline (Kg)</w:t>
            </w:r>
          </w:p>
        </w:tc>
        <w:tc>
          <w:tcPr>
            <w:tcW w:w="680" w:type="pct"/>
            <w:vAlign w:val="center"/>
          </w:tcPr>
          <w:p w14:paraId="6C22D561" w14:textId="4B397FEA" w:rsidR="00E61AEA" w:rsidRPr="002C2533" w:rsidRDefault="00E61AEA" w:rsidP="00E61AEA">
            <w:pPr>
              <w:jc w:val="center"/>
              <w:rPr>
                <w:rFonts w:ascii="Times New Roman" w:hAnsi="Times New Roman" w:cs="Times New Roman"/>
              </w:rPr>
            </w:pPr>
            <w:r>
              <w:rPr>
                <w:rFonts w:ascii="Times New Roman" w:hAnsi="Times New Roman" w:cs="Times New Roman"/>
              </w:rPr>
              <w:t>-</w:t>
            </w:r>
          </w:p>
        </w:tc>
        <w:tc>
          <w:tcPr>
            <w:tcW w:w="704" w:type="pct"/>
            <w:vAlign w:val="center"/>
          </w:tcPr>
          <w:p w14:paraId="0F60DFCE" w14:textId="6846D892" w:rsidR="00E61AEA" w:rsidRPr="002C2533" w:rsidRDefault="00E61AEA" w:rsidP="00E61AEA">
            <w:pPr>
              <w:jc w:val="center"/>
              <w:rPr>
                <w:rFonts w:ascii="Times New Roman" w:hAnsi="Times New Roman" w:cs="Times New Roman"/>
              </w:rPr>
            </w:pPr>
            <w:r>
              <w:rPr>
                <w:rFonts w:ascii="Arial" w:hAnsi="Arial" w:cs="Arial"/>
                <w:sz w:val="20"/>
                <w:szCs w:val="20"/>
              </w:rPr>
              <w:t>3.6 ± 1.7</w:t>
            </w:r>
          </w:p>
        </w:tc>
        <w:tc>
          <w:tcPr>
            <w:tcW w:w="704" w:type="pct"/>
            <w:vAlign w:val="center"/>
          </w:tcPr>
          <w:p w14:paraId="1276952A" w14:textId="578CF8A3" w:rsidR="00E61AEA" w:rsidRPr="002C2533" w:rsidRDefault="00E61AEA" w:rsidP="00E61AEA">
            <w:pPr>
              <w:jc w:val="center"/>
              <w:rPr>
                <w:rFonts w:ascii="Times New Roman" w:hAnsi="Times New Roman" w:cs="Times New Roman"/>
              </w:rPr>
            </w:pPr>
            <w:r>
              <w:rPr>
                <w:rFonts w:ascii="Arial" w:hAnsi="Arial" w:cs="Arial"/>
                <w:sz w:val="20"/>
                <w:szCs w:val="20"/>
              </w:rPr>
              <w:t>7.9 ± 3.3</w:t>
            </w:r>
          </w:p>
        </w:tc>
        <w:tc>
          <w:tcPr>
            <w:tcW w:w="515" w:type="pct"/>
            <w:vAlign w:val="center"/>
          </w:tcPr>
          <w:p w14:paraId="6A452FFE" w14:textId="091BE33D" w:rsidR="00E61AEA" w:rsidRPr="002C2533" w:rsidRDefault="00207E23" w:rsidP="00E61AEA">
            <w:pPr>
              <w:jc w:val="center"/>
              <w:rPr>
                <w:rFonts w:ascii="Times New Roman" w:hAnsi="Times New Roman" w:cs="Times New Roman"/>
              </w:rPr>
            </w:pPr>
            <w:r>
              <w:rPr>
                <w:rFonts w:ascii="Times New Roman" w:hAnsi="Times New Roman" w:cs="Times New Roman"/>
              </w:rPr>
              <w:t>n/a</w:t>
            </w:r>
          </w:p>
        </w:tc>
        <w:tc>
          <w:tcPr>
            <w:tcW w:w="1024" w:type="pct"/>
            <w:vAlign w:val="center"/>
          </w:tcPr>
          <w:p w14:paraId="7B4F04E7" w14:textId="3C55719D" w:rsidR="00E61AEA" w:rsidRPr="002C2533" w:rsidRDefault="00E61AEA" w:rsidP="00E61AEA">
            <w:pPr>
              <w:jc w:val="center"/>
              <w:rPr>
                <w:rFonts w:ascii="Times New Roman" w:hAnsi="Times New Roman" w:cs="Times New Roman"/>
              </w:rPr>
            </w:pPr>
            <w:r>
              <w:rPr>
                <w:rFonts w:ascii="Times New Roman" w:hAnsi="Times New Roman" w:cs="Times New Roman"/>
              </w:rPr>
              <w:t>-</w:t>
            </w:r>
          </w:p>
        </w:tc>
      </w:tr>
      <w:tr w:rsidR="00E61AEA" w:rsidRPr="002C2533" w14:paraId="5E8188C7" w14:textId="77777777" w:rsidTr="00207E23">
        <w:tc>
          <w:tcPr>
            <w:tcW w:w="1373" w:type="pct"/>
            <w:vAlign w:val="center"/>
          </w:tcPr>
          <w:p w14:paraId="3A2E716D" w14:textId="30602FA6" w:rsidR="00E61AEA" w:rsidRPr="002C2533" w:rsidRDefault="00E61AEA" w:rsidP="00C63413">
            <w:pPr>
              <w:rPr>
                <w:rFonts w:ascii="Times New Roman" w:hAnsi="Times New Roman" w:cs="Times New Roman"/>
                <w:b/>
              </w:rPr>
            </w:pPr>
            <w:r>
              <w:rPr>
                <w:rFonts w:ascii="Times New Roman" w:hAnsi="Times New Roman" w:cs="Times New Roman"/>
                <w:b/>
              </w:rPr>
              <w:t>% body weight loss vs. baseline</w:t>
            </w:r>
          </w:p>
        </w:tc>
        <w:tc>
          <w:tcPr>
            <w:tcW w:w="680" w:type="pct"/>
            <w:vAlign w:val="center"/>
          </w:tcPr>
          <w:p w14:paraId="22C239F7" w14:textId="1959B277" w:rsidR="00E61AEA" w:rsidRPr="002C2533" w:rsidRDefault="00E61AEA" w:rsidP="00E61AEA">
            <w:pPr>
              <w:jc w:val="center"/>
              <w:rPr>
                <w:rFonts w:ascii="Times New Roman" w:hAnsi="Times New Roman" w:cs="Times New Roman"/>
              </w:rPr>
            </w:pPr>
            <w:r>
              <w:rPr>
                <w:rFonts w:ascii="Times New Roman" w:hAnsi="Times New Roman" w:cs="Times New Roman"/>
              </w:rPr>
              <w:t>-</w:t>
            </w:r>
          </w:p>
        </w:tc>
        <w:tc>
          <w:tcPr>
            <w:tcW w:w="704" w:type="pct"/>
            <w:vAlign w:val="center"/>
          </w:tcPr>
          <w:p w14:paraId="10368AA1" w14:textId="04907C24" w:rsidR="00E61AEA" w:rsidRPr="002C2533" w:rsidRDefault="00E61AEA" w:rsidP="00E61AEA">
            <w:pPr>
              <w:jc w:val="center"/>
              <w:rPr>
                <w:rFonts w:ascii="Times New Roman" w:hAnsi="Times New Roman" w:cs="Times New Roman"/>
              </w:rPr>
            </w:pPr>
            <w:r w:rsidRPr="00E61AEA">
              <w:rPr>
                <w:rFonts w:ascii="Times New Roman" w:hAnsi="Times New Roman" w:cs="Times New Roman"/>
              </w:rPr>
              <w:t>2.5</w:t>
            </w:r>
            <w:r>
              <w:rPr>
                <w:rFonts w:ascii="Times New Roman" w:hAnsi="Times New Roman" w:cs="Times New Roman"/>
              </w:rPr>
              <w:t xml:space="preserve"> ± </w:t>
            </w:r>
            <w:r w:rsidRPr="00E61AEA">
              <w:rPr>
                <w:rFonts w:ascii="Times New Roman" w:hAnsi="Times New Roman" w:cs="Times New Roman"/>
              </w:rPr>
              <w:t>1.1</w:t>
            </w:r>
          </w:p>
        </w:tc>
        <w:tc>
          <w:tcPr>
            <w:tcW w:w="704" w:type="pct"/>
            <w:vAlign w:val="center"/>
          </w:tcPr>
          <w:p w14:paraId="17710A6C" w14:textId="439A5903" w:rsidR="00E61AEA" w:rsidRPr="002C2533" w:rsidRDefault="00E61AEA" w:rsidP="00E61AEA">
            <w:pPr>
              <w:jc w:val="center"/>
              <w:rPr>
                <w:rFonts w:ascii="Times New Roman" w:hAnsi="Times New Roman" w:cs="Times New Roman"/>
              </w:rPr>
            </w:pPr>
            <w:r w:rsidRPr="00E61AEA">
              <w:rPr>
                <w:rFonts w:ascii="Times New Roman" w:hAnsi="Times New Roman" w:cs="Times New Roman"/>
              </w:rPr>
              <w:t>5.7</w:t>
            </w:r>
            <w:r>
              <w:rPr>
                <w:rFonts w:ascii="Times New Roman" w:hAnsi="Times New Roman" w:cs="Times New Roman"/>
              </w:rPr>
              <w:t xml:space="preserve"> ± </w:t>
            </w:r>
            <w:r w:rsidRPr="00E61AEA">
              <w:rPr>
                <w:rFonts w:ascii="Times New Roman" w:hAnsi="Times New Roman" w:cs="Times New Roman"/>
              </w:rPr>
              <w:t>2.5</w:t>
            </w:r>
          </w:p>
        </w:tc>
        <w:tc>
          <w:tcPr>
            <w:tcW w:w="515" w:type="pct"/>
            <w:vAlign w:val="center"/>
          </w:tcPr>
          <w:p w14:paraId="66A99318" w14:textId="3E992407" w:rsidR="00E61AEA" w:rsidRPr="002C2533" w:rsidRDefault="00207E23" w:rsidP="00E61AEA">
            <w:pPr>
              <w:jc w:val="center"/>
              <w:rPr>
                <w:rFonts w:ascii="Times New Roman" w:hAnsi="Times New Roman" w:cs="Times New Roman"/>
              </w:rPr>
            </w:pPr>
            <w:r>
              <w:rPr>
                <w:rFonts w:ascii="Times New Roman" w:hAnsi="Times New Roman" w:cs="Times New Roman"/>
              </w:rPr>
              <w:t>n/a</w:t>
            </w:r>
          </w:p>
        </w:tc>
        <w:tc>
          <w:tcPr>
            <w:tcW w:w="1024" w:type="pct"/>
            <w:vAlign w:val="center"/>
          </w:tcPr>
          <w:p w14:paraId="127CF2F6" w14:textId="1C5A80CB" w:rsidR="00E61AEA" w:rsidRPr="002C2533" w:rsidRDefault="00E61AEA" w:rsidP="00E61AEA">
            <w:pPr>
              <w:jc w:val="center"/>
              <w:rPr>
                <w:rFonts w:ascii="Times New Roman" w:hAnsi="Times New Roman" w:cs="Times New Roman"/>
              </w:rPr>
            </w:pPr>
            <w:r>
              <w:rPr>
                <w:rFonts w:ascii="Times New Roman" w:hAnsi="Times New Roman" w:cs="Times New Roman"/>
              </w:rPr>
              <w:t>-</w:t>
            </w:r>
          </w:p>
        </w:tc>
      </w:tr>
      <w:tr w:rsidR="00E61AEA" w:rsidRPr="002C2533" w14:paraId="2C8CCD96" w14:textId="77777777" w:rsidTr="00207E23">
        <w:tc>
          <w:tcPr>
            <w:tcW w:w="1373" w:type="pct"/>
            <w:vAlign w:val="center"/>
          </w:tcPr>
          <w:p w14:paraId="7DB88970"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 xml:space="preserve">Fasting glucose </w:t>
            </w:r>
            <w:r w:rsidRPr="002C2533">
              <w:rPr>
                <w:rFonts w:ascii="Times New Roman" w:hAnsi="Times New Roman" w:cs="Times New Roman"/>
              </w:rPr>
              <w:t>(mmol/L)</w:t>
            </w:r>
          </w:p>
        </w:tc>
        <w:tc>
          <w:tcPr>
            <w:tcW w:w="680" w:type="pct"/>
            <w:vAlign w:val="center"/>
          </w:tcPr>
          <w:p w14:paraId="2B7D782A"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8.8 ± 3.1</w:t>
            </w:r>
          </w:p>
        </w:tc>
        <w:tc>
          <w:tcPr>
            <w:tcW w:w="704" w:type="pct"/>
            <w:vAlign w:val="center"/>
          </w:tcPr>
          <w:p w14:paraId="07779B15"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7.0 ± 2.4</w:t>
            </w:r>
          </w:p>
        </w:tc>
        <w:tc>
          <w:tcPr>
            <w:tcW w:w="704" w:type="pct"/>
            <w:vAlign w:val="center"/>
          </w:tcPr>
          <w:p w14:paraId="12853479"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7.4 ±1.7</w:t>
            </w:r>
          </w:p>
        </w:tc>
        <w:tc>
          <w:tcPr>
            <w:tcW w:w="515" w:type="pct"/>
            <w:vAlign w:val="center"/>
          </w:tcPr>
          <w:p w14:paraId="1B3AB025"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0.04</w:t>
            </w:r>
          </w:p>
        </w:tc>
        <w:tc>
          <w:tcPr>
            <w:tcW w:w="1024" w:type="pct"/>
            <w:vAlign w:val="center"/>
          </w:tcPr>
          <w:p w14:paraId="35843909"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Visit 1 vs. 2 p&lt;0.05</w:t>
            </w:r>
          </w:p>
        </w:tc>
      </w:tr>
      <w:tr w:rsidR="00E61AEA" w:rsidRPr="002C2533" w14:paraId="3BC6999A" w14:textId="77777777" w:rsidTr="00207E23">
        <w:tc>
          <w:tcPr>
            <w:tcW w:w="1373" w:type="pct"/>
            <w:vAlign w:val="center"/>
          </w:tcPr>
          <w:p w14:paraId="30B7B9A0"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HGP - before clamp</w:t>
            </w:r>
          </w:p>
          <w:p w14:paraId="13590991" w14:textId="54B63F24" w:rsidR="00E61AEA" w:rsidRPr="002C2533" w:rsidRDefault="00140F7D" w:rsidP="00C63413">
            <w:pPr>
              <w:rPr>
                <w:rFonts w:ascii="Times New Roman" w:hAnsi="Times New Roman" w:cs="Times New Roman"/>
              </w:rPr>
            </w:pPr>
            <w:r>
              <w:t>(μmol · kg</w:t>
            </w:r>
            <w:r>
              <w:rPr>
                <w:vertAlign w:val="superscript"/>
              </w:rPr>
              <w:t>−1</w:t>
            </w:r>
            <w:r>
              <w:t xml:space="preserve"> · min</w:t>
            </w:r>
            <w:r>
              <w:rPr>
                <w:vertAlign w:val="superscript"/>
              </w:rPr>
              <w:t>−1</w:t>
            </w:r>
            <w:r>
              <w:t>)</w:t>
            </w:r>
          </w:p>
        </w:tc>
        <w:tc>
          <w:tcPr>
            <w:tcW w:w="680" w:type="pct"/>
            <w:vAlign w:val="center"/>
          </w:tcPr>
          <w:p w14:paraId="59D0BC5E"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9.3 ± 0.7</w:t>
            </w:r>
          </w:p>
        </w:tc>
        <w:tc>
          <w:tcPr>
            <w:tcW w:w="704" w:type="pct"/>
            <w:vAlign w:val="center"/>
          </w:tcPr>
          <w:p w14:paraId="37D740EF"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8.8 ± 1.5</w:t>
            </w:r>
          </w:p>
        </w:tc>
        <w:tc>
          <w:tcPr>
            <w:tcW w:w="704" w:type="pct"/>
            <w:vAlign w:val="center"/>
          </w:tcPr>
          <w:p w14:paraId="57E2E20C"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8.9 ± 1.7</w:t>
            </w:r>
          </w:p>
        </w:tc>
        <w:tc>
          <w:tcPr>
            <w:tcW w:w="515" w:type="pct"/>
            <w:vAlign w:val="center"/>
          </w:tcPr>
          <w:p w14:paraId="3606BC4E"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0.52</w:t>
            </w:r>
          </w:p>
        </w:tc>
        <w:tc>
          <w:tcPr>
            <w:tcW w:w="1024" w:type="pct"/>
            <w:vAlign w:val="center"/>
          </w:tcPr>
          <w:p w14:paraId="3B72BCED"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w:t>
            </w:r>
          </w:p>
        </w:tc>
      </w:tr>
      <w:tr w:rsidR="00E61AEA" w:rsidRPr="002C2533" w14:paraId="6D7D0C93" w14:textId="77777777" w:rsidTr="00207E23">
        <w:tc>
          <w:tcPr>
            <w:tcW w:w="1373" w:type="pct"/>
            <w:vAlign w:val="center"/>
          </w:tcPr>
          <w:p w14:paraId="4CFF8A0D"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HGP - during clamp</w:t>
            </w:r>
          </w:p>
          <w:p w14:paraId="7FAF42B6" w14:textId="6EA12A62" w:rsidR="00E61AEA" w:rsidRDefault="00140F7D" w:rsidP="00C63413">
            <w:pPr>
              <w:rPr>
                <w:rFonts w:ascii="Times New Roman" w:hAnsi="Times New Roman" w:cs="Times New Roman"/>
              </w:rPr>
            </w:pPr>
            <w:r w:rsidRPr="00140F7D">
              <w:rPr>
                <w:rFonts w:ascii="Times New Roman" w:hAnsi="Times New Roman" w:cs="Times New Roman"/>
              </w:rPr>
              <w:t>(μmol · kg−1 · min−1)</w:t>
            </w:r>
          </w:p>
          <w:p w14:paraId="025FFE27" w14:textId="2BA0A851" w:rsidR="00E61AEA" w:rsidRPr="00E61AEA" w:rsidRDefault="00E61AEA" w:rsidP="00C63413">
            <w:pPr>
              <w:rPr>
                <w:rFonts w:ascii="Times New Roman" w:hAnsi="Times New Roman" w:cs="Times New Roman"/>
              </w:rPr>
            </w:pPr>
            <w:r>
              <w:rPr>
                <w:rFonts w:ascii="Times New Roman" w:hAnsi="Times New Roman" w:cs="Times New Roman"/>
              </w:rPr>
              <w:t>%r reduction from basal</w:t>
            </w:r>
          </w:p>
        </w:tc>
        <w:tc>
          <w:tcPr>
            <w:tcW w:w="680" w:type="pct"/>
          </w:tcPr>
          <w:p w14:paraId="06AD21CA" w14:textId="77777777" w:rsidR="00E61AEA" w:rsidRPr="00E37597" w:rsidRDefault="00E61AEA" w:rsidP="00E61AEA">
            <w:pPr>
              <w:jc w:val="center"/>
              <w:rPr>
                <w:rFonts w:ascii="Times New Roman" w:hAnsi="Times New Roman" w:cs="Times New Roman"/>
              </w:rPr>
            </w:pPr>
            <w:r w:rsidRPr="00E37597">
              <w:rPr>
                <w:rFonts w:ascii="Times New Roman" w:hAnsi="Times New Roman" w:cs="Times New Roman"/>
              </w:rPr>
              <w:t>4.3 ± 1.3</w:t>
            </w:r>
          </w:p>
          <w:p w14:paraId="5E307DE9" w14:textId="77777777" w:rsidR="00E61AEA" w:rsidRPr="00E37597" w:rsidRDefault="00E61AEA" w:rsidP="00E61AEA">
            <w:pPr>
              <w:jc w:val="center"/>
              <w:rPr>
                <w:rFonts w:ascii="Times New Roman" w:hAnsi="Times New Roman" w:cs="Times New Roman"/>
              </w:rPr>
            </w:pPr>
          </w:p>
          <w:p w14:paraId="055B3116" w14:textId="77777777" w:rsidR="00E61AEA" w:rsidRPr="00E37597" w:rsidRDefault="00E61AEA" w:rsidP="00E61AEA">
            <w:pPr>
              <w:jc w:val="center"/>
              <w:rPr>
                <w:rFonts w:ascii="Times New Roman" w:hAnsi="Times New Roman" w:cs="Times New Roman"/>
              </w:rPr>
            </w:pPr>
          </w:p>
          <w:p w14:paraId="37A5C116" w14:textId="0A97B69C" w:rsidR="00E61AEA" w:rsidRPr="00E37597" w:rsidRDefault="00E61AEA" w:rsidP="00E61AEA">
            <w:pPr>
              <w:jc w:val="center"/>
              <w:rPr>
                <w:rFonts w:ascii="Times New Roman" w:hAnsi="Times New Roman" w:cs="Times New Roman"/>
              </w:rPr>
            </w:pPr>
            <w:r w:rsidRPr="00E37597">
              <w:rPr>
                <w:rFonts w:ascii="Times New Roman" w:hAnsi="Times New Roman" w:cs="Times New Roman"/>
              </w:rPr>
              <w:t>54.5 ± 12.4</w:t>
            </w:r>
          </w:p>
        </w:tc>
        <w:tc>
          <w:tcPr>
            <w:tcW w:w="704" w:type="pct"/>
          </w:tcPr>
          <w:p w14:paraId="24313F33" w14:textId="77777777" w:rsidR="00E61AEA" w:rsidRPr="00E37597" w:rsidRDefault="00E61AEA" w:rsidP="00E61AEA">
            <w:pPr>
              <w:jc w:val="center"/>
              <w:rPr>
                <w:rFonts w:ascii="Times New Roman" w:hAnsi="Times New Roman" w:cs="Times New Roman"/>
              </w:rPr>
            </w:pPr>
            <w:r w:rsidRPr="00E37597">
              <w:rPr>
                <w:rFonts w:ascii="Times New Roman" w:hAnsi="Times New Roman" w:cs="Times New Roman"/>
              </w:rPr>
              <w:t>3.4 ± 1.4</w:t>
            </w:r>
          </w:p>
          <w:p w14:paraId="7FEA4966" w14:textId="77777777" w:rsidR="00E61AEA" w:rsidRPr="00E37597" w:rsidRDefault="00E61AEA" w:rsidP="00E61AEA">
            <w:pPr>
              <w:jc w:val="center"/>
              <w:rPr>
                <w:rFonts w:ascii="Times New Roman" w:hAnsi="Times New Roman" w:cs="Times New Roman"/>
              </w:rPr>
            </w:pPr>
          </w:p>
          <w:p w14:paraId="5A0ED54D" w14:textId="77777777" w:rsidR="00E61AEA" w:rsidRPr="00E37597" w:rsidRDefault="00E61AEA" w:rsidP="00E61AEA">
            <w:pPr>
              <w:jc w:val="center"/>
              <w:rPr>
                <w:rFonts w:ascii="Times New Roman" w:hAnsi="Times New Roman" w:cs="Times New Roman"/>
              </w:rPr>
            </w:pPr>
          </w:p>
          <w:p w14:paraId="6CED3532" w14:textId="2F9FE9F3" w:rsidR="00E61AEA" w:rsidRPr="00E37597" w:rsidRDefault="00E61AEA" w:rsidP="00E61AEA">
            <w:pPr>
              <w:jc w:val="center"/>
              <w:rPr>
                <w:rFonts w:ascii="Times New Roman" w:hAnsi="Times New Roman" w:cs="Times New Roman"/>
              </w:rPr>
            </w:pPr>
            <w:r w:rsidRPr="00E37597">
              <w:rPr>
                <w:rFonts w:ascii="Times New Roman" w:hAnsi="Times New Roman" w:cs="Times New Roman"/>
              </w:rPr>
              <w:t>61.9 ± 12.3</w:t>
            </w:r>
          </w:p>
        </w:tc>
        <w:tc>
          <w:tcPr>
            <w:tcW w:w="704" w:type="pct"/>
          </w:tcPr>
          <w:p w14:paraId="65395210" w14:textId="77777777" w:rsidR="00E61AEA" w:rsidRPr="00E37597" w:rsidRDefault="00E61AEA" w:rsidP="00E61AEA">
            <w:pPr>
              <w:jc w:val="center"/>
              <w:rPr>
                <w:rFonts w:ascii="Times New Roman" w:hAnsi="Times New Roman" w:cs="Times New Roman"/>
              </w:rPr>
            </w:pPr>
            <w:r w:rsidRPr="00E37597">
              <w:rPr>
                <w:rFonts w:ascii="Times New Roman" w:hAnsi="Times New Roman" w:cs="Times New Roman"/>
              </w:rPr>
              <w:t>3.8 ± 1.1</w:t>
            </w:r>
          </w:p>
          <w:p w14:paraId="11FF9F5E" w14:textId="77777777" w:rsidR="00E61AEA" w:rsidRPr="00E37597" w:rsidRDefault="00E61AEA" w:rsidP="00E61AEA">
            <w:pPr>
              <w:jc w:val="center"/>
              <w:rPr>
                <w:rFonts w:ascii="Times New Roman" w:hAnsi="Times New Roman" w:cs="Times New Roman"/>
              </w:rPr>
            </w:pPr>
          </w:p>
          <w:p w14:paraId="1691911F" w14:textId="77777777" w:rsidR="00E61AEA" w:rsidRPr="00E37597" w:rsidRDefault="00E61AEA" w:rsidP="00E61AEA">
            <w:pPr>
              <w:jc w:val="center"/>
              <w:rPr>
                <w:rFonts w:ascii="Times New Roman" w:hAnsi="Times New Roman" w:cs="Times New Roman"/>
              </w:rPr>
            </w:pPr>
          </w:p>
          <w:p w14:paraId="631EA597" w14:textId="4A1844C2" w:rsidR="00E61AEA" w:rsidRPr="00E37597" w:rsidRDefault="00E61AEA" w:rsidP="00E61AEA">
            <w:pPr>
              <w:jc w:val="center"/>
              <w:rPr>
                <w:rFonts w:ascii="Times New Roman" w:hAnsi="Times New Roman" w:cs="Times New Roman"/>
              </w:rPr>
            </w:pPr>
            <w:r w:rsidRPr="00E37597">
              <w:rPr>
                <w:rFonts w:ascii="Times New Roman" w:hAnsi="Times New Roman" w:cs="Times New Roman"/>
              </w:rPr>
              <w:t>56.8 ± 9.4</w:t>
            </w:r>
          </w:p>
        </w:tc>
        <w:tc>
          <w:tcPr>
            <w:tcW w:w="515" w:type="pct"/>
          </w:tcPr>
          <w:p w14:paraId="2C40A8A2" w14:textId="77777777" w:rsidR="00E61AEA" w:rsidRDefault="00E61AEA" w:rsidP="001278F8">
            <w:pPr>
              <w:jc w:val="center"/>
              <w:rPr>
                <w:rFonts w:ascii="Times New Roman" w:hAnsi="Times New Roman" w:cs="Times New Roman"/>
              </w:rPr>
            </w:pPr>
            <w:r w:rsidRPr="002C2533">
              <w:rPr>
                <w:rFonts w:ascii="Times New Roman" w:hAnsi="Times New Roman" w:cs="Times New Roman"/>
              </w:rPr>
              <w:t>0.047</w:t>
            </w:r>
          </w:p>
          <w:p w14:paraId="0D46BD25" w14:textId="77777777" w:rsidR="001278F8" w:rsidRDefault="001278F8" w:rsidP="001278F8">
            <w:pPr>
              <w:jc w:val="center"/>
              <w:rPr>
                <w:rFonts w:ascii="Times New Roman" w:hAnsi="Times New Roman" w:cs="Times New Roman"/>
              </w:rPr>
            </w:pPr>
          </w:p>
          <w:p w14:paraId="6DD2DD20" w14:textId="77777777" w:rsidR="001278F8" w:rsidRDefault="001278F8" w:rsidP="001278F8">
            <w:pPr>
              <w:jc w:val="center"/>
              <w:rPr>
                <w:rFonts w:ascii="Times New Roman" w:hAnsi="Times New Roman" w:cs="Times New Roman"/>
              </w:rPr>
            </w:pPr>
          </w:p>
          <w:p w14:paraId="29C37763" w14:textId="58F762EB" w:rsidR="001278F8" w:rsidRPr="002C2533" w:rsidRDefault="00207E23" w:rsidP="001278F8">
            <w:pPr>
              <w:jc w:val="center"/>
              <w:rPr>
                <w:rFonts w:ascii="Times New Roman" w:hAnsi="Times New Roman" w:cs="Times New Roman"/>
              </w:rPr>
            </w:pPr>
            <w:r>
              <w:rPr>
                <w:rFonts w:ascii="Times New Roman" w:hAnsi="Times New Roman" w:cs="Times New Roman"/>
              </w:rPr>
              <w:t>0.13</w:t>
            </w:r>
          </w:p>
        </w:tc>
        <w:tc>
          <w:tcPr>
            <w:tcW w:w="1024" w:type="pct"/>
          </w:tcPr>
          <w:p w14:paraId="5D5E9321" w14:textId="77777777" w:rsidR="00E61AEA" w:rsidRDefault="00E61AEA" w:rsidP="001278F8">
            <w:pPr>
              <w:jc w:val="center"/>
              <w:rPr>
                <w:rFonts w:ascii="Times New Roman" w:hAnsi="Times New Roman" w:cs="Times New Roman"/>
              </w:rPr>
            </w:pPr>
            <w:r w:rsidRPr="002C2533">
              <w:rPr>
                <w:rFonts w:ascii="Times New Roman" w:hAnsi="Times New Roman" w:cs="Times New Roman"/>
              </w:rPr>
              <w:t>Visit 1 vs. 2 p&lt;0.05</w:t>
            </w:r>
          </w:p>
          <w:p w14:paraId="474587F4" w14:textId="77777777" w:rsidR="001278F8" w:rsidRDefault="001278F8" w:rsidP="001278F8">
            <w:pPr>
              <w:jc w:val="center"/>
              <w:rPr>
                <w:rFonts w:ascii="Times New Roman" w:hAnsi="Times New Roman" w:cs="Times New Roman"/>
              </w:rPr>
            </w:pPr>
          </w:p>
          <w:p w14:paraId="517D73D5" w14:textId="77777777" w:rsidR="001278F8" w:rsidRDefault="001278F8" w:rsidP="001278F8">
            <w:pPr>
              <w:jc w:val="center"/>
              <w:rPr>
                <w:rFonts w:ascii="Times New Roman" w:hAnsi="Times New Roman" w:cs="Times New Roman"/>
              </w:rPr>
            </w:pPr>
          </w:p>
          <w:p w14:paraId="4AC7C929" w14:textId="54D18433" w:rsidR="001278F8" w:rsidRPr="002C2533" w:rsidRDefault="001278F8" w:rsidP="001278F8">
            <w:pPr>
              <w:jc w:val="center"/>
              <w:rPr>
                <w:rFonts w:ascii="Times New Roman" w:hAnsi="Times New Roman" w:cs="Times New Roman"/>
              </w:rPr>
            </w:pPr>
            <w:r>
              <w:rPr>
                <w:rFonts w:ascii="Times New Roman" w:hAnsi="Times New Roman" w:cs="Times New Roman"/>
              </w:rPr>
              <w:t>-</w:t>
            </w:r>
          </w:p>
        </w:tc>
      </w:tr>
      <w:tr w:rsidR="00140F7D" w:rsidRPr="002C2533" w14:paraId="18514589" w14:textId="77777777" w:rsidTr="00207E23">
        <w:tc>
          <w:tcPr>
            <w:tcW w:w="1373" w:type="pct"/>
            <w:vAlign w:val="center"/>
          </w:tcPr>
          <w:p w14:paraId="79D3A979" w14:textId="28F63E59" w:rsidR="00140F7D" w:rsidRDefault="00207E23" w:rsidP="00C63413">
            <w:pPr>
              <w:rPr>
                <w:rFonts w:ascii="Times New Roman" w:hAnsi="Times New Roman" w:cs="Times New Roman"/>
                <w:b/>
              </w:rPr>
            </w:pPr>
            <w:r w:rsidRPr="00207E23">
              <w:rPr>
                <w:rFonts w:ascii="Times New Roman" w:hAnsi="Times New Roman" w:cs="Times New Roman"/>
                <w:b/>
              </w:rPr>
              <w:t>Glucose Rd-during clamp</w:t>
            </w:r>
          </w:p>
          <w:p w14:paraId="27E04F29" w14:textId="768131AB" w:rsidR="00140F7D" w:rsidRPr="00140F7D" w:rsidRDefault="00140F7D" w:rsidP="00C63413">
            <w:pPr>
              <w:rPr>
                <w:rFonts w:ascii="Times New Roman" w:hAnsi="Times New Roman" w:cs="Times New Roman"/>
              </w:rPr>
            </w:pPr>
            <w:r>
              <w:t>(μmol · kg</w:t>
            </w:r>
            <w:r>
              <w:rPr>
                <w:vertAlign w:val="superscript"/>
              </w:rPr>
              <w:t>−1</w:t>
            </w:r>
            <w:r>
              <w:t xml:space="preserve"> · min</w:t>
            </w:r>
            <w:r>
              <w:rPr>
                <w:vertAlign w:val="superscript"/>
              </w:rPr>
              <w:t>−1</w:t>
            </w:r>
            <w:r>
              <w:t>)</w:t>
            </w:r>
          </w:p>
        </w:tc>
        <w:tc>
          <w:tcPr>
            <w:tcW w:w="680" w:type="pct"/>
            <w:vAlign w:val="center"/>
          </w:tcPr>
          <w:p w14:paraId="6349921D" w14:textId="07755977" w:rsidR="00140F7D" w:rsidRPr="002C2533" w:rsidRDefault="00140F7D" w:rsidP="00C63413">
            <w:pPr>
              <w:jc w:val="center"/>
              <w:rPr>
                <w:rFonts w:ascii="Times New Roman" w:hAnsi="Times New Roman" w:cs="Times New Roman"/>
              </w:rPr>
            </w:pPr>
            <w:r>
              <w:rPr>
                <w:rFonts w:ascii="Times New Roman" w:hAnsi="Times New Roman" w:cs="Times New Roman"/>
              </w:rPr>
              <w:t>8.9 ± 1.5</w:t>
            </w:r>
          </w:p>
        </w:tc>
        <w:tc>
          <w:tcPr>
            <w:tcW w:w="704" w:type="pct"/>
            <w:vAlign w:val="center"/>
          </w:tcPr>
          <w:p w14:paraId="1877418C" w14:textId="589019A3" w:rsidR="00140F7D" w:rsidRPr="002C2533" w:rsidRDefault="00140F7D" w:rsidP="00C63413">
            <w:pPr>
              <w:jc w:val="center"/>
              <w:rPr>
                <w:rFonts w:ascii="Times New Roman" w:hAnsi="Times New Roman" w:cs="Times New Roman"/>
              </w:rPr>
            </w:pPr>
            <w:r>
              <w:rPr>
                <w:rFonts w:ascii="Times New Roman" w:hAnsi="Times New Roman" w:cs="Times New Roman"/>
              </w:rPr>
              <w:t>8.7 ± 1.3</w:t>
            </w:r>
          </w:p>
        </w:tc>
        <w:tc>
          <w:tcPr>
            <w:tcW w:w="704" w:type="pct"/>
            <w:vAlign w:val="center"/>
          </w:tcPr>
          <w:p w14:paraId="321A57A0" w14:textId="2C1BB066" w:rsidR="00140F7D" w:rsidRPr="002C2533" w:rsidRDefault="00140F7D" w:rsidP="00C63413">
            <w:pPr>
              <w:jc w:val="center"/>
              <w:rPr>
                <w:rFonts w:ascii="Times New Roman" w:hAnsi="Times New Roman" w:cs="Times New Roman"/>
              </w:rPr>
            </w:pPr>
            <w:r>
              <w:rPr>
                <w:rFonts w:ascii="Times New Roman" w:hAnsi="Times New Roman" w:cs="Times New Roman"/>
              </w:rPr>
              <w:t>8.5 ± 1.0</w:t>
            </w:r>
          </w:p>
        </w:tc>
        <w:tc>
          <w:tcPr>
            <w:tcW w:w="515" w:type="pct"/>
            <w:vAlign w:val="center"/>
          </w:tcPr>
          <w:p w14:paraId="37A05EB5" w14:textId="3FF8C613" w:rsidR="00140F7D" w:rsidRPr="002C2533" w:rsidRDefault="00140F7D" w:rsidP="00C63413">
            <w:pPr>
              <w:jc w:val="center"/>
              <w:rPr>
                <w:rFonts w:ascii="Times New Roman" w:hAnsi="Times New Roman" w:cs="Times New Roman"/>
              </w:rPr>
            </w:pPr>
            <w:r>
              <w:rPr>
                <w:rFonts w:ascii="Times New Roman" w:hAnsi="Times New Roman" w:cs="Times New Roman"/>
              </w:rPr>
              <w:t>0.74</w:t>
            </w:r>
          </w:p>
        </w:tc>
        <w:tc>
          <w:tcPr>
            <w:tcW w:w="1024" w:type="pct"/>
            <w:vAlign w:val="center"/>
          </w:tcPr>
          <w:p w14:paraId="1E5E0778" w14:textId="5707D5CC" w:rsidR="00140F7D" w:rsidRPr="002C2533" w:rsidRDefault="00140F7D" w:rsidP="00C63413">
            <w:pPr>
              <w:jc w:val="center"/>
              <w:rPr>
                <w:rFonts w:ascii="Times New Roman" w:hAnsi="Times New Roman" w:cs="Times New Roman"/>
              </w:rPr>
            </w:pPr>
            <w:r>
              <w:rPr>
                <w:rFonts w:ascii="Times New Roman" w:hAnsi="Times New Roman" w:cs="Times New Roman"/>
              </w:rPr>
              <w:t>-</w:t>
            </w:r>
          </w:p>
        </w:tc>
      </w:tr>
      <w:tr w:rsidR="00E37597" w:rsidRPr="002C2533" w14:paraId="25694770" w14:textId="77777777" w:rsidTr="00207E23">
        <w:tc>
          <w:tcPr>
            <w:tcW w:w="1373" w:type="pct"/>
            <w:vAlign w:val="center"/>
          </w:tcPr>
          <w:p w14:paraId="73E9EB87" w14:textId="6FFD81E4" w:rsidR="00E37597" w:rsidRDefault="00E37597" w:rsidP="00C63413">
            <w:pPr>
              <w:rPr>
                <w:rFonts w:ascii="Times New Roman" w:hAnsi="Times New Roman" w:cs="Times New Roman"/>
                <w:b/>
              </w:rPr>
            </w:pPr>
            <w:r>
              <w:rPr>
                <w:rFonts w:ascii="Times New Roman" w:hAnsi="Times New Roman" w:cs="Times New Roman"/>
                <w:b/>
              </w:rPr>
              <w:t>Insulin clearance</w:t>
            </w:r>
          </w:p>
          <w:p w14:paraId="05178FFF" w14:textId="473ED12C" w:rsidR="00E37597" w:rsidRPr="00E37597" w:rsidRDefault="00E37597" w:rsidP="00C63413">
            <w:pPr>
              <w:rPr>
                <w:rFonts w:ascii="Times New Roman" w:hAnsi="Times New Roman" w:cs="Times New Roman"/>
              </w:rPr>
            </w:pPr>
            <w:r w:rsidRPr="00E37597">
              <w:rPr>
                <w:rFonts w:ascii="Times New Roman" w:hAnsi="Times New Roman" w:cs="Times New Roman"/>
              </w:rPr>
              <w:t>(L• kg</w:t>
            </w:r>
            <w:r w:rsidRPr="00E37597">
              <w:rPr>
                <w:rFonts w:ascii="Times New Roman" w:hAnsi="Times New Roman" w:cs="Times New Roman"/>
                <w:vertAlign w:val="superscript"/>
              </w:rPr>
              <w:t>−1</w:t>
            </w:r>
            <w:r w:rsidRPr="00E37597">
              <w:rPr>
                <w:rFonts w:ascii="Times New Roman" w:hAnsi="Times New Roman" w:cs="Times New Roman"/>
              </w:rPr>
              <w:t xml:space="preserve"> • min</w:t>
            </w:r>
            <w:r w:rsidRPr="00E37597">
              <w:rPr>
                <w:rFonts w:ascii="Times New Roman" w:hAnsi="Times New Roman" w:cs="Times New Roman"/>
                <w:vertAlign w:val="superscript"/>
              </w:rPr>
              <w:t>−1</w:t>
            </w:r>
            <w:r w:rsidRPr="00E37597">
              <w:rPr>
                <w:rFonts w:ascii="Times New Roman" w:hAnsi="Times New Roman" w:cs="Times New Roman"/>
              </w:rPr>
              <w:t>)</w:t>
            </w:r>
          </w:p>
        </w:tc>
        <w:tc>
          <w:tcPr>
            <w:tcW w:w="680" w:type="pct"/>
            <w:vAlign w:val="center"/>
          </w:tcPr>
          <w:p w14:paraId="73FBEC05" w14:textId="68E83D1C" w:rsidR="00E37597" w:rsidRPr="00E37597" w:rsidRDefault="00E37597" w:rsidP="00E37597">
            <w:pPr>
              <w:jc w:val="both"/>
              <w:rPr>
                <w:rFonts w:ascii="Times New Roman" w:hAnsi="Times New Roman" w:cs="Times New Roman"/>
              </w:rPr>
            </w:pPr>
            <w:r w:rsidRPr="00E37597">
              <w:rPr>
                <w:rFonts w:ascii="Times New Roman" w:hAnsi="Times New Roman" w:cs="Times New Roman"/>
              </w:rPr>
              <w:t xml:space="preserve">69.3 </w:t>
            </w:r>
            <w:r w:rsidRPr="00E37597">
              <w:rPr>
                <w:rStyle w:val="hlfld-fulltext"/>
                <w:rFonts w:ascii="Times New Roman" w:hAnsi="Times New Roman" w:cs="Times New Roman"/>
              </w:rPr>
              <w:t xml:space="preserve">± </w:t>
            </w:r>
            <w:r w:rsidRPr="00E37597">
              <w:rPr>
                <w:rFonts w:ascii="Times New Roman" w:hAnsi="Times New Roman" w:cs="Times New Roman"/>
              </w:rPr>
              <w:t>17.9</w:t>
            </w:r>
          </w:p>
        </w:tc>
        <w:tc>
          <w:tcPr>
            <w:tcW w:w="704" w:type="pct"/>
            <w:vAlign w:val="center"/>
          </w:tcPr>
          <w:p w14:paraId="229A7979" w14:textId="72055E21" w:rsidR="00E37597" w:rsidRPr="00E37597" w:rsidRDefault="00E37597" w:rsidP="00C63413">
            <w:pPr>
              <w:jc w:val="center"/>
              <w:rPr>
                <w:rFonts w:ascii="Times New Roman" w:hAnsi="Times New Roman" w:cs="Times New Roman"/>
              </w:rPr>
            </w:pPr>
            <w:r w:rsidRPr="00E37597">
              <w:rPr>
                <w:rFonts w:ascii="Times New Roman" w:hAnsi="Times New Roman" w:cs="Times New Roman"/>
              </w:rPr>
              <w:t xml:space="preserve">68.2 </w:t>
            </w:r>
            <w:r w:rsidRPr="00E37597">
              <w:rPr>
                <w:rStyle w:val="hlfld-fulltext"/>
                <w:rFonts w:ascii="Times New Roman" w:hAnsi="Times New Roman" w:cs="Times New Roman"/>
              </w:rPr>
              <w:t xml:space="preserve">± </w:t>
            </w:r>
            <w:r w:rsidRPr="00E37597">
              <w:rPr>
                <w:rFonts w:ascii="Times New Roman" w:hAnsi="Times New Roman" w:cs="Times New Roman"/>
              </w:rPr>
              <w:t>20.9</w:t>
            </w:r>
          </w:p>
        </w:tc>
        <w:tc>
          <w:tcPr>
            <w:tcW w:w="704" w:type="pct"/>
            <w:vAlign w:val="center"/>
          </w:tcPr>
          <w:p w14:paraId="1B32E1F6" w14:textId="471C255C" w:rsidR="00E37597" w:rsidRPr="00E37597" w:rsidRDefault="00E37597" w:rsidP="00C63413">
            <w:pPr>
              <w:jc w:val="center"/>
              <w:rPr>
                <w:rFonts w:ascii="Times New Roman" w:hAnsi="Times New Roman" w:cs="Times New Roman"/>
              </w:rPr>
            </w:pPr>
            <w:r w:rsidRPr="00E37597">
              <w:rPr>
                <w:rFonts w:ascii="Times New Roman" w:hAnsi="Times New Roman" w:cs="Times New Roman"/>
              </w:rPr>
              <w:t xml:space="preserve">71.6 </w:t>
            </w:r>
            <w:r w:rsidRPr="00E37597">
              <w:rPr>
                <w:rStyle w:val="hlfld-fulltext"/>
                <w:rFonts w:ascii="Times New Roman" w:hAnsi="Times New Roman" w:cs="Times New Roman"/>
              </w:rPr>
              <w:t xml:space="preserve">± </w:t>
            </w:r>
            <w:r w:rsidRPr="00E37597">
              <w:rPr>
                <w:rFonts w:ascii="Times New Roman" w:hAnsi="Times New Roman" w:cs="Times New Roman"/>
              </w:rPr>
              <w:t>24.0</w:t>
            </w:r>
          </w:p>
        </w:tc>
        <w:tc>
          <w:tcPr>
            <w:tcW w:w="515" w:type="pct"/>
            <w:vAlign w:val="center"/>
          </w:tcPr>
          <w:p w14:paraId="0A136D64" w14:textId="00304A8B" w:rsidR="00E37597" w:rsidRPr="002C2533" w:rsidRDefault="00E37597" w:rsidP="00C63413">
            <w:pPr>
              <w:jc w:val="center"/>
              <w:rPr>
                <w:rFonts w:ascii="Times New Roman" w:hAnsi="Times New Roman" w:cs="Times New Roman"/>
              </w:rPr>
            </w:pPr>
            <w:r>
              <w:rPr>
                <w:rFonts w:ascii="Times New Roman" w:hAnsi="Times New Roman" w:cs="Times New Roman"/>
              </w:rPr>
              <w:t>0.72</w:t>
            </w:r>
          </w:p>
        </w:tc>
        <w:tc>
          <w:tcPr>
            <w:tcW w:w="1024" w:type="pct"/>
            <w:vAlign w:val="center"/>
          </w:tcPr>
          <w:p w14:paraId="265852B2" w14:textId="3D7C7185" w:rsidR="00E37597" w:rsidRPr="002C2533" w:rsidRDefault="00E37597" w:rsidP="00C63413">
            <w:pPr>
              <w:jc w:val="center"/>
              <w:rPr>
                <w:rFonts w:ascii="Times New Roman" w:hAnsi="Times New Roman" w:cs="Times New Roman"/>
              </w:rPr>
            </w:pPr>
            <w:r>
              <w:rPr>
                <w:rFonts w:ascii="Times New Roman" w:hAnsi="Times New Roman" w:cs="Times New Roman"/>
              </w:rPr>
              <w:t>-</w:t>
            </w:r>
          </w:p>
        </w:tc>
      </w:tr>
      <w:tr w:rsidR="00E61AEA" w:rsidRPr="002C2533" w14:paraId="5864ECC8" w14:textId="77777777" w:rsidTr="00207E23">
        <w:tc>
          <w:tcPr>
            <w:tcW w:w="1373" w:type="pct"/>
            <w:vAlign w:val="center"/>
          </w:tcPr>
          <w:p w14:paraId="715845B5"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Insulin - before clamp</w:t>
            </w:r>
          </w:p>
          <w:p w14:paraId="62771694"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(pmol/L)</w:t>
            </w:r>
          </w:p>
        </w:tc>
        <w:tc>
          <w:tcPr>
            <w:tcW w:w="680" w:type="pct"/>
            <w:vAlign w:val="center"/>
          </w:tcPr>
          <w:p w14:paraId="0DAA2647"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99.8 ± 42.7</w:t>
            </w:r>
          </w:p>
        </w:tc>
        <w:tc>
          <w:tcPr>
            <w:tcW w:w="704" w:type="pct"/>
            <w:vAlign w:val="center"/>
          </w:tcPr>
          <w:p w14:paraId="538B2498"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91.5 ± 36.2</w:t>
            </w:r>
          </w:p>
        </w:tc>
        <w:tc>
          <w:tcPr>
            <w:tcW w:w="704" w:type="pct"/>
            <w:vAlign w:val="center"/>
          </w:tcPr>
          <w:p w14:paraId="1C07BAE8"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78.4 ± 30.7</w:t>
            </w:r>
          </w:p>
        </w:tc>
        <w:tc>
          <w:tcPr>
            <w:tcW w:w="515" w:type="pct"/>
            <w:vAlign w:val="center"/>
          </w:tcPr>
          <w:p w14:paraId="6F9A0808"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0.09</w:t>
            </w:r>
          </w:p>
        </w:tc>
        <w:tc>
          <w:tcPr>
            <w:tcW w:w="1024" w:type="pct"/>
            <w:vAlign w:val="center"/>
          </w:tcPr>
          <w:p w14:paraId="03330C20"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w:t>
            </w:r>
          </w:p>
        </w:tc>
      </w:tr>
      <w:tr w:rsidR="00E61AEA" w:rsidRPr="002C2533" w14:paraId="7FE6C77A" w14:textId="77777777" w:rsidTr="00207E23">
        <w:tc>
          <w:tcPr>
            <w:tcW w:w="1373" w:type="pct"/>
            <w:vAlign w:val="center"/>
          </w:tcPr>
          <w:p w14:paraId="32DCA79A"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Insulin - during clamp</w:t>
            </w:r>
          </w:p>
          <w:p w14:paraId="56167B7D"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(pmol/L)</w:t>
            </w:r>
          </w:p>
        </w:tc>
        <w:tc>
          <w:tcPr>
            <w:tcW w:w="680" w:type="pct"/>
            <w:vAlign w:val="center"/>
          </w:tcPr>
          <w:p w14:paraId="378C3B42"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233.1 ± 62.9</w:t>
            </w:r>
          </w:p>
        </w:tc>
        <w:tc>
          <w:tcPr>
            <w:tcW w:w="704" w:type="pct"/>
            <w:vAlign w:val="center"/>
          </w:tcPr>
          <w:p w14:paraId="19CA2C72"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234.8 ± 68.0</w:t>
            </w:r>
          </w:p>
        </w:tc>
        <w:tc>
          <w:tcPr>
            <w:tcW w:w="704" w:type="pct"/>
            <w:vAlign w:val="center"/>
          </w:tcPr>
          <w:p w14:paraId="7C17C03E"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220.3 ± 74.9</w:t>
            </w:r>
          </w:p>
        </w:tc>
        <w:tc>
          <w:tcPr>
            <w:tcW w:w="515" w:type="pct"/>
            <w:vAlign w:val="center"/>
          </w:tcPr>
          <w:p w14:paraId="3636F885"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0.55</w:t>
            </w:r>
          </w:p>
        </w:tc>
        <w:tc>
          <w:tcPr>
            <w:tcW w:w="1024" w:type="pct"/>
            <w:vAlign w:val="center"/>
          </w:tcPr>
          <w:p w14:paraId="75E8D2AA"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w:t>
            </w:r>
          </w:p>
        </w:tc>
      </w:tr>
      <w:tr w:rsidR="00E61AEA" w:rsidRPr="002C2533" w14:paraId="722C82C9" w14:textId="77777777" w:rsidTr="00207E23">
        <w:tc>
          <w:tcPr>
            <w:tcW w:w="1373" w:type="pct"/>
            <w:vAlign w:val="center"/>
          </w:tcPr>
          <w:p w14:paraId="537F9FF6"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Glucose - during clamp</w:t>
            </w:r>
          </w:p>
          <w:p w14:paraId="622877F5"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(mmol/L)</w:t>
            </w:r>
          </w:p>
        </w:tc>
        <w:tc>
          <w:tcPr>
            <w:tcW w:w="680" w:type="pct"/>
            <w:vAlign w:val="center"/>
          </w:tcPr>
          <w:p w14:paraId="458ED8CE"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5.15 ± 0.46</w:t>
            </w:r>
          </w:p>
        </w:tc>
        <w:tc>
          <w:tcPr>
            <w:tcW w:w="704" w:type="pct"/>
            <w:vAlign w:val="center"/>
          </w:tcPr>
          <w:p w14:paraId="142038C5"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5.21 ± 0.57</w:t>
            </w:r>
          </w:p>
        </w:tc>
        <w:tc>
          <w:tcPr>
            <w:tcW w:w="704" w:type="pct"/>
            <w:vAlign w:val="center"/>
          </w:tcPr>
          <w:p w14:paraId="332EA08E"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5.20 ± 0.42</w:t>
            </w:r>
          </w:p>
        </w:tc>
        <w:tc>
          <w:tcPr>
            <w:tcW w:w="515" w:type="pct"/>
            <w:vAlign w:val="center"/>
          </w:tcPr>
          <w:p w14:paraId="1ED229E6"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0.85</w:t>
            </w:r>
          </w:p>
        </w:tc>
        <w:tc>
          <w:tcPr>
            <w:tcW w:w="1024" w:type="pct"/>
            <w:vAlign w:val="center"/>
          </w:tcPr>
          <w:p w14:paraId="7F9E2CE0"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w:t>
            </w:r>
          </w:p>
        </w:tc>
      </w:tr>
      <w:tr w:rsidR="00E61AEA" w:rsidRPr="002C2533" w14:paraId="5214E447" w14:textId="77777777" w:rsidTr="00207E23">
        <w:trPr>
          <w:trHeight w:val="64"/>
        </w:trPr>
        <w:tc>
          <w:tcPr>
            <w:tcW w:w="1373" w:type="pct"/>
            <w:vAlign w:val="center"/>
          </w:tcPr>
          <w:p w14:paraId="30A24B23" w14:textId="77777777" w:rsidR="00E61AEA" w:rsidRPr="002C2533" w:rsidRDefault="00E61AEA" w:rsidP="00C63413">
            <w:pPr>
              <w:rPr>
                <w:rFonts w:ascii="Times New Roman" w:hAnsi="Times New Roman" w:cs="Times New Roman"/>
                <w:b/>
              </w:rPr>
            </w:pPr>
            <w:r w:rsidRPr="002C2533">
              <w:rPr>
                <w:rFonts w:ascii="Times New Roman" w:hAnsi="Times New Roman" w:cs="Times New Roman"/>
                <w:b/>
              </w:rPr>
              <w:t xml:space="preserve">CRP </w:t>
            </w:r>
          </w:p>
          <w:p w14:paraId="5D2949C4"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(mg/L)</w:t>
            </w:r>
          </w:p>
        </w:tc>
        <w:tc>
          <w:tcPr>
            <w:tcW w:w="680" w:type="pct"/>
            <w:vAlign w:val="center"/>
          </w:tcPr>
          <w:p w14:paraId="13FFCC0F"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6.4 ± 2.4</w:t>
            </w:r>
          </w:p>
        </w:tc>
        <w:tc>
          <w:tcPr>
            <w:tcW w:w="704" w:type="pct"/>
            <w:vAlign w:val="center"/>
          </w:tcPr>
          <w:p w14:paraId="5744057C"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8.8 ± 4.0</w:t>
            </w:r>
          </w:p>
        </w:tc>
        <w:tc>
          <w:tcPr>
            <w:tcW w:w="704" w:type="pct"/>
            <w:vAlign w:val="center"/>
          </w:tcPr>
          <w:p w14:paraId="67933C10"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16.9 ± 7.5</w:t>
            </w:r>
          </w:p>
        </w:tc>
        <w:tc>
          <w:tcPr>
            <w:tcW w:w="515" w:type="pct"/>
            <w:vAlign w:val="center"/>
          </w:tcPr>
          <w:p w14:paraId="16741FBC" w14:textId="77777777" w:rsidR="00E61AEA" w:rsidRPr="002C2533" w:rsidRDefault="00E61AEA" w:rsidP="00C63413">
            <w:pPr>
              <w:jc w:val="center"/>
              <w:rPr>
                <w:rFonts w:ascii="Times New Roman" w:hAnsi="Times New Roman" w:cs="Times New Roman"/>
              </w:rPr>
            </w:pPr>
            <w:r w:rsidRPr="002C2533">
              <w:rPr>
                <w:rFonts w:ascii="Times New Roman" w:hAnsi="Times New Roman" w:cs="Times New Roman"/>
              </w:rPr>
              <w:t>0.005</w:t>
            </w:r>
          </w:p>
        </w:tc>
        <w:tc>
          <w:tcPr>
            <w:tcW w:w="1024" w:type="pct"/>
            <w:vAlign w:val="center"/>
          </w:tcPr>
          <w:p w14:paraId="7FF234AD"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Visit 2 vs. 3 p&lt;0.05</w:t>
            </w:r>
          </w:p>
          <w:p w14:paraId="09DBD8B2" w14:textId="77777777" w:rsidR="00E61AEA" w:rsidRPr="002C2533" w:rsidRDefault="00E61AEA" w:rsidP="00C63413">
            <w:pPr>
              <w:rPr>
                <w:rFonts w:ascii="Times New Roman" w:hAnsi="Times New Roman" w:cs="Times New Roman"/>
              </w:rPr>
            </w:pPr>
            <w:r w:rsidRPr="002C2533">
              <w:rPr>
                <w:rFonts w:ascii="Times New Roman" w:hAnsi="Times New Roman" w:cs="Times New Roman"/>
              </w:rPr>
              <w:t>Visit 1 vs. 3 p&lt;0.01</w:t>
            </w:r>
          </w:p>
        </w:tc>
      </w:tr>
    </w:tbl>
    <w:p w14:paraId="6B2FD76D" w14:textId="37E3D76E" w:rsidR="00B22B0E" w:rsidRPr="002C2533" w:rsidRDefault="00B22B0E" w:rsidP="00B22B0E">
      <w:pPr>
        <w:spacing w:line="480" w:lineRule="auto"/>
        <w:jc w:val="both"/>
        <w:rPr>
          <w:rStyle w:val="hlfld-fulltext"/>
          <w:rFonts w:ascii="Times New Roman" w:hAnsi="Times New Roman" w:cs="Times New Roman"/>
          <w:sz w:val="22"/>
          <w:szCs w:val="22"/>
        </w:rPr>
      </w:pPr>
      <w:r w:rsidRPr="002C2533">
        <w:rPr>
          <w:rStyle w:val="hlfld-fulltext"/>
          <w:rFonts w:ascii="Times New Roman" w:hAnsi="Times New Roman" w:cs="Times New Roman"/>
          <w:sz w:val="22"/>
          <w:szCs w:val="22"/>
        </w:rPr>
        <w:t xml:space="preserve">Data are described as mean ± standard deviation. Statistical comparisons were made using repeated measures one-way ANOVA with </w:t>
      </w:r>
      <w:r w:rsidRPr="002C2533">
        <w:rPr>
          <w:rStyle w:val="hlfld-fulltext"/>
          <w:rFonts w:ascii="Times New Roman" w:hAnsi="Times New Roman" w:cs="Times New Roman"/>
          <w:i/>
          <w:sz w:val="22"/>
          <w:szCs w:val="22"/>
        </w:rPr>
        <w:t>post hoc</w:t>
      </w:r>
      <w:r w:rsidRPr="002C2533">
        <w:rPr>
          <w:rStyle w:val="hlfld-fulltext"/>
          <w:rFonts w:ascii="Times New Roman" w:hAnsi="Times New Roman" w:cs="Times New Roman"/>
          <w:sz w:val="22"/>
          <w:szCs w:val="22"/>
        </w:rPr>
        <w:t xml:space="preserve"> Newman-Keuls corrected pairwise comparisons which are shown when statistically significant. “Before” and “during” refer to </w:t>
      </w:r>
      <w:r w:rsidRPr="002C2533">
        <w:rPr>
          <w:rStyle w:val="hlfld-fulltext"/>
          <w:rFonts w:ascii="Times New Roman" w:hAnsi="Times New Roman" w:cs="Times New Roman"/>
          <w:sz w:val="22"/>
          <w:szCs w:val="22"/>
        </w:rPr>
        <w:lastRenderedPageBreak/>
        <w:t xml:space="preserve">the 20 minutes before and the last 30 minutes of the euglycaemic hypeinsulinaemic clamp respectively. Abbreviations: BMI: body mass index, </w:t>
      </w:r>
      <w:r w:rsidRPr="002C2533">
        <w:rPr>
          <w:rFonts w:ascii="Times New Roman" w:hAnsi="Times New Roman" w:cs="Times New Roman"/>
          <w:sz w:val="22"/>
          <w:szCs w:val="22"/>
        </w:rPr>
        <w:t xml:space="preserve">CRP: c-reactive protein, </w:t>
      </w:r>
      <w:r w:rsidRPr="002C2533">
        <w:rPr>
          <w:rStyle w:val="hlfld-fulltext"/>
          <w:rFonts w:ascii="Times New Roman" w:hAnsi="Times New Roman" w:cs="Times New Roman"/>
          <w:sz w:val="22"/>
          <w:szCs w:val="22"/>
        </w:rPr>
        <w:t xml:space="preserve">DJBL: duodenal-jejunal bypass liner, HGP: </w:t>
      </w:r>
      <w:r w:rsidRPr="002C2533">
        <w:rPr>
          <w:rFonts w:ascii="Times New Roman" w:hAnsi="Times New Roman" w:cs="Times New Roman"/>
          <w:sz w:val="22"/>
          <w:szCs w:val="22"/>
        </w:rPr>
        <w:t xml:space="preserve">hepatic glucose production, </w:t>
      </w:r>
      <w:r w:rsidRPr="002C2533">
        <w:rPr>
          <w:rStyle w:val="hlfld-fulltext"/>
          <w:rFonts w:ascii="Times New Roman" w:hAnsi="Times New Roman" w:cs="Times New Roman"/>
          <w:sz w:val="22"/>
          <w:szCs w:val="22"/>
        </w:rPr>
        <w:t>HbA1c: glycated haemoglobin, LCD: low-calorie diet</w:t>
      </w:r>
      <w:r w:rsidR="00207E23">
        <w:rPr>
          <w:rStyle w:val="hlfld-fulltext"/>
          <w:rFonts w:ascii="Times New Roman" w:hAnsi="Times New Roman" w:cs="Times New Roman"/>
          <w:sz w:val="22"/>
          <w:szCs w:val="22"/>
        </w:rPr>
        <w:t>, n/a: not applicable, Rd: rate of disposal.</w:t>
      </w:r>
    </w:p>
    <w:p w14:paraId="2897EAFF" w14:textId="608C4A4A" w:rsidR="002C2533" w:rsidRPr="002C2533" w:rsidRDefault="002C2533" w:rsidP="002C2533">
      <w:pPr>
        <w:spacing w:line="480" w:lineRule="auto"/>
        <w:jc w:val="both"/>
        <w:rPr>
          <w:rFonts w:ascii="Times New Roman" w:hAnsi="Times New Roman" w:cs="Times New Roman"/>
          <w:sz w:val="22"/>
          <w:szCs w:val="22"/>
        </w:rPr>
      </w:pPr>
      <w:r w:rsidRPr="002C2533">
        <w:rPr>
          <w:rFonts w:ascii="Times New Roman" w:hAnsi="Times New Roman" w:cs="Times New Roman"/>
          <w:b/>
          <w:sz w:val="22"/>
          <w:szCs w:val="22"/>
        </w:rPr>
        <w:br w:type="page"/>
      </w:r>
    </w:p>
    <w:p w14:paraId="450A0B98" w14:textId="20FEC5BC" w:rsidR="002C2533" w:rsidRPr="002C2533" w:rsidRDefault="002C2533" w:rsidP="002C2533">
      <w:pPr>
        <w:spacing w:line="480" w:lineRule="auto"/>
        <w:rPr>
          <w:rFonts w:ascii="Times New Roman" w:hAnsi="Times New Roman" w:cs="Times New Roman"/>
          <w:b/>
          <w:sz w:val="22"/>
          <w:szCs w:val="22"/>
        </w:rPr>
      </w:pPr>
      <w:r w:rsidRPr="002C2533">
        <w:rPr>
          <w:rFonts w:ascii="Times New Roman" w:hAnsi="Times New Roman" w:cs="Times New Roman"/>
          <w:b/>
          <w:sz w:val="22"/>
          <w:szCs w:val="22"/>
        </w:rPr>
        <w:lastRenderedPageBreak/>
        <w:t>References</w:t>
      </w:r>
    </w:p>
    <w:p w14:paraId="7BF2E140" w14:textId="77777777" w:rsidR="00B32CA1" w:rsidRPr="00B32CA1" w:rsidRDefault="002C2533" w:rsidP="00B32CA1">
      <w:pPr>
        <w:pStyle w:val="EndNoteBibliography"/>
      </w:pPr>
      <w:r w:rsidRPr="002C2533">
        <w:rPr>
          <w:rFonts w:ascii="Times New Roman" w:hAnsi="Times New Roman" w:cs="Times New Roman"/>
          <w:b/>
          <w:sz w:val="22"/>
          <w:szCs w:val="22"/>
        </w:rPr>
        <w:fldChar w:fldCharType="begin"/>
      </w:r>
      <w:r w:rsidRPr="002C2533">
        <w:rPr>
          <w:rFonts w:ascii="Times New Roman" w:hAnsi="Times New Roman" w:cs="Times New Roman"/>
          <w:b/>
          <w:sz w:val="22"/>
          <w:szCs w:val="22"/>
        </w:rPr>
        <w:instrText xml:space="preserve"> ADDIN EN.REFLIST </w:instrText>
      </w:r>
      <w:r w:rsidRPr="002C2533">
        <w:rPr>
          <w:rFonts w:ascii="Times New Roman" w:hAnsi="Times New Roman" w:cs="Times New Roman"/>
          <w:b/>
          <w:sz w:val="22"/>
          <w:szCs w:val="22"/>
        </w:rPr>
        <w:fldChar w:fldCharType="separate"/>
      </w:r>
      <w:bookmarkStart w:id="0" w:name="_ENREF_1"/>
      <w:r w:rsidR="00B32CA1" w:rsidRPr="00B32CA1">
        <w:t>1</w:t>
      </w:r>
      <w:r w:rsidR="00B32CA1" w:rsidRPr="00B32CA1">
        <w:tab/>
        <w:t>Mingrone G, Panunzi S, De Gaetano A</w:t>
      </w:r>
      <w:r w:rsidR="00B32CA1" w:rsidRPr="00B32CA1">
        <w:rPr>
          <w:i/>
        </w:rPr>
        <w:t>, et al.</w:t>
      </w:r>
      <w:r w:rsidR="00B32CA1" w:rsidRPr="00B32CA1">
        <w:t xml:space="preserve"> Bariatric Surgery versus Conventional Medical Therapy for Type 2 Diabetes. </w:t>
      </w:r>
      <w:r w:rsidR="00B32CA1" w:rsidRPr="00B32CA1">
        <w:rPr>
          <w:i/>
        </w:rPr>
        <w:t xml:space="preserve">N Engl J Med </w:t>
      </w:r>
      <w:r w:rsidR="00B32CA1" w:rsidRPr="00B32CA1">
        <w:t>2012.</w:t>
      </w:r>
      <w:bookmarkEnd w:id="0"/>
    </w:p>
    <w:p w14:paraId="63910762" w14:textId="77777777" w:rsidR="00B32CA1" w:rsidRPr="00B32CA1" w:rsidRDefault="00B32CA1" w:rsidP="00B32CA1">
      <w:pPr>
        <w:pStyle w:val="EndNoteBibliography"/>
      </w:pPr>
      <w:bookmarkStart w:id="1" w:name="_ENREF_2"/>
      <w:r w:rsidRPr="00B32CA1">
        <w:t>2</w:t>
      </w:r>
      <w:r w:rsidRPr="00B32CA1">
        <w:tab/>
        <w:t>Pournaras DJ, Osborne A, Hawkins SC</w:t>
      </w:r>
      <w:r w:rsidRPr="00B32CA1">
        <w:rPr>
          <w:i/>
        </w:rPr>
        <w:t>, et al.</w:t>
      </w:r>
      <w:r w:rsidRPr="00B32CA1">
        <w:t xml:space="preserve"> Remission of type 2 diabetes after gastric bypass and banding: mechanisms and 2 year outcomes. </w:t>
      </w:r>
      <w:r w:rsidRPr="00B32CA1">
        <w:rPr>
          <w:i/>
        </w:rPr>
        <w:t xml:space="preserve">Ann Surg </w:t>
      </w:r>
      <w:r w:rsidRPr="00B32CA1">
        <w:t>2010;252:966-71.</w:t>
      </w:r>
      <w:bookmarkEnd w:id="1"/>
    </w:p>
    <w:p w14:paraId="6C193763" w14:textId="77777777" w:rsidR="00B32CA1" w:rsidRPr="00B32CA1" w:rsidRDefault="00B32CA1" w:rsidP="00B32CA1">
      <w:pPr>
        <w:pStyle w:val="EndNoteBibliography"/>
      </w:pPr>
      <w:bookmarkStart w:id="2" w:name="_ENREF_3"/>
      <w:r w:rsidRPr="00B32CA1">
        <w:t>3</w:t>
      </w:r>
      <w:r w:rsidRPr="00B32CA1">
        <w:tab/>
        <w:t xml:space="preserve">Breen DM, Rasmussen BA, Kokorovic A, Wang R, Cheung GW, Lam TK. Jejunal nutrient sensing is required for duodenal-jejunal bypass surgery to rapidly lower glucose concentrations in uncontrolled diabetes. </w:t>
      </w:r>
      <w:r w:rsidRPr="00B32CA1">
        <w:rPr>
          <w:i/>
        </w:rPr>
        <w:t xml:space="preserve">Nature medicine </w:t>
      </w:r>
      <w:r w:rsidRPr="00B32CA1">
        <w:t>2012;18:950-5.</w:t>
      </w:r>
      <w:bookmarkEnd w:id="2"/>
    </w:p>
    <w:p w14:paraId="1B725AC5" w14:textId="77777777" w:rsidR="00B32CA1" w:rsidRPr="00B32CA1" w:rsidRDefault="00B32CA1" w:rsidP="00B32CA1">
      <w:pPr>
        <w:pStyle w:val="EndNoteBibliography"/>
      </w:pPr>
      <w:bookmarkStart w:id="3" w:name="_ENREF_4"/>
      <w:r w:rsidRPr="00B32CA1">
        <w:t>4</w:t>
      </w:r>
      <w:r w:rsidRPr="00B32CA1">
        <w:tab/>
        <w:t>Cohen R, le Roux CW, Papamargaritis D</w:t>
      </w:r>
      <w:r w:rsidRPr="00B32CA1">
        <w:rPr>
          <w:i/>
        </w:rPr>
        <w:t>, et al.</w:t>
      </w:r>
      <w:r w:rsidRPr="00B32CA1">
        <w:t xml:space="preserve"> Role of proximal gut exclusion from food on glucose homeostasis in patients with Type 2 diabetes. </w:t>
      </w:r>
      <w:r w:rsidRPr="00B32CA1">
        <w:rPr>
          <w:i/>
        </w:rPr>
        <w:t xml:space="preserve">Diabet Med </w:t>
      </w:r>
      <w:r w:rsidRPr="00B32CA1">
        <w:t>2013;30:1482-6.</w:t>
      </w:r>
      <w:bookmarkEnd w:id="3"/>
    </w:p>
    <w:p w14:paraId="38F13AEA" w14:textId="77777777" w:rsidR="00B32CA1" w:rsidRPr="00B32CA1" w:rsidRDefault="00B32CA1" w:rsidP="00B32CA1">
      <w:pPr>
        <w:pStyle w:val="EndNoteBibliography"/>
      </w:pPr>
      <w:bookmarkStart w:id="4" w:name="_ENREF_5"/>
      <w:r w:rsidRPr="00B32CA1">
        <w:t>5</w:t>
      </w:r>
      <w:r w:rsidRPr="00B32CA1">
        <w:tab/>
        <w:t>de Jonge C, Rensen SS, Verdam FJ</w:t>
      </w:r>
      <w:r w:rsidRPr="00B32CA1">
        <w:rPr>
          <w:i/>
        </w:rPr>
        <w:t>, et al.</w:t>
      </w:r>
      <w:r w:rsidRPr="00B32CA1">
        <w:t xml:space="preserve"> Endoscopic Duodenal-Jejunal Bypass Liner Rapidly Improves Type 2 Diabetes. </w:t>
      </w:r>
      <w:r w:rsidRPr="00B32CA1">
        <w:rPr>
          <w:i/>
        </w:rPr>
        <w:t xml:space="preserve">Obes Surg </w:t>
      </w:r>
      <w:r w:rsidRPr="00B32CA1">
        <w:t>2013.</w:t>
      </w:r>
      <w:bookmarkEnd w:id="4"/>
    </w:p>
    <w:p w14:paraId="441DE429" w14:textId="77777777" w:rsidR="00B32CA1" w:rsidRPr="00B32CA1" w:rsidRDefault="00B32CA1" w:rsidP="00B32CA1">
      <w:pPr>
        <w:pStyle w:val="EndNoteBibliography"/>
      </w:pPr>
      <w:bookmarkStart w:id="5" w:name="_ENREF_6"/>
      <w:r w:rsidRPr="00B32CA1">
        <w:t>6</w:t>
      </w:r>
      <w:r w:rsidRPr="00B32CA1">
        <w:tab/>
        <w:t xml:space="preserve">Lim EL, Hollingsworth KG, Aribisala BS, Chen MJ, Mathers JC, Taylor R. Reversal of type 2 diabetes: normalisation of beta cell function in association with decreased pancreas and liver triacylglycerol. </w:t>
      </w:r>
      <w:r w:rsidRPr="00B32CA1">
        <w:rPr>
          <w:i/>
        </w:rPr>
        <w:t xml:space="preserve">Diabetologia. </w:t>
      </w:r>
      <w:r w:rsidRPr="00B32CA1">
        <w:t>2011;54:2506-14. doi: 10.1007/s00125-011-2204-7. Epub 2011 Jun 9.</w:t>
      </w:r>
      <w:bookmarkEnd w:id="5"/>
    </w:p>
    <w:p w14:paraId="6DF94C29" w14:textId="77777777" w:rsidR="00B32CA1" w:rsidRPr="00B32CA1" w:rsidRDefault="00B32CA1" w:rsidP="00B32CA1">
      <w:pPr>
        <w:pStyle w:val="EndNoteBibliography"/>
      </w:pPr>
      <w:bookmarkStart w:id="6" w:name="_ENREF_7"/>
      <w:r w:rsidRPr="00B32CA1">
        <w:t>7</w:t>
      </w:r>
      <w:r w:rsidRPr="00B32CA1">
        <w:tab/>
        <w:t xml:space="preserve">Steele R. Influences of glucose loading and of injected insulin on hepatic glucose output. </w:t>
      </w:r>
      <w:r w:rsidRPr="00B32CA1">
        <w:rPr>
          <w:i/>
        </w:rPr>
        <w:t xml:space="preserve">Ann N Y Acad Sci. </w:t>
      </w:r>
      <w:r w:rsidRPr="00B32CA1">
        <w:t>1959;82:420-30.</w:t>
      </w:r>
      <w:bookmarkEnd w:id="6"/>
    </w:p>
    <w:p w14:paraId="4104DE84" w14:textId="77777777" w:rsidR="00B32CA1" w:rsidRPr="00B32CA1" w:rsidRDefault="00B32CA1" w:rsidP="00B32CA1">
      <w:pPr>
        <w:pStyle w:val="EndNoteBibliography"/>
      </w:pPr>
      <w:bookmarkStart w:id="7" w:name="_ENREF_8"/>
      <w:r w:rsidRPr="00B32CA1">
        <w:t>8</w:t>
      </w:r>
      <w:r w:rsidRPr="00B32CA1">
        <w:tab/>
        <w:t>Shojaee-Moradie F, Baynes KC, Pentecost C</w:t>
      </w:r>
      <w:r w:rsidRPr="00B32CA1">
        <w:rPr>
          <w:i/>
        </w:rPr>
        <w:t>, et al.</w:t>
      </w:r>
      <w:r w:rsidRPr="00B32CA1">
        <w:t xml:space="preserve"> Exercise training reduces fatty acid availability and improves the insulin sensitivity of glucose metabolism. </w:t>
      </w:r>
      <w:r w:rsidRPr="00B32CA1">
        <w:rPr>
          <w:i/>
        </w:rPr>
        <w:t xml:space="preserve">Diabetologia. </w:t>
      </w:r>
      <w:r w:rsidRPr="00B32CA1">
        <w:t>2007;50:404-13. Epub 2006 Dec 6.</w:t>
      </w:r>
      <w:bookmarkEnd w:id="7"/>
    </w:p>
    <w:p w14:paraId="4671B54B" w14:textId="77777777" w:rsidR="00B32CA1" w:rsidRPr="00B32CA1" w:rsidRDefault="00B32CA1" w:rsidP="00B32CA1">
      <w:pPr>
        <w:pStyle w:val="EndNoteBibliography"/>
      </w:pPr>
      <w:bookmarkStart w:id="8" w:name="_ENREF_9"/>
      <w:r w:rsidRPr="00B32CA1">
        <w:t>9</w:t>
      </w:r>
      <w:r w:rsidRPr="00B32CA1">
        <w:tab/>
        <w:t>Habegger KM, Al-Massadi O, Heppner KM</w:t>
      </w:r>
      <w:r w:rsidRPr="00B32CA1">
        <w:rPr>
          <w:i/>
        </w:rPr>
        <w:t>, et al.</w:t>
      </w:r>
      <w:r w:rsidRPr="00B32CA1">
        <w:t xml:space="preserve"> Duodenal nutrient exclusion improves metabolic syndrome and stimulates villus hyperplasia. </w:t>
      </w:r>
      <w:r w:rsidRPr="00B32CA1">
        <w:rPr>
          <w:i/>
        </w:rPr>
        <w:t xml:space="preserve">Gut </w:t>
      </w:r>
      <w:r w:rsidRPr="00B32CA1">
        <w:t>2013.</w:t>
      </w:r>
      <w:bookmarkEnd w:id="8"/>
    </w:p>
    <w:p w14:paraId="5DFCB3B8" w14:textId="158FBDD1" w:rsidR="002C2533" w:rsidRDefault="002C2533" w:rsidP="002C2533">
      <w:pPr>
        <w:pStyle w:val="EndNoteBibliography"/>
        <w:spacing w:line="480" w:lineRule="auto"/>
        <w:ind w:left="720" w:hanging="720"/>
        <w:rPr>
          <w:rFonts w:ascii="Times New Roman" w:hAnsi="Times New Roman" w:cs="Times New Roman"/>
          <w:b/>
          <w:sz w:val="22"/>
          <w:szCs w:val="22"/>
        </w:rPr>
      </w:pPr>
      <w:r w:rsidRPr="002C2533">
        <w:rPr>
          <w:rFonts w:ascii="Times New Roman" w:hAnsi="Times New Roman" w:cs="Times New Roman"/>
          <w:b/>
          <w:sz w:val="22"/>
          <w:szCs w:val="22"/>
        </w:rPr>
        <w:fldChar w:fldCharType="end"/>
      </w:r>
      <w:r w:rsidRPr="002C2533">
        <w:rPr>
          <w:rFonts w:ascii="Times New Roman" w:hAnsi="Times New Roman" w:cs="Times New Roman"/>
          <w:b/>
          <w:sz w:val="22"/>
          <w:szCs w:val="22"/>
        </w:rPr>
        <w:t xml:space="preserve"> </w:t>
      </w:r>
    </w:p>
    <w:p w14:paraId="74856CE2" w14:textId="77777777" w:rsidR="00801A77" w:rsidRDefault="00801A77">
      <w:pPr>
        <w:rPr>
          <w:rFonts w:ascii="Times New Roman" w:hAnsi="Times New Roman" w:cs="Times New Roman"/>
          <w:b/>
          <w:sz w:val="22"/>
          <w:szCs w:val="22"/>
        </w:rPr>
      </w:pPr>
      <w:r>
        <w:rPr>
          <w:rFonts w:ascii="Times New Roman" w:hAnsi="Times New Roman" w:cs="Times New Roman"/>
          <w:b/>
          <w:sz w:val="22"/>
          <w:szCs w:val="22"/>
        </w:rPr>
        <w:br w:type="page"/>
      </w:r>
    </w:p>
    <w:p w14:paraId="5F181DA9" w14:textId="77777777" w:rsidR="0096461E" w:rsidRPr="002C2533" w:rsidRDefault="0096461E" w:rsidP="0096461E">
      <w:pPr>
        <w:spacing w:line="480" w:lineRule="auto"/>
        <w:jc w:val="both"/>
        <w:rPr>
          <w:rFonts w:ascii="Times New Roman" w:hAnsi="Times New Roman" w:cs="Times New Roman"/>
          <w:b/>
          <w:sz w:val="22"/>
          <w:szCs w:val="22"/>
        </w:rPr>
      </w:pPr>
      <w:r w:rsidRPr="002C2533">
        <w:rPr>
          <w:rFonts w:ascii="Times New Roman" w:hAnsi="Times New Roman" w:cs="Times New Roman"/>
          <w:b/>
          <w:sz w:val="22"/>
          <w:szCs w:val="22"/>
        </w:rPr>
        <w:lastRenderedPageBreak/>
        <w:t>Figure 1 Group and individual responses in hepatic glucose production to insulin before and after a liquid low-calorie diet and implantation of the duodeno-jejunal bypass liner</w:t>
      </w:r>
    </w:p>
    <w:p w14:paraId="3B36B64F" w14:textId="77777777" w:rsidR="0096461E" w:rsidRPr="002C2533" w:rsidRDefault="0096461E" w:rsidP="0096461E">
      <w:pPr>
        <w:spacing w:line="480" w:lineRule="auto"/>
        <w:jc w:val="both"/>
        <w:rPr>
          <w:rFonts w:ascii="Times New Roman" w:hAnsi="Times New Roman" w:cs="Times New Roman"/>
          <w:sz w:val="22"/>
          <w:szCs w:val="22"/>
        </w:rPr>
      </w:pPr>
    </w:p>
    <w:p w14:paraId="293EA10D" w14:textId="7D187286" w:rsidR="00801A77" w:rsidRDefault="0096461E" w:rsidP="000E1BCE">
      <w:pPr>
        <w:spacing w:line="480" w:lineRule="auto"/>
        <w:jc w:val="both"/>
        <w:rPr>
          <w:rFonts w:ascii="Times New Roman" w:hAnsi="Times New Roman" w:cs="Times New Roman"/>
          <w:sz w:val="22"/>
          <w:szCs w:val="22"/>
        </w:rPr>
      </w:pPr>
      <w:r w:rsidRPr="002C2533">
        <w:rPr>
          <w:rFonts w:ascii="Times New Roman" w:hAnsi="Times New Roman" w:cs="Times New Roman"/>
          <w:sz w:val="22"/>
          <w:szCs w:val="22"/>
        </w:rPr>
        <w:t>Bars represent group mean ± standard deviation (A) and plots of individual responses (B) of hepatic glucose production (HGP) at baseline, after one week on a liquid low-calorie diet (LCD) and one week after the implantation of the duodeno-jejunal bypass liner (DJBL). Comparisons performed using a one-way repeated measures ANOVA.</w:t>
      </w:r>
    </w:p>
    <w:p w14:paraId="41D66872" w14:textId="49EB0FA5" w:rsidR="00140F7D" w:rsidRPr="000E1BCE" w:rsidRDefault="00140F7D" w:rsidP="00140F7D">
      <w:pPr>
        <w:spacing w:line="480" w:lineRule="auto"/>
        <w:jc w:val="both"/>
        <w:rPr>
          <w:rFonts w:ascii="Times New Roman" w:hAnsi="Times New Roman" w:cs="Times New Roman"/>
          <w:sz w:val="22"/>
          <w:szCs w:val="22"/>
        </w:rPr>
      </w:pPr>
      <w:bookmarkStart w:id="9" w:name="_GoBack"/>
      <w:bookmarkEnd w:id="9"/>
    </w:p>
    <w:sectPr w:rsidR="00140F7D" w:rsidRPr="000E1BCE" w:rsidSect="00300C25">
      <w:footerReference w:type="default" r:id="rId8"/>
      <w:pgSz w:w="11900" w:h="16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F5AA0" w14:textId="77777777" w:rsidR="004B5FDD" w:rsidRDefault="004B5FDD" w:rsidP="00E12D1B">
      <w:r>
        <w:separator/>
      </w:r>
    </w:p>
  </w:endnote>
  <w:endnote w:type="continuationSeparator" w:id="0">
    <w:p w14:paraId="2BD2E72E" w14:textId="77777777" w:rsidR="004B5FDD" w:rsidRDefault="004B5FDD" w:rsidP="00E1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723676"/>
      <w:docPartObj>
        <w:docPartGallery w:val="Page Numbers (Bottom of Page)"/>
        <w:docPartUnique/>
      </w:docPartObj>
    </w:sdtPr>
    <w:sdtEndPr>
      <w:rPr>
        <w:noProof/>
      </w:rPr>
    </w:sdtEndPr>
    <w:sdtContent>
      <w:p w14:paraId="01766948" w14:textId="58B5E725" w:rsidR="00894731" w:rsidRDefault="00894731">
        <w:pPr>
          <w:pStyle w:val="Footer"/>
          <w:jc w:val="right"/>
        </w:pPr>
        <w:r>
          <w:fldChar w:fldCharType="begin"/>
        </w:r>
        <w:r>
          <w:instrText xml:space="preserve"> PAGE   \* MERGEFORMAT </w:instrText>
        </w:r>
        <w:r>
          <w:fldChar w:fldCharType="separate"/>
        </w:r>
        <w:r w:rsidR="00431598">
          <w:rPr>
            <w:noProof/>
          </w:rPr>
          <w:t>12</w:t>
        </w:r>
        <w:r>
          <w:rPr>
            <w:noProof/>
          </w:rPr>
          <w:fldChar w:fldCharType="end"/>
        </w:r>
      </w:p>
    </w:sdtContent>
  </w:sdt>
  <w:p w14:paraId="1ABD4BA5" w14:textId="77777777" w:rsidR="00894731" w:rsidRDefault="00894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160C9" w14:textId="77777777" w:rsidR="004B5FDD" w:rsidRDefault="004B5FDD" w:rsidP="00E12D1B">
      <w:r>
        <w:separator/>
      </w:r>
    </w:p>
  </w:footnote>
  <w:footnote w:type="continuationSeparator" w:id="0">
    <w:p w14:paraId="40699591" w14:textId="77777777" w:rsidR="004B5FDD" w:rsidRDefault="004B5FDD" w:rsidP="00E12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807"/>
    <w:multiLevelType w:val="hybridMultilevel"/>
    <w:tmpl w:val="0B5C1596"/>
    <w:lvl w:ilvl="0" w:tplc="994A327C">
      <w:start w:val="1"/>
      <w:numFmt w:val="bullet"/>
      <w:lvlText w:val="•"/>
      <w:lvlJc w:val="left"/>
      <w:pPr>
        <w:tabs>
          <w:tab w:val="num" w:pos="720"/>
        </w:tabs>
        <w:ind w:left="720" w:hanging="360"/>
      </w:pPr>
      <w:rPr>
        <w:rFonts w:ascii="Arial" w:hAnsi="Arial" w:hint="default"/>
      </w:rPr>
    </w:lvl>
    <w:lvl w:ilvl="1" w:tplc="144046A6" w:tentative="1">
      <w:start w:val="1"/>
      <w:numFmt w:val="bullet"/>
      <w:lvlText w:val="•"/>
      <w:lvlJc w:val="left"/>
      <w:pPr>
        <w:tabs>
          <w:tab w:val="num" w:pos="1440"/>
        </w:tabs>
        <w:ind w:left="1440" w:hanging="360"/>
      </w:pPr>
      <w:rPr>
        <w:rFonts w:ascii="Arial" w:hAnsi="Arial" w:hint="default"/>
      </w:rPr>
    </w:lvl>
    <w:lvl w:ilvl="2" w:tplc="D8E8BCF0" w:tentative="1">
      <w:start w:val="1"/>
      <w:numFmt w:val="bullet"/>
      <w:lvlText w:val="•"/>
      <w:lvlJc w:val="left"/>
      <w:pPr>
        <w:tabs>
          <w:tab w:val="num" w:pos="2160"/>
        </w:tabs>
        <w:ind w:left="2160" w:hanging="360"/>
      </w:pPr>
      <w:rPr>
        <w:rFonts w:ascii="Arial" w:hAnsi="Arial" w:hint="default"/>
      </w:rPr>
    </w:lvl>
    <w:lvl w:ilvl="3" w:tplc="D4FC541C" w:tentative="1">
      <w:start w:val="1"/>
      <w:numFmt w:val="bullet"/>
      <w:lvlText w:val="•"/>
      <w:lvlJc w:val="left"/>
      <w:pPr>
        <w:tabs>
          <w:tab w:val="num" w:pos="2880"/>
        </w:tabs>
        <w:ind w:left="2880" w:hanging="360"/>
      </w:pPr>
      <w:rPr>
        <w:rFonts w:ascii="Arial" w:hAnsi="Arial" w:hint="default"/>
      </w:rPr>
    </w:lvl>
    <w:lvl w:ilvl="4" w:tplc="32262AE6" w:tentative="1">
      <w:start w:val="1"/>
      <w:numFmt w:val="bullet"/>
      <w:lvlText w:val="•"/>
      <w:lvlJc w:val="left"/>
      <w:pPr>
        <w:tabs>
          <w:tab w:val="num" w:pos="3600"/>
        </w:tabs>
        <w:ind w:left="3600" w:hanging="360"/>
      </w:pPr>
      <w:rPr>
        <w:rFonts w:ascii="Arial" w:hAnsi="Arial" w:hint="default"/>
      </w:rPr>
    </w:lvl>
    <w:lvl w:ilvl="5" w:tplc="29143FBC" w:tentative="1">
      <w:start w:val="1"/>
      <w:numFmt w:val="bullet"/>
      <w:lvlText w:val="•"/>
      <w:lvlJc w:val="left"/>
      <w:pPr>
        <w:tabs>
          <w:tab w:val="num" w:pos="4320"/>
        </w:tabs>
        <w:ind w:left="4320" w:hanging="360"/>
      </w:pPr>
      <w:rPr>
        <w:rFonts w:ascii="Arial" w:hAnsi="Arial" w:hint="default"/>
      </w:rPr>
    </w:lvl>
    <w:lvl w:ilvl="6" w:tplc="686EB4AE" w:tentative="1">
      <w:start w:val="1"/>
      <w:numFmt w:val="bullet"/>
      <w:lvlText w:val="•"/>
      <w:lvlJc w:val="left"/>
      <w:pPr>
        <w:tabs>
          <w:tab w:val="num" w:pos="5040"/>
        </w:tabs>
        <w:ind w:left="5040" w:hanging="360"/>
      </w:pPr>
      <w:rPr>
        <w:rFonts w:ascii="Arial" w:hAnsi="Arial" w:hint="default"/>
      </w:rPr>
    </w:lvl>
    <w:lvl w:ilvl="7" w:tplc="1B1C40DE" w:tentative="1">
      <w:start w:val="1"/>
      <w:numFmt w:val="bullet"/>
      <w:lvlText w:val="•"/>
      <w:lvlJc w:val="left"/>
      <w:pPr>
        <w:tabs>
          <w:tab w:val="num" w:pos="5760"/>
        </w:tabs>
        <w:ind w:left="5760" w:hanging="360"/>
      </w:pPr>
      <w:rPr>
        <w:rFonts w:ascii="Arial" w:hAnsi="Arial" w:hint="default"/>
      </w:rPr>
    </w:lvl>
    <w:lvl w:ilvl="8" w:tplc="E1C83F30" w:tentative="1">
      <w:start w:val="1"/>
      <w:numFmt w:val="bullet"/>
      <w:lvlText w:val="•"/>
      <w:lvlJc w:val="left"/>
      <w:pPr>
        <w:tabs>
          <w:tab w:val="num" w:pos="6480"/>
        </w:tabs>
        <w:ind w:left="6480" w:hanging="360"/>
      </w:pPr>
      <w:rPr>
        <w:rFonts w:ascii="Arial" w:hAnsi="Arial" w:hint="default"/>
      </w:rPr>
    </w:lvl>
  </w:abstractNum>
  <w:abstractNum w:abstractNumId="1">
    <w:nsid w:val="3878225F"/>
    <w:multiLevelType w:val="hybridMultilevel"/>
    <w:tmpl w:val="ACC81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F760777"/>
    <w:multiLevelType w:val="hybridMultilevel"/>
    <w:tmpl w:val="2958A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70651898"/>
    <w:multiLevelType w:val="hybridMultilevel"/>
    <w:tmpl w:val="79844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74774A0F"/>
    <w:multiLevelType w:val="hybridMultilevel"/>
    <w:tmpl w:val="DAF6B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besit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r5z5wtv80t5xoex59tptpftdfs5rrtaaf9e&quot;&gt;My EndNote Library&lt;record-ids&gt;&lt;item&gt;93&lt;/item&gt;&lt;item&gt;417&lt;/item&gt;&lt;item&gt;515&lt;/item&gt;&lt;item&gt;1106&lt;/item&gt;&lt;item&gt;1115&lt;/item&gt;&lt;item&gt;1931&lt;/item&gt;&lt;item&gt;3006&lt;/item&gt;&lt;item&gt;3008&lt;/item&gt;&lt;item&gt;3009&lt;/item&gt;&lt;/record-ids&gt;&lt;/item&gt;&lt;/Libraries&gt;"/>
  </w:docVars>
  <w:rsids>
    <w:rsidRoot w:val="00E6631A"/>
    <w:rsid w:val="00032CBF"/>
    <w:rsid w:val="000634B6"/>
    <w:rsid w:val="00072BF5"/>
    <w:rsid w:val="000E112B"/>
    <w:rsid w:val="000E1BCE"/>
    <w:rsid w:val="000E58EB"/>
    <w:rsid w:val="001278F8"/>
    <w:rsid w:val="00140F7D"/>
    <w:rsid w:val="001508C5"/>
    <w:rsid w:val="00162EC5"/>
    <w:rsid w:val="00207E23"/>
    <w:rsid w:val="002128A8"/>
    <w:rsid w:val="002B7F10"/>
    <w:rsid w:val="002C2533"/>
    <w:rsid w:val="002F64C2"/>
    <w:rsid w:val="00300C25"/>
    <w:rsid w:val="00313519"/>
    <w:rsid w:val="003165CE"/>
    <w:rsid w:val="0032433C"/>
    <w:rsid w:val="00327856"/>
    <w:rsid w:val="003C665D"/>
    <w:rsid w:val="0042299B"/>
    <w:rsid w:val="00431598"/>
    <w:rsid w:val="00431C0F"/>
    <w:rsid w:val="00452099"/>
    <w:rsid w:val="004526A2"/>
    <w:rsid w:val="00470141"/>
    <w:rsid w:val="00477AEF"/>
    <w:rsid w:val="00495154"/>
    <w:rsid w:val="004A3EEC"/>
    <w:rsid w:val="004A7CD2"/>
    <w:rsid w:val="004B5FDD"/>
    <w:rsid w:val="004C0EBA"/>
    <w:rsid w:val="004C5C21"/>
    <w:rsid w:val="00506593"/>
    <w:rsid w:val="00511216"/>
    <w:rsid w:val="005221EA"/>
    <w:rsid w:val="005536FC"/>
    <w:rsid w:val="00566322"/>
    <w:rsid w:val="005B4CE0"/>
    <w:rsid w:val="005E0E55"/>
    <w:rsid w:val="005F456B"/>
    <w:rsid w:val="006278A8"/>
    <w:rsid w:val="0069158B"/>
    <w:rsid w:val="006A0BCF"/>
    <w:rsid w:val="006A6C30"/>
    <w:rsid w:val="006B2DD3"/>
    <w:rsid w:val="006B3CB5"/>
    <w:rsid w:val="006B61EF"/>
    <w:rsid w:val="00726E47"/>
    <w:rsid w:val="0073268F"/>
    <w:rsid w:val="0073551F"/>
    <w:rsid w:val="00754686"/>
    <w:rsid w:val="0079048E"/>
    <w:rsid w:val="007A136D"/>
    <w:rsid w:val="007A5AB6"/>
    <w:rsid w:val="00801A77"/>
    <w:rsid w:val="0081302C"/>
    <w:rsid w:val="00861B08"/>
    <w:rsid w:val="00886520"/>
    <w:rsid w:val="00894731"/>
    <w:rsid w:val="008B42DB"/>
    <w:rsid w:val="008D3E71"/>
    <w:rsid w:val="00912607"/>
    <w:rsid w:val="0096461E"/>
    <w:rsid w:val="00986461"/>
    <w:rsid w:val="00987E0D"/>
    <w:rsid w:val="009C7C62"/>
    <w:rsid w:val="009D1712"/>
    <w:rsid w:val="009F354E"/>
    <w:rsid w:val="009F4791"/>
    <w:rsid w:val="00A03077"/>
    <w:rsid w:val="00A06CBB"/>
    <w:rsid w:val="00A652B8"/>
    <w:rsid w:val="00A73813"/>
    <w:rsid w:val="00AA712E"/>
    <w:rsid w:val="00AD7C8F"/>
    <w:rsid w:val="00B22B0E"/>
    <w:rsid w:val="00B32CA1"/>
    <w:rsid w:val="00B46620"/>
    <w:rsid w:val="00BA7AEB"/>
    <w:rsid w:val="00BB7992"/>
    <w:rsid w:val="00BD19F0"/>
    <w:rsid w:val="00C63413"/>
    <w:rsid w:val="00D44046"/>
    <w:rsid w:val="00D73DA1"/>
    <w:rsid w:val="00DE7005"/>
    <w:rsid w:val="00DF30FA"/>
    <w:rsid w:val="00E12D1B"/>
    <w:rsid w:val="00E37597"/>
    <w:rsid w:val="00E61AEA"/>
    <w:rsid w:val="00E6631A"/>
    <w:rsid w:val="00ED09EB"/>
    <w:rsid w:val="00ED6A33"/>
    <w:rsid w:val="00EE2F73"/>
    <w:rsid w:val="00F06ED3"/>
    <w:rsid w:val="00F26B3E"/>
    <w:rsid w:val="00F458EB"/>
    <w:rsid w:val="00F47BC4"/>
    <w:rsid w:val="00FE4ABC"/>
    <w:rsid w:val="00FE5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480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7856"/>
    <w:rPr>
      <w:sz w:val="18"/>
      <w:szCs w:val="18"/>
    </w:rPr>
  </w:style>
  <w:style w:type="paragraph" w:styleId="CommentText">
    <w:name w:val="annotation text"/>
    <w:basedOn w:val="Normal"/>
    <w:link w:val="CommentTextChar"/>
    <w:uiPriority w:val="99"/>
    <w:semiHidden/>
    <w:unhideWhenUsed/>
    <w:rsid w:val="00327856"/>
  </w:style>
  <w:style w:type="character" w:customStyle="1" w:styleId="CommentTextChar">
    <w:name w:val="Comment Text Char"/>
    <w:basedOn w:val="DefaultParagraphFont"/>
    <w:link w:val="CommentText"/>
    <w:uiPriority w:val="99"/>
    <w:semiHidden/>
    <w:rsid w:val="00327856"/>
  </w:style>
  <w:style w:type="paragraph" w:styleId="CommentSubject">
    <w:name w:val="annotation subject"/>
    <w:basedOn w:val="CommentText"/>
    <w:next w:val="CommentText"/>
    <w:link w:val="CommentSubjectChar"/>
    <w:uiPriority w:val="99"/>
    <w:semiHidden/>
    <w:unhideWhenUsed/>
    <w:rsid w:val="00327856"/>
    <w:rPr>
      <w:b/>
      <w:bCs/>
      <w:sz w:val="20"/>
      <w:szCs w:val="20"/>
    </w:rPr>
  </w:style>
  <w:style w:type="character" w:customStyle="1" w:styleId="CommentSubjectChar">
    <w:name w:val="Comment Subject Char"/>
    <w:basedOn w:val="CommentTextChar"/>
    <w:link w:val="CommentSubject"/>
    <w:uiPriority w:val="99"/>
    <w:semiHidden/>
    <w:rsid w:val="00327856"/>
    <w:rPr>
      <w:b/>
      <w:bCs/>
      <w:sz w:val="20"/>
      <w:szCs w:val="20"/>
    </w:rPr>
  </w:style>
  <w:style w:type="paragraph" w:styleId="BalloonText">
    <w:name w:val="Balloon Text"/>
    <w:basedOn w:val="Normal"/>
    <w:link w:val="BalloonTextChar"/>
    <w:uiPriority w:val="99"/>
    <w:semiHidden/>
    <w:unhideWhenUsed/>
    <w:rsid w:val="003278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856"/>
    <w:rPr>
      <w:rFonts w:ascii="Lucida Grande" w:hAnsi="Lucida Grande" w:cs="Lucida Grande"/>
      <w:sz w:val="18"/>
      <w:szCs w:val="18"/>
    </w:rPr>
  </w:style>
  <w:style w:type="character" w:styleId="Strong">
    <w:name w:val="Strong"/>
    <w:basedOn w:val="DefaultParagraphFont"/>
    <w:uiPriority w:val="22"/>
    <w:qFormat/>
    <w:rsid w:val="00DF30FA"/>
    <w:rPr>
      <w:b/>
      <w:bCs/>
    </w:rPr>
  </w:style>
  <w:style w:type="paragraph" w:customStyle="1" w:styleId="EndNoteBibliographyTitle">
    <w:name w:val="EndNote Bibliography Title"/>
    <w:basedOn w:val="Normal"/>
    <w:link w:val="EndNoteBibliographyTitleChar"/>
    <w:rsid w:val="002C2533"/>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2C2533"/>
    <w:rPr>
      <w:rFonts w:ascii="Cambria" w:hAnsi="Cambria"/>
      <w:noProof/>
    </w:rPr>
  </w:style>
  <w:style w:type="paragraph" w:customStyle="1" w:styleId="EndNoteBibliography">
    <w:name w:val="EndNote Bibliography"/>
    <w:basedOn w:val="Normal"/>
    <w:link w:val="EndNoteBibliographyChar"/>
    <w:rsid w:val="002C2533"/>
    <w:pPr>
      <w:jc w:val="both"/>
    </w:pPr>
    <w:rPr>
      <w:rFonts w:ascii="Cambria" w:hAnsi="Cambria"/>
      <w:noProof/>
    </w:rPr>
  </w:style>
  <w:style w:type="character" w:customStyle="1" w:styleId="EndNoteBibliographyChar">
    <w:name w:val="EndNote Bibliography Char"/>
    <w:basedOn w:val="DefaultParagraphFont"/>
    <w:link w:val="EndNoteBibliography"/>
    <w:rsid w:val="002C2533"/>
    <w:rPr>
      <w:rFonts w:ascii="Cambria" w:hAnsi="Cambria"/>
      <w:noProof/>
    </w:rPr>
  </w:style>
  <w:style w:type="character" w:styleId="Hyperlink">
    <w:name w:val="Hyperlink"/>
    <w:basedOn w:val="DefaultParagraphFont"/>
    <w:uiPriority w:val="99"/>
    <w:unhideWhenUsed/>
    <w:rsid w:val="002C2533"/>
    <w:rPr>
      <w:color w:val="0000FF" w:themeColor="hyperlink"/>
      <w:u w:val="single"/>
    </w:rPr>
  </w:style>
  <w:style w:type="character" w:customStyle="1" w:styleId="hlfld-fulltext">
    <w:name w:val="hlfld-fulltext"/>
    <w:basedOn w:val="DefaultParagraphFont"/>
    <w:rsid w:val="002C2533"/>
  </w:style>
  <w:style w:type="character" w:customStyle="1" w:styleId="st">
    <w:name w:val="st"/>
    <w:basedOn w:val="DefaultParagraphFont"/>
    <w:rsid w:val="002C2533"/>
  </w:style>
  <w:style w:type="table" w:styleId="TableGrid">
    <w:name w:val="Table Grid"/>
    <w:basedOn w:val="TableNormal"/>
    <w:uiPriority w:val="59"/>
    <w:rsid w:val="002C2533"/>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2533"/>
    <w:pPr>
      <w:spacing w:after="200" w:line="276" w:lineRule="auto"/>
      <w:ind w:left="720"/>
      <w:contextualSpacing/>
    </w:pPr>
    <w:rPr>
      <w:sz w:val="22"/>
      <w:szCs w:val="22"/>
      <w:lang w:val="en-GB" w:eastAsia="en-GB"/>
    </w:rPr>
  </w:style>
  <w:style w:type="character" w:styleId="LineNumber">
    <w:name w:val="line number"/>
    <w:basedOn w:val="DefaultParagraphFont"/>
    <w:uiPriority w:val="99"/>
    <w:semiHidden/>
    <w:unhideWhenUsed/>
    <w:rsid w:val="00E12D1B"/>
  </w:style>
  <w:style w:type="paragraph" w:styleId="Header">
    <w:name w:val="header"/>
    <w:basedOn w:val="Normal"/>
    <w:link w:val="HeaderChar"/>
    <w:uiPriority w:val="99"/>
    <w:unhideWhenUsed/>
    <w:rsid w:val="00E12D1B"/>
    <w:pPr>
      <w:tabs>
        <w:tab w:val="center" w:pos="4513"/>
        <w:tab w:val="right" w:pos="9026"/>
      </w:tabs>
    </w:pPr>
  </w:style>
  <w:style w:type="character" w:customStyle="1" w:styleId="HeaderChar">
    <w:name w:val="Header Char"/>
    <w:basedOn w:val="DefaultParagraphFont"/>
    <w:link w:val="Header"/>
    <w:uiPriority w:val="99"/>
    <w:rsid w:val="00E12D1B"/>
  </w:style>
  <w:style w:type="paragraph" w:styleId="Footer">
    <w:name w:val="footer"/>
    <w:basedOn w:val="Normal"/>
    <w:link w:val="FooterChar"/>
    <w:uiPriority w:val="99"/>
    <w:unhideWhenUsed/>
    <w:rsid w:val="00E12D1B"/>
    <w:pPr>
      <w:tabs>
        <w:tab w:val="center" w:pos="4513"/>
        <w:tab w:val="right" w:pos="9026"/>
      </w:tabs>
    </w:pPr>
  </w:style>
  <w:style w:type="character" w:customStyle="1" w:styleId="FooterChar">
    <w:name w:val="Footer Char"/>
    <w:basedOn w:val="DefaultParagraphFont"/>
    <w:link w:val="Footer"/>
    <w:uiPriority w:val="99"/>
    <w:rsid w:val="00E12D1B"/>
  </w:style>
  <w:style w:type="character" w:styleId="Emphasis">
    <w:name w:val="Emphasis"/>
    <w:basedOn w:val="DefaultParagraphFont"/>
    <w:uiPriority w:val="20"/>
    <w:qFormat/>
    <w:rsid w:val="00A06C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7856"/>
    <w:rPr>
      <w:sz w:val="18"/>
      <w:szCs w:val="18"/>
    </w:rPr>
  </w:style>
  <w:style w:type="paragraph" w:styleId="CommentText">
    <w:name w:val="annotation text"/>
    <w:basedOn w:val="Normal"/>
    <w:link w:val="CommentTextChar"/>
    <w:uiPriority w:val="99"/>
    <w:semiHidden/>
    <w:unhideWhenUsed/>
    <w:rsid w:val="00327856"/>
  </w:style>
  <w:style w:type="character" w:customStyle="1" w:styleId="CommentTextChar">
    <w:name w:val="Comment Text Char"/>
    <w:basedOn w:val="DefaultParagraphFont"/>
    <w:link w:val="CommentText"/>
    <w:uiPriority w:val="99"/>
    <w:semiHidden/>
    <w:rsid w:val="00327856"/>
  </w:style>
  <w:style w:type="paragraph" w:styleId="CommentSubject">
    <w:name w:val="annotation subject"/>
    <w:basedOn w:val="CommentText"/>
    <w:next w:val="CommentText"/>
    <w:link w:val="CommentSubjectChar"/>
    <w:uiPriority w:val="99"/>
    <w:semiHidden/>
    <w:unhideWhenUsed/>
    <w:rsid w:val="00327856"/>
    <w:rPr>
      <w:b/>
      <w:bCs/>
      <w:sz w:val="20"/>
      <w:szCs w:val="20"/>
    </w:rPr>
  </w:style>
  <w:style w:type="character" w:customStyle="1" w:styleId="CommentSubjectChar">
    <w:name w:val="Comment Subject Char"/>
    <w:basedOn w:val="CommentTextChar"/>
    <w:link w:val="CommentSubject"/>
    <w:uiPriority w:val="99"/>
    <w:semiHidden/>
    <w:rsid w:val="00327856"/>
    <w:rPr>
      <w:b/>
      <w:bCs/>
      <w:sz w:val="20"/>
      <w:szCs w:val="20"/>
    </w:rPr>
  </w:style>
  <w:style w:type="paragraph" w:styleId="BalloonText">
    <w:name w:val="Balloon Text"/>
    <w:basedOn w:val="Normal"/>
    <w:link w:val="BalloonTextChar"/>
    <w:uiPriority w:val="99"/>
    <w:semiHidden/>
    <w:unhideWhenUsed/>
    <w:rsid w:val="003278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856"/>
    <w:rPr>
      <w:rFonts w:ascii="Lucida Grande" w:hAnsi="Lucida Grande" w:cs="Lucida Grande"/>
      <w:sz w:val="18"/>
      <w:szCs w:val="18"/>
    </w:rPr>
  </w:style>
  <w:style w:type="character" w:styleId="Strong">
    <w:name w:val="Strong"/>
    <w:basedOn w:val="DefaultParagraphFont"/>
    <w:uiPriority w:val="22"/>
    <w:qFormat/>
    <w:rsid w:val="00DF30FA"/>
    <w:rPr>
      <w:b/>
      <w:bCs/>
    </w:rPr>
  </w:style>
  <w:style w:type="paragraph" w:customStyle="1" w:styleId="EndNoteBibliographyTitle">
    <w:name w:val="EndNote Bibliography Title"/>
    <w:basedOn w:val="Normal"/>
    <w:link w:val="EndNoteBibliographyTitleChar"/>
    <w:rsid w:val="002C2533"/>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2C2533"/>
    <w:rPr>
      <w:rFonts w:ascii="Cambria" w:hAnsi="Cambria"/>
      <w:noProof/>
    </w:rPr>
  </w:style>
  <w:style w:type="paragraph" w:customStyle="1" w:styleId="EndNoteBibliography">
    <w:name w:val="EndNote Bibliography"/>
    <w:basedOn w:val="Normal"/>
    <w:link w:val="EndNoteBibliographyChar"/>
    <w:rsid w:val="002C2533"/>
    <w:pPr>
      <w:jc w:val="both"/>
    </w:pPr>
    <w:rPr>
      <w:rFonts w:ascii="Cambria" w:hAnsi="Cambria"/>
      <w:noProof/>
    </w:rPr>
  </w:style>
  <w:style w:type="character" w:customStyle="1" w:styleId="EndNoteBibliographyChar">
    <w:name w:val="EndNote Bibliography Char"/>
    <w:basedOn w:val="DefaultParagraphFont"/>
    <w:link w:val="EndNoteBibliography"/>
    <w:rsid w:val="002C2533"/>
    <w:rPr>
      <w:rFonts w:ascii="Cambria" w:hAnsi="Cambria"/>
      <w:noProof/>
    </w:rPr>
  </w:style>
  <w:style w:type="character" w:styleId="Hyperlink">
    <w:name w:val="Hyperlink"/>
    <w:basedOn w:val="DefaultParagraphFont"/>
    <w:uiPriority w:val="99"/>
    <w:unhideWhenUsed/>
    <w:rsid w:val="002C2533"/>
    <w:rPr>
      <w:color w:val="0000FF" w:themeColor="hyperlink"/>
      <w:u w:val="single"/>
    </w:rPr>
  </w:style>
  <w:style w:type="character" w:customStyle="1" w:styleId="hlfld-fulltext">
    <w:name w:val="hlfld-fulltext"/>
    <w:basedOn w:val="DefaultParagraphFont"/>
    <w:rsid w:val="002C2533"/>
  </w:style>
  <w:style w:type="character" w:customStyle="1" w:styleId="st">
    <w:name w:val="st"/>
    <w:basedOn w:val="DefaultParagraphFont"/>
    <w:rsid w:val="002C2533"/>
  </w:style>
  <w:style w:type="table" w:styleId="TableGrid">
    <w:name w:val="Table Grid"/>
    <w:basedOn w:val="TableNormal"/>
    <w:uiPriority w:val="59"/>
    <w:rsid w:val="002C2533"/>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2533"/>
    <w:pPr>
      <w:spacing w:after="200" w:line="276" w:lineRule="auto"/>
      <w:ind w:left="720"/>
      <w:contextualSpacing/>
    </w:pPr>
    <w:rPr>
      <w:sz w:val="22"/>
      <w:szCs w:val="22"/>
      <w:lang w:val="en-GB" w:eastAsia="en-GB"/>
    </w:rPr>
  </w:style>
  <w:style w:type="character" w:styleId="LineNumber">
    <w:name w:val="line number"/>
    <w:basedOn w:val="DefaultParagraphFont"/>
    <w:uiPriority w:val="99"/>
    <w:semiHidden/>
    <w:unhideWhenUsed/>
    <w:rsid w:val="00E12D1B"/>
  </w:style>
  <w:style w:type="paragraph" w:styleId="Header">
    <w:name w:val="header"/>
    <w:basedOn w:val="Normal"/>
    <w:link w:val="HeaderChar"/>
    <w:uiPriority w:val="99"/>
    <w:unhideWhenUsed/>
    <w:rsid w:val="00E12D1B"/>
    <w:pPr>
      <w:tabs>
        <w:tab w:val="center" w:pos="4513"/>
        <w:tab w:val="right" w:pos="9026"/>
      </w:tabs>
    </w:pPr>
  </w:style>
  <w:style w:type="character" w:customStyle="1" w:styleId="HeaderChar">
    <w:name w:val="Header Char"/>
    <w:basedOn w:val="DefaultParagraphFont"/>
    <w:link w:val="Header"/>
    <w:uiPriority w:val="99"/>
    <w:rsid w:val="00E12D1B"/>
  </w:style>
  <w:style w:type="paragraph" w:styleId="Footer">
    <w:name w:val="footer"/>
    <w:basedOn w:val="Normal"/>
    <w:link w:val="FooterChar"/>
    <w:uiPriority w:val="99"/>
    <w:unhideWhenUsed/>
    <w:rsid w:val="00E12D1B"/>
    <w:pPr>
      <w:tabs>
        <w:tab w:val="center" w:pos="4513"/>
        <w:tab w:val="right" w:pos="9026"/>
      </w:tabs>
    </w:pPr>
  </w:style>
  <w:style w:type="character" w:customStyle="1" w:styleId="FooterChar">
    <w:name w:val="Footer Char"/>
    <w:basedOn w:val="DefaultParagraphFont"/>
    <w:link w:val="Footer"/>
    <w:uiPriority w:val="99"/>
    <w:rsid w:val="00E12D1B"/>
  </w:style>
  <w:style w:type="character" w:styleId="Emphasis">
    <w:name w:val="Emphasis"/>
    <w:basedOn w:val="DefaultParagraphFont"/>
    <w:uiPriority w:val="20"/>
    <w:qFormat/>
    <w:rsid w:val="00A06C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4372">
      <w:bodyDiv w:val="1"/>
      <w:marLeft w:val="0"/>
      <w:marRight w:val="0"/>
      <w:marTop w:val="0"/>
      <w:marBottom w:val="0"/>
      <w:divBdr>
        <w:top w:val="none" w:sz="0" w:space="0" w:color="auto"/>
        <w:left w:val="none" w:sz="0" w:space="0" w:color="auto"/>
        <w:bottom w:val="none" w:sz="0" w:space="0" w:color="auto"/>
        <w:right w:val="none" w:sz="0" w:space="0" w:color="auto"/>
      </w:divBdr>
    </w:div>
    <w:div w:id="483739520">
      <w:bodyDiv w:val="1"/>
      <w:marLeft w:val="0"/>
      <w:marRight w:val="0"/>
      <w:marTop w:val="0"/>
      <w:marBottom w:val="0"/>
      <w:divBdr>
        <w:top w:val="none" w:sz="0" w:space="0" w:color="auto"/>
        <w:left w:val="none" w:sz="0" w:space="0" w:color="auto"/>
        <w:bottom w:val="none" w:sz="0" w:space="0" w:color="auto"/>
        <w:right w:val="none" w:sz="0" w:space="0" w:color="auto"/>
      </w:divBdr>
    </w:div>
    <w:div w:id="816191645">
      <w:bodyDiv w:val="1"/>
      <w:marLeft w:val="0"/>
      <w:marRight w:val="0"/>
      <w:marTop w:val="0"/>
      <w:marBottom w:val="0"/>
      <w:divBdr>
        <w:top w:val="none" w:sz="0" w:space="0" w:color="auto"/>
        <w:left w:val="none" w:sz="0" w:space="0" w:color="auto"/>
        <w:bottom w:val="none" w:sz="0" w:space="0" w:color="auto"/>
        <w:right w:val="none" w:sz="0" w:space="0" w:color="auto"/>
      </w:divBdr>
    </w:div>
    <w:div w:id="843936768">
      <w:bodyDiv w:val="1"/>
      <w:marLeft w:val="0"/>
      <w:marRight w:val="0"/>
      <w:marTop w:val="0"/>
      <w:marBottom w:val="0"/>
      <w:divBdr>
        <w:top w:val="none" w:sz="0" w:space="0" w:color="auto"/>
        <w:left w:val="none" w:sz="0" w:space="0" w:color="auto"/>
        <w:bottom w:val="none" w:sz="0" w:space="0" w:color="auto"/>
        <w:right w:val="none" w:sz="0" w:space="0" w:color="auto"/>
      </w:divBdr>
    </w:div>
    <w:div w:id="909458939">
      <w:bodyDiv w:val="1"/>
      <w:marLeft w:val="0"/>
      <w:marRight w:val="0"/>
      <w:marTop w:val="0"/>
      <w:marBottom w:val="0"/>
      <w:divBdr>
        <w:top w:val="none" w:sz="0" w:space="0" w:color="auto"/>
        <w:left w:val="none" w:sz="0" w:space="0" w:color="auto"/>
        <w:bottom w:val="none" w:sz="0" w:space="0" w:color="auto"/>
        <w:right w:val="none" w:sz="0" w:space="0" w:color="auto"/>
      </w:divBdr>
    </w:div>
    <w:div w:id="950358545">
      <w:bodyDiv w:val="1"/>
      <w:marLeft w:val="0"/>
      <w:marRight w:val="0"/>
      <w:marTop w:val="0"/>
      <w:marBottom w:val="0"/>
      <w:divBdr>
        <w:top w:val="none" w:sz="0" w:space="0" w:color="auto"/>
        <w:left w:val="none" w:sz="0" w:space="0" w:color="auto"/>
        <w:bottom w:val="none" w:sz="0" w:space="0" w:color="auto"/>
        <w:right w:val="none" w:sz="0" w:space="0" w:color="auto"/>
      </w:divBdr>
      <w:divsChild>
        <w:div w:id="281157276">
          <w:marLeft w:val="0"/>
          <w:marRight w:val="0"/>
          <w:marTop w:val="0"/>
          <w:marBottom w:val="0"/>
          <w:divBdr>
            <w:top w:val="none" w:sz="0" w:space="0" w:color="auto"/>
            <w:left w:val="none" w:sz="0" w:space="0" w:color="auto"/>
            <w:bottom w:val="none" w:sz="0" w:space="0" w:color="auto"/>
            <w:right w:val="none" w:sz="0" w:space="0" w:color="auto"/>
          </w:divBdr>
        </w:div>
        <w:div w:id="1156847468">
          <w:marLeft w:val="0"/>
          <w:marRight w:val="0"/>
          <w:marTop w:val="0"/>
          <w:marBottom w:val="0"/>
          <w:divBdr>
            <w:top w:val="none" w:sz="0" w:space="0" w:color="auto"/>
            <w:left w:val="none" w:sz="0" w:space="0" w:color="auto"/>
            <w:bottom w:val="none" w:sz="0" w:space="0" w:color="auto"/>
            <w:right w:val="none" w:sz="0" w:space="0" w:color="auto"/>
          </w:divBdr>
        </w:div>
        <w:div w:id="423460747">
          <w:marLeft w:val="0"/>
          <w:marRight w:val="0"/>
          <w:marTop w:val="0"/>
          <w:marBottom w:val="0"/>
          <w:divBdr>
            <w:top w:val="none" w:sz="0" w:space="0" w:color="auto"/>
            <w:left w:val="none" w:sz="0" w:space="0" w:color="auto"/>
            <w:bottom w:val="none" w:sz="0" w:space="0" w:color="auto"/>
            <w:right w:val="none" w:sz="0" w:space="0" w:color="auto"/>
          </w:divBdr>
        </w:div>
        <w:div w:id="316228141">
          <w:marLeft w:val="0"/>
          <w:marRight w:val="0"/>
          <w:marTop w:val="0"/>
          <w:marBottom w:val="0"/>
          <w:divBdr>
            <w:top w:val="none" w:sz="0" w:space="0" w:color="auto"/>
            <w:left w:val="none" w:sz="0" w:space="0" w:color="auto"/>
            <w:bottom w:val="none" w:sz="0" w:space="0" w:color="auto"/>
            <w:right w:val="none" w:sz="0" w:space="0" w:color="auto"/>
          </w:divBdr>
        </w:div>
        <w:div w:id="1233931867">
          <w:marLeft w:val="0"/>
          <w:marRight w:val="0"/>
          <w:marTop w:val="0"/>
          <w:marBottom w:val="0"/>
          <w:divBdr>
            <w:top w:val="none" w:sz="0" w:space="0" w:color="auto"/>
            <w:left w:val="none" w:sz="0" w:space="0" w:color="auto"/>
            <w:bottom w:val="none" w:sz="0" w:space="0" w:color="auto"/>
            <w:right w:val="none" w:sz="0" w:space="0" w:color="auto"/>
          </w:divBdr>
        </w:div>
        <w:div w:id="423233642">
          <w:marLeft w:val="0"/>
          <w:marRight w:val="0"/>
          <w:marTop w:val="0"/>
          <w:marBottom w:val="0"/>
          <w:divBdr>
            <w:top w:val="none" w:sz="0" w:space="0" w:color="auto"/>
            <w:left w:val="none" w:sz="0" w:space="0" w:color="auto"/>
            <w:bottom w:val="none" w:sz="0" w:space="0" w:color="auto"/>
            <w:right w:val="none" w:sz="0" w:space="0" w:color="auto"/>
          </w:divBdr>
        </w:div>
        <w:div w:id="1328099249">
          <w:marLeft w:val="0"/>
          <w:marRight w:val="0"/>
          <w:marTop w:val="0"/>
          <w:marBottom w:val="0"/>
          <w:divBdr>
            <w:top w:val="none" w:sz="0" w:space="0" w:color="auto"/>
            <w:left w:val="none" w:sz="0" w:space="0" w:color="auto"/>
            <w:bottom w:val="none" w:sz="0" w:space="0" w:color="auto"/>
            <w:right w:val="none" w:sz="0" w:space="0" w:color="auto"/>
          </w:divBdr>
        </w:div>
      </w:divsChild>
    </w:div>
    <w:div w:id="1101024255">
      <w:bodyDiv w:val="1"/>
      <w:marLeft w:val="0"/>
      <w:marRight w:val="0"/>
      <w:marTop w:val="0"/>
      <w:marBottom w:val="0"/>
      <w:divBdr>
        <w:top w:val="none" w:sz="0" w:space="0" w:color="auto"/>
        <w:left w:val="none" w:sz="0" w:space="0" w:color="auto"/>
        <w:bottom w:val="none" w:sz="0" w:space="0" w:color="auto"/>
        <w:right w:val="none" w:sz="0" w:space="0" w:color="auto"/>
      </w:divBdr>
    </w:div>
    <w:div w:id="1331448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4110</Words>
  <Characters>23429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Saranya Ravindra</dc:creator>
  <cp:lastModifiedBy>Dr Alexander Miras</cp:lastModifiedBy>
  <cp:revision>2</cp:revision>
  <dcterms:created xsi:type="dcterms:W3CDTF">2016-09-14T16:17:00Z</dcterms:created>
  <dcterms:modified xsi:type="dcterms:W3CDTF">2016-09-14T16:17:00Z</dcterms:modified>
</cp:coreProperties>
</file>