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7FDF47" w14:textId="5170FE0C" w:rsidR="007E2B44" w:rsidRPr="001A0401" w:rsidRDefault="005B15EB" w:rsidP="006E1D5E">
      <w:pPr>
        <w:pStyle w:val="Title"/>
        <w:spacing w:before="100" w:beforeAutospacing="1" w:after="100" w:afterAutospacing="1" w:line="480" w:lineRule="auto"/>
        <w:contextualSpacing w:val="0"/>
        <w:rPr>
          <w:rFonts w:ascii="Times New Roman" w:hAnsi="Times New Roman"/>
          <w:b/>
          <w:sz w:val="40"/>
        </w:rPr>
      </w:pPr>
      <w:r w:rsidRPr="001A0401">
        <w:rPr>
          <w:rFonts w:ascii="Times New Roman" w:hAnsi="Times New Roman"/>
          <w:b/>
          <w:sz w:val="40"/>
        </w:rPr>
        <w:t>Methods</w:t>
      </w:r>
    </w:p>
    <w:p w14:paraId="552DC2E4" w14:textId="77777777" w:rsidR="006E1D5E" w:rsidRDefault="006E1D5E" w:rsidP="006E1D5E">
      <w:pPr>
        <w:jc w:val="both"/>
        <w:rPr>
          <w:rFonts w:ascii="Times New Roman" w:hAnsi="Times New Roman" w:cs="Times New Roman"/>
          <w:sz w:val="24"/>
          <w:szCs w:val="24"/>
        </w:rPr>
      </w:pPr>
      <w:r w:rsidRPr="001C575A">
        <w:rPr>
          <w:rFonts w:ascii="Times New Roman" w:hAnsi="Times New Roman" w:cs="Times New Roman"/>
          <w:sz w:val="24"/>
          <w:szCs w:val="24"/>
        </w:rPr>
        <w:t xml:space="preserve">Supplement to: </w:t>
      </w:r>
      <w:r>
        <w:rPr>
          <w:rFonts w:ascii="Times New Roman" w:hAnsi="Times New Roman" w:cs="Times New Roman"/>
          <w:sz w:val="24"/>
          <w:szCs w:val="24"/>
        </w:rPr>
        <w:t>“</w:t>
      </w:r>
      <w:r w:rsidRPr="0056161F">
        <w:rPr>
          <w:rFonts w:ascii="Times New Roman" w:hAnsi="Times New Roman" w:cs="Times New Roman"/>
          <w:sz w:val="24"/>
          <w:szCs w:val="24"/>
        </w:rPr>
        <w:t xml:space="preserve">The intensive care AI clinician learns optimal </w:t>
      </w:r>
      <w:r>
        <w:rPr>
          <w:rFonts w:ascii="Times New Roman" w:hAnsi="Times New Roman" w:cs="Times New Roman"/>
          <w:sz w:val="24"/>
          <w:szCs w:val="24"/>
        </w:rPr>
        <w:t xml:space="preserve">treatment strategies for sepsis” by </w:t>
      </w:r>
      <w:proofErr w:type="spellStart"/>
      <w:r w:rsidRPr="001C575A">
        <w:rPr>
          <w:rFonts w:ascii="Times New Roman" w:hAnsi="Times New Roman" w:cs="Times New Roman"/>
          <w:sz w:val="24"/>
          <w:szCs w:val="24"/>
        </w:rPr>
        <w:t>Komorowski</w:t>
      </w:r>
      <w:proofErr w:type="spellEnd"/>
      <w:r w:rsidRPr="001C575A">
        <w:rPr>
          <w:rFonts w:ascii="Times New Roman" w:hAnsi="Times New Roman" w:cs="Times New Roman"/>
          <w:sz w:val="24"/>
          <w:szCs w:val="24"/>
        </w:rPr>
        <w:t xml:space="preserve"> et al.</w:t>
      </w:r>
    </w:p>
    <w:p w14:paraId="41047503" w14:textId="77777777" w:rsidR="00DC0401" w:rsidRPr="001C575A" w:rsidRDefault="00DC0401" w:rsidP="006E1D5E">
      <w:pPr>
        <w:jc w:val="both"/>
        <w:rPr>
          <w:rFonts w:ascii="Times New Roman" w:hAnsi="Times New Roman" w:cs="Times New Roman"/>
          <w:sz w:val="24"/>
          <w:szCs w:val="24"/>
        </w:rPr>
      </w:pPr>
      <w:bookmarkStart w:id="0" w:name="_Hlk514861373"/>
    </w:p>
    <w:p w14:paraId="19269260" w14:textId="77777777" w:rsidR="00FA0127" w:rsidRPr="004739B1" w:rsidRDefault="00FA0127" w:rsidP="00FA0127">
      <w:pPr>
        <w:keepNext/>
        <w:keepLines/>
        <w:spacing w:before="100" w:beforeAutospacing="1" w:after="100" w:afterAutospacing="1" w:line="480" w:lineRule="auto"/>
        <w:outlineLvl w:val="0"/>
        <w:rPr>
          <w:rFonts w:ascii="Times New Roman" w:eastAsia="Times New Roman" w:hAnsi="Times New Roman" w:cs="Times New Roman"/>
          <w:b/>
          <w:color w:val="2E75B5"/>
          <w:sz w:val="32"/>
          <w:szCs w:val="32"/>
        </w:rPr>
      </w:pPr>
      <w:r w:rsidRPr="004739B1">
        <w:rPr>
          <w:rFonts w:ascii="Times New Roman" w:eastAsia="Times New Roman" w:hAnsi="Times New Roman" w:cs="Times New Roman"/>
          <w:b/>
          <w:color w:val="2E75B5"/>
          <w:sz w:val="32"/>
          <w:szCs w:val="32"/>
        </w:rPr>
        <w:t>Study design and databases</w:t>
      </w:r>
    </w:p>
    <w:p w14:paraId="77CA1D47" w14:textId="778B6D8F" w:rsidR="00FA0127"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043445">
        <w:rPr>
          <w:rFonts w:ascii="Times New Roman" w:eastAsia="Times New Roman" w:hAnsi="Times New Roman" w:cs="Times New Roman"/>
          <w:sz w:val="24"/>
          <w:szCs w:val="24"/>
        </w:rPr>
        <w:t xml:space="preserve">We built and then validated a computational </w:t>
      </w:r>
      <w:r>
        <w:rPr>
          <w:rFonts w:ascii="Times New Roman" w:eastAsia="Times New Roman" w:hAnsi="Times New Roman" w:cs="Times New Roman"/>
          <w:sz w:val="24"/>
          <w:szCs w:val="24"/>
        </w:rPr>
        <w:t>clinical decision support model</w:t>
      </w:r>
      <w:r w:rsidRPr="00043445">
        <w:rPr>
          <w:rFonts w:ascii="Times New Roman" w:eastAsia="Times New Roman" w:hAnsi="Times New Roman" w:cs="Times New Roman"/>
          <w:sz w:val="24"/>
          <w:szCs w:val="24"/>
        </w:rPr>
        <w:t xml:space="preserve"> based on the retrospective analysis of two non-overlapping intensive care databases, containing data collected from adult patients</w:t>
      </w:r>
      <w:r>
        <w:rPr>
          <w:rFonts w:ascii="Times New Roman" w:eastAsia="Times New Roman" w:hAnsi="Times New Roman" w:cs="Times New Roman"/>
          <w:sz w:val="24"/>
          <w:szCs w:val="24"/>
        </w:rPr>
        <w:t xml:space="preserve">: </w:t>
      </w:r>
    </w:p>
    <w:p w14:paraId="1FD21F2C" w14:textId="1FB6883A" w:rsidR="00FA0127" w:rsidRDefault="00FA0127" w:rsidP="00FA0127">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1C0069">
        <w:rPr>
          <w:rFonts w:ascii="Times New Roman" w:eastAsia="Times New Roman" w:hAnsi="Times New Roman" w:cs="Times New Roman"/>
          <w:sz w:val="24"/>
          <w:szCs w:val="24"/>
        </w:rPr>
        <w:t>The Medical Information Mart for Intensive Care version III (MIMIC-III) is an open access anonymized database of 61,532 admissions from 2001-2012 in six intensive care units (ICUs) at a Boston teaching hospital</w:t>
      </w:r>
      <w:r w:rsidRPr="001C0069">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{"citationID":"a22apu5q169","properties":{"formattedCitation":"\\super 16\\nosupersub{}","plainCitation":"16","noteIndex":0},"citationItems":[{"id":2458,"uris":["http://zotero.org/users/858056/items/PRF7SJER"],"uri":["http://zotero.org/users/858056/items/PRF7SJER"],"itemData":{"id":2458,"type":"article-journal","title":"MIMIC-III, a freely accessible critical care database","container-title":"Scientific Data","page":"160035","volume":"3","source":"PubMed","abstract":"MIMIC-III ('Medical Information Mart for Intensive Care') is a large, single-center database comprising information relating to patients admitted to critical care units at a large tertiary care hospital. Data includes vital signs, medications, laboratory measurements, observations and notes charted by care providers, fluid balance, procedure codes, diagnostic codes, imaging reports, hospital length of stay, survival data, and more. The database supports applications including academic and industrial research, quality improvement initiatives, and higher education coursework.","DOI":"10.1038/sdata.2016.35","ISSN":"2052-4463","note":"PMID: 27219127","journalAbbreviation":"Sci Data","language":"ENG","author":[{"family":"Johnson","given":"Alistair E. W."},{"family":"Pollard","given":"Tom J."},{"family":"Shen","given":"Lu"},{"family":"Lehman","given":"Li-Wei H."},{"family":"Feng","given":"Mengling"},{"family":"Ghassemi","given":"Mohammad"},{"family":"Moody","given":"Benjamin"},{"family":"Szolovits","given":"Peter"},{"family":"Anthony Celi","given":"Leo"},{"family":"Mark","given":"Roger G."}],"issued":{"date-parts":[["2016"]]}}}],"schema":"https://github.com/citation-style-language/schema/raw/master/csl-citation.json"} </w:instrText>
      </w:r>
      <w:r w:rsidRPr="001C0069">
        <w:rPr>
          <w:rFonts w:ascii="Times New Roman" w:eastAsia="Times New Roman" w:hAnsi="Times New Roman" w:cs="Times New Roman"/>
          <w:sz w:val="24"/>
          <w:szCs w:val="24"/>
        </w:rPr>
        <w:fldChar w:fldCharType="separate"/>
      </w:r>
      <w:r w:rsidRPr="00E278F8">
        <w:rPr>
          <w:rFonts w:ascii="Times New Roman" w:hAnsi="Times New Roman" w:cs="Times New Roman"/>
          <w:sz w:val="24"/>
          <w:szCs w:val="24"/>
          <w:vertAlign w:val="superscript"/>
        </w:rPr>
        <w:t>16</w:t>
      </w:r>
      <w:r w:rsidRPr="001C0069">
        <w:rPr>
          <w:rFonts w:ascii="Times New Roman" w:eastAsia="Times New Roman" w:hAnsi="Times New Roman" w:cs="Times New Roman"/>
          <w:sz w:val="24"/>
          <w:szCs w:val="24"/>
        </w:rPr>
        <w:fldChar w:fldCharType="end"/>
      </w:r>
      <w:r w:rsidRPr="001C0069">
        <w:rPr>
          <w:rFonts w:ascii="Times New Roman" w:eastAsia="Times New Roman" w:hAnsi="Times New Roman" w:cs="Times New Roman"/>
          <w:sz w:val="24"/>
          <w:szCs w:val="24"/>
        </w:rPr>
        <w:t xml:space="preserve">. </w:t>
      </w:r>
    </w:p>
    <w:p w14:paraId="4B838E1C" w14:textId="77777777" w:rsidR="00515892" w:rsidRPr="004C51CC" w:rsidRDefault="00FA0127" w:rsidP="00515892">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1C0069">
        <w:rPr>
          <w:rFonts w:ascii="Times New Roman" w:eastAsia="Times New Roman" w:hAnsi="Times New Roman" w:cs="Times New Roman"/>
          <w:sz w:val="24"/>
          <w:szCs w:val="24"/>
        </w:rPr>
        <w:t xml:space="preserve">The Philips </w:t>
      </w:r>
      <w:proofErr w:type="spellStart"/>
      <w:r w:rsidRPr="001C0069">
        <w:rPr>
          <w:rFonts w:ascii="Times New Roman" w:eastAsia="Times New Roman" w:hAnsi="Times New Roman" w:cs="Times New Roman"/>
          <w:sz w:val="24"/>
          <w:szCs w:val="24"/>
        </w:rPr>
        <w:t>eICU</w:t>
      </w:r>
      <w:proofErr w:type="spellEnd"/>
      <w:r w:rsidRPr="001C0069">
        <w:rPr>
          <w:rFonts w:ascii="Times New Roman" w:eastAsia="Times New Roman" w:hAnsi="Times New Roman" w:cs="Times New Roman"/>
          <w:sz w:val="24"/>
          <w:szCs w:val="24"/>
        </w:rPr>
        <w:t xml:space="preserve"> Research Institute </w:t>
      </w:r>
      <w:r w:rsidRPr="004C51CC">
        <w:rPr>
          <w:rFonts w:ascii="Times New Roman" w:eastAsia="Times New Roman" w:hAnsi="Times New Roman" w:cs="Times New Roman"/>
          <w:sz w:val="24"/>
          <w:szCs w:val="24"/>
        </w:rPr>
        <w:t xml:space="preserve">Database (eRI) contains more than 3.3 million </w:t>
      </w:r>
      <w:proofErr w:type="gramStart"/>
      <w:r w:rsidRPr="004C51CC">
        <w:rPr>
          <w:rFonts w:ascii="Times New Roman" w:eastAsia="Times New Roman" w:hAnsi="Times New Roman" w:cs="Times New Roman"/>
          <w:sz w:val="24"/>
          <w:szCs w:val="24"/>
        </w:rPr>
        <w:t>admissions</w:t>
      </w:r>
      <w:proofErr w:type="gramEnd"/>
      <w:r w:rsidRPr="004C51CC">
        <w:rPr>
          <w:rFonts w:ascii="Times New Roman" w:eastAsia="Times New Roman" w:hAnsi="Times New Roman" w:cs="Times New Roman"/>
          <w:sz w:val="24"/>
          <w:szCs w:val="24"/>
        </w:rPr>
        <w:t xml:space="preserve"> from 2003-2016 in 459 ICUs across the U.S.A. </w:t>
      </w:r>
    </w:p>
    <w:p w14:paraId="10982312" w14:textId="23A8C320" w:rsidR="00FA0127" w:rsidRPr="004C51CC" w:rsidRDefault="00FA0127" w:rsidP="008A46FB">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MIMIC-III was used for model development, and eRI for model validation.</w:t>
      </w:r>
      <w:r w:rsidR="00515892" w:rsidRPr="004C51CC">
        <w:rPr>
          <w:rFonts w:ascii="Times New Roman" w:eastAsia="Times New Roman" w:hAnsi="Times New Roman" w:cs="Times New Roman"/>
          <w:sz w:val="24"/>
          <w:szCs w:val="24"/>
        </w:rPr>
        <w:t xml:space="preserve"> </w:t>
      </w:r>
      <w:r w:rsidRPr="004C51CC">
        <w:rPr>
          <w:rFonts w:ascii="Times New Roman" w:eastAsia="Times New Roman" w:hAnsi="Times New Roman" w:cs="Times New Roman"/>
          <w:sz w:val="24"/>
          <w:szCs w:val="24"/>
        </w:rPr>
        <w:t>Both databases contain high-resolution patient data including demographics, vital signs time series, laboratory tests, illness severity scores, medications and procedures, fluid intake and outputs, clinician notes, and diagnostic coding.</w:t>
      </w:r>
    </w:p>
    <w:p w14:paraId="37862602"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p>
    <w:p w14:paraId="306CE49B" w14:textId="77777777" w:rsidR="00FA0127" w:rsidRPr="004C51CC" w:rsidRDefault="00FA0127" w:rsidP="00FA0127">
      <w:pPr>
        <w:keepNext/>
        <w:keepLines/>
        <w:spacing w:before="100" w:beforeAutospacing="1" w:after="100" w:afterAutospacing="1" w:line="480" w:lineRule="auto"/>
        <w:outlineLvl w:val="0"/>
        <w:rPr>
          <w:rFonts w:ascii="Times New Roman" w:eastAsia="Times New Roman" w:hAnsi="Times New Roman" w:cs="Times New Roman"/>
          <w:b/>
          <w:color w:val="2E75B5"/>
          <w:sz w:val="32"/>
          <w:szCs w:val="32"/>
        </w:rPr>
      </w:pPr>
      <w:r w:rsidRPr="004C51CC">
        <w:rPr>
          <w:rFonts w:ascii="Times New Roman" w:eastAsia="Times New Roman" w:hAnsi="Times New Roman" w:cs="Times New Roman"/>
          <w:b/>
          <w:color w:val="2E75B5"/>
          <w:sz w:val="32"/>
          <w:szCs w:val="32"/>
        </w:rPr>
        <w:lastRenderedPageBreak/>
        <w:t>Patient cohorts</w:t>
      </w:r>
    </w:p>
    <w:p w14:paraId="58888502" w14:textId="6A049B29"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In both datasets, MIMIC-III and eRI, we included adult patients fulfilling the sepsis-3 criteria</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{"citationID":"ahtkbjio52","properties":{"formattedCitation":"\\super 7\\nosupersub{}","plainCitation":"7","noteIndex":0},"citationItems":[{"id":2330,"uris":["http://zotero.org/users/858056/items/8XM7C73U"],"uri":["http://zotero.org/users/858056/items/8XM7C73U"],"itemData":{"id":2330,"type":"article-journal","title":"The third international consensus definitions for sepsis and septic shock (sepsis-3)","container-title":"JAMA","page":"801-810","volume":"315","issue":"8","source":"Silverchair","abstract":"Importance \nDefinitions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reexamination.Objective\nTo evaluate and, as needed, update definitions for sepsis and septic shock.Process\nA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Acknowledgment).Key Findings From Evidence Synthesis\nLimitations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 severe sepsis was redundant.Recommendations\nSepsis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 mm Hg or greater and serum lactate level greater than 2 mmol/L (&gt;18 mg/dL) in the absence of hypovolemia. This combination is associated with hospital mortality rates greater than 40%. In out-of-hospital, emergency department, or general hospital ward settings, adult patients with suspected infection can be rapidly identified as being more likely to have poor outcomes typical of sepsis if they have at least 2 of the following clinical criteria that together constitute a new bedside clinical score termed quickSOFA (qSOFA): respiratory rate of 22/min or greater, altered mentation, or systolic blood pressure of 100 mm Hg or less.Conclusions and Relevance\nThese updated definitions and clinical criteria should replace previous definitions, offer greater consistency for epidemiologic studies and clinical trials, and facilitate earlier recognition and more timely management of patients with sepsis or at risk of developing sepsis.","DOI":"10.1001/jama.2016.0287","ISSN":"0098-7484","journalAbbreviation":"JAMA","author":[{"literal":"Singer M"},{"literal":"Deutschman CS"},{"literal":"Seymour C"},{"literal":"et al"}],"issued":{"date-parts":[["2016",2,23]]}}}],"schema":"https://github.com/citation-style-language/schema/raw/master/csl-citation.json"}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7</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w:t>
      </w:r>
      <w:r w:rsidR="00D44E66">
        <w:rPr>
          <w:rFonts w:ascii="Times New Roman" w:eastAsia="Times New Roman" w:hAnsi="Times New Roman" w:cs="Times New Roman"/>
          <w:sz w:val="24"/>
          <w:szCs w:val="24"/>
        </w:rPr>
        <w:t xml:space="preserve"> </w:t>
      </w:r>
      <w:r w:rsidRPr="004C51CC">
        <w:rPr>
          <w:rFonts w:ascii="Times New Roman" w:eastAsia="Times New Roman" w:hAnsi="Times New Roman" w:cs="Times New Roman"/>
          <w:sz w:val="24"/>
          <w:szCs w:val="24"/>
        </w:rPr>
        <w:t>Sepsis was defined as a suspected infection (prescription of antibiotics and sampling of bodily fluids for microbiological culture) combined with evidence of organ dysfunction, defined by a SOFA score ≥ 2</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{"citationID":"a2gmsvsthih","properties":{"formattedCitation":"\\super 7,30\\nosupersub{}","plainCitation":"7,30","noteIndex":0},"citationItems":[{"id":2250,"uris":["http://zotero.org/users/858056/items/SIZGTGMF"],"uri":["http://zotero.org/users/858056/items/SIZGTGMF"],"itemData":{"id":2250,"type":"article-journal","title":"Assessment of clinical criteria for sepsis: For the third international consensus definitions for sepsis and septic shock (sepsis-3)","container-title":"JAMA","page":"762-774","volume":"315","issue":"8","source":"Silverchair","abstract":"Importance \nThe Third International Consensus Definitions Task Force defined sepsis as “life-threatening organ dysfunction due to a dysregulated host response to infection.” The performance of clinical criteria for this sepsis definition is unknown.Objective\nTo evaluate the validity of clinical criteria to identify patients with suspected infection who are at risk of sepsis.Design, Settings, and Population\nAmong 1.3 million electronic health record encounters from January 1, 2010, to December 31, 2012, at 12 hospitals in southwestern Pennsylvania, we identified those with suspected infection in whom to compare criteria. Confirmatory analyses were performed in 4 data sets of 706 399 out-of-hospital and hospital encounters at 165 US and non-US hospitals ranging from January 1, 2008, until December 31, 2013.Exposures\nSequential [Sepsis-related] Organ Failure Assessment (SOFA) score, systemic inflammatory response syndrome (SIRS) criteria, Logistic Organ Dysfunction System (LODS) score, and a new model derived using multivariable logistic regression in a split sample, the quick Sequential [Sepsis-related] Organ Failure Assessment (qSOFA) score (range, 0-3 points, with 1 point each for systolic hypotension [≤100 mm Hg], tachypnea [≥22/min], or altered mentation).Main Outcomes and Measures\nFor construct validity, pairwise agreement was assessed. For predictive validity, the discrimination for outcomes (primary: in-hospital mortality; secondary: in-hospital mortality or intensive care unit [ICU] length of stay ≥3 days) more common in sepsis than uncomplicated infection was determined. Results were expressed as the fold change in outcome over deciles of baseline risk of death and area under the receiver operating characteristic curve (AUROC).Results\nIn the primary cohort, 148 907 encounters had suspected infection (n = 74 453 derivation; n = 74 454 validation), of whom 6347 (4%) died. Among ICU encounters in the validation cohort (n = 7932 with suspected infection, of whom 1289 [16%] died), the predictive validity for in-hospital mortality was lower for SIRS (AUROC = 0.64; 95% CI, 0.62-0.66) and qSOFA (AUROC = 0.66; 95% CI, 0.64-0.68) vs SOFA (AUROC = 0.74; 95% CI, 0.73-0.76; P &lt; .001 for both) or LODS (AUROC = 0.75; 95% CI, 0.73-0.76; P &lt; .001 for both). Among non-ICU encounters in the validation cohort (n = 66 522 with suspected infection, of whom 1886 [3%] died), qSOFA had predictive validity (AUROC = 0.81; 95% CI, 0.80-0.82) that was greater than SOFA (AUROC = 0.79; 95% CI, 0.78-0.80; P &lt; .001) and SIRS (AUROC = 0.76; 95% CI, 0.75-0.77; P &lt; .001). Relative to qSOFA scores lower than 2, encounters with qSOFA scores of 2 or higher had a 3- to 14-fold increase in hospital mortality across baseline risk deciles. Findings were similar in external data sets and for the secondary outcome.Conclusions and Relevance\nAmong ICU encounters with suspected infection, the predictive validity for in-hospital mortality of SOFA was not significantly different than the more complex LODS but was statistically greater than SIRS and qSOFA, supporting its use in clinical criteria for sepsis. Among encounters with suspected infection outside of the ICU, the predictive validity for in-hospital mortality of qSOFA was statistically greater than SOFA and SIRS, supporting its use as a prompt to consider possible sepsis.","DOI":"10.1001/jama.2016.0288","ISSN":"0098-7484","shortTitle":"Assessment of clinical criteria for sepsis","journalAbbreviation":"JAMA","author":[{"literal":"Seymour CW"},{"literal":"Liu VX"},{"literal":"Iwashyna TJ"},{"literal":"et al"}],"issued":{"date-parts":[["2016",2,23]]}}},{"id":2330,"uris":["http://zotero.org/users/858056/items/8XM7C73U"],"uri":["http://zotero.org/users/858056/items/8XM7C73U"],"itemData":{"id":2330,"type":"article-journal","title":"The third international consensus definitions for sepsis and septic shock (sepsis-3)","container-title":"JAMA","page":"801-810","volume":"315","issue":"8","source":"Silverchair","abstract":"Importance \nDefinitions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reexamination.Objective\nTo evaluate and, as needed, update definitions for sepsis and septic shock.Process\nA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Acknowledgment).Key Findings From Evidence Synthesis\nLimitations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 severe sepsis was redundant.Recommendations\nSepsis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 mm Hg or greater and serum lactate level greater than 2 mmol/L (&gt;18 mg/dL) in the absence of hypovolemia. This combination is associated with hospital mortality rates greater than 40%. In out-of-hospital, emergency department, or general hospital ward settings, adult patients with suspected infection can be rapidly identified as being more likely to have poor outcomes typical of sepsis if they have at least 2 of the following clinical criteria that together constitute a new bedside clinical score termed quickSOFA (qSOFA): respiratory rate of 22/min or greater, altered mentation, or systolic blood pressure of 100 mm Hg or less.Conclusions and Relevance\nThese updated definitions and clinical criteria should replace previous definitions, offer greater consistency for epidemiologic studies and clinical trials, and facilitate earlier recognition and more timely management of patients with sepsis or at risk of developing sepsis.","DOI":"10.1001/jama.2016.0287","ISSN":"0098-7484","journalAbbreviation":"JAMA","author":[{"literal":"Singer M"},{"literal":"Deutschman CS"},{"literal":"Seymour C"},{"literal":"et al"}],"issued":{"date-parts":[["2016",2,23]]}}}],"schema":"https://github.com/citation-style-language/schema/raw/master/csl-citation.json"}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7,30</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We adhered to the original temporal criteria for diagnosis of sepsis: when the antibiotic was given first, the microbiological sample must have been collected within 24 hours; when the microbiological sampling occurred first, the antibiotic must have been administered within 72 hours</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{"citationID":"a1mdv04untj","properties":{"formattedCitation":"\\super 30\\nosupersub{}","plainCitation":"30","noteIndex":0},"citationItems":[{"id":2250,"uris":["http://zotero.org/users/858056/items/SIZGTGMF"],"uri":["http://zotero.org/users/858056/items/SIZGTGMF"],"itemData":{"id":2250,"type":"article-journal","title":"Assessment of clinical criteria for sepsis: For the third international consensus definitions for sepsis and septic shock (sepsis-3)","container-title":"JAMA","page":"762-774","volume":"315","issue":"8","source":"Silverchair","abstract":"Importance \nThe Third International Consensus Definitions Task Force defined sepsis as “life-threatening organ dysfunction due to a dysregulated host response to infection.” The performance of clinical criteria for this sepsis definition is unknown.Objective\nTo evaluate the validity of clinical criteria to identify patients with suspected infection who are at risk of sepsis.Design, Settings, and Population\nAmong 1.3 million electronic health record encounters from January 1, 2010, to December 31, 2012, at 12 hospitals in southwestern Pennsylvania, we identified those with suspected infection in whom to compare criteria. Confirmatory analyses were performed in 4 data sets of 706 399 out-of-hospital and hospital encounters at 165 US and non-US hospitals ranging from January 1, 2008, until December 31, 2013.Exposures\nSequential [Sepsis-related] Organ Failure Assessment (SOFA) score, systemic inflammatory response syndrome (SIRS) criteria, Logistic Organ Dysfunction System (LODS) score, and a new model derived using multivariable logistic regression in a split sample, the quick Sequential [Sepsis-related] Organ Failure Assessment (qSOFA) score (range, 0-3 points, with 1 point each for systolic hypotension [≤100 mm Hg], tachypnea [≥22/min], or altered mentation).Main Outcomes and Measures\nFor construct validity, pairwise agreement was assessed. For predictive validity, the discrimination for outcomes (primary: in-hospital mortality; secondary: in-hospital mortality or intensive care unit [ICU] length of stay ≥3 days) more common in sepsis than uncomplicated infection was determined. Results were expressed as the fold change in outcome over deciles of baseline risk of death and area under the receiver operating characteristic curve (AUROC).Results\nIn the primary cohort, 148 907 encounters had suspected infection (n = 74 453 derivation; n = 74 454 validation), of whom 6347 (4%) died. Among ICU encounters in the validation cohort (n = 7932 with suspected infection, of whom 1289 [16%] died), the predictive validity for in-hospital mortality was lower for SIRS (AUROC = 0.64; 95% CI, 0.62-0.66) and qSOFA (AUROC = 0.66; 95% CI, 0.64-0.68) vs SOFA (AUROC = 0.74; 95% CI, 0.73-0.76; P &lt; .001 for both) or LODS (AUROC = 0.75; 95% CI, 0.73-0.76; P &lt; .001 for both). Among non-ICU encounters in the validation cohort (n = 66 522 with suspected infection, of whom 1886 [3%] died), qSOFA had predictive validity (AUROC = 0.81; 95% CI, 0.80-0.82) that was greater than SOFA (AUROC = 0.79; 95% CI, 0.78-0.80; P &lt; .001) and SIRS (AUROC = 0.76; 95% CI, 0.75-0.77; P &lt; .001). Relative to qSOFA scores lower than 2, encounters with qSOFA scores of 2 or higher had a 3- to 14-fold increase in hospital mortality across baseline risk deciles. Findings were similar in external data sets and for the secondary outcome.Conclusions and Relevance\nAmong ICU encounters with suspected infection, the predictive validity for in-hospital mortality of SOFA was not significantly different than the more complex LODS but was statistically greater than SIRS and qSOFA, supporting its use in clinical criteria for sepsis. Among encounters with suspected infection outside of the ICU, the predictive validity for in-hospital mortality of qSOFA was statistically greater than SOFA and SIRS, supporting its use as a prompt to consider possible sepsis.","DOI":"10.1001/jama.2016.0288","ISSN":"0098-7484","shortTitle":"Assessment of clinical criteria for sepsis","journalAbbreviation":"JAMA","author":[{"literal":"Seymour CW"},{"literal":"Liu VX"},{"literal":"Iwashyna TJ"},{"literal":"et al"}],"issued":{"date-parts":[["2016",2,23]]}}}],"schema":"https://github.com/citation-style-language/schema/raw/master/csl-citation.json"}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30</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The earlier event defined the onset of sepsis. In line with previous research, we assumed a baseline SOFA of zero for all patients</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{"citationID":"a2dl8ia96cg","properties":{"formattedCitation":"\\super 29,30\\nosupersub{}","plainCitation":"29,30","noteIndex":0},"citationItems":[{"id":2565,"uris":["http://zotero.org/users/858056/items/8GDQC49R"],"uri":["http://zotero.org/users/858056/items/8GDQC49R"],"itemData":{"id":2565,"type":"article-journal","title":"Prognostic Accuracy of the SOFA Score, SIRS Criteria, and qSOFA Score for In-Hospital Mortality Among Adults With Suspected Infection Admitted to the Intensive Care Unit","container-title":"JAMA","page":"290-300","volume":"317","issue":"3","source":"PubMed","abstract":"Importance: The Sepsis-3 Criteria emphasized the value of a change of 2 or more points in the Sequential [Sepsis-related] Organ Failure Assessment (SOFA) score, introduced quick SOFA (qSOFA), and removed the systemic inflammatory response syndrome (SIRS) criteria from the sepsis definition.\nObjective: Externally validate and assess the discriminatory capacities of an increase in SOFA score by 2 or more points, 2 or more SIRS criteria, or a qSOFA score of 2 or more points for outcomes among patients who are critically ill with suspected infection.\nDesign, Setting, and Participants: Retrospective cohort analysis of 184 875 patients with an infection-related primary admission diagnosis in 182 Australian and New Zealand intensive care units (ICUs) from 2000 through 2015.\nExposures: SOFA, qSOFA, and SIRS criteria applied to data collected within 24 hours of ICU admission.\nMain Outcomes and Measures: The primary outcome was in-hospital mortality. In-hospital mortality or ICU length of stay (LOS) of 3 days or more was a composite secondary outcome. Discrimination was assessed using the area under the receiver operating characteristic curve (AUROC). Adjusted analyses were performed using a model of baseline risk determined using variables independent of the scoring systems.\nResults: Among 184 875 patients (mean age, 62.9 years [SD, 17.4]; women, 82 540 [44.6%]; most common diagnosis bacterial pneumonia, 32 634 [17.7%]), a total of 34 578 patients (18.7%) died in the hospital, and 102 976 patients (55.7%) died or experienced an ICU LOS of 3 days or more. SOFA score increased by 2 or more points in 90.1%; 86.7% manifested 2 or more SIRS criteria, and 54.4% had a qSOFA score of 2 or more points. SOFA demonstrated significantly greater discrimination for in-hospital mortality (crude AUROC, 0.753 [99% CI, 0.750-0.757]) than SIRS criteria (crude AUROC, 0.589 [99% CI, 0.585-0.593]) or qSOFA (crude AUROC, 0.607 [99% CI, 0.603-0.611]). Incremental improvements were 0.164 (99% CI, 0.159-0.169) for SOFA vs SIRS criteria and 0.146 (99% CI, 0.142-0.151) for SOFA vs qSOFA (P &lt;.001). SOFA (AUROC, 0.736 [99% CI, 0.733-0.739]) outperformed the other scores for the secondary end point (SIRS criteria: AUROC, 0.609 [99% CI, 0.606-0.612]; qSOFA: AUROC, 0.606 [99% CI, 0.602-0.609]). Incremental improvements were 0.127 (99% CI, 0.123-0.131) for SOFA vs SIRS criteria and 0.131 (99% CI, 0.127-0.134) for SOFA vs qSOFA (P &lt;.001). Findings were consistent for both outcomes in multiple sensitivity analyses.\nConclusions and Relevance: Among adults with suspected infection admitted to an ICU, an increase in SOFA score of 2 or more had greater prognostic accuracy for in-hospital mortality than SIRS criteria or the qSOFA score. These findings suggest that SIRS criteria and qSOFA may have limited utility for predicting mortality in an ICU setting.","DOI":"10.1001/jama.2016.20328","ISSN":"1538-3598","note":"PMID: 28114553","journalAbbreviation":"JAMA","language":"eng","author":[{"family":"Raith","given":"Eamon P."},{"family":"Udy","given":"Andrew A."},{"family":"Bailey","given":"Michael"},{"family":"McGloughlin","given":"Steven"},{"family":"MacIsaac","given":"Christopher"},{"family":"Bellomo","given":"Rinaldo"},{"family":"Pilcher","given":"David V."},{"literal":"Australian and New Zealand Intensive Care Society (ANZICS) Centre for Outcomes and Resource Evaluation (CORE)"}],"issued":{"date-parts":[["2017"]],"season":"17"}}},{"id":2250,"uris":["http://zotero.org/users/858056/items/SIZGTGMF"],"uri":["http://zotero.org/users/858056/items/SIZGTGMF"],"itemData":{"id":2250,"type":"article-journal","title":"Assessment of clinical criteria for sepsis: For the third international consensus definitions for sepsis and septic shock (sepsis-3)","container-title":"JAMA","page":"762-774","volume":"315","issue":"8","source":"Silverchair","abstract":"Importance \nThe Third International Consensus Definitions Task Force defined sepsis as “life-threatening organ dysfunction due to a dysregulated host response to infection.” The performance of clinical criteria for this sepsis definition is unknown.Objective\nTo evaluate the validity of clinical criteria to identify patients with suspected infection who are at risk of sepsis.Design, Settings, and Population\nAmong 1.3 million electronic health record encounters from January 1, 2010, to December 31, 2012, at 12 hospitals in southwestern Pennsylvania, we identified those with suspected infection in whom to compare criteria. Confirmatory analyses were performed in 4 data sets of 706 399 out-of-hospital and hospital encounters at 165 US and non-US hospitals ranging from January 1, 2008, until December 31, 2013.Exposures\nSequential [Sepsis-related] Organ Failure Assessment (SOFA) score, systemic inflammatory response syndrome (SIRS) criteria, Logistic Organ Dysfunction System (LODS) score, and a new model derived using multivariable logistic regression in a split sample, the quick Sequential [Sepsis-related] Organ Failure Assessment (qSOFA) score (range, 0-3 points, with 1 point each for systolic hypotension [≤100 mm Hg], tachypnea [≥22/min], or altered mentation).Main Outcomes and Measures\nFor construct validity, pairwise agreement was assessed. For predictive validity, the discrimination for outcomes (primary: in-hospital mortality; secondary: in-hospital mortality or intensive care unit [ICU] length of stay ≥3 days) more common in sepsis than uncomplicated infection was determined. Results were expressed as the fold change in outcome over deciles of baseline risk of death and area under the receiver operating characteristic curve (AUROC).Results\nIn the primary cohort, 148 907 encounters had suspected infection (n = 74 453 derivation; n = 74 454 validation), of whom 6347 (4%) died. Among ICU encounters in the validation cohort (n = 7932 with suspected infection, of whom 1289 [16%] died), the predictive validity for in-hospital mortality was lower for SIRS (AUROC = 0.64; 95% CI, 0.62-0.66) and qSOFA (AUROC = 0.66; 95% CI, 0.64-0.68) vs SOFA (AUROC = 0.74; 95% CI, 0.73-0.76; P &lt; .001 for both) or LODS (AUROC = 0.75; 95% CI, 0.73-0.76; P &lt; .001 for both). Among non-ICU encounters in the validation cohort (n = 66 522 with suspected infection, of whom 1886 [3%] died), qSOFA had predictive validity (AUROC = 0.81; 95% CI, 0.80-0.82) that was greater than SOFA (AUROC = 0.79; 95% CI, 0.78-0.80; P &lt; .001) and SIRS (AUROC = 0.76; 95% CI, 0.75-0.77; P &lt; .001). Relative to qSOFA scores lower than 2, encounters with qSOFA scores of 2 or higher had a 3- to 14-fold increase in hospital mortality across baseline risk deciles. Findings were similar in external data sets and for the secondary outcome.Conclusions and Relevance\nAmong ICU encounters with suspected infection, the predictive validity for in-hospital mortality of SOFA was not significantly different than the more complex LODS but was statistically greater than SIRS and qSOFA, supporting its use in clinical criteria for sepsis. Among encounters with suspected infection outside of the ICU, the predictive validity for in-hospital mortality of qSOFA was statistically greater than SOFA and SIRS, supporting its use as a prompt to consider possible sepsis.","DOI":"10.1001/jama.2016.0288","ISSN":"0098-7484","shortTitle":"Assessment of clinical criteria for sepsis","journalAbbreviation":"JAMA","author":[{"literal":"Seymour CW"},{"literal":"Liu VX"},{"literal":"Iwashyna TJ"},{"literal":"et al"}],"issued":{"date-parts":[["2016",2,23]]}}}],"schema":"https://github.com/citation-style-language/schema/raw/master/csl-citation.json"}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29,30</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w:t>
      </w:r>
    </w:p>
    <w:p w14:paraId="08638F3F"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Exclusion criteria:</w:t>
      </w:r>
    </w:p>
    <w:p w14:paraId="6E7B1E7A" w14:textId="77777777" w:rsidR="00FA0127" w:rsidRPr="004C51CC" w:rsidRDefault="00FA0127" w:rsidP="00FA0127">
      <w:pPr>
        <w:numPr>
          <w:ilvl w:val="0"/>
          <w:numId w:val="3"/>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hAnsi="Times New Roman" w:cs="Times New Roman"/>
          <w:sz w:val="24"/>
          <w:szCs w:val="24"/>
        </w:rPr>
      </w:pPr>
      <w:r w:rsidRPr="004C51CC">
        <w:rPr>
          <w:rFonts w:ascii="Times New Roman" w:eastAsia="Times New Roman" w:hAnsi="Times New Roman" w:cs="Times New Roman"/>
          <w:sz w:val="24"/>
          <w:szCs w:val="24"/>
        </w:rPr>
        <w:t>In both databases:</w:t>
      </w:r>
    </w:p>
    <w:p w14:paraId="044D302D" w14:textId="77777777" w:rsidR="00FA0127" w:rsidRPr="004C51CC" w:rsidRDefault="00FA0127" w:rsidP="00FA0127">
      <w:pPr>
        <w:numPr>
          <w:ilvl w:val="1"/>
          <w:numId w:val="3"/>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hAnsi="Times New Roman" w:cs="Times New Roman"/>
          <w:sz w:val="24"/>
          <w:szCs w:val="24"/>
        </w:rPr>
      </w:pPr>
      <w:r w:rsidRPr="004C51CC">
        <w:rPr>
          <w:rFonts w:ascii="Times New Roman" w:eastAsia="Times New Roman" w:hAnsi="Times New Roman" w:cs="Times New Roman"/>
          <w:sz w:val="24"/>
          <w:szCs w:val="24"/>
        </w:rPr>
        <w:t>Age &lt; 18 years old at the time of ICU admission</w:t>
      </w:r>
    </w:p>
    <w:p w14:paraId="203DD995" w14:textId="77777777" w:rsidR="00FA0127" w:rsidRPr="004C51CC" w:rsidRDefault="00FA0127" w:rsidP="00FA0127">
      <w:pPr>
        <w:numPr>
          <w:ilvl w:val="1"/>
          <w:numId w:val="3"/>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hAnsi="Times New Roman" w:cs="Times New Roman"/>
          <w:sz w:val="24"/>
          <w:szCs w:val="24"/>
        </w:rPr>
      </w:pPr>
      <w:r w:rsidRPr="004C51CC">
        <w:rPr>
          <w:rFonts w:ascii="Times New Roman" w:eastAsia="Times New Roman" w:hAnsi="Times New Roman" w:cs="Times New Roman"/>
          <w:sz w:val="24"/>
          <w:szCs w:val="24"/>
        </w:rPr>
        <w:t>Mortality not documented</w:t>
      </w:r>
    </w:p>
    <w:p w14:paraId="7FD0FB8C" w14:textId="77777777" w:rsidR="00FA0127" w:rsidRPr="004C51CC" w:rsidRDefault="00FA0127" w:rsidP="00FA0127">
      <w:pPr>
        <w:numPr>
          <w:ilvl w:val="1"/>
          <w:numId w:val="3"/>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hAnsi="Times New Roman" w:cs="Times New Roman"/>
          <w:sz w:val="24"/>
          <w:szCs w:val="24"/>
        </w:rPr>
      </w:pPr>
      <w:r w:rsidRPr="004C51CC">
        <w:rPr>
          <w:rFonts w:ascii="Times New Roman" w:hAnsi="Times New Roman" w:cs="Times New Roman"/>
          <w:sz w:val="24"/>
          <w:szCs w:val="24"/>
        </w:rPr>
        <w:t>Withdrawal of treatment (see below)</w:t>
      </w:r>
    </w:p>
    <w:p w14:paraId="0F4F2292" w14:textId="77777777" w:rsidR="00FA0127" w:rsidRPr="004C51CC" w:rsidRDefault="00FA0127" w:rsidP="00FA0127">
      <w:pPr>
        <w:numPr>
          <w:ilvl w:val="0"/>
          <w:numId w:val="3"/>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hAnsi="Times New Roman" w:cs="Times New Roman"/>
          <w:sz w:val="24"/>
          <w:szCs w:val="24"/>
        </w:rPr>
      </w:pPr>
      <w:r w:rsidRPr="004C51CC">
        <w:rPr>
          <w:rFonts w:ascii="Times New Roman" w:eastAsia="Times New Roman" w:hAnsi="Times New Roman" w:cs="Times New Roman"/>
          <w:sz w:val="24"/>
          <w:szCs w:val="24"/>
        </w:rPr>
        <w:t>In MIMIC-III:</w:t>
      </w:r>
    </w:p>
    <w:p w14:paraId="69EE067D" w14:textId="77777777" w:rsidR="00FA0127" w:rsidRPr="004C51CC" w:rsidRDefault="00FA0127" w:rsidP="00FA0127">
      <w:pPr>
        <w:numPr>
          <w:ilvl w:val="1"/>
          <w:numId w:val="3"/>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hAnsi="Times New Roman" w:cs="Times New Roman"/>
          <w:sz w:val="24"/>
          <w:szCs w:val="24"/>
        </w:rPr>
      </w:pPr>
      <w:r w:rsidRPr="004C51CC">
        <w:rPr>
          <w:rFonts w:ascii="Times New Roman" w:eastAsia="Times New Roman" w:hAnsi="Times New Roman" w:cs="Times New Roman"/>
          <w:sz w:val="24"/>
          <w:szCs w:val="24"/>
        </w:rPr>
        <w:t>Intravenous fluid intake not documented</w:t>
      </w:r>
    </w:p>
    <w:p w14:paraId="6B7BE63D" w14:textId="77777777" w:rsidR="00FA0127" w:rsidRPr="004C51CC" w:rsidRDefault="00FA0127" w:rsidP="00FA0127">
      <w:pPr>
        <w:numPr>
          <w:ilvl w:val="0"/>
          <w:numId w:val="3"/>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hAnsi="Times New Roman" w:cs="Times New Roman"/>
          <w:sz w:val="24"/>
          <w:szCs w:val="24"/>
        </w:rPr>
      </w:pPr>
      <w:r w:rsidRPr="004C51CC">
        <w:rPr>
          <w:rFonts w:ascii="Times New Roman" w:eastAsia="Times New Roman" w:hAnsi="Times New Roman" w:cs="Times New Roman"/>
          <w:sz w:val="24"/>
          <w:szCs w:val="24"/>
        </w:rPr>
        <w:t>In eRI:</w:t>
      </w:r>
    </w:p>
    <w:p w14:paraId="0B3CA388" w14:textId="77777777" w:rsidR="00FA0127" w:rsidRPr="004C51CC" w:rsidRDefault="00FA0127" w:rsidP="00FA0127">
      <w:pPr>
        <w:numPr>
          <w:ilvl w:val="1"/>
          <w:numId w:val="3"/>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hAnsi="Times New Roman" w:cs="Times New Roman"/>
          <w:sz w:val="24"/>
          <w:szCs w:val="24"/>
        </w:rPr>
      </w:pPr>
      <w:r w:rsidRPr="004C51CC">
        <w:rPr>
          <w:rFonts w:ascii="Times New Roman" w:eastAsia="Times New Roman" w:hAnsi="Times New Roman" w:cs="Times New Roman"/>
          <w:sz w:val="24"/>
          <w:szCs w:val="24"/>
        </w:rPr>
        <w:t>ICU readmissions, because of the potential risk in this database of mixing up data from subsequent ICU admissions.</w:t>
      </w:r>
    </w:p>
    <w:p w14:paraId="305A4524" w14:textId="77777777" w:rsidR="00FA0127" w:rsidRPr="004C51CC" w:rsidRDefault="00FA0127" w:rsidP="00FA0127">
      <w:pPr>
        <w:numPr>
          <w:ilvl w:val="1"/>
          <w:numId w:val="3"/>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hAnsi="Times New Roman" w:cs="Times New Roman"/>
          <w:sz w:val="24"/>
          <w:szCs w:val="24"/>
        </w:rPr>
      </w:pPr>
      <w:r w:rsidRPr="004C51CC">
        <w:rPr>
          <w:rFonts w:ascii="Times New Roman" w:eastAsia="Times New Roman" w:hAnsi="Times New Roman" w:cs="Times New Roman"/>
          <w:sz w:val="24"/>
          <w:szCs w:val="24"/>
        </w:rPr>
        <w:t>Patient admitted in an ICU with insufficient data collection (see below).</w:t>
      </w:r>
    </w:p>
    <w:p w14:paraId="121B3A6A" w14:textId="77777777" w:rsidR="00FA0127" w:rsidRPr="004C51CC" w:rsidRDefault="00FA0127" w:rsidP="00FA0127">
      <w:pPr>
        <w:spacing w:before="100" w:beforeAutospacing="1" w:after="100" w:afterAutospacing="1" w:line="480" w:lineRule="auto"/>
        <w:ind w:left="1440"/>
        <w:jc w:val="both"/>
        <w:rPr>
          <w:rFonts w:ascii="Times New Roman" w:eastAsia="Times New Roman" w:hAnsi="Times New Roman" w:cs="Times New Roman"/>
          <w:sz w:val="24"/>
          <w:szCs w:val="24"/>
        </w:rPr>
      </w:pPr>
    </w:p>
    <w:p w14:paraId="399CC129" w14:textId="742193FB"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lastRenderedPageBreak/>
        <w:t xml:space="preserve">We excluded patients whose treatment was withdrawn, since in their case clinical decisions are no longer made </w:t>
      </w:r>
      <w:r w:rsidRPr="004C51CC">
        <w:rPr>
          <w:rFonts w:ascii="Times New Roman" w:eastAsia="Times New Roman" w:hAnsi="Times New Roman" w:cs="Times New Roman"/>
          <w:color w:val="auto"/>
          <w:sz w:val="24"/>
          <w:szCs w:val="24"/>
        </w:rPr>
        <w:t xml:space="preserve">aiming to optimise survival, which would have led to spurious actions in the AI policy. Withdrawal of treatment often involves </w:t>
      </w:r>
      <w:r w:rsidRPr="004C51CC">
        <w:rPr>
          <w:rFonts w:ascii="Times New Roman" w:eastAsia="Times New Roman" w:hAnsi="Times New Roman" w:cs="Times New Roman"/>
          <w:sz w:val="24"/>
          <w:szCs w:val="24"/>
        </w:rPr>
        <w:t xml:space="preserve">patients with high severity of illness, on high doses of vasopressors, in which the treatment is withdrawn since it is considered futile. Therefore, we defined withdrawal as patients who died within 24 hours of the end of the data collection period and received vasopressors at any point and whose vasopressors were stopped at the end of the data collection. </w:t>
      </w:r>
    </w:p>
    <w:p w14:paraId="4DAB14C4" w14:textId="5D79C1C8"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In the eRI, the data was recorded heterogeneously across ICUs. To avoid any systematic bias in our analysis (e.g. when no medication appears in the database, where it was actually administered), we excluded hospitals for the years where the availability of data was not sufficient, as data recording practices could vary over time. We defined two indicators of data availability for vasopressors and intravenous fluids, averaged per day, per patient, per hospital and per year. Given that our analysis resolution is 4 hours, we expected at least 6 records per day, even if the dose was constant. Hospital-years with less than 6 daily records on average were excluded. In total, 331 ICUs out of 459 were excluded with the combined data quality selection approach. For comparison, the data quality in MIMIC-III was high, with a weighted daily average over the 5 ICUs of 20.4 intravenous fluids records and 31.1 vasopressor records.</w:t>
      </w:r>
    </w:p>
    <w:p w14:paraId="374878FF"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p>
    <w:p w14:paraId="7256A7A6" w14:textId="77777777" w:rsidR="00FA0127" w:rsidRPr="004C51CC" w:rsidRDefault="00FA0127" w:rsidP="00FA0127">
      <w:pPr>
        <w:keepNext/>
        <w:keepLines/>
        <w:spacing w:before="100" w:beforeAutospacing="1" w:after="100" w:afterAutospacing="1" w:line="480" w:lineRule="auto"/>
        <w:outlineLvl w:val="0"/>
        <w:rPr>
          <w:rFonts w:ascii="Times New Roman" w:eastAsia="Times New Roman" w:hAnsi="Times New Roman" w:cs="Times New Roman"/>
          <w:b/>
          <w:color w:val="2E75B5"/>
          <w:sz w:val="32"/>
          <w:szCs w:val="32"/>
        </w:rPr>
      </w:pPr>
      <w:bookmarkStart w:id="1" w:name="_gjdgxs" w:colFirst="0" w:colLast="0"/>
      <w:bookmarkEnd w:id="1"/>
      <w:r w:rsidRPr="004C51CC">
        <w:rPr>
          <w:rFonts w:ascii="Times New Roman" w:eastAsia="Times New Roman" w:hAnsi="Times New Roman" w:cs="Times New Roman"/>
          <w:b/>
          <w:color w:val="2E75B5"/>
          <w:sz w:val="32"/>
          <w:szCs w:val="32"/>
        </w:rPr>
        <w:t>Data extraction and pre-process</w:t>
      </w:r>
      <w:bookmarkStart w:id="2" w:name="_GoBack"/>
      <w:bookmarkEnd w:id="2"/>
      <w:r w:rsidRPr="004C51CC">
        <w:rPr>
          <w:rFonts w:ascii="Times New Roman" w:eastAsia="Times New Roman" w:hAnsi="Times New Roman" w:cs="Times New Roman"/>
          <w:b/>
          <w:color w:val="2E75B5"/>
          <w:sz w:val="32"/>
          <w:szCs w:val="32"/>
        </w:rPr>
        <w:t>ing</w:t>
      </w:r>
    </w:p>
    <w:p w14:paraId="016A836B" w14:textId="4DC1749F" w:rsidR="00FA0127" w:rsidRPr="004C51CC" w:rsidRDefault="00FA0127" w:rsidP="00FA0127">
      <w:pPr>
        <w:spacing w:before="100" w:beforeAutospacing="1" w:after="100" w:afterAutospacing="1" w:line="480" w:lineRule="auto"/>
        <w:jc w:val="both"/>
        <w:rPr>
          <w:rFonts w:ascii="Times New Roman" w:hAnsi="Times New Roman" w:cs="Times New Roman"/>
          <w:color w:val="auto"/>
          <w:sz w:val="24"/>
          <w:szCs w:val="24"/>
        </w:rPr>
      </w:pPr>
      <w:r w:rsidRPr="004C51CC">
        <w:rPr>
          <w:rFonts w:ascii="Times New Roman" w:eastAsia="Times New Roman" w:hAnsi="Times New Roman" w:cs="Times New Roman"/>
          <w:sz w:val="24"/>
          <w:szCs w:val="24"/>
        </w:rPr>
        <w:t xml:space="preserve">In MIMIC-III, data were included from up to 24 hours preceding until 48 hours following the estimated onset of sepsis, in order to capture the early phase of its management including initial resuscitation. The outcome was 90-day mortality. Due to the size of the eRI </w:t>
      </w:r>
      <w:r w:rsidR="00AE4CD3" w:rsidRPr="004C51CC">
        <w:rPr>
          <w:rFonts w:ascii="Times New Roman" w:eastAsia="Times New Roman" w:hAnsi="Times New Roman" w:cs="Times New Roman"/>
          <w:sz w:val="24"/>
          <w:szCs w:val="24"/>
        </w:rPr>
        <w:t>database</w:t>
      </w:r>
      <w:r w:rsidRPr="004C51CC">
        <w:rPr>
          <w:rFonts w:ascii="Times New Roman" w:eastAsia="Times New Roman" w:hAnsi="Times New Roman" w:cs="Times New Roman"/>
          <w:sz w:val="24"/>
          <w:szCs w:val="24"/>
        </w:rPr>
        <w:t xml:space="preserve"> (over 2.4 </w:t>
      </w:r>
      <w:r w:rsidRPr="004C51CC">
        <w:rPr>
          <w:rFonts w:ascii="Times New Roman" w:eastAsia="Times New Roman" w:hAnsi="Times New Roman" w:cs="Times New Roman"/>
          <w:sz w:val="24"/>
          <w:szCs w:val="24"/>
        </w:rPr>
        <w:lastRenderedPageBreak/>
        <w:t xml:space="preserve">terabytes), a simplified data extraction process </w:t>
      </w:r>
      <w:r w:rsidR="00B75E20" w:rsidRPr="004C51CC">
        <w:rPr>
          <w:rFonts w:ascii="Times New Roman" w:eastAsia="Times New Roman" w:hAnsi="Times New Roman" w:cs="Times New Roman"/>
          <w:sz w:val="24"/>
          <w:szCs w:val="24"/>
        </w:rPr>
        <w:t xml:space="preserve">had to be </w:t>
      </w:r>
      <w:r w:rsidRPr="004C51CC">
        <w:rPr>
          <w:rFonts w:ascii="Times New Roman" w:eastAsia="Times New Roman" w:hAnsi="Times New Roman" w:cs="Times New Roman"/>
          <w:sz w:val="24"/>
          <w:szCs w:val="24"/>
        </w:rPr>
        <w:t>employed. Therefore, we identified all adult patients who had sepsis during the first 36h after admission and extracted data of these patients for the first 72h after admission. Survival at 90 days was not available in eRI, so hospital mortality defined the outcome of interest in this cohort.</w:t>
      </w:r>
    </w:p>
    <w:p w14:paraId="6E4059F0" w14:textId="11A3D3DA"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 xml:space="preserve">In both datasets, a set of 48 variables was extracted, including demographics, </w:t>
      </w:r>
      <w:proofErr w:type="spellStart"/>
      <w:r w:rsidRPr="004C51CC">
        <w:rPr>
          <w:rFonts w:ascii="Times New Roman" w:eastAsia="Times New Roman" w:hAnsi="Times New Roman" w:cs="Times New Roman"/>
          <w:sz w:val="24"/>
          <w:szCs w:val="24"/>
        </w:rPr>
        <w:t>Elixhauser</w:t>
      </w:r>
      <w:proofErr w:type="spellEnd"/>
      <w:r w:rsidRPr="004C51CC">
        <w:rPr>
          <w:rFonts w:ascii="Times New Roman" w:eastAsia="Times New Roman" w:hAnsi="Times New Roman" w:cs="Times New Roman"/>
          <w:sz w:val="24"/>
          <w:szCs w:val="24"/>
        </w:rPr>
        <w:t xml:space="preserve"> premorbid status</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{"citationID":"a246c2qciau","properties":{"formattedCitation":"\\super 17\\nosupersub{}","plainCitation":"17","noteIndex":0},"citationItems":[{"id":2892,"uris":["http://zotero.org/users/858056/items/NQNGNXZ4"],"uri":["http://zotero.org/users/858056/items/NQNGNXZ4"],"itemData":{"id":2892,"type":"article-journal","title":"Comorbidity measures for use with administrative data","container-title":"Medical Care","page":"8-27","volume":"36","issue":"1","source":"PubMed","abstract":"OBJECTIVES: This study attempts to develop a comprehensive set of comorbidity measures for use with large administrative inpatient datasets.\nMETHODS: The study involved clinical and empirical review of comorbidity measures, development of a framework that attempts to segregate comorbidities from other aspects of the patient's condition, development of a comorbidity algorithm, and testing on heterogeneous and homogeneous patient groups. Data were drawn from all adult, nonmaternal inpatients from 438 acute care hospitals in California in 1992 (n = 1,779,167). Outcome measures were those commonly available in administrative data: length of stay, hospital charges, and in-hospital death.\nRESULTS: A comprehensive set of 30 comorbidity measures was developed. The comorbidities were associated with substantial increases in length of stay, hospital charges, and mortality both for heterogeneous and homogeneous disease groups. Several comorbidities are described that are important predictors of outcomes, yet commonly are not measured. These include mental disorders, drug and alcohol abuse, obesity, coagulopathy, weight loss, and fluid and electrolyte disorders.\nCONCLUSIONS: The comorbidities had independent effects on outcomes and probably should not be simplified as an index because they affect outcomes differently among different patient groups. The present method addresses some of the limitations of previous measures. It is based on a comprehensive approach to identifying comorbidities and separates them from the primary reason for hospitalization, resulting in an expanded set of comorbidities that easily is applied without further refinement to administrative data for a wide range of diseases.","ISSN":"0025-7079","note":"PMID: 9431328","journalAbbreviation":"Med Care","language":"eng","author":[{"family":"Elixhauser","given":"A."},{"family":"Steiner","given":"C."},{"family":"Harris","given":"D. R."},{"family":"Coffey","given":"R. M."}],"issued":{"date-parts":[["1998",1]]}}}],"schema":"https://github.com/citation-style-language/schema/raw/master/csl-citation.json"}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17</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vital signs, laboratory values, fluids and vasopressors received and fluid balance (Supplementary Table 2). Patients’ data were coded as multidimensional discrete time series with 4-hour time steps. Data variables with multiple measurements within a 4-hour time step were averaged (e.g. heart rate) or summed (e.g. urine output) as appropriate.</w:t>
      </w:r>
    </w:p>
    <w:p w14:paraId="35C743A0"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All features were checked for outliers and errors using a frequency histogram method and univariate statistical approaches (Tukey’s method). Errors were corrected when possible (e.g. conversion of temperature from Fahrenheit to Celsius degrees). Parameters were capped to clinically plausible values.</w:t>
      </w:r>
    </w:p>
    <w:p w14:paraId="387A24AC" w14:textId="71593981"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To address the problem of missing or irregularly sampled data, we used a time-limited parameter-specific sample-and-hold approach in both datasets, a common practice with health time-series data that intuitively matches the cognitive process of clinicians</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{"citationID":"a1qbtegv9fc","properties":{"formattedCitation":"\\super 31\\nosupersub{}","plainCitation":"31","noteIndex":0},"citationItems":[{"id":643,"uris":["http://zotero.org/users/858056/items/MWQKCEUA"],"uri":["http://zotero.org/users/858056/items/MWQKCEUA"],"itemData":{"id":643,"type":"thesis","title":"Detecting hazardous intensive care patient episodes using real-time mortality models","publisher":"Massachusetts Institute of Technology","genre":"Thesis","source":"dspace.mit.edu","abstract":"The modern intensive care unit (ICU) has become a complex, expensive, data-intensive environment. Caregivers maintain an overall assessment of their patients based on important observations and trends. If an advanced monitoring system could also reliably provide a systemic interpretation of a patient's observations it could help caregivers interpret these data more rapidly and perhaps more accurately. In this thesis I use retrospective analysis of mixed medical/surgical intensive care patients to develop predictive models. Logistic regression is applied to 7048 development patients with several hundred candidate variables. These candidate variables range from simple vitals to long term trends and baseline deviations. Final models are selected by backward elimination on top cross-validated variables and validated on 3018 additional patients. The real-time acuity score (RAS) that I develop demonstrates strong discrimination ability for patient mortality, with an ROC area (AUC) of 0.880. The final model includes a number of variables known to be associated with mortality, but also computationally intensive variables absent in other severity scores. In addition to RAS, I also develop secondary outcome models that perform well at predicting pressor weaning (AUC=0.825), intraaortic balloon pump removal (AUC=0.816), the onset of septic shock (AUC=0.843), and acute kidney injury (AUC=0.742). Real-time mortality prediction is a feasible way to provide continuous risk assessment for ICU patients. RAS offers similar discrimination ability when compared to models computed once per day, based on aggregate data over that day.","URL":"http://dspace.mit.edu/handle/1721.1/53290","note":"Thesis (Ph. D.)--Massachusetts Institute of Technology, Dept. of Electrical Engineering and Computer Science, 2009.","language":"eng","author":[{"family":"Hug","given":"Caleb W."}],"issued":{"date-parts":[["2009"]]},"accessed":{"date-parts":[["2014",12,10]]}}}],"schema":"https://github.com/citation-style-language/schema/raw/master/csl-citation.json"}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31</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The remaining missing data was interpolated in MIMIC-III using multivariable nearest neighbour imputation since the clustering algorithm did not accept missing values</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{"citationID":"a5d5damvr","properties":{"formattedCitation":"\\super 32\\nosupersub{}","plainCitation":"32","noteIndex":0},"citationItems":[{"id":2570,"uris":["http://zotero.org/users/858056/items/9NM4ZCVP"],"uri":["http://zotero.org/users/858056/items/9NM4ZCVP"],"itemData":{"id":2570,"type":"article-journal","title":"Improved methods for the imputation of missing data by nearest neighbor methods","container-title":"Computational Statistics &amp; Data Analysis","page":"84-99","volume":"90","source":"ScienceDirect","abstract":"Missing data raise problems in almost all fields of quantitative research. A useful nonparametric procedure is the nearest neighbor imputation method. Improved versions of this method are presented. First, a weighted nearest neighbor imputation method based on L q distances is proposed. It is demonstrated that the method tends to have a smaller imputation error than other nearest neighbor estimates. Then weighted nearest neighbor imputation methods that use distances for selected covariates are considered. The careful selection of distances that carry information about the missing values yields an imputation tool that can outperform competing nearest neighbor methods. This approach performs well, especially when the number of predictors is large. The methods are evaluated in simulation studies and with several real data sets from different fields.","DOI":"10.1016/j.csda.2015.04.009","ISSN":"0167-9473","journalAbbreviation":"Computational Statistics &amp; Data Analysis","author":[{"family":"Tutz","given":"Gerhard"},{"family":"Ramzan","given":"Shahla"}],"issued":{"date-parts":[["2015",10]]}}}],"schema":"https://github.com/citation-style-language/schema/raw/master/csl-citation.json"}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32</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We did not interpolate the remaining missing data in eRI since it was not required for model validation.</w:t>
      </w:r>
    </w:p>
    <w:p w14:paraId="40DDA244"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p>
    <w:p w14:paraId="11A6E4FF" w14:textId="77777777" w:rsidR="00FA0127" w:rsidRPr="004C51CC" w:rsidRDefault="00FA0127" w:rsidP="00FA0127">
      <w:pPr>
        <w:keepNext/>
        <w:keepLines/>
        <w:spacing w:before="100" w:beforeAutospacing="1" w:after="100" w:afterAutospacing="1" w:line="480" w:lineRule="auto"/>
        <w:outlineLvl w:val="0"/>
        <w:rPr>
          <w:rFonts w:ascii="Times New Roman" w:eastAsia="Times New Roman" w:hAnsi="Times New Roman" w:cs="Times New Roman"/>
          <w:b/>
          <w:color w:val="2E75B5"/>
          <w:sz w:val="32"/>
          <w:szCs w:val="32"/>
        </w:rPr>
      </w:pPr>
      <w:r w:rsidRPr="004C51CC">
        <w:rPr>
          <w:rFonts w:ascii="Times New Roman" w:eastAsia="Times New Roman" w:hAnsi="Times New Roman" w:cs="Times New Roman"/>
          <w:b/>
          <w:color w:val="2E75B5"/>
          <w:sz w:val="32"/>
          <w:szCs w:val="32"/>
        </w:rPr>
        <w:lastRenderedPageBreak/>
        <w:t>Building the Computational Model</w:t>
      </w:r>
    </w:p>
    <w:p w14:paraId="362DDD65" w14:textId="7BD2DBE8" w:rsidR="00FA0127" w:rsidRPr="004C51CC" w:rsidRDefault="00D44E66" w:rsidP="00FA0127">
      <w:pPr>
        <w:spacing w:before="100" w:beforeAutospacing="1" w:after="100" w:afterAutospacing="1" w:line="480" w:lineRule="auto"/>
        <w:jc w:val="both"/>
        <w:rPr>
          <w:rFonts w:ascii="Times New Roman" w:eastAsia="Times New Roman" w:hAnsi="Times New Roman" w:cs="Times New Roman"/>
          <w:sz w:val="24"/>
          <w:szCs w:val="24"/>
        </w:rPr>
      </w:pPr>
      <w:r w:rsidRPr="00D44E66">
        <w:rPr>
          <w:rFonts w:ascii="Times New Roman" w:eastAsia="Times New Roman" w:hAnsi="Times New Roman" w:cs="Times New Roman"/>
          <w:sz w:val="24"/>
          <w:szCs w:val="24"/>
        </w:rPr>
        <w:t>The true patient physiological state is only partially represented by the data available, and therefore the disease process could be formulated as a Partially Observable MDP. A Markov decision process (MDP) was used to approximate patient trajectory and to mo</w:t>
      </w:r>
      <w:r>
        <w:rPr>
          <w:rFonts w:ascii="Times New Roman" w:eastAsia="Times New Roman" w:hAnsi="Times New Roman" w:cs="Times New Roman"/>
          <w:sz w:val="24"/>
          <w:szCs w:val="24"/>
        </w:rPr>
        <w:t>del the decision making process</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{"citationID":"a93m8up9pm","properties":{"formattedCitation":"\\super 12,18,33\\nosupersub{}","plainCitation":"12,18,33","noteIndex":0},"citationItems":[{"id":2431,"uris":["http://zotero.org/users/858056/items/T2C5RP3V"],"uri":["http://zotero.org/users/858056/items/T2C5RP3V"],"itemData":{"id":2431,"type":"article-journal","title":"Artificial intelligence framework for simulating clinical decision-making: A Markov decision process approach","container-title":"Artificial Intelligence in Medicine","page":"9-19","volume":"57","issue":"1","source":"ScienceDirect","abstract":"Objective\nIn the modern healthcare system, rapidly expanding costs/complexity, the growing myriad of treatment options, and exploding information streams that often do not effectively reach the front lines hinder the ability to choose optimal treatment decisions over time. The goal in this paper is to develop a general purpose (non-disease-specific) computational/artificial intelligence (AI) framework to address these challenges. This framework serves two potential functions: (1) a simulation environment for exploring various healthcare policies, payment methodologies, etc., and (2) the basis for clinical artificial intelligence – an AI that can “think like a doctor”.\nMethods\nThis approach combines Markov decision processes and dynamic decision networks to learn from clinical data and develop complex plans via simulation of alternative sequential decision paths while capturing the sometimes conflicting, sometimes synergistic interactions of various components in the healthcare system. It can operate in partially observable environments (in the case of missing observations or data) by maintaining belief states about patient health status and functions as an online agent that plans and re-plans as actions are performed and new observations are obtained. This framework was evaluated using real patient data from an electronic health record.\nResults\nThe results demonstrate the feasibility of this approach; such an AI framework easily outperforms the current treatment-as-usual (TAU) case-rate/fee-for-service models of healthcare. The cost per unit of outcome change (CPUC) was $189 vs. $497 for AI vs. TAU (where lower is considered optimal) – while at the same time the AI approach could obtain a 30–35% increase in patient outcomes. Tweaking certain AI model parameters could further enhance this advantage, obtaining approximately 50% more improvement (outcome change) for roughly half the costs.\nConclusion\nGiven careful design and problem formulation, an AI simulation framework can approximate optimal decisions even in complex and uncertain environments. Future work is described that outlines potential lines of research and integration of machine learning algorithms for personalized medicine.","DOI":"10.1016/j.artmed.2012.12.003","ISSN":"0933-3657","shortTitle":"Artificial intelligence framework for simulating clinical decision-making","journalAbbreviation":"Artificial Intelligence in Medicine","author":[{"family":"Bennett","given":"Casey C."},{"family":"Hauser","given":"Kris"}],"issued":{"date-parts":[["2013",1]]}}},{"id":269,"uris":["http://zotero.org/users/858056/items/8ZBK7EPV"],"uri":["http://zotero.org/users/858056/items/8ZBK7EPV"],"itemData":{"id":269,"type":"book","title":"Markov Decision Processes: Discrete Stochastic Dynamic Programming","publisher":"Wiley","number-of-pages":"672","source":"Google Books","abstract":"An up-to-date, unified and rigorous treatment of theoretical, computational and applied research on Markov decision process models. Concentrates on infinite-horizon discrete-time models. Discusses arbitrary state spaces, finite-horizon and continuous-time discrete-state models. Also covers modified policy iteration, multichain models with average reward criterion and sensitive optimality. Features a wealth of figures which illustrate examples and an extensive bibliography.","ISBN":"978-0-471-61977-2","shortTitle":"Markov Decision Processes","language":"en","author":[{"family":"Puterman","given":"Martin L."}],"issued":{"date-parts":[["1994",4,29]]}}},{"id":3052,"uris":["http://zotero.org/users/858056/items/P4CCWXIX"],"uri":["http://zotero.org/users/858056/items/P4CCWXIX"],"itemData":{"id":3052,"type":"book","title":"Reinforcement Learning: An Introduction","publisher":"MIT Press","publisher-place":"Cambridge, Mass","number-of-pages":"444","edition":"2nd","event-place":"Cambridge, Mass","abstract":"Reinforcement learning, one of the most active research areas in                 artificial intelligence, is a computational approach to learning whereby an agent                 tries to maximize the total amount of reward it receives when interacting with a                 complex, uncertain environment. In Reinforcement Learning,                 Richard Sutton and Andrew Barto provide a clear and simple account of the key ideas                 and algorithms of reinforcement learning. Their discussion ranges from the history                 of the field's intellectual foundations to the most recent developments and                 applications. The only necessary mathematical background is familiarity with                 elementary concepts of probability.The book is divided into three                 parts. Part I defines the reinforcement learning problem in terms of Markov decision                 processes. Part II provides basic solution methods: dynamic programming, Monte Carlo                 methods, and temporal-difference learning. Part III presents a unified view of the                 solution methods and incorporates artificial neural networks, eligibility traces,                 and planning; the two final chapters present case studies and consider the future of                 reinforcement learning.","shortTitle":"Reinforcement Learning","language":"English","author":[{"family":"Sutton","given":"Richard S."},{"family":"Barto","given":"Andrew G."}],"issued":{"date-parts":[["2018",1,1]]}}}],"schema":"https://github.com/citation-style-language/schema/raw/master/csl-citation.json"}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12,18,33</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A0127" w:rsidRPr="004C51CC">
        <w:rPr>
          <w:rFonts w:ascii="Times New Roman" w:eastAsia="Times New Roman" w:hAnsi="Times New Roman" w:cs="Times New Roman"/>
          <w:sz w:val="24"/>
          <w:szCs w:val="24"/>
        </w:rPr>
        <w:t xml:space="preserve">The </w:t>
      </w:r>
      <w:r w:rsidR="00FA0127" w:rsidRPr="004C51CC">
        <w:rPr>
          <w:rFonts w:ascii="Times New Roman" w:hAnsi="Times New Roman"/>
          <w:sz w:val="24"/>
        </w:rPr>
        <w:t>MDP</w:t>
      </w:r>
      <w:r w:rsidR="00FA0127" w:rsidRPr="004C51CC">
        <w:rPr>
          <w:rFonts w:ascii="Times New Roman" w:eastAsia="Times New Roman" w:hAnsi="Times New Roman" w:cs="Times New Roman"/>
          <w:sz w:val="24"/>
          <w:szCs w:val="24"/>
        </w:rPr>
        <w:t xml:space="preserve"> is defined by the </w:t>
      </w:r>
      <w:proofErr w:type="gramStart"/>
      <w:r w:rsidR="00FA0127" w:rsidRPr="004C51CC">
        <w:rPr>
          <w:rFonts w:ascii="Times New Roman" w:eastAsia="Times New Roman" w:hAnsi="Times New Roman" w:cs="Times New Roman"/>
          <w:sz w:val="24"/>
          <w:szCs w:val="24"/>
        </w:rPr>
        <w:t xml:space="preserve">tuple </w:t>
      </w:r>
      <w:proofErr w:type="gramEnd"/>
      <m:oMath>
        <m:r>
          <w:rPr>
            <w:rFonts w:ascii="Cambria Math" w:eastAsia="Cambria Math" w:hAnsi="Cambria Math" w:cs="Times New Roman"/>
            <w:sz w:val="24"/>
            <w:szCs w:val="24"/>
          </w:rPr>
          <m:t>{S, A, T, R, γ}</m:t>
        </m:r>
      </m:oMath>
      <w:r w:rsidR="00FA0127" w:rsidRPr="004C51CC">
        <w:rPr>
          <w:rFonts w:ascii="Times New Roman" w:eastAsia="Times New Roman" w:hAnsi="Times New Roman" w:cs="Times New Roman"/>
          <w:sz w:val="24"/>
          <w:szCs w:val="24"/>
        </w:rPr>
        <w:t>, with:</w:t>
      </w:r>
    </w:p>
    <w:p w14:paraId="18932F21" w14:textId="77777777" w:rsidR="00FA0127" w:rsidRPr="004C51CC" w:rsidRDefault="00FA0127" w:rsidP="00FA0127">
      <w:pPr>
        <w:numPr>
          <w:ilvl w:val="0"/>
          <w:numId w:val="2"/>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ind w:left="360"/>
        <w:contextualSpacing/>
        <w:jc w:val="both"/>
        <w:rPr>
          <w:rFonts w:ascii="Times New Roman" w:hAnsi="Times New Roman" w:cs="Times New Roman"/>
          <w:sz w:val="24"/>
          <w:szCs w:val="24"/>
        </w:rPr>
      </w:pPr>
      <m:oMath>
        <m:r>
          <w:rPr>
            <w:rFonts w:ascii="Cambria Math" w:eastAsia="Cambria Math" w:hAnsi="Cambria Math" w:cs="Times New Roman"/>
            <w:sz w:val="24"/>
            <w:szCs w:val="24"/>
          </w:rPr>
          <m:t>S</m:t>
        </m:r>
      </m:oMath>
      <w:r w:rsidRPr="004C51CC">
        <w:rPr>
          <w:rFonts w:ascii="Times New Roman" w:eastAsia="Times New Roman" w:hAnsi="Times New Roman" w:cs="Times New Roman"/>
          <w:sz w:val="24"/>
          <w:szCs w:val="24"/>
        </w:rPr>
        <w:t xml:space="preserve"> a finite set of </w:t>
      </w:r>
      <w:r w:rsidRPr="004C51CC">
        <w:rPr>
          <w:rFonts w:ascii="Times New Roman" w:hAnsi="Times New Roman"/>
          <w:sz w:val="24"/>
        </w:rPr>
        <w:t>states</w:t>
      </w:r>
      <w:r w:rsidRPr="004C51CC">
        <w:rPr>
          <w:rFonts w:ascii="Times New Roman" w:eastAsia="Times New Roman" w:hAnsi="Times New Roman" w:cs="Times New Roman"/>
          <w:sz w:val="24"/>
          <w:szCs w:val="24"/>
        </w:rPr>
        <w:t xml:space="preserve"> (in our model, the health states of patients),</w:t>
      </w:r>
    </w:p>
    <w:p w14:paraId="6183CABF" w14:textId="77777777" w:rsidR="00FA0127" w:rsidRPr="004C51CC" w:rsidRDefault="00FA0127" w:rsidP="00FA0127">
      <w:pPr>
        <w:numPr>
          <w:ilvl w:val="0"/>
          <w:numId w:val="2"/>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ind w:left="360"/>
        <w:contextualSpacing/>
        <w:jc w:val="both"/>
        <w:rPr>
          <w:rFonts w:ascii="Times New Roman" w:hAnsi="Times New Roman" w:cs="Times New Roman"/>
          <w:sz w:val="24"/>
          <w:szCs w:val="24"/>
        </w:rPr>
      </w:pPr>
      <m:oMath>
        <m:r>
          <w:rPr>
            <w:rFonts w:ascii="Cambria Math" w:eastAsia="Cambria Math" w:hAnsi="Cambria Math" w:cs="Times New Roman"/>
            <w:sz w:val="24"/>
            <w:szCs w:val="24"/>
          </w:rPr>
          <m:t>A</m:t>
        </m:r>
      </m:oMath>
      <w:r w:rsidRPr="004C51CC">
        <w:rPr>
          <w:rFonts w:ascii="Times New Roman" w:eastAsia="Times New Roman" w:hAnsi="Times New Roman" w:cs="Times New Roman"/>
          <w:sz w:val="24"/>
          <w:szCs w:val="24"/>
        </w:rPr>
        <w:t xml:space="preserve"> the finite set of </w:t>
      </w:r>
      <w:r w:rsidRPr="004C51CC">
        <w:rPr>
          <w:rFonts w:ascii="Times New Roman" w:hAnsi="Times New Roman"/>
          <w:sz w:val="24"/>
        </w:rPr>
        <w:t>actions</w:t>
      </w:r>
      <w:r w:rsidRPr="004C51CC">
        <w:rPr>
          <w:rFonts w:ascii="Times New Roman" w:eastAsia="Times New Roman" w:hAnsi="Times New Roman" w:cs="Times New Roman"/>
          <w:sz w:val="24"/>
          <w:szCs w:val="24"/>
        </w:rPr>
        <w:t xml:space="preserve"> available from state </w:t>
      </w:r>
      <m:oMath>
        <m:r>
          <w:rPr>
            <w:rFonts w:ascii="Cambria Math" w:eastAsia="Cambria Math" w:hAnsi="Cambria Math" w:cs="Times New Roman"/>
            <w:sz w:val="24"/>
            <w:szCs w:val="24"/>
          </w:rPr>
          <m:t>s</m:t>
        </m:r>
      </m:oMath>
      <w:r w:rsidRPr="004C51CC">
        <w:rPr>
          <w:rFonts w:ascii="Times New Roman" w:eastAsia="Times New Roman" w:hAnsi="Times New Roman" w:cs="Times New Roman"/>
          <w:sz w:val="24"/>
          <w:szCs w:val="24"/>
        </w:rPr>
        <w:t xml:space="preserve"> (in our model, the dose prescribed of intravenous fluids and vasopressors conve</w:t>
      </w:r>
      <w:proofErr w:type="spellStart"/>
      <w:r w:rsidRPr="004C51CC">
        <w:rPr>
          <w:rFonts w:ascii="Times New Roman" w:eastAsia="Times New Roman" w:hAnsi="Times New Roman" w:cs="Times New Roman"/>
          <w:sz w:val="24"/>
          <w:szCs w:val="24"/>
        </w:rPr>
        <w:t>rted</w:t>
      </w:r>
      <w:proofErr w:type="spellEnd"/>
      <w:r w:rsidRPr="004C51CC">
        <w:rPr>
          <w:rFonts w:ascii="Times New Roman" w:eastAsia="Times New Roman" w:hAnsi="Times New Roman" w:cs="Times New Roman"/>
          <w:sz w:val="24"/>
          <w:szCs w:val="24"/>
        </w:rPr>
        <w:t xml:space="preserve"> into discrete decisions),</w:t>
      </w:r>
    </w:p>
    <w:p w14:paraId="1805DF59" w14:textId="77777777" w:rsidR="00FA0127" w:rsidRPr="004C51CC" w:rsidRDefault="00FA0127" w:rsidP="00FA0127">
      <w:pPr>
        <w:numPr>
          <w:ilvl w:val="0"/>
          <w:numId w:val="2"/>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ind w:left="360"/>
        <w:contextualSpacing/>
        <w:jc w:val="both"/>
        <w:rPr>
          <w:rFonts w:ascii="Times New Roman" w:hAnsi="Times New Roman" w:cs="Times New Roman"/>
          <w:sz w:val="24"/>
          <w:szCs w:val="24"/>
        </w:rPr>
      </w:pPr>
      <m:oMath>
        <m:r>
          <w:rPr>
            <w:rFonts w:ascii="Cambria Math" w:eastAsia="Cambria Math" w:hAnsi="Cambria Math" w:cs="Times New Roman"/>
            <w:sz w:val="24"/>
            <w:szCs w:val="24"/>
          </w:rPr>
          <m:t>T(s’, s, a)</m:t>
        </m:r>
      </m:oMath>
      <w:r w:rsidRPr="004C51CC">
        <w:rPr>
          <w:rFonts w:ascii="Times New Roman" w:eastAsia="Times New Roman" w:hAnsi="Times New Roman" w:cs="Times New Roman"/>
          <w:sz w:val="24"/>
          <w:szCs w:val="24"/>
        </w:rPr>
        <w:t>  the transition matrix, containing the probability that action </w:t>
      </w:r>
      <m:oMath>
        <m:r>
          <w:rPr>
            <w:rFonts w:ascii="Cambria Math" w:eastAsia="Cambria Math" w:hAnsi="Cambria Math" w:cs="Times New Roman"/>
            <w:sz w:val="24"/>
            <w:szCs w:val="24"/>
          </w:rPr>
          <m:t>a</m:t>
        </m:r>
      </m:oMath>
      <w:r w:rsidRPr="004C51CC">
        <w:rPr>
          <w:rFonts w:ascii="Times New Roman" w:eastAsia="Times New Roman" w:hAnsi="Times New Roman" w:cs="Times New Roman"/>
          <w:sz w:val="24"/>
          <w:szCs w:val="24"/>
        </w:rPr>
        <w:t> in state </w:t>
      </w:r>
      <m:oMath>
        <m:r>
          <w:rPr>
            <w:rFonts w:ascii="Cambria Math" w:eastAsia="Cambria Math" w:hAnsi="Cambria Math" w:cs="Times New Roman"/>
            <w:sz w:val="24"/>
            <w:szCs w:val="24"/>
          </w:rPr>
          <m:t>s</m:t>
        </m:r>
      </m:oMath>
      <w:r w:rsidRPr="004C51CC">
        <w:rPr>
          <w:rFonts w:ascii="Times New Roman" w:eastAsia="Times New Roman" w:hAnsi="Times New Roman" w:cs="Times New Roman"/>
          <w:sz w:val="24"/>
          <w:szCs w:val="24"/>
        </w:rPr>
        <w:t> at time t will lead to state </w:t>
      </w:r>
      <m:oMath>
        <m:r>
          <w:rPr>
            <w:rFonts w:ascii="Cambria Math" w:eastAsia="Cambria Math" w:hAnsi="Cambria Math" w:cs="Times New Roman"/>
            <w:sz w:val="24"/>
            <w:szCs w:val="24"/>
          </w:rPr>
          <m:t>s’</m:t>
        </m:r>
      </m:oMath>
      <w:r w:rsidRPr="004C51CC">
        <w:rPr>
          <w:rFonts w:ascii="Times New Roman" w:eastAsia="Times New Roman" w:hAnsi="Times New Roman" w:cs="Times New Roman"/>
          <w:sz w:val="24"/>
          <w:szCs w:val="24"/>
        </w:rPr>
        <w:t> at time t+1, which describes the dynamics of the system,</w:t>
      </w:r>
    </w:p>
    <w:p w14:paraId="34562AA1" w14:textId="77777777" w:rsidR="00FA0127" w:rsidRPr="004C51CC" w:rsidRDefault="00FA0127" w:rsidP="00FA0127">
      <w:pPr>
        <w:numPr>
          <w:ilvl w:val="0"/>
          <w:numId w:val="2"/>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ind w:left="360"/>
        <w:contextualSpacing/>
        <w:jc w:val="both"/>
        <w:rPr>
          <w:rFonts w:ascii="Times New Roman" w:hAnsi="Times New Roman" w:cs="Times New Roman"/>
          <w:sz w:val="24"/>
          <w:szCs w:val="24"/>
        </w:rPr>
      </w:pPr>
      <m:oMath>
        <m:r>
          <w:rPr>
            <w:rFonts w:ascii="Cambria Math" w:eastAsia="Cambria Math" w:hAnsi="Cambria Math" w:cs="Times New Roman"/>
            <w:sz w:val="24"/>
            <w:szCs w:val="24"/>
          </w:rPr>
          <m:t>R(s’)</m:t>
        </m:r>
      </m:oMath>
      <w:r w:rsidRPr="004C51CC">
        <w:rPr>
          <w:rFonts w:ascii="Times New Roman" w:eastAsia="Times New Roman" w:hAnsi="Times New Roman" w:cs="Times New Roman"/>
          <w:sz w:val="24"/>
          <w:szCs w:val="24"/>
        </w:rPr>
        <w:t xml:space="preserve">  </w:t>
      </w:r>
      <w:proofErr w:type="gramStart"/>
      <w:r w:rsidRPr="004C51CC">
        <w:rPr>
          <w:rFonts w:ascii="Times New Roman" w:eastAsia="Times New Roman" w:hAnsi="Times New Roman" w:cs="Times New Roman"/>
          <w:sz w:val="24"/>
          <w:szCs w:val="24"/>
        </w:rPr>
        <w:t>the</w:t>
      </w:r>
      <w:proofErr w:type="gramEnd"/>
      <w:r w:rsidRPr="004C51CC">
        <w:rPr>
          <w:rFonts w:ascii="Times New Roman" w:eastAsia="Times New Roman" w:hAnsi="Times New Roman" w:cs="Times New Roman"/>
          <w:sz w:val="24"/>
          <w:szCs w:val="24"/>
        </w:rPr>
        <w:t xml:space="preserve"> immediate reward received for transitioning to state </w:t>
      </w:r>
      <m:oMath>
        <m:r>
          <w:rPr>
            <w:rFonts w:ascii="Cambria Math" w:eastAsia="Cambria Math" w:hAnsi="Cambria Math" w:cs="Times New Roman"/>
            <w:sz w:val="24"/>
            <w:szCs w:val="24"/>
          </w:rPr>
          <m:t>s’</m:t>
        </m:r>
      </m:oMath>
      <w:r w:rsidRPr="004C51CC">
        <w:rPr>
          <w:rFonts w:ascii="Times New Roman" w:eastAsia="Times New Roman" w:hAnsi="Times New Roman" w:cs="Times New Roman"/>
          <w:sz w:val="24"/>
          <w:szCs w:val="24"/>
        </w:rPr>
        <w:t xml:space="preserve">. Transitions to desirable states yield a positive reward, while reaching undesirable states generates a penalty. </w:t>
      </w:r>
    </w:p>
    <w:p w14:paraId="68AE3F66" w14:textId="77777777" w:rsidR="00FA0127" w:rsidRPr="004C51CC" w:rsidRDefault="00FA0127" w:rsidP="00FA0127">
      <w:pPr>
        <w:numPr>
          <w:ilvl w:val="0"/>
          <w:numId w:val="2"/>
        </w:num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ind w:left="360"/>
        <w:contextualSpacing/>
        <w:jc w:val="both"/>
        <w:rPr>
          <w:rFonts w:ascii="Times New Roman" w:hAnsi="Times New Roman" w:cs="Times New Roman"/>
          <w:sz w:val="24"/>
          <w:szCs w:val="24"/>
        </w:rPr>
      </w:pPr>
      <w:proofErr w:type="gramStart"/>
      <w:r w:rsidRPr="004C51CC">
        <w:rPr>
          <w:rFonts w:ascii="Times New Roman" w:eastAsia="Times New Roman" w:hAnsi="Times New Roman" w:cs="Times New Roman"/>
          <w:sz w:val="24"/>
          <w:szCs w:val="24"/>
        </w:rPr>
        <w:t>γ</w:t>
      </w:r>
      <w:proofErr w:type="gramEnd"/>
      <w:r w:rsidRPr="004C51CC">
        <w:rPr>
          <w:rFonts w:ascii="Times New Roman" w:eastAsia="Times New Roman" w:hAnsi="Times New Roman" w:cs="Times New Roman"/>
          <w:sz w:val="24"/>
          <w:szCs w:val="24"/>
        </w:rPr>
        <w:t xml:space="preserve"> the discount factor, which allows to model the fact that future reward is worth less than immediate reward.</w:t>
      </w:r>
    </w:p>
    <w:p w14:paraId="7FC30EE2" w14:textId="77777777" w:rsidR="00FA0127" w:rsidRPr="004C51CC" w:rsidRDefault="00FA0127" w:rsidP="00FA0127">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eastAsia="Times New Roman" w:hAnsi="Times New Roman" w:cs="Times New Roman"/>
          <w:b/>
          <w:sz w:val="24"/>
          <w:szCs w:val="24"/>
        </w:rPr>
      </w:pPr>
    </w:p>
    <w:p w14:paraId="791EE457" w14:textId="42CF9D4D"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A sample of 80% of the MIMIC-III cohort was used for model training, while the remaining 20% was used for model validation. The state space was defined by clustering all patient time series from the MIMIC-III development set. A good cluster hierarchy is one in which individuals that are in the same cluster are similar with respect to their observable properties. Specifically, the state space was constructed by k-means++ clustering of the patients’ data, resulting in 750 discrete mutually exclusive patient states</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{"citationID":"aoa58cbr84","properties":{"formattedCitation":"\\super 34\\nosupersub{}","plainCitation":"34","noteIndex":0},"citationItems":[{"id":83,"uris":["http://zotero.org/users/858056/items/3QPB7S6G"],"uri":["http://zotero.org/users/858056/items/3QPB7S6G"],"itemData":{"id":83,"type":"paper-conference","title":"K-means++: The Advantages of Careful Seeding","container-title":"Proceedings of the Eighteenth Annual ACM-SIAM Symposium on Discrete Algorithms","collection-title":"SODA '07","publisher":"Society for Industrial and Applied Mathematics","publisher-place":"Philadelphia, PA, USA","page":"1027–1035","source":"ACM Digital Library","event-place":"Philadelphia, PA, USA","abstract":"The k-means method is a widely used clustering technique that seeks to minimize the average squared distance between points in the same cluster. Although it offers no accuracy guarantees, its simplicity and speed are very appealing in practice. By augmenting k-means with a very simple, randomized seeding technique, we obtain an algorithm that is Θ(logk)-competitive with the optimal clustering. Preliminary experiments show that our augmentation improves both the speed and the accuracy of k-means, often quite dramatically.","URL":"http://dl.acm.org/citation.cfm?id=1283383.1283494","ISBN":"978-0-89871-624-5","shortTitle":"K-means++","author":[{"family":"Arthur","given":"David"},{"family":"Vassilvitskii","given":"Sergei"}],"issued":{"date-parts":[["2007"]]},"accessed":{"date-parts":[["2015",8,18]]}}}],"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34</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xml:space="preserve">. We used Bayesian and </w:t>
      </w:r>
      <w:proofErr w:type="spellStart"/>
      <w:r w:rsidRPr="004C51CC">
        <w:rPr>
          <w:rFonts w:ascii="Times New Roman" w:eastAsia="Times New Roman" w:hAnsi="Times New Roman" w:cs="Times New Roman"/>
          <w:sz w:val="24"/>
          <w:szCs w:val="24"/>
        </w:rPr>
        <w:t>Akaike</w:t>
      </w:r>
      <w:proofErr w:type="spellEnd"/>
      <w:r w:rsidRPr="004C51CC">
        <w:rPr>
          <w:rFonts w:ascii="Times New Roman" w:eastAsia="Times New Roman" w:hAnsi="Times New Roman" w:cs="Times New Roman"/>
          <w:sz w:val="24"/>
          <w:szCs w:val="24"/>
        </w:rPr>
        <w:t xml:space="preserve"> information criteria to determine the optimal number of clusters (Supplementary Figure 2e)</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{"citationID":"a16ct502nsa","properties":{"formattedCitation":"\\super 35\\nosupersub{}","plainCitation":"35","noteIndex":0},"citationItems":[{"id":2081,"uris":["http://zotero.org/users/858056/items/HBBKM9NT"],"uri":["http://zotero.org/users/858056/items/HBBKM9NT"],"itemData":{"id":2081,"type":"article-journal","title":"Bayesian information criterion for longitudinal and clustered data","container-title":"Statistics in Medicine","page":"3050-3056","volume":"30","issue":"25","source":"PubMed","abstract":"When a number of models are fit to the same data set, one method of choosing the 'best' model is to select the model for which Akaike's information criterion (AIC) is lowest. AIC applies when maximum likelihood is used to estimate the unknown parameters in the model. The value of -2 log likelihood for each model fit is penalized by adding twice the number of estimated parameters. The number of estimated parameters includes both the linear parameters and parameters in the covariance structure. Another criterion for model selection is the Bayesian information criterion (BIC). BIC penalizes -2 log likelihood by adding the number of estimated parameters multiplied by the log of the sample size. For large sample sizes, BIC penalizes -2 log likelihood much more than AIC making it harder to enter new parameters into the model. An assumption in BIC is that the observations are independent. In mixed models, the observations are not independent. This paper develops a method for calculating the 'effective sample size' for mixed models based on Fisher's information. The effective sample size replaces the sample size in BIC and can vary from the number of subjects to the number of observations. A number of error models are considered based on a general mixed model including unstructured, compound symmetry.","DOI":"10.1002/sim.4323","ISSN":"1097-0258","note":"PMID: 21805487","journalAbbreviation":"Stat Med","language":"eng","author":[{"family":"Jones","given":"Richard H."}],"issued":{"date-parts":[["2011",11,10]]}}}],"schema":"https://github.com/citation-style-language/schema/raw/master/csl-citation.json"}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35</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xml:space="preserve">. We chose a high value of </w:t>
      </w:r>
      <w:r w:rsidRPr="004C51CC">
        <w:rPr>
          <w:rFonts w:ascii="Times New Roman" w:eastAsia="Times New Roman" w:hAnsi="Times New Roman" w:cs="Times New Roman"/>
          <w:i/>
          <w:sz w:val="24"/>
          <w:szCs w:val="24"/>
        </w:rPr>
        <w:t>k</w:t>
      </w:r>
      <w:r w:rsidRPr="004C51CC">
        <w:rPr>
          <w:rFonts w:ascii="Times New Roman" w:eastAsia="Times New Roman" w:hAnsi="Times New Roman" w:cs="Times New Roman"/>
          <w:sz w:val="24"/>
          <w:szCs w:val="24"/>
        </w:rPr>
        <w:t xml:space="preserve"> to ensure a highly granular model, whilst avoiding using too large </w:t>
      </w:r>
      <w:r w:rsidRPr="004C51CC">
        <w:rPr>
          <w:rFonts w:ascii="Times New Roman" w:eastAsia="Times New Roman" w:hAnsi="Times New Roman" w:cs="Times New Roman"/>
          <w:sz w:val="24"/>
          <w:szCs w:val="24"/>
        </w:rPr>
        <w:lastRenderedPageBreak/>
        <w:t xml:space="preserve">a state space (&gt; 1,000), which would have led to very sparsely populated states (Supplementary Figure 2a). Two absorbing states were added to the state space, corresponding to death and discharge of the patient. To further </w:t>
      </w:r>
      <w:r w:rsidR="00D44E66">
        <w:rPr>
          <w:rFonts w:ascii="Times New Roman" w:eastAsia="Times New Roman" w:hAnsi="Times New Roman" w:cs="Times New Roman"/>
          <w:sz w:val="24"/>
          <w:szCs w:val="24"/>
        </w:rPr>
        <w:t>assess</w:t>
      </w:r>
      <w:r w:rsidR="00D44E66" w:rsidRPr="004C51CC">
        <w:rPr>
          <w:rFonts w:ascii="Times New Roman" w:eastAsia="Times New Roman" w:hAnsi="Times New Roman" w:cs="Times New Roman"/>
          <w:sz w:val="24"/>
          <w:szCs w:val="24"/>
        </w:rPr>
        <w:t xml:space="preserve"> </w:t>
      </w:r>
      <w:r w:rsidRPr="004C51CC">
        <w:rPr>
          <w:rFonts w:ascii="Times New Roman" w:eastAsia="Times New Roman" w:hAnsi="Times New Roman" w:cs="Times New Roman"/>
          <w:sz w:val="24"/>
          <w:szCs w:val="24"/>
        </w:rPr>
        <w:t xml:space="preserve">the validity of our state aggregation, we used the distribution of International Classification of Diseases codes in the states and demonstrated that past medical history and diagnoses are encapsulated to some extent within our chosen state definition (Supplementary Figure 2b). </w:t>
      </w:r>
    </w:p>
    <w:p w14:paraId="312AE1B5"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 xml:space="preserve">Prior to clustering and to account for unequal means and variances in data, normally distributed data was standardized, log-normal distributed variables were log-transformed before standardization, and binary data was centred on zero. The normality of each variable was tested with visual methods: quantile-quantile plots and frequency histograms. </w:t>
      </w:r>
    </w:p>
    <w:p w14:paraId="1D60898B" w14:textId="3C820B48" w:rsidR="00B35CA8" w:rsidRPr="004C51CC" w:rsidRDefault="00FA0127" w:rsidP="00B35CA8">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 xml:space="preserve">The management of ICU patients with sepsis is extremely complex and includes several </w:t>
      </w:r>
      <w:r w:rsidR="00BB3A4D">
        <w:rPr>
          <w:rFonts w:ascii="Times New Roman" w:eastAsia="Times New Roman" w:hAnsi="Times New Roman" w:cs="Times New Roman"/>
          <w:sz w:val="24"/>
          <w:szCs w:val="24"/>
        </w:rPr>
        <w:t>principles</w:t>
      </w:r>
      <w:r w:rsidR="00BB3A4D" w:rsidRPr="004C51CC">
        <w:rPr>
          <w:rFonts w:ascii="Times New Roman" w:eastAsia="Times New Roman" w:hAnsi="Times New Roman" w:cs="Times New Roman"/>
          <w:sz w:val="24"/>
          <w:szCs w:val="24"/>
        </w:rPr>
        <w:t xml:space="preserve"> </w:t>
      </w:r>
      <w:r w:rsidRPr="004C51CC">
        <w:rPr>
          <w:rFonts w:ascii="Times New Roman" w:eastAsia="Times New Roman" w:hAnsi="Times New Roman" w:cs="Times New Roman"/>
          <w:sz w:val="24"/>
          <w:szCs w:val="24"/>
        </w:rPr>
        <w:t xml:space="preserve">such as rapid </w:t>
      </w:r>
      <w:r w:rsidRPr="0027707B">
        <w:rPr>
          <w:rFonts w:ascii="Times New Roman" w:eastAsia="Times New Roman" w:hAnsi="Times New Roman" w:cs="Times New Roman"/>
          <w:sz w:val="24"/>
          <w:szCs w:val="24"/>
        </w:rPr>
        <w:t xml:space="preserve">control of the source of infection, correction of hypovolaemia, and </w:t>
      </w:r>
      <w:r w:rsidRPr="008A46FB">
        <w:rPr>
          <w:rFonts w:ascii="Times New Roman" w:eastAsia="Times New Roman" w:hAnsi="Times New Roman" w:cs="Times New Roman"/>
          <w:sz w:val="24"/>
          <w:szCs w:val="24"/>
        </w:rPr>
        <w:t>management of secondary organ failures. Including all these potential interventions as actions in the MDP would have</w:t>
      </w:r>
      <w:r w:rsidR="00B162B7">
        <w:rPr>
          <w:rFonts w:ascii="Times New Roman" w:eastAsia="Times New Roman" w:hAnsi="Times New Roman" w:cs="Times New Roman"/>
          <w:sz w:val="24"/>
          <w:szCs w:val="24"/>
        </w:rPr>
        <w:t xml:space="preserve"> required a much larger dataset</w:t>
      </w:r>
      <w:r w:rsidRPr="008A46FB">
        <w:rPr>
          <w:rFonts w:ascii="Times New Roman" w:eastAsia="Times New Roman" w:hAnsi="Times New Roman" w:cs="Times New Roman"/>
          <w:sz w:val="24"/>
          <w:szCs w:val="24"/>
        </w:rPr>
        <w:t xml:space="preserve">. </w:t>
      </w:r>
      <w:r w:rsidR="00B162B7">
        <w:rPr>
          <w:rFonts w:ascii="Times New Roman" w:eastAsia="Times New Roman" w:hAnsi="Times New Roman" w:cs="Times New Roman"/>
          <w:sz w:val="24"/>
          <w:szCs w:val="24"/>
        </w:rPr>
        <w:t>A</w:t>
      </w:r>
      <w:r w:rsidRPr="008A46FB">
        <w:rPr>
          <w:rFonts w:ascii="Times New Roman" w:eastAsia="Times New Roman" w:hAnsi="Times New Roman" w:cs="Times New Roman"/>
          <w:sz w:val="24"/>
          <w:szCs w:val="24"/>
        </w:rPr>
        <w:t xml:space="preserve"> key challenge is arguably the management of intravenous fluids and vasopressors. Consequently, we focused on medical decisions regarding total volume of intravenous fluids and maximum dose of vasopressors administered over each 4h period. </w:t>
      </w:r>
      <w:r w:rsidR="00D44E66" w:rsidRPr="008A46FB">
        <w:rPr>
          <w:rFonts w:ascii="Times New Roman" w:eastAsia="Times New Roman" w:hAnsi="Times New Roman" w:cs="Times New Roman"/>
          <w:sz w:val="24"/>
          <w:szCs w:val="24"/>
        </w:rPr>
        <w:t>Intravenous fluids included boluses and</w:t>
      </w:r>
      <w:r w:rsidR="00D44E66" w:rsidRPr="00043445">
        <w:rPr>
          <w:rFonts w:ascii="Times New Roman" w:eastAsia="Times New Roman" w:hAnsi="Times New Roman" w:cs="Times New Roman"/>
          <w:sz w:val="24"/>
          <w:szCs w:val="24"/>
        </w:rPr>
        <w:t xml:space="preserve"> background infusions of crystalloids, colloids and blood products, normalized by tonicity as previously described</w:t>
      </w:r>
      <w:r w:rsidR="00D44E66" w:rsidRPr="00043445">
        <w:rPr>
          <w:rFonts w:ascii="Times New Roman" w:eastAsia="Times New Roman" w:hAnsi="Times New Roman" w:cs="Times New Roman"/>
          <w:sz w:val="24"/>
          <w:szCs w:val="24"/>
        </w:rPr>
        <w:fldChar w:fldCharType="begin"/>
      </w:r>
      <w:r w:rsidR="00D44E66">
        <w:rPr>
          <w:rFonts w:ascii="Times New Roman" w:eastAsia="Times New Roman" w:hAnsi="Times New Roman" w:cs="Times New Roman"/>
          <w:sz w:val="24"/>
          <w:szCs w:val="24"/>
        </w:rPr>
        <w:instrText xml:space="preserve"> ADDIN ZOTERO_ITEM CSL_CITATION {"citationID":"a1b2pfch4as","properties":{"formattedCitation":"{\\rtf \\super 8\\nosupersub{}}","plainCitation":"8"},"citationItems":[{"id":2557,"uris":["http://zotero.org/users/858056/items/67DHJ3CJ"],"uri":["http://zotero.org/users/858056/items/67DHJ3CJ"],"itemData":{"id":2557,"type":"article-journal","title":"Interaction between fluids and vasoactive agents on mortality in septic shock: a multicenter, observational study","container-title":"Critical Care Medicine","page":"2158-2168","volume":"42","issue":"10","source":"PubMed","abstract":"OBJECTIVE: Fluids and vasoactive agents are both used to treat septic shock, but little is known about how they interact or the optimal way to administer them. We sought to determine how hospital mortality was influenced by combined use of these two treatments.\nDESIGN: Retrospective evaluation using multivariable logistic regression to evaluate the association between hospital mortality and categorical variables representing initiation of vasoactive agents and volumes of IV fluids given 0-1, 1-6, and 6-24 hours after onset, including interactions and adjusting for potential confounders.\nSETTING: ICUs of 24 hospitals in 3 countries.\nPATIENTS: Two thousand eight hundred forty-nine patients who survived more than 24 hours after after onset of septic shock, admitted between 1989 and 2007.\nINTERVENTIONS: None.\nMEASUREMENTS AND MAIN RESULTS: Fluids and vasoactive agents had strong, interacting associations with mortality (p &lt; 0.0001). Mortality was lowest when vasoactive agents were begun 1-6 hours after onset, with more than 1 L of fluids in the initial hour after shock onset, more than 2.4 L from hours 1-6, and 1.6-3.5 L from 6 to 24 hours. The lowest mortality rates were associated with starting vasoactive agents 1-6 hours after onset.\nCONCLUSIONS: The focus during the first hour of resuscitation for septic shock should be aggressive fluid administration, only thereafter starting vasoactive agents, while continuing aggressive fluid administration. Starting vasoactive agents in the initial hour may be detrimental, and not all of that association is due to less fluids being given with such early initiation of vasoactive agents.","DOI":"10.1097/CCM.0000000000000520","ISSN":"1530-0293","note":"PMID: 25072761","shortTitle":"Interaction between fluids and vasoactive agents on mortality in septic shock","journalAbbreviation":"Crit. Care Med.","language":"eng","author":[{"family":"Waechter","given":"Jason"},{"family":"Kumar","given":"Anand"},{"family":"Lapinsky","given":"Stephen E."},{"family":"Marshall","given":"John"},{"family":"Dodek","given":"Peter"},{"family":"Arabi","given":"Yaseen"},{"family":"Parrillo","given":"Joseph E."},{"family":"Dellinger","given":"R. Phillip"},{"family":"Garland","given":"Allan"},{"literal":"Cooperative Antimicrobial Therapy of Septic Shock Database Research Group"}],"issued":{"date-parts":[["2014",10]]}}}],"schema":"https://github.com/citation-style-language/schema/raw/master/csl-citation.json"} </w:instrText>
      </w:r>
      <w:r w:rsidR="00D44E66" w:rsidRPr="00043445">
        <w:rPr>
          <w:rFonts w:ascii="Times New Roman" w:eastAsia="Times New Roman" w:hAnsi="Times New Roman" w:cs="Times New Roman"/>
          <w:sz w:val="24"/>
          <w:szCs w:val="24"/>
        </w:rPr>
        <w:fldChar w:fldCharType="separate"/>
      </w:r>
      <w:r w:rsidR="00D44E66" w:rsidRPr="009E626F">
        <w:rPr>
          <w:rFonts w:ascii="Times New Roman" w:hAnsi="Times New Roman" w:cs="Times New Roman"/>
          <w:sz w:val="24"/>
          <w:szCs w:val="24"/>
          <w:vertAlign w:val="superscript"/>
        </w:rPr>
        <w:t>8</w:t>
      </w:r>
      <w:r w:rsidR="00D44E66" w:rsidRPr="00043445">
        <w:rPr>
          <w:rFonts w:ascii="Times New Roman" w:eastAsia="Times New Roman" w:hAnsi="Times New Roman" w:cs="Times New Roman"/>
          <w:sz w:val="24"/>
          <w:szCs w:val="24"/>
        </w:rPr>
        <w:fldChar w:fldCharType="end"/>
      </w:r>
      <w:r w:rsidR="00D44E66" w:rsidRPr="00043445">
        <w:rPr>
          <w:rFonts w:ascii="Times New Roman" w:eastAsia="Times New Roman" w:hAnsi="Times New Roman" w:cs="Times New Roman"/>
          <w:sz w:val="24"/>
          <w:szCs w:val="24"/>
        </w:rPr>
        <w:t>. The vasopressors included norepinephrine, epinephrine, vasopressin, dopamine and phenylephrine, and were converted when necessary to norepinephrine-equivalent using previously published dose correspondence</w:t>
      </w:r>
      <w:r w:rsidR="00D44E66" w:rsidRPr="00043445">
        <w:rPr>
          <w:rFonts w:ascii="Times New Roman" w:eastAsia="Times New Roman" w:hAnsi="Times New Roman" w:cs="Times New Roman"/>
          <w:sz w:val="24"/>
          <w:szCs w:val="24"/>
        </w:rPr>
        <w:fldChar w:fldCharType="begin"/>
      </w:r>
      <w:r w:rsidR="00D44E66">
        <w:rPr>
          <w:rFonts w:ascii="Times New Roman" w:eastAsia="Times New Roman" w:hAnsi="Times New Roman" w:cs="Times New Roman"/>
          <w:sz w:val="24"/>
          <w:szCs w:val="24"/>
        </w:rPr>
        <w:instrText xml:space="preserve"> ADDIN ZOTERO_ITEM CSL_CITATION {"citationID":"ac0spgotq","properties":{"formattedCitation":"{\\rtf \\super 37\\nosupersub{}}","plainCitation":"37"},"citationItems":[{"id":2567,"uris":["http://zotero.org/users/858056/items/92WN6MRI"],"uri":["http://zotero.org/users/858056/items/92WN6MRI"],"itemData":{"id":2567,"type":"article-journal","title":"Survival After Shock Requiring High-Dose Vasopressor Therapy","container-title":"Chest","page":"664-671","volume":"143","issue":"3","source":"PubMed Central","abstract":"Background:\nSome patients with hypotensive shock do not respond to usual doses of vasopressor therapy. Very little is known about outcomes after high-dose vasopressor therapy (HDV). We sought to characterize survival among patients with shock requiring HDV. We also evaluated the possible utility of stress-dose corticosteroid therapy in these patients.\n\nMethods:\nWe conducted a retrospective study of patients with shock requiring HDV in the ICUs of five hospitals from 2005 through 2010. We defined HDV as receipt at any point of ≥ 1 μg/kg/min of norepinephrine equivalent (calculated by summing norepinephrine-equivalent infusion rates of all vasopressors). We report survival 90 days after hospital admission. We evaluated receipt of stress-dose corticosteroids, cause of shock, receipt of CPR, and withdrawal or withholding of life support therapy.\n\nResults:\nWe identified 443 patients meeting inclusion criteria. Seventy-six (17%) survived. Survival was similar (20%) among the 241 patients with septic shock. Among the 367 nonsurvivors, 254 (69%) experienced withholding/withdrawal of care, and 115 (31%) underwent CPR. Stress-dose corticosteroid therapy was associated with increased survival (P = .01).\n\nConclusions:\nOne in six patients with shock survived to 90 days after HDV. The majority of nonsurvivors died after withdrawal or withholding of life support therapy. A minority of patients underwent CPR. Additionally, stress-dose corticosteroid therapy appears reasonable in patients with shock requiring HDV.","DOI":"10.1378/chest.12-1106","ISSN":"0012-3692","note":"PMID: 22911566\nPMCID: PMC3590882","journalAbbreviation":"Chest","author":[{"family":"Brown","given":"Samuel M."},{"family":"Lanspa","given":"Michael J."},{"family":"Jones","given":"Jason P."},{"family":"Kuttler","given":"Kathryn G."},{"family":"Li","given":"Yao"},{"family":"Carlson","given":"Rick"},{"family":"Miller","given":"Russell R."},{"family":"Hirshberg","given":"Eliotte L."},{"family":"Grissom","given":"Colin K."},{"family":"Morris","given":"Alan H."}],"issued":{"date-parts":[["2013",3]]}}}],"schema":"https://github.com/citation-style-language/schema/raw/master/csl-citation.json"} </w:instrText>
      </w:r>
      <w:r w:rsidR="00D44E66" w:rsidRPr="00043445">
        <w:rPr>
          <w:rFonts w:ascii="Times New Roman" w:eastAsia="Times New Roman" w:hAnsi="Times New Roman" w:cs="Times New Roman"/>
          <w:sz w:val="24"/>
          <w:szCs w:val="24"/>
        </w:rPr>
        <w:fldChar w:fldCharType="separate"/>
      </w:r>
      <w:r w:rsidR="00D44E66" w:rsidRPr="009E626F">
        <w:rPr>
          <w:rFonts w:ascii="Times New Roman" w:hAnsi="Times New Roman" w:cs="Times New Roman"/>
          <w:sz w:val="24"/>
          <w:szCs w:val="24"/>
          <w:vertAlign w:val="superscript"/>
        </w:rPr>
        <w:t>37</w:t>
      </w:r>
      <w:r w:rsidR="00D44E66" w:rsidRPr="00043445">
        <w:rPr>
          <w:rFonts w:ascii="Times New Roman" w:eastAsia="Times New Roman" w:hAnsi="Times New Roman" w:cs="Times New Roman"/>
          <w:sz w:val="24"/>
          <w:szCs w:val="24"/>
        </w:rPr>
        <w:fldChar w:fldCharType="end"/>
      </w:r>
      <w:r w:rsidR="00D44E66" w:rsidRPr="00043445">
        <w:rPr>
          <w:rFonts w:ascii="Times New Roman" w:eastAsia="Times New Roman" w:hAnsi="Times New Roman" w:cs="Times New Roman"/>
          <w:sz w:val="24"/>
          <w:szCs w:val="24"/>
        </w:rPr>
        <w:t xml:space="preserve">. </w:t>
      </w:r>
      <w:r w:rsidRPr="004C51CC">
        <w:rPr>
          <w:rFonts w:ascii="Times New Roman" w:eastAsia="Times New Roman" w:hAnsi="Times New Roman" w:cs="Times New Roman"/>
          <w:sz w:val="24"/>
          <w:szCs w:val="24"/>
        </w:rPr>
        <w:t xml:space="preserve">To define the action space, the dose of each treatment was represented as one of five possible choices, choice 1 being “no drug given”, and the remaining non-null doses divided into 4 quartiles (Supplementary Table 3). The </w:t>
      </w:r>
      <w:r w:rsidRPr="004C51CC">
        <w:rPr>
          <w:rFonts w:ascii="Times New Roman" w:eastAsia="Times New Roman" w:hAnsi="Times New Roman" w:cs="Times New Roman"/>
          <w:sz w:val="24"/>
          <w:szCs w:val="24"/>
        </w:rPr>
        <w:lastRenderedPageBreak/>
        <w:t xml:space="preserve">combination of the two treatments produced 25 possible discrete actions. We expressed the suggested dose as the median of each dose bin matching a suggested action. </w:t>
      </w:r>
    </w:p>
    <w:p w14:paraId="52BCD6AB" w14:textId="323C6472" w:rsidR="00B35CA8" w:rsidRPr="004C51CC" w:rsidRDefault="00FA0127" w:rsidP="00B35CA8">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The sequences of successive states and actions are referred to as patients’ trajectories.</w:t>
      </w:r>
      <w:r w:rsidR="004C51CC" w:rsidRPr="004C51CC">
        <w:rPr>
          <w:rFonts w:ascii="Times New Roman" w:eastAsia="Times New Roman" w:hAnsi="Times New Roman" w:cs="Times New Roman"/>
          <w:sz w:val="24"/>
          <w:szCs w:val="24"/>
        </w:rPr>
        <w:t xml:space="preserve"> </w:t>
      </w:r>
      <w:r w:rsidRPr="004C51CC">
        <w:rPr>
          <w:rFonts w:ascii="Times New Roman" w:eastAsia="Times New Roman" w:hAnsi="Times New Roman" w:cs="Times New Roman"/>
          <w:sz w:val="24"/>
          <w:szCs w:val="24"/>
        </w:rPr>
        <w:t xml:space="preserve">In our models, we used either hospital mortality or 90-day mortality as the sole defining factor for system defined penalty/reward. When a patient survived, a positive reward was released at the end of each patient’s trajectory (a “reward” of +100), while a negative reward (a “penalty” of -100) was issued if the patient died. </w:t>
      </w:r>
    </w:p>
    <w:p w14:paraId="7F01DCEB" w14:textId="142E4C31" w:rsidR="00B35CA8" w:rsidRPr="004C51CC" w:rsidRDefault="00FA0127" w:rsidP="00BB3A4D">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 xml:space="preserve">We estimated the transition matrix </w:t>
      </w:r>
      <m:oMath>
        <m:r>
          <w:rPr>
            <w:rFonts w:ascii="Cambria Math" w:eastAsia="Cambria Math" w:hAnsi="Cambria Math" w:cs="Times New Roman"/>
            <w:sz w:val="24"/>
            <w:szCs w:val="24"/>
          </w:rPr>
          <m:t>T(s’, s, a)</m:t>
        </m:r>
      </m:oMath>
      <w:r w:rsidRPr="004C51CC">
        <w:rPr>
          <w:rFonts w:ascii="Times New Roman" w:eastAsia="Times New Roman" w:hAnsi="Times New Roman" w:cs="Times New Roman"/>
          <w:sz w:val="24"/>
          <w:szCs w:val="24"/>
        </w:rPr>
        <w:t> by counting how many times each transition was observed in the MIMIC-III training dataset and converting</w:t>
      </w:r>
      <w:r w:rsidRPr="004C51CC">
        <w:rPr>
          <w:rFonts w:ascii="Times New Roman" w:hAnsi="Times New Roman"/>
          <w:sz w:val="24"/>
        </w:rPr>
        <w:t xml:space="preserve"> the </w:t>
      </w:r>
      <w:r w:rsidRPr="004C51CC">
        <w:rPr>
          <w:rFonts w:ascii="Times New Roman" w:eastAsia="Times New Roman" w:hAnsi="Times New Roman" w:cs="Times New Roman"/>
          <w:sz w:val="24"/>
          <w:szCs w:val="24"/>
        </w:rPr>
        <w:t>transition</w:t>
      </w:r>
      <w:r w:rsidRPr="004C51CC">
        <w:rPr>
          <w:rFonts w:ascii="Times New Roman" w:hAnsi="Times New Roman"/>
          <w:sz w:val="24"/>
        </w:rPr>
        <w:t xml:space="preserve"> counts </w:t>
      </w:r>
      <w:r w:rsidRPr="004C51CC">
        <w:rPr>
          <w:rFonts w:ascii="Times New Roman" w:eastAsia="Times New Roman" w:hAnsi="Times New Roman" w:cs="Times New Roman"/>
          <w:sz w:val="24"/>
          <w:szCs w:val="24"/>
        </w:rPr>
        <w:t>to a stochastic matrix</w:t>
      </w:r>
      <w:r w:rsidRPr="004C51CC">
        <w:rPr>
          <w:rFonts w:ascii="Times New Roman" w:eastAsia="Times New Roman" w:hAnsi="Times New Roman" w:cs="Times New Roman"/>
          <w:sz w:val="24"/>
          <w:szCs w:val="24"/>
          <w:vertAlign w:val="superscript"/>
        </w:rPr>
        <w:t>32</w:t>
      </w:r>
      <w:r w:rsidRPr="004C51CC">
        <w:rPr>
          <w:rFonts w:ascii="Times New Roman" w:eastAsia="Times New Roman" w:hAnsi="Times New Roman" w:cs="Times New Roman"/>
          <w:sz w:val="24"/>
          <w:szCs w:val="24"/>
        </w:rPr>
        <w:t>.</w:t>
      </w:r>
      <w:r w:rsidR="00BB3A4D">
        <w:rPr>
          <w:rFonts w:ascii="Times New Roman" w:eastAsia="Times New Roman" w:hAnsi="Times New Roman" w:cs="Times New Roman"/>
          <w:sz w:val="24"/>
          <w:szCs w:val="24"/>
        </w:rPr>
        <w:t xml:space="preserve"> </w:t>
      </w:r>
      <w:r w:rsidR="006D31CE" w:rsidRPr="004C51CC">
        <w:rPr>
          <w:rFonts w:ascii="Times New Roman" w:eastAsia="Times New Roman" w:hAnsi="Times New Roman" w:cs="Times New Roman"/>
          <w:sz w:val="24"/>
          <w:szCs w:val="24"/>
        </w:rPr>
        <w:t>In high-risk environments</w:t>
      </w:r>
      <w:r w:rsidR="006D31CE">
        <w:rPr>
          <w:rFonts w:ascii="Times New Roman" w:eastAsia="Times New Roman" w:hAnsi="Times New Roman" w:cs="Times New Roman"/>
          <w:sz w:val="24"/>
          <w:szCs w:val="24"/>
        </w:rPr>
        <w:t xml:space="preserve"> (</w:t>
      </w:r>
      <w:r w:rsidR="006D31CE" w:rsidRPr="004C51CC">
        <w:rPr>
          <w:rFonts w:ascii="Times New Roman" w:eastAsia="Times New Roman" w:hAnsi="Times New Roman" w:cs="Times New Roman"/>
          <w:sz w:val="24"/>
          <w:szCs w:val="24"/>
        </w:rPr>
        <w:t xml:space="preserve">where </w:t>
      </w:r>
      <w:r w:rsidR="00BB3A4D">
        <w:rPr>
          <w:rFonts w:ascii="Times New Roman" w:eastAsia="Times New Roman" w:hAnsi="Times New Roman" w:cs="Times New Roman"/>
          <w:sz w:val="24"/>
          <w:szCs w:val="24"/>
        </w:rPr>
        <w:t xml:space="preserve">executing a bad policy could cause </w:t>
      </w:r>
      <w:r w:rsidR="006D31CE" w:rsidRPr="004C51CC">
        <w:rPr>
          <w:rFonts w:ascii="Times New Roman" w:eastAsia="Times New Roman" w:hAnsi="Times New Roman" w:cs="Times New Roman"/>
          <w:sz w:val="24"/>
          <w:szCs w:val="24"/>
        </w:rPr>
        <w:t>harm</w:t>
      </w:r>
      <w:r w:rsidR="006D31CE">
        <w:rPr>
          <w:rFonts w:ascii="Times New Roman" w:eastAsia="Times New Roman" w:hAnsi="Times New Roman" w:cs="Times New Roman"/>
          <w:sz w:val="24"/>
          <w:szCs w:val="24"/>
        </w:rPr>
        <w:t>)</w:t>
      </w:r>
      <w:r w:rsidR="006D31CE" w:rsidRPr="004C51CC">
        <w:rPr>
          <w:rFonts w:ascii="Times New Roman" w:eastAsia="Times New Roman" w:hAnsi="Times New Roman" w:cs="Times New Roman"/>
          <w:sz w:val="24"/>
          <w:szCs w:val="24"/>
        </w:rPr>
        <w:t xml:space="preserve"> limiting the action space to known options is a sensible choice to increase the safety of the model.</w:t>
      </w:r>
      <w:r w:rsidR="006D31CE">
        <w:rPr>
          <w:rFonts w:ascii="Times New Roman" w:eastAsia="Times New Roman" w:hAnsi="Times New Roman" w:cs="Times New Roman"/>
          <w:sz w:val="24"/>
          <w:szCs w:val="24"/>
        </w:rPr>
        <w:t xml:space="preserve"> </w:t>
      </w:r>
      <w:r w:rsidRPr="004C51CC">
        <w:rPr>
          <w:rFonts w:ascii="Times New Roman" w:eastAsia="Times New Roman" w:hAnsi="Times New Roman" w:cs="Times New Roman"/>
          <w:sz w:val="24"/>
          <w:szCs w:val="24"/>
        </w:rPr>
        <w:t xml:space="preserve">We restricted the set of actions to choose from </w:t>
      </w:r>
      <w:proofErr w:type="spellStart"/>
      <w:r w:rsidRPr="004C51CC">
        <w:rPr>
          <w:rFonts w:ascii="Times New Roman" w:eastAsia="Times New Roman" w:hAnsi="Times New Roman" w:cs="Times New Roman"/>
          <w:sz w:val="24"/>
          <w:szCs w:val="24"/>
        </w:rPr>
        <w:t>to</w:t>
      </w:r>
      <w:proofErr w:type="spellEnd"/>
      <w:r w:rsidRPr="004C51CC">
        <w:rPr>
          <w:rFonts w:ascii="Times New Roman" w:eastAsia="Times New Roman" w:hAnsi="Times New Roman" w:cs="Times New Roman"/>
          <w:sz w:val="24"/>
          <w:szCs w:val="24"/>
        </w:rPr>
        <w:t xml:space="preserve"> frequently observed actions taken by clinicians</w:t>
      </w:r>
      <w:r w:rsidR="006D31CE">
        <w:rPr>
          <w:rFonts w:ascii="Times New Roman" w:eastAsia="Times New Roman" w:hAnsi="Times New Roman" w:cs="Times New Roman"/>
          <w:sz w:val="24"/>
          <w:szCs w:val="24"/>
        </w:rPr>
        <w:t xml:space="preserve">, and </w:t>
      </w:r>
      <w:r w:rsidR="00BB3A4D">
        <w:rPr>
          <w:rFonts w:ascii="Times New Roman" w:eastAsia="Times New Roman" w:hAnsi="Times New Roman" w:cs="Times New Roman"/>
          <w:sz w:val="24"/>
          <w:szCs w:val="24"/>
        </w:rPr>
        <w:t xml:space="preserve">excluded </w:t>
      </w:r>
      <w:r w:rsidR="00BB3A4D" w:rsidRPr="004C51CC">
        <w:rPr>
          <w:rFonts w:ascii="Times New Roman" w:eastAsia="Times New Roman" w:hAnsi="Times New Roman" w:cs="Times New Roman"/>
          <w:sz w:val="24"/>
          <w:szCs w:val="24"/>
        </w:rPr>
        <w:t>transitions</w:t>
      </w:r>
      <w:r w:rsidRPr="004C51CC">
        <w:rPr>
          <w:rFonts w:ascii="Times New Roman" w:eastAsia="Times New Roman" w:hAnsi="Times New Roman" w:cs="Times New Roman"/>
          <w:sz w:val="24"/>
          <w:szCs w:val="24"/>
        </w:rPr>
        <w:t xml:space="preserve"> seen less than 5 times. As such, the resulting AI policy suggests the best possible </w:t>
      </w:r>
      <w:r w:rsidR="00A62B56" w:rsidRPr="004C51CC">
        <w:rPr>
          <w:rFonts w:ascii="Times New Roman" w:eastAsia="Times New Roman" w:hAnsi="Times New Roman" w:cs="Times New Roman"/>
          <w:sz w:val="24"/>
          <w:szCs w:val="24"/>
        </w:rPr>
        <w:t xml:space="preserve">treatment </w:t>
      </w:r>
      <w:r w:rsidRPr="004C51CC">
        <w:rPr>
          <w:rFonts w:ascii="Times New Roman" w:eastAsia="Times New Roman" w:hAnsi="Times New Roman" w:cs="Times New Roman"/>
          <w:sz w:val="24"/>
          <w:szCs w:val="24"/>
        </w:rPr>
        <w:t xml:space="preserve">among </w:t>
      </w:r>
      <w:r w:rsidR="00A62B56" w:rsidRPr="004C51CC">
        <w:rPr>
          <w:rFonts w:ascii="Times New Roman" w:eastAsia="Times New Roman" w:hAnsi="Times New Roman" w:cs="Times New Roman"/>
          <w:sz w:val="24"/>
          <w:szCs w:val="24"/>
        </w:rPr>
        <w:t xml:space="preserve">all the options chosen </w:t>
      </w:r>
      <w:r w:rsidRPr="004C51CC">
        <w:rPr>
          <w:rFonts w:ascii="Times New Roman" w:eastAsia="Times New Roman" w:hAnsi="Times New Roman" w:cs="Times New Roman"/>
          <w:sz w:val="24"/>
          <w:szCs w:val="24"/>
        </w:rPr>
        <w:t>(relatively frequently) by clinicians.</w:t>
      </w:r>
    </w:p>
    <w:p w14:paraId="6A07C025" w14:textId="461327D2" w:rsidR="00FA0127" w:rsidRPr="004C51CC" w:rsidRDefault="00FA0127" w:rsidP="00B35CA8">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Markov models rely on the Markov property, which is that the transitions (given state and action)</w:t>
      </w:r>
      <w:r w:rsidR="00B35CA8" w:rsidRPr="004C51CC">
        <w:rPr>
          <w:rFonts w:ascii="Times New Roman" w:eastAsia="Times New Roman" w:hAnsi="Times New Roman" w:cs="Times New Roman"/>
          <w:sz w:val="24"/>
          <w:szCs w:val="24"/>
        </w:rPr>
        <w:t xml:space="preserve"> are</w:t>
      </w:r>
      <w:r w:rsidRPr="004C51CC">
        <w:rPr>
          <w:rFonts w:ascii="Times New Roman" w:eastAsia="Times New Roman" w:hAnsi="Times New Roman" w:cs="Times New Roman"/>
          <w:sz w:val="24"/>
          <w:szCs w:val="24"/>
        </w:rPr>
        <w:t xml:space="preserve"> memoryless. The probability to leave a state in a Markov chain remains constant, no matter how </w:t>
      </w:r>
      <w:r w:rsidR="006D31CE">
        <w:rPr>
          <w:rFonts w:ascii="Times New Roman" w:eastAsia="Times New Roman" w:hAnsi="Times New Roman" w:cs="Times New Roman"/>
          <w:sz w:val="24"/>
          <w:szCs w:val="24"/>
        </w:rPr>
        <w:t>long</w:t>
      </w:r>
      <w:r w:rsidRPr="004C51CC">
        <w:rPr>
          <w:rFonts w:ascii="Times New Roman" w:eastAsia="Times New Roman" w:hAnsi="Times New Roman" w:cs="Times New Roman"/>
          <w:sz w:val="24"/>
          <w:szCs w:val="24"/>
        </w:rPr>
        <w:t xml:space="preserve"> the agent has been in the state. Thus,  the probability </w:t>
      </w:r>
      <w:r w:rsidR="0057345C">
        <w:rPr>
          <w:rFonts w:ascii="Times New Roman" w:eastAsia="Times New Roman" w:hAnsi="Times New Roman" w:cs="Times New Roman"/>
          <w:sz w:val="24"/>
          <w:szCs w:val="24"/>
        </w:rPr>
        <w:t>to</w:t>
      </w:r>
      <w:r w:rsidR="0057345C" w:rsidRPr="004C51CC">
        <w:rPr>
          <w:rFonts w:ascii="Times New Roman" w:eastAsia="Times New Roman" w:hAnsi="Times New Roman" w:cs="Times New Roman"/>
          <w:sz w:val="24"/>
          <w:szCs w:val="24"/>
        </w:rPr>
        <w:t xml:space="preserve"> </w:t>
      </w:r>
      <w:r w:rsidRPr="004C51CC">
        <w:rPr>
          <w:rFonts w:ascii="Times New Roman" w:eastAsia="Times New Roman" w:hAnsi="Times New Roman" w:cs="Times New Roman"/>
          <w:sz w:val="24"/>
          <w:szCs w:val="24"/>
        </w:rPr>
        <w:t>remain in a state follows an exponential decay</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{"citationID":"a3qn3opqtl","properties":{"formattedCitation":"\\super 37\\nosupersub{}","plainCitation":"37","noteIndex":0},"citationItems":[{"id":305,"uris":["http://zotero.org/users/858056/items/ADXIBZQV"],"uri":["http://zotero.org/users/858056/items/ADXIBZQV"],"itemData":{"id":305,"type":"chapter","title":"Discrete-time Markov chains","container-title":"Markov Chains","collection-title":"Cambridge Series in Statistical and Probabilistic Mathematics","publisher":"Cambridge University Press","URL":"http://dx.doi.org/10.1017/CBO9780511810633.003","ISBN":"978-0-511-81063-3","author":[{"family":"Norris","given":"J. R."}],"issued":{"date-parts":[["1997"]]}}}],"schema":"https://github.com/citation-style-language/schema/raw/master/csl-citation.json"}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37</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xml:space="preserve">. We measured the empirical state persistence probability for each </w:t>
      </w:r>
      <w:r w:rsidR="00B35CA8" w:rsidRPr="004C51CC">
        <w:rPr>
          <w:rFonts w:ascii="Times New Roman" w:eastAsia="Times New Roman" w:hAnsi="Times New Roman" w:cs="Times New Roman"/>
          <w:sz w:val="24"/>
          <w:szCs w:val="24"/>
        </w:rPr>
        <w:t>state</w:t>
      </w:r>
      <w:r w:rsidRPr="004C51CC">
        <w:rPr>
          <w:rFonts w:ascii="Times New Roman" w:eastAsia="Times New Roman" w:hAnsi="Times New Roman" w:cs="Times New Roman"/>
          <w:sz w:val="24"/>
          <w:szCs w:val="24"/>
        </w:rPr>
        <w:t xml:space="preserve"> and found a high goodness</w:t>
      </w:r>
      <w:r w:rsidR="006D31CE">
        <w:rPr>
          <w:rFonts w:ascii="Times New Roman" w:eastAsia="Times New Roman" w:hAnsi="Times New Roman" w:cs="Times New Roman"/>
          <w:sz w:val="24"/>
          <w:szCs w:val="24"/>
        </w:rPr>
        <w:t>-</w:t>
      </w:r>
      <w:r w:rsidRPr="004C51CC">
        <w:rPr>
          <w:rFonts w:ascii="Times New Roman" w:eastAsia="Times New Roman" w:hAnsi="Times New Roman" w:cs="Times New Roman"/>
          <w:sz w:val="24"/>
          <w:szCs w:val="24"/>
        </w:rPr>
        <w:t>of</w:t>
      </w:r>
      <w:r w:rsidR="006D31CE">
        <w:rPr>
          <w:rFonts w:ascii="Times New Roman" w:eastAsia="Times New Roman" w:hAnsi="Times New Roman" w:cs="Times New Roman"/>
          <w:sz w:val="24"/>
          <w:szCs w:val="24"/>
        </w:rPr>
        <w:t>-</w:t>
      </w:r>
      <w:r w:rsidRPr="004C51CC">
        <w:rPr>
          <w:rFonts w:ascii="Times New Roman" w:eastAsia="Times New Roman" w:hAnsi="Times New Roman" w:cs="Times New Roman"/>
          <w:sz w:val="24"/>
          <w:szCs w:val="24"/>
        </w:rPr>
        <w:t>fit between the data and</w:t>
      </w:r>
      <w:r w:rsidR="006D31CE">
        <w:rPr>
          <w:rFonts w:ascii="Times New Roman" w:eastAsia="Times New Roman" w:hAnsi="Times New Roman" w:cs="Times New Roman"/>
          <w:sz w:val="24"/>
          <w:szCs w:val="24"/>
        </w:rPr>
        <w:t xml:space="preserve"> </w:t>
      </w:r>
      <w:r w:rsidRPr="004C51CC">
        <w:rPr>
          <w:rFonts w:ascii="Times New Roman" w:eastAsia="Times New Roman" w:hAnsi="Times New Roman" w:cs="Times New Roman"/>
          <w:sz w:val="24"/>
          <w:szCs w:val="24"/>
        </w:rPr>
        <w:t xml:space="preserve">exponential </w:t>
      </w:r>
      <w:r w:rsidR="0057345C">
        <w:rPr>
          <w:rFonts w:ascii="Times New Roman" w:eastAsia="Times New Roman" w:hAnsi="Times New Roman" w:cs="Times New Roman"/>
          <w:sz w:val="24"/>
          <w:szCs w:val="24"/>
        </w:rPr>
        <w:t xml:space="preserve">decay </w:t>
      </w:r>
      <w:r w:rsidRPr="004C51CC">
        <w:rPr>
          <w:rFonts w:ascii="Times New Roman" w:eastAsia="Times New Roman" w:hAnsi="Times New Roman" w:cs="Times New Roman"/>
          <w:sz w:val="24"/>
          <w:szCs w:val="24"/>
        </w:rPr>
        <w:t>distribution</w:t>
      </w:r>
      <w:r w:rsidR="006D31CE">
        <w:rPr>
          <w:rFonts w:ascii="Times New Roman" w:eastAsia="Times New Roman" w:hAnsi="Times New Roman" w:cs="Times New Roman"/>
          <w:sz w:val="24"/>
          <w:szCs w:val="24"/>
        </w:rPr>
        <w:t>s</w:t>
      </w:r>
      <w:r w:rsidRPr="004C51CC">
        <w:rPr>
          <w:rFonts w:ascii="Times New Roman" w:eastAsia="Times New Roman" w:hAnsi="Times New Roman" w:cs="Times New Roman"/>
          <w:sz w:val="24"/>
          <w:szCs w:val="24"/>
        </w:rPr>
        <w:t xml:space="preserve"> for virtually all states (Supplementary Figure 2).</w:t>
      </w:r>
    </w:p>
    <w:p w14:paraId="46632C66" w14:textId="4C14DAD1"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 xml:space="preserve">The discount factor </w:t>
      </w:r>
      <m:oMath>
        <m:r>
          <w:rPr>
            <w:rFonts w:ascii="Cambria Math" w:eastAsia="Cambria Math" w:hAnsi="Cambria Math" w:cs="Times New Roman"/>
            <w:sz w:val="24"/>
            <w:szCs w:val="24"/>
          </w:rPr>
          <m:t>γ</m:t>
        </m:r>
      </m:oMath>
      <w:r w:rsidRPr="004C51CC">
        <w:rPr>
          <w:rFonts w:ascii="Times New Roman" w:eastAsia="Times New Roman" w:hAnsi="Times New Roman" w:cs="Times New Roman"/>
          <w:sz w:val="24"/>
          <w:szCs w:val="24"/>
        </w:rPr>
        <w:t xml:space="preserve"> defines the horizon of the reinforcement learning agent, which is how much importance is given to future rewards compared to the reward in the current state. It can </w:t>
      </w:r>
      <w:r w:rsidRPr="004C51CC">
        <w:rPr>
          <w:rFonts w:ascii="Times New Roman" w:eastAsia="Times New Roman" w:hAnsi="Times New Roman" w:cs="Times New Roman"/>
          <w:sz w:val="24"/>
          <w:szCs w:val="24"/>
        </w:rPr>
        <w:lastRenderedPageBreak/>
        <w:t>take values between 0 and 1</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{"citationID":"a1eppcjn332","properties":{"formattedCitation":"\\super 33\\nosupersub{}","plainCitation":"33","noteIndex":0},"citationItems":[{"id":3052,"uris":["http://zotero.org/users/858056/items/P4CCWXIX"],"uri":["http://zotero.org/users/858056/items/P4CCWXIX"],"itemData":{"id":3052,"type":"book","title":"Reinforcement Learning: An Introduction","publisher":"MIT Press","publisher-place":"Cambridge, Mass","number-of-pages":"444","edition":"2nd","event-place":"Cambridge, Mass","abstract":"Reinforcement learning, one of the most active research areas in                 artificial intelligence, is a computational approach to learning whereby an agent                 tries to maximize the total amount of reward it receives when interacting with a                 complex, uncertain environment. In Reinforcement Learning,                 Richard Sutton and Andrew Barto provide a clear and simple account of the key ideas                 and algorithms of reinforcement learning. Their discussion ranges from the history                 of the field's intellectual foundations to the most recent developments and                 applications. The only necessary mathematical background is familiarity with                 elementary concepts of probability.The book is divided into three                 parts. Part I defines the reinforcement learning problem in terms of Markov decision                 processes. Part II provides basic solution methods: dynamic programming, Monte Carlo                 methods, and temporal-difference learning. Part III presents a unified view of the                 solution methods and incorporates artificial neural networks, eligibility traces,                 and planning; the two final chapters present case studies and consider the future of                 reinforcement learning.","shortTitle":"Reinforcement Learning","language":"English","author":[{"family":"Sutton","given":"Richard S."},{"family":"Barto","given":"Andrew G."}],"issued":{"date-parts":[["2018",1,1]]}}}],"schema":"https://github.com/citation-style-language/schema/raw/master/csl-citation.json"}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33</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xml:space="preserve">. We chose a gamma value of 0.99, which means that we put nearly as much importance on late deaths as opposed to early deaths. </w:t>
      </w:r>
    </w:p>
    <w:p w14:paraId="519AC746" w14:textId="19D9C3BE" w:rsidR="00B305B5" w:rsidRPr="004C51CC" w:rsidRDefault="00FA0127" w:rsidP="00B305B5">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In reinforcement learning, a policy π corresponds to a set of rules dictating which action is taken while in a particular state</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{"citationID":"a2ch9hbjgot","properties":{"formattedCitation":"\\super 33\\nosupersub{}","plainCitation":"33","noteIndex":0},"citationItems":[{"id":3052,"uris":["http://zotero.org/users/858056/items/P4CCWXIX"],"uri":["http://zotero.org/users/858056/items/P4CCWXIX"],"itemData":{"id":3052,"type":"book","title":"Reinforcement Learning: An Introduction","publisher":"MIT Press","publisher-place":"Cambridge, Mass","number-of-pages":"444","edition":"2nd","event-place":"Cambridge, Mass","abstract":"Reinforcement learning, one of the most active research areas in                 artificial intelligence, is a computational approach to learning whereby an agent                 tries to maximize the total amount of reward it receives when interacting with a                 complex, uncertain environment. In Reinforcement Learning,                 Richard Sutton and Andrew Barto provide a clear and simple account of the key ideas                 and algorithms of reinforcement learning. Their discussion ranges from the history                 of the field's intellectual foundations to the most recent developments and                 applications. The only necessary mathematical background is familiarity with                 elementary concepts of probability.The book is divided into three                 parts. Part I defines the reinforcement learning problem in terms of Markov decision                 processes. Part II provides basic solution methods: dynamic programming, Monte Carlo                 methods, and temporal-difference learning. Part III presents a unified view of the                 solution methods and incorporates artificial neural networks, eligibility traces,                 and planning; the two final chapters present case studies and consider the future of                 reinforcement learning.","shortTitle":"Reinforcement Learning","language":"English","author":[{"family":"Sutton","given":"Richard S."},{"family":"Barto","given":"Andrew G."}],"issued":{"date-parts":[["2018",1,1]]}}}],"schema":"https://github.com/citation-style-language/schema/raw/master/csl-citation.json"}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33</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xml:space="preserve">. Each MDP determines a state-action value function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Q</m:t>
            </m:r>
          </m:e>
          <m:sup>
            <m:r>
              <w:rPr>
                <w:rFonts w:ascii="Cambria Math" w:eastAsia="Times New Roman" w:hAnsi="Cambria Math" w:cs="Times New Roman"/>
                <w:sz w:val="24"/>
                <w:szCs w:val="24"/>
              </w:rPr>
              <m:t>π</m:t>
            </m:r>
          </m:sup>
        </m:sSup>
      </m:oMath>
      <w:r w:rsidRPr="004C51CC">
        <w:rPr>
          <w:rFonts w:ascii="Times New Roman" w:eastAsia="Times New Roman" w:hAnsi="Times New Roman" w:cs="Times New Roman"/>
          <w:sz w:val="24"/>
          <w:szCs w:val="24"/>
        </w:rPr>
        <w:t>, that reflects the expected sum of discounted rewards for choosing an action while in a particular state, and following a policy π thereafter</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{"citationID":"a1nchufr6ap","properties":{"formattedCitation":"\\super 33\\nosupersub{}","plainCitation":"33","noteIndex":0},"citationItems":[{"id":3052,"uris":["http://zotero.org/users/858056/items/P4CCWXIX"],"uri":["http://zotero.org/users/858056/items/P4CCWXIX"],"itemData":{"id":3052,"type":"book","title":"Reinforcement Learning: An Introduction","publisher":"MIT Press","publisher-place":"Cambridge, Mass","number-of-pages":"444","edition":"2nd","event-place":"Cambridge, Mass","abstract":"Reinforcement learning, one of the most active research areas in                 artificial intelligence, is a computational approach to learning whereby an agent                 tries to maximize the total amount of reward it receives when interacting with a                 complex, uncertain environment. In Reinforcement Learning,                 Richard Sutton and Andrew Barto provide a clear and simple account of the key ideas                 and algorithms of reinforcement learning. Their discussion ranges from the history                 of the field's intellectual foundations to the most recent developments and                 applications. The only necessary mathematical background is familiarity with                 elementary concepts of probability.The book is divided into three                 parts. Part I defines the reinforcement learning problem in terms of Markov decision                 processes. Part II provides basic solution methods: dynamic programming, Monte Carlo                 methods, and temporal-difference learning. Part III presents a unified view of the                 solution methods and incorporates artificial neural networks, eligibility traces,                 and planning; the two final chapters present case studies and consider the future of                 reinforcement learning.","shortTitle":"Reinforcement Learning","language":"English","author":[{"family":"Sutton","given":"Richard S."},{"family":"Barto","given":"Andrew G."}],"issued":{"date-parts":[["2018",1,1]]}}}],"schema":"https://github.com/citation-style-language/schema/raw/master/csl-citation.json"}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33</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I</w:t>
      </w:r>
      <w:r w:rsidR="006D31CE">
        <w:rPr>
          <w:rFonts w:ascii="Times New Roman" w:eastAsia="Times New Roman" w:hAnsi="Times New Roman" w:cs="Times New Roman"/>
          <w:sz w:val="24"/>
          <w:szCs w:val="24"/>
        </w:rPr>
        <w:t xml:space="preserve">n our model,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Q</m:t>
            </m:r>
          </m:e>
          <m:sup>
            <m:r>
              <w:rPr>
                <w:rFonts w:ascii="Cambria Math" w:eastAsia="Times New Roman" w:hAnsi="Cambria Math" w:cs="Times New Roman"/>
                <w:sz w:val="24"/>
                <w:szCs w:val="24"/>
              </w:rPr>
              <m:t>π</m:t>
            </m:r>
          </m:sup>
        </m:sSup>
      </m:oMath>
      <w:r w:rsidRPr="004C51CC">
        <w:rPr>
          <w:rFonts w:ascii="Times New Roman" w:eastAsia="Times New Roman" w:hAnsi="Times New Roman" w:cs="Times New Roman"/>
          <w:sz w:val="24"/>
          <w:szCs w:val="24"/>
        </w:rPr>
        <w:t xml:space="preserve"> s</w:t>
      </w:r>
      <w:proofErr w:type="spellStart"/>
      <w:r w:rsidRPr="004C51CC">
        <w:rPr>
          <w:rFonts w:ascii="Times New Roman" w:eastAsia="Times New Roman" w:hAnsi="Times New Roman" w:cs="Times New Roman"/>
          <w:sz w:val="24"/>
          <w:szCs w:val="24"/>
        </w:rPr>
        <w:t>ummarizes</w:t>
      </w:r>
      <w:proofErr w:type="spellEnd"/>
      <w:r w:rsidRPr="004C51CC">
        <w:rPr>
          <w:rFonts w:ascii="Times New Roman" w:eastAsia="Times New Roman" w:hAnsi="Times New Roman" w:cs="Times New Roman"/>
          <w:sz w:val="24"/>
          <w:szCs w:val="24"/>
        </w:rPr>
        <w:t xml:space="preserve"> the effect of the treatment decision</w:t>
      </w:r>
      <w:r w:rsidR="006D31CE">
        <w:rPr>
          <w:rFonts w:ascii="Times New Roman" w:eastAsia="Times New Roman" w:hAnsi="Times New Roman" w:cs="Times New Roman"/>
          <w:sz w:val="24"/>
          <w:szCs w:val="24"/>
        </w:rPr>
        <w:t>s</w:t>
      </w:r>
      <w:r w:rsidRPr="004C51CC">
        <w:rPr>
          <w:rFonts w:ascii="Times New Roman" w:eastAsia="Times New Roman" w:hAnsi="Times New Roman" w:cs="Times New Roman"/>
          <w:sz w:val="24"/>
          <w:szCs w:val="24"/>
        </w:rPr>
        <w:t xml:space="preserve"> on the patient’s mortality risk, with beneficial decisions having positive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Q</m:t>
            </m:r>
          </m:e>
          <m:sup>
            <m:r>
              <w:rPr>
                <w:rFonts w:ascii="Cambria Math" w:eastAsia="Times New Roman" w:hAnsi="Cambria Math" w:cs="Times New Roman"/>
                <w:sz w:val="24"/>
                <w:szCs w:val="24"/>
              </w:rPr>
              <m:t>π</m:t>
            </m:r>
          </m:sup>
        </m:sSup>
      </m:oMath>
      <w:r w:rsidRPr="004C51CC">
        <w:rPr>
          <w:rFonts w:ascii="Times New Roman" w:eastAsia="Times New Roman" w:hAnsi="Times New Roman" w:cs="Times New Roman"/>
          <w:sz w:val="24"/>
          <w:szCs w:val="24"/>
        </w:rPr>
        <w:t xml:space="preserve"> values, and harmful decisions negative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Q</m:t>
            </m:r>
          </m:e>
          <m:sup>
            <m:r>
              <w:rPr>
                <w:rFonts w:ascii="Cambria Math" w:eastAsia="Times New Roman" w:hAnsi="Cambria Math" w:cs="Times New Roman"/>
                <w:sz w:val="24"/>
                <w:szCs w:val="24"/>
              </w:rPr>
              <m:t>π</m:t>
            </m:r>
          </m:sup>
        </m:sSup>
      </m:oMath>
      <w:r w:rsidRPr="004C51CC">
        <w:rPr>
          <w:rFonts w:ascii="Times New Roman" w:eastAsia="Times New Roman" w:hAnsi="Times New Roman" w:cs="Times New Roman"/>
          <w:sz w:val="24"/>
          <w:szCs w:val="24"/>
        </w:rPr>
        <w:t xml:space="preserve"> values</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{"citationID":"ao3fpn85ot","properties":{"formattedCitation":"\\super 12,13\\nosupersub{}","plainCitation":"12,13","noteIndex":0},"citationItems":[{"id":2431,"uris":["http://zotero.org/users/858056/items/T2C5RP3V"],"uri":["http://zotero.org/users/858056/items/T2C5RP3V"],"itemData":{"id":2431,"type":"article-journal","title":"Artificial intelligence framework for simulating clinical decision-making: A Markov decision process approach","container-title":"Artificial Intelligence in Medicine","page":"9-19","volume":"57","issue":"1","source":"ScienceDirect","abstract":"Objective\nIn the modern healthcare system, rapidly expanding costs/complexity, the growing myriad of treatment options, and exploding information streams that often do not effectively reach the front lines hinder the ability to choose optimal treatment decisions over time. The goal in this paper is to develop a general purpose (non-disease-specific) computational/artificial intelligence (AI) framework to address these challenges. This framework serves two potential functions: (1) a simulation environment for exploring various healthcare policies, payment methodologies, etc., and (2) the basis for clinical artificial intelligence – an AI that can “think like a doctor”.\nMethods\nThis approach combines Markov decision processes and dynamic decision networks to learn from clinical data and develop complex plans via simulation of alternative sequential decision paths while capturing the sometimes conflicting, sometimes synergistic interactions of various components in the healthcare system. It can operate in partially observable environments (in the case of missing observations or data) by maintaining belief states about patient health status and functions as an online agent that plans and re-plans as actions are performed and new observations are obtained. This framework was evaluated using real patient data from an electronic health record.\nResults\nThe results demonstrate the feasibility of this approach; such an AI framework easily outperforms the current treatment-as-usual (TAU) case-rate/fee-for-service models of healthcare. The cost per unit of outcome change (CPUC) was $189 vs. $497 for AI vs. TAU (where lower is considered optimal) – while at the same time the AI approach could obtain a 30–35% increase in patient outcomes. Tweaking certain AI model parameters could further enhance this advantage, obtaining approximately 50% more improvement (outcome change) for roughly half the costs.\nConclusion\nGiven careful design and problem formulation, an AI simulation framework can approximate optimal decisions even in complex and uncertain environments. Future work is described that outlines potential lines of research and integration of machine learning algorithms for personalized medicine.","DOI":"10.1016/j.artmed.2012.12.003","ISSN":"0933-3657","shortTitle":"Artificial intelligence framework for simulating clinical decision-making","journalAbbreviation":"Artificial Intelligence in Medicine","author":[{"family":"Bennett","given":"Casey C."},{"family":"Hauser","given":"Kris"}],"issued":{"date-parts":[["2013",1]]}}},{"id":187,"uris":["http://zotero.org/users/858056/items/6HREQUSV"],"uri":["http://zotero.org/users/858056/items/6HREQUSV"],"itemData":{"id":187,"type":"chapter","title":"Modeling Medical Treatment Using Markov Decision Processes","container-title":"Operations Research and Health Care","collection-title":"International Series in Operations Research &amp; Management Science","collection-number":"70","publisher":"Springer US","page":"593-612","source":"link.springer.com","URL":"http://link.springer.com/chapter/10.1007/1-4020-8066-2_23","ISBN":"978-1-4020-7629-9","language":"en","author":[{"family":"Schaefer","given":"Andrew J."},{"family":"Bailey","given":"Matthew D."},{"family":"Shechter","given":"Steven M."},{"family":"Roberts","given":"Mark S."}],"editor":[{"family":"Brandeau","given":"Margaret L."},{"family":"Sainfort","given":"François"},{"family":"Pierskalla","given":"William P."}],"issued":{"date-parts":[["2005"]]},"accessed":{"date-parts":[["2015",8,31]]}}}],"schema":"https://github.com/citation-style-language/schema/raw/master/csl-citation.json"}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12,13</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w:t>
      </w:r>
      <w:r w:rsidR="00B305B5" w:rsidRPr="004C51CC">
        <w:rPr>
          <w:rFonts w:ascii="Times New Roman" w:eastAsia="Times New Roman" w:hAnsi="Times New Roman" w:cs="Times New Roman"/>
          <w:sz w:val="24"/>
          <w:szCs w:val="24"/>
        </w:rPr>
        <w:t xml:space="preserve"> </w:t>
      </w:r>
    </w:p>
    <w:p w14:paraId="710C4604" w14:textId="77777777" w:rsidR="00FA0127" w:rsidRPr="004C51CC" w:rsidRDefault="00FA0127" w:rsidP="00FA0127">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480" w:lineRule="auto"/>
        <w:contextualSpacing/>
        <w:jc w:val="both"/>
        <w:rPr>
          <w:rFonts w:ascii="Times New Roman" w:eastAsia="Times New Roman" w:hAnsi="Times New Roman" w:cs="Times New Roman"/>
          <w:sz w:val="24"/>
          <w:szCs w:val="24"/>
        </w:rPr>
      </w:pPr>
    </w:p>
    <w:p w14:paraId="7EE6F944" w14:textId="77777777" w:rsidR="00FA0127" w:rsidRPr="004C51CC" w:rsidRDefault="00FA0127" w:rsidP="00FA0127">
      <w:pPr>
        <w:keepNext/>
        <w:keepLines/>
        <w:spacing w:before="100" w:beforeAutospacing="1" w:after="100" w:afterAutospacing="1" w:line="480" w:lineRule="auto"/>
        <w:outlineLvl w:val="0"/>
        <w:rPr>
          <w:rFonts w:ascii="Times New Roman" w:eastAsia="Times New Roman" w:hAnsi="Times New Roman" w:cs="Times New Roman"/>
          <w:b/>
          <w:color w:val="2E75B5"/>
          <w:sz w:val="32"/>
          <w:szCs w:val="32"/>
        </w:rPr>
      </w:pPr>
      <w:r w:rsidRPr="004C51CC">
        <w:rPr>
          <w:rFonts w:ascii="Times New Roman" w:eastAsia="Times New Roman" w:hAnsi="Times New Roman" w:cs="Times New Roman"/>
          <w:b/>
          <w:color w:val="2E75B5"/>
          <w:sz w:val="32"/>
          <w:szCs w:val="32"/>
        </w:rPr>
        <w:t>Evaluation of clinicians’ actions</w:t>
      </w:r>
    </w:p>
    <w:p w14:paraId="7DF5A29B" w14:textId="23DE3794"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We performed an evaluation of the actual actions (the policy) of clinicians using temporal difference learning (TD-learning) of the Q function, by observing all the prescriptions of intravenous fluids and vasopressors in existing records (offline sampling) and computing the average value of each treatment option, at the state level</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{"citationID":"a2qbh0r24il","properties":{"formattedCitation":"\\super 33\\nosupersub{}","plainCitation":"33","noteIndex":0},"citationItems":[{"id":3052,"uris":["http://zotero.org/users/858056/items/P4CCWXIX"],"uri":["http://zotero.org/users/858056/items/P4CCWXIX"],"itemData":{"id":3052,"type":"book","title":"Reinforcement Learning: An Introduction","publisher":"MIT Press","publisher-place":"Cambridge, Mass","number-of-pages":"444","edition":"2nd","event-place":"Cambridge, Mass","abstract":"Reinforcement learning, one of the most active research areas in                 artificial intelligence, is a computational approach to learning whereby an agent                 tries to maximize the total amount of reward it receives when interacting with a                 complex, uncertain environment. In Reinforcement Learning,                 Richard Sutton and Andrew Barto provide a clear and simple account of the key ideas                 and algorithms of reinforcement learning. Their discussion ranges from the history                 of the field's intellectual foundations to the most recent developments and                 applications. The only necessary mathematical background is familiarity with                 elementary concepts of probability.The book is divided into three                 parts. Part I defines the reinforcement learning problem in terms of Markov decision                 processes. Part II provides basic solution methods: dynamic programming, Monte Carlo                 methods, and temporal-difference learning. Part III presents a unified view of the                 solution methods and incorporates artificial neural networks, eligibility traces,                 and planning; the two final chapters present case studies and consider the future of                 reinforcement learning.","shortTitle":"Reinforcement Learning","language":"English","author":[{"family":"Sutton","given":"Richard S."},{"family":"Barto","given":"Andrew G."}],"issued":{"date-parts":[["2018",1,1]]}}}],"schema":"https://github.com/citation-style-language/schema/raw/master/csl-citation.json"}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33</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xml:space="preserve">. The advantage of TD-learning </w:t>
      </w:r>
      <w:r w:rsidR="00B305B5" w:rsidRPr="004C51CC">
        <w:rPr>
          <w:rFonts w:ascii="Times New Roman" w:eastAsia="Times New Roman" w:hAnsi="Times New Roman" w:cs="Times New Roman"/>
          <w:sz w:val="24"/>
          <w:szCs w:val="24"/>
        </w:rPr>
        <w:t xml:space="preserve">over </w:t>
      </w:r>
      <w:r w:rsidRPr="004C51CC">
        <w:rPr>
          <w:rFonts w:ascii="Times New Roman" w:eastAsia="Times New Roman" w:hAnsi="Times New Roman" w:cs="Times New Roman"/>
          <w:sz w:val="24"/>
          <w:szCs w:val="24"/>
        </w:rPr>
        <w:t>policy iteration is that it does not require knowledge of the MDP (model-free), and makes it possible to learn simply from sample trajectories</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{"citationID":"a1idf767ldt","properties":{"formattedCitation":"\\super 33\\nosupersub{}","plainCitation":"33","noteIndex":0},"citationItems":[{"id":3052,"uris":["http://zotero.org/users/858056/items/P4CCWXIX"],"uri":["http://zotero.org/users/858056/items/P4CCWXIX"],"itemData":{"id":3052,"type":"book","title":"Reinforcement Learning: An Introduction","publisher":"MIT Press","publisher-place":"Cambridge, Mass","number-of-pages":"444","edition":"2nd","event-place":"Cambridge, Mass","abstract":"Reinforcement learning, one of the most active research areas in                 artificial intelligence, is a computational approach to learning whereby an agent                 tries to maximize the total amount of reward it receives when interacting with a                 complex, uncertain environment. In Reinforcement Learning,                 Richard Sutton and Andrew Barto provide a clear and simple account of the key ideas                 and algorithms of reinforcement learning. Their discussion ranges from the history                 of the field's intellectual foundations to the most recent developments and                 applications. The only necessary mathematical background is familiarity with                 elementary concepts of probability.The book is divided into three                 parts. Part I defines the reinforcement learning problem in terms of Markov decision                 processes. Part II provides basic solution methods: dynamic programming, Monte Carlo                 methods, and temporal-difference learning. Part III presents a unified view of the                 solution methods and incorporates artificial neural networks, eligibility traces,                 and planning; the two final chapters present case studies and consider the future of                 reinforcement learning.","shortTitle":"Reinforcement Learning","language":"English","author":[{"family":"Sutton","given":"Richard S."},{"family":"Barto","given":"Andrew G."}],"issued":{"date-parts":[["2018",1,1]]}}}],"schema":"https://github.com/citation-style-language/schema/raw/master/csl-citation.json"}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33</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It was computed iteratively from actual patient episodes of successive state-action pairs, with resampling, using the following Q update formula:</w:t>
      </w:r>
    </w:p>
    <w:p w14:paraId="536C0CB8" w14:textId="77777777" w:rsidR="00FA0127" w:rsidRPr="004C51CC" w:rsidRDefault="000E52D6" w:rsidP="00FA0127">
      <w:pPr>
        <w:spacing w:before="100" w:beforeAutospacing="1" w:after="100" w:afterAutospacing="1" w:line="480" w:lineRule="auto"/>
        <w:ind w:left="720"/>
        <w:jc w:val="center"/>
        <w:rPr>
          <w:rFonts w:ascii="Times New Roman" w:eastAsia="Times New Roman" w:hAnsi="Times New Roman" w:cs="Times New Roman"/>
          <w:sz w:val="24"/>
          <w:szCs w:val="24"/>
        </w:rPr>
      </w:pPr>
      <m:oMath>
        <m:sSup>
          <m:sSupPr>
            <m:ctrlPr>
              <w:rPr>
                <w:rFonts w:ascii="Cambria Math" w:eastAsia="Cambria Math" w:hAnsi="Cambria Math" w:cs="Times New Roman"/>
                <w:i/>
                <w:sz w:val="24"/>
                <w:szCs w:val="24"/>
              </w:rPr>
            </m:ctrlPr>
          </m:sSupPr>
          <m:e>
            <m:r>
              <w:rPr>
                <w:rFonts w:ascii="Cambria Math" w:eastAsia="Cambria Math" w:hAnsi="Cambria Math" w:cs="Times New Roman"/>
                <w:sz w:val="24"/>
                <w:szCs w:val="24"/>
              </w:rPr>
              <m:t>Q</m:t>
            </m:r>
          </m:e>
          <m:sup>
            <m:r>
              <w:rPr>
                <w:rFonts w:ascii="Cambria Math" w:eastAsia="Cambria Math" w:hAnsi="Cambria Math" w:cs="Times New Roman"/>
                <w:sz w:val="24"/>
                <w:szCs w:val="24"/>
              </w:rPr>
              <m:t>π</m:t>
            </m:r>
          </m:sup>
        </m:sSup>
        <m:r>
          <w:rPr>
            <w:rFonts w:ascii="Cambria Math" w:eastAsia="Cambria Math" w:hAnsi="Cambria Math" w:cs="Times New Roman"/>
            <w:sz w:val="24"/>
            <w:szCs w:val="24"/>
          </w:rPr>
          <m:t>(s,a)←</m:t>
        </m:r>
        <m:sSup>
          <m:sSupPr>
            <m:ctrlPr>
              <w:rPr>
                <w:rFonts w:ascii="Cambria Math" w:eastAsia="Cambria Math" w:hAnsi="Cambria Math" w:cs="Times New Roman"/>
                <w:i/>
                <w:sz w:val="24"/>
                <w:szCs w:val="24"/>
              </w:rPr>
            </m:ctrlPr>
          </m:sSupPr>
          <m:e>
            <m:r>
              <w:rPr>
                <w:rFonts w:ascii="Cambria Math" w:eastAsia="Cambria Math" w:hAnsi="Cambria Math" w:cs="Times New Roman"/>
                <w:sz w:val="24"/>
                <w:szCs w:val="24"/>
              </w:rPr>
              <m:t>Q</m:t>
            </m:r>
          </m:e>
          <m:sup>
            <m:r>
              <w:rPr>
                <w:rFonts w:ascii="Cambria Math" w:eastAsia="Cambria Math" w:hAnsi="Cambria Math" w:cs="Times New Roman"/>
                <w:sz w:val="24"/>
                <w:szCs w:val="24"/>
              </w:rPr>
              <m:t>π</m:t>
            </m:r>
          </m:sup>
        </m:sSup>
        <m:r>
          <w:rPr>
            <w:rFonts w:ascii="Cambria Math" w:eastAsia="Cambria Math" w:hAnsi="Cambria Math" w:cs="Times New Roman"/>
            <w:sz w:val="24"/>
            <w:szCs w:val="24"/>
          </w:rPr>
          <m:t>(s,a)+α∙(r+γ∙</m:t>
        </m:r>
        <m:sSup>
          <m:sSupPr>
            <m:ctrlPr>
              <w:rPr>
                <w:rFonts w:ascii="Cambria Math" w:eastAsia="Cambria Math" w:hAnsi="Cambria Math" w:cs="Times New Roman"/>
                <w:i/>
                <w:sz w:val="24"/>
                <w:szCs w:val="24"/>
              </w:rPr>
            </m:ctrlPr>
          </m:sSupPr>
          <m:e>
            <m:r>
              <w:rPr>
                <w:rFonts w:ascii="Cambria Math" w:eastAsia="Cambria Math" w:hAnsi="Cambria Math" w:cs="Times New Roman"/>
                <w:sz w:val="24"/>
                <w:szCs w:val="24"/>
              </w:rPr>
              <m:t>Q</m:t>
            </m:r>
          </m:e>
          <m:sup>
            <m:r>
              <w:rPr>
                <w:rFonts w:ascii="Cambria Math" w:eastAsia="Cambria Math" w:hAnsi="Cambria Math" w:cs="Times New Roman"/>
                <w:sz w:val="24"/>
                <w:szCs w:val="24"/>
              </w:rPr>
              <m:t>π</m:t>
            </m:r>
          </m:sup>
        </m:sSup>
        <m:r>
          <w:rPr>
            <w:rFonts w:ascii="Cambria Math" w:eastAsia="Cambria Math" w:hAnsi="Cambria Math" w:cs="Times New Roman"/>
            <w:sz w:val="24"/>
            <w:szCs w:val="24"/>
          </w:rPr>
          <m:t>(</m:t>
        </m:r>
        <m:sSup>
          <m:sSupPr>
            <m:ctrlPr>
              <w:rPr>
                <w:rFonts w:ascii="Cambria Math" w:eastAsia="Cambria Math" w:hAnsi="Cambria Math" w:cs="Times New Roman"/>
                <w:sz w:val="24"/>
                <w:szCs w:val="24"/>
              </w:rPr>
            </m:ctrlPr>
          </m:sSupPr>
          <m:e>
            <m:r>
              <w:rPr>
                <w:rFonts w:ascii="Cambria Math" w:eastAsia="Cambria Math" w:hAnsi="Cambria Math" w:cs="Times New Roman"/>
                <w:sz w:val="24"/>
                <w:szCs w:val="24"/>
              </w:rPr>
              <m:t>s</m:t>
            </m:r>
          </m:e>
          <m:sup>
            <m:r>
              <w:rPr>
                <w:rFonts w:ascii="Cambria Math" w:eastAsia="Cambria Math" w:hAnsi="Cambria Math" w:cs="Times New Roman"/>
                <w:sz w:val="24"/>
                <w:szCs w:val="24"/>
              </w:rPr>
              <m:t>'</m:t>
            </m:r>
          </m:sup>
        </m:sSup>
        <m:r>
          <w:rPr>
            <w:rFonts w:ascii="Cambria Math" w:eastAsia="Cambria Math" w:hAnsi="Cambria Math" w:cs="Times New Roman"/>
            <w:sz w:val="24"/>
            <w:szCs w:val="24"/>
          </w:rPr>
          <m:t>,</m:t>
        </m:r>
        <m:sSup>
          <m:sSupPr>
            <m:ctrlPr>
              <w:rPr>
                <w:rFonts w:ascii="Cambria Math" w:eastAsia="Cambria Math" w:hAnsi="Cambria Math" w:cs="Times New Roman"/>
                <w:sz w:val="24"/>
                <w:szCs w:val="24"/>
              </w:rPr>
            </m:ctrlPr>
          </m:sSupPr>
          <m:e>
            <m:r>
              <w:rPr>
                <w:rFonts w:ascii="Cambria Math" w:eastAsia="Cambria Math" w:hAnsi="Cambria Math" w:cs="Times New Roman"/>
                <w:sz w:val="24"/>
                <w:szCs w:val="24"/>
              </w:rPr>
              <m:t>a</m:t>
            </m:r>
          </m:e>
          <m:sup>
            <m:r>
              <w:rPr>
                <w:rFonts w:ascii="Cambria Math" w:eastAsia="Cambria Math" w:hAnsi="Cambria Math" w:cs="Times New Roman"/>
                <w:sz w:val="24"/>
                <w:szCs w:val="24"/>
              </w:rPr>
              <m:t>'</m:t>
            </m:r>
          </m:sup>
        </m:sSup>
        <m:r>
          <w:rPr>
            <w:rFonts w:ascii="Cambria Math" w:eastAsia="Cambria Math" w:hAnsi="Cambria Math" w:cs="Times New Roman"/>
            <w:sz w:val="24"/>
            <w:szCs w:val="24"/>
          </w:rPr>
          <m:t>)-</m:t>
        </m:r>
        <m:sSup>
          <m:sSupPr>
            <m:ctrlPr>
              <w:rPr>
                <w:rFonts w:ascii="Cambria Math" w:eastAsia="Cambria Math" w:hAnsi="Cambria Math" w:cs="Times New Roman"/>
                <w:i/>
                <w:sz w:val="24"/>
                <w:szCs w:val="24"/>
              </w:rPr>
            </m:ctrlPr>
          </m:sSupPr>
          <m:e>
            <m:r>
              <w:rPr>
                <w:rFonts w:ascii="Cambria Math" w:eastAsia="Cambria Math" w:hAnsi="Cambria Math" w:cs="Times New Roman"/>
                <w:sz w:val="24"/>
                <w:szCs w:val="24"/>
              </w:rPr>
              <m:t>Q</m:t>
            </m:r>
          </m:e>
          <m:sup>
            <m:r>
              <w:rPr>
                <w:rFonts w:ascii="Cambria Math" w:eastAsia="Cambria Math" w:hAnsi="Cambria Math" w:cs="Times New Roman"/>
                <w:sz w:val="24"/>
                <w:szCs w:val="24"/>
              </w:rPr>
              <m:t>π</m:t>
            </m:r>
          </m:sup>
        </m:sSup>
        <m:r>
          <w:rPr>
            <w:rFonts w:ascii="Cambria Math" w:eastAsia="Cambria Math" w:hAnsi="Cambria Math" w:cs="Times New Roman"/>
            <w:sz w:val="24"/>
            <w:szCs w:val="24"/>
          </w:rPr>
          <m:t>(s,a))</m:t>
        </m:r>
      </m:oMath>
      <w:r w:rsidR="00FA0127" w:rsidRPr="004C51CC">
        <w:rPr>
          <w:rFonts w:ascii="Times New Roman" w:eastAsia="Times New Roman" w:hAnsi="Times New Roman" w:cs="Times New Roman"/>
          <w:sz w:val="24"/>
          <w:szCs w:val="24"/>
        </w:rPr>
        <w:t xml:space="preserve">         (1)</w:t>
      </w:r>
    </w:p>
    <w:p w14:paraId="7330C4C9"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 xml:space="preserve">With </w:t>
      </w:r>
      <m:oMath>
        <m:sSup>
          <m:sSupPr>
            <m:ctrlPr>
              <w:rPr>
                <w:rFonts w:ascii="Cambria Math" w:eastAsia="Cambria Math" w:hAnsi="Cambria Math" w:cs="Times New Roman"/>
                <w:i/>
                <w:sz w:val="24"/>
                <w:szCs w:val="24"/>
              </w:rPr>
            </m:ctrlPr>
          </m:sSupPr>
          <m:e>
            <m:r>
              <w:rPr>
                <w:rFonts w:ascii="Cambria Math" w:eastAsia="Cambria Math" w:hAnsi="Cambria Math" w:cs="Times New Roman"/>
                <w:sz w:val="24"/>
                <w:szCs w:val="24"/>
              </w:rPr>
              <m:t>Q</m:t>
            </m:r>
          </m:e>
          <m:sup>
            <m:r>
              <w:rPr>
                <w:rFonts w:ascii="Cambria Math" w:eastAsia="Cambria Math" w:hAnsi="Cambria Math" w:cs="Times New Roman"/>
                <w:sz w:val="24"/>
                <w:szCs w:val="24"/>
              </w:rPr>
              <m:t>π</m:t>
            </m:r>
          </m:sup>
        </m:sSup>
        <m:r>
          <w:rPr>
            <w:rFonts w:ascii="Cambria Math" w:eastAsia="Cambria Math" w:hAnsi="Cambria Math" w:cs="Times New Roman"/>
            <w:sz w:val="24"/>
            <w:szCs w:val="24"/>
          </w:rPr>
          <m:t>(s,a)</m:t>
        </m:r>
      </m:oMath>
      <w:r w:rsidRPr="004C51CC">
        <w:rPr>
          <w:rFonts w:ascii="Times New Roman" w:eastAsia="Times New Roman" w:hAnsi="Times New Roman" w:cs="Times New Roman"/>
          <w:sz w:val="24"/>
          <w:szCs w:val="24"/>
        </w:rPr>
        <w:t xml:space="preserve"> the current {state, action} tuple considered, </w:t>
      </w:r>
      <m:oMath>
        <m:sSup>
          <m:sSupPr>
            <m:ctrlPr>
              <w:rPr>
                <w:rFonts w:ascii="Cambria Math" w:eastAsia="Cambria Math" w:hAnsi="Cambria Math" w:cs="Times New Roman"/>
                <w:i/>
                <w:sz w:val="24"/>
                <w:szCs w:val="24"/>
              </w:rPr>
            </m:ctrlPr>
          </m:sSupPr>
          <m:e>
            <m:r>
              <w:rPr>
                <w:rFonts w:ascii="Cambria Math" w:eastAsia="Cambria Math" w:hAnsi="Cambria Math" w:cs="Times New Roman"/>
                <w:sz w:val="24"/>
                <w:szCs w:val="24"/>
              </w:rPr>
              <m:t>Q</m:t>
            </m:r>
          </m:e>
          <m:sup>
            <m:r>
              <w:rPr>
                <w:rFonts w:ascii="Cambria Math" w:eastAsia="Cambria Math" w:hAnsi="Cambria Math" w:cs="Times New Roman"/>
                <w:sz w:val="24"/>
                <w:szCs w:val="24"/>
              </w:rPr>
              <m:t>π</m:t>
            </m:r>
          </m:sup>
        </m:sSup>
        <m:r>
          <w:rPr>
            <w:rFonts w:ascii="Cambria Math" w:eastAsia="Cambria Math" w:hAnsi="Cambria Math" w:cs="Times New Roman"/>
            <w:sz w:val="24"/>
            <w:szCs w:val="24"/>
          </w:rPr>
          <m:t>(</m:t>
        </m:r>
        <m:sSup>
          <m:sSupPr>
            <m:ctrlPr>
              <w:rPr>
                <w:rFonts w:ascii="Cambria Math" w:eastAsia="Cambria Math" w:hAnsi="Cambria Math" w:cs="Times New Roman"/>
                <w:sz w:val="24"/>
                <w:szCs w:val="24"/>
              </w:rPr>
            </m:ctrlPr>
          </m:sSupPr>
          <m:e>
            <m:r>
              <w:rPr>
                <w:rFonts w:ascii="Cambria Math" w:eastAsia="Cambria Math" w:hAnsi="Cambria Math" w:cs="Times New Roman"/>
                <w:sz w:val="24"/>
                <w:szCs w:val="24"/>
              </w:rPr>
              <m:t>s</m:t>
            </m:r>
          </m:e>
          <m:sup>
            <m:r>
              <w:rPr>
                <w:rFonts w:ascii="Cambria Math" w:eastAsia="Cambria Math" w:hAnsi="Cambria Math" w:cs="Times New Roman"/>
                <w:sz w:val="24"/>
                <w:szCs w:val="24"/>
              </w:rPr>
              <m:t>'</m:t>
            </m:r>
          </m:sup>
        </m:sSup>
        <m:r>
          <w:rPr>
            <w:rFonts w:ascii="Cambria Math" w:eastAsia="Cambria Math" w:hAnsi="Cambria Math" w:cs="Times New Roman"/>
            <w:sz w:val="24"/>
            <w:szCs w:val="24"/>
          </w:rPr>
          <m:t>,</m:t>
        </m:r>
        <m:sSup>
          <m:sSupPr>
            <m:ctrlPr>
              <w:rPr>
                <w:rFonts w:ascii="Cambria Math" w:eastAsia="Cambria Math" w:hAnsi="Cambria Math" w:cs="Times New Roman"/>
                <w:sz w:val="24"/>
                <w:szCs w:val="24"/>
              </w:rPr>
            </m:ctrlPr>
          </m:sSupPr>
          <m:e>
            <m:r>
              <w:rPr>
                <w:rFonts w:ascii="Cambria Math" w:eastAsia="Cambria Math" w:hAnsi="Cambria Math" w:cs="Times New Roman"/>
                <w:sz w:val="24"/>
                <w:szCs w:val="24"/>
              </w:rPr>
              <m:t>a</m:t>
            </m:r>
          </m:e>
          <m:sup>
            <m:r>
              <w:rPr>
                <w:rFonts w:ascii="Cambria Math" w:eastAsia="Cambria Math" w:hAnsi="Cambria Math" w:cs="Times New Roman"/>
                <w:sz w:val="24"/>
                <w:szCs w:val="24"/>
              </w:rPr>
              <m:t>'</m:t>
            </m:r>
          </m:sup>
        </m:sSup>
        <m:r>
          <w:rPr>
            <w:rFonts w:ascii="Cambria Math" w:eastAsia="Cambria Math" w:hAnsi="Cambria Math" w:cs="Times New Roman"/>
            <w:sz w:val="24"/>
            <w:szCs w:val="24"/>
          </w:rPr>
          <m:t>)</m:t>
        </m:r>
      </m:oMath>
      <w:r w:rsidRPr="004C51CC">
        <w:rPr>
          <w:rFonts w:ascii="Times New Roman" w:eastAsia="Times New Roman" w:hAnsi="Times New Roman" w:cs="Times New Roman"/>
          <w:sz w:val="24"/>
          <w:szCs w:val="24"/>
        </w:rPr>
        <w:t xml:space="preserve"> the next {state, action} tuple, </w:t>
      </w:r>
      <w:proofErr w:type="gramStart"/>
      <w:r w:rsidRPr="004C51CC">
        <w:rPr>
          <w:rFonts w:ascii="Times New Roman" w:eastAsia="Times New Roman" w:hAnsi="Times New Roman" w:cs="Times New Roman"/>
          <w:sz w:val="24"/>
          <w:szCs w:val="24"/>
        </w:rPr>
        <w:t>α the</w:t>
      </w:r>
      <w:proofErr w:type="gramEnd"/>
      <w:r w:rsidRPr="004C51CC">
        <w:rPr>
          <w:rFonts w:ascii="Times New Roman" w:eastAsia="Times New Roman" w:hAnsi="Times New Roman" w:cs="Times New Roman"/>
          <w:sz w:val="24"/>
          <w:szCs w:val="24"/>
        </w:rPr>
        <w:t xml:space="preserve"> learning rate and </w:t>
      </w:r>
      <m:oMath>
        <m:r>
          <w:rPr>
            <w:rFonts w:ascii="Cambria Math" w:eastAsia="Cambria Math" w:hAnsi="Cambria Math" w:cs="Times New Roman"/>
            <w:sz w:val="24"/>
            <w:szCs w:val="24"/>
          </w:rPr>
          <m:t>r</m:t>
        </m:r>
      </m:oMath>
      <w:r w:rsidRPr="004C51CC">
        <w:rPr>
          <w:rFonts w:ascii="Times New Roman" w:eastAsia="Times New Roman" w:hAnsi="Times New Roman" w:cs="Times New Roman"/>
          <w:sz w:val="24"/>
          <w:szCs w:val="24"/>
        </w:rPr>
        <w:t xml:space="preserve"> the immediate reward.</w:t>
      </w:r>
    </w:p>
    <w:p w14:paraId="30FA39F9"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lastRenderedPageBreak/>
        <w:t>We stopped the evaluation after processing 500,000 patient trajectories with resampling, when the value of the estimated policy reached an asymptote.</w:t>
      </w:r>
    </w:p>
    <w:p w14:paraId="0A8ECF1D" w14:textId="77777777" w:rsidR="00FA0127" w:rsidRPr="004C51CC" w:rsidRDefault="00FA0127" w:rsidP="00FA0127">
      <w:pPr>
        <w:spacing w:before="100" w:beforeAutospacing="1" w:after="100" w:afterAutospacing="1" w:line="480" w:lineRule="auto"/>
        <w:rPr>
          <w:rFonts w:ascii="Times New Roman" w:hAnsi="Times New Roman" w:cs="Times New Roman"/>
        </w:rPr>
      </w:pPr>
    </w:p>
    <w:p w14:paraId="23AC5438" w14:textId="77777777" w:rsidR="00FA0127" w:rsidRPr="004C51CC" w:rsidRDefault="00FA0127" w:rsidP="00FA0127">
      <w:pPr>
        <w:keepNext/>
        <w:keepLines/>
        <w:spacing w:before="100" w:beforeAutospacing="1" w:after="100" w:afterAutospacing="1" w:line="480" w:lineRule="auto"/>
        <w:outlineLvl w:val="0"/>
        <w:rPr>
          <w:rFonts w:ascii="Times New Roman" w:hAnsi="Times New Roman" w:cs="Times New Roman"/>
          <w:b/>
          <w:color w:val="2E75B5"/>
          <w:sz w:val="32"/>
          <w:szCs w:val="32"/>
        </w:rPr>
      </w:pPr>
      <w:r w:rsidRPr="004C51CC">
        <w:rPr>
          <w:rFonts w:ascii="Times New Roman" w:hAnsi="Times New Roman" w:cs="Times New Roman"/>
          <w:b/>
          <w:color w:val="2E75B5"/>
          <w:sz w:val="32"/>
          <w:szCs w:val="32"/>
        </w:rPr>
        <w:t>Estimation of the AI policy</w:t>
      </w:r>
    </w:p>
    <w:p w14:paraId="2527A32A" w14:textId="4B6D7A18"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We learned a theoretical optimal policy (which we call the “AI” policy) for the MDP using in-place policy iteration, which identified the decisions that maximize the long-term sum of rewards, hence the expected survival of patients</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{"citationID":"hu4Iuhh3","properties":{"formattedCitation":"\\super 33\\nosupersub{}","plainCitation":"33","noteIndex":0},"citationItems":[{"id":3052,"uris":["http://zotero.org/users/858056/items/P4CCWXIX"],"uri":["http://zotero.org/users/858056/items/P4CCWXIX"],"itemData":{"id":3052,"type":"book","title":"Reinforcement Learning: An Introduction","publisher":"MIT Press","publisher-place":"Cambridge, Mass","number-of-pages":"444","edition":"2nd","event-place":"Cambridge, Mass","abstract":"Reinforcement learning, one of the most active research areas in                 artificial intelligence, is a computational approach to learning whereby an agent                 tries to maximize the total amount of reward it receives when interacting with a                 complex, uncertain environment. In Reinforcement Learning,                 Richard Sutton and Andrew Barto provide a clear and simple account of the key ideas                 and algorithms of reinforcement learning. Their discussion ranges from the history                 of the field's intellectual foundations to the most recent developments and                 applications. The only necessary mathematical background is familiarity with                 elementary concepts of probability.The book is divided into three                 parts. Part I defines the reinforcement learning problem in terms of Markov decision                 processes. Part II provides basic solution methods: dynamic programming, Monte Carlo                 methods, and temporal-difference learning. Part III presents a unified view of the                 solution methods and incorporates artificial neural networks, eligibility traces,                 and planning; the two final chapters present case studies and consider the future of                 reinforcement learning.","shortTitle":"Reinforcement Learning","language":"English","author":[{"family":"Sutton","given":"Richard S."},{"family":"Barto","given":"Andrew G."}],"issued":{"date-parts":[["2018",1,1]]}}}],"schema":"https://github.com/citation-style-language/schema/raw/master/csl-citation.json"}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33</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xml:space="preserve">. Policy iteration started with a random policy that was iteratively evaluated then improved until converging to an optimal solution. After convergence, the AI policy </w:t>
      </w:r>
      <m:oMath>
        <m:sSup>
          <m:sSupPr>
            <m:ctrlPr>
              <w:rPr>
                <w:rFonts w:ascii="Cambria Math" w:eastAsia="Cambria Math" w:hAnsi="Cambria Math" w:cs="Times New Roman"/>
                <w:sz w:val="24"/>
                <w:szCs w:val="24"/>
              </w:rPr>
            </m:ctrlPr>
          </m:sSupPr>
          <m:e>
            <m:r>
              <w:rPr>
                <w:rFonts w:ascii="Cambria Math" w:eastAsia="Cambria Math" w:hAnsi="Cambria Math" w:cs="Times New Roman"/>
                <w:sz w:val="24"/>
                <w:szCs w:val="24"/>
              </w:rPr>
              <m:t>π</m:t>
            </m:r>
          </m:e>
          <m:sup>
            <m:r>
              <w:rPr>
                <w:rFonts w:ascii="Cambria Math" w:eastAsia="Cambria Math" w:hAnsi="Cambria Math" w:cs="Times New Roman"/>
                <w:sz w:val="24"/>
                <w:szCs w:val="24"/>
              </w:rPr>
              <m:t>*</m:t>
            </m:r>
          </m:sup>
        </m:sSup>
        <m:r>
          <w:rPr>
            <w:rFonts w:ascii="Cambria Math" w:eastAsia="Cambria Math" w:hAnsi="Cambria Math" w:cs="Times New Roman"/>
            <w:sz w:val="24"/>
            <w:szCs w:val="24"/>
          </w:rPr>
          <m:t xml:space="preserve"> </m:t>
        </m:r>
      </m:oMath>
      <w:r w:rsidRPr="004C51CC">
        <w:rPr>
          <w:rFonts w:ascii="Times New Roman" w:eastAsia="Times New Roman" w:hAnsi="Times New Roman" w:cs="Times New Roman"/>
          <w:sz w:val="24"/>
          <w:szCs w:val="24"/>
        </w:rPr>
        <w:t>corresponded to the actions with the highest state-action value in each state:</w:t>
      </w:r>
    </w:p>
    <w:p w14:paraId="7CAB4C49" w14:textId="6835C5EC" w:rsidR="00FA0127" w:rsidRPr="004C51CC" w:rsidRDefault="000E52D6" w:rsidP="00FA0127">
      <w:pPr>
        <w:spacing w:before="100" w:beforeAutospacing="1" w:after="100" w:afterAutospacing="1" w:line="480" w:lineRule="auto"/>
        <w:jc w:val="center"/>
        <w:rPr>
          <w:rFonts w:ascii="Times New Roman" w:eastAsia="Times New Roman" w:hAnsi="Times New Roman" w:cs="Times New Roman"/>
          <w:sz w:val="24"/>
          <w:szCs w:val="24"/>
        </w:rPr>
      </w:pPr>
      <m:oMath>
        <m:sSup>
          <m:sSupPr>
            <m:ctrlPr>
              <w:rPr>
                <w:rFonts w:ascii="Cambria Math" w:eastAsia="Cambria Math" w:hAnsi="Cambria Math" w:cs="Times New Roman"/>
                <w:sz w:val="24"/>
                <w:szCs w:val="24"/>
              </w:rPr>
            </m:ctrlPr>
          </m:sSupPr>
          <m:e>
            <m:r>
              <w:rPr>
                <w:rFonts w:ascii="Cambria Math" w:eastAsia="Cambria Math" w:hAnsi="Cambria Math" w:cs="Times New Roman"/>
                <w:sz w:val="24"/>
                <w:szCs w:val="24"/>
              </w:rPr>
              <m:t>π</m:t>
            </m:r>
          </m:e>
          <m:sup>
            <m:r>
              <w:rPr>
                <w:rFonts w:ascii="Cambria Math" w:eastAsia="Cambria Math" w:hAnsi="Cambria Math" w:cs="Times New Roman"/>
                <w:sz w:val="24"/>
                <w:szCs w:val="24"/>
              </w:rPr>
              <m:t>*</m:t>
            </m:r>
          </m:sup>
        </m:sSup>
        <m:r>
          <w:rPr>
            <w:rFonts w:ascii="Cambria Math" w:hAnsi="Cambria Math" w:cs="Times New Roman"/>
            <w:sz w:val="24"/>
            <w:szCs w:val="24"/>
          </w:rPr>
          <m:t>(</m:t>
        </m:r>
        <m:r>
          <w:rPr>
            <w:rFonts w:ascii="Cambria Math" w:eastAsia="Cambria Math" w:hAnsi="Cambria Math" w:cs="Times New Roman"/>
            <w:sz w:val="24"/>
            <w:szCs w:val="24"/>
          </w:rPr>
          <m:t>s</m:t>
        </m:r>
        <m:r>
          <w:rPr>
            <w:rFonts w:ascii="Cambria Math" w:hAnsi="Cambria Math" w:cs="Times New Roman"/>
            <w:sz w:val="24"/>
            <w:szCs w:val="24"/>
          </w:rPr>
          <m:t>)</m:t>
        </m:r>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argmax</m:t>
            </m:r>
          </m:e>
          <m:sub>
            <m:r>
              <w:rPr>
                <w:rFonts w:ascii="Cambria Math" w:eastAsia="Cambria Math" w:hAnsi="Cambria Math" w:cs="Times New Roman"/>
                <w:sz w:val="24"/>
                <w:szCs w:val="24"/>
              </w:rPr>
              <m:t>a</m:t>
            </m:r>
          </m:sub>
        </m:sSub>
        <m:sSup>
          <m:sSupPr>
            <m:ctrlPr>
              <w:rPr>
                <w:rFonts w:ascii="Cambria Math" w:eastAsia="Cambria Math" w:hAnsi="Cambria Math" w:cs="Times New Roman"/>
                <w:sz w:val="24"/>
                <w:szCs w:val="24"/>
              </w:rPr>
            </m:ctrlPr>
          </m:sSupPr>
          <m:e>
            <m:r>
              <w:rPr>
                <w:rFonts w:ascii="Cambria Math" w:eastAsia="Cambria Math" w:hAnsi="Cambria Math" w:cs="Times New Roman"/>
                <w:sz w:val="24"/>
                <w:szCs w:val="24"/>
              </w:rPr>
              <m:t>Q</m:t>
            </m:r>
          </m:e>
          <m:sup>
            <m:sSup>
              <m:sSupPr>
                <m:ctrlPr>
                  <w:rPr>
                    <w:rFonts w:ascii="Cambria Math" w:eastAsia="Cambria Math" w:hAnsi="Cambria Math" w:cs="Times New Roman"/>
                    <w:sz w:val="24"/>
                    <w:szCs w:val="24"/>
                  </w:rPr>
                </m:ctrlPr>
              </m:sSupPr>
              <m:e>
                <m:r>
                  <w:rPr>
                    <w:rFonts w:ascii="Cambria Math" w:eastAsia="Cambria Math" w:hAnsi="Cambria Math" w:cs="Times New Roman"/>
                    <w:sz w:val="24"/>
                    <w:szCs w:val="24"/>
                  </w:rPr>
                  <m:t>π</m:t>
                </m:r>
              </m:e>
              <m:sup>
                <m:r>
                  <w:rPr>
                    <w:rFonts w:ascii="Cambria Math" w:eastAsia="Cambria Math" w:hAnsi="Cambria Math" w:cs="Times New Roman"/>
                    <w:sz w:val="24"/>
                    <w:szCs w:val="24"/>
                  </w:rPr>
                  <m:t>*</m:t>
                </m:r>
              </m:sup>
            </m:sSup>
          </m:sup>
        </m:sSup>
        <m:r>
          <w:rPr>
            <w:rFonts w:ascii="Cambria Math" w:hAnsi="Cambria Math" w:cs="Times New Roman"/>
            <w:sz w:val="24"/>
            <w:szCs w:val="24"/>
          </w:rPr>
          <m:t>(</m:t>
        </m:r>
        <m:r>
          <w:rPr>
            <w:rFonts w:ascii="Cambria Math" w:eastAsia="Cambria Math" w:hAnsi="Cambria Math" w:cs="Times New Roman"/>
            <w:sz w:val="24"/>
            <w:szCs w:val="24"/>
          </w:rPr>
          <m:t>s,a</m:t>
        </m:r>
        <m:r>
          <w:rPr>
            <w:rFonts w:ascii="Cambria Math" w:hAnsi="Cambria Math" w:cs="Times New Roman"/>
            <w:sz w:val="24"/>
            <w:szCs w:val="24"/>
          </w:rPr>
          <m:t>)</m:t>
        </m:r>
        <m:r>
          <w:rPr>
            <w:rFonts w:ascii="Cambria Math" w:eastAsia="Cambria Math" w:hAnsi="Cambria Math" w:cs="Times New Roman"/>
            <w:sz w:val="24"/>
            <w:szCs w:val="24"/>
          </w:rPr>
          <m:t xml:space="preserve"> ∀s</m:t>
        </m:r>
      </m:oMath>
      <w:r w:rsidR="00FA0127" w:rsidRPr="004C51CC">
        <w:rPr>
          <w:rFonts w:ascii="Times New Roman" w:eastAsia="Times New Roman" w:hAnsi="Times New Roman" w:cs="Times New Roman"/>
          <w:sz w:val="24"/>
          <w:szCs w:val="24"/>
        </w:rPr>
        <w:tab/>
        <w:t>(2)</w:t>
      </w:r>
    </w:p>
    <w:p w14:paraId="529A780A"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4C51CC">
        <w:rPr>
          <w:rFonts w:ascii="Times New Roman" w:eastAsia="Times New Roman" w:hAnsi="Times New Roman" w:cs="Times New Roman"/>
          <w:sz w:val="24"/>
          <w:szCs w:val="24"/>
        </w:rPr>
        <w:t xml:space="preserve">The value </w:t>
      </w:r>
      <m:oMath>
        <m:r>
          <w:rPr>
            <w:rFonts w:ascii="Cambria Math" w:eastAsia="Cambria Math" w:hAnsi="Cambria Math" w:cs="Times New Roman"/>
            <w:sz w:val="24"/>
            <w:szCs w:val="24"/>
          </w:rPr>
          <m:t xml:space="preserve">V </m:t>
        </m:r>
      </m:oMath>
      <w:r w:rsidRPr="004C51CC">
        <w:rPr>
          <w:rFonts w:ascii="Times New Roman" w:eastAsia="Times New Roman" w:hAnsi="Times New Roman" w:cs="Times New Roman"/>
          <w:sz w:val="24"/>
          <w:szCs w:val="24"/>
        </w:rPr>
        <w:t xml:space="preserve">of a policy π was computed using the Bellman equation for </w:t>
      </w:r>
      <m:oMath>
        <m:sSup>
          <m:sSupPr>
            <m:ctrlPr>
              <w:rPr>
                <w:rFonts w:ascii="Cambria Math" w:eastAsia="Cambria Math" w:hAnsi="Cambria Math" w:cs="Times New Roman"/>
                <w:sz w:val="24"/>
                <w:szCs w:val="24"/>
              </w:rPr>
            </m:ctrlPr>
          </m:sSupPr>
          <m:e>
            <m:r>
              <w:rPr>
                <w:rFonts w:ascii="Cambria Math" w:eastAsia="Cambria Math" w:hAnsi="Cambria Math" w:cs="Times New Roman"/>
                <w:sz w:val="24"/>
                <w:szCs w:val="24"/>
              </w:rPr>
              <m:t>V</m:t>
            </m:r>
          </m:e>
          <m:sup>
            <m:r>
              <w:rPr>
                <w:rFonts w:ascii="Cambria Math" w:eastAsia="Cambria Math" w:hAnsi="Cambria Math" w:cs="Times New Roman"/>
                <w:sz w:val="24"/>
                <w:szCs w:val="24"/>
              </w:rPr>
              <m:t>π</m:t>
            </m:r>
          </m:sup>
        </m:sSup>
      </m:oMath>
      <w:r w:rsidRPr="004C51CC">
        <w:rPr>
          <w:rFonts w:ascii="Times New Roman" w:eastAsia="Times New Roman" w:hAnsi="Times New Roman" w:cs="Times New Roman"/>
          <w:sz w:val="24"/>
          <w:szCs w:val="24"/>
        </w:rPr>
        <w:t xml:space="preserve"> and represented the expected return when </w:t>
      </w:r>
      <w:r w:rsidRPr="004C51CC">
        <w:rPr>
          <w:rFonts w:ascii="Times New Roman" w:eastAsia="Times New Roman" w:hAnsi="Times New Roman" w:cs="Times New Roman"/>
          <w:color w:val="000000" w:themeColor="text1"/>
          <w:sz w:val="24"/>
          <w:szCs w:val="24"/>
        </w:rPr>
        <w:t xml:space="preserve">starting in </w:t>
      </w:r>
      <m:oMath>
        <m:r>
          <w:rPr>
            <w:rFonts w:ascii="Cambria Math" w:eastAsia="Cambria Math" w:hAnsi="Cambria Math" w:cs="Times New Roman"/>
            <w:color w:val="000000" w:themeColor="text1"/>
            <w:sz w:val="24"/>
            <w:szCs w:val="24"/>
          </w:rPr>
          <m:t>s</m:t>
        </m:r>
      </m:oMath>
      <w:r w:rsidRPr="004C51CC">
        <w:rPr>
          <w:rFonts w:ascii="Times New Roman" w:eastAsia="Times New Roman" w:hAnsi="Times New Roman" w:cs="Times New Roman"/>
          <w:color w:val="000000" w:themeColor="text1"/>
          <w:sz w:val="24"/>
          <w:szCs w:val="24"/>
        </w:rPr>
        <w:t xml:space="preserve"> and following </w:t>
      </w:r>
      <m:oMath>
        <m:r>
          <w:rPr>
            <w:rFonts w:ascii="Cambria Math" w:eastAsia="Cambria Math" w:hAnsi="Cambria Math" w:cs="Times New Roman"/>
            <w:color w:val="000000" w:themeColor="text1"/>
            <w:sz w:val="24"/>
            <w:szCs w:val="24"/>
          </w:rPr>
          <m:t>π</m:t>
        </m:r>
      </m:oMath>
      <w:r w:rsidRPr="004C51CC">
        <w:rPr>
          <w:rFonts w:ascii="Times New Roman" w:eastAsia="Times New Roman" w:hAnsi="Times New Roman" w:cs="Times New Roman"/>
          <w:color w:val="000000" w:themeColor="text1"/>
          <w:sz w:val="24"/>
          <w:szCs w:val="24"/>
        </w:rPr>
        <w:t xml:space="preserve"> thereafter:</w:t>
      </w:r>
    </w:p>
    <w:p w14:paraId="0AFC0AA7" w14:textId="77777777" w:rsidR="00FA0127" w:rsidRPr="004C51CC" w:rsidRDefault="000E52D6" w:rsidP="00FA0127">
      <w:pPr>
        <w:spacing w:before="100" w:beforeAutospacing="1" w:after="100" w:afterAutospacing="1" w:line="480" w:lineRule="auto"/>
        <w:jc w:val="center"/>
        <w:rPr>
          <w:rFonts w:ascii="Times New Roman" w:eastAsiaTheme="minorEastAsia" w:hAnsi="Times New Roman" w:cs="Times New Roman"/>
          <w:color w:val="000000" w:themeColor="text1"/>
          <w:sz w:val="24"/>
          <w:szCs w:val="24"/>
          <w:lang w:val="en-US"/>
        </w:rPr>
      </w:pPr>
      <m:oMath>
        <m:sSup>
          <m:sSupPr>
            <m:ctrlPr>
              <w:rPr>
                <w:rFonts w:ascii="Cambria Math" w:eastAsiaTheme="minorEastAsia" w:hAnsi="Cambria Math" w:cs="Times New Roman"/>
                <w:i/>
                <w:color w:val="000000" w:themeColor="text1"/>
                <w:sz w:val="24"/>
                <w:szCs w:val="24"/>
                <w:lang w:val="en-US"/>
              </w:rPr>
            </m:ctrlPr>
          </m:sSupPr>
          <m:e>
            <m:r>
              <w:rPr>
                <w:rFonts w:ascii="Cambria Math" w:eastAsiaTheme="minorEastAsia" w:hAnsi="Cambria Math" w:cs="Times New Roman"/>
                <w:color w:val="000000" w:themeColor="text1"/>
                <w:sz w:val="24"/>
                <w:szCs w:val="24"/>
                <w:lang w:val="en-US"/>
              </w:rPr>
              <m:t>V</m:t>
            </m:r>
          </m:e>
          <m:sup>
            <m:r>
              <w:rPr>
                <w:rFonts w:ascii="Cambria Math" w:eastAsiaTheme="minorEastAsia" w:hAnsi="Cambria Math" w:cs="Times New Roman"/>
                <w:color w:val="000000" w:themeColor="text1"/>
                <w:sz w:val="24"/>
                <w:szCs w:val="24"/>
                <w:lang w:val="en-US"/>
              </w:rPr>
              <m:t>π</m:t>
            </m:r>
          </m:sup>
        </m:sSup>
        <m:d>
          <m:dPr>
            <m:ctrlPr>
              <w:rPr>
                <w:rFonts w:ascii="Cambria Math" w:eastAsiaTheme="minorEastAsia" w:hAnsi="Cambria Math" w:cs="Times New Roman"/>
                <w:i/>
                <w:color w:val="000000" w:themeColor="text1"/>
                <w:sz w:val="24"/>
                <w:szCs w:val="24"/>
                <w:lang w:val="en-US"/>
              </w:rPr>
            </m:ctrlPr>
          </m:dPr>
          <m:e>
            <m:r>
              <w:rPr>
                <w:rFonts w:ascii="Cambria Math" w:eastAsiaTheme="minorEastAsia" w:hAnsi="Cambria Math" w:cs="Times New Roman"/>
                <w:color w:val="000000" w:themeColor="text1"/>
                <w:sz w:val="24"/>
                <w:szCs w:val="24"/>
                <w:lang w:val="en-US"/>
              </w:rPr>
              <m:t>s</m:t>
            </m:r>
          </m:e>
        </m:d>
        <m:r>
          <w:rPr>
            <w:rFonts w:ascii="Cambria Math" w:eastAsiaTheme="minorEastAsia" w:hAnsi="Cambria Math" w:cs="Times New Roman"/>
            <w:color w:val="000000" w:themeColor="text1"/>
            <w:sz w:val="24"/>
            <w:szCs w:val="24"/>
            <w:lang w:val="en-US"/>
          </w:rPr>
          <m:t>=</m:t>
        </m:r>
        <m:nary>
          <m:naryPr>
            <m:chr m:val="∑"/>
            <m:limLoc m:val="undOvr"/>
            <m:grow m:val="1"/>
            <m:supHide m:val="1"/>
            <m:ctrlPr>
              <w:rPr>
                <w:rFonts w:ascii="Cambria Math" w:eastAsiaTheme="minorEastAsia" w:hAnsi="Cambria Math" w:cs="Times New Roman"/>
                <w:i/>
                <w:color w:val="000000" w:themeColor="text1"/>
                <w:sz w:val="24"/>
                <w:szCs w:val="24"/>
                <w:lang w:val="en-US"/>
              </w:rPr>
            </m:ctrlPr>
          </m:naryPr>
          <m:sub>
            <m:r>
              <w:rPr>
                <w:rFonts w:ascii="Cambria Math" w:eastAsiaTheme="minorEastAsia" w:hAnsi="Cambria Math" w:cs="Times New Roman"/>
                <w:color w:val="000000" w:themeColor="text1"/>
                <w:sz w:val="24"/>
                <w:szCs w:val="24"/>
                <w:lang w:val="en-US"/>
              </w:rPr>
              <m:t>a</m:t>
            </m:r>
          </m:sub>
          <m:sup/>
          <m:e>
            <m:r>
              <w:rPr>
                <w:rFonts w:ascii="Cambria Math" w:eastAsiaTheme="minorEastAsia" w:hAnsi="Cambria Math" w:cs="Times New Roman"/>
                <w:color w:val="000000" w:themeColor="text1"/>
                <w:sz w:val="24"/>
                <w:szCs w:val="24"/>
                <w:lang w:val="en-US"/>
              </w:rPr>
              <m:t>π</m:t>
            </m:r>
            <m:d>
              <m:dPr>
                <m:ctrlPr>
                  <w:rPr>
                    <w:rFonts w:ascii="Cambria Math" w:eastAsiaTheme="minorEastAsia" w:hAnsi="Cambria Math" w:cs="Times New Roman"/>
                    <w:i/>
                    <w:color w:val="000000" w:themeColor="text1"/>
                    <w:sz w:val="24"/>
                    <w:szCs w:val="24"/>
                    <w:lang w:val="en-US"/>
                  </w:rPr>
                </m:ctrlPr>
              </m:dPr>
              <m:e>
                <m:r>
                  <w:rPr>
                    <w:rFonts w:ascii="Cambria Math" w:eastAsiaTheme="minorEastAsia" w:hAnsi="Cambria Math" w:cs="Times New Roman"/>
                    <w:color w:val="000000" w:themeColor="text1"/>
                    <w:sz w:val="24"/>
                    <w:szCs w:val="24"/>
                    <w:lang w:val="en-US"/>
                  </w:rPr>
                  <m:t>s,a</m:t>
                </m:r>
              </m:e>
            </m:d>
          </m:e>
        </m:nary>
        <m:nary>
          <m:naryPr>
            <m:chr m:val="∑"/>
            <m:limLoc m:val="undOvr"/>
            <m:grow m:val="1"/>
            <m:supHide m:val="1"/>
            <m:ctrlPr>
              <w:rPr>
                <w:rFonts w:ascii="Cambria Math" w:eastAsiaTheme="minorEastAsia" w:hAnsi="Cambria Math" w:cs="Times New Roman"/>
                <w:i/>
                <w:color w:val="000000" w:themeColor="text1"/>
                <w:sz w:val="24"/>
                <w:szCs w:val="24"/>
                <w:lang w:val="en-US"/>
              </w:rPr>
            </m:ctrlPr>
          </m:naryPr>
          <m:sub>
            <m:sSup>
              <m:sSupPr>
                <m:ctrlPr>
                  <w:rPr>
                    <w:rFonts w:ascii="Cambria Math" w:eastAsiaTheme="minorEastAsia" w:hAnsi="Cambria Math" w:cs="Times New Roman"/>
                    <w:i/>
                    <w:color w:val="000000" w:themeColor="text1"/>
                    <w:sz w:val="24"/>
                    <w:szCs w:val="24"/>
                    <w:lang w:val="en-US"/>
                  </w:rPr>
                </m:ctrlPr>
              </m:sSupPr>
              <m:e>
                <m:r>
                  <w:rPr>
                    <w:rFonts w:ascii="Cambria Math" w:eastAsiaTheme="minorEastAsia" w:hAnsi="Cambria Math" w:cs="Times New Roman"/>
                    <w:color w:val="000000" w:themeColor="text1"/>
                    <w:sz w:val="24"/>
                    <w:szCs w:val="24"/>
                    <w:lang w:val="en-US"/>
                  </w:rPr>
                  <m:t>s</m:t>
                </m:r>
              </m:e>
              <m:sup>
                <m:r>
                  <w:rPr>
                    <w:rFonts w:ascii="Cambria Math" w:eastAsiaTheme="minorEastAsia" w:hAnsi="Cambria Math" w:cs="Times New Roman"/>
                    <w:color w:val="000000" w:themeColor="text1"/>
                    <w:sz w:val="24"/>
                    <w:szCs w:val="24"/>
                    <w:lang w:val="en-US"/>
                  </w:rPr>
                  <m:t>'</m:t>
                </m:r>
              </m:sup>
            </m:sSup>
          </m:sub>
          <m:sup/>
          <m:e>
            <m:r>
              <w:rPr>
                <w:rFonts w:ascii="Cambria Math" w:eastAsiaTheme="minorEastAsia" w:hAnsi="Cambria Math" w:cs="Times New Roman"/>
                <w:color w:val="000000" w:themeColor="text1"/>
                <w:sz w:val="24"/>
                <w:szCs w:val="24"/>
                <w:lang w:val="en-US"/>
              </w:rPr>
              <m:t>T</m:t>
            </m:r>
            <m:d>
              <m:dPr>
                <m:ctrlPr>
                  <w:rPr>
                    <w:rFonts w:ascii="Cambria Math" w:eastAsiaTheme="minorEastAsia" w:hAnsi="Cambria Math" w:cs="Times New Roman"/>
                    <w:i/>
                    <w:color w:val="000000" w:themeColor="text1"/>
                    <w:sz w:val="24"/>
                    <w:szCs w:val="24"/>
                    <w:lang w:val="en-US"/>
                  </w:rPr>
                </m:ctrlPr>
              </m:dPr>
              <m:e>
                <m:sSup>
                  <m:sSupPr>
                    <m:ctrlPr>
                      <w:rPr>
                        <w:rFonts w:ascii="Cambria Math" w:eastAsiaTheme="minorEastAsia" w:hAnsi="Cambria Math" w:cs="Times New Roman"/>
                        <w:i/>
                        <w:color w:val="000000" w:themeColor="text1"/>
                        <w:sz w:val="24"/>
                        <w:szCs w:val="24"/>
                        <w:lang w:val="en-US"/>
                      </w:rPr>
                    </m:ctrlPr>
                  </m:sSupPr>
                  <m:e>
                    <m:r>
                      <w:rPr>
                        <w:rFonts w:ascii="Cambria Math" w:eastAsiaTheme="minorEastAsia" w:hAnsi="Cambria Math" w:cs="Times New Roman"/>
                        <w:color w:val="000000" w:themeColor="text1"/>
                        <w:sz w:val="24"/>
                        <w:szCs w:val="24"/>
                        <w:lang w:val="en-US"/>
                      </w:rPr>
                      <m:t>s</m:t>
                    </m:r>
                  </m:e>
                  <m:sup>
                    <m:r>
                      <w:rPr>
                        <w:rFonts w:ascii="Cambria Math" w:eastAsiaTheme="minorEastAsia" w:hAnsi="Cambria Math" w:cs="Times New Roman"/>
                        <w:color w:val="000000" w:themeColor="text1"/>
                        <w:sz w:val="24"/>
                        <w:szCs w:val="24"/>
                        <w:lang w:val="en-US"/>
                      </w:rPr>
                      <m:t>'</m:t>
                    </m:r>
                  </m:sup>
                </m:sSup>
                <m:r>
                  <w:rPr>
                    <w:rFonts w:ascii="Cambria Math" w:eastAsiaTheme="minorEastAsia" w:hAnsi="Cambria Math" w:cs="Times New Roman"/>
                    <w:color w:val="000000" w:themeColor="text1"/>
                    <w:sz w:val="24"/>
                    <w:szCs w:val="24"/>
                    <w:lang w:val="en-US"/>
                  </w:rPr>
                  <m:t>,s,a</m:t>
                </m:r>
              </m:e>
            </m:d>
            <m:d>
              <m:dPr>
                <m:begChr m:val="["/>
                <m:endChr m:val="]"/>
                <m:ctrlPr>
                  <w:rPr>
                    <w:rFonts w:ascii="Cambria Math" w:eastAsiaTheme="minorEastAsia" w:hAnsi="Cambria Math" w:cs="Times New Roman"/>
                    <w:i/>
                    <w:color w:val="000000" w:themeColor="text1"/>
                    <w:sz w:val="24"/>
                    <w:szCs w:val="24"/>
                    <w:lang w:val="en-US"/>
                  </w:rPr>
                </m:ctrlPr>
              </m:dPr>
              <m:e>
                <m:r>
                  <w:rPr>
                    <w:rFonts w:ascii="Cambria Math" w:eastAsiaTheme="minorEastAsia" w:hAnsi="Cambria Math" w:cs="Times New Roman"/>
                    <w:color w:val="000000" w:themeColor="text1"/>
                    <w:sz w:val="24"/>
                    <w:szCs w:val="24"/>
                    <w:lang w:val="en-US"/>
                  </w:rPr>
                  <m:t>R</m:t>
                </m:r>
                <m:d>
                  <m:dPr>
                    <m:ctrlPr>
                      <w:rPr>
                        <w:rFonts w:ascii="Cambria Math" w:eastAsiaTheme="minorEastAsia" w:hAnsi="Cambria Math" w:cs="Times New Roman"/>
                        <w:i/>
                        <w:color w:val="000000" w:themeColor="text1"/>
                        <w:sz w:val="24"/>
                        <w:szCs w:val="24"/>
                        <w:lang w:val="en-US"/>
                      </w:rPr>
                    </m:ctrlPr>
                  </m:dPr>
                  <m:e>
                    <m:sSup>
                      <m:sSupPr>
                        <m:ctrlPr>
                          <w:rPr>
                            <w:rFonts w:ascii="Cambria Math" w:eastAsiaTheme="minorEastAsia" w:hAnsi="Cambria Math" w:cs="Times New Roman"/>
                            <w:i/>
                            <w:color w:val="000000" w:themeColor="text1"/>
                            <w:sz w:val="24"/>
                            <w:szCs w:val="24"/>
                            <w:lang w:val="en-US"/>
                          </w:rPr>
                        </m:ctrlPr>
                      </m:sSupPr>
                      <m:e>
                        <m:r>
                          <w:rPr>
                            <w:rFonts w:ascii="Cambria Math" w:eastAsiaTheme="minorEastAsia" w:hAnsi="Cambria Math" w:cs="Times New Roman"/>
                            <w:color w:val="000000" w:themeColor="text1"/>
                            <w:sz w:val="24"/>
                            <w:szCs w:val="24"/>
                            <w:lang w:val="en-US"/>
                          </w:rPr>
                          <m:t>s</m:t>
                        </m:r>
                      </m:e>
                      <m:sup>
                        <m:r>
                          <w:rPr>
                            <w:rFonts w:ascii="Cambria Math" w:eastAsiaTheme="minorEastAsia" w:hAnsi="Cambria Math" w:cs="Times New Roman"/>
                            <w:color w:val="000000" w:themeColor="text1"/>
                            <w:sz w:val="24"/>
                            <w:szCs w:val="24"/>
                            <w:lang w:val="en-US"/>
                          </w:rPr>
                          <m:t>'</m:t>
                        </m:r>
                      </m:sup>
                    </m:sSup>
                  </m:e>
                </m:d>
                <m:r>
                  <w:rPr>
                    <w:rFonts w:ascii="Cambria Math" w:eastAsiaTheme="minorEastAsia" w:hAnsi="Cambria Math" w:cs="Times New Roman"/>
                    <w:color w:val="000000" w:themeColor="text1"/>
                    <w:sz w:val="24"/>
                    <w:szCs w:val="24"/>
                    <w:lang w:val="en-US"/>
                  </w:rPr>
                  <m:t>+γ</m:t>
                </m:r>
                <m:sSup>
                  <m:sSupPr>
                    <m:ctrlPr>
                      <w:rPr>
                        <w:rFonts w:ascii="Cambria Math" w:eastAsiaTheme="minorEastAsia" w:hAnsi="Cambria Math" w:cs="Times New Roman"/>
                        <w:i/>
                        <w:color w:val="000000" w:themeColor="text1"/>
                        <w:sz w:val="24"/>
                        <w:szCs w:val="24"/>
                        <w:lang w:val="en-US"/>
                      </w:rPr>
                    </m:ctrlPr>
                  </m:sSupPr>
                  <m:e>
                    <m:r>
                      <w:rPr>
                        <w:rFonts w:ascii="Cambria Math" w:eastAsiaTheme="minorEastAsia" w:hAnsi="Cambria Math" w:cs="Times New Roman"/>
                        <w:color w:val="000000" w:themeColor="text1"/>
                        <w:sz w:val="24"/>
                        <w:szCs w:val="24"/>
                        <w:lang w:val="en-US"/>
                      </w:rPr>
                      <m:t>V</m:t>
                    </m:r>
                  </m:e>
                  <m:sup>
                    <m:r>
                      <w:rPr>
                        <w:rFonts w:ascii="Cambria Math" w:eastAsiaTheme="minorEastAsia" w:hAnsi="Cambria Math" w:cs="Times New Roman"/>
                        <w:color w:val="000000" w:themeColor="text1"/>
                        <w:sz w:val="24"/>
                        <w:szCs w:val="24"/>
                        <w:lang w:val="en-US"/>
                      </w:rPr>
                      <m:t>π</m:t>
                    </m:r>
                  </m:sup>
                </m:sSup>
                <m:r>
                  <w:rPr>
                    <w:rFonts w:ascii="Cambria Math" w:eastAsiaTheme="minorEastAsia" w:hAnsi="Cambria Math" w:cs="Times New Roman"/>
                    <w:color w:val="000000" w:themeColor="text1"/>
                    <w:sz w:val="24"/>
                    <w:szCs w:val="24"/>
                    <w:lang w:val="en-US"/>
                  </w:rPr>
                  <m:t>(</m:t>
                </m:r>
                <m:sSup>
                  <m:sSupPr>
                    <m:ctrlPr>
                      <w:rPr>
                        <w:rFonts w:ascii="Cambria Math" w:eastAsiaTheme="minorEastAsia" w:hAnsi="Cambria Math" w:cs="Times New Roman"/>
                        <w:i/>
                        <w:color w:val="000000" w:themeColor="text1"/>
                        <w:sz w:val="24"/>
                        <w:szCs w:val="24"/>
                        <w:lang w:val="en-US"/>
                      </w:rPr>
                    </m:ctrlPr>
                  </m:sSupPr>
                  <m:e>
                    <m:r>
                      <w:rPr>
                        <w:rFonts w:ascii="Cambria Math" w:eastAsiaTheme="minorEastAsia" w:hAnsi="Cambria Math" w:cs="Times New Roman"/>
                        <w:color w:val="000000" w:themeColor="text1"/>
                        <w:sz w:val="24"/>
                        <w:szCs w:val="24"/>
                        <w:lang w:val="en-US"/>
                      </w:rPr>
                      <m:t>s</m:t>
                    </m:r>
                  </m:e>
                  <m:sup>
                    <m:r>
                      <w:rPr>
                        <w:rFonts w:ascii="Cambria Math" w:eastAsiaTheme="minorEastAsia" w:hAnsi="Cambria Math" w:cs="Times New Roman"/>
                        <w:color w:val="000000" w:themeColor="text1"/>
                        <w:sz w:val="24"/>
                        <w:szCs w:val="24"/>
                        <w:lang w:val="en-US"/>
                      </w:rPr>
                      <m:t>'</m:t>
                    </m:r>
                  </m:sup>
                </m:sSup>
                <m:r>
                  <w:rPr>
                    <w:rFonts w:ascii="Cambria Math" w:eastAsiaTheme="minorEastAsia" w:hAnsi="Cambria Math" w:cs="Times New Roman"/>
                    <w:color w:val="000000" w:themeColor="text1"/>
                    <w:sz w:val="24"/>
                    <w:szCs w:val="24"/>
                    <w:lang w:val="en-US"/>
                  </w:rPr>
                  <m:t>)</m:t>
                </m:r>
              </m:e>
            </m:d>
          </m:e>
        </m:nary>
      </m:oMath>
      <w:r w:rsidR="00FA0127" w:rsidRPr="004C51CC">
        <w:rPr>
          <w:rFonts w:ascii="Times New Roman" w:eastAsiaTheme="minorEastAsia" w:hAnsi="Times New Roman" w:cs="Times New Roman"/>
          <w:color w:val="000000" w:themeColor="text1"/>
          <w:sz w:val="24"/>
          <w:szCs w:val="24"/>
          <w:lang w:val="en-US"/>
        </w:rPr>
        <w:t xml:space="preserve"> </w:t>
      </w:r>
      <w:r w:rsidR="00FA0127" w:rsidRPr="004C51CC">
        <w:rPr>
          <w:rFonts w:ascii="Times New Roman" w:eastAsiaTheme="minorEastAsia" w:hAnsi="Times New Roman" w:cs="Times New Roman"/>
          <w:color w:val="000000" w:themeColor="text1"/>
          <w:sz w:val="24"/>
          <w:szCs w:val="24"/>
          <w:lang w:val="en-US"/>
        </w:rPr>
        <w:tab/>
      </w:r>
      <w:r w:rsidR="00FA0127" w:rsidRPr="004C51CC">
        <w:rPr>
          <w:rFonts w:ascii="Times New Roman" w:eastAsiaTheme="minorEastAsia" w:hAnsi="Times New Roman" w:cs="Times New Roman"/>
          <w:color w:val="000000" w:themeColor="text1"/>
          <w:sz w:val="24"/>
          <w:szCs w:val="24"/>
          <w:lang w:val="en-US"/>
        </w:rPr>
        <w:tab/>
        <w:t>(3)</w:t>
      </w:r>
    </w:p>
    <w:p w14:paraId="0231552E" w14:textId="0BDEE98D"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Because 90-day mortality was not available in the eRI, hospital mortality was used as the outcome of interest. We verified first that the model performed well in the MIMIC-III database, when training the model using hospital mortality (Supplementary Figure 3) and 90-day mortality (data not shown). This sanity check supported the extension of the framework into the eRI data.</w:t>
      </w:r>
    </w:p>
    <w:p w14:paraId="399D7524"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sz w:val="24"/>
          <w:szCs w:val="24"/>
        </w:rPr>
      </w:pPr>
    </w:p>
    <w:p w14:paraId="68A3BF18" w14:textId="77777777" w:rsidR="00FA0127" w:rsidRPr="004C51CC" w:rsidRDefault="00FA0127" w:rsidP="00FA0127">
      <w:pPr>
        <w:keepNext/>
        <w:keepLines/>
        <w:spacing w:before="100" w:beforeAutospacing="1" w:after="100" w:afterAutospacing="1" w:line="480" w:lineRule="auto"/>
        <w:outlineLvl w:val="0"/>
        <w:rPr>
          <w:rFonts w:ascii="Times New Roman" w:eastAsia="Times New Roman" w:hAnsi="Times New Roman" w:cs="Times New Roman"/>
          <w:b/>
          <w:color w:val="2E75B5"/>
          <w:sz w:val="32"/>
          <w:szCs w:val="32"/>
        </w:rPr>
      </w:pPr>
      <w:r w:rsidRPr="004C51CC">
        <w:rPr>
          <w:rFonts w:ascii="Times New Roman" w:eastAsia="Times New Roman" w:hAnsi="Times New Roman" w:cs="Times New Roman"/>
          <w:b/>
          <w:color w:val="2E75B5"/>
          <w:sz w:val="32"/>
          <w:szCs w:val="32"/>
        </w:rPr>
        <w:lastRenderedPageBreak/>
        <w:t>Model evaluation</w:t>
      </w:r>
    </w:p>
    <w:p w14:paraId="2FE0F484" w14:textId="6C45C35F" w:rsidR="006D31CE" w:rsidRDefault="00FA0127" w:rsidP="00310C87">
      <w:pPr>
        <w:pBdr>
          <w:top w:val="none" w:sz="0" w:space="0" w:color="auto"/>
          <w:left w:val="none" w:sz="0" w:space="0" w:color="auto"/>
          <w:bottom w:val="none" w:sz="0" w:space="0" w:color="auto"/>
          <w:right w:val="none" w:sz="0" w:space="0" w:color="auto"/>
          <w:between w:val="none" w:sz="0" w:space="0" w:color="auto"/>
        </w:pBdr>
        <w:tabs>
          <w:tab w:val="left" w:pos="8220"/>
        </w:tabs>
        <w:autoSpaceDE w:val="0"/>
        <w:autoSpaceDN w:val="0"/>
        <w:adjustRightInd w:val="0"/>
        <w:spacing w:before="100" w:beforeAutospacing="1" w:after="100" w:afterAutospacing="1" w:line="480" w:lineRule="auto"/>
        <w:jc w:val="both"/>
        <w:rPr>
          <w:rFonts w:ascii="Times New Roman" w:eastAsia="Times New Roman" w:hAnsi="Times New Roman" w:cs="Times New Roman"/>
          <w:color w:val="auto"/>
          <w:sz w:val="24"/>
          <w:szCs w:val="24"/>
        </w:rPr>
      </w:pPr>
      <w:r w:rsidRPr="004C51CC">
        <w:rPr>
          <w:rFonts w:ascii="Times New Roman" w:hAnsi="Times New Roman" w:cs="Times New Roman"/>
          <w:sz w:val="24"/>
          <w:szCs w:val="24"/>
        </w:rPr>
        <w:t>Our objective is to evaluate the value of a newly learnt AI policy using trajectories of patients generated by another policy (the clinicians’)</w:t>
      </w:r>
      <w:r w:rsidRPr="004C51CC">
        <w:rPr>
          <w:rFonts w:ascii="Times New Roman" w:eastAsia="Times New Roman" w:hAnsi="Times New Roman" w:cs="Times New Roman"/>
          <w:color w:val="auto"/>
          <w:sz w:val="24"/>
          <w:szCs w:val="24"/>
        </w:rPr>
        <w:fldChar w:fldCharType="begin"/>
      </w:r>
      <w:r w:rsidRPr="004C51CC">
        <w:rPr>
          <w:rFonts w:ascii="Times New Roman" w:eastAsia="Times New Roman" w:hAnsi="Times New Roman" w:cs="Times New Roman"/>
          <w:color w:val="auto"/>
          <w:sz w:val="24"/>
          <w:szCs w:val="24"/>
        </w:rPr>
        <w:instrText xml:space="preserve"> ADDIN ZOTERO_ITEM CSL_CITATION {"citationID":"oHESXXOS","properties":{"formattedCitation":"\\super 19\\uc0\\u8211{}21\\nosupersub{}","plainCitation":"19–21","noteIndex":0},"citationItems":[{"id":3039,"uris":["http://zotero.org/users/858056/items/DCAM5DZB"],"uri":["http://zotero.org/users/858056/items/DCAM5DZB"],"itemData":{"id":3039,"type":"paper-conference","title":"High-Confidence Off-Policy Evaluation","container-title":"Twenty-Ninth AAAI Conference on Artificial Intelligence","source":"www.aaai.org","event":"Twenty-Ninth AAAI Conference on Artificial Intelligence","abstract":"Many reinforcement learning algorithms use trajectories collected from the execution of one or more policies to propose a new policy. Because execution of a bad policy can be costly or dangerous, techniques for evaluating the performance of the new policy without requiring its execution have been of recent interest in industry. Such off-policy evaluation methods, which estimate the performance of a policy using trajectories collected from the execution of other policies, heretofore have not provided confidences regarding the accuracy of their estimates. In this paper we propose an off-policy method for computing a lower confidence bound on the expected return of a policy.","URL":"https://www.aaai.org/ocs/index.php/AAAI/AAAI15/paper/view/10042","language":"en","author":[{"family":"Thomas","given":"Philip S."},{"family":"Theocharous","given":"Georgios"},{"family":"Ghavamzadeh","given":"Mohammad"}],"issued":{"date-parts":[["2015",2,21]]},"accessed":{"date-parts":[["2018",2,14]]}}},{"id":3032,"uris":["http://zotero.org/users/858056/items/XPD8WXQW"],"uri":["http://zotero.org/users/858056/items/XPD8WXQW"],"itemData":{"id":3032,"type":"article-journal","title":"Bootstrapping with Models: Confidence Intervals for Off-Policy Evaluation","container-title":"arXiv:1606.06126 [cs, stat]","source":"arXiv.org","abstract":"For an autonomous agent, executing a poor policy may be costly or even dangerous. For such agents, it is desirable to determine confidence interval lower bounds on the performance of any given policy without executing said policy. Current methods for exact high confidence off-policy evaluation that use importance sampling require a substantial amount of data to achieve a tight lower bound. Existing model-based methods only address the problem in discrete state spaces. Since exact bounds are intractable for many domains we trade off strict guarantees of safety for more data-efficient approximate bounds. In this context, we propose two bootstrapping off-policy evaluation methods which use learned MDP transition models in order to estimate lower confidence bounds on policy performance with limited data in both continuous and discrete state spaces. Since direct use of a model may introduce bias, we derive a theoretical upper bound on model bias for when the model transition function is estimated with i.i.d. trajectories. This bound broadens our understanding of the conditions under which model-based methods have high bias. Finally, we empirically evaluate our proposed methods and analyze the settings in which different bootstrapping off-policy confidence interval methods succeed and fail.","URL":"http://arxiv.org/abs/1606.06126","note":"arXiv: 1606.06126","shortTitle":"Bootstrapping with Models","author":[{"family":"Hanna","given":"Josiah P."},{"family":"Stone","given":"Peter"},{"family":"Niekum","given":"Scott"}],"issued":{"date-parts":[["2016",6,20]]},"accessed":{"date-parts":[["2018",2,14]]}}},{"id":3036,"uris":["http://zotero.org/users/858056/items/47K5FTBV"],"uri":["http://zotero.org/users/858056/items/47K5FTBV"],"itemData":{"id":3036,"type":"paper-conference","title":"High Confidence Policy Improvement","container-title":"PMLR","page":"2380-2388","source":"proceedings.mlr.press","event":"International Conference on Machine Learning","abstract":"We present a batch reinforcement learning (RL) algorithm that provides probabilistic guarantees about the quality of each policy that it proposes, and which has no hyper-parameter that requires exp...","URL":"http://proceedings.mlr.press/v37/thomas15.html","language":"en","author":[{"family":"Thomas","given":"Philip"},{"family":"Theocharous","given":"Georgios"},{"family":"Ghavamzadeh","given":"Mohammad"}],"issued":{"date-parts":[["2015",6,1]]},"accessed":{"date-parts":[["2018",2,14]]}}}],"schema":"https://github.com/citation-style-language/schema/raw/master/csl-citation.json"} </w:instrText>
      </w:r>
      <w:r w:rsidRPr="004C51CC">
        <w:rPr>
          <w:rFonts w:ascii="Times New Roman" w:eastAsia="Times New Roman" w:hAnsi="Times New Roman" w:cs="Times New Roman"/>
          <w:color w:val="auto"/>
          <w:sz w:val="24"/>
          <w:szCs w:val="24"/>
        </w:rPr>
        <w:fldChar w:fldCharType="separate"/>
      </w:r>
      <w:r w:rsidRPr="004C51CC">
        <w:rPr>
          <w:rFonts w:ascii="Times New Roman" w:hAnsi="Times New Roman" w:cs="Times New Roman"/>
          <w:sz w:val="24"/>
          <w:szCs w:val="24"/>
          <w:vertAlign w:val="superscript"/>
        </w:rPr>
        <w:t>19–21</w:t>
      </w:r>
      <w:r w:rsidRPr="004C51CC">
        <w:rPr>
          <w:rFonts w:ascii="Times New Roman" w:eastAsia="Times New Roman" w:hAnsi="Times New Roman" w:cs="Times New Roman"/>
          <w:color w:val="auto"/>
          <w:sz w:val="24"/>
          <w:szCs w:val="24"/>
        </w:rPr>
        <w:fldChar w:fldCharType="end"/>
      </w:r>
      <w:r w:rsidRPr="004C51CC">
        <w:rPr>
          <w:rFonts w:ascii="Times New Roman" w:eastAsia="Times New Roman" w:hAnsi="Times New Roman" w:cs="Times New Roman"/>
          <w:color w:val="auto"/>
          <w:sz w:val="24"/>
          <w:szCs w:val="24"/>
        </w:rPr>
        <w:t xml:space="preserve">. This is termed </w:t>
      </w:r>
      <w:r w:rsidRPr="004C51CC">
        <w:rPr>
          <w:rFonts w:ascii="Times New Roman" w:hAnsi="Times New Roman" w:cs="Times New Roman"/>
          <w:sz w:val="24"/>
          <w:szCs w:val="24"/>
        </w:rPr>
        <w:t xml:space="preserve">off-policy evaluation (OPE). </w:t>
      </w:r>
      <w:r w:rsidRPr="004C51CC">
        <w:rPr>
          <w:rFonts w:ascii="Times New Roman" w:eastAsia="Times New Roman" w:hAnsi="Times New Roman" w:cs="Times New Roman"/>
          <w:color w:val="auto"/>
          <w:sz w:val="24"/>
          <w:szCs w:val="24"/>
        </w:rPr>
        <w:t xml:space="preserve">Using direct, model-based estimates of the policy value are known to </w:t>
      </w:r>
      <w:r w:rsidRPr="004C51CC">
        <w:rPr>
          <w:rFonts w:ascii="Times New Roman" w:hAnsi="Times New Roman" w:cs="Times New Roman"/>
          <w:sz w:val="24"/>
          <w:szCs w:val="24"/>
        </w:rPr>
        <w:t>reduce variance at the cost of adding bias to the estimate</w:t>
      </w:r>
      <w:r w:rsidRPr="004C51CC">
        <w:rPr>
          <w:rFonts w:ascii="Times New Roman" w:hAnsi="Times New Roman" w:cs="Times New Roman"/>
          <w:sz w:val="24"/>
          <w:szCs w:val="24"/>
        </w:rPr>
        <w:fldChar w:fldCharType="begin"/>
      </w:r>
      <w:r w:rsidRPr="004C51CC">
        <w:rPr>
          <w:rFonts w:ascii="Times New Roman" w:hAnsi="Times New Roman" w:cs="Times New Roman"/>
          <w:sz w:val="24"/>
          <w:szCs w:val="24"/>
        </w:rPr>
        <w:instrText xml:space="preserve"> ADDIN ZOTERO_ITEM CSL_CITATION {"citationID":"51Iv6Gmd","properties":{"formattedCitation":"\\super 20,38\\nosupersub{}","plainCitation":"20,38","noteIndex":0},"citationItems":[{"id":3032,"uris":["http://zotero.org/users/858056/items/XPD8WXQW"],"uri":["http://zotero.org/users/858056/items/XPD8WXQW"],"itemData":{"id":3032,"type":"article-journal","title":"Bootstrapping with Models: Confidence Intervals for Off-Policy Evaluation","container-title":"arXiv:1606.06126 [cs, stat]","source":"arXiv.org","abstract":"For an autonomous agent, executing a poor policy may be costly or even dangerous. For such agents, it is desirable to determine confidence interval lower bounds on the performance of any given policy without executing said policy. Current methods for exact high confidence off-policy evaluation that use importance sampling require a substantial amount of data to achieve a tight lower bound. Existing model-based methods only address the problem in discrete state spaces. Since exact bounds are intractable for many domains we trade off strict guarantees of safety for more data-efficient approximate bounds. In this context, we propose two bootstrapping off-policy evaluation methods which use learned MDP transition models in order to estimate lower confidence bounds on policy performance with limited data in both continuous and discrete state spaces. Since direct use of a model may introduce bias, we derive a theoretical upper bound on model bias for when the model transition function is estimated with i.i.d. trajectories. This bound broadens our understanding of the conditions under which model-based methods have high bias. Finally, we empirically evaluate our proposed methods and analyze the settings in which different bootstrapping off-policy confidence interval methods succeed and fail.","URL":"http://arxiv.org/abs/1606.06126","note":"arXiv: 1606.06126","shortTitle":"Bootstrapping with Models","author":[{"family":"Hanna","given":"Josiah P."},{"family":"Stone","given":"Peter"},{"family":"Niekum","given":"Scott"}],"issued":{"date-parts":[["2016",6,20]]},"accessed":{"date-parts":[["2018",2,14]]}}},{"id":2919,"uris":["http://zotero.org/users/858056/items/CXQGRARU"],"uri":["http://zotero.org/users/858056/items/CXQGRARU"],"itemData":{"id":2919,"type":"article-journal","title":"Doubly Robust Off-policy Value Evaluation for Reinforcement Learning","container-title":"arXiv:1511.03722 [cs, stat]","source":"arXiv.org","abstract":"We study the problem of off-policy value evaluation in reinforcement learning (RL), where one aims to estimate the value of a new policy based on data collected by a different policy. This problem is often a critical step when applying RL in real-world problems. Despite its importance, existing general methods either have uncontrolled bias or suffer high variance. In this work, we extend the doubly robust estimator for bandits to sequential decision-making problems, which gets the best of both worlds: it is guaranteed to be unbiased and can have a much lower variance than the popular importance sampling estimators. We demonstrate the estimator's accuracy in several benchmark problems, and illustrate its use as a subroutine in safe policy improvement. We also provide theoretical results on the hardness of the problem, and show that our estimator can match the lower bound in certain scenarios.","URL":"http://arxiv.org/abs/1511.03722","note":"arXiv: 1511.03722","author":[{"family":"Jiang","given":"Nan"},{"family":"Li","given":"Lihong"}],"issued":{"date-parts":[["2015",11,11]]}}}],"schema":"https://github.com/citation-style-language/schema/raw/master/csl-citation.json"} </w:instrText>
      </w:r>
      <w:r w:rsidRPr="004C51CC">
        <w:rPr>
          <w:rFonts w:ascii="Times New Roman" w:hAnsi="Times New Roman" w:cs="Times New Roman"/>
          <w:sz w:val="24"/>
          <w:szCs w:val="24"/>
        </w:rPr>
        <w:fldChar w:fldCharType="separate"/>
      </w:r>
      <w:r w:rsidRPr="004C51CC">
        <w:rPr>
          <w:rFonts w:ascii="Times New Roman" w:hAnsi="Times New Roman" w:cs="Times New Roman"/>
          <w:sz w:val="24"/>
          <w:szCs w:val="24"/>
          <w:vertAlign w:val="superscript"/>
        </w:rPr>
        <w:t>20,38</w:t>
      </w:r>
      <w:r w:rsidRPr="004C51CC">
        <w:rPr>
          <w:rFonts w:ascii="Times New Roman" w:hAnsi="Times New Roman" w:cs="Times New Roman"/>
          <w:sz w:val="24"/>
          <w:szCs w:val="24"/>
        </w:rPr>
        <w:fldChar w:fldCharType="end"/>
      </w:r>
      <w:r w:rsidRPr="004C51CC">
        <w:rPr>
          <w:rFonts w:ascii="Times New Roman" w:hAnsi="Times New Roman" w:cs="Times New Roman"/>
          <w:sz w:val="24"/>
          <w:szCs w:val="24"/>
        </w:rPr>
        <w:t xml:space="preserve">. </w:t>
      </w:r>
      <w:r w:rsidRPr="004C51CC">
        <w:rPr>
          <w:rFonts w:ascii="Times New Roman" w:eastAsia="Times New Roman" w:hAnsi="Times New Roman" w:cs="Times New Roman"/>
          <w:color w:val="auto"/>
          <w:sz w:val="24"/>
          <w:szCs w:val="24"/>
        </w:rPr>
        <w:t>Therefore, we implemented a type of high confidence off-policy evaluation (HCOPE) method, weighted importance sampling (WIS), and used bootstrapping to estimate the true distribution of the policy value in the test sets</w:t>
      </w:r>
      <w:r w:rsidRPr="004C51CC">
        <w:rPr>
          <w:rFonts w:ascii="Times New Roman" w:eastAsia="Times New Roman" w:hAnsi="Times New Roman" w:cs="Times New Roman"/>
          <w:color w:val="auto"/>
          <w:sz w:val="24"/>
          <w:szCs w:val="24"/>
        </w:rPr>
        <w:fldChar w:fldCharType="begin"/>
      </w:r>
      <w:r w:rsidRPr="004C51CC">
        <w:rPr>
          <w:rFonts w:ascii="Times New Roman" w:eastAsia="Times New Roman" w:hAnsi="Times New Roman" w:cs="Times New Roman"/>
          <w:color w:val="auto"/>
          <w:sz w:val="24"/>
          <w:szCs w:val="24"/>
        </w:rPr>
        <w:instrText xml:space="preserve"> ADDIN ZOTERO_ITEM CSL_CITATION {"citationID":"ksKPxQks","properties":{"formattedCitation":"\\super 20,21,39\\nosupersub{}","plainCitation":"20,21,39","noteIndex":0},"citationItems":[{"id":3032,"uris":["http://zotero.org/users/858056/items/XPD8WXQW"],"uri":["http://zotero.org/users/858056/items/XPD8WXQW"],"itemData":{"id":3032,"type":"article-journal","title":"Bootstrapping with Models: Confidence Intervals for Off-Policy Evaluation","container-title":"arXiv:1606.06126 [cs, stat]","source":"arXiv.org","abstract":"For an autonomous agent, executing a poor policy may be costly or even dangerous. For such agents, it is desirable to determine confidence interval lower bounds on the performance of any given policy without executing said policy. Current methods for exact high confidence off-policy evaluation that use importance sampling require a substantial amount of data to achieve a tight lower bound. Existing model-based methods only address the problem in discrete state spaces. Since exact bounds are intractable for many domains we trade off strict guarantees of safety for more data-efficient approximate bounds. In this context, we propose two bootstrapping off-policy evaluation methods which use learned MDP transition models in order to estimate lower confidence bounds on policy performance with limited data in both continuous and discrete state spaces. Since direct use of a model may introduce bias, we derive a theoretical upper bound on model bias for when the model transition function is estimated with i.i.d. trajectories. This bound broadens our understanding of the conditions under which model-based methods have high bias. Finally, we empirically evaluate our proposed methods and analyze the settings in which different bootstrapping off-policy confidence interval methods succeed and fail.","URL":"http://arxiv.org/abs/1606.06126","note":"arXiv: 1606.06126","shortTitle":"Bootstrapping with Models","author":[{"family":"Hanna","given":"Josiah P."},{"family":"Stone","given":"Peter"},{"family":"Niekum","given":"Scott"}],"issued":{"date-parts":[["2016",6,20]]},"accessed":{"date-parts":[["2018",2,14]]}}},{"id":3049,"uris":["http://zotero.org/users/858056/items/CVRX96UH"],"uri":["http://zotero.org/users/858056/items/CVRX96UH"],"itemData":{"id":3049,"type":"article-journal","title":"Data-Efficient Off-Policy Policy Evaluation for Reinforcement Learning","container-title":"arXiv:1604.00923 [cs]","source":"arXiv.org","abstract":"In this paper we present a new way of predicting the performance of a reinforcement learning policy given historical data that may have been generated by a different policy. The ability to evaluate a policy from historical data is important for applications where the deployment of a bad policy can be dangerous or costly. We show empirically that our algorithm produces estimates that often have orders of magnitude lower mean squared error than existing methods---it makes more efficient use of the available data. Our new estimator is based on two advances: an extension of the doubly robust estimator (Jiang and Li, 2015), and a new way to mix between model based estimates and importance sampling based estimates.","URL":"http://arxiv.org/abs/1604.00923","note":"arXiv: 1604.00923","author":[{"family":"Thomas","given":"Philip S."},{"family":"Brunskill","given":"Emma"}],"issued":{"date-parts":[["2016",4,4]]},"accessed":{"date-parts":[["2018",2,14]]}}},{"id":3036,"uris":["http://zotero.org/users/858056/items/47K5FTBV"],"uri":["http://zotero.org/users/858056/items/47K5FTBV"],"itemData":{"id":3036,"type":"paper-conference","title":"High Confidence Policy Improvement","container-title":"PMLR","page":"2380-2388","source":"proceedings.mlr.press","event":"International Conference on Machine Learning","abstract":"We present a batch reinforcement learning (RL) algorithm that provides probabilistic guarantees about the quality of each policy that it proposes, and which has no hyper-parameter that requires exp...","URL":"http://proceedings.mlr.press/v37/thomas15.html","language":"en","author":[{"family":"Thomas","given":"Philip"},{"family":"Theocharous","given":"Georgios"},{"family":"Ghavamzadeh","given":"Mohammad"}],"issued":{"date-parts":[["2015",6,1]]},"accessed":{"date-parts":[["2018",2,14]]}}}],"schema":"https://github.com/citation-style-language/schema/raw/master/csl-citation.json"} </w:instrText>
      </w:r>
      <w:r w:rsidRPr="004C51CC">
        <w:rPr>
          <w:rFonts w:ascii="Times New Roman" w:eastAsia="Times New Roman" w:hAnsi="Times New Roman" w:cs="Times New Roman"/>
          <w:color w:val="auto"/>
          <w:sz w:val="24"/>
          <w:szCs w:val="24"/>
        </w:rPr>
        <w:fldChar w:fldCharType="separate"/>
      </w:r>
      <w:r w:rsidRPr="004C51CC">
        <w:rPr>
          <w:rFonts w:ascii="Times New Roman" w:hAnsi="Times New Roman" w:cs="Times New Roman"/>
          <w:sz w:val="24"/>
          <w:szCs w:val="24"/>
          <w:vertAlign w:val="superscript"/>
        </w:rPr>
        <w:t>20,21,39</w:t>
      </w:r>
      <w:r w:rsidRPr="004C51CC">
        <w:rPr>
          <w:rFonts w:ascii="Times New Roman" w:eastAsia="Times New Roman" w:hAnsi="Times New Roman" w:cs="Times New Roman"/>
          <w:color w:val="auto"/>
          <w:sz w:val="24"/>
          <w:szCs w:val="24"/>
        </w:rPr>
        <w:fldChar w:fldCharType="end"/>
      </w:r>
      <w:r w:rsidRPr="004C51CC">
        <w:rPr>
          <w:rFonts w:ascii="Times New Roman" w:eastAsia="Times New Roman" w:hAnsi="Times New Roman" w:cs="Times New Roman"/>
          <w:color w:val="auto"/>
          <w:sz w:val="24"/>
          <w:szCs w:val="24"/>
        </w:rPr>
        <w:t xml:space="preserve">. WIS </w:t>
      </w:r>
      <w:r w:rsidR="00F53358" w:rsidRPr="004C51CC">
        <w:rPr>
          <w:rFonts w:ascii="Times New Roman" w:eastAsia="Times New Roman" w:hAnsi="Times New Roman" w:cs="Times New Roman"/>
          <w:color w:val="auto"/>
          <w:sz w:val="24"/>
          <w:szCs w:val="24"/>
        </w:rPr>
        <w:t xml:space="preserve">may be a </w:t>
      </w:r>
      <w:r w:rsidRPr="004C51CC">
        <w:rPr>
          <w:rFonts w:ascii="Times New Roman" w:eastAsia="Times New Roman" w:hAnsi="Times New Roman" w:cs="Times New Roman"/>
          <w:color w:val="auto"/>
          <w:sz w:val="24"/>
          <w:szCs w:val="24"/>
        </w:rPr>
        <w:t xml:space="preserve">biased </w:t>
      </w:r>
      <w:r w:rsidR="00F53358" w:rsidRPr="004C51CC">
        <w:rPr>
          <w:rFonts w:ascii="Times New Roman" w:eastAsia="Times New Roman" w:hAnsi="Times New Roman" w:cs="Times New Roman"/>
          <w:color w:val="auto"/>
          <w:sz w:val="24"/>
          <w:szCs w:val="24"/>
        </w:rPr>
        <w:t xml:space="preserve">although </w:t>
      </w:r>
      <w:r w:rsidRPr="004C51CC">
        <w:rPr>
          <w:rFonts w:ascii="Times New Roman" w:eastAsia="Times New Roman" w:hAnsi="Times New Roman" w:cs="Times New Roman"/>
          <w:color w:val="auto"/>
          <w:sz w:val="24"/>
          <w:szCs w:val="24"/>
        </w:rPr>
        <w:t xml:space="preserve">consistent policy estimator, </w:t>
      </w:r>
      <w:r w:rsidR="00543DFB" w:rsidRPr="004C51CC">
        <w:rPr>
          <w:rFonts w:ascii="Times New Roman" w:eastAsia="Times New Roman" w:hAnsi="Times New Roman" w:cs="Times New Roman"/>
          <w:color w:val="auto"/>
          <w:sz w:val="24"/>
          <w:szCs w:val="24"/>
        </w:rPr>
        <w:t xml:space="preserve">so the bootstrap confidence interval may also be biased, </w:t>
      </w:r>
      <w:r w:rsidR="00F53358" w:rsidRPr="004C51CC">
        <w:rPr>
          <w:rFonts w:ascii="Times New Roman" w:eastAsia="Times New Roman" w:hAnsi="Times New Roman" w:cs="Times New Roman"/>
          <w:color w:val="auto"/>
          <w:sz w:val="24"/>
          <w:szCs w:val="24"/>
        </w:rPr>
        <w:t>even though</w:t>
      </w:r>
      <w:r w:rsidR="00F53358" w:rsidRPr="004C51CC" w:rsidDel="00F53358">
        <w:rPr>
          <w:rFonts w:ascii="Times New Roman" w:eastAsia="Times New Roman" w:hAnsi="Times New Roman" w:cs="Times New Roman"/>
          <w:color w:val="auto"/>
          <w:sz w:val="24"/>
          <w:szCs w:val="24"/>
        </w:rPr>
        <w:t xml:space="preserve"> </w:t>
      </w:r>
      <w:r w:rsidRPr="004C51CC">
        <w:rPr>
          <w:rFonts w:ascii="Times New Roman" w:eastAsia="Times New Roman" w:hAnsi="Times New Roman" w:cs="Times New Roman"/>
          <w:color w:val="auto"/>
          <w:sz w:val="24"/>
          <w:szCs w:val="24"/>
        </w:rPr>
        <w:t>the literature suggests that consistency is a more desirable property than unbiasedness</w:t>
      </w:r>
      <w:r w:rsidRPr="004C51CC">
        <w:rPr>
          <w:rFonts w:ascii="Times New Roman" w:eastAsia="Times New Roman" w:hAnsi="Times New Roman" w:cs="Times New Roman"/>
          <w:color w:val="auto"/>
          <w:sz w:val="24"/>
          <w:szCs w:val="24"/>
        </w:rPr>
        <w:fldChar w:fldCharType="begin"/>
      </w:r>
      <w:r w:rsidRPr="004C51CC">
        <w:rPr>
          <w:rFonts w:ascii="Times New Roman" w:eastAsia="Times New Roman" w:hAnsi="Times New Roman" w:cs="Times New Roman"/>
          <w:color w:val="auto"/>
          <w:sz w:val="24"/>
          <w:szCs w:val="24"/>
        </w:rPr>
        <w:instrText xml:space="preserve"> ADDIN ZOTERO_ITEM CSL_CITATION {"citationID":"mxWtpY9N","properties":{"formattedCitation":"\\super 20,38,40\\nosupersub{}","plainCitation":"20,38,40","noteIndex":0},"citationItems":[{"id":3032,"uris":["http://zotero.org/users/858056/items/XPD8WXQW"],"uri":["http://zotero.org/users/858056/items/XPD8WXQW"],"itemData":{"id":3032,"type":"article-journal","title":"Bootstrapping with Models: Confidence Intervals for Off-Policy Evaluation","container-title":"arXiv:1606.06126 [cs, stat]","source":"arXiv.org","abstract":"For an autonomous agent, executing a poor policy may be costly or even dangerous. For such agents, it is desirable to determine confidence interval lower bounds on the performance of any given policy without executing said policy. Current methods for exact high confidence off-policy evaluation that use importance sampling require a substantial amount of data to achieve a tight lower bound. Existing model-based methods only address the problem in discrete state spaces. Since exact bounds are intractable for many domains we trade off strict guarantees of safety for more data-efficient approximate bounds. In this context, we propose two bootstrapping off-policy evaluation methods which use learned MDP transition models in order to estimate lower confidence bounds on policy performance with limited data in both continuous and discrete state spaces. Since direct use of a model may introduce bias, we derive a theoretical upper bound on model bias for when the model transition function is estimated with i.i.d. trajectories. This bound broadens our understanding of the conditions under which model-based methods have high bias. Finally, we empirically evaluate our proposed methods and analyze the settings in which different bootstrapping off-policy confidence interval methods succeed and fail.","URL":"http://arxiv.org/abs/1606.06126","note":"arXiv: 1606.06126","shortTitle":"Bootstrapping with Models","author":[{"family":"Hanna","given":"Josiah P."},{"family":"Stone","given":"Peter"},{"family":"Niekum","given":"Scott"}],"issued":{"date-parts":[["2016",6,20]]},"accessed":{"date-parts":[["2018",2,14]]}}},{"id":2919,"uris":["http://zotero.org/users/858056/items/CXQGRARU"],"uri":["http://zotero.org/users/858056/items/CXQGRARU"],"itemData":{"id":2919,"type":"article-journal","title":"Doubly Robust Off-policy Value Evaluation for Reinforcement Learning","container-title":"arXiv:1511.03722 [cs, stat]","source":"arXiv.org","abstract":"We study the problem of off-policy value evaluation in reinforcement learning (RL), where one aims to estimate the value of a new policy based on data collected by a different policy. This problem is often a critical step when applying RL in real-world problems. Despite its importance, existing general methods either have uncontrolled bias or suffer high variance. In this work, we extend the doubly robust estimator for bandits to sequential decision-making problems, which gets the best of both worlds: it is guaranteed to be unbiased and can have a much lower variance than the popular importance sampling estimators. We demonstrate the estimator's accuracy in several benchmark problems, and illustrate its use as a subroutine in safe policy improvement. We also provide theoretical results on the hardness of the problem, and show that our estimator can match the lower bound in certain scenarios.","URL":"http://arxiv.org/abs/1511.03722","note":"arXiv: 1511.03722","author":[{"family":"Jiang","given":"Nan"},{"family":"Li","given":"Lihong"}],"issued":{"date-parts":[["2015",11,11]]}}},{"id":3074,"uris":["http://zotero.org/users/858056/items/2GBSBBC9"],"uri":["http://zotero.org/users/858056/items/2GBSBBC9"],"itemData":{"id":3074,"type":"paper-conference","title":"Eligibility Traces for Off-Policy Policy Evaluation","container-title":"Proceedings of the Seventeenth International Conference on Machine Learning","collection-title":"ICML '00","publisher":"Morgan Kaufmann Publishers Inc.","publisher-place":"San Francisco, CA, USA","page":"759–766","source":"ACM Digital Library","event-place":"San Francisco, CA, USA","URL":"http://dl.acm.org/citation.cfm?id=645529.658134","ISBN":"978-1-55860-707-1","author":[{"family":"Precup","given":"Doina"},{"family":"Sutton","given":"Richard S."},{"family":"Singh","given":"Satinder P."}],"issued":{"date-parts":[["2000"]]},"accessed":{"date-parts":[["2018",4,19]]}}}],"schema":"https://github.com/citation-style-language/schema/raw/master/csl-citation.json"} </w:instrText>
      </w:r>
      <w:r w:rsidRPr="004C51CC">
        <w:rPr>
          <w:rFonts w:ascii="Times New Roman" w:eastAsia="Times New Roman" w:hAnsi="Times New Roman" w:cs="Times New Roman"/>
          <w:color w:val="auto"/>
          <w:sz w:val="24"/>
          <w:szCs w:val="24"/>
        </w:rPr>
        <w:fldChar w:fldCharType="separate"/>
      </w:r>
      <w:r w:rsidRPr="004C51CC">
        <w:rPr>
          <w:rFonts w:ascii="Times New Roman" w:hAnsi="Times New Roman" w:cs="Times New Roman"/>
          <w:sz w:val="24"/>
          <w:szCs w:val="24"/>
          <w:vertAlign w:val="superscript"/>
        </w:rPr>
        <w:t>20,38,40</w:t>
      </w:r>
      <w:r w:rsidRPr="004C51CC">
        <w:rPr>
          <w:rFonts w:ascii="Times New Roman" w:eastAsia="Times New Roman" w:hAnsi="Times New Roman" w:cs="Times New Roman"/>
          <w:color w:val="auto"/>
          <w:sz w:val="24"/>
          <w:szCs w:val="24"/>
        </w:rPr>
        <w:fldChar w:fldCharType="end"/>
      </w:r>
      <w:r w:rsidRPr="004C51CC">
        <w:rPr>
          <w:rFonts w:ascii="Times New Roman" w:eastAsia="Times New Roman" w:hAnsi="Times New Roman" w:cs="Times New Roman"/>
          <w:color w:val="auto"/>
          <w:sz w:val="24"/>
          <w:szCs w:val="24"/>
        </w:rPr>
        <w:t xml:space="preserve">. </w:t>
      </w:r>
      <w:r w:rsidRPr="004C51CC">
        <w:rPr>
          <w:rFonts w:ascii="Times New Roman" w:hAnsi="Times New Roman" w:cs="Times New Roman"/>
          <w:color w:val="222222"/>
          <w:sz w:val="24"/>
          <w:szCs w:val="24"/>
        </w:rPr>
        <w:t xml:space="preserve">It is accepted that bootstrapping produces accurate confidence intervals with less data than exact HCOPE methods, and is safe enough in high risk applications such as </w:t>
      </w:r>
      <w:r w:rsidRPr="004C51CC">
        <w:rPr>
          <w:rFonts w:ascii="Times New Roman" w:hAnsi="Times New Roman" w:cs="Times New Roman"/>
          <w:color w:val="auto"/>
          <w:sz w:val="24"/>
          <w:szCs w:val="24"/>
        </w:rPr>
        <w:t>healthcare</w:t>
      </w:r>
      <w:r w:rsidRPr="004C51CC">
        <w:rPr>
          <w:rFonts w:ascii="Times New Roman" w:hAnsi="Times New Roman" w:cs="Times New Roman"/>
          <w:color w:val="auto"/>
          <w:sz w:val="24"/>
          <w:szCs w:val="24"/>
        </w:rPr>
        <w:fldChar w:fldCharType="begin"/>
      </w:r>
      <w:r w:rsidRPr="004C51CC">
        <w:rPr>
          <w:rFonts w:ascii="Times New Roman" w:hAnsi="Times New Roman" w:cs="Times New Roman"/>
          <w:color w:val="auto"/>
          <w:sz w:val="24"/>
          <w:szCs w:val="24"/>
        </w:rPr>
        <w:instrText xml:space="preserve"> ADDIN ZOTERO_ITEM CSL_CITATION {"citationID":"OF2kqc8g","properties":{"formattedCitation":"\\super 20,21\\nosupersub{}","plainCitation":"20,21","noteIndex":0},"citationItems":[{"id":3032,"uris":["http://zotero.org/users/858056/items/XPD8WXQW"],"uri":["http://zotero.org/users/858056/items/XPD8WXQW"],"itemData":{"id":3032,"type":"article-journal","title":"Bootstrapping with Models: Confidence Intervals for Off-Policy Evaluation","container-title":"arXiv:1606.06126 [cs, stat]","source":"arXiv.org","abstract":"For an autonomous agent, executing a poor policy may be costly or even dangerous. For such agents, it is desirable to determine confidence interval lower bounds on the performance of any given policy without executing said policy. Current methods for exact high confidence off-policy evaluation that use importance sampling require a substantial amount of data to achieve a tight lower bound. Existing model-based methods only address the problem in discrete state spaces. Since exact bounds are intractable for many domains we trade off strict guarantees of safety for more data-efficient approximate bounds. In this context, we propose two bootstrapping off-policy evaluation methods which use learned MDP transition models in order to estimate lower confidence bounds on policy performance with limited data in both continuous and discrete state spaces. Since direct use of a model may introduce bias, we derive a theoretical upper bound on model bias for when the model transition function is estimated with i.i.d. trajectories. This bound broadens our understanding of the conditions under which model-based methods have high bias. Finally, we empirically evaluate our proposed methods and analyze the settings in which different bootstrapping off-policy confidence interval methods succeed and fail.","URL":"http://arxiv.org/abs/1606.06126","note":"arXiv: 1606.06126","shortTitle":"Bootstrapping with Models","author":[{"family":"Hanna","given":"Josiah P."},{"family":"Stone","given":"Peter"},{"family":"Niekum","given":"Scott"}],"issued":{"date-parts":[["2016",6,20]]},"accessed":{"date-parts":[["2018",2,14]]}}},{"id":3036,"uris":["http://zotero.org/users/858056/items/47K5FTBV"],"uri":["http://zotero.org/users/858056/items/47K5FTBV"],"itemData":{"id":3036,"type":"paper-conference","title":"High Confidence Policy Improvement","container-title":"PMLR","page":"2380-2388","source":"proceedings.mlr.press","event":"International Conference on Machine Learning","abstract":"We present a batch reinforcement learning (RL) algorithm that provides probabilistic guarantees about the quality of each policy that it proposes, and which has no hyper-parameter that requires exp...","URL":"http://proceedings.mlr.press/v37/thomas15.html","language":"en","author":[{"family":"Thomas","given":"Philip"},{"family":"Theocharous","given":"Georgios"},{"family":"Ghavamzadeh","given":"Mohammad"}],"issued":{"date-parts":[["2015",6,1]]},"accessed":{"date-parts":[["2018",2,14]]}}}],"schema":"https://github.com/citation-style-language/schema/raw/master/csl-citation.json"} </w:instrText>
      </w:r>
      <w:r w:rsidRPr="004C51CC">
        <w:rPr>
          <w:rFonts w:ascii="Times New Roman" w:hAnsi="Times New Roman" w:cs="Times New Roman"/>
          <w:color w:val="auto"/>
          <w:sz w:val="24"/>
          <w:szCs w:val="24"/>
        </w:rPr>
        <w:fldChar w:fldCharType="separate"/>
      </w:r>
      <w:r w:rsidRPr="004C51CC">
        <w:rPr>
          <w:rFonts w:ascii="Times New Roman" w:hAnsi="Times New Roman" w:cs="Times New Roman"/>
          <w:sz w:val="24"/>
          <w:szCs w:val="24"/>
          <w:vertAlign w:val="superscript"/>
        </w:rPr>
        <w:t>20,21</w:t>
      </w:r>
      <w:r w:rsidRPr="004C51CC">
        <w:rPr>
          <w:rFonts w:ascii="Times New Roman" w:hAnsi="Times New Roman" w:cs="Times New Roman"/>
          <w:color w:val="auto"/>
          <w:sz w:val="24"/>
          <w:szCs w:val="24"/>
        </w:rPr>
        <w:fldChar w:fldCharType="end"/>
      </w:r>
      <w:r w:rsidRPr="004C51CC">
        <w:rPr>
          <w:rFonts w:ascii="Times New Roman" w:hAnsi="Times New Roman" w:cs="Times New Roman"/>
          <w:color w:val="auto"/>
          <w:sz w:val="24"/>
          <w:szCs w:val="24"/>
        </w:rPr>
        <w:t xml:space="preserve">. </w:t>
      </w:r>
      <w:r w:rsidRPr="004C51CC">
        <w:rPr>
          <w:rFonts w:ascii="Times New Roman" w:eastAsia="Times New Roman" w:hAnsi="Times New Roman" w:cs="Times New Roman"/>
          <w:color w:val="auto"/>
          <w:sz w:val="24"/>
          <w:szCs w:val="24"/>
        </w:rPr>
        <w:t xml:space="preserve">Of note, the use of bootstrap confidence intervals around WIS estimates have not been previously described in biomedical research, but the approach is suggested in </w:t>
      </w:r>
      <w:r w:rsidR="00F53358" w:rsidRPr="004C51CC">
        <w:rPr>
          <w:rFonts w:ascii="Times New Roman" w:eastAsia="Times New Roman" w:hAnsi="Times New Roman" w:cs="Times New Roman"/>
          <w:color w:val="auto"/>
          <w:sz w:val="24"/>
          <w:szCs w:val="24"/>
        </w:rPr>
        <w:t>reinforcement learning</w:t>
      </w:r>
      <w:r w:rsidRPr="004C51CC">
        <w:rPr>
          <w:rFonts w:ascii="Times New Roman" w:eastAsia="Times New Roman" w:hAnsi="Times New Roman" w:cs="Times New Roman"/>
          <w:color w:val="auto"/>
          <w:sz w:val="24"/>
          <w:szCs w:val="24"/>
        </w:rPr>
        <w:t xml:space="preserve"> research</w:t>
      </w:r>
      <w:r w:rsidRPr="004C51CC">
        <w:rPr>
          <w:rFonts w:ascii="Times New Roman" w:eastAsia="Times New Roman" w:hAnsi="Times New Roman" w:cs="Times New Roman"/>
          <w:color w:val="auto"/>
          <w:sz w:val="24"/>
          <w:szCs w:val="24"/>
        </w:rPr>
        <w:fldChar w:fldCharType="begin"/>
      </w:r>
      <w:r w:rsidRPr="004C51CC">
        <w:rPr>
          <w:rFonts w:ascii="Times New Roman" w:eastAsia="Times New Roman" w:hAnsi="Times New Roman" w:cs="Times New Roman"/>
          <w:color w:val="auto"/>
          <w:sz w:val="24"/>
          <w:szCs w:val="24"/>
        </w:rPr>
        <w:instrText xml:space="preserve"> ADDIN ZOTERO_ITEM CSL_CITATION {"citationID":"3wxaF9ds","properties":{"formattedCitation":"\\super 20,21\\nosupersub{}","plainCitation":"20,21","noteIndex":0},"citationItems":[{"id":3032,"uris":["http://zotero.org/users/858056/items/XPD8WXQW"],"uri":["http://zotero.org/users/858056/items/XPD8WXQW"],"itemData":{"id":3032,"type":"article-journal","title":"Bootstrapping with Models: Confidence Intervals for Off-Policy Evaluation","container-title":"arXiv:1606.06126 [cs, stat]","source":"arXiv.org","abstract":"For an autonomous agent, executing a poor policy may be costly or even dangerous. For such agents, it is desirable to determine confidence interval lower bounds on the performance of any given policy without executing said policy. Current methods for exact high confidence off-policy evaluation that use importance sampling require a substantial amount of data to achieve a tight lower bound. Existing model-based methods only address the problem in discrete state spaces. Since exact bounds are intractable for many domains we trade off strict guarantees of safety for more data-efficient approximate bounds. In this context, we propose two bootstrapping off-policy evaluation methods which use learned MDP transition models in order to estimate lower confidence bounds on policy performance with limited data in both continuous and discrete state spaces. Since direct use of a model may introduce bias, we derive a theoretical upper bound on model bias for when the model transition function is estimated with i.i.d. trajectories. This bound broadens our understanding of the conditions under which model-based methods have high bias. Finally, we empirically evaluate our proposed methods and analyze the settings in which different bootstrapping off-policy confidence interval methods succeed and fail.","URL":"http://arxiv.org/abs/1606.06126","note":"arXiv: 1606.06126","shortTitle":"Bootstrapping with Models","author":[{"family":"Hanna","given":"Josiah P."},{"family":"Stone","given":"Peter"},{"family":"Niekum","given":"Scott"}],"issued":{"date-parts":[["2016",6,20]]},"accessed":{"date-parts":[["2018",2,14]]}}},{"id":3036,"uris":["http://zotero.org/users/858056/items/47K5FTBV"],"uri":["http://zotero.org/users/858056/items/47K5FTBV"],"itemData":{"id":3036,"type":"paper-conference","title":"High Confidence Policy Improvement","container-title":"PMLR","page":"2380-2388","source":"proceedings.mlr.press","event":"International Conference on Machine Learning","abstract":"We present a batch reinforcement learning (RL) algorithm that provides probabilistic guarantees about the quality of each policy that it proposes, and which has no hyper-parameter that requires exp...","URL":"http://proceedings.mlr.press/v37/thomas15.html","language":"en","author":[{"family":"Thomas","given":"Philip"},{"family":"Theocharous","given":"Georgios"},{"family":"Ghavamzadeh","given":"Mohammad"}],"issued":{"date-parts":[["2015",6,1]]},"accessed":{"date-parts":[["2018",2,14]]}}}],"schema":"https://github.com/citation-style-language/schema/raw/master/csl-citation.json"} </w:instrText>
      </w:r>
      <w:r w:rsidRPr="004C51CC">
        <w:rPr>
          <w:rFonts w:ascii="Times New Roman" w:eastAsia="Times New Roman" w:hAnsi="Times New Roman" w:cs="Times New Roman"/>
          <w:color w:val="auto"/>
          <w:sz w:val="24"/>
          <w:szCs w:val="24"/>
        </w:rPr>
        <w:fldChar w:fldCharType="separate"/>
      </w:r>
      <w:r w:rsidRPr="004C51CC">
        <w:rPr>
          <w:rFonts w:ascii="Times New Roman" w:hAnsi="Times New Roman" w:cs="Times New Roman"/>
          <w:sz w:val="24"/>
          <w:szCs w:val="24"/>
          <w:vertAlign w:val="superscript"/>
        </w:rPr>
        <w:t>20,21</w:t>
      </w:r>
      <w:r w:rsidRPr="004C51CC">
        <w:rPr>
          <w:rFonts w:ascii="Times New Roman" w:eastAsia="Times New Roman" w:hAnsi="Times New Roman" w:cs="Times New Roman"/>
          <w:color w:val="auto"/>
          <w:sz w:val="24"/>
          <w:szCs w:val="24"/>
        </w:rPr>
        <w:fldChar w:fldCharType="end"/>
      </w:r>
      <w:r w:rsidRPr="004C51CC">
        <w:rPr>
          <w:rFonts w:ascii="Times New Roman" w:eastAsia="Times New Roman" w:hAnsi="Times New Roman" w:cs="Times New Roman"/>
          <w:color w:val="auto"/>
          <w:sz w:val="24"/>
          <w:szCs w:val="24"/>
        </w:rPr>
        <w:t>.</w:t>
      </w:r>
    </w:p>
    <w:p w14:paraId="70D7A6E2" w14:textId="4B00EE77" w:rsidR="00FA0127" w:rsidRPr="004C51CC" w:rsidRDefault="00B305B5" w:rsidP="00310C87">
      <w:pPr>
        <w:pBdr>
          <w:top w:val="none" w:sz="0" w:space="0" w:color="auto"/>
          <w:left w:val="none" w:sz="0" w:space="0" w:color="auto"/>
          <w:bottom w:val="none" w:sz="0" w:space="0" w:color="auto"/>
          <w:right w:val="none" w:sz="0" w:space="0" w:color="auto"/>
          <w:between w:val="none" w:sz="0" w:space="0" w:color="auto"/>
        </w:pBdr>
        <w:tabs>
          <w:tab w:val="left" w:pos="8220"/>
        </w:tabs>
        <w:autoSpaceDE w:val="0"/>
        <w:autoSpaceDN w:val="0"/>
        <w:adjustRightInd w:val="0"/>
        <w:spacing w:before="100" w:beforeAutospacing="1" w:after="100" w:afterAutospacing="1" w:line="480" w:lineRule="auto"/>
        <w:jc w:val="both"/>
        <w:rPr>
          <w:rFonts w:ascii="Times New Roman" w:eastAsia="Times New Roman" w:hAnsi="Times New Roman" w:cs="Times New Roman"/>
          <w:color w:val="auto"/>
          <w:sz w:val="24"/>
          <w:szCs w:val="24"/>
        </w:rPr>
      </w:pPr>
      <w:r w:rsidRPr="004C51CC">
        <w:rPr>
          <w:rFonts w:ascii="Times New Roman" w:eastAsia="Times New Roman" w:hAnsi="Times New Roman" w:cs="Times New Roman"/>
          <w:color w:val="auto"/>
          <w:sz w:val="24"/>
          <w:szCs w:val="24"/>
        </w:rPr>
        <w:t xml:space="preserve">We </w:t>
      </w:r>
      <w:r w:rsidRPr="004C51CC">
        <w:rPr>
          <w:rFonts w:ascii="Times New Roman" w:hAnsi="Times New Roman"/>
          <w:color w:val="auto"/>
          <w:sz w:val="24"/>
        </w:rPr>
        <w:t xml:space="preserve">define </w:t>
      </w:r>
      <m:oMath>
        <m:sSub>
          <m:sSubPr>
            <m:ctrlPr>
              <w:rPr>
                <w:rFonts w:ascii="Cambria Math" w:hAnsi="Cambria Math"/>
                <w:i/>
                <w:color w:val="auto"/>
                <w:sz w:val="24"/>
              </w:rPr>
            </m:ctrlPr>
          </m:sSubPr>
          <m:e>
            <m:r>
              <w:rPr>
                <w:rFonts w:ascii="Cambria Math" w:hAnsi="Cambria Math"/>
                <w:color w:val="auto"/>
                <w:sz w:val="24"/>
              </w:rPr>
              <m:t>π</m:t>
            </m:r>
          </m:e>
          <m:sub>
            <m:r>
              <w:rPr>
                <w:rFonts w:ascii="Cambria Math" w:hAnsi="Cambria Math"/>
                <w:color w:val="auto"/>
                <w:sz w:val="24"/>
              </w:rPr>
              <m:t>0</m:t>
            </m:r>
          </m:sub>
        </m:sSub>
      </m:oMath>
      <w:r w:rsidRPr="004C51CC">
        <w:rPr>
          <w:rFonts w:ascii="Times New Roman" w:hAnsi="Times New Roman"/>
          <w:color w:val="auto"/>
          <w:sz w:val="24"/>
        </w:rPr>
        <w:t xml:space="preserve"> as the behaviour policy (the clinicians’), from which actual patient data was generated and </w:t>
      </w:r>
      <m:oMath>
        <m:sSub>
          <m:sSubPr>
            <m:ctrlPr>
              <w:rPr>
                <w:rFonts w:ascii="Cambria Math" w:hAnsi="Cambria Math"/>
                <w:i/>
                <w:color w:val="auto"/>
                <w:sz w:val="24"/>
              </w:rPr>
            </m:ctrlPr>
          </m:sSubPr>
          <m:e>
            <m:r>
              <w:rPr>
                <w:rFonts w:ascii="Cambria Math" w:hAnsi="Cambria Math"/>
                <w:color w:val="auto"/>
                <w:sz w:val="24"/>
              </w:rPr>
              <m:t>π</m:t>
            </m:r>
          </m:e>
          <m:sub>
            <m:r>
              <w:rPr>
                <w:rFonts w:ascii="Cambria Math" w:hAnsi="Cambria Math"/>
                <w:color w:val="auto"/>
                <w:sz w:val="24"/>
              </w:rPr>
              <m:t>1</m:t>
            </m:r>
          </m:sub>
        </m:sSub>
      </m:oMath>
      <w:r w:rsidRPr="004C51CC">
        <w:rPr>
          <w:rFonts w:ascii="Times New Roman" w:hAnsi="Times New Roman"/>
          <w:color w:val="auto"/>
          <w:sz w:val="24"/>
        </w:rPr>
        <w:t xml:space="preserve"> as the evaluation, or AI policy</w:t>
      </w:r>
      <w:r w:rsidRPr="004C51CC">
        <w:rPr>
          <w:rFonts w:ascii="Times New Roman" w:eastAsia="Times New Roman" w:hAnsi="Times New Roman" w:cs="Times New Roman"/>
          <w:color w:val="auto"/>
          <w:sz w:val="24"/>
          <w:szCs w:val="24"/>
        </w:rPr>
        <w:t xml:space="preserve">. </w:t>
      </w:r>
      <w:r w:rsidR="00FA0127" w:rsidRPr="004C51CC">
        <w:rPr>
          <w:rFonts w:ascii="Times New Roman" w:eastAsia="Times New Roman" w:hAnsi="Times New Roman" w:cs="Times New Roman"/>
          <w:color w:val="auto"/>
          <w:sz w:val="24"/>
          <w:szCs w:val="24"/>
        </w:rPr>
        <w:t xml:space="preserve">In </w:t>
      </w:r>
      <w:r w:rsidR="00FA0127" w:rsidRPr="004C51CC">
        <w:rPr>
          <w:rFonts w:ascii="Times New Roman" w:eastAsia="Times New Roman" w:hAnsi="Times New Roman" w:cs="Times New Roman"/>
          <w:sz w:val="24"/>
          <w:szCs w:val="24"/>
        </w:rPr>
        <w:t>OPE tasks, importance sampling is a simple way to correct for the discrepancy between</w:t>
      </w:r>
      <w:r w:rsidRPr="004C51CC">
        <w:rPr>
          <w:rFonts w:ascii="Times New Roman" w:hAnsi="Times New Roman"/>
          <w:color w:val="auto"/>
          <w:sz w:val="24"/>
        </w:rPr>
        <w:t xml:space="preserve"> </w:t>
      </w:r>
      <m:oMath>
        <m:sSub>
          <m:sSubPr>
            <m:ctrlPr>
              <w:rPr>
                <w:rFonts w:ascii="Cambria Math" w:hAnsi="Cambria Math"/>
                <w:i/>
                <w:color w:val="auto"/>
                <w:sz w:val="24"/>
              </w:rPr>
            </m:ctrlPr>
          </m:sSubPr>
          <m:e>
            <m:r>
              <w:rPr>
                <w:rFonts w:ascii="Cambria Math" w:hAnsi="Cambria Math"/>
                <w:color w:val="auto"/>
                <w:sz w:val="24"/>
              </w:rPr>
              <m:t>π</m:t>
            </m:r>
          </m:e>
          <m:sub>
            <m:r>
              <w:rPr>
                <w:rFonts w:ascii="Cambria Math" w:hAnsi="Cambria Math"/>
                <w:color w:val="auto"/>
                <w:sz w:val="24"/>
              </w:rPr>
              <m:t>0</m:t>
            </m:r>
          </m:sub>
        </m:sSub>
      </m:oMath>
      <w:r w:rsidRPr="004C51CC">
        <w:rPr>
          <w:rFonts w:ascii="Times New Roman" w:hAnsi="Times New Roman"/>
          <w:color w:val="auto"/>
          <w:sz w:val="24"/>
        </w:rPr>
        <w:t xml:space="preserve"> and </w:t>
      </w:r>
      <m:oMath>
        <m:sSub>
          <m:sSubPr>
            <m:ctrlPr>
              <w:rPr>
                <w:rFonts w:ascii="Cambria Math" w:hAnsi="Cambria Math"/>
                <w:i/>
                <w:color w:val="auto"/>
                <w:sz w:val="24"/>
              </w:rPr>
            </m:ctrlPr>
          </m:sSubPr>
          <m:e>
            <m:r>
              <w:rPr>
                <w:rFonts w:ascii="Cambria Math" w:hAnsi="Cambria Math"/>
                <w:color w:val="auto"/>
                <w:sz w:val="24"/>
              </w:rPr>
              <m:t>π</m:t>
            </m:r>
          </m:e>
          <m:sub>
            <m:r>
              <w:rPr>
                <w:rFonts w:ascii="Cambria Math" w:hAnsi="Cambria Math"/>
                <w:color w:val="auto"/>
                <w:sz w:val="24"/>
              </w:rPr>
              <m:t>1</m:t>
            </m:r>
          </m:sub>
        </m:sSub>
      </m:oMath>
      <w:r w:rsidR="00FA0127" w:rsidRPr="004C51CC">
        <w:rPr>
          <w:rFonts w:ascii="Times New Roman" w:hAnsi="Times New Roman" w:cs="Times New Roman"/>
          <w:sz w:val="24"/>
          <w:szCs w:val="24"/>
        </w:rPr>
        <w:fldChar w:fldCharType="begin"/>
      </w:r>
      <w:r w:rsidR="00FA0127" w:rsidRPr="004C51CC">
        <w:rPr>
          <w:rFonts w:ascii="Times New Roman" w:hAnsi="Times New Roman" w:cs="Times New Roman"/>
          <w:sz w:val="24"/>
          <w:szCs w:val="24"/>
        </w:rPr>
        <w:instrText xml:space="preserve"> ADDIN ZOTERO_ITEM CSL_CITATION {"citationID":"a2h2ggubsc","properties":{"formattedCitation":"\\super 41\\nosupersub{}","plainCitation":"41","noteIndex":0},"citationItems":[{"id":3042,"uris":["http://zotero.org/users/858056/items/B6UG2QTD"],"uri":["http://zotero.org/users/858056/items/B6UG2QTD"],"itemData":{"id":3042,"type":"article-journal","title":"Safe and Efficient Off-Policy Reinforcement Learning","container-title":"arXiv:1606.02647 [cs, stat]","source":"arXiv.org","abstract":"In this work, we take a fresh look at some old and new algorithms for off-policy, return-based reinforcement learning. Expressing these in a common form, we derive a novel algorithm, Retrace($\\lambda$), with three desired properties: (1) it has low variance; (2) it safely uses samples collected from any behaviour policy, whatever its degree of \"off-policyness\"; and (3) it is efficient as it makes the best use of samples collected from near on-policy behaviour policies. We analyze the contractive nature of the related operator under both off-policy policy evaluation and control settings and derive online sample-based algorithms. We believe this is the first return-based off-policy control algorithm converging a.s. to $Q^*$ without the GLIE assumption (Greedy in the Limit with Infinite Exploration). As a corollary, we prove the convergence of Watkins' Q($\\lambda$), which was an open problem since 1989. We illustrate the benefits of Retrace($\\lambda$) on a standard suite of Atari 2600 games.","URL":"http://arxiv.org/abs/1606.02647","note":"arXiv: 1606.02647","author":[{"family":"Munos","given":"Rémi"},{"family":"Stepleton","given":"Tom"},{"family":"Harutyunyan","given":"Anna"},{"family":"Bellemare","given":"Marc G."}],"issued":{"date-parts":[["2016",6,8]]},"accessed":{"date-parts":[["2018",2,14]]}}}],"schema":"https://github.com/citation-style-language/schema/raw/master/csl-citation.json"} </w:instrText>
      </w:r>
      <w:r w:rsidR="00FA0127" w:rsidRPr="004C51CC">
        <w:rPr>
          <w:rFonts w:ascii="Times New Roman" w:hAnsi="Times New Roman" w:cs="Times New Roman"/>
          <w:sz w:val="24"/>
          <w:szCs w:val="24"/>
        </w:rPr>
        <w:fldChar w:fldCharType="separate"/>
      </w:r>
      <w:r w:rsidR="00FA0127" w:rsidRPr="004C51CC">
        <w:rPr>
          <w:rFonts w:ascii="Times New Roman" w:hAnsi="Times New Roman" w:cs="Times New Roman"/>
          <w:sz w:val="24"/>
          <w:szCs w:val="24"/>
          <w:vertAlign w:val="superscript"/>
        </w:rPr>
        <w:t>41</w:t>
      </w:r>
      <w:r w:rsidR="00FA0127" w:rsidRPr="004C51CC">
        <w:rPr>
          <w:rFonts w:ascii="Times New Roman" w:hAnsi="Times New Roman" w:cs="Times New Roman"/>
          <w:sz w:val="24"/>
          <w:szCs w:val="24"/>
        </w:rPr>
        <w:fldChar w:fldCharType="end"/>
      </w:r>
      <w:r w:rsidR="00FA0127" w:rsidRPr="004C51CC">
        <w:rPr>
          <w:rFonts w:ascii="Times New Roman" w:hAnsi="Times New Roman" w:cs="Times New Roman"/>
          <w:sz w:val="24"/>
          <w:szCs w:val="24"/>
        </w:rPr>
        <w:t>. Weighting the estimate allows reduc</w:t>
      </w:r>
      <w:r w:rsidRPr="004C51CC">
        <w:rPr>
          <w:rFonts w:ascii="Times New Roman" w:hAnsi="Times New Roman" w:cs="Times New Roman"/>
          <w:sz w:val="24"/>
          <w:szCs w:val="24"/>
        </w:rPr>
        <w:t>ing</w:t>
      </w:r>
      <w:r w:rsidR="00FA0127" w:rsidRPr="004C51CC">
        <w:rPr>
          <w:rFonts w:ascii="Times New Roman" w:hAnsi="Times New Roman" w:cs="Times New Roman"/>
          <w:sz w:val="24"/>
          <w:szCs w:val="24"/>
        </w:rPr>
        <w:t xml:space="preserve"> its variance</w:t>
      </w:r>
      <w:r w:rsidR="00FA0127" w:rsidRPr="004C51CC">
        <w:rPr>
          <w:rFonts w:ascii="Times New Roman" w:hAnsi="Times New Roman" w:cs="Times New Roman"/>
          <w:sz w:val="24"/>
          <w:szCs w:val="24"/>
        </w:rPr>
        <w:fldChar w:fldCharType="begin"/>
      </w:r>
      <w:r w:rsidR="00FA0127" w:rsidRPr="004C51CC">
        <w:rPr>
          <w:rFonts w:ascii="Times New Roman" w:hAnsi="Times New Roman" w:cs="Times New Roman"/>
          <w:sz w:val="24"/>
          <w:szCs w:val="24"/>
        </w:rPr>
        <w:instrText xml:space="preserve"> ADDIN ZOTERO_ITEM CSL_CITATION {"citationID":"a2chnkdmfhc","properties":{"formattedCitation":"\\super 38\\nosupersub{}","plainCitation":"38","noteIndex":0},"citationItems":[{"id":2919,"uris":["http://zotero.org/users/858056/items/CXQGRARU"],"uri":["http://zotero.org/users/858056/items/CXQGRARU"],"itemData":{"id":2919,"type":"article-journal","title":"Doubly Robust Off-policy Value Evaluation for Reinforcement Learning","container-title":"arXiv:1511.03722 [cs, stat]","source":"arXiv.org","abstract":"We study the problem of off-policy value evaluation in reinforcement learning (RL), where one aims to estimate the value of a new policy based on data collected by a different policy. This problem is often a critical step when applying RL in real-world problems. Despite its importance, existing general methods either have uncontrolled bias or suffer high variance. In this work, we extend the doubly robust estimator for bandits to sequential decision-making problems, which gets the best of both worlds: it is guaranteed to be unbiased and can have a much lower variance than the popular importance sampling estimators. We demonstrate the estimator's accuracy in several benchmark problems, and illustrate its use as a subroutine in safe policy improvement. We also provide theoretical results on the hardness of the problem, and show that our estimator can match the lower bound in certain scenarios.","URL":"http://arxiv.org/abs/1511.03722","note":"arXiv: 1511.03722","author":[{"family":"Jiang","given":"Nan"},{"family":"Li","given":"Lihong"}],"issued":{"date-parts":[["2015",11,11]]}}}],"schema":"https://github.com/citation-style-language/schema/raw/master/csl-citation.json"} </w:instrText>
      </w:r>
      <w:r w:rsidR="00FA0127" w:rsidRPr="004C51CC">
        <w:rPr>
          <w:rFonts w:ascii="Times New Roman" w:hAnsi="Times New Roman" w:cs="Times New Roman"/>
          <w:sz w:val="24"/>
          <w:szCs w:val="24"/>
        </w:rPr>
        <w:fldChar w:fldCharType="separate"/>
      </w:r>
      <w:r w:rsidR="00FA0127" w:rsidRPr="004C51CC">
        <w:rPr>
          <w:rFonts w:ascii="Times New Roman" w:hAnsi="Times New Roman" w:cs="Times New Roman"/>
          <w:sz w:val="24"/>
          <w:szCs w:val="24"/>
          <w:vertAlign w:val="superscript"/>
        </w:rPr>
        <w:t>38</w:t>
      </w:r>
      <w:r w:rsidR="00FA0127" w:rsidRPr="004C51CC">
        <w:rPr>
          <w:rFonts w:ascii="Times New Roman" w:hAnsi="Times New Roman" w:cs="Times New Roman"/>
          <w:sz w:val="24"/>
          <w:szCs w:val="24"/>
        </w:rPr>
        <w:fldChar w:fldCharType="end"/>
      </w:r>
      <w:r w:rsidR="00FA0127" w:rsidRPr="004C51CC">
        <w:rPr>
          <w:rFonts w:ascii="Times New Roman" w:hAnsi="Times New Roman" w:cs="Times New Roman"/>
          <w:sz w:val="24"/>
          <w:szCs w:val="24"/>
        </w:rPr>
        <w:t>.</w:t>
      </w:r>
      <w:r w:rsidR="00BB3A4D">
        <w:rPr>
          <w:rFonts w:ascii="Times New Roman" w:hAnsi="Times New Roman" w:cs="Times New Roman"/>
          <w:sz w:val="24"/>
          <w:szCs w:val="24"/>
        </w:rPr>
        <w:t xml:space="preserve"> U</w:t>
      </w:r>
      <w:r w:rsidR="00FA0127" w:rsidRPr="004C51CC">
        <w:rPr>
          <w:rFonts w:ascii="Times New Roman" w:hAnsi="Times New Roman" w:cs="Times New Roman"/>
          <w:color w:val="222222"/>
          <w:sz w:val="24"/>
          <w:szCs w:val="24"/>
        </w:rPr>
        <w:t>sing IS methods with a deterministic evaluation policy is problematic, since only a few {</w:t>
      </w:r>
      <w:proofErr w:type="spellStart"/>
      <w:r w:rsidR="00FA0127" w:rsidRPr="004C51CC">
        <w:rPr>
          <w:rFonts w:ascii="Times New Roman" w:hAnsi="Times New Roman" w:cs="Times New Roman"/>
          <w:color w:val="222222"/>
          <w:sz w:val="24"/>
          <w:szCs w:val="24"/>
        </w:rPr>
        <w:t>s</w:t>
      </w:r>
      <w:proofErr w:type="gramStart"/>
      <w:r w:rsidR="00FA0127" w:rsidRPr="004C51CC">
        <w:rPr>
          <w:rFonts w:ascii="Times New Roman" w:hAnsi="Times New Roman" w:cs="Times New Roman"/>
          <w:color w:val="222222"/>
          <w:sz w:val="24"/>
          <w:szCs w:val="24"/>
        </w:rPr>
        <w:t>,a</w:t>
      </w:r>
      <w:proofErr w:type="spellEnd"/>
      <w:proofErr w:type="gramEnd"/>
      <w:r w:rsidR="00FA0127" w:rsidRPr="004C51CC">
        <w:rPr>
          <w:rFonts w:ascii="Times New Roman" w:hAnsi="Times New Roman" w:cs="Times New Roman"/>
          <w:color w:val="222222"/>
          <w:sz w:val="24"/>
          <w:szCs w:val="24"/>
        </w:rPr>
        <w:t>} pairs and short sequences can be used for policy evaluation. Indeed, the IS weights become zero as soon as the two policies diverge.</w:t>
      </w:r>
      <w:r w:rsidR="00310C87" w:rsidRPr="004C51CC">
        <w:rPr>
          <w:rFonts w:ascii="Times New Roman" w:hAnsi="Times New Roman" w:cs="Times New Roman"/>
          <w:color w:val="222222"/>
          <w:sz w:val="24"/>
          <w:szCs w:val="24"/>
        </w:rPr>
        <w:t xml:space="preserve"> </w:t>
      </w:r>
      <w:r w:rsidR="00FA0127" w:rsidRPr="004C51CC">
        <w:rPr>
          <w:rFonts w:ascii="Times New Roman" w:hAnsi="Times New Roman" w:cs="Times New Roman"/>
          <w:color w:val="222222"/>
          <w:sz w:val="24"/>
          <w:szCs w:val="24"/>
        </w:rPr>
        <w:t xml:space="preserve">We </w:t>
      </w:r>
      <w:proofErr w:type="gramStart"/>
      <w:r w:rsidR="00FA0127" w:rsidRPr="004C51CC">
        <w:rPr>
          <w:rFonts w:ascii="Times New Roman" w:hAnsi="Times New Roman" w:cs="Times New Roman"/>
          <w:color w:val="222222"/>
          <w:sz w:val="24"/>
          <w:szCs w:val="24"/>
        </w:rPr>
        <w:t xml:space="preserve">softened </w:t>
      </w:r>
      <w:proofErr w:type="gramEnd"/>
      <m:oMath>
        <m:sSub>
          <m:sSubPr>
            <m:ctrlPr>
              <w:rPr>
                <w:rFonts w:ascii="Cambria Math" w:hAnsi="Cambria Math" w:cs="Times New Roman"/>
                <w:i/>
                <w:color w:val="222222"/>
                <w:sz w:val="24"/>
                <w:szCs w:val="24"/>
              </w:rPr>
            </m:ctrlPr>
          </m:sSubPr>
          <m:e>
            <m:r>
              <w:rPr>
                <w:rFonts w:ascii="Cambria Math" w:hAnsi="Cambria Math" w:cs="Times New Roman"/>
                <w:color w:val="222222"/>
                <w:sz w:val="24"/>
                <w:szCs w:val="24"/>
              </w:rPr>
              <m:t>π</m:t>
            </m:r>
          </m:e>
          <m:sub>
            <m:r>
              <w:rPr>
                <w:rFonts w:ascii="Cambria Math" w:hAnsi="Cambria Math" w:cs="Times New Roman"/>
                <w:color w:val="222222"/>
                <w:sz w:val="24"/>
                <w:szCs w:val="24"/>
              </w:rPr>
              <m:t>1</m:t>
            </m:r>
          </m:sub>
        </m:sSub>
      </m:oMath>
      <w:r w:rsidR="00FA0127" w:rsidRPr="004C51CC">
        <w:rPr>
          <w:rFonts w:ascii="Times New Roman" w:hAnsi="Times New Roman" w:cs="Times New Roman"/>
          <w:color w:val="222222"/>
          <w:sz w:val="24"/>
          <w:szCs w:val="24"/>
        </w:rPr>
        <w:t>, which now recommends taking the suggested action 99% of the time, and any of the other actions a total of 1% of the time. This allows assessing the entirety of the patient trajectories.</w:t>
      </w:r>
      <w:r w:rsidR="00310C87" w:rsidRPr="004C51CC">
        <w:rPr>
          <w:rFonts w:ascii="Times New Roman" w:hAnsi="Times New Roman" w:cs="Times New Roman"/>
          <w:color w:val="222222"/>
          <w:sz w:val="24"/>
          <w:szCs w:val="24"/>
        </w:rPr>
        <w:t xml:space="preserve"> </w:t>
      </w:r>
      <w:r w:rsidR="00FA0127" w:rsidRPr="004C51CC">
        <w:rPr>
          <w:rFonts w:ascii="Times New Roman" w:eastAsia="Times New Roman" w:hAnsi="Times New Roman" w:cs="Times New Roman"/>
          <w:color w:val="auto"/>
          <w:sz w:val="24"/>
          <w:szCs w:val="24"/>
        </w:rPr>
        <w:t xml:space="preserve">Our goal is to estimate the value of </w:t>
      </w:r>
      <m:oMath>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π</m:t>
            </m:r>
          </m:e>
          <m:sub>
            <m:r>
              <w:rPr>
                <w:rFonts w:ascii="Cambria Math" w:eastAsia="Times New Roman" w:hAnsi="Cambria Math" w:cs="Times New Roman"/>
                <w:color w:val="auto"/>
                <w:sz w:val="24"/>
                <w:szCs w:val="24"/>
              </w:rPr>
              <m:t>1</m:t>
            </m:r>
          </m:sub>
        </m:sSub>
      </m:oMath>
      <w:r w:rsidR="00FA0127" w:rsidRPr="004C51CC">
        <w:rPr>
          <w:rFonts w:ascii="Times New Roman" w:eastAsia="Times New Roman" w:hAnsi="Times New Roman" w:cs="Times New Roman"/>
          <w:color w:val="auto"/>
          <w:sz w:val="24"/>
          <w:szCs w:val="24"/>
        </w:rPr>
        <w:t xml:space="preserve"> from data trajectories. We define </w:t>
      </w:r>
      <m:oMath>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ρ</m:t>
            </m:r>
          </m:e>
          <m:sub>
            <m:r>
              <w:rPr>
                <w:rFonts w:ascii="Cambria Math" w:eastAsia="Times New Roman" w:hAnsi="Cambria Math" w:cs="Times New Roman"/>
                <w:color w:val="auto"/>
                <w:sz w:val="24"/>
                <w:szCs w:val="24"/>
              </w:rPr>
              <m:t>t</m:t>
            </m:r>
          </m:sub>
        </m:sSub>
        <m:r>
          <w:rPr>
            <w:rFonts w:ascii="Cambria Math" w:eastAsia="Times New Roman" w:hAnsi="Cambria Math" w:cs="Times New Roman"/>
            <w:color w:val="auto"/>
            <w:sz w:val="24"/>
            <w:szCs w:val="24"/>
          </w:rPr>
          <m:t>≔</m:t>
        </m:r>
        <m:f>
          <m:fPr>
            <m:type m:val="lin"/>
            <m:ctrlPr>
              <w:rPr>
                <w:rFonts w:ascii="Cambria Math" w:eastAsia="Times New Roman" w:hAnsi="Cambria Math" w:cs="Times New Roman"/>
                <w:i/>
                <w:color w:val="auto"/>
                <w:sz w:val="24"/>
                <w:szCs w:val="24"/>
              </w:rPr>
            </m:ctrlPr>
          </m:fPr>
          <m:num>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π</m:t>
                </m:r>
              </m:e>
              <m:sub>
                <m:r>
                  <w:rPr>
                    <w:rFonts w:ascii="Cambria Math" w:eastAsia="Times New Roman" w:hAnsi="Cambria Math" w:cs="Times New Roman"/>
                    <w:color w:val="auto"/>
                    <w:sz w:val="24"/>
                    <w:szCs w:val="24"/>
                  </w:rPr>
                  <m:t>1</m:t>
                </m:r>
              </m:sub>
            </m:sSub>
            <m:r>
              <w:rPr>
                <w:rFonts w:ascii="Cambria Math" w:eastAsia="Times New Roman" w:hAnsi="Cambria Math" w:cs="Times New Roman"/>
                <w:color w:val="auto"/>
                <w:sz w:val="24"/>
                <w:szCs w:val="24"/>
              </w:rPr>
              <m:t>(</m:t>
            </m:r>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a</m:t>
                </m:r>
              </m:e>
              <m:sub>
                <m:r>
                  <w:rPr>
                    <w:rFonts w:ascii="Cambria Math" w:eastAsia="Times New Roman" w:hAnsi="Cambria Math" w:cs="Times New Roman"/>
                    <w:color w:val="auto"/>
                    <w:sz w:val="24"/>
                    <w:szCs w:val="24"/>
                  </w:rPr>
                  <m:t>t</m:t>
                </m:r>
              </m:sub>
            </m:sSub>
            <m:r>
              <w:rPr>
                <w:rFonts w:ascii="Cambria Math" w:eastAsia="Times New Roman" w:hAnsi="Cambria Math" w:cs="Times New Roman"/>
                <w:color w:val="auto"/>
                <w:sz w:val="24"/>
                <w:szCs w:val="24"/>
              </w:rPr>
              <m:t>|</m:t>
            </m:r>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s</m:t>
                </m:r>
              </m:e>
              <m:sub>
                <m:r>
                  <w:rPr>
                    <w:rFonts w:ascii="Cambria Math" w:eastAsia="Times New Roman" w:hAnsi="Cambria Math" w:cs="Times New Roman"/>
                    <w:color w:val="auto"/>
                    <w:sz w:val="24"/>
                    <w:szCs w:val="24"/>
                  </w:rPr>
                  <m:t>t</m:t>
                </m:r>
              </m:sub>
            </m:sSub>
            <m:r>
              <w:rPr>
                <w:rFonts w:ascii="Cambria Math" w:eastAsia="Times New Roman" w:hAnsi="Cambria Math" w:cs="Times New Roman"/>
                <w:color w:val="auto"/>
                <w:sz w:val="24"/>
                <w:szCs w:val="24"/>
              </w:rPr>
              <m:t>)</m:t>
            </m:r>
          </m:num>
          <m:den>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π</m:t>
                </m:r>
              </m:e>
              <m:sub>
                <m:r>
                  <w:rPr>
                    <w:rFonts w:ascii="Cambria Math" w:eastAsia="Times New Roman" w:hAnsi="Cambria Math" w:cs="Times New Roman"/>
                    <w:color w:val="auto"/>
                    <w:sz w:val="24"/>
                    <w:szCs w:val="24"/>
                  </w:rPr>
                  <m:t>0</m:t>
                </m:r>
              </m:sub>
            </m:sSub>
            <m:d>
              <m:dPr>
                <m:ctrlPr>
                  <w:rPr>
                    <w:rFonts w:ascii="Cambria Math" w:eastAsia="Times New Roman" w:hAnsi="Cambria Math" w:cs="Times New Roman"/>
                    <w:i/>
                    <w:color w:val="auto"/>
                    <w:sz w:val="24"/>
                    <w:szCs w:val="24"/>
                  </w:rPr>
                </m:ctrlPr>
              </m:dPr>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a</m:t>
                    </m:r>
                  </m:e>
                  <m:sub>
                    <m:r>
                      <w:rPr>
                        <w:rFonts w:ascii="Cambria Math" w:eastAsia="Times New Roman" w:hAnsi="Cambria Math" w:cs="Times New Roman"/>
                        <w:color w:val="auto"/>
                        <w:sz w:val="24"/>
                        <w:szCs w:val="24"/>
                      </w:rPr>
                      <m:t>t</m:t>
                    </m:r>
                  </m:sub>
                </m:sSub>
              </m:e>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s</m:t>
                    </m:r>
                  </m:e>
                  <m:sub>
                    <m:r>
                      <w:rPr>
                        <w:rFonts w:ascii="Cambria Math" w:eastAsia="Times New Roman" w:hAnsi="Cambria Math" w:cs="Times New Roman"/>
                        <w:color w:val="auto"/>
                        <w:sz w:val="24"/>
                        <w:szCs w:val="24"/>
                      </w:rPr>
                      <m:t>t</m:t>
                    </m:r>
                  </m:sub>
                </m:sSub>
              </m:e>
            </m:d>
          </m:den>
        </m:f>
      </m:oMath>
      <w:r w:rsidR="00FA0127" w:rsidRPr="004C51CC">
        <w:rPr>
          <w:rFonts w:ascii="Times New Roman" w:eastAsia="Times New Roman" w:hAnsi="Times New Roman" w:cs="Times New Roman"/>
          <w:color w:val="auto"/>
          <w:sz w:val="24"/>
          <w:szCs w:val="24"/>
        </w:rPr>
        <w:t xml:space="preserve"> as the </w:t>
      </w:r>
      <w:r w:rsidR="00FA0127" w:rsidRPr="004C51CC">
        <w:rPr>
          <w:rFonts w:ascii="Times New Roman" w:eastAsia="Times New Roman" w:hAnsi="Times New Roman" w:cs="Times New Roman"/>
          <w:color w:val="auto"/>
          <w:sz w:val="24"/>
          <w:szCs w:val="24"/>
        </w:rPr>
        <w:lastRenderedPageBreak/>
        <w:t>per-step importa</w:t>
      </w:r>
      <w:proofErr w:type="spellStart"/>
      <w:r w:rsidR="00FA0127" w:rsidRPr="004C51CC">
        <w:rPr>
          <w:rFonts w:ascii="Times New Roman" w:eastAsia="Times New Roman" w:hAnsi="Times New Roman" w:cs="Times New Roman"/>
          <w:color w:val="auto"/>
          <w:sz w:val="24"/>
          <w:szCs w:val="24"/>
        </w:rPr>
        <w:t>nce</w:t>
      </w:r>
      <w:proofErr w:type="spellEnd"/>
      <w:r w:rsidR="00FA0127" w:rsidRPr="004C51CC">
        <w:rPr>
          <w:rFonts w:ascii="Times New Roman" w:eastAsia="Times New Roman" w:hAnsi="Times New Roman" w:cs="Times New Roman"/>
          <w:color w:val="auto"/>
          <w:sz w:val="24"/>
          <w:szCs w:val="24"/>
        </w:rPr>
        <w:t xml:space="preserve"> ratio, </w:t>
      </w:r>
      <m:oMath>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ρ</m:t>
            </m:r>
          </m:e>
          <m:sub>
            <m:r>
              <w:rPr>
                <w:rFonts w:ascii="Cambria Math" w:eastAsia="Times New Roman" w:hAnsi="Cambria Math" w:cs="Times New Roman"/>
                <w:color w:val="auto"/>
                <w:sz w:val="24"/>
                <w:szCs w:val="24"/>
              </w:rPr>
              <m:t>1:t</m:t>
            </m:r>
          </m:sub>
        </m:sSub>
        <m:r>
          <w:rPr>
            <w:rFonts w:ascii="Cambria Math" w:eastAsia="Times New Roman" w:hAnsi="Cambria Math" w:cs="Times New Roman"/>
            <w:color w:val="auto"/>
            <w:sz w:val="24"/>
            <w:szCs w:val="24"/>
          </w:rPr>
          <m:t>≔</m:t>
        </m:r>
        <m:nary>
          <m:naryPr>
            <m:chr m:val="∏"/>
            <m:limLoc m:val="subSup"/>
            <m:ctrlPr>
              <w:rPr>
                <w:rFonts w:ascii="Cambria Math" w:eastAsia="Times New Roman" w:hAnsi="Cambria Math" w:cs="Times New Roman"/>
                <w:i/>
                <w:color w:val="auto"/>
                <w:sz w:val="24"/>
                <w:szCs w:val="24"/>
              </w:rPr>
            </m:ctrlPr>
          </m:naryPr>
          <m:sub>
            <m:sSup>
              <m:sSupPr>
                <m:ctrlPr>
                  <w:rPr>
                    <w:rFonts w:ascii="Cambria Math" w:eastAsia="Times New Roman" w:hAnsi="Cambria Math" w:cs="Times New Roman"/>
                    <w:i/>
                    <w:color w:val="auto"/>
                    <w:sz w:val="24"/>
                    <w:szCs w:val="24"/>
                  </w:rPr>
                </m:ctrlPr>
              </m:sSupPr>
              <m:e>
                <m:r>
                  <w:rPr>
                    <w:rFonts w:ascii="Cambria Math" w:eastAsia="Times New Roman" w:hAnsi="Cambria Math" w:cs="Times New Roman"/>
                    <w:color w:val="auto"/>
                    <w:sz w:val="24"/>
                    <w:szCs w:val="24"/>
                  </w:rPr>
                  <m:t>t</m:t>
                </m:r>
              </m:e>
              <m:sup>
                <m:r>
                  <w:rPr>
                    <w:rFonts w:ascii="Cambria Math" w:eastAsia="Times New Roman" w:hAnsi="Cambria Math" w:cs="Times New Roman"/>
                    <w:color w:val="auto"/>
                    <w:sz w:val="24"/>
                    <w:szCs w:val="24"/>
                  </w:rPr>
                  <m:t>'</m:t>
                </m:r>
              </m:sup>
            </m:sSup>
            <m:r>
              <w:rPr>
                <w:rFonts w:ascii="Cambria Math" w:eastAsia="Times New Roman" w:hAnsi="Cambria Math" w:cs="Times New Roman"/>
                <w:color w:val="auto"/>
                <w:sz w:val="24"/>
                <w:szCs w:val="24"/>
              </w:rPr>
              <m:t>=1</m:t>
            </m:r>
          </m:sub>
          <m:sup>
            <m:r>
              <w:rPr>
                <w:rFonts w:ascii="Cambria Math" w:eastAsia="Times New Roman" w:hAnsi="Cambria Math" w:cs="Times New Roman"/>
                <w:color w:val="auto"/>
                <w:sz w:val="24"/>
                <w:szCs w:val="24"/>
              </w:rPr>
              <m:t>t</m:t>
            </m:r>
          </m:sup>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ρ</m:t>
                </m:r>
              </m:e>
              <m:sub>
                <m:r>
                  <w:rPr>
                    <w:rFonts w:ascii="Cambria Math" w:eastAsia="Times New Roman" w:hAnsi="Cambria Math" w:cs="Times New Roman"/>
                    <w:color w:val="auto"/>
                    <w:sz w:val="24"/>
                    <w:szCs w:val="24"/>
                  </w:rPr>
                  <m:t>t'</m:t>
                </m:r>
              </m:sub>
            </m:sSub>
          </m:e>
        </m:nary>
      </m:oMath>
      <w:r w:rsidR="00FA0127" w:rsidRPr="004C51CC">
        <w:rPr>
          <w:rFonts w:ascii="Times New Roman" w:eastAsia="Times New Roman" w:hAnsi="Times New Roman" w:cs="Times New Roman"/>
          <w:color w:val="auto"/>
          <w:sz w:val="24"/>
          <w:szCs w:val="24"/>
        </w:rPr>
        <w:t xml:space="preserve"> as the cumulative importance ratio up to step </w:t>
      </w:r>
      <m:oMath>
        <m:r>
          <w:rPr>
            <w:rFonts w:ascii="Cambria Math" w:eastAsia="Times New Roman" w:hAnsi="Cambria Math" w:cs="Times New Roman"/>
            <w:color w:val="auto"/>
            <w:sz w:val="24"/>
            <w:szCs w:val="24"/>
          </w:rPr>
          <m:t>t</m:t>
        </m:r>
      </m:oMath>
      <w:r w:rsidR="00FA0127" w:rsidRPr="004C51CC">
        <w:rPr>
          <w:rFonts w:ascii="Times New Roman" w:eastAsia="Times New Roman" w:hAnsi="Times New Roman" w:cs="Times New Roman"/>
          <w:color w:val="auto"/>
          <w:sz w:val="24"/>
          <w:szCs w:val="24"/>
        </w:rPr>
        <w:t xml:space="preserve">, </w:t>
      </w:r>
      <m:oMath>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w</m:t>
            </m:r>
          </m:e>
          <m:sub>
            <m:r>
              <w:rPr>
                <w:rFonts w:ascii="Cambria Math" w:eastAsia="Times New Roman" w:hAnsi="Cambria Math" w:cs="Times New Roman"/>
                <w:color w:val="auto"/>
                <w:sz w:val="24"/>
                <w:szCs w:val="24"/>
              </w:rPr>
              <m:t>t</m:t>
            </m:r>
          </m:sub>
        </m:sSub>
        <m:r>
          <w:rPr>
            <w:rFonts w:ascii="Cambria Math" w:eastAsia="Times New Roman" w:hAnsi="Cambria Math" w:cs="Times New Roman"/>
            <w:color w:val="auto"/>
            <w:sz w:val="24"/>
            <w:szCs w:val="24"/>
          </w:rPr>
          <m:t>=</m:t>
        </m:r>
        <m:nary>
          <m:naryPr>
            <m:chr m:val="∑"/>
            <m:limLoc m:val="subSup"/>
            <m:ctrlPr>
              <w:rPr>
                <w:rFonts w:ascii="Cambria Math" w:eastAsia="Times New Roman" w:hAnsi="Cambria Math" w:cs="Times New Roman"/>
                <w:i/>
                <w:color w:val="auto"/>
                <w:sz w:val="24"/>
                <w:szCs w:val="24"/>
              </w:rPr>
            </m:ctrlPr>
          </m:naryPr>
          <m:sub>
            <m:r>
              <w:rPr>
                <w:rFonts w:ascii="Cambria Math" w:eastAsia="Times New Roman" w:hAnsi="Cambria Math" w:cs="Times New Roman"/>
                <w:color w:val="auto"/>
                <w:sz w:val="24"/>
                <w:szCs w:val="24"/>
              </w:rPr>
              <m:t>i=1</m:t>
            </m:r>
          </m:sub>
          <m:sup>
            <m:r>
              <w:rPr>
                <w:rFonts w:ascii="Cambria Math" w:eastAsia="Times New Roman" w:hAnsi="Cambria Math" w:cs="Times New Roman"/>
                <w:color w:val="auto"/>
                <w:sz w:val="24"/>
                <w:szCs w:val="24"/>
              </w:rPr>
              <m:t>|D|</m:t>
            </m:r>
          </m:sup>
          <m:e>
            <m:f>
              <m:fPr>
                <m:type m:val="lin"/>
                <m:ctrlPr>
                  <w:rPr>
                    <w:rFonts w:ascii="Cambria Math" w:eastAsia="Times New Roman" w:hAnsi="Cambria Math" w:cs="Times New Roman"/>
                    <w:i/>
                    <w:color w:val="auto"/>
                    <w:sz w:val="24"/>
                    <w:szCs w:val="24"/>
                  </w:rPr>
                </m:ctrlPr>
              </m:fPr>
              <m:num>
                <m:sSubSup>
                  <m:sSubSupPr>
                    <m:ctrlPr>
                      <w:rPr>
                        <w:rFonts w:ascii="Cambria Math" w:eastAsia="Times New Roman" w:hAnsi="Cambria Math" w:cs="Times New Roman"/>
                        <w:i/>
                        <w:color w:val="auto"/>
                        <w:sz w:val="24"/>
                        <w:szCs w:val="24"/>
                      </w:rPr>
                    </m:ctrlPr>
                  </m:sSubSupPr>
                  <m:e>
                    <m:r>
                      <w:rPr>
                        <w:rFonts w:ascii="Cambria Math" w:eastAsia="Times New Roman" w:hAnsi="Cambria Math" w:cs="Times New Roman"/>
                        <w:color w:val="auto"/>
                        <w:sz w:val="24"/>
                        <w:szCs w:val="24"/>
                      </w:rPr>
                      <m:t>ρ</m:t>
                    </m:r>
                  </m:e>
                  <m:sub>
                    <m:r>
                      <w:rPr>
                        <w:rFonts w:ascii="Cambria Math" w:eastAsia="Times New Roman" w:hAnsi="Cambria Math" w:cs="Times New Roman"/>
                        <w:color w:val="auto"/>
                        <w:sz w:val="24"/>
                        <w:szCs w:val="24"/>
                      </w:rPr>
                      <m:t>1:t</m:t>
                    </m:r>
                  </m:sub>
                  <m:sup>
                    <m:r>
                      <w:rPr>
                        <w:rFonts w:ascii="Cambria Math" w:eastAsia="Times New Roman" w:hAnsi="Cambria Math" w:cs="Times New Roman"/>
                        <w:color w:val="auto"/>
                        <w:sz w:val="24"/>
                        <w:szCs w:val="24"/>
                      </w:rPr>
                      <m:t>(i)</m:t>
                    </m:r>
                  </m:sup>
                </m:sSubSup>
              </m:num>
              <m:den>
                <m:r>
                  <w:rPr>
                    <w:rFonts w:ascii="Cambria Math" w:eastAsia="Times New Roman" w:hAnsi="Cambria Math" w:cs="Times New Roman"/>
                    <w:color w:val="auto"/>
                    <w:sz w:val="24"/>
                    <w:szCs w:val="24"/>
                  </w:rPr>
                  <m:t>|D|</m:t>
                </m:r>
              </m:den>
            </m:f>
          </m:e>
        </m:nary>
      </m:oMath>
      <w:r w:rsidR="00FA0127" w:rsidRPr="004C51CC">
        <w:rPr>
          <w:rFonts w:ascii="Times New Roman" w:eastAsia="Times New Roman" w:hAnsi="Times New Roman" w:cs="Times New Roman"/>
          <w:color w:val="auto"/>
          <w:sz w:val="24"/>
          <w:szCs w:val="24"/>
        </w:rPr>
        <w:t xml:space="preserve"> as the average cumulative importance ratio at horizon </w:t>
      </w:r>
      <m:oMath>
        <m:r>
          <w:rPr>
            <w:rFonts w:ascii="Cambria Math" w:eastAsia="Times New Roman" w:hAnsi="Cambria Math" w:cs="Times New Roman"/>
            <w:color w:val="auto"/>
            <w:sz w:val="24"/>
            <w:szCs w:val="24"/>
          </w:rPr>
          <m:t>t</m:t>
        </m:r>
      </m:oMath>
      <w:r w:rsidR="00FA0127" w:rsidRPr="004C51CC">
        <w:rPr>
          <w:rFonts w:ascii="Times New Roman" w:eastAsia="Times New Roman" w:hAnsi="Times New Roman" w:cs="Times New Roman"/>
          <w:color w:val="auto"/>
          <w:sz w:val="24"/>
          <w:szCs w:val="24"/>
        </w:rPr>
        <w:t xml:space="preserve"> in dataset </w:t>
      </w:r>
      <m:oMath>
        <m:r>
          <w:rPr>
            <w:rFonts w:ascii="Cambria Math" w:eastAsia="Times New Roman" w:hAnsi="Cambria Math" w:cs="Times New Roman"/>
            <w:color w:val="auto"/>
            <w:sz w:val="24"/>
            <w:szCs w:val="24"/>
          </w:rPr>
          <m:t>D</m:t>
        </m:r>
      </m:oMath>
      <w:r w:rsidR="00FA0127" w:rsidRPr="004C51CC">
        <w:rPr>
          <w:rFonts w:ascii="Times New Roman" w:eastAsia="Times New Roman" w:hAnsi="Times New Roman" w:cs="Times New Roman"/>
          <w:color w:val="auto"/>
          <w:sz w:val="24"/>
          <w:szCs w:val="24"/>
        </w:rPr>
        <w:t xml:space="preserve">, </w:t>
      </w:r>
      <m:oMath>
        <m:d>
          <m:dPr>
            <m:begChr m:val="|"/>
            <m:endChr m:val="|"/>
            <m:ctrlPr>
              <w:rPr>
                <w:rFonts w:ascii="Cambria Math" w:eastAsia="Times New Roman" w:hAnsi="Cambria Math" w:cs="Times New Roman"/>
                <w:i/>
                <w:color w:val="auto"/>
                <w:sz w:val="24"/>
                <w:szCs w:val="24"/>
              </w:rPr>
            </m:ctrlPr>
          </m:dPr>
          <m:e>
            <m:r>
              <w:rPr>
                <w:rFonts w:ascii="Cambria Math" w:eastAsia="Times New Roman" w:hAnsi="Cambria Math" w:cs="Times New Roman"/>
                <w:color w:val="auto"/>
                <w:sz w:val="24"/>
                <w:szCs w:val="24"/>
              </w:rPr>
              <m:t>D</m:t>
            </m:r>
          </m:e>
        </m:d>
      </m:oMath>
      <w:r w:rsidR="00FA0127" w:rsidRPr="004C51CC">
        <w:rPr>
          <w:rFonts w:ascii="Times New Roman" w:eastAsia="Times New Roman" w:hAnsi="Times New Roman" w:cs="Times New Roman"/>
          <w:color w:val="auto"/>
          <w:sz w:val="24"/>
          <w:szCs w:val="24"/>
        </w:rPr>
        <w:t xml:space="preserve"> the number of trajectories in </w:t>
      </w:r>
      <m:oMath>
        <m:r>
          <w:rPr>
            <w:rFonts w:ascii="Cambria Math" w:eastAsia="Times New Roman" w:hAnsi="Cambria Math" w:cs="Times New Roman"/>
            <w:color w:val="auto"/>
            <w:sz w:val="24"/>
            <w:szCs w:val="24"/>
          </w:rPr>
          <m:t>D</m:t>
        </m:r>
      </m:oMath>
      <w:r w:rsidR="00FA0127" w:rsidRPr="004C51CC">
        <w:rPr>
          <w:rFonts w:ascii="Times New Roman" w:eastAsia="Times New Roman" w:hAnsi="Times New Roman" w:cs="Times New Roman"/>
          <w:color w:val="auto"/>
          <w:sz w:val="24"/>
          <w:szCs w:val="24"/>
        </w:rPr>
        <w:fldChar w:fldCharType="begin"/>
      </w:r>
      <w:r w:rsidR="00FA0127" w:rsidRPr="004C51CC">
        <w:rPr>
          <w:rFonts w:ascii="Times New Roman" w:eastAsia="Times New Roman" w:hAnsi="Times New Roman" w:cs="Times New Roman"/>
          <w:color w:val="auto"/>
          <w:sz w:val="24"/>
          <w:szCs w:val="24"/>
        </w:rPr>
        <w:instrText xml:space="preserve"> ADDIN ZOTERO_ITEM CSL_CITATION {"citationID":"a5fhn6ij1e","properties":{"formattedCitation":"\\super 19,38\\nosupersub{}","plainCitation":"19,38","noteIndex":0},"citationItems":[{"id":2919,"uris":["http://zotero.org/users/858056/items/CXQGRARU"],"uri":["http://zotero.org/users/858056/items/CXQGRARU"],"itemData":{"id":2919,"type":"article-journal","title":"Doubly Robust Off-policy Value Evaluation for Reinforcement Learning","container-title":"arXiv:1511.03722 [cs, stat]","source":"arXiv.org","abstract":"We study the problem of off-policy value evaluation in reinforcement learning (RL), where one aims to estimate the value of a new policy based on data collected by a different policy. This problem is often a critical step when applying RL in real-world problems. Despite its importance, existing general methods either have uncontrolled bias or suffer high variance. In this work, we extend the doubly robust estimator for bandits to sequential decision-making problems, which gets the best of both worlds: it is guaranteed to be unbiased and can have a much lower variance than the popular importance sampling estimators. We demonstrate the estimator's accuracy in several benchmark problems, and illustrate its use as a subroutine in safe policy improvement. We also provide theoretical results on the hardness of the problem, and show that our estimator can match the lower bound in certain scenarios.","URL":"http://arxiv.org/abs/1511.03722","note":"arXiv: 1511.03722","author":[{"family":"Jiang","given":"Nan"},{"family":"Li","given":"Lihong"}],"issued":{"date-parts":[["2015",11,11]]}}},{"id":3039,"uris":["http://zotero.org/users/858056/items/DCAM5DZB"],"uri":["http://zotero.org/users/858056/items/DCAM5DZB"],"itemData":{"id":3039,"type":"paper-conference","title":"High-Confidence Off-Policy Evaluation","container-title":"Twenty-Ninth AAAI Conference on Artificial Intelligence","source":"www.aaai.org","event":"Twenty-Ninth AAAI Conference on Artificial Intelligence","abstract":"Many reinforcement learning algorithms use trajectories collected from the execution of one or more policies to propose a new policy. Because execution of a bad policy can be costly or dangerous, techniques for evaluating the performance of the new policy without requiring its execution have been of recent interest in industry. Such off-policy evaluation methods, which estimate the performance of a policy using trajectories collected from the execution of other policies, heretofore have not provided confidences regarding the accuracy of their estimates. In this paper we propose an off-policy method for computing a lower confidence bound on the expected return of a policy.","URL":"https://www.aaai.org/ocs/index.php/AAAI/AAAI15/paper/view/10042","language":"en","author":[{"family":"Thomas","given":"Philip S."},{"family":"Theocharous","given":"Georgios"},{"family":"Ghavamzadeh","given":"Mohammad"}],"issued":{"date-parts":[["2015",2,21]]},"accessed":{"date-parts":[["2018",2,14]]}}}],"schema":"https://github.com/citation-style-language/schema/raw/master/csl-citation.json"} </w:instrText>
      </w:r>
      <w:r w:rsidR="00FA0127" w:rsidRPr="004C51CC">
        <w:rPr>
          <w:rFonts w:ascii="Times New Roman" w:eastAsia="Times New Roman" w:hAnsi="Times New Roman" w:cs="Times New Roman"/>
          <w:color w:val="auto"/>
          <w:sz w:val="24"/>
          <w:szCs w:val="24"/>
        </w:rPr>
        <w:fldChar w:fldCharType="separate"/>
      </w:r>
      <w:r w:rsidR="00FA0127" w:rsidRPr="004C51CC">
        <w:rPr>
          <w:rFonts w:ascii="Times New Roman" w:hAnsi="Times New Roman" w:cs="Times New Roman"/>
          <w:sz w:val="24"/>
          <w:szCs w:val="24"/>
          <w:vertAlign w:val="superscript"/>
        </w:rPr>
        <w:t>19,38</w:t>
      </w:r>
      <w:r w:rsidR="00FA0127" w:rsidRPr="004C51CC">
        <w:rPr>
          <w:rFonts w:ascii="Times New Roman" w:eastAsia="Times New Roman" w:hAnsi="Times New Roman" w:cs="Times New Roman"/>
          <w:color w:val="auto"/>
          <w:sz w:val="24"/>
          <w:szCs w:val="24"/>
        </w:rPr>
        <w:fldChar w:fldCharType="end"/>
      </w:r>
      <w:r w:rsidR="00FA0127" w:rsidRPr="004C51CC">
        <w:rPr>
          <w:rFonts w:ascii="Times New Roman" w:eastAsia="Times New Roman" w:hAnsi="Times New Roman" w:cs="Times New Roman"/>
          <w:color w:val="auto"/>
          <w:sz w:val="24"/>
          <w:szCs w:val="24"/>
        </w:rPr>
        <w:t>.</w:t>
      </w:r>
    </w:p>
    <w:p w14:paraId="1C2A1D78"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color w:val="auto"/>
          <w:sz w:val="24"/>
          <w:szCs w:val="24"/>
        </w:rPr>
      </w:pPr>
      <w:r w:rsidRPr="004C51CC">
        <w:rPr>
          <w:rFonts w:ascii="Times New Roman" w:eastAsia="Times New Roman" w:hAnsi="Times New Roman" w:cs="Times New Roman"/>
          <w:color w:val="auto"/>
          <w:sz w:val="24"/>
          <w:szCs w:val="24"/>
        </w:rPr>
        <w:t>The trajectory-wise WIS estimator is given by:</w:t>
      </w:r>
    </w:p>
    <w:p w14:paraId="16B957B1" w14:textId="77777777" w:rsidR="00FA0127" w:rsidRPr="004C51CC" w:rsidRDefault="000E52D6" w:rsidP="00FA0127">
      <w:pPr>
        <w:spacing w:before="100" w:beforeAutospacing="1" w:after="100" w:afterAutospacing="1" w:line="480" w:lineRule="auto"/>
        <w:jc w:val="center"/>
        <w:rPr>
          <w:rFonts w:ascii="Times New Roman" w:eastAsia="Times New Roman" w:hAnsi="Times New Roman" w:cs="Times New Roman"/>
          <w:color w:val="auto"/>
          <w:sz w:val="24"/>
          <w:szCs w:val="24"/>
        </w:rPr>
      </w:pPr>
      <m:oMath>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V</m:t>
            </m:r>
          </m:e>
          <m:sub>
            <m:r>
              <w:rPr>
                <w:rFonts w:ascii="Cambria Math" w:eastAsia="Times New Roman" w:hAnsi="Cambria Math" w:cs="Times New Roman"/>
                <w:color w:val="auto"/>
                <w:sz w:val="24"/>
                <w:szCs w:val="24"/>
              </w:rPr>
              <m:t>WIS</m:t>
            </m:r>
          </m:sub>
        </m:sSub>
        <m:r>
          <w:rPr>
            <w:rFonts w:ascii="Cambria Math" w:eastAsia="Times New Roman" w:hAnsi="Cambria Math" w:cs="Times New Roman"/>
            <w:color w:val="auto"/>
            <w:sz w:val="24"/>
            <w:szCs w:val="24"/>
          </w:rPr>
          <m:t xml:space="preserve">= </m:t>
        </m:r>
        <m:f>
          <m:fPr>
            <m:ctrlPr>
              <w:rPr>
                <w:rFonts w:ascii="Cambria Math" w:eastAsia="Times New Roman" w:hAnsi="Cambria Math" w:cs="Times New Roman"/>
                <w:i/>
                <w:color w:val="auto"/>
                <w:sz w:val="24"/>
                <w:szCs w:val="24"/>
              </w:rPr>
            </m:ctrlPr>
          </m:fPr>
          <m:num>
            <m:r>
              <w:rPr>
                <w:rFonts w:ascii="Cambria Math" w:eastAsia="Times New Roman" w:hAnsi="Cambria Math" w:cs="Times New Roman"/>
                <w:color w:val="auto"/>
                <w:sz w:val="24"/>
                <w:szCs w:val="24"/>
              </w:rPr>
              <m:t>ρ1:H</m:t>
            </m:r>
          </m:num>
          <m:den>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w</m:t>
                </m:r>
              </m:e>
              <m:sub>
                <m:r>
                  <w:rPr>
                    <w:rFonts w:ascii="Cambria Math" w:eastAsia="Times New Roman" w:hAnsi="Cambria Math" w:cs="Times New Roman"/>
                    <w:color w:val="auto"/>
                    <w:sz w:val="24"/>
                    <w:szCs w:val="24"/>
                  </w:rPr>
                  <m:t>H</m:t>
                </m:r>
              </m:sub>
            </m:sSub>
          </m:den>
        </m:f>
        <m:d>
          <m:dPr>
            <m:ctrlPr>
              <w:rPr>
                <w:rFonts w:ascii="Cambria Math" w:eastAsia="Times New Roman" w:hAnsi="Cambria Math" w:cs="Times New Roman"/>
                <w:i/>
                <w:color w:val="auto"/>
                <w:sz w:val="24"/>
                <w:szCs w:val="24"/>
              </w:rPr>
            </m:ctrlPr>
          </m:dPr>
          <m:e>
            <m:nary>
              <m:naryPr>
                <m:chr m:val="∑"/>
                <m:limLoc m:val="subSup"/>
                <m:ctrlPr>
                  <w:rPr>
                    <w:rFonts w:ascii="Cambria Math" w:eastAsia="Times New Roman" w:hAnsi="Cambria Math" w:cs="Times New Roman"/>
                    <w:i/>
                    <w:color w:val="auto"/>
                    <w:sz w:val="24"/>
                    <w:szCs w:val="24"/>
                  </w:rPr>
                </m:ctrlPr>
              </m:naryPr>
              <m:sub>
                <m:r>
                  <w:rPr>
                    <w:rFonts w:ascii="Cambria Math" w:eastAsia="Times New Roman" w:hAnsi="Cambria Math" w:cs="Times New Roman"/>
                    <w:color w:val="auto"/>
                    <w:sz w:val="24"/>
                    <w:szCs w:val="24"/>
                  </w:rPr>
                  <m:t>t=1</m:t>
                </m:r>
              </m:sub>
              <m:sup>
                <m:r>
                  <w:rPr>
                    <w:rFonts w:ascii="Cambria Math" w:eastAsia="Times New Roman" w:hAnsi="Cambria Math" w:cs="Times New Roman"/>
                    <w:color w:val="auto"/>
                    <w:sz w:val="24"/>
                    <w:szCs w:val="24"/>
                  </w:rPr>
                  <m:t>H</m:t>
                </m:r>
              </m:sup>
              <m:e>
                <m:sSup>
                  <m:sSupPr>
                    <m:ctrlPr>
                      <w:rPr>
                        <w:rFonts w:ascii="Cambria Math" w:eastAsia="Times New Roman" w:hAnsi="Cambria Math" w:cs="Times New Roman"/>
                        <w:i/>
                        <w:color w:val="auto"/>
                        <w:sz w:val="24"/>
                        <w:szCs w:val="24"/>
                      </w:rPr>
                    </m:ctrlPr>
                  </m:sSupPr>
                  <m:e>
                    <m:r>
                      <w:rPr>
                        <w:rFonts w:ascii="Cambria Math" w:eastAsia="Times New Roman" w:hAnsi="Cambria Math" w:cs="Times New Roman"/>
                        <w:color w:val="auto"/>
                        <w:sz w:val="24"/>
                        <w:szCs w:val="24"/>
                      </w:rPr>
                      <m:t>γ</m:t>
                    </m:r>
                  </m:e>
                  <m:sup>
                    <m:r>
                      <w:rPr>
                        <w:rFonts w:ascii="Cambria Math" w:eastAsia="Times New Roman" w:hAnsi="Cambria Math" w:cs="Times New Roman"/>
                        <w:color w:val="auto"/>
                        <w:sz w:val="24"/>
                        <w:szCs w:val="24"/>
                      </w:rPr>
                      <m:t>t-1</m:t>
                    </m:r>
                  </m:sup>
                </m:sSup>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r</m:t>
                    </m:r>
                  </m:e>
                  <m:sub>
                    <m:r>
                      <w:rPr>
                        <w:rFonts w:ascii="Cambria Math" w:eastAsia="Times New Roman" w:hAnsi="Cambria Math" w:cs="Times New Roman"/>
                        <w:color w:val="auto"/>
                        <w:sz w:val="24"/>
                        <w:szCs w:val="24"/>
                      </w:rPr>
                      <m:t>t</m:t>
                    </m:r>
                  </m:sub>
                </m:sSub>
              </m:e>
            </m:nary>
          </m:e>
        </m:d>
      </m:oMath>
      <w:r w:rsidR="00FA0127" w:rsidRPr="004C51CC">
        <w:rPr>
          <w:rFonts w:ascii="Times New Roman" w:eastAsia="Times New Roman" w:hAnsi="Times New Roman" w:cs="Times New Roman"/>
          <w:color w:val="auto"/>
          <w:sz w:val="24"/>
          <w:szCs w:val="24"/>
        </w:rPr>
        <w:t xml:space="preserve">               (4)</w:t>
      </w:r>
    </w:p>
    <w:p w14:paraId="5F65E5A2"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color w:val="auto"/>
          <w:sz w:val="24"/>
          <w:szCs w:val="24"/>
        </w:rPr>
      </w:pPr>
      <w:r w:rsidRPr="004C51CC">
        <w:rPr>
          <w:rFonts w:ascii="Times New Roman" w:eastAsia="Times New Roman" w:hAnsi="Times New Roman" w:cs="Times New Roman"/>
          <w:color w:val="auto"/>
          <w:sz w:val="24"/>
          <w:szCs w:val="24"/>
        </w:rPr>
        <w:t>Then, the WIS estimator is the average estimate over all trajectories, namely:</w:t>
      </w:r>
    </w:p>
    <w:p w14:paraId="63276ADD" w14:textId="77777777" w:rsidR="00FA0127" w:rsidRPr="004C51CC" w:rsidRDefault="00FA0127" w:rsidP="00FA0127">
      <w:pPr>
        <w:spacing w:before="100" w:beforeAutospacing="1" w:after="100" w:afterAutospacing="1" w:line="480" w:lineRule="auto"/>
        <w:jc w:val="center"/>
        <w:rPr>
          <w:rFonts w:ascii="Times New Roman" w:eastAsia="Times New Roman" w:hAnsi="Times New Roman" w:cs="Times New Roman"/>
          <w:color w:val="auto"/>
          <w:sz w:val="24"/>
          <w:szCs w:val="24"/>
        </w:rPr>
      </w:pPr>
      <m:oMath>
        <m:r>
          <w:rPr>
            <w:rFonts w:ascii="Cambria Math" w:eastAsia="Times New Roman" w:hAnsi="Cambria Math" w:cs="Times New Roman"/>
            <w:color w:val="auto"/>
            <w:sz w:val="24"/>
            <w:szCs w:val="24"/>
          </w:rPr>
          <m:t>WIS=</m:t>
        </m:r>
        <m:f>
          <m:fPr>
            <m:ctrlPr>
              <w:rPr>
                <w:rFonts w:ascii="Cambria Math" w:eastAsia="Times New Roman" w:hAnsi="Cambria Math" w:cs="Times New Roman"/>
                <w:i/>
                <w:color w:val="auto"/>
                <w:sz w:val="24"/>
                <w:szCs w:val="24"/>
              </w:rPr>
            </m:ctrlPr>
          </m:fPr>
          <m:num>
            <m:r>
              <w:rPr>
                <w:rFonts w:ascii="Cambria Math" w:eastAsia="Times New Roman" w:hAnsi="Cambria Math" w:cs="Times New Roman"/>
                <w:color w:val="auto"/>
                <w:sz w:val="24"/>
                <w:szCs w:val="24"/>
              </w:rPr>
              <m:t>1</m:t>
            </m:r>
          </m:num>
          <m:den>
            <m:r>
              <w:rPr>
                <w:rFonts w:ascii="Cambria Math" w:eastAsia="Times New Roman" w:hAnsi="Cambria Math" w:cs="Times New Roman"/>
                <w:color w:val="auto"/>
                <w:sz w:val="24"/>
                <w:szCs w:val="24"/>
              </w:rPr>
              <m:t>|D|</m:t>
            </m:r>
          </m:den>
        </m:f>
        <m:nary>
          <m:naryPr>
            <m:chr m:val="∑"/>
            <m:limLoc m:val="subSup"/>
            <m:ctrlPr>
              <w:rPr>
                <w:rFonts w:ascii="Cambria Math" w:eastAsia="Times New Roman" w:hAnsi="Cambria Math" w:cs="Times New Roman"/>
                <w:i/>
                <w:color w:val="auto"/>
                <w:sz w:val="24"/>
                <w:szCs w:val="24"/>
              </w:rPr>
            </m:ctrlPr>
          </m:naryPr>
          <m:sub>
            <m:r>
              <w:rPr>
                <w:rFonts w:ascii="Cambria Math" w:eastAsia="Times New Roman" w:hAnsi="Cambria Math" w:cs="Times New Roman"/>
                <w:color w:val="auto"/>
                <w:sz w:val="24"/>
                <w:szCs w:val="24"/>
              </w:rPr>
              <m:t>i=1</m:t>
            </m:r>
          </m:sub>
          <m:sup>
            <m:r>
              <w:rPr>
                <w:rFonts w:ascii="Cambria Math" w:eastAsia="Times New Roman" w:hAnsi="Cambria Math" w:cs="Times New Roman"/>
                <w:color w:val="auto"/>
                <w:sz w:val="24"/>
                <w:szCs w:val="24"/>
              </w:rPr>
              <m:t>|D|</m:t>
            </m:r>
          </m:sup>
          <m:e>
            <m:sSubSup>
              <m:sSubSupPr>
                <m:ctrlPr>
                  <w:rPr>
                    <w:rFonts w:ascii="Cambria Math" w:eastAsia="Times New Roman" w:hAnsi="Cambria Math" w:cs="Times New Roman"/>
                    <w:i/>
                    <w:color w:val="auto"/>
                    <w:sz w:val="24"/>
                    <w:szCs w:val="24"/>
                  </w:rPr>
                </m:ctrlPr>
              </m:sSubSupPr>
              <m:e>
                <m:r>
                  <w:rPr>
                    <w:rFonts w:ascii="Cambria Math" w:eastAsia="Times New Roman" w:hAnsi="Cambria Math" w:cs="Times New Roman"/>
                    <w:color w:val="auto"/>
                    <w:sz w:val="24"/>
                    <w:szCs w:val="24"/>
                  </w:rPr>
                  <m:t>V</m:t>
                </m:r>
              </m:e>
              <m:sub>
                <m:r>
                  <w:rPr>
                    <w:rFonts w:ascii="Cambria Math" w:eastAsia="Times New Roman" w:hAnsi="Cambria Math" w:cs="Times New Roman"/>
                    <w:color w:val="auto"/>
                    <w:sz w:val="24"/>
                    <w:szCs w:val="24"/>
                  </w:rPr>
                  <m:t>WIS</m:t>
                </m:r>
              </m:sub>
              <m:sup>
                <m:r>
                  <w:rPr>
                    <w:rFonts w:ascii="Cambria Math" w:eastAsia="Times New Roman" w:hAnsi="Cambria Math" w:cs="Times New Roman"/>
                    <w:color w:val="auto"/>
                    <w:sz w:val="24"/>
                    <w:szCs w:val="24"/>
                  </w:rPr>
                  <m:t>(i)</m:t>
                </m:r>
              </m:sup>
            </m:sSubSup>
          </m:e>
        </m:nary>
      </m:oMath>
      <w:r w:rsidRPr="004C51CC">
        <w:rPr>
          <w:rFonts w:ascii="Times New Roman" w:eastAsia="Times New Roman" w:hAnsi="Times New Roman" w:cs="Times New Roman"/>
          <w:color w:val="auto"/>
          <w:sz w:val="24"/>
          <w:szCs w:val="24"/>
        </w:rPr>
        <w:t xml:space="preserve">               (5)</w:t>
      </w:r>
    </w:p>
    <w:p w14:paraId="7A3B9984" w14:textId="77777777" w:rsidR="00FA0127" w:rsidRPr="004C51CC" w:rsidRDefault="00FA0127" w:rsidP="00FA0127">
      <w:pPr>
        <w:spacing w:before="100" w:beforeAutospacing="1" w:after="100" w:afterAutospacing="1" w:line="480" w:lineRule="auto"/>
        <w:jc w:val="both"/>
        <w:rPr>
          <w:rFonts w:ascii="Times New Roman" w:eastAsia="Times New Roman" w:hAnsi="Times New Roman" w:cs="Times New Roman"/>
          <w:color w:val="auto"/>
          <w:sz w:val="24"/>
          <w:szCs w:val="24"/>
        </w:rPr>
      </w:pPr>
      <w:r w:rsidRPr="004C51CC">
        <w:rPr>
          <w:rFonts w:ascii="Times New Roman" w:eastAsia="Times New Roman" w:hAnsi="Times New Roman" w:cs="Times New Roman"/>
          <w:color w:val="auto"/>
          <w:sz w:val="24"/>
          <w:szCs w:val="24"/>
        </w:rPr>
        <w:t xml:space="preserve">Where </w:t>
      </w:r>
      <m:oMath>
        <m:sSubSup>
          <m:sSubSupPr>
            <m:ctrlPr>
              <w:rPr>
                <w:rFonts w:ascii="Cambria Math" w:eastAsia="Times New Roman" w:hAnsi="Cambria Math" w:cs="Times New Roman"/>
                <w:i/>
                <w:color w:val="auto"/>
                <w:sz w:val="24"/>
                <w:szCs w:val="24"/>
              </w:rPr>
            </m:ctrlPr>
          </m:sSubSupPr>
          <m:e>
            <m:r>
              <w:rPr>
                <w:rFonts w:ascii="Cambria Math" w:eastAsia="Times New Roman" w:hAnsi="Cambria Math" w:cs="Times New Roman"/>
                <w:color w:val="auto"/>
                <w:sz w:val="24"/>
                <w:szCs w:val="24"/>
              </w:rPr>
              <m:t>V</m:t>
            </m:r>
          </m:e>
          <m:sub>
            <m:r>
              <w:rPr>
                <w:rFonts w:ascii="Cambria Math" w:eastAsia="Times New Roman" w:hAnsi="Cambria Math" w:cs="Times New Roman"/>
                <w:color w:val="auto"/>
                <w:sz w:val="24"/>
                <w:szCs w:val="24"/>
              </w:rPr>
              <m:t>WIS</m:t>
            </m:r>
          </m:sub>
          <m:sup>
            <m:r>
              <w:rPr>
                <w:rFonts w:ascii="Cambria Math" w:eastAsia="Times New Roman" w:hAnsi="Cambria Math" w:cs="Times New Roman"/>
                <w:color w:val="auto"/>
                <w:sz w:val="24"/>
                <w:szCs w:val="24"/>
              </w:rPr>
              <m:t>(i)</m:t>
            </m:r>
          </m:sup>
        </m:sSubSup>
      </m:oMath>
      <w:r w:rsidRPr="004C51CC">
        <w:rPr>
          <w:rFonts w:ascii="Times New Roman" w:eastAsia="Times New Roman" w:hAnsi="Times New Roman" w:cs="Times New Roman"/>
          <w:color w:val="auto"/>
          <w:sz w:val="24"/>
          <w:szCs w:val="24"/>
        </w:rPr>
        <w:t xml:space="preserve"> is WIS applied to the </w:t>
      </w:r>
      <m:oMath>
        <m:r>
          <w:rPr>
            <w:rFonts w:ascii="Cambria Math" w:eastAsia="Times New Roman" w:hAnsi="Cambria Math" w:cs="Times New Roman"/>
            <w:color w:val="auto"/>
            <w:sz w:val="24"/>
            <w:szCs w:val="24"/>
          </w:rPr>
          <m:t>i</m:t>
        </m:r>
      </m:oMath>
      <w:r w:rsidRPr="004C51CC">
        <w:rPr>
          <w:rFonts w:ascii="Times New Roman" w:eastAsia="Times New Roman" w:hAnsi="Times New Roman" w:cs="Times New Roman"/>
          <w:color w:val="auto"/>
          <w:sz w:val="24"/>
          <w:szCs w:val="24"/>
        </w:rPr>
        <w:t>-</w:t>
      </w:r>
      <w:proofErr w:type="gramStart"/>
      <w:r w:rsidRPr="004C51CC">
        <w:rPr>
          <w:rFonts w:ascii="Times New Roman" w:eastAsia="Times New Roman" w:hAnsi="Times New Roman" w:cs="Times New Roman"/>
          <w:color w:val="auto"/>
          <w:sz w:val="24"/>
          <w:szCs w:val="24"/>
        </w:rPr>
        <w:t>th</w:t>
      </w:r>
      <w:proofErr w:type="gramEnd"/>
      <w:r w:rsidRPr="004C51CC">
        <w:rPr>
          <w:rFonts w:ascii="Times New Roman" w:eastAsia="Times New Roman" w:hAnsi="Times New Roman" w:cs="Times New Roman"/>
          <w:color w:val="auto"/>
          <w:sz w:val="24"/>
          <w:szCs w:val="24"/>
        </w:rPr>
        <w:t xml:space="preserve"> trajectory.</w:t>
      </w:r>
    </w:p>
    <w:p w14:paraId="5B7D591C" w14:textId="2CAB1696" w:rsidR="00FA0127" w:rsidRPr="004C51CC" w:rsidRDefault="00FA0127" w:rsidP="00FA0127">
      <w:pPr>
        <w:pBdr>
          <w:top w:val="none" w:sz="0" w:space="0" w:color="auto"/>
          <w:left w:val="none" w:sz="0" w:space="0" w:color="auto"/>
          <w:bottom w:val="none" w:sz="0" w:space="0" w:color="auto"/>
          <w:right w:val="none" w:sz="0" w:space="0" w:color="auto"/>
          <w:between w:val="none" w:sz="0" w:space="0" w:color="auto"/>
        </w:pBdr>
        <w:tabs>
          <w:tab w:val="left" w:pos="8220"/>
        </w:tabs>
        <w:autoSpaceDE w:val="0"/>
        <w:autoSpaceDN w:val="0"/>
        <w:adjustRightInd w:val="0"/>
        <w:spacing w:before="100" w:beforeAutospacing="1" w:after="100" w:afterAutospacing="1" w:line="480" w:lineRule="auto"/>
        <w:jc w:val="both"/>
        <w:rPr>
          <w:rFonts w:ascii="Times New Roman" w:eastAsia="Times New Roman" w:hAnsi="Times New Roman" w:cs="Times New Roman"/>
          <w:color w:val="auto"/>
          <w:sz w:val="24"/>
          <w:szCs w:val="24"/>
        </w:rPr>
      </w:pPr>
      <w:r w:rsidRPr="004C51CC">
        <w:rPr>
          <w:rFonts w:ascii="Times New Roman" w:eastAsia="Times New Roman" w:hAnsi="Times New Roman" w:cs="Times New Roman"/>
          <w:color w:val="auto"/>
          <w:sz w:val="24"/>
          <w:szCs w:val="24"/>
        </w:rPr>
        <w:t xml:space="preserve">We built 500 different models from various random 80% of the MIMIC-III data, and evaluated the AI policies with WIS on the remaining 20% of the data. </w:t>
      </w:r>
      <w:r w:rsidRPr="004C51CC">
        <w:rPr>
          <w:rFonts w:ascii="Times New Roman" w:eastAsia="Times New Roman" w:hAnsi="Times New Roman" w:cs="Times New Roman"/>
          <w:sz w:val="24"/>
          <w:szCs w:val="24"/>
        </w:rPr>
        <w:t xml:space="preserve">State membership for test set data points was determined according to whichever training set cluster centroid they fell closest to. Once the state membership was known, we knew what the suggested action and its corresponding recommended dose of medications were. In each model, we also estimated the value of a random policy and a zero-drug policy, for comparison (Figure 2b). </w:t>
      </w:r>
      <w:r w:rsidRPr="004C51CC">
        <w:rPr>
          <w:rFonts w:ascii="Times New Roman" w:eastAsia="Times New Roman" w:hAnsi="Times New Roman" w:cs="Times New Roman"/>
          <w:color w:val="auto"/>
          <w:sz w:val="24"/>
          <w:szCs w:val="24"/>
        </w:rPr>
        <w:t>As recommended, the selected final model maximises the 95% confidence lower bound of the AI policy among the 500 candidate models</w:t>
      </w:r>
      <w:r w:rsidRPr="004C51CC">
        <w:rPr>
          <w:rFonts w:ascii="Times New Roman" w:eastAsia="Times New Roman" w:hAnsi="Times New Roman" w:cs="Times New Roman"/>
          <w:color w:val="auto"/>
          <w:sz w:val="24"/>
          <w:szCs w:val="24"/>
        </w:rPr>
        <w:fldChar w:fldCharType="begin"/>
      </w:r>
      <w:r w:rsidRPr="004C51CC">
        <w:rPr>
          <w:rFonts w:ascii="Times New Roman" w:eastAsia="Times New Roman" w:hAnsi="Times New Roman" w:cs="Times New Roman"/>
          <w:color w:val="auto"/>
          <w:sz w:val="24"/>
          <w:szCs w:val="24"/>
        </w:rPr>
        <w:instrText xml:space="preserve"> ADDIN ZOTERO_ITEM CSL_CITATION {"citationID":"ikCZXzrg","properties":{"formattedCitation":"\\super 20\\nosupersub{}","plainCitation":"20","noteIndex":0},"citationItems":[{"id":3032,"uris":["http://zotero.org/users/858056/items/XPD8WXQW"],"uri":["http://zotero.org/users/858056/items/XPD8WXQW"],"itemData":{"id":3032,"type":"article-journal","title":"Bootstrapping with Models: Confidence Intervals for Off-Policy Evaluation","container-title":"arXiv:1606.06126 [cs, stat]","source":"arXiv.org","abstract":"For an autonomous agent, executing a poor policy may be costly or even dangerous. For such agents, it is desirable to determine confidence interval lower bounds on the performance of any given policy without executing said policy. Current methods for exact high confidence off-policy evaluation that use importance sampling require a substantial amount of data to achieve a tight lower bound. Existing model-based methods only address the problem in discrete state spaces. Since exact bounds are intractable for many domains we trade off strict guarantees of safety for more data-efficient approximate bounds. In this context, we propose two bootstrapping off-policy evaluation methods which use learned MDP transition models in order to estimate lower confidence bounds on policy performance with limited data in both continuous and discrete state spaces. Since direct use of a model may introduce bias, we derive a theoretical upper bound on model bias for when the model transition function is estimated with i.i.d. trajectories. This bound broadens our understanding of the conditions under which model-based methods have high bias. Finally, we empirically evaluate our proposed methods and analyze the settings in which different bootstrapping off-policy confidence interval methods succeed and fail.","URL":"http://arxiv.org/abs/1606.06126","note":"arXiv: 1606.06126","shortTitle":"Bootstrapping with Models","author":[{"family":"Hanna","given":"Josiah P."},{"family":"Stone","given":"Peter"},{"family":"Niekum","given":"Scott"}],"issued":{"date-parts":[["2016",6,20]]},"accessed":{"date-parts":[["2018",2,14]]}}}],"schema":"https://github.com/citation-style-language/schema/raw/master/csl-citation.json"} </w:instrText>
      </w:r>
      <w:r w:rsidRPr="004C51CC">
        <w:rPr>
          <w:rFonts w:ascii="Times New Roman" w:eastAsia="Times New Roman" w:hAnsi="Times New Roman" w:cs="Times New Roman"/>
          <w:color w:val="auto"/>
          <w:sz w:val="24"/>
          <w:szCs w:val="24"/>
        </w:rPr>
        <w:fldChar w:fldCharType="separate"/>
      </w:r>
      <w:r w:rsidRPr="004C51CC">
        <w:rPr>
          <w:rFonts w:ascii="Times New Roman" w:hAnsi="Times New Roman" w:cs="Times New Roman"/>
          <w:sz w:val="24"/>
          <w:szCs w:val="24"/>
          <w:vertAlign w:val="superscript"/>
        </w:rPr>
        <w:t>20</w:t>
      </w:r>
      <w:r w:rsidRPr="004C51CC">
        <w:rPr>
          <w:rFonts w:ascii="Times New Roman" w:eastAsia="Times New Roman" w:hAnsi="Times New Roman" w:cs="Times New Roman"/>
          <w:color w:val="auto"/>
          <w:sz w:val="24"/>
          <w:szCs w:val="24"/>
        </w:rPr>
        <w:fldChar w:fldCharType="end"/>
      </w:r>
      <w:r w:rsidRPr="004C51CC">
        <w:rPr>
          <w:rFonts w:ascii="Times New Roman" w:eastAsia="Times New Roman" w:hAnsi="Times New Roman" w:cs="Times New Roman"/>
          <w:color w:val="auto"/>
          <w:sz w:val="24"/>
          <w:szCs w:val="24"/>
        </w:rPr>
        <w:t xml:space="preserve">. We demonstrate that </w:t>
      </w:r>
      <w:r w:rsidRPr="004C51CC">
        <w:rPr>
          <w:rFonts w:ascii="Times New Roman" w:eastAsia="Times New Roman" w:hAnsi="Times New Roman" w:cs="Times New Roman"/>
          <w:sz w:val="24"/>
          <w:szCs w:val="24"/>
        </w:rPr>
        <w:t xml:space="preserve">this bound consistently exceeded the 95% confidence upper bound of the clinicians’ policy provided that enough models were built (Figure 2a). </w:t>
      </w:r>
      <w:r w:rsidRPr="004C51CC">
        <w:rPr>
          <w:rFonts w:ascii="Times New Roman" w:eastAsia="Times New Roman" w:hAnsi="Times New Roman" w:cs="Times New Roman"/>
          <w:color w:val="auto"/>
          <w:sz w:val="24"/>
          <w:szCs w:val="24"/>
        </w:rPr>
        <w:t>Then, we tested the selected policy in the eRI (Figure 3a).</w:t>
      </w:r>
    </w:p>
    <w:p w14:paraId="72D06042" w14:textId="79C4557F" w:rsidR="00FA0127" w:rsidRPr="004C51CC" w:rsidRDefault="00FA0127" w:rsidP="00FA0127">
      <w:pPr>
        <w:pBdr>
          <w:top w:val="none" w:sz="0" w:space="0" w:color="auto"/>
          <w:left w:val="none" w:sz="0" w:space="0" w:color="auto"/>
          <w:bottom w:val="none" w:sz="0" w:space="0" w:color="auto"/>
          <w:right w:val="none" w:sz="0" w:space="0" w:color="auto"/>
          <w:between w:val="none" w:sz="0" w:space="0" w:color="auto"/>
        </w:pBdr>
        <w:tabs>
          <w:tab w:val="left" w:pos="8220"/>
        </w:tabs>
        <w:autoSpaceDE w:val="0"/>
        <w:autoSpaceDN w:val="0"/>
        <w:adjustRightInd w:val="0"/>
        <w:spacing w:before="100" w:beforeAutospacing="1" w:after="100" w:afterAutospacing="1" w:line="480" w:lineRule="auto"/>
        <w:jc w:val="both"/>
        <w:rPr>
          <w:rFonts w:ascii="Times New Roman" w:eastAsia="Times New Roman" w:hAnsi="Times New Roman" w:cs="Times New Roman"/>
          <w:color w:val="auto"/>
          <w:sz w:val="24"/>
          <w:szCs w:val="24"/>
        </w:rPr>
      </w:pPr>
      <w:r w:rsidRPr="004C51CC">
        <w:rPr>
          <w:rFonts w:ascii="Times New Roman" w:eastAsia="Times New Roman" w:hAnsi="Times New Roman" w:cs="Times New Roman"/>
          <w:color w:val="auto"/>
          <w:sz w:val="24"/>
          <w:szCs w:val="24"/>
        </w:rPr>
        <w:t xml:space="preserve">We also tested the influence of the variability of the behaviour policy by measuring the WIS estimator using 500 different behaviour policies (generated by 500 different clustering of the </w:t>
      </w:r>
      <w:r w:rsidRPr="004C51CC">
        <w:rPr>
          <w:rFonts w:ascii="Times New Roman" w:eastAsia="Times New Roman" w:hAnsi="Times New Roman" w:cs="Times New Roman"/>
          <w:color w:val="auto"/>
          <w:sz w:val="24"/>
          <w:szCs w:val="24"/>
        </w:rPr>
        <w:lastRenderedPageBreak/>
        <w:t>training data) but a fixed evaluation policy.</w:t>
      </w:r>
      <w:r w:rsidR="00BB3A4D">
        <w:rPr>
          <w:rFonts w:ascii="Times New Roman" w:eastAsia="Times New Roman" w:hAnsi="Times New Roman" w:cs="Times New Roman"/>
          <w:color w:val="auto"/>
          <w:sz w:val="24"/>
          <w:szCs w:val="24"/>
        </w:rPr>
        <w:t xml:space="preserve"> T</w:t>
      </w:r>
      <w:r w:rsidRPr="004C51CC">
        <w:rPr>
          <w:rFonts w:ascii="Times New Roman" w:eastAsia="Times New Roman" w:hAnsi="Times New Roman" w:cs="Times New Roman"/>
          <w:color w:val="auto"/>
          <w:sz w:val="24"/>
          <w:szCs w:val="24"/>
        </w:rPr>
        <w:t>he 95% lower bound of the AI policy exceeded the 95% upper bound of the clinicians’ policy</w:t>
      </w:r>
      <w:r w:rsidR="00BB3A4D">
        <w:rPr>
          <w:rFonts w:ascii="Times New Roman" w:eastAsia="Times New Roman" w:hAnsi="Times New Roman" w:cs="Times New Roman"/>
          <w:color w:val="auto"/>
          <w:sz w:val="24"/>
          <w:szCs w:val="24"/>
        </w:rPr>
        <w:t xml:space="preserve"> </w:t>
      </w:r>
      <w:r w:rsidR="00BB3A4D" w:rsidRPr="004C51CC">
        <w:rPr>
          <w:rFonts w:ascii="Times New Roman" w:eastAsia="Times New Roman" w:hAnsi="Times New Roman" w:cs="Times New Roman"/>
          <w:color w:val="auto"/>
          <w:sz w:val="24"/>
          <w:szCs w:val="24"/>
        </w:rPr>
        <w:t>66.4% of the time</w:t>
      </w:r>
      <w:r w:rsidRPr="004C51CC">
        <w:rPr>
          <w:rFonts w:ascii="Times New Roman" w:eastAsia="Times New Roman" w:hAnsi="Times New Roman" w:cs="Times New Roman"/>
          <w:color w:val="auto"/>
          <w:sz w:val="24"/>
          <w:szCs w:val="24"/>
        </w:rPr>
        <w:t>. Since we selected the AI policy maximising the WIS estimator, the models where the variability in the behaviour policy led to a low WIS estimator were by design discarded.</w:t>
      </w:r>
    </w:p>
    <w:p w14:paraId="3F09C30E" w14:textId="452AC7F8" w:rsidR="00FA0127" w:rsidRPr="004C51CC" w:rsidRDefault="00237AF8" w:rsidP="00FA0127">
      <w:pPr>
        <w:pBdr>
          <w:top w:val="none" w:sz="0" w:space="0" w:color="auto"/>
          <w:left w:val="none" w:sz="0" w:space="0" w:color="auto"/>
          <w:bottom w:val="none" w:sz="0" w:space="0" w:color="auto"/>
          <w:right w:val="none" w:sz="0" w:space="0" w:color="auto"/>
          <w:between w:val="none" w:sz="0" w:space="0" w:color="auto"/>
        </w:pBdr>
        <w:tabs>
          <w:tab w:val="left" w:pos="8220"/>
        </w:tabs>
        <w:autoSpaceDE w:val="0"/>
        <w:autoSpaceDN w:val="0"/>
        <w:adjustRightInd w:val="0"/>
        <w:spacing w:before="100" w:beforeAutospacing="1" w:after="100" w:afterAutospacing="1" w:line="480" w:lineRule="auto"/>
        <w:jc w:val="both"/>
        <w:rPr>
          <w:rFonts w:ascii="Times New Roman" w:eastAsia="Times New Roman" w:hAnsi="Times New Roman" w:cs="Times New Roman"/>
          <w:color w:val="auto"/>
          <w:sz w:val="24"/>
          <w:szCs w:val="24"/>
        </w:rPr>
      </w:pPr>
      <w:r w:rsidRPr="004C51CC">
        <w:rPr>
          <w:rFonts w:ascii="Times New Roman" w:hAnsi="Times New Roman" w:cs="Times New Roman"/>
          <w:color w:val="auto"/>
          <w:sz w:val="24"/>
          <w:szCs w:val="24"/>
        </w:rPr>
        <w:t>Because</w:t>
      </w:r>
      <w:r w:rsidR="00FA0127" w:rsidRPr="004C51CC">
        <w:rPr>
          <w:rFonts w:ascii="Times New Roman" w:hAnsi="Times New Roman" w:cs="Times New Roman"/>
          <w:color w:val="auto"/>
          <w:sz w:val="24"/>
          <w:szCs w:val="24"/>
        </w:rPr>
        <w:t xml:space="preserve"> laboratory results are recorded in the data at the time of sampling, a fraction of the </w:t>
      </w:r>
      <w:r w:rsidR="00FA0127" w:rsidRPr="004C51CC">
        <w:rPr>
          <w:rFonts w:ascii="Times New Roman" w:eastAsia="Times New Roman" w:hAnsi="Times New Roman" w:cs="Times New Roman"/>
          <w:color w:val="auto"/>
          <w:sz w:val="24"/>
          <w:szCs w:val="24"/>
        </w:rPr>
        <w:t>laboratory values would not have been immediately available to clinicians to inform decision making but were available to the AI Clinician. We tested the effect of this potential bias by shifting artificially all the “slow” laboratory tests (white blood cell count, platelet count, clotting, renal and liver function tests…) in the eRI cohort 4 hours into the future. This manipulation did not significantly alter the WIS estimator: 85.1 (IQR 85.1 - 86.0) (t-test p&gt;0.05).</w:t>
      </w:r>
    </w:p>
    <w:p w14:paraId="748CCC52" w14:textId="3A8E4272" w:rsidR="00FA0127" w:rsidRPr="004C51CC" w:rsidRDefault="00FA0127" w:rsidP="00FA0127">
      <w:pPr>
        <w:pBdr>
          <w:top w:val="none" w:sz="0" w:space="0" w:color="auto"/>
          <w:left w:val="none" w:sz="0" w:space="0" w:color="auto"/>
          <w:bottom w:val="none" w:sz="0" w:space="0" w:color="auto"/>
          <w:right w:val="none" w:sz="0" w:space="0" w:color="auto"/>
          <w:between w:val="none" w:sz="0" w:space="0" w:color="auto"/>
        </w:pBdr>
        <w:tabs>
          <w:tab w:val="left" w:pos="8220"/>
        </w:tabs>
        <w:autoSpaceDE w:val="0"/>
        <w:autoSpaceDN w:val="0"/>
        <w:adjustRightInd w:val="0"/>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 xml:space="preserve">Similarly to previous work, we </w:t>
      </w:r>
      <w:r w:rsidR="00D44E66">
        <w:rPr>
          <w:rFonts w:ascii="Times New Roman" w:eastAsia="Times New Roman" w:hAnsi="Times New Roman" w:cs="Times New Roman"/>
          <w:sz w:val="24"/>
          <w:szCs w:val="24"/>
        </w:rPr>
        <w:t xml:space="preserve">also measured the performance of the AI policy using direct indicators and </w:t>
      </w:r>
      <w:r w:rsidRPr="004C51CC">
        <w:rPr>
          <w:rFonts w:ascii="Times New Roman" w:eastAsia="Times New Roman" w:hAnsi="Times New Roman" w:cs="Times New Roman"/>
          <w:sz w:val="24"/>
          <w:szCs w:val="24"/>
        </w:rPr>
        <w:t>analysed patient outcomes as a function of the gap between clinicians and AI policies</w:t>
      </w:r>
      <w:r w:rsidRPr="004C51CC">
        <w:rPr>
          <w:rFonts w:ascii="Times New Roman" w:eastAsia="Times New Roman" w:hAnsi="Times New Roman" w:cs="Times New Roman"/>
          <w:sz w:val="24"/>
          <w:szCs w:val="24"/>
        </w:rPr>
        <w:fldChar w:fldCharType="begin"/>
      </w:r>
      <w:r w:rsidRPr="004C51CC">
        <w:rPr>
          <w:rFonts w:ascii="Times New Roman" w:eastAsia="Times New Roman" w:hAnsi="Times New Roman" w:cs="Times New Roman"/>
          <w:sz w:val="24"/>
          <w:szCs w:val="24"/>
        </w:rPr>
        <w:instrText xml:space="preserve"> ADDIN ZOTERO_ITEM CSL_CITATION {"citationID":"a1dstpfv1th","properties":{"formattedCitation":"\\super 15\\nosupersub{}","plainCitation":"15","noteIndex":0},"citationItems":[{"id":2904,"uris":["http://zotero.org/users/858056/items/AAWQ8IUC"],"uri":["http://zotero.org/users/858056/items/AAWQ8IUC"],"itemData":{"id":2904,"type":"article-journal","title":"A Reinforcement Learning Approach to Weaning of Mechanical Ventilation in Intensive Care Units","container-title":"arXiv:1704.06300 [cs]","source":"arXiv.org","abstract":"The management of invasive mechanical ventilation, and the regulation of sedation and analgesia during ventilation, constitutes a major part of the care of patients admitted to intensive care units. Both prolonged dependence on mechanical ventilation and premature extubation are associated with increased risk of complications and higher hospital costs, but clinical opinion on the best protocol for weaning patients off of a ventilator varies. This work aims to develop a decision support tool that uses available patient information to predict time-to-extubation readiness and to recommend a personalized regime of sedation dosage and ventilator support. To this end, we use off-policy reinforcement learning algorithms to determine the best action at a given patient state from sub-optimal historical ICU data. We compare treatment policies from fitted Q-iteration with extremely randomized trees and with feedforward neural networks, and demonstrate that the policies learnt show promise in recommending weaning protocols with improved outcomes, in terms of minimizing rates of reintubation and regulating physiological stability.","URL":"http://arxiv.org/abs/1704.06300","note":"arXiv: 1704.06300","author":[{"family":"Prasad","given":"Niranjani"},{"family":"Cheng","given":"Li-Fang"},{"family":"Chivers","given":"Corey"},{"family":"Draugelis","given":"Michael"},{"family":"Engelhardt","given":"Barbara E."}],"issued":{"date-parts":[["2017",4,20]]}}}],"schema":"https://github.com/citation-style-language/schema/raw/master/csl-citation.json"} </w:instrText>
      </w:r>
      <w:r w:rsidRPr="004C51CC">
        <w:rPr>
          <w:rFonts w:ascii="Times New Roman" w:eastAsia="Times New Roman" w:hAnsi="Times New Roman" w:cs="Times New Roman"/>
          <w:sz w:val="24"/>
          <w:szCs w:val="24"/>
        </w:rPr>
        <w:fldChar w:fldCharType="separate"/>
      </w:r>
      <w:r w:rsidRPr="004C51CC">
        <w:rPr>
          <w:rFonts w:ascii="Times New Roman" w:hAnsi="Times New Roman" w:cs="Times New Roman"/>
          <w:sz w:val="24"/>
          <w:szCs w:val="24"/>
          <w:vertAlign w:val="superscript"/>
        </w:rPr>
        <w:t>15</w:t>
      </w:r>
      <w:r w:rsidRPr="004C51CC">
        <w:rPr>
          <w:rFonts w:ascii="Times New Roman" w:eastAsia="Times New Roman" w:hAnsi="Times New Roman" w:cs="Times New Roman"/>
          <w:sz w:val="24"/>
          <w:szCs w:val="24"/>
        </w:rPr>
        <w:fldChar w:fldCharType="end"/>
      </w:r>
      <w:r w:rsidRPr="004C51CC">
        <w:rPr>
          <w:rFonts w:ascii="Times New Roman" w:eastAsia="Times New Roman" w:hAnsi="Times New Roman" w:cs="Times New Roman"/>
          <w:sz w:val="24"/>
          <w:szCs w:val="24"/>
        </w:rPr>
        <w:t>. Here, we analysed patient mortality in the test sets when the dose actually administered corresponded to or differed from the dose suggested by the AI policy (Figures 3d and 3e, Supplemental Figure 3). We used bootstrapping to generate confidence bounds.</w:t>
      </w:r>
    </w:p>
    <w:bookmarkEnd w:id="0"/>
    <w:p w14:paraId="5F4CE10A" w14:textId="77777777" w:rsidR="00816E88" w:rsidRPr="004C51CC" w:rsidRDefault="00816E88" w:rsidP="006E1D5E">
      <w:pPr>
        <w:spacing w:before="100" w:beforeAutospacing="1" w:after="100" w:afterAutospacing="1" w:line="480" w:lineRule="auto"/>
        <w:jc w:val="both"/>
        <w:rPr>
          <w:rFonts w:ascii="Times New Roman" w:eastAsia="Times New Roman" w:hAnsi="Times New Roman" w:cs="Times New Roman"/>
          <w:sz w:val="24"/>
          <w:szCs w:val="24"/>
        </w:rPr>
      </w:pPr>
    </w:p>
    <w:p w14:paraId="55AE8CEA" w14:textId="77777777" w:rsidR="00816E88" w:rsidRPr="004C51CC" w:rsidRDefault="00816E88" w:rsidP="006E1D5E">
      <w:pPr>
        <w:pStyle w:val="Heading1"/>
        <w:spacing w:before="100" w:beforeAutospacing="1" w:after="100" w:afterAutospacing="1" w:line="480" w:lineRule="auto"/>
        <w:rPr>
          <w:rFonts w:ascii="Times New Roman" w:hAnsi="Times New Roman" w:cs="Times New Roman"/>
        </w:rPr>
      </w:pPr>
      <w:r w:rsidRPr="004C51CC">
        <w:rPr>
          <w:rFonts w:ascii="Times New Roman" w:hAnsi="Times New Roman" w:cs="Times New Roman"/>
        </w:rPr>
        <w:t>Human subject data</w:t>
      </w:r>
    </w:p>
    <w:p w14:paraId="37ED5F89" w14:textId="4642F474" w:rsidR="00816E88" w:rsidRPr="004C51CC" w:rsidRDefault="00816E88" w:rsidP="006E1D5E">
      <w:pPr>
        <w:pStyle w:val="NoSpacing"/>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 xml:space="preserve">The institutional review board (IRB) of the Massachusetts Institute of Technology (No. 0403000206) and Beth Israel Deaconess Medical </w:t>
      </w:r>
      <w:proofErr w:type="spellStart"/>
      <w:r w:rsidRPr="004C51CC">
        <w:rPr>
          <w:rFonts w:ascii="Times New Roman" w:eastAsia="Times New Roman" w:hAnsi="Times New Roman" w:cs="Times New Roman"/>
          <w:sz w:val="24"/>
          <w:szCs w:val="24"/>
        </w:rPr>
        <w:t>Center</w:t>
      </w:r>
      <w:proofErr w:type="spellEnd"/>
      <w:r w:rsidRPr="004C51CC">
        <w:rPr>
          <w:rFonts w:ascii="Times New Roman" w:eastAsia="Times New Roman" w:hAnsi="Times New Roman" w:cs="Times New Roman"/>
          <w:sz w:val="24"/>
          <w:szCs w:val="24"/>
        </w:rPr>
        <w:t xml:space="preserve"> (2001-P-001699/14) approved the use of MIMIC-III for research. The use of the </w:t>
      </w:r>
      <w:r w:rsidR="005C52E4" w:rsidRPr="004C51CC">
        <w:rPr>
          <w:rFonts w:ascii="Times New Roman" w:eastAsia="Times New Roman" w:hAnsi="Times New Roman" w:cs="Times New Roman"/>
          <w:sz w:val="24"/>
          <w:szCs w:val="24"/>
        </w:rPr>
        <w:t>eRI</w:t>
      </w:r>
      <w:r w:rsidRPr="004C51CC">
        <w:rPr>
          <w:rFonts w:ascii="Times New Roman" w:eastAsia="Times New Roman" w:hAnsi="Times New Roman" w:cs="Times New Roman"/>
          <w:sz w:val="24"/>
          <w:szCs w:val="24"/>
        </w:rPr>
        <w:t xml:space="preserve"> database was approved by the </w:t>
      </w:r>
      <w:proofErr w:type="spellStart"/>
      <w:r w:rsidR="005C52E4" w:rsidRPr="004C51CC">
        <w:rPr>
          <w:rFonts w:ascii="Times New Roman" w:eastAsia="Times New Roman" w:hAnsi="Times New Roman" w:cs="Times New Roman"/>
          <w:sz w:val="24"/>
          <w:szCs w:val="24"/>
        </w:rPr>
        <w:t>eICU</w:t>
      </w:r>
      <w:proofErr w:type="spellEnd"/>
      <w:r w:rsidRPr="004C51CC">
        <w:rPr>
          <w:rFonts w:ascii="Times New Roman" w:eastAsia="Times New Roman" w:hAnsi="Times New Roman" w:cs="Times New Roman"/>
          <w:sz w:val="24"/>
          <w:szCs w:val="24"/>
        </w:rPr>
        <w:t xml:space="preserve"> research </w:t>
      </w:r>
      <w:r w:rsidRPr="004C51CC">
        <w:rPr>
          <w:rFonts w:ascii="Times New Roman" w:eastAsia="Times New Roman" w:hAnsi="Times New Roman" w:cs="Times New Roman"/>
          <w:sz w:val="24"/>
          <w:szCs w:val="24"/>
        </w:rPr>
        <w:lastRenderedPageBreak/>
        <w:t xml:space="preserve">committee and exempt from IRB approval as the database security schema and the re-identification risk were certified as meeting safe harbour standards by </w:t>
      </w:r>
      <w:proofErr w:type="spellStart"/>
      <w:r w:rsidRPr="004C51CC">
        <w:rPr>
          <w:rFonts w:ascii="Times New Roman" w:eastAsia="Times New Roman" w:hAnsi="Times New Roman" w:cs="Times New Roman"/>
          <w:sz w:val="24"/>
          <w:szCs w:val="24"/>
        </w:rPr>
        <w:t>Privacert</w:t>
      </w:r>
      <w:proofErr w:type="spellEnd"/>
      <w:r w:rsidRPr="004C51CC">
        <w:rPr>
          <w:rFonts w:ascii="Times New Roman" w:eastAsia="Times New Roman" w:hAnsi="Times New Roman" w:cs="Times New Roman"/>
          <w:sz w:val="24"/>
          <w:szCs w:val="24"/>
        </w:rPr>
        <w:t xml:space="preserve"> (Cambridge, MA) (45 Code of Federal Regulations 164.514(b)(1) and Health Insurance Portability and Accountability Act Certification no. 1031219-2).</w:t>
      </w:r>
    </w:p>
    <w:p w14:paraId="236217D3" w14:textId="77777777" w:rsidR="00816E88" w:rsidRPr="004C51CC" w:rsidRDefault="00816E88" w:rsidP="006E1D5E">
      <w:pPr>
        <w:pStyle w:val="NoSpacing"/>
        <w:spacing w:before="100" w:beforeAutospacing="1" w:after="100" w:afterAutospacing="1" w:line="480" w:lineRule="auto"/>
        <w:jc w:val="both"/>
        <w:rPr>
          <w:rFonts w:ascii="Times New Roman" w:eastAsia="Times New Roman" w:hAnsi="Times New Roman" w:cs="Times New Roman"/>
          <w:sz w:val="24"/>
          <w:szCs w:val="24"/>
        </w:rPr>
      </w:pPr>
    </w:p>
    <w:p w14:paraId="15BED79E" w14:textId="77777777" w:rsidR="00816E88" w:rsidRPr="004C51CC" w:rsidRDefault="00816E88" w:rsidP="006E1D5E">
      <w:pPr>
        <w:pStyle w:val="Heading1"/>
        <w:spacing w:before="100" w:beforeAutospacing="1" w:after="100" w:afterAutospacing="1" w:line="480" w:lineRule="auto"/>
        <w:rPr>
          <w:rFonts w:ascii="Times New Roman" w:hAnsi="Times New Roman" w:cs="Times New Roman"/>
        </w:rPr>
      </w:pPr>
      <w:r w:rsidRPr="004C51CC">
        <w:rPr>
          <w:rFonts w:ascii="Times New Roman" w:hAnsi="Times New Roman" w:cs="Times New Roman"/>
        </w:rPr>
        <w:t>Data availability</w:t>
      </w:r>
    </w:p>
    <w:p w14:paraId="6A8584F2" w14:textId="344244A4" w:rsidR="00816E88" w:rsidRPr="004C51CC" w:rsidRDefault="00816E88" w:rsidP="006E1D5E">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 xml:space="preserve">The two databases used in this research, MIMIC-III and </w:t>
      </w:r>
      <w:r w:rsidR="005C52E4" w:rsidRPr="004C51CC">
        <w:rPr>
          <w:rFonts w:ascii="Times New Roman" w:eastAsia="Times New Roman" w:hAnsi="Times New Roman" w:cs="Times New Roman"/>
          <w:sz w:val="24"/>
          <w:szCs w:val="24"/>
        </w:rPr>
        <w:t>eRI</w:t>
      </w:r>
      <w:r w:rsidRPr="004C51CC">
        <w:rPr>
          <w:rFonts w:ascii="Times New Roman" w:eastAsia="Times New Roman" w:hAnsi="Times New Roman" w:cs="Times New Roman"/>
          <w:sz w:val="24"/>
          <w:szCs w:val="24"/>
        </w:rPr>
        <w:t xml:space="preserve"> are available for access, in part or in total, by relevant parties subject to abiding by their usage policies. To facilitate the reproduction of our results, we provide the list of anonymous patient identifiers for both databases as supplementary files </w:t>
      </w:r>
      <w:r w:rsidRPr="004C51CC">
        <w:rPr>
          <w:rFonts w:ascii="Times New Roman" w:eastAsia="Times New Roman" w:hAnsi="Times New Roman" w:cs="Times New Roman"/>
          <w:i/>
          <w:sz w:val="24"/>
          <w:szCs w:val="24"/>
        </w:rPr>
        <w:t>patientIDs_MIMIC3.csv</w:t>
      </w:r>
      <w:r w:rsidRPr="004C51CC">
        <w:rPr>
          <w:rFonts w:ascii="Times New Roman" w:eastAsia="Times New Roman" w:hAnsi="Times New Roman" w:cs="Times New Roman"/>
          <w:sz w:val="24"/>
          <w:szCs w:val="24"/>
        </w:rPr>
        <w:t xml:space="preserve"> </w:t>
      </w:r>
      <w:r w:rsidRPr="008A46FB">
        <w:rPr>
          <w:rFonts w:ascii="Times New Roman" w:eastAsia="Times New Roman" w:hAnsi="Times New Roman" w:cs="Times New Roman"/>
          <w:sz w:val="24"/>
          <w:szCs w:val="24"/>
        </w:rPr>
        <w:t xml:space="preserve">and </w:t>
      </w:r>
      <w:r w:rsidR="005C52E4" w:rsidRPr="008A46FB">
        <w:rPr>
          <w:rFonts w:ascii="Times New Roman" w:eastAsia="Times New Roman" w:hAnsi="Times New Roman" w:cs="Times New Roman"/>
          <w:i/>
          <w:sz w:val="24"/>
          <w:szCs w:val="24"/>
        </w:rPr>
        <w:t>patientIDs_e</w:t>
      </w:r>
      <w:r w:rsidRPr="008A46FB">
        <w:rPr>
          <w:rFonts w:ascii="Times New Roman" w:eastAsia="Times New Roman" w:hAnsi="Times New Roman" w:cs="Times New Roman"/>
          <w:i/>
          <w:sz w:val="24"/>
          <w:szCs w:val="24"/>
        </w:rPr>
        <w:t>RI.csv</w:t>
      </w:r>
      <w:r w:rsidRPr="008A46FB">
        <w:rPr>
          <w:rFonts w:ascii="Times New Roman" w:eastAsia="Times New Roman" w:hAnsi="Times New Roman" w:cs="Times New Roman"/>
          <w:sz w:val="24"/>
          <w:szCs w:val="24"/>
        </w:rPr>
        <w:t>.</w:t>
      </w:r>
    </w:p>
    <w:p w14:paraId="13A79F94" w14:textId="77777777" w:rsidR="00816E88" w:rsidRPr="004C51CC" w:rsidRDefault="00816E88" w:rsidP="006E1D5E">
      <w:pPr>
        <w:spacing w:before="100" w:beforeAutospacing="1" w:after="100" w:afterAutospacing="1" w:line="480" w:lineRule="auto"/>
        <w:jc w:val="both"/>
        <w:rPr>
          <w:rFonts w:ascii="Times New Roman" w:eastAsia="Times New Roman" w:hAnsi="Times New Roman" w:cs="Times New Roman"/>
          <w:sz w:val="24"/>
          <w:szCs w:val="24"/>
        </w:rPr>
      </w:pPr>
    </w:p>
    <w:p w14:paraId="05E88FEF" w14:textId="77777777" w:rsidR="00816E88" w:rsidRPr="004C51CC" w:rsidRDefault="00816E88" w:rsidP="006E1D5E">
      <w:pPr>
        <w:pStyle w:val="Heading1"/>
        <w:spacing w:before="100" w:beforeAutospacing="1" w:after="100" w:afterAutospacing="1" w:line="480" w:lineRule="auto"/>
        <w:rPr>
          <w:rFonts w:ascii="Times New Roman" w:hAnsi="Times New Roman" w:cs="Times New Roman"/>
        </w:rPr>
      </w:pPr>
      <w:r w:rsidRPr="004C51CC">
        <w:rPr>
          <w:rFonts w:ascii="Times New Roman" w:hAnsi="Times New Roman" w:cs="Times New Roman"/>
        </w:rPr>
        <w:t>Computer code</w:t>
      </w:r>
    </w:p>
    <w:p w14:paraId="7133489D" w14:textId="4E946149" w:rsidR="00816E88" w:rsidRPr="0035121E" w:rsidRDefault="00253DA4" w:rsidP="006E1D5E">
      <w:pPr>
        <w:spacing w:before="100" w:beforeAutospacing="1" w:after="100" w:afterAutospacing="1" w:line="480" w:lineRule="auto"/>
        <w:jc w:val="both"/>
        <w:rPr>
          <w:rFonts w:ascii="Times New Roman" w:eastAsia="Times New Roman" w:hAnsi="Times New Roman" w:cs="Times New Roman"/>
          <w:sz w:val="24"/>
          <w:szCs w:val="24"/>
        </w:rPr>
      </w:pPr>
      <w:r w:rsidRPr="004C51CC">
        <w:rPr>
          <w:rFonts w:ascii="Times New Roman" w:eastAsia="Times New Roman" w:hAnsi="Times New Roman" w:cs="Times New Roman"/>
          <w:sz w:val="24"/>
          <w:szCs w:val="24"/>
        </w:rPr>
        <w:t>The</w:t>
      </w:r>
      <w:r w:rsidR="003832D2" w:rsidRPr="004C51CC">
        <w:rPr>
          <w:rFonts w:ascii="Times New Roman" w:eastAsia="Times New Roman" w:hAnsi="Times New Roman" w:cs="Times New Roman"/>
          <w:sz w:val="24"/>
          <w:szCs w:val="24"/>
        </w:rPr>
        <w:t xml:space="preserve"> databases were queried in </w:t>
      </w:r>
      <w:proofErr w:type="spellStart"/>
      <w:r w:rsidR="003832D2" w:rsidRPr="004C51CC">
        <w:rPr>
          <w:rFonts w:ascii="Times New Roman" w:eastAsia="Times New Roman" w:hAnsi="Times New Roman" w:cs="Times New Roman"/>
          <w:sz w:val="24"/>
          <w:szCs w:val="24"/>
        </w:rPr>
        <w:t>pgAdmin</w:t>
      </w:r>
      <w:proofErr w:type="spellEnd"/>
      <w:r w:rsidR="003832D2" w:rsidRPr="004C51CC">
        <w:rPr>
          <w:rFonts w:ascii="Times New Roman" w:eastAsia="Times New Roman" w:hAnsi="Times New Roman" w:cs="Times New Roman"/>
          <w:sz w:val="24"/>
          <w:szCs w:val="24"/>
        </w:rPr>
        <w:t xml:space="preserve"> 4 v 1.3, and computations were implemented in </w:t>
      </w:r>
      <w:proofErr w:type="spellStart"/>
      <w:r w:rsidR="003832D2" w:rsidRPr="004C51CC">
        <w:rPr>
          <w:rFonts w:ascii="Times New Roman" w:eastAsia="Times New Roman" w:hAnsi="Times New Roman" w:cs="Times New Roman"/>
          <w:sz w:val="24"/>
          <w:szCs w:val="24"/>
        </w:rPr>
        <w:t>Matlab</w:t>
      </w:r>
      <w:proofErr w:type="spellEnd"/>
      <w:r w:rsidR="003832D2" w:rsidRPr="004C51CC">
        <w:rPr>
          <w:rFonts w:ascii="Times New Roman" w:eastAsia="Times New Roman" w:hAnsi="Times New Roman" w:cs="Times New Roman"/>
          <w:sz w:val="24"/>
          <w:szCs w:val="24"/>
        </w:rPr>
        <w:t xml:space="preserve"> R2017a (</w:t>
      </w:r>
      <w:proofErr w:type="spellStart"/>
      <w:r w:rsidR="003832D2" w:rsidRPr="004C51CC">
        <w:rPr>
          <w:rFonts w:ascii="Times New Roman" w:eastAsia="Times New Roman" w:hAnsi="Times New Roman" w:cs="Times New Roman"/>
          <w:sz w:val="24"/>
          <w:szCs w:val="24"/>
        </w:rPr>
        <w:t>MathWorks</w:t>
      </w:r>
      <w:proofErr w:type="spellEnd"/>
      <w:r w:rsidR="003832D2" w:rsidRPr="004C51CC">
        <w:rPr>
          <w:rFonts w:ascii="Times New Roman" w:eastAsia="Times New Roman" w:hAnsi="Times New Roman" w:cs="Times New Roman"/>
          <w:sz w:val="24"/>
          <w:szCs w:val="24"/>
        </w:rPr>
        <w:t xml:space="preserve"> Inc.). </w:t>
      </w:r>
      <w:r w:rsidR="00816E88" w:rsidRPr="004C51CC">
        <w:rPr>
          <w:rFonts w:ascii="Times New Roman" w:eastAsia="Times New Roman" w:hAnsi="Times New Roman" w:cs="Times New Roman"/>
          <w:sz w:val="24"/>
          <w:szCs w:val="24"/>
        </w:rPr>
        <w:t xml:space="preserve">The SQL and </w:t>
      </w:r>
      <w:proofErr w:type="spellStart"/>
      <w:r w:rsidR="00816E88" w:rsidRPr="004C51CC">
        <w:rPr>
          <w:rFonts w:ascii="Times New Roman" w:eastAsia="Times New Roman" w:hAnsi="Times New Roman" w:cs="Times New Roman"/>
          <w:sz w:val="24"/>
          <w:szCs w:val="24"/>
        </w:rPr>
        <w:t>Matlab</w:t>
      </w:r>
      <w:proofErr w:type="spellEnd"/>
      <w:r w:rsidR="00816E88" w:rsidRPr="004C51CC">
        <w:rPr>
          <w:rFonts w:ascii="Times New Roman" w:eastAsia="Times New Roman" w:hAnsi="Times New Roman" w:cs="Times New Roman"/>
          <w:sz w:val="24"/>
          <w:szCs w:val="24"/>
        </w:rPr>
        <w:t xml:space="preserve"> code to recreate the models and generate the figures have been deposited and are available at </w:t>
      </w:r>
      <w:hyperlink r:id="rId7" w:history="1">
        <w:r w:rsidR="00816E88" w:rsidRPr="004C51CC">
          <w:rPr>
            <w:rStyle w:val="Hyperlink"/>
            <w:rFonts w:ascii="Times New Roman" w:eastAsia="Times New Roman" w:hAnsi="Times New Roman" w:cs="Times New Roman"/>
            <w:color w:val="0000FF"/>
            <w:sz w:val="24"/>
            <w:szCs w:val="24"/>
          </w:rPr>
          <w:t>https://github.com/matthieukomorowski/ICURL</w:t>
        </w:r>
      </w:hyperlink>
      <w:r w:rsidR="00816E88" w:rsidRPr="004C51CC">
        <w:rPr>
          <w:rFonts w:ascii="Times New Roman" w:eastAsia="Times New Roman" w:hAnsi="Times New Roman" w:cs="Times New Roman"/>
          <w:sz w:val="24"/>
          <w:szCs w:val="24"/>
        </w:rPr>
        <w:t>.</w:t>
      </w:r>
    </w:p>
    <w:p w14:paraId="09D7A1AE" w14:textId="77777777" w:rsidR="00AE53CB" w:rsidRPr="0035121E" w:rsidRDefault="00AE53CB" w:rsidP="006E1D5E">
      <w:pPr>
        <w:spacing w:before="100" w:beforeAutospacing="1" w:after="100" w:afterAutospacing="1" w:line="480" w:lineRule="auto"/>
        <w:jc w:val="both"/>
        <w:rPr>
          <w:rFonts w:ascii="Times New Roman" w:eastAsia="Times New Roman" w:hAnsi="Times New Roman" w:cs="Times New Roman"/>
          <w:sz w:val="24"/>
          <w:szCs w:val="24"/>
        </w:rPr>
      </w:pPr>
    </w:p>
    <w:p w14:paraId="30623E4B" w14:textId="26AA1F37" w:rsidR="00C01428" w:rsidRDefault="005B15EB" w:rsidP="006E1D5E">
      <w:pPr>
        <w:pStyle w:val="Heading1"/>
        <w:spacing w:before="100" w:beforeAutospacing="1" w:after="100" w:afterAutospacing="1" w:line="480" w:lineRule="auto"/>
        <w:rPr>
          <w:rFonts w:ascii="Times New Roman" w:eastAsia="Times New Roman" w:hAnsi="Times New Roman" w:cs="Times New Roman"/>
          <w:b/>
        </w:rPr>
      </w:pPr>
      <w:r w:rsidRPr="0035121E">
        <w:rPr>
          <w:rFonts w:ascii="Times New Roman" w:eastAsia="Times New Roman" w:hAnsi="Times New Roman" w:cs="Times New Roman"/>
          <w:b/>
        </w:rPr>
        <w:lastRenderedPageBreak/>
        <w:t>Additional references</w:t>
      </w:r>
    </w:p>
    <w:p w14:paraId="7A8093FA"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4C51CC">
        <w:rPr>
          <w:rFonts w:ascii="Times New Roman" w:hAnsi="Times New Roman" w:cs="Times New Roman"/>
          <w:sz w:val="24"/>
          <w:lang w:val="fr-FR"/>
        </w:rPr>
        <w:t>29.</w:t>
      </w:r>
      <w:r w:rsidRPr="004C51CC">
        <w:rPr>
          <w:rFonts w:ascii="Times New Roman" w:hAnsi="Times New Roman" w:cs="Times New Roman"/>
          <w:sz w:val="24"/>
          <w:lang w:val="fr-FR"/>
        </w:rPr>
        <w:tab/>
      </w:r>
      <w:proofErr w:type="spellStart"/>
      <w:r w:rsidRPr="004C51CC">
        <w:rPr>
          <w:rFonts w:ascii="Times New Roman" w:hAnsi="Times New Roman" w:cs="Times New Roman"/>
          <w:sz w:val="24"/>
          <w:lang w:val="fr-FR"/>
        </w:rPr>
        <w:t>Raith</w:t>
      </w:r>
      <w:proofErr w:type="spellEnd"/>
      <w:r w:rsidRPr="004C51CC">
        <w:rPr>
          <w:rFonts w:ascii="Times New Roman" w:hAnsi="Times New Roman" w:cs="Times New Roman"/>
          <w:sz w:val="24"/>
          <w:lang w:val="fr-FR"/>
        </w:rPr>
        <w:t xml:space="preserve">, E. P. et al. </w:t>
      </w:r>
      <w:r w:rsidRPr="00BD24F2">
        <w:rPr>
          <w:rFonts w:ascii="Times New Roman" w:hAnsi="Times New Roman" w:cs="Times New Roman"/>
          <w:sz w:val="24"/>
        </w:rPr>
        <w:t xml:space="preserve">Prognostic Accuracy of the SOFA Score, SIRS Criteria, and </w:t>
      </w:r>
      <w:proofErr w:type="spellStart"/>
      <w:r w:rsidRPr="00BD24F2">
        <w:rPr>
          <w:rFonts w:ascii="Times New Roman" w:hAnsi="Times New Roman" w:cs="Times New Roman"/>
          <w:sz w:val="24"/>
        </w:rPr>
        <w:t>qSOFA</w:t>
      </w:r>
      <w:proofErr w:type="spellEnd"/>
      <w:r w:rsidRPr="00BD24F2">
        <w:rPr>
          <w:rFonts w:ascii="Times New Roman" w:hAnsi="Times New Roman" w:cs="Times New Roman"/>
          <w:sz w:val="24"/>
        </w:rPr>
        <w:t xml:space="preserve"> Score for In-Hospital Mortality </w:t>
      </w:r>
      <w:proofErr w:type="gramStart"/>
      <w:r w:rsidRPr="00BD24F2">
        <w:rPr>
          <w:rFonts w:ascii="Times New Roman" w:hAnsi="Times New Roman" w:cs="Times New Roman"/>
          <w:sz w:val="24"/>
        </w:rPr>
        <w:t>Among Adults With</w:t>
      </w:r>
      <w:proofErr w:type="gramEnd"/>
      <w:r w:rsidRPr="00BD24F2">
        <w:rPr>
          <w:rFonts w:ascii="Times New Roman" w:hAnsi="Times New Roman" w:cs="Times New Roman"/>
          <w:sz w:val="24"/>
        </w:rPr>
        <w:t xml:space="preserve"> Suspected Infection Admitted to the Intensive Care Unit. JAMA 317, 290–300 (2017).</w:t>
      </w:r>
    </w:p>
    <w:p w14:paraId="31B9DDF3"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t>30.</w:t>
      </w:r>
      <w:r w:rsidRPr="00BD24F2">
        <w:rPr>
          <w:rFonts w:ascii="Times New Roman" w:hAnsi="Times New Roman" w:cs="Times New Roman"/>
          <w:sz w:val="24"/>
        </w:rPr>
        <w:tab/>
        <w:t xml:space="preserve">Seymour CW, Liu VX, </w:t>
      </w:r>
      <w:proofErr w:type="spellStart"/>
      <w:r w:rsidRPr="00BD24F2">
        <w:rPr>
          <w:rFonts w:ascii="Times New Roman" w:hAnsi="Times New Roman" w:cs="Times New Roman"/>
          <w:sz w:val="24"/>
        </w:rPr>
        <w:t>Iwashyna</w:t>
      </w:r>
      <w:proofErr w:type="spellEnd"/>
      <w:r w:rsidRPr="00BD24F2">
        <w:rPr>
          <w:rFonts w:ascii="Times New Roman" w:hAnsi="Times New Roman" w:cs="Times New Roman"/>
          <w:sz w:val="24"/>
        </w:rPr>
        <w:t xml:space="preserve"> TJ &amp; et al. Assessment of clinical criteria for sepsis: For the third international consensus definitions for sepsis and septic shock (sepsis-3). JAMA 315, 762–774 (2016).</w:t>
      </w:r>
    </w:p>
    <w:p w14:paraId="42847E22"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t>31.</w:t>
      </w:r>
      <w:r w:rsidRPr="00BD24F2">
        <w:rPr>
          <w:rFonts w:ascii="Times New Roman" w:hAnsi="Times New Roman" w:cs="Times New Roman"/>
          <w:sz w:val="24"/>
        </w:rPr>
        <w:tab/>
        <w:t>Hug, C. W. Detecting hazardous intensive care patient episodes using real-time mortality models. (Massachusetts Institute of Technology, 2009).</w:t>
      </w:r>
    </w:p>
    <w:p w14:paraId="6FE7A36F"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t>32.</w:t>
      </w:r>
      <w:r w:rsidRPr="00BD24F2">
        <w:rPr>
          <w:rFonts w:ascii="Times New Roman" w:hAnsi="Times New Roman" w:cs="Times New Roman"/>
          <w:sz w:val="24"/>
        </w:rPr>
        <w:tab/>
      </w:r>
      <w:proofErr w:type="spellStart"/>
      <w:r w:rsidRPr="00BD24F2">
        <w:rPr>
          <w:rFonts w:ascii="Times New Roman" w:hAnsi="Times New Roman" w:cs="Times New Roman"/>
          <w:sz w:val="24"/>
        </w:rPr>
        <w:t>Tutz</w:t>
      </w:r>
      <w:proofErr w:type="spellEnd"/>
      <w:r w:rsidRPr="00BD24F2">
        <w:rPr>
          <w:rFonts w:ascii="Times New Roman" w:hAnsi="Times New Roman" w:cs="Times New Roman"/>
          <w:sz w:val="24"/>
        </w:rPr>
        <w:t xml:space="preserve">, G. &amp; </w:t>
      </w:r>
      <w:proofErr w:type="spellStart"/>
      <w:r w:rsidRPr="00BD24F2">
        <w:rPr>
          <w:rFonts w:ascii="Times New Roman" w:hAnsi="Times New Roman" w:cs="Times New Roman"/>
          <w:sz w:val="24"/>
        </w:rPr>
        <w:t>Ramzan</w:t>
      </w:r>
      <w:proofErr w:type="spellEnd"/>
      <w:r w:rsidRPr="00BD24F2">
        <w:rPr>
          <w:rFonts w:ascii="Times New Roman" w:hAnsi="Times New Roman" w:cs="Times New Roman"/>
          <w:sz w:val="24"/>
        </w:rPr>
        <w:t xml:space="preserve">, S. Improved methods for the imputation of missing data by nearest </w:t>
      </w:r>
      <w:proofErr w:type="spellStart"/>
      <w:r w:rsidRPr="00BD24F2">
        <w:rPr>
          <w:rFonts w:ascii="Times New Roman" w:hAnsi="Times New Roman" w:cs="Times New Roman"/>
          <w:sz w:val="24"/>
        </w:rPr>
        <w:t>neighbor</w:t>
      </w:r>
      <w:proofErr w:type="spellEnd"/>
      <w:r w:rsidRPr="00BD24F2">
        <w:rPr>
          <w:rFonts w:ascii="Times New Roman" w:hAnsi="Times New Roman" w:cs="Times New Roman"/>
          <w:sz w:val="24"/>
        </w:rPr>
        <w:t xml:space="preserve"> methods. Computational Statistics &amp; Data Analysis 90, 84–99 (2015).</w:t>
      </w:r>
    </w:p>
    <w:p w14:paraId="2475C54C"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t>33.</w:t>
      </w:r>
      <w:r w:rsidRPr="00BD24F2">
        <w:rPr>
          <w:rFonts w:ascii="Times New Roman" w:hAnsi="Times New Roman" w:cs="Times New Roman"/>
          <w:sz w:val="24"/>
        </w:rPr>
        <w:tab/>
        <w:t xml:space="preserve">Sutton, R. S. &amp; </w:t>
      </w:r>
      <w:proofErr w:type="spellStart"/>
      <w:r w:rsidRPr="00BD24F2">
        <w:rPr>
          <w:rFonts w:ascii="Times New Roman" w:hAnsi="Times New Roman" w:cs="Times New Roman"/>
          <w:sz w:val="24"/>
        </w:rPr>
        <w:t>Barto</w:t>
      </w:r>
      <w:proofErr w:type="spellEnd"/>
      <w:r w:rsidRPr="00BD24F2">
        <w:rPr>
          <w:rFonts w:ascii="Times New Roman" w:hAnsi="Times New Roman" w:cs="Times New Roman"/>
          <w:sz w:val="24"/>
        </w:rPr>
        <w:t>, A. G. Reinforcement Learning: An Introduction. (MIT Press, 2018).</w:t>
      </w:r>
    </w:p>
    <w:p w14:paraId="551EC4B5"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t>34.</w:t>
      </w:r>
      <w:r w:rsidRPr="00BD24F2">
        <w:rPr>
          <w:rFonts w:ascii="Times New Roman" w:hAnsi="Times New Roman" w:cs="Times New Roman"/>
          <w:sz w:val="24"/>
        </w:rPr>
        <w:tab/>
        <w:t xml:space="preserve">Arthur, D. &amp; </w:t>
      </w:r>
      <w:proofErr w:type="spellStart"/>
      <w:r w:rsidRPr="00BD24F2">
        <w:rPr>
          <w:rFonts w:ascii="Times New Roman" w:hAnsi="Times New Roman" w:cs="Times New Roman"/>
          <w:sz w:val="24"/>
        </w:rPr>
        <w:t>Vassilvitskii</w:t>
      </w:r>
      <w:proofErr w:type="spellEnd"/>
      <w:r w:rsidRPr="00BD24F2">
        <w:rPr>
          <w:rFonts w:ascii="Times New Roman" w:hAnsi="Times New Roman" w:cs="Times New Roman"/>
          <w:sz w:val="24"/>
        </w:rPr>
        <w:t xml:space="preserve">, S. K-means++: The Advantages of Careful Seeding. </w:t>
      </w:r>
      <w:proofErr w:type="gramStart"/>
      <w:r w:rsidRPr="00BD24F2">
        <w:rPr>
          <w:rFonts w:ascii="Times New Roman" w:hAnsi="Times New Roman" w:cs="Times New Roman"/>
          <w:sz w:val="24"/>
        </w:rPr>
        <w:t>in</w:t>
      </w:r>
      <w:proofErr w:type="gramEnd"/>
      <w:r w:rsidRPr="00BD24F2">
        <w:rPr>
          <w:rFonts w:ascii="Times New Roman" w:hAnsi="Times New Roman" w:cs="Times New Roman"/>
          <w:sz w:val="24"/>
        </w:rPr>
        <w:t xml:space="preserve"> Proceedings of the Eighteenth Annual ACM-SIAM Symposium on Discrete Algorithms 1027–1035 (Society for Industrial and Applied Mathematics, 2007).</w:t>
      </w:r>
    </w:p>
    <w:p w14:paraId="186D3444"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t>35.</w:t>
      </w:r>
      <w:r w:rsidRPr="00BD24F2">
        <w:rPr>
          <w:rFonts w:ascii="Times New Roman" w:hAnsi="Times New Roman" w:cs="Times New Roman"/>
          <w:sz w:val="24"/>
        </w:rPr>
        <w:tab/>
        <w:t>Jones, R. H. Bayesian information criterion for longitudinal and clustered data. Stat Med 30, 3050–3056 (2011).</w:t>
      </w:r>
    </w:p>
    <w:p w14:paraId="307AC662"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t>36.</w:t>
      </w:r>
      <w:r w:rsidRPr="00BD24F2">
        <w:rPr>
          <w:rFonts w:ascii="Times New Roman" w:hAnsi="Times New Roman" w:cs="Times New Roman"/>
          <w:sz w:val="24"/>
        </w:rPr>
        <w:tab/>
        <w:t xml:space="preserve">Brown, S. M. et al. Survival </w:t>
      </w:r>
      <w:proofErr w:type="gramStart"/>
      <w:r w:rsidRPr="00BD24F2">
        <w:rPr>
          <w:rFonts w:ascii="Times New Roman" w:hAnsi="Times New Roman" w:cs="Times New Roman"/>
          <w:sz w:val="24"/>
        </w:rPr>
        <w:t>After</w:t>
      </w:r>
      <w:proofErr w:type="gramEnd"/>
      <w:r w:rsidRPr="00BD24F2">
        <w:rPr>
          <w:rFonts w:ascii="Times New Roman" w:hAnsi="Times New Roman" w:cs="Times New Roman"/>
          <w:sz w:val="24"/>
        </w:rPr>
        <w:t xml:space="preserve"> Shock Requiring High-Dose Vasopressor Therapy. Chest 143, 664–671 (2013).</w:t>
      </w:r>
    </w:p>
    <w:p w14:paraId="7119617C"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lastRenderedPageBreak/>
        <w:t>37.</w:t>
      </w:r>
      <w:r w:rsidRPr="00BD24F2">
        <w:rPr>
          <w:rFonts w:ascii="Times New Roman" w:hAnsi="Times New Roman" w:cs="Times New Roman"/>
          <w:sz w:val="24"/>
        </w:rPr>
        <w:tab/>
        <w:t xml:space="preserve">Norris, J. R. Discrete-time Markov chains. </w:t>
      </w:r>
      <w:proofErr w:type="gramStart"/>
      <w:r w:rsidRPr="00BD24F2">
        <w:rPr>
          <w:rFonts w:ascii="Times New Roman" w:hAnsi="Times New Roman" w:cs="Times New Roman"/>
          <w:sz w:val="24"/>
        </w:rPr>
        <w:t>in</w:t>
      </w:r>
      <w:proofErr w:type="gramEnd"/>
      <w:r w:rsidRPr="00BD24F2">
        <w:rPr>
          <w:rFonts w:ascii="Times New Roman" w:hAnsi="Times New Roman" w:cs="Times New Roman"/>
          <w:sz w:val="24"/>
        </w:rPr>
        <w:t xml:space="preserve"> Markov Chains (Cambridge University Press, 1997).</w:t>
      </w:r>
    </w:p>
    <w:p w14:paraId="75BDC19D"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t>38.</w:t>
      </w:r>
      <w:r w:rsidRPr="00BD24F2">
        <w:rPr>
          <w:rFonts w:ascii="Times New Roman" w:hAnsi="Times New Roman" w:cs="Times New Roman"/>
          <w:sz w:val="24"/>
        </w:rPr>
        <w:tab/>
        <w:t xml:space="preserve">Jiang, N. &amp; Li, L. Doubly Robust Off-policy Value Evaluation for Reinforcement Learning. </w:t>
      </w:r>
      <w:proofErr w:type="gramStart"/>
      <w:r w:rsidRPr="00BD24F2">
        <w:rPr>
          <w:rFonts w:ascii="Times New Roman" w:hAnsi="Times New Roman" w:cs="Times New Roman"/>
          <w:sz w:val="24"/>
        </w:rPr>
        <w:t>arXiv:</w:t>
      </w:r>
      <w:proofErr w:type="gramEnd"/>
      <w:r w:rsidRPr="00BD24F2">
        <w:rPr>
          <w:rFonts w:ascii="Times New Roman" w:hAnsi="Times New Roman" w:cs="Times New Roman"/>
          <w:sz w:val="24"/>
        </w:rPr>
        <w:t>1511.03722 [</w:t>
      </w:r>
      <w:proofErr w:type="spellStart"/>
      <w:r w:rsidRPr="00BD24F2">
        <w:rPr>
          <w:rFonts w:ascii="Times New Roman" w:hAnsi="Times New Roman" w:cs="Times New Roman"/>
          <w:sz w:val="24"/>
        </w:rPr>
        <w:t>cs</w:t>
      </w:r>
      <w:proofErr w:type="spellEnd"/>
      <w:r w:rsidRPr="00BD24F2">
        <w:rPr>
          <w:rFonts w:ascii="Times New Roman" w:hAnsi="Times New Roman" w:cs="Times New Roman"/>
          <w:sz w:val="24"/>
        </w:rPr>
        <w:t>, stat] (2015).</w:t>
      </w:r>
    </w:p>
    <w:p w14:paraId="0BB98FB6"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t>39.</w:t>
      </w:r>
      <w:r w:rsidRPr="00BD24F2">
        <w:rPr>
          <w:rFonts w:ascii="Times New Roman" w:hAnsi="Times New Roman" w:cs="Times New Roman"/>
          <w:sz w:val="24"/>
        </w:rPr>
        <w:tab/>
        <w:t xml:space="preserve">Thomas, P. S. &amp; </w:t>
      </w:r>
      <w:proofErr w:type="spellStart"/>
      <w:r w:rsidRPr="00BD24F2">
        <w:rPr>
          <w:rFonts w:ascii="Times New Roman" w:hAnsi="Times New Roman" w:cs="Times New Roman"/>
          <w:sz w:val="24"/>
        </w:rPr>
        <w:t>Brunskill</w:t>
      </w:r>
      <w:proofErr w:type="spellEnd"/>
      <w:r w:rsidRPr="00BD24F2">
        <w:rPr>
          <w:rFonts w:ascii="Times New Roman" w:hAnsi="Times New Roman" w:cs="Times New Roman"/>
          <w:sz w:val="24"/>
        </w:rPr>
        <w:t xml:space="preserve">, E. Data-Efficient Off-Policy Policy Evaluation for Reinforcement Learning. </w:t>
      </w:r>
      <w:proofErr w:type="gramStart"/>
      <w:r w:rsidRPr="00BD24F2">
        <w:rPr>
          <w:rFonts w:ascii="Times New Roman" w:hAnsi="Times New Roman" w:cs="Times New Roman"/>
          <w:sz w:val="24"/>
        </w:rPr>
        <w:t>arXiv:</w:t>
      </w:r>
      <w:proofErr w:type="gramEnd"/>
      <w:r w:rsidRPr="00BD24F2">
        <w:rPr>
          <w:rFonts w:ascii="Times New Roman" w:hAnsi="Times New Roman" w:cs="Times New Roman"/>
          <w:sz w:val="24"/>
        </w:rPr>
        <w:t>1604.00923 [</w:t>
      </w:r>
      <w:proofErr w:type="spellStart"/>
      <w:r w:rsidRPr="00BD24F2">
        <w:rPr>
          <w:rFonts w:ascii="Times New Roman" w:hAnsi="Times New Roman" w:cs="Times New Roman"/>
          <w:sz w:val="24"/>
        </w:rPr>
        <w:t>cs</w:t>
      </w:r>
      <w:proofErr w:type="spellEnd"/>
      <w:r w:rsidRPr="00BD24F2">
        <w:rPr>
          <w:rFonts w:ascii="Times New Roman" w:hAnsi="Times New Roman" w:cs="Times New Roman"/>
          <w:sz w:val="24"/>
        </w:rPr>
        <w:t>] (2016).</w:t>
      </w:r>
    </w:p>
    <w:p w14:paraId="68CAED57" w14:textId="77777777" w:rsidR="00BD24F2" w:rsidRP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t>40.</w:t>
      </w:r>
      <w:r w:rsidRPr="00BD24F2">
        <w:rPr>
          <w:rFonts w:ascii="Times New Roman" w:hAnsi="Times New Roman" w:cs="Times New Roman"/>
          <w:sz w:val="24"/>
        </w:rPr>
        <w:tab/>
      </w:r>
      <w:proofErr w:type="spellStart"/>
      <w:r w:rsidRPr="00BD24F2">
        <w:rPr>
          <w:rFonts w:ascii="Times New Roman" w:hAnsi="Times New Roman" w:cs="Times New Roman"/>
          <w:sz w:val="24"/>
        </w:rPr>
        <w:t>Precup</w:t>
      </w:r>
      <w:proofErr w:type="spellEnd"/>
      <w:r w:rsidRPr="00BD24F2">
        <w:rPr>
          <w:rFonts w:ascii="Times New Roman" w:hAnsi="Times New Roman" w:cs="Times New Roman"/>
          <w:sz w:val="24"/>
        </w:rPr>
        <w:t xml:space="preserve">, D., Sutton, R. S. &amp; Singh, S. P. Eligibility Traces for Off-Policy Policy Evaluation. </w:t>
      </w:r>
      <w:proofErr w:type="gramStart"/>
      <w:r w:rsidRPr="00BD24F2">
        <w:rPr>
          <w:rFonts w:ascii="Times New Roman" w:hAnsi="Times New Roman" w:cs="Times New Roman"/>
          <w:sz w:val="24"/>
        </w:rPr>
        <w:t>in</w:t>
      </w:r>
      <w:proofErr w:type="gramEnd"/>
      <w:r w:rsidRPr="00BD24F2">
        <w:rPr>
          <w:rFonts w:ascii="Times New Roman" w:hAnsi="Times New Roman" w:cs="Times New Roman"/>
          <w:sz w:val="24"/>
        </w:rPr>
        <w:t xml:space="preserve"> Proceedings of the Seventeenth International Conference on Machine Learning 759–766 (Morgan Kaufmann Publishers Inc., 2000).</w:t>
      </w:r>
    </w:p>
    <w:p w14:paraId="4C001399" w14:textId="04AFCC68" w:rsidR="00BD24F2" w:rsidRDefault="00BD24F2" w:rsidP="00BD24F2">
      <w:pPr>
        <w:spacing w:before="100" w:beforeAutospacing="1" w:after="100" w:afterAutospacing="1" w:line="480" w:lineRule="auto"/>
        <w:jc w:val="both"/>
        <w:rPr>
          <w:rFonts w:ascii="Times New Roman" w:hAnsi="Times New Roman" w:cs="Times New Roman"/>
          <w:sz w:val="24"/>
        </w:rPr>
      </w:pPr>
      <w:r w:rsidRPr="00BD24F2">
        <w:rPr>
          <w:rFonts w:ascii="Times New Roman" w:hAnsi="Times New Roman" w:cs="Times New Roman"/>
          <w:sz w:val="24"/>
        </w:rPr>
        <w:t>41.</w:t>
      </w:r>
      <w:r w:rsidRPr="00BD24F2">
        <w:rPr>
          <w:rFonts w:ascii="Times New Roman" w:hAnsi="Times New Roman" w:cs="Times New Roman"/>
          <w:sz w:val="24"/>
        </w:rPr>
        <w:tab/>
      </w:r>
      <w:proofErr w:type="spellStart"/>
      <w:r w:rsidRPr="00BD24F2">
        <w:rPr>
          <w:rFonts w:ascii="Times New Roman" w:hAnsi="Times New Roman" w:cs="Times New Roman"/>
          <w:sz w:val="24"/>
        </w:rPr>
        <w:t>Munos</w:t>
      </w:r>
      <w:proofErr w:type="spellEnd"/>
      <w:r w:rsidRPr="00BD24F2">
        <w:rPr>
          <w:rFonts w:ascii="Times New Roman" w:hAnsi="Times New Roman" w:cs="Times New Roman"/>
          <w:sz w:val="24"/>
        </w:rPr>
        <w:t xml:space="preserve">, R., </w:t>
      </w:r>
      <w:proofErr w:type="spellStart"/>
      <w:r w:rsidRPr="00BD24F2">
        <w:rPr>
          <w:rFonts w:ascii="Times New Roman" w:hAnsi="Times New Roman" w:cs="Times New Roman"/>
          <w:sz w:val="24"/>
        </w:rPr>
        <w:t>Stepleton</w:t>
      </w:r>
      <w:proofErr w:type="spellEnd"/>
      <w:r w:rsidRPr="00BD24F2">
        <w:rPr>
          <w:rFonts w:ascii="Times New Roman" w:hAnsi="Times New Roman" w:cs="Times New Roman"/>
          <w:sz w:val="24"/>
        </w:rPr>
        <w:t xml:space="preserve">, T., </w:t>
      </w:r>
      <w:proofErr w:type="spellStart"/>
      <w:r w:rsidRPr="00BD24F2">
        <w:rPr>
          <w:rFonts w:ascii="Times New Roman" w:hAnsi="Times New Roman" w:cs="Times New Roman"/>
          <w:sz w:val="24"/>
        </w:rPr>
        <w:t>Harutyunyan</w:t>
      </w:r>
      <w:proofErr w:type="spellEnd"/>
      <w:r w:rsidRPr="00BD24F2">
        <w:rPr>
          <w:rFonts w:ascii="Times New Roman" w:hAnsi="Times New Roman" w:cs="Times New Roman"/>
          <w:sz w:val="24"/>
        </w:rPr>
        <w:t xml:space="preserve">, A. &amp; </w:t>
      </w:r>
      <w:proofErr w:type="spellStart"/>
      <w:r w:rsidRPr="00BD24F2">
        <w:rPr>
          <w:rFonts w:ascii="Times New Roman" w:hAnsi="Times New Roman" w:cs="Times New Roman"/>
          <w:sz w:val="24"/>
        </w:rPr>
        <w:t>Bellemare</w:t>
      </w:r>
      <w:proofErr w:type="spellEnd"/>
      <w:r w:rsidRPr="00BD24F2">
        <w:rPr>
          <w:rFonts w:ascii="Times New Roman" w:hAnsi="Times New Roman" w:cs="Times New Roman"/>
          <w:sz w:val="24"/>
        </w:rPr>
        <w:t xml:space="preserve">, M. G. Safe and Efficient Off-Policy Reinforcement Learning. </w:t>
      </w:r>
      <w:proofErr w:type="gramStart"/>
      <w:r w:rsidRPr="00BD24F2">
        <w:rPr>
          <w:rFonts w:ascii="Times New Roman" w:hAnsi="Times New Roman" w:cs="Times New Roman"/>
          <w:sz w:val="24"/>
        </w:rPr>
        <w:t>arXiv:</w:t>
      </w:r>
      <w:proofErr w:type="gramEnd"/>
      <w:r w:rsidRPr="00BD24F2">
        <w:rPr>
          <w:rFonts w:ascii="Times New Roman" w:hAnsi="Times New Roman" w:cs="Times New Roman"/>
          <w:sz w:val="24"/>
        </w:rPr>
        <w:t>1606.02647 [</w:t>
      </w:r>
      <w:proofErr w:type="spellStart"/>
      <w:r w:rsidRPr="00BD24F2">
        <w:rPr>
          <w:rFonts w:ascii="Times New Roman" w:hAnsi="Times New Roman" w:cs="Times New Roman"/>
          <w:sz w:val="24"/>
        </w:rPr>
        <w:t>cs</w:t>
      </w:r>
      <w:proofErr w:type="spellEnd"/>
      <w:r w:rsidRPr="00BD24F2">
        <w:rPr>
          <w:rFonts w:ascii="Times New Roman" w:hAnsi="Times New Roman" w:cs="Times New Roman"/>
          <w:sz w:val="24"/>
        </w:rPr>
        <w:t>, stat] (2016).</w:t>
      </w:r>
    </w:p>
    <w:p w14:paraId="6741669B" w14:textId="530A2452" w:rsidR="004C51CC" w:rsidRDefault="004C51CC" w:rsidP="00BD24F2">
      <w:pPr>
        <w:spacing w:before="100" w:beforeAutospacing="1" w:after="100" w:afterAutospacing="1" w:line="480" w:lineRule="auto"/>
        <w:jc w:val="both"/>
        <w:rPr>
          <w:rFonts w:ascii="Times New Roman" w:hAnsi="Times New Roman" w:cs="Times New Roman"/>
          <w:sz w:val="24"/>
        </w:rPr>
      </w:pPr>
    </w:p>
    <w:sectPr w:rsidR="004C51CC">
      <w:headerReference w:type="default" r:id="rId8"/>
      <w:footerReference w:type="default" r:id="rId9"/>
      <w:pgSz w:w="11906" w:h="16838"/>
      <w:pgMar w:top="1440" w:right="1440" w:bottom="1440" w:left="1440" w:header="360" w:footer="720"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1D0C73" w16cid:durableId="1EABCEC3"/>
  <w16cid:commentId w16cid:paraId="3AF6F565" w16cid:durableId="1EB0273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31776" w14:textId="77777777" w:rsidR="000E52D6" w:rsidRDefault="000E52D6">
      <w:pPr>
        <w:spacing w:after="0" w:line="240" w:lineRule="auto"/>
      </w:pPr>
      <w:r>
        <w:separator/>
      </w:r>
    </w:p>
  </w:endnote>
  <w:endnote w:type="continuationSeparator" w:id="0">
    <w:p w14:paraId="33C44E65" w14:textId="77777777" w:rsidR="000E52D6" w:rsidRDefault="000E52D6">
      <w:pPr>
        <w:spacing w:after="0" w:line="240" w:lineRule="auto"/>
      </w:pPr>
      <w:r>
        <w:continuationSeparator/>
      </w:r>
    </w:p>
  </w:endnote>
  <w:endnote w:type="continuationNotice" w:id="1">
    <w:p w14:paraId="5D012464" w14:textId="77777777" w:rsidR="000E52D6" w:rsidRDefault="000E52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43DB5F" w14:textId="77777777" w:rsidR="00514E9A" w:rsidRDefault="00514E9A">
    <w:pPr>
      <w:tabs>
        <w:tab w:val="center" w:pos="4513"/>
        <w:tab w:val="right" w:pos="9026"/>
      </w:tabs>
      <w:spacing w:after="0" w:line="240" w:lineRule="auto"/>
      <w:jc w:val="center"/>
    </w:pPr>
    <w:r>
      <w:fldChar w:fldCharType="begin"/>
    </w:r>
    <w:r>
      <w:instrText>PAGE</w:instrText>
    </w:r>
    <w:r>
      <w:fldChar w:fldCharType="separate"/>
    </w:r>
    <w:r w:rsidR="00B162B7">
      <w:rPr>
        <w:noProof/>
      </w:rPr>
      <w:t>4</w:t>
    </w:r>
    <w:r>
      <w:fldChar w:fldCharType="end"/>
    </w:r>
  </w:p>
  <w:p w14:paraId="4043AB92" w14:textId="77777777" w:rsidR="00514E9A" w:rsidRDefault="00514E9A">
    <w:pPr>
      <w:tabs>
        <w:tab w:val="center" w:pos="4513"/>
        <w:tab w:val="right" w:pos="9026"/>
      </w:tabs>
      <w:spacing w:after="708"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5AE225" w14:textId="77777777" w:rsidR="000E52D6" w:rsidRDefault="000E52D6">
      <w:pPr>
        <w:spacing w:after="0" w:line="240" w:lineRule="auto"/>
      </w:pPr>
      <w:r>
        <w:separator/>
      </w:r>
    </w:p>
  </w:footnote>
  <w:footnote w:type="continuationSeparator" w:id="0">
    <w:p w14:paraId="0DB2901B" w14:textId="77777777" w:rsidR="000E52D6" w:rsidRDefault="000E52D6">
      <w:pPr>
        <w:spacing w:after="0" w:line="240" w:lineRule="auto"/>
      </w:pPr>
      <w:r>
        <w:continuationSeparator/>
      </w:r>
    </w:p>
  </w:footnote>
  <w:footnote w:type="continuationNotice" w:id="1">
    <w:p w14:paraId="718E9AC0" w14:textId="77777777" w:rsidR="000E52D6" w:rsidRDefault="000E52D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698A1" w14:textId="77777777" w:rsidR="00514E9A" w:rsidRDefault="00514E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C69BB"/>
    <w:multiLevelType w:val="multilevel"/>
    <w:tmpl w:val="F5C8A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4442FE6"/>
    <w:multiLevelType w:val="hybridMultilevel"/>
    <w:tmpl w:val="BEE25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D4E41"/>
    <w:multiLevelType w:val="multilevel"/>
    <w:tmpl w:val="D37A7D2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22F53DE6"/>
    <w:multiLevelType w:val="hybridMultilevel"/>
    <w:tmpl w:val="76D09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4E1ECE"/>
    <w:multiLevelType w:val="hybridMultilevel"/>
    <w:tmpl w:val="08949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253D1"/>
    <w:multiLevelType w:val="multilevel"/>
    <w:tmpl w:val="60B0C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0A61CE"/>
    <w:multiLevelType w:val="hybridMultilevel"/>
    <w:tmpl w:val="9E3E3562"/>
    <w:lvl w:ilvl="0" w:tplc="BEC056F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0F1FAB"/>
    <w:multiLevelType w:val="multilevel"/>
    <w:tmpl w:val="2A02E61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55F3069D"/>
    <w:multiLevelType w:val="multilevel"/>
    <w:tmpl w:val="C97AF33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9" w15:restartNumberingAfterBreak="0">
    <w:nsid w:val="58673CD3"/>
    <w:multiLevelType w:val="hybridMultilevel"/>
    <w:tmpl w:val="37704E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EC22F8"/>
    <w:multiLevelType w:val="hybridMultilevel"/>
    <w:tmpl w:val="5AC6BB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7"/>
  </w:num>
  <w:num w:numId="5">
    <w:abstractNumId w:val="10"/>
  </w:num>
  <w:num w:numId="6">
    <w:abstractNumId w:val="5"/>
  </w:num>
  <w:num w:numId="7">
    <w:abstractNumId w:val="9"/>
  </w:num>
  <w:num w:numId="8">
    <w:abstractNumId w:val="4"/>
  </w:num>
  <w:num w:numId="9">
    <w:abstractNumId w:val="1"/>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B44"/>
    <w:rsid w:val="00014AFD"/>
    <w:rsid w:val="0001730D"/>
    <w:rsid w:val="00040EF3"/>
    <w:rsid w:val="00043445"/>
    <w:rsid w:val="00056812"/>
    <w:rsid w:val="000845A9"/>
    <w:rsid w:val="00091B4D"/>
    <w:rsid w:val="000B6EAD"/>
    <w:rsid w:val="000C0878"/>
    <w:rsid w:val="000C3F63"/>
    <w:rsid w:val="000D49A6"/>
    <w:rsid w:val="000E52D6"/>
    <w:rsid w:val="000E7A8A"/>
    <w:rsid w:val="000F669F"/>
    <w:rsid w:val="0010101A"/>
    <w:rsid w:val="00143332"/>
    <w:rsid w:val="0015049B"/>
    <w:rsid w:val="001544F7"/>
    <w:rsid w:val="00193195"/>
    <w:rsid w:val="001A0401"/>
    <w:rsid w:val="001A1D61"/>
    <w:rsid w:val="001B2F98"/>
    <w:rsid w:val="001B7192"/>
    <w:rsid w:val="001C0069"/>
    <w:rsid w:val="001C5ABA"/>
    <w:rsid w:val="00221B35"/>
    <w:rsid w:val="00224E63"/>
    <w:rsid w:val="00234D7A"/>
    <w:rsid w:val="00237AF8"/>
    <w:rsid w:val="00253DA4"/>
    <w:rsid w:val="002662D5"/>
    <w:rsid w:val="0027707B"/>
    <w:rsid w:val="00283620"/>
    <w:rsid w:val="00291AAB"/>
    <w:rsid w:val="002A21D7"/>
    <w:rsid w:val="002D4E02"/>
    <w:rsid w:val="002E23DE"/>
    <w:rsid w:val="002E27CE"/>
    <w:rsid w:val="002F2651"/>
    <w:rsid w:val="002F35BC"/>
    <w:rsid w:val="002F3BE9"/>
    <w:rsid w:val="002F60DB"/>
    <w:rsid w:val="00310C87"/>
    <w:rsid w:val="003364E4"/>
    <w:rsid w:val="0034337A"/>
    <w:rsid w:val="0035121E"/>
    <w:rsid w:val="00353AAB"/>
    <w:rsid w:val="00361915"/>
    <w:rsid w:val="003832D2"/>
    <w:rsid w:val="00384921"/>
    <w:rsid w:val="00390DA3"/>
    <w:rsid w:val="003B6D9F"/>
    <w:rsid w:val="003B6E3A"/>
    <w:rsid w:val="003C7F68"/>
    <w:rsid w:val="003E254D"/>
    <w:rsid w:val="004069E3"/>
    <w:rsid w:val="00435A83"/>
    <w:rsid w:val="0044788A"/>
    <w:rsid w:val="0045469B"/>
    <w:rsid w:val="004739B1"/>
    <w:rsid w:val="0048559C"/>
    <w:rsid w:val="004902C8"/>
    <w:rsid w:val="00496A41"/>
    <w:rsid w:val="00497736"/>
    <w:rsid w:val="004A680A"/>
    <w:rsid w:val="004B3A13"/>
    <w:rsid w:val="004B3C9A"/>
    <w:rsid w:val="004C0071"/>
    <w:rsid w:val="004C51CC"/>
    <w:rsid w:val="00512BD4"/>
    <w:rsid w:val="00514E9A"/>
    <w:rsid w:val="00515892"/>
    <w:rsid w:val="00543DFB"/>
    <w:rsid w:val="00547FF6"/>
    <w:rsid w:val="00551850"/>
    <w:rsid w:val="00554792"/>
    <w:rsid w:val="00560506"/>
    <w:rsid w:val="0057345C"/>
    <w:rsid w:val="00577740"/>
    <w:rsid w:val="005813FA"/>
    <w:rsid w:val="00590C3E"/>
    <w:rsid w:val="005B15EB"/>
    <w:rsid w:val="005C3C95"/>
    <w:rsid w:val="005C3EEC"/>
    <w:rsid w:val="005C52E4"/>
    <w:rsid w:val="005D0625"/>
    <w:rsid w:val="005D69FD"/>
    <w:rsid w:val="005F13F2"/>
    <w:rsid w:val="005F3183"/>
    <w:rsid w:val="00632114"/>
    <w:rsid w:val="00657E8E"/>
    <w:rsid w:val="0067671B"/>
    <w:rsid w:val="00691883"/>
    <w:rsid w:val="006B15D2"/>
    <w:rsid w:val="006C56CE"/>
    <w:rsid w:val="006D31CE"/>
    <w:rsid w:val="006D73CA"/>
    <w:rsid w:val="006E1D5E"/>
    <w:rsid w:val="006E5A5F"/>
    <w:rsid w:val="006F12A0"/>
    <w:rsid w:val="007005B1"/>
    <w:rsid w:val="00701AAC"/>
    <w:rsid w:val="00702C8F"/>
    <w:rsid w:val="00720BB0"/>
    <w:rsid w:val="00736DA5"/>
    <w:rsid w:val="0073789E"/>
    <w:rsid w:val="00757307"/>
    <w:rsid w:val="00760702"/>
    <w:rsid w:val="00762AF6"/>
    <w:rsid w:val="00765C79"/>
    <w:rsid w:val="007714C0"/>
    <w:rsid w:val="007735FD"/>
    <w:rsid w:val="007A1BDF"/>
    <w:rsid w:val="007A6530"/>
    <w:rsid w:val="007D1211"/>
    <w:rsid w:val="007E2B44"/>
    <w:rsid w:val="00811F6A"/>
    <w:rsid w:val="00816E88"/>
    <w:rsid w:val="00833A26"/>
    <w:rsid w:val="00833F06"/>
    <w:rsid w:val="00841152"/>
    <w:rsid w:val="00844FB5"/>
    <w:rsid w:val="0085371D"/>
    <w:rsid w:val="00865999"/>
    <w:rsid w:val="0089190A"/>
    <w:rsid w:val="008A46FB"/>
    <w:rsid w:val="008A6905"/>
    <w:rsid w:val="008C3016"/>
    <w:rsid w:val="008D38A1"/>
    <w:rsid w:val="008F0493"/>
    <w:rsid w:val="009054C0"/>
    <w:rsid w:val="00931E23"/>
    <w:rsid w:val="00955F89"/>
    <w:rsid w:val="0096305D"/>
    <w:rsid w:val="009644B2"/>
    <w:rsid w:val="00973D30"/>
    <w:rsid w:val="009845FB"/>
    <w:rsid w:val="0098756D"/>
    <w:rsid w:val="00993F07"/>
    <w:rsid w:val="009A7AF3"/>
    <w:rsid w:val="009C52CB"/>
    <w:rsid w:val="009E6510"/>
    <w:rsid w:val="009E6551"/>
    <w:rsid w:val="009F2058"/>
    <w:rsid w:val="00A24A60"/>
    <w:rsid w:val="00A35030"/>
    <w:rsid w:val="00A62B56"/>
    <w:rsid w:val="00A846AE"/>
    <w:rsid w:val="00A87242"/>
    <w:rsid w:val="00AC44EE"/>
    <w:rsid w:val="00AC5BC6"/>
    <w:rsid w:val="00AD059A"/>
    <w:rsid w:val="00AD56F1"/>
    <w:rsid w:val="00AE4CD3"/>
    <w:rsid w:val="00AE53CB"/>
    <w:rsid w:val="00AF6F27"/>
    <w:rsid w:val="00B162B7"/>
    <w:rsid w:val="00B305B5"/>
    <w:rsid w:val="00B32F1F"/>
    <w:rsid w:val="00B35CA8"/>
    <w:rsid w:val="00B36550"/>
    <w:rsid w:val="00B4771F"/>
    <w:rsid w:val="00B53BAB"/>
    <w:rsid w:val="00B75E20"/>
    <w:rsid w:val="00BA04E0"/>
    <w:rsid w:val="00BB3A4D"/>
    <w:rsid w:val="00BC15A7"/>
    <w:rsid w:val="00BD24F2"/>
    <w:rsid w:val="00BD500C"/>
    <w:rsid w:val="00BD57A2"/>
    <w:rsid w:val="00BF12B3"/>
    <w:rsid w:val="00BF41BA"/>
    <w:rsid w:val="00C01428"/>
    <w:rsid w:val="00C5342B"/>
    <w:rsid w:val="00C60302"/>
    <w:rsid w:val="00C76E42"/>
    <w:rsid w:val="00C779EE"/>
    <w:rsid w:val="00CA71FC"/>
    <w:rsid w:val="00CE0252"/>
    <w:rsid w:val="00CE4633"/>
    <w:rsid w:val="00D44E66"/>
    <w:rsid w:val="00D85A02"/>
    <w:rsid w:val="00D919C2"/>
    <w:rsid w:val="00D92B9A"/>
    <w:rsid w:val="00DC0401"/>
    <w:rsid w:val="00DC2E8F"/>
    <w:rsid w:val="00DE0B14"/>
    <w:rsid w:val="00DF0044"/>
    <w:rsid w:val="00E17D07"/>
    <w:rsid w:val="00E2156D"/>
    <w:rsid w:val="00E55872"/>
    <w:rsid w:val="00E62F05"/>
    <w:rsid w:val="00E81DA0"/>
    <w:rsid w:val="00E82868"/>
    <w:rsid w:val="00E95420"/>
    <w:rsid w:val="00EA4364"/>
    <w:rsid w:val="00EB44EA"/>
    <w:rsid w:val="00EC059E"/>
    <w:rsid w:val="00EC38EE"/>
    <w:rsid w:val="00EE60D4"/>
    <w:rsid w:val="00EF0497"/>
    <w:rsid w:val="00F03BEB"/>
    <w:rsid w:val="00F1529F"/>
    <w:rsid w:val="00F16F9D"/>
    <w:rsid w:val="00F21C5C"/>
    <w:rsid w:val="00F35DBC"/>
    <w:rsid w:val="00F41ED0"/>
    <w:rsid w:val="00F428EB"/>
    <w:rsid w:val="00F53358"/>
    <w:rsid w:val="00F715B5"/>
    <w:rsid w:val="00F83A9C"/>
    <w:rsid w:val="00F865CF"/>
    <w:rsid w:val="00FA0127"/>
    <w:rsid w:val="00FA0725"/>
    <w:rsid w:val="00FB23FD"/>
    <w:rsid w:val="00FB7420"/>
    <w:rsid w:val="00FC4D0F"/>
    <w:rsid w:val="00FC622F"/>
    <w:rsid w:val="00FD7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B56CD"/>
  <w15:docId w15:val="{761DC338-1EC3-4BA6-93E4-6E52BF177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GB" w:eastAsia="en-GB"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0" w:line="259" w:lineRule="auto"/>
      <w:outlineLvl w:val="0"/>
    </w:pPr>
    <w:rPr>
      <w:color w:val="2F5496"/>
      <w:sz w:val="32"/>
      <w:szCs w:val="32"/>
    </w:rPr>
  </w:style>
  <w:style w:type="paragraph" w:styleId="Heading2">
    <w:name w:val="heading 2"/>
    <w:basedOn w:val="Normal"/>
    <w:next w:val="Normal"/>
    <w:pPr>
      <w:keepNext/>
      <w:keepLines/>
      <w:spacing w:before="40" w:after="0"/>
      <w:outlineLvl w:val="1"/>
    </w:pPr>
    <w:rPr>
      <w:color w:val="2F5496"/>
      <w:sz w:val="26"/>
      <w:szCs w:val="26"/>
    </w:rPr>
  </w:style>
  <w:style w:type="paragraph" w:styleId="Heading3">
    <w:name w:val="heading 3"/>
    <w:basedOn w:val="Normal"/>
    <w:next w:val="Normal"/>
    <w:pPr>
      <w:keepNext/>
      <w:keepLines/>
      <w:spacing w:before="40" w:after="0"/>
      <w:outlineLvl w:val="2"/>
    </w:pPr>
    <w:rPr>
      <w:color w:val="1F3863"/>
      <w:sz w:val="24"/>
      <w:szCs w:val="24"/>
    </w:rPr>
  </w:style>
  <w:style w:type="paragraph" w:styleId="Heading4">
    <w:name w:val="heading 4"/>
    <w:basedOn w:val="Normal"/>
    <w:next w:val="Normal"/>
    <w:pPr>
      <w:keepNext/>
      <w:keepLines/>
      <w:spacing w:before="40" w:after="0"/>
      <w:outlineLvl w:val="3"/>
    </w:pPr>
    <w:rPr>
      <w:i/>
      <w:color w:val="2F5496"/>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384921"/>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line="240" w:lineRule="auto"/>
      <w:contextualSpacing/>
    </w:pPr>
    <w:rPr>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ibliography">
    <w:name w:val="Bibliography"/>
    <w:basedOn w:val="Normal"/>
    <w:next w:val="Normal"/>
    <w:uiPriority w:val="37"/>
    <w:unhideWhenUsed/>
    <w:rsid w:val="003C1AFF"/>
    <w:pPr>
      <w:tabs>
        <w:tab w:val="left" w:pos="384"/>
      </w:tabs>
      <w:spacing w:after="0" w:line="480" w:lineRule="auto"/>
      <w:ind w:left="384" w:hanging="384"/>
    </w:pPr>
  </w:style>
  <w:style w:type="paragraph" w:styleId="ListParagraph">
    <w:name w:val="List Paragraph"/>
    <w:basedOn w:val="Normal"/>
    <w:uiPriority w:val="34"/>
    <w:qFormat/>
    <w:rsid w:val="006E5A5F"/>
    <w:pPr>
      <w:ind w:left="720"/>
      <w:contextualSpacing/>
    </w:pPr>
  </w:style>
  <w:style w:type="character" w:customStyle="1" w:styleId="Heading7Char">
    <w:name w:val="Heading 7 Char"/>
    <w:basedOn w:val="DefaultParagraphFont"/>
    <w:link w:val="Heading7"/>
    <w:uiPriority w:val="9"/>
    <w:rsid w:val="00384921"/>
    <w:rPr>
      <w:rFonts w:asciiTheme="majorHAnsi" w:eastAsiaTheme="majorEastAsia" w:hAnsiTheme="majorHAnsi" w:cstheme="majorBidi"/>
      <w:i/>
      <w:iCs/>
      <w:color w:val="1F4D78" w:themeColor="accent1" w:themeShade="7F"/>
    </w:rPr>
  </w:style>
  <w:style w:type="character" w:styleId="PlaceholderText">
    <w:name w:val="Placeholder Text"/>
    <w:basedOn w:val="DefaultParagraphFont"/>
    <w:uiPriority w:val="99"/>
    <w:semiHidden/>
    <w:rsid w:val="00193195"/>
    <w:rPr>
      <w:color w:val="808080"/>
    </w:rPr>
  </w:style>
  <w:style w:type="paragraph" w:styleId="BalloonText">
    <w:name w:val="Balloon Text"/>
    <w:basedOn w:val="Normal"/>
    <w:link w:val="BalloonTextChar"/>
    <w:uiPriority w:val="99"/>
    <w:semiHidden/>
    <w:unhideWhenUsed/>
    <w:rsid w:val="001931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195"/>
    <w:rPr>
      <w:rFonts w:ascii="Segoe UI" w:hAnsi="Segoe UI" w:cs="Segoe UI"/>
      <w:sz w:val="18"/>
      <w:szCs w:val="18"/>
    </w:rPr>
  </w:style>
  <w:style w:type="paragraph" w:styleId="NoSpacing">
    <w:name w:val="No Spacing"/>
    <w:uiPriority w:val="1"/>
    <w:qFormat/>
    <w:rsid w:val="00C01428"/>
    <w:pPr>
      <w:spacing w:after="0" w:line="240" w:lineRule="auto"/>
    </w:pPr>
  </w:style>
  <w:style w:type="character" w:styleId="CommentReference">
    <w:name w:val="annotation reference"/>
    <w:basedOn w:val="DefaultParagraphFont"/>
    <w:uiPriority w:val="99"/>
    <w:semiHidden/>
    <w:unhideWhenUsed/>
    <w:rsid w:val="001B7192"/>
    <w:rPr>
      <w:sz w:val="16"/>
      <w:szCs w:val="16"/>
    </w:rPr>
  </w:style>
  <w:style w:type="paragraph" w:styleId="CommentText">
    <w:name w:val="annotation text"/>
    <w:basedOn w:val="Normal"/>
    <w:link w:val="CommentTextChar"/>
    <w:uiPriority w:val="99"/>
    <w:unhideWhenUsed/>
    <w:rsid w:val="001B7192"/>
    <w:pPr>
      <w:spacing w:line="240" w:lineRule="auto"/>
    </w:pPr>
    <w:rPr>
      <w:sz w:val="20"/>
      <w:szCs w:val="20"/>
    </w:rPr>
  </w:style>
  <w:style w:type="character" w:customStyle="1" w:styleId="CommentTextChar">
    <w:name w:val="Comment Text Char"/>
    <w:basedOn w:val="DefaultParagraphFont"/>
    <w:link w:val="CommentText"/>
    <w:uiPriority w:val="99"/>
    <w:rsid w:val="001B7192"/>
    <w:rPr>
      <w:sz w:val="20"/>
      <w:szCs w:val="20"/>
    </w:rPr>
  </w:style>
  <w:style w:type="paragraph" w:styleId="CommentSubject">
    <w:name w:val="annotation subject"/>
    <w:basedOn w:val="CommentText"/>
    <w:next w:val="CommentText"/>
    <w:link w:val="CommentSubjectChar"/>
    <w:uiPriority w:val="99"/>
    <w:semiHidden/>
    <w:unhideWhenUsed/>
    <w:rsid w:val="001B7192"/>
    <w:rPr>
      <w:b/>
      <w:bCs/>
    </w:rPr>
  </w:style>
  <w:style w:type="character" w:customStyle="1" w:styleId="CommentSubjectChar">
    <w:name w:val="Comment Subject Char"/>
    <w:basedOn w:val="CommentTextChar"/>
    <w:link w:val="CommentSubject"/>
    <w:uiPriority w:val="99"/>
    <w:semiHidden/>
    <w:rsid w:val="001B7192"/>
    <w:rPr>
      <w:b/>
      <w:bCs/>
      <w:sz w:val="20"/>
      <w:szCs w:val="20"/>
    </w:rPr>
  </w:style>
  <w:style w:type="character" w:styleId="Hyperlink">
    <w:name w:val="Hyperlink"/>
    <w:basedOn w:val="DefaultParagraphFont"/>
    <w:uiPriority w:val="99"/>
    <w:semiHidden/>
    <w:unhideWhenUsed/>
    <w:rsid w:val="00816E88"/>
    <w:rPr>
      <w:color w:val="0563C1" w:themeColor="hyperlink"/>
      <w:u w:val="single"/>
    </w:rPr>
  </w:style>
  <w:style w:type="character" w:customStyle="1" w:styleId="apple-converted-space">
    <w:name w:val="apple-converted-space"/>
    <w:basedOn w:val="DefaultParagraphFont"/>
    <w:rsid w:val="005F13F2"/>
  </w:style>
  <w:style w:type="paragraph" w:styleId="Header">
    <w:name w:val="header"/>
    <w:basedOn w:val="Normal"/>
    <w:link w:val="HeaderChar"/>
    <w:uiPriority w:val="99"/>
    <w:unhideWhenUsed/>
    <w:rsid w:val="001C5A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5ABA"/>
  </w:style>
  <w:style w:type="paragraph" w:styleId="Revision">
    <w:name w:val="Revision"/>
    <w:hidden/>
    <w:uiPriority w:val="99"/>
    <w:semiHidden/>
    <w:rsid w:val="001C5ABA"/>
    <w:pPr>
      <w:pBdr>
        <w:top w:val="none" w:sz="0" w:space="0" w:color="auto"/>
        <w:left w:val="none" w:sz="0" w:space="0" w:color="auto"/>
        <w:bottom w:val="none" w:sz="0" w:space="0" w:color="auto"/>
        <w:right w:val="none" w:sz="0" w:space="0" w:color="auto"/>
        <w:between w:val="none" w:sz="0" w:space="0"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84263">
      <w:bodyDiv w:val="1"/>
      <w:marLeft w:val="0"/>
      <w:marRight w:val="0"/>
      <w:marTop w:val="0"/>
      <w:marBottom w:val="0"/>
      <w:divBdr>
        <w:top w:val="none" w:sz="0" w:space="0" w:color="auto"/>
        <w:left w:val="none" w:sz="0" w:space="0" w:color="auto"/>
        <w:bottom w:val="none" w:sz="0" w:space="0" w:color="auto"/>
        <w:right w:val="none" w:sz="0" w:space="0" w:color="auto"/>
      </w:divBdr>
      <w:divsChild>
        <w:div w:id="814954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038351">
              <w:marLeft w:val="0"/>
              <w:marRight w:val="0"/>
              <w:marTop w:val="0"/>
              <w:marBottom w:val="0"/>
              <w:divBdr>
                <w:top w:val="none" w:sz="0" w:space="0" w:color="auto"/>
                <w:left w:val="none" w:sz="0" w:space="0" w:color="auto"/>
                <w:bottom w:val="none" w:sz="0" w:space="0" w:color="auto"/>
                <w:right w:val="none" w:sz="0" w:space="0" w:color="auto"/>
              </w:divBdr>
              <w:divsChild>
                <w:div w:id="705715959">
                  <w:marLeft w:val="0"/>
                  <w:marRight w:val="0"/>
                  <w:marTop w:val="0"/>
                  <w:marBottom w:val="0"/>
                  <w:divBdr>
                    <w:top w:val="none" w:sz="0" w:space="0" w:color="auto"/>
                    <w:left w:val="none" w:sz="0" w:space="0" w:color="auto"/>
                    <w:bottom w:val="none" w:sz="0" w:space="0" w:color="auto"/>
                    <w:right w:val="none" w:sz="0" w:space="0" w:color="auto"/>
                  </w:divBdr>
                  <w:divsChild>
                    <w:div w:id="925726980">
                      <w:marLeft w:val="0"/>
                      <w:marRight w:val="0"/>
                      <w:marTop w:val="0"/>
                      <w:marBottom w:val="0"/>
                      <w:divBdr>
                        <w:top w:val="none" w:sz="0" w:space="0" w:color="auto"/>
                        <w:left w:val="none" w:sz="0" w:space="0" w:color="auto"/>
                        <w:bottom w:val="none" w:sz="0" w:space="0" w:color="auto"/>
                        <w:right w:val="none" w:sz="0" w:space="0" w:color="auto"/>
                      </w:divBdr>
                      <w:divsChild>
                        <w:div w:id="112650744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04460561">
                              <w:marLeft w:val="0"/>
                              <w:marRight w:val="0"/>
                              <w:marTop w:val="0"/>
                              <w:marBottom w:val="0"/>
                              <w:divBdr>
                                <w:top w:val="none" w:sz="0" w:space="0" w:color="auto"/>
                                <w:left w:val="none" w:sz="0" w:space="0" w:color="auto"/>
                                <w:bottom w:val="none" w:sz="0" w:space="0" w:color="auto"/>
                                <w:right w:val="none" w:sz="0" w:space="0" w:color="auto"/>
                              </w:divBdr>
                              <w:divsChild>
                                <w:div w:id="1641962765">
                                  <w:marLeft w:val="0"/>
                                  <w:marRight w:val="0"/>
                                  <w:marTop w:val="0"/>
                                  <w:marBottom w:val="0"/>
                                  <w:divBdr>
                                    <w:top w:val="none" w:sz="0" w:space="0" w:color="auto"/>
                                    <w:left w:val="none" w:sz="0" w:space="0" w:color="auto"/>
                                    <w:bottom w:val="none" w:sz="0" w:space="0" w:color="auto"/>
                                    <w:right w:val="none" w:sz="0" w:space="0" w:color="auto"/>
                                  </w:divBdr>
                                  <w:divsChild>
                                    <w:div w:id="2096584713">
                                      <w:marLeft w:val="0"/>
                                      <w:marRight w:val="0"/>
                                      <w:marTop w:val="0"/>
                                      <w:marBottom w:val="0"/>
                                      <w:divBdr>
                                        <w:top w:val="none" w:sz="0" w:space="0" w:color="auto"/>
                                        <w:left w:val="none" w:sz="0" w:space="0" w:color="auto"/>
                                        <w:bottom w:val="none" w:sz="0" w:space="0" w:color="auto"/>
                                        <w:right w:val="none" w:sz="0" w:space="0" w:color="auto"/>
                                      </w:divBdr>
                                      <w:divsChild>
                                        <w:div w:id="10269812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28929000">
                                              <w:marLeft w:val="0"/>
                                              <w:marRight w:val="0"/>
                                              <w:marTop w:val="0"/>
                                              <w:marBottom w:val="0"/>
                                              <w:divBdr>
                                                <w:top w:val="none" w:sz="0" w:space="0" w:color="auto"/>
                                                <w:left w:val="none" w:sz="0" w:space="0" w:color="auto"/>
                                                <w:bottom w:val="none" w:sz="0" w:space="0" w:color="auto"/>
                                                <w:right w:val="none" w:sz="0" w:space="0" w:color="auto"/>
                                              </w:divBdr>
                                              <w:divsChild>
                                                <w:div w:id="1728532983">
                                                  <w:marLeft w:val="0"/>
                                                  <w:marRight w:val="0"/>
                                                  <w:marTop w:val="0"/>
                                                  <w:marBottom w:val="0"/>
                                                  <w:divBdr>
                                                    <w:top w:val="none" w:sz="0" w:space="0" w:color="auto"/>
                                                    <w:left w:val="none" w:sz="0" w:space="0" w:color="auto"/>
                                                    <w:bottom w:val="none" w:sz="0" w:space="0" w:color="auto"/>
                                                    <w:right w:val="none" w:sz="0" w:space="0" w:color="auto"/>
                                                  </w:divBdr>
                                                  <w:divsChild>
                                                    <w:div w:id="544562522">
                                                      <w:marLeft w:val="0"/>
                                                      <w:marRight w:val="0"/>
                                                      <w:marTop w:val="0"/>
                                                      <w:marBottom w:val="0"/>
                                                      <w:divBdr>
                                                        <w:top w:val="none" w:sz="0" w:space="0" w:color="auto"/>
                                                        <w:left w:val="none" w:sz="0" w:space="0" w:color="auto"/>
                                                        <w:bottom w:val="none" w:sz="0" w:space="0" w:color="auto"/>
                                                        <w:right w:val="none" w:sz="0" w:space="0" w:color="auto"/>
                                                      </w:divBdr>
                                                      <w:divsChild>
                                                        <w:div w:id="1282998580">
                                                          <w:marLeft w:val="0"/>
                                                          <w:marRight w:val="0"/>
                                                          <w:marTop w:val="0"/>
                                                          <w:marBottom w:val="0"/>
                                                          <w:divBdr>
                                                            <w:top w:val="none" w:sz="0" w:space="0" w:color="auto"/>
                                                            <w:left w:val="none" w:sz="0" w:space="0" w:color="auto"/>
                                                            <w:bottom w:val="none" w:sz="0" w:space="0" w:color="auto"/>
                                                            <w:right w:val="none" w:sz="0" w:space="0" w:color="auto"/>
                                                          </w:divBdr>
                                                          <w:divsChild>
                                                            <w:div w:id="1803843958">
                                                              <w:marLeft w:val="0"/>
                                                              <w:marRight w:val="0"/>
                                                              <w:marTop w:val="0"/>
                                                              <w:marBottom w:val="0"/>
                                                              <w:divBdr>
                                                                <w:top w:val="none" w:sz="0" w:space="0" w:color="auto"/>
                                                                <w:left w:val="none" w:sz="0" w:space="0" w:color="auto"/>
                                                                <w:bottom w:val="none" w:sz="0" w:space="0" w:color="auto"/>
                                                                <w:right w:val="none" w:sz="0" w:space="0" w:color="auto"/>
                                                              </w:divBdr>
                                                              <w:divsChild>
                                                                <w:div w:id="80414573">
                                                                  <w:marLeft w:val="0"/>
                                                                  <w:marRight w:val="0"/>
                                                                  <w:marTop w:val="0"/>
                                                                  <w:marBottom w:val="0"/>
                                                                  <w:divBdr>
                                                                    <w:top w:val="none" w:sz="0" w:space="0" w:color="auto"/>
                                                                    <w:left w:val="none" w:sz="0" w:space="0" w:color="auto"/>
                                                                    <w:bottom w:val="none" w:sz="0" w:space="0" w:color="auto"/>
                                                                    <w:right w:val="none" w:sz="0" w:space="0" w:color="auto"/>
                                                                  </w:divBdr>
                                                                  <w:divsChild>
                                                                    <w:div w:id="1631011691">
                                                                      <w:marLeft w:val="0"/>
                                                                      <w:marRight w:val="0"/>
                                                                      <w:marTop w:val="0"/>
                                                                      <w:marBottom w:val="0"/>
                                                                      <w:divBdr>
                                                                        <w:top w:val="none" w:sz="0" w:space="0" w:color="auto"/>
                                                                        <w:left w:val="none" w:sz="0" w:space="0" w:color="auto"/>
                                                                        <w:bottom w:val="none" w:sz="0" w:space="0" w:color="auto"/>
                                                                        <w:right w:val="none" w:sz="0" w:space="0" w:color="auto"/>
                                                                      </w:divBdr>
                                                                      <w:divsChild>
                                                                        <w:div w:id="1692299498">
                                                                          <w:marLeft w:val="0"/>
                                                                          <w:marRight w:val="0"/>
                                                                          <w:marTop w:val="0"/>
                                                                          <w:marBottom w:val="0"/>
                                                                          <w:divBdr>
                                                                            <w:top w:val="none" w:sz="0" w:space="0" w:color="auto"/>
                                                                            <w:left w:val="none" w:sz="0" w:space="0" w:color="auto"/>
                                                                            <w:bottom w:val="none" w:sz="0" w:space="0" w:color="auto"/>
                                                                            <w:right w:val="none" w:sz="0" w:space="0" w:color="auto"/>
                                                                          </w:divBdr>
                                                                          <w:divsChild>
                                                                            <w:div w:id="1998724431">
                                                                              <w:marLeft w:val="0"/>
                                                                              <w:marRight w:val="0"/>
                                                                              <w:marTop w:val="0"/>
                                                                              <w:marBottom w:val="0"/>
                                                                              <w:divBdr>
                                                                                <w:top w:val="none" w:sz="0" w:space="0" w:color="auto"/>
                                                                                <w:left w:val="none" w:sz="0" w:space="0" w:color="auto"/>
                                                                                <w:bottom w:val="none" w:sz="0" w:space="0" w:color="auto"/>
                                                                                <w:right w:val="none" w:sz="0" w:space="0" w:color="auto"/>
                                                                              </w:divBdr>
                                                                              <w:divsChild>
                                                                                <w:div w:id="705638066">
                                                                                  <w:marLeft w:val="0"/>
                                                                                  <w:marRight w:val="0"/>
                                                                                  <w:marTop w:val="0"/>
                                                                                  <w:marBottom w:val="0"/>
                                                                                  <w:divBdr>
                                                                                    <w:top w:val="none" w:sz="0" w:space="0" w:color="auto"/>
                                                                                    <w:left w:val="none" w:sz="0" w:space="0" w:color="auto"/>
                                                                                    <w:bottom w:val="none" w:sz="0" w:space="0" w:color="auto"/>
                                                                                    <w:right w:val="none" w:sz="0" w:space="0" w:color="auto"/>
                                                                                  </w:divBdr>
                                                                                  <w:divsChild>
                                                                                    <w:div w:id="90364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8329015">
      <w:bodyDiv w:val="1"/>
      <w:marLeft w:val="0"/>
      <w:marRight w:val="0"/>
      <w:marTop w:val="0"/>
      <w:marBottom w:val="0"/>
      <w:divBdr>
        <w:top w:val="none" w:sz="0" w:space="0" w:color="auto"/>
        <w:left w:val="none" w:sz="0" w:space="0" w:color="auto"/>
        <w:bottom w:val="none" w:sz="0" w:space="0" w:color="auto"/>
        <w:right w:val="none" w:sz="0" w:space="0" w:color="auto"/>
      </w:divBdr>
    </w:div>
    <w:div w:id="912158827">
      <w:bodyDiv w:val="1"/>
      <w:marLeft w:val="0"/>
      <w:marRight w:val="0"/>
      <w:marTop w:val="0"/>
      <w:marBottom w:val="0"/>
      <w:divBdr>
        <w:top w:val="none" w:sz="0" w:space="0" w:color="auto"/>
        <w:left w:val="none" w:sz="0" w:space="0" w:color="auto"/>
        <w:bottom w:val="none" w:sz="0" w:space="0" w:color="auto"/>
        <w:right w:val="none" w:sz="0" w:space="0" w:color="auto"/>
      </w:divBdr>
      <w:divsChild>
        <w:div w:id="1518076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1202333">
              <w:marLeft w:val="0"/>
              <w:marRight w:val="0"/>
              <w:marTop w:val="0"/>
              <w:marBottom w:val="0"/>
              <w:divBdr>
                <w:top w:val="none" w:sz="0" w:space="0" w:color="auto"/>
                <w:left w:val="none" w:sz="0" w:space="0" w:color="auto"/>
                <w:bottom w:val="none" w:sz="0" w:space="0" w:color="auto"/>
                <w:right w:val="none" w:sz="0" w:space="0" w:color="auto"/>
              </w:divBdr>
              <w:divsChild>
                <w:div w:id="1552687011">
                  <w:marLeft w:val="0"/>
                  <w:marRight w:val="0"/>
                  <w:marTop w:val="0"/>
                  <w:marBottom w:val="0"/>
                  <w:divBdr>
                    <w:top w:val="none" w:sz="0" w:space="0" w:color="auto"/>
                    <w:left w:val="none" w:sz="0" w:space="0" w:color="auto"/>
                    <w:bottom w:val="none" w:sz="0" w:space="0" w:color="auto"/>
                    <w:right w:val="none" w:sz="0" w:space="0" w:color="auto"/>
                  </w:divBdr>
                  <w:divsChild>
                    <w:div w:id="757597050">
                      <w:marLeft w:val="0"/>
                      <w:marRight w:val="0"/>
                      <w:marTop w:val="0"/>
                      <w:marBottom w:val="0"/>
                      <w:divBdr>
                        <w:top w:val="none" w:sz="0" w:space="0" w:color="auto"/>
                        <w:left w:val="none" w:sz="0" w:space="0" w:color="auto"/>
                        <w:bottom w:val="none" w:sz="0" w:space="0" w:color="auto"/>
                        <w:right w:val="none" w:sz="0" w:space="0" w:color="auto"/>
                      </w:divBdr>
                      <w:divsChild>
                        <w:div w:id="146823322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4296833">
                              <w:marLeft w:val="0"/>
                              <w:marRight w:val="0"/>
                              <w:marTop w:val="0"/>
                              <w:marBottom w:val="0"/>
                              <w:divBdr>
                                <w:top w:val="none" w:sz="0" w:space="0" w:color="auto"/>
                                <w:left w:val="none" w:sz="0" w:space="0" w:color="auto"/>
                                <w:bottom w:val="none" w:sz="0" w:space="0" w:color="auto"/>
                                <w:right w:val="none" w:sz="0" w:space="0" w:color="auto"/>
                              </w:divBdr>
                              <w:divsChild>
                                <w:div w:id="93020778">
                                  <w:marLeft w:val="0"/>
                                  <w:marRight w:val="0"/>
                                  <w:marTop w:val="0"/>
                                  <w:marBottom w:val="0"/>
                                  <w:divBdr>
                                    <w:top w:val="none" w:sz="0" w:space="0" w:color="auto"/>
                                    <w:left w:val="none" w:sz="0" w:space="0" w:color="auto"/>
                                    <w:bottom w:val="none" w:sz="0" w:space="0" w:color="auto"/>
                                    <w:right w:val="none" w:sz="0" w:space="0" w:color="auto"/>
                                  </w:divBdr>
                                  <w:divsChild>
                                    <w:div w:id="2073191828">
                                      <w:marLeft w:val="0"/>
                                      <w:marRight w:val="0"/>
                                      <w:marTop w:val="0"/>
                                      <w:marBottom w:val="0"/>
                                      <w:divBdr>
                                        <w:top w:val="none" w:sz="0" w:space="0" w:color="auto"/>
                                        <w:left w:val="none" w:sz="0" w:space="0" w:color="auto"/>
                                        <w:bottom w:val="none" w:sz="0" w:space="0" w:color="auto"/>
                                        <w:right w:val="none" w:sz="0" w:space="0" w:color="auto"/>
                                      </w:divBdr>
                                      <w:divsChild>
                                        <w:div w:id="4592300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12311832">
                                              <w:marLeft w:val="0"/>
                                              <w:marRight w:val="0"/>
                                              <w:marTop w:val="0"/>
                                              <w:marBottom w:val="0"/>
                                              <w:divBdr>
                                                <w:top w:val="none" w:sz="0" w:space="0" w:color="auto"/>
                                                <w:left w:val="none" w:sz="0" w:space="0" w:color="auto"/>
                                                <w:bottom w:val="none" w:sz="0" w:space="0" w:color="auto"/>
                                                <w:right w:val="none" w:sz="0" w:space="0" w:color="auto"/>
                                              </w:divBdr>
                                              <w:divsChild>
                                                <w:div w:id="2119175874">
                                                  <w:marLeft w:val="0"/>
                                                  <w:marRight w:val="0"/>
                                                  <w:marTop w:val="0"/>
                                                  <w:marBottom w:val="0"/>
                                                  <w:divBdr>
                                                    <w:top w:val="none" w:sz="0" w:space="0" w:color="auto"/>
                                                    <w:left w:val="none" w:sz="0" w:space="0" w:color="auto"/>
                                                    <w:bottom w:val="none" w:sz="0" w:space="0" w:color="auto"/>
                                                    <w:right w:val="none" w:sz="0" w:space="0" w:color="auto"/>
                                                  </w:divBdr>
                                                  <w:divsChild>
                                                    <w:div w:id="1012149031">
                                                      <w:marLeft w:val="0"/>
                                                      <w:marRight w:val="0"/>
                                                      <w:marTop w:val="0"/>
                                                      <w:marBottom w:val="0"/>
                                                      <w:divBdr>
                                                        <w:top w:val="none" w:sz="0" w:space="0" w:color="auto"/>
                                                        <w:left w:val="none" w:sz="0" w:space="0" w:color="auto"/>
                                                        <w:bottom w:val="none" w:sz="0" w:space="0" w:color="auto"/>
                                                        <w:right w:val="none" w:sz="0" w:space="0" w:color="auto"/>
                                                      </w:divBdr>
                                                      <w:divsChild>
                                                        <w:div w:id="2069717424">
                                                          <w:marLeft w:val="0"/>
                                                          <w:marRight w:val="0"/>
                                                          <w:marTop w:val="0"/>
                                                          <w:marBottom w:val="0"/>
                                                          <w:divBdr>
                                                            <w:top w:val="none" w:sz="0" w:space="0" w:color="auto"/>
                                                            <w:left w:val="none" w:sz="0" w:space="0" w:color="auto"/>
                                                            <w:bottom w:val="none" w:sz="0" w:space="0" w:color="auto"/>
                                                            <w:right w:val="none" w:sz="0" w:space="0" w:color="auto"/>
                                                          </w:divBdr>
                                                          <w:divsChild>
                                                            <w:div w:id="1096246345">
                                                              <w:marLeft w:val="0"/>
                                                              <w:marRight w:val="0"/>
                                                              <w:marTop w:val="0"/>
                                                              <w:marBottom w:val="0"/>
                                                              <w:divBdr>
                                                                <w:top w:val="none" w:sz="0" w:space="0" w:color="auto"/>
                                                                <w:left w:val="none" w:sz="0" w:space="0" w:color="auto"/>
                                                                <w:bottom w:val="none" w:sz="0" w:space="0" w:color="auto"/>
                                                                <w:right w:val="none" w:sz="0" w:space="0" w:color="auto"/>
                                                              </w:divBdr>
                                                              <w:divsChild>
                                                                <w:div w:id="1130245191">
                                                                  <w:marLeft w:val="0"/>
                                                                  <w:marRight w:val="0"/>
                                                                  <w:marTop w:val="0"/>
                                                                  <w:marBottom w:val="0"/>
                                                                  <w:divBdr>
                                                                    <w:top w:val="none" w:sz="0" w:space="0" w:color="auto"/>
                                                                    <w:left w:val="none" w:sz="0" w:space="0" w:color="auto"/>
                                                                    <w:bottom w:val="none" w:sz="0" w:space="0" w:color="auto"/>
                                                                    <w:right w:val="none" w:sz="0" w:space="0" w:color="auto"/>
                                                                  </w:divBdr>
                                                                  <w:divsChild>
                                                                    <w:div w:id="400711341">
                                                                      <w:marLeft w:val="0"/>
                                                                      <w:marRight w:val="0"/>
                                                                      <w:marTop w:val="0"/>
                                                                      <w:marBottom w:val="0"/>
                                                                      <w:divBdr>
                                                                        <w:top w:val="none" w:sz="0" w:space="0" w:color="auto"/>
                                                                        <w:left w:val="none" w:sz="0" w:space="0" w:color="auto"/>
                                                                        <w:bottom w:val="none" w:sz="0" w:space="0" w:color="auto"/>
                                                                        <w:right w:val="none" w:sz="0" w:space="0" w:color="auto"/>
                                                                      </w:divBdr>
                                                                      <w:divsChild>
                                                                        <w:div w:id="557857153">
                                                                          <w:marLeft w:val="0"/>
                                                                          <w:marRight w:val="0"/>
                                                                          <w:marTop w:val="0"/>
                                                                          <w:marBottom w:val="0"/>
                                                                          <w:divBdr>
                                                                            <w:top w:val="none" w:sz="0" w:space="0" w:color="auto"/>
                                                                            <w:left w:val="none" w:sz="0" w:space="0" w:color="auto"/>
                                                                            <w:bottom w:val="none" w:sz="0" w:space="0" w:color="auto"/>
                                                                            <w:right w:val="none" w:sz="0" w:space="0" w:color="auto"/>
                                                                          </w:divBdr>
                                                                          <w:divsChild>
                                                                            <w:div w:id="1198009728">
                                                                              <w:marLeft w:val="0"/>
                                                                              <w:marRight w:val="0"/>
                                                                              <w:marTop w:val="0"/>
                                                                              <w:marBottom w:val="0"/>
                                                                              <w:divBdr>
                                                                                <w:top w:val="none" w:sz="0" w:space="0" w:color="auto"/>
                                                                                <w:left w:val="none" w:sz="0" w:space="0" w:color="auto"/>
                                                                                <w:bottom w:val="none" w:sz="0" w:space="0" w:color="auto"/>
                                                                                <w:right w:val="none" w:sz="0" w:space="0" w:color="auto"/>
                                                                              </w:divBdr>
                                                                              <w:divsChild>
                                                                                <w:div w:id="1944069771">
                                                                                  <w:marLeft w:val="0"/>
                                                                                  <w:marRight w:val="0"/>
                                                                                  <w:marTop w:val="0"/>
                                                                                  <w:marBottom w:val="0"/>
                                                                                  <w:divBdr>
                                                                                    <w:top w:val="none" w:sz="0" w:space="0" w:color="auto"/>
                                                                                    <w:left w:val="none" w:sz="0" w:space="0" w:color="auto"/>
                                                                                    <w:bottom w:val="none" w:sz="0" w:space="0" w:color="auto"/>
                                                                                    <w:right w:val="none" w:sz="0" w:space="0" w:color="auto"/>
                                                                                  </w:divBdr>
                                                                                  <w:divsChild>
                                                                                    <w:div w:id="206054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9518444">
      <w:bodyDiv w:val="1"/>
      <w:marLeft w:val="0"/>
      <w:marRight w:val="0"/>
      <w:marTop w:val="0"/>
      <w:marBottom w:val="0"/>
      <w:divBdr>
        <w:top w:val="none" w:sz="0" w:space="0" w:color="auto"/>
        <w:left w:val="none" w:sz="0" w:space="0" w:color="auto"/>
        <w:bottom w:val="none" w:sz="0" w:space="0" w:color="auto"/>
        <w:right w:val="none" w:sz="0" w:space="0" w:color="auto"/>
      </w:divBdr>
    </w:div>
    <w:div w:id="1171140486">
      <w:bodyDiv w:val="1"/>
      <w:marLeft w:val="0"/>
      <w:marRight w:val="0"/>
      <w:marTop w:val="0"/>
      <w:marBottom w:val="0"/>
      <w:divBdr>
        <w:top w:val="none" w:sz="0" w:space="0" w:color="auto"/>
        <w:left w:val="none" w:sz="0" w:space="0" w:color="auto"/>
        <w:bottom w:val="none" w:sz="0" w:space="0" w:color="auto"/>
        <w:right w:val="none" w:sz="0" w:space="0" w:color="auto"/>
      </w:divBdr>
      <w:divsChild>
        <w:div w:id="89396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41179">
              <w:marLeft w:val="0"/>
              <w:marRight w:val="0"/>
              <w:marTop w:val="0"/>
              <w:marBottom w:val="0"/>
              <w:divBdr>
                <w:top w:val="none" w:sz="0" w:space="0" w:color="auto"/>
                <w:left w:val="none" w:sz="0" w:space="0" w:color="auto"/>
                <w:bottom w:val="none" w:sz="0" w:space="0" w:color="auto"/>
                <w:right w:val="none" w:sz="0" w:space="0" w:color="auto"/>
              </w:divBdr>
              <w:divsChild>
                <w:div w:id="1663318103">
                  <w:marLeft w:val="0"/>
                  <w:marRight w:val="0"/>
                  <w:marTop w:val="0"/>
                  <w:marBottom w:val="0"/>
                  <w:divBdr>
                    <w:top w:val="none" w:sz="0" w:space="0" w:color="auto"/>
                    <w:left w:val="none" w:sz="0" w:space="0" w:color="auto"/>
                    <w:bottom w:val="none" w:sz="0" w:space="0" w:color="auto"/>
                    <w:right w:val="none" w:sz="0" w:space="0" w:color="auto"/>
                  </w:divBdr>
                  <w:divsChild>
                    <w:div w:id="1908765056">
                      <w:marLeft w:val="0"/>
                      <w:marRight w:val="0"/>
                      <w:marTop w:val="0"/>
                      <w:marBottom w:val="0"/>
                      <w:divBdr>
                        <w:top w:val="none" w:sz="0" w:space="0" w:color="auto"/>
                        <w:left w:val="none" w:sz="0" w:space="0" w:color="auto"/>
                        <w:bottom w:val="none" w:sz="0" w:space="0" w:color="auto"/>
                        <w:right w:val="none" w:sz="0" w:space="0" w:color="auto"/>
                      </w:divBdr>
                      <w:divsChild>
                        <w:div w:id="165302707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43343908">
                              <w:marLeft w:val="0"/>
                              <w:marRight w:val="0"/>
                              <w:marTop w:val="0"/>
                              <w:marBottom w:val="0"/>
                              <w:divBdr>
                                <w:top w:val="none" w:sz="0" w:space="0" w:color="auto"/>
                                <w:left w:val="none" w:sz="0" w:space="0" w:color="auto"/>
                                <w:bottom w:val="none" w:sz="0" w:space="0" w:color="auto"/>
                                <w:right w:val="none" w:sz="0" w:space="0" w:color="auto"/>
                              </w:divBdr>
                              <w:divsChild>
                                <w:div w:id="1847162175">
                                  <w:marLeft w:val="0"/>
                                  <w:marRight w:val="0"/>
                                  <w:marTop w:val="0"/>
                                  <w:marBottom w:val="0"/>
                                  <w:divBdr>
                                    <w:top w:val="none" w:sz="0" w:space="0" w:color="auto"/>
                                    <w:left w:val="none" w:sz="0" w:space="0" w:color="auto"/>
                                    <w:bottom w:val="none" w:sz="0" w:space="0" w:color="auto"/>
                                    <w:right w:val="none" w:sz="0" w:space="0" w:color="auto"/>
                                  </w:divBdr>
                                  <w:divsChild>
                                    <w:div w:id="1554536600">
                                      <w:marLeft w:val="0"/>
                                      <w:marRight w:val="0"/>
                                      <w:marTop w:val="0"/>
                                      <w:marBottom w:val="0"/>
                                      <w:divBdr>
                                        <w:top w:val="none" w:sz="0" w:space="0" w:color="auto"/>
                                        <w:left w:val="none" w:sz="0" w:space="0" w:color="auto"/>
                                        <w:bottom w:val="none" w:sz="0" w:space="0" w:color="auto"/>
                                        <w:right w:val="none" w:sz="0" w:space="0" w:color="auto"/>
                                      </w:divBdr>
                                      <w:divsChild>
                                        <w:div w:id="202069333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08428715">
                                              <w:marLeft w:val="0"/>
                                              <w:marRight w:val="0"/>
                                              <w:marTop w:val="0"/>
                                              <w:marBottom w:val="0"/>
                                              <w:divBdr>
                                                <w:top w:val="none" w:sz="0" w:space="0" w:color="auto"/>
                                                <w:left w:val="none" w:sz="0" w:space="0" w:color="auto"/>
                                                <w:bottom w:val="none" w:sz="0" w:space="0" w:color="auto"/>
                                                <w:right w:val="none" w:sz="0" w:space="0" w:color="auto"/>
                                              </w:divBdr>
                                              <w:divsChild>
                                                <w:div w:id="610281206">
                                                  <w:marLeft w:val="0"/>
                                                  <w:marRight w:val="0"/>
                                                  <w:marTop w:val="0"/>
                                                  <w:marBottom w:val="0"/>
                                                  <w:divBdr>
                                                    <w:top w:val="none" w:sz="0" w:space="0" w:color="auto"/>
                                                    <w:left w:val="none" w:sz="0" w:space="0" w:color="auto"/>
                                                    <w:bottom w:val="none" w:sz="0" w:space="0" w:color="auto"/>
                                                    <w:right w:val="none" w:sz="0" w:space="0" w:color="auto"/>
                                                  </w:divBdr>
                                                  <w:divsChild>
                                                    <w:div w:id="1962803207">
                                                      <w:marLeft w:val="0"/>
                                                      <w:marRight w:val="0"/>
                                                      <w:marTop w:val="0"/>
                                                      <w:marBottom w:val="0"/>
                                                      <w:divBdr>
                                                        <w:top w:val="none" w:sz="0" w:space="0" w:color="auto"/>
                                                        <w:left w:val="none" w:sz="0" w:space="0" w:color="auto"/>
                                                        <w:bottom w:val="none" w:sz="0" w:space="0" w:color="auto"/>
                                                        <w:right w:val="none" w:sz="0" w:space="0" w:color="auto"/>
                                                      </w:divBdr>
                                                      <w:divsChild>
                                                        <w:div w:id="1646230379">
                                                          <w:marLeft w:val="0"/>
                                                          <w:marRight w:val="0"/>
                                                          <w:marTop w:val="0"/>
                                                          <w:marBottom w:val="0"/>
                                                          <w:divBdr>
                                                            <w:top w:val="none" w:sz="0" w:space="0" w:color="auto"/>
                                                            <w:left w:val="none" w:sz="0" w:space="0" w:color="auto"/>
                                                            <w:bottom w:val="none" w:sz="0" w:space="0" w:color="auto"/>
                                                            <w:right w:val="none" w:sz="0" w:space="0" w:color="auto"/>
                                                          </w:divBdr>
                                                          <w:divsChild>
                                                            <w:div w:id="2075159659">
                                                              <w:marLeft w:val="0"/>
                                                              <w:marRight w:val="0"/>
                                                              <w:marTop w:val="0"/>
                                                              <w:marBottom w:val="0"/>
                                                              <w:divBdr>
                                                                <w:top w:val="none" w:sz="0" w:space="0" w:color="auto"/>
                                                                <w:left w:val="none" w:sz="0" w:space="0" w:color="auto"/>
                                                                <w:bottom w:val="none" w:sz="0" w:space="0" w:color="auto"/>
                                                                <w:right w:val="none" w:sz="0" w:space="0" w:color="auto"/>
                                                              </w:divBdr>
                                                              <w:divsChild>
                                                                <w:div w:id="1764842516">
                                                                  <w:marLeft w:val="0"/>
                                                                  <w:marRight w:val="0"/>
                                                                  <w:marTop w:val="0"/>
                                                                  <w:marBottom w:val="0"/>
                                                                  <w:divBdr>
                                                                    <w:top w:val="none" w:sz="0" w:space="0" w:color="auto"/>
                                                                    <w:left w:val="none" w:sz="0" w:space="0" w:color="auto"/>
                                                                    <w:bottom w:val="none" w:sz="0" w:space="0" w:color="auto"/>
                                                                    <w:right w:val="none" w:sz="0" w:space="0" w:color="auto"/>
                                                                  </w:divBdr>
                                                                  <w:divsChild>
                                                                    <w:div w:id="1836257704">
                                                                      <w:marLeft w:val="0"/>
                                                                      <w:marRight w:val="0"/>
                                                                      <w:marTop w:val="0"/>
                                                                      <w:marBottom w:val="0"/>
                                                                      <w:divBdr>
                                                                        <w:top w:val="none" w:sz="0" w:space="0" w:color="auto"/>
                                                                        <w:left w:val="none" w:sz="0" w:space="0" w:color="auto"/>
                                                                        <w:bottom w:val="none" w:sz="0" w:space="0" w:color="auto"/>
                                                                        <w:right w:val="none" w:sz="0" w:space="0" w:color="auto"/>
                                                                      </w:divBdr>
                                                                      <w:divsChild>
                                                                        <w:div w:id="58600510">
                                                                          <w:marLeft w:val="0"/>
                                                                          <w:marRight w:val="0"/>
                                                                          <w:marTop w:val="0"/>
                                                                          <w:marBottom w:val="0"/>
                                                                          <w:divBdr>
                                                                            <w:top w:val="none" w:sz="0" w:space="0" w:color="auto"/>
                                                                            <w:left w:val="none" w:sz="0" w:space="0" w:color="auto"/>
                                                                            <w:bottom w:val="none" w:sz="0" w:space="0" w:color="auto"/>
                                                                            <w:right w:val="none" w:sz="0" w:space="0" w:color="auto"/>
                                                                          </w:divBdr>
                                                                          <w:divsChild>
                                                                            <w:div w:id="1820227145">
                                                                              <w:marLeft w:val="0"/>
                                                                              <w:marRight w:val="0"/>
                                                                              <w:marTop w:val="0"/>
                                                                              <w:marBottom w:val="0"/>
                                                                              <w:divBdr>
                                                                                <w:top w:val="none" w:sz="0" w:space="0" w:color="auto"/>
                                                                                <w:left w:val="none" w:sz="0" w:space="0" w:color="auto"/>
                                                                                <w:bottom w:val="none" w:sz="0" w:space="0" w:color="auto"/>
                                                                                <w:right w:val="none" w:sz="0" w:space="0" w:color="auto"/>
                                                                              </w:divBdr>
                                                                              <w:divsChild>
                                                                                <w:div w:id="608005547">
                                                                                  <w:marLeft w:val="0"/>
                                                                                  <w:marRight w:val="0"/>
                                                                                  <w:marTop w:val="0"/>
                                                                                  <w:marBottom w:val="0"/>
                                                                                  <w:divBdr>
                                                                                    <w:top w:val="none" w:sz="0" w:space="0" w:color="auto"/>
                                                                                    <w:left w:val="none" w:sz="0" w:space="0" w:color="auto"/>
                                                                                    <w:bottom w:val="none" w:sz="0" w:space="0" w:color="auto"/>
                                                                                    <w:right w:val="none" w:sz="0" w:space="0" w:color="auto"/>
                                                                                  </w:divBdr>
                                                                                  <w:divsChild>
                                                                                    <w:div w:id="165453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2785444">
      <w:bodyDiv w:val="1"/>
      <w:marLeft w:val="0"/>
      <w:marRight w:val="0"/>
      <w:marTop w:val="0"/>
      <w:marBottom w:val="0"/>
      <w:divBdr>
        <w:top w:val="none" w:sz="0" w:space="0" w:color="auto"/>
        <w:left w:val="none" w:sz="0" w:space="0" w:color="auto"/>
        <w:bottom w:val="none" w:sz="0" w:space="0" w:color="auto"/>
        <w:right w:val="none" w:sz="0" w:space="0" w:color="auto"/>
      </w:divBdr>
      <w:divsChild>
        <w:div w:id="640620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701574">
              <w:marLeft w:val="0"/>
              <w:marRight w:val="0"/>
              <w:marTop w:val="0"/>
              <w:marBottom w:val="0"/>
              <w:divBdr>
                <w:top w:val="none" w:sz="0" w:space="0" w:color="auto"/>
                <w:left w:val="none" w:sz="0" w:space="0" w:color="auto"/>
                <w:bottom w:val="none" w:sz="0" w:space="0" w:color="auto"/>
                <w:right w:val="none" w:sz="0" w:space="0" w:color="auto"/>
              </w:divBdr>
              <w:divsChild>
                <w:div w:id="412046973">
                  <w:marLeft w:val="0"/>
                  <w:marRight w:val="0"/>
                  <w:marTop w:val="0"/>
                  <w:marBottom w:val="0"/>
                  <w:divBdr>
                    <w:top w:val="none" w:sz="0" w:space="0" w:color="auto"/>
                    <w:left w:val="none" w:sz="0" w:space="0" w:color="auto"/>
                    <w:bottom w:val="none" w:sz="0" w:space="0" w:color="auto"/>
                    <w:right w:val="none" w:sz="0" w:space="0" w:color="auto"/>
                  </w:divBdr>
                  <w:divsChild>
                    <w:div w:id="181364974">
                      <w:marLeft w:val="0"/>
                      <w:marRight w:val="0"/>
                      <w:marTop w:val="0"/>
                      <w:marBottom w:val="0"/>
                      <w:divBdr>
                        <w:top w:val="none" w:sz="0" w:space="0" w:color="auto"/>
                        <w:left w:val="none" w:sz="0" w:space="0" w:color="auto"/>
                        <w:bottom w:val="none" w:sz="0" w:space="0" w:color="auto"/>
                        <w:right w:val="none" w:sz="0" w:space="0" w:color="auto"/>
                      </w:divBdr>
                      <w:divsChild>
                        <w:div w:id="65333812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1599357">
                              <w:marLeft w:val="0"/>
                              <w:marRight w:val="0"/>
                              <w:marTop w:val="0"/>
                              <w:marBottom w:val="0"/>
                              <w:divBdr>
                                <w:top w:val="none" w:sz="0" w:space="0" w:color="auto"/>
                                <w:left w:val="none" w:sz="0" w:space="0" w:color="auto"/>
                                <w:bottom w:val="none" w:sz="0" w:space="0" w:color="auto"/>
                                <w:right w:val="none" w:sz="0" w:space="0" w:color="auto"/>
                              </w:divBdr>
                              <w:divsChild>
                                <w:div w:id="1375740123">
                                  <w:marLeft w:val="0"/>
                                  <w:marRight w:val="0"/>
                                  <w:marTop w:val="0"/>
                                  <w:marBottom w:val="0"/>
                                  <w:divBdr>
                                    <w:top w:val="none" w:sz="0" w:space="0" w:color="auto"/>
                                    <w:left w:val="none" w:sz="0" w:space="0" w:color="auto"/>
                                    <w:bottom w:val="none" w:sz="0" w:space="0" w:color="auto"/>
                                    <w:right w:val="none" w:sz="0" w:space="0" w:color="auto"/>
                                  </w:divBdr>
                                  <w:divsChild>
                                    <w:div w:id="297683962">
                                      <w:marLeft w:val="0"/>
                                      <w:marRight w:val="0"/>
                                      <w:marTop w:val="0"/>
                                      <w:marBottom w:val="0"/>
                                      <w:divBdr>
                                        <w:top w:val="none" w:sz="0" w:space="0" w:color="auto"/>
                                        <w:left w:val="none" w:sz="0" w:space="0" w:color="auto"/>
                                        <w:bottom w:val="none" w:sz="0" w:space="0" w:color="auto"/>
                                        <w:right w:val="none" w:sz="0" w:space="0" w:color="auto"/>
                                      </w:divBdr>
                                      <w:divsChild>
                                        <w:div w:id="12434993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98045746">
                                              <w:marLeft w:val="0"/>
                                              <w:marRight w:val="0"/>
                                              <w:marTop w:val="0"/>
                                              <w:marBottom w:val="0"/>
                                              <w:divBdr>
                                                <w:top w:val="none" w:sz="0" w:space="0" w:color="auto"/>
                                                <w:left w:val="none" w:sz="0" w:space="0" w:color="auto"/>
                                                <w:bottom w:val="none" w:sz="0" w:space="0" w:color="auto"/>
                                                <w:right w:val="none" w:sz="0" w:space="0" w:color="auto"/>
                                              </w:divBdr>
                                              <w:divsChild>
                                                <w:div w:id="1216239620">
                                                  <w:marLeft w:val="0"/>
                                                  <w:marRight w:val="0"/>
                                                  <w:marTop w:val="0"/>
                                                  <w:marBottom w:val="0"/>
                                                  <w:divBdr>
                                                    <w:top w:val="none" w:sz="0" w:space="0" w:color="auto"/>
                                                    <w:left w:val="none" w:sz="0" w:space="0" w:color="auto"/>
                                                    <w:bottom w:val="none" w:sz="0" w:space="0" w:color="auto"/>
                                                    <w:right w:val="none" w:sz="0" w:space="0" w:color="auto"/>
                                                  </w:divBdr>
                                                  <w:divsChild>
                                                    <w:div w:id="1679235589">
                                                      <w:marLeft w:val="0"/>
                                                      <w:marRight w:val="0"/>
                                                      <w:marTop w:val="0"/>
                                                      <w:marBottom w:val="0"/>
                                                      <w:divBdr>
                                                        <w:top w:val="none" w:sz="0" w:space="0" w:color="auto"/>
                                                        <w:left w:val="none" w:sz="0" w:space="0" w:color="auto"/>
                                                        <w:bottom w:val="none" w:sz="0" w:space="0" w:color="auto"/>
                                                        <w:right w:val="none" w:sz="0" w:space="0" w:color="auto"/>
                                                      </w:divBdr>
                                                      <w:divsChild>
                                                        <w:div w:id="1313292972">
                                                          <w:marLeft w:val="0"/>
                                                          <w:marRight w:val="0"/>
                                                          <w:marTop w:val="0"/>
                                                          <w:marBottom w:val="0"/>
                                                          <w:divBdr>
                                                            <w:top w:val="none" w:sz="0" w:space="0" w:color="auto"/>
                                                            <w:left w:val="none" w:sz="0" w:space="0" w:color="auto"/>
                                                            <w:bottom w:val="none" w:sz="0" w:space="0" w:color="auto"/>
                                                            <w:right w:val="none" w:sz="0" w:space="0" w:color="auto"/>
                                                          </w:divBdr>
                                                          <w:divsChild>
                                                            <w:div w:id="1015159311">
                                                              <w:marLeft w:val="0"/>
                                                              <w:marRight w:val="0"/>
                                                              <w:marTop w:val="0"/>
                                                              <w:marBottom w:val="0"/>
                                                              <w:divBdr>
                                                                <w:top w:val="none" w:sz="0" w:space="0" w:color="auto"/>
                                                                <w:left w:val="none" w:sz="0" w:space="0" w:color="auto"/>
                                                                <w:bottom w:val="none" w:sz="0" w:space="0" w:color="auto"/>
                                                                <w:right w:val="none" w:sz="0" w:space="0" w:color="auto"/>
                                                              </w:divBdr>
                                                              <w:divsChild>
                                                                <w:div w:id="972366585">
                                                                  <w:marLeft w:val="0"/>
                                                                  <w:marRight w:val="0"/>
                                                                  <w:marTop w:val="0"/>
                                                                  <w:marBottom w:val="0"/>
                                                                  <w:divBdr>
                                                                    <w:top w:val="none" w:sz="0" w:space="0" w:color="auto"/>
                                                                    <w:left w:val="none" w:sz="0" w:space="0" w:color="auto"/>
                                                                    <w:bottom w:val="none" w:sz="0" w:space="0" w:color="auto"/>
                                                                    <w:right w:val="none" w:sz="0" w:space="0" w:color="auto"/>
                                                                  </w:divBdr>
                                                                  <w:divsChild>
                                                                    <w:div w:id="726419779">
                                                                      <w:marLeft w:val="0"/>
                                                                      <w:marRight w:val="0"/>
                                                                      <w:marTop w:val="0"/>
                                                                      <w:marBottom w:val="0"/>
                                                                      <w:divBdr>
                                                                        <w:top w:val="none" w:sz="0" w:space="0" w:color="auto"/>
                                                                        <w:left w:val="none" w:sz="0" w:space="0" w:color="auto"/>
                                                                        <w:bottom w:val="none" w:sz="0" w:space="0" w:color="auto"/>
                                                                        <w:right w:val="none" w:sz="0" w:space="0" w:color="auto"/>
                                                                      </w:divBdr>
                                                                      <w:divsChild>
                                                                        <w:div w:id="1724597070">
                                                                          <w:marLeft w:val="0"/>
                                                                          <w:marRight w:val="0"/>
                                                                          <w:marTop w:val="0"/>
                                                                          <w:marBottom w:val="0"/>
                                                                          <w:divBdr>
                                                                            <w:top w:val="none" w:sz="0" w:space="0" w:color="auto"/>
                                                                            <w:left w:val="none" w:sz="0" w:space="0" w:color="auto"/>
                                                                            <w:bottom w:val="none" w:sz="0" w:space="0" w:color="auto"/>
                                                                            <w:right w:val="none" w:sz="0" w:space="0" w:color="auto"/>
                                                                          </w:divBdr>
                                                                          <w:divsChild>
                                                                            <w:div w:id="1580795430">
                                                                              <w:marLeft w:val="0"/>
                                                                              <w:marRight w:val="0"/>
                                                                              <w:marTop w:val="0"/>
                                                                              <w:marBottom w:val="0"/>
                                                                              <w:divBdr>
                                                                                <w:top w:val="none" w:sz="0" w:space="0" w:color="auto"/>
                                                                                <w:left w:val="none" w:sz="0" w:space="0" w:color="auto"/>
                                                                                <w:bottom w:val="none" w:sz="0" w:space="0" w:color="auto"/>
                                                                                <w:right w:val="none" w:sz="0" w:space="0" w:color="auto"/>
                                                                              </w:divBdr>
                                                                              <w:divsChild>
                                                                                <w:div w:id="326173902">
                                                                                  <w:marLeft w:val="0"/>
                                                                                  <w:marRight w:val="0"/>
                                                                                  <w:marTop w:val="0"/>
                                                                                  <w:marBottom w:val="0"/>
                                                                                  <w:divBdr>
                                                                                    <w:top w:val="none" w:sz="0" w:space="0" w:color="auto"/>
                                                                                    <w:left w:val="none" w:sz="0" w:space="0" w:color="auto"/>
                                                                                    <w:bottom w:val="none" w:sz="0" w:space="0" w:color="auto"/>
                                                                                    <w:right w:val="none" w:sz="0" w:space="0" w:color="auto"/>
                                                                                  </w:divBdr>
                                                                                  <w:divsChild>
                                                                                    <w:div w:id="185672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1767629">
      <w:bodyDiv w:val="1"/>
      <w:marLeft w:val="0"/>
      <w:marRight w:val="0"/>
      <w:marTop w:val="0"/>
      <w:marBottom w:val="0"/>
      <w:divBdr>
        <w:top w:val="none" w:sz="0" w:space="0" w:color="auto"/>
        <w:left w:val="none" w:sz="0" w:space="0" w:color="auto"/>
        <w:bottom w:val="none" w:sz="0" w:space="0" w:color="auto"/>
        <w:right w:val="none" w:sz="0" w:space="0" w:color="auto"/>
      </w:divBdr>
    </w:div>
    <w:div w:id="1340085866">
      <w:bodyDiv w:val="1"/>
      <w:marLeft w:val="0"/>
      <w:marRight w:val="0"/>
      <w:marTop w:val="0"/>
      <w:marBottom w:val="0"/>
      <w:divBdr>
        <w:top w:val="none" w:sz="0" w:space="0" w:color="auto"/>
        <w:left w:val="none" w:sz="0" w:space="0" w:color="auto"/>
        <w:bottom w:val="none" w:sz="0" w:space="0" w:color="auto"/>
        <w:right w:val="none" w:sz="0" w:space="0" w:color="auto"/>
      </w:divBdr>
      <w:divsChild>
        <w:div w:id="1229613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914384">
              <w:marLeft w:val="0"/>
              <w:marRight w:val="0"/>
              <w:marTop w:val="0"/>
              <w:marBottom w:val="0"/>
              <w:divBdr>
                <w:top w:val="none" w:sz="0" w:space="0" w:color="auto"/>
                <w:left w:val="none" w:sz="0" w:space="0" w:color="auto"/>
                <w:bottom w:val="none" w:sz="0" w:space="0" w:color="auto"/>
                <w:right w:val="none" w:sz="0" w:space="0" w:color="auto"/>
              </w:divBdr>
              <w:divsChild>
                <w:div w:id="541094279">
                  <w:marLeft w:val="0"/>
                  <w:marRight w:val="0"/>
                  <w:marTop w:val="0"/>
                  <w:marBottom w:val="0"/>
                  <w:divBdr>
                    <w:top w:val="none" w:sz="0" w:space="0" w:color="auto"/>
                    <w:left w:val="none" w:sz="0" w:space="0" w:color="auto"/>
                    <w:bottom w:val="none" w:sz="0" w:space="0" w:color="auto"/>
                    <w:right w:val="none" w:sz="0" w:space="0" w:color="auto"/>
                  </w:divBdr>
                  <w:divsChild>
                    <w:div w:id="494957136">
                      <w:marLeft w:val="0"/>
                      <w:marRight w:val="0"/>
                      <w:marTop w:val="0"/>
                      <w:marBottom w:val="0"/>
                      <w:divBdr>
                        <w:top w:val="none" w:sz="0" w:space="0" w:color="auto"/>
                        <w:left w:val="none" w:sz="0" w:space="0" w:color="auto"/>
                        <w:bottom w:val="none" w:sz="0" w:space="0" w:color="auto"/>
                        <w:right w:val="none" w:sz="0" w:space="0" w:color="auto"/>
                      </w:divBdr>
                      <w:divsChild>
                        <w:div w:id="9964968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54434869">
                              <w:marLeft w:val="0"/>
                              <w:marRight w:val="0"/>
                              <w:marTop w:val="0"/>
                              <w:marBottom w:val="0"/>
                              <w:divBdr>
                                <w:top w:val="none" w:sz="0" w:space="0" w:color="auto"/>
                                <w:left w:val="none" w:sz="0" w:space="0" w:color="auto"/>
                                <w:bottom w:val="none" w:sz="0" w:space="0" w:color="auto"/>
                                <w:right w:val="none" w:sz="0" w:space="0" w:color="auto"/>
                              </w:divBdr>
                              <w:divsChild>
                                <w:div w:id="862206816">
                                  <w:marLeft w:val="0"/>
                                  <w:marRight w:val="0"/>
                                  <w:marTop w:val="0"/>
                                  <w:marBottom w:val="0"/>
                                  <w:divBdr>
                                    <w:top w:val="none" w:sz="0" w:space="0" w:color="auto"/>
                                    <w:left w:val="none" w:sz="0" w:space="0" w:color="auto"/>
                                    <w:bottom w:val="none" w:sz="0" w:space="0" w:color="auto"/>
                                    <w:right w:val="none" w:sz="0" w:space="0" w:color="auto"/>
                                  </w:divBdr>
                                  <w:divsChild>
                                    <w:div w:id="1494104920">
                                      <w:marLeft w:val="0"/>
                                      <w:marRight w:val="0"/>
                                      <w:marTop w:val="0"/>
                                      <w:marBottom w:val="0"/>
                                      <w:divBdr>
                                        <w:top w:val="none" w:sz="0" w:space="0" w:color="auto"/>
                                        <w:left w:val="none" w:sz="0" w:space="0" w:color="auto"/>
                                        <w:bottom w:val="none" w:sz="0" w:space="0" w:color="auto"/>
                                        <w:right w:val="none" w:sz="0" w:space="0" w:color="auto"/>
                                      </w:divBdr>
                                      <w:divsChild>
                                        <w:div w:id="13711292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71758328">
                                              <w:marLeft w:val="0"/>
                                              <w:marRight w:val="0"/>
                                              <w:marTop w:val="0"/>
                                              <w:marBottom w:val="0"/>
                                              <w:divBdr>
                                                <w:top w:val="none" w:sz="0" w:space="0" w:color="auto"/>
                                                <w:left w:val="none" w:sz="0" w:space="0" w:color="auto"/>
                                                <w:bottom w:val="none" w:sz="0" w:space="0" w:color="auto"/>
                                                <w:right w:val="none" w:sz="0" w:space="0" w:color="auto"/>
                                              </w:divBdr>
                                              <w:divsChild>
                                                <w:div w:id="1031030218">
                                                  <w:marLeft w:val="0"/>
                                                  <w:marRight w:val="0"/>
                                                  <w:marTop w:val="0"/>
                                                  <w:marBottom w:val="0"/>
                                                  <w:divBdr>
                                                    <w:top w:val="none" w:sz="0" w:space="0" w:color="auto"/>
                                                    <w:left w:val="none" w:sz="0" w:space="0" w:color="auto"/>
                                                    <w:bottom w:val="none" w:sz="0" w:space="0" w:color="auto"/>
                                                    <w:right w:val="none" w:sz="0" w:space="0" w:color="auto"/>
                                                  </w:divBdr>
                                                  <w:divsChild>
                                                    <w:div w:id="1102456045">
                                                      <w:marLeft w:val="0"/>
                                                      <w:marRight w:val="0"/>
                                                      <w:marTop w:val="0"/>
                                                      <w:marBottom w:val="0"/>
                                                      <w:divBdr>
                                                        <w:top w:val="none" w:sz="0" w:space="0" w:color="auto"/>
                                                        <w:left w:val="none" w:sz="0" w:space="0" w:color="auto"/>
                                                        <w:bottom w:val="none" w:sz="0" w:space="0" w:color="auto"/>
                                                        <w:right w:val="none" w:sz="0" w:space="0" w:color="auto"/>
                                                      </w:divBdr>
                                                      <w:divsChild>
                                                        <w:div w:id="825821780">
                                                          <w:marLeft w:val="0"/>
                                                          <w:marRight w:val="0"/>
                                                          <w:marTop w:val="0"/>
                                                          <w:marBottom w:val="0"/>
                                                          <w:divBdr>
                                                            <w:top w:val="none" w:sz="0" w:space="0" w:color="auto"/>
                                                            <w:left w:val="none" w:sz="0" w:space="0" w:color="auto"/>
                                                            <w:bottom w:val="none" w:sz="0" w:space="0" w:color="auto"/>
                                                            <w:right w:val="none" w:sz="0" w:space="0" w:color="auto"/>
                                                          </w:divBdr>
                                                          <w:divsChild>
                                                            <w:div w:id="961153733">
                                                              <w:marLeft w:val="0"/>
                                                              <w:marRight w:val="0"/>
                                                              <w:marTop w:val="0"/>
                                                              <w:marBottom w:val="0"/>
                                                              <w:divBdr>
                                                                <w:top w:val="none" w:sz="0" w:space="0" w:color="auto"/>
                                                                <w:left w:val="none" w:sz="0" w:space="0" w:color="auto"/>
                                                                <w:bottom w:val="none" w:sz="0" w:space="0" w:color="auto"/>
                                                                <w:right w:val="none" w:sz="0" w:space="0" w:color="auto"/>
                                                              </w:divBdr>
                                                              <w:divsChild>
                                                                <w:div w:id="1359312445">
                                                                  <w:marLeft w:val="0"/>
                                                                  <w:marRight w:val="0"/>
                                                                  <w:marTop w:val="0"/>
                                                                  <w:marBottom w:val="0"/>
                                                                  <w:divBdr>
                                                                    <w:top w:val="none" w:sz="0" w:space="0" w:color="auto"/>
                                                                    <w:left w:val="none" w:sz="0" w:space="0" w:color="auto"/>
                                                                    <w:bottom w:val="none" w:sz="0" w:space="0" w:color="auto"/>
                                                                    <w:right w:val="none" w:sz="0" w:space="0" w:color="auto"/>
                                                                  </w:divBdr>
                                                                  <w:divsChild>
                                                                    <w:div w:id="1293827085">
                                                                      <w:marLeft w:val="0"/>
                                                                      <w:marRight w:val="0"/>
                                                                      <w:marTop w:val="0"/>
                                                                      <w:marBottom w:val="0"/>
                                                                      <w:divBdr>
                                                                        <w:top w:val="none" w:sz="0" w:space="0" w:color="auto"/>
                                                                        <w:left w:val="none" w:sz="0" w:space="0" w:color="auto"/>
                                                                        <w:bottom w:val="none" w:sz="0" w:space="0" w:color="auto"/>
                                                                        <w:right w:val="none" w:sz="0" w:space="0" w:color="auto"/>
                                                                      </w:divBdr>
                                                                      <w:divsChild>
                                                                        <w:div w:id="139855391">
                                                                          <w:marLeft w:val="0"/>
                                                                          <w:marRight w:val="0"/>
                                                                          <w:marTop w:val="0"/>
                                                                          <w:marBottom w:val="0"/>
                                                                          <w:divBdr>
                                                                            <w:top w:val="none" w:sz="0" w:space="0" w:color="auto"/>
                                                                            <w:left w:val="none" w:sz="0" w:space="0" w:color="auto"/>
                                                                            <w:bottom w:val="none" w:sz="0" w:space="0" w:color="auto"/>
                                                                            <w:right w:val="none" w:sz="0" w:space="0" w:color="auto"/>
                                                                          </w:divBdr>
                                                                          <w:divsChild>
                                                                            <w:div w:id="470560851">
                                                                              <w:marLeft w:val="0"/>
                                                                              <w:marRight w:val="0"/>
                                                                              <w:marTop w:val="0"/>
                                                                              <w:marBottom w:val="0"/>
                                                                              <w:divBdr>
                                                                                <w:top w:val="none" w:sz="0" w:space="0" w:color="auto"/>
                                                                                <w:left w:val="none" w:sz="0" w:space="0" w:color="auto"/>
                                                                                <w:bottom w:val="none" w:sz="0" w:space="0" w:color="auto"/>
                                                                                <w:right w:val="none" w:sz="0" w:space="0" w:color="auto"/>
                                                                              </w:divBdr>
                                                                              <w:divsChild>
                                                                                <w:div w:id="224342927">
                                                                                  <w:marLeft w:val="0"/>
                                                                                  <w:marRight w:val="0"/>
                                                                                  <w:marTop w:val="0"/>
                                                                                  <w:marBottom w:val="0"/>
                                                                                  <w:divBdr>
                                                                                    <w:top w:val="none" w:sz="0" w:space="0" w:color="auto"/>
                                                                                    <w:left w:val="none" w:sz="0" w:space="0" w:color="auto"/>
                                                                                    <w:bottom w:val="none" w:sz="0" w:space="0" w:color="auto"/>
                                                                                    <w:right w:val="none" w:sz="0" w:space="0" w:color="auto"/>
                                                                                  </w:divBdr>
                                                                                  <w:divsChild>
                                                                                    <w:div w:id="49954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5612820">
      <w:bodyDiv w:val="1"/>
      <w:marLeft w:val="0"/>
      <w:marRight w:val="0"/>
      <w:marTop w:val="0"/>
      <w:marBottom w:val="0"/>
      <w:divBdr>
        <w:top w:val="none" w:sz="0" w:space="0" w:color="auto"/>
        <w:left w:val="none" w:sz="0" w:space="0" w:color="auto"/>
        <w:bottom w:val="none" w:sz="0" w:space="0" w:color="auto"/>
        <w:right w:val="none" w:sz="0" w:space="0" w:color="auto"/>
      </w:divBdr>
      <w:divsChild>
        <w:div w:id="151934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762266">
              <w:marLeft w:val="0"/>
              <w:marRight w:val="0"/>
              <w:marTop w:val="0"/>
              <w:marBottom w:val="0"/>
              <w:divBdr>
                <w:top w:val="none" w:sz="0" w:space="0" w:color="auto"/>
                <w:left w:val="none" w:sz="0" w:space="0" w:color="auto"/>
                <w:bottom w:val="none" w:sz="0" w:space="0" w:color="auto"/>
                <w:right w:val="none" w:sz="0" w:space="0" w:color="auto"/>
              </w:divBdr>
              <w:divsChild>
                <w:div w:id="1163744868">
                  <w:marLeft w:val="0"/>
                  <w:marRight w:val="0"/>
                  <w:marTop w:val="0"/>
                  <w:marBottom w:val="0"/>
                  <w:divBdr>
                    <w:top w:val="none" w:sz="0" w:space="0" w:color="auto"/>
                    <w:left w:val="none" w:sz="0" w:space="0" w:color="auto"/>
                    <w:bottom w:val="none" w:sz="0" w:space="0" w:color="auto"/>
                    <w:right w:val="none" w:sz="0" w:space="0" w:color="auto"/>
                  </w:divBdr>
                  <w:divsChild>
                    <w:div w:id="1282347608">
                      <w:marLeft w:val="0"/>
                      <w:marRight w:val="0"/>
                      <w:marTop w:val="0"/>
                      <w:marBottom w:val="0"/>
                      <w:divBdr>
                        <w:top w:val="none" w:sz="0" w:space="0" w:color="auto"/>
                        <w:left w:val="none" w:sz="0" w:space="0" w:color="auto"/>
                        <w:bottom w:val="none" w:sz="0" w:space="0" w:color="auto"/>
                        <w:right w:val="none" w:sz="0" w:space="0" w:color="auto"/>
                      </w:divBdr>
                      <w:divsChild>
                        <w:div w:id="182782402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0050557">
                              <w:marLeft w:val="0"/>
                              <w:marRight w:val="0"/>
                              <w:marTop w:val="0"/>
                              <w:marBottom w:val="0"/>
                              <w:divBdr>
                                <w:top w:val="none" w:sz="0" w:space="0" w:color="auto"/>
                                <w:left w:val="none" w:sz="0" w:space="0" w:color="auto"/>
                                <w:bottom w:val="none" w:sz="0" w:space="0" w:color="auto"/>
                                <w:right w:val="none" w:sz="0" w:space="0" w:color="auto"/>
                              </w:divBdr>
                              <w:divsChild>
                                <w:div w:id="172764255">
                                  <w:marLeft w:val="0"/>
                                  <w:marRight w:val="0"/>
                                  <w:marTop w:val="0"/>
                                  <w:marBottom w:val="0"/>
                                  <w:divBdr>
                                    <w:top w:val="none" w:sz="0" w:space="0" w:color="auto"/>
                                    <w:left w:val="none" w:sz="0" w:space="0" w:color="auto"/>
                                    <w:bottom w:val="none" w:sz="0" w:space="0" w:color="auto"/>
                                    <w:right w:val="none" w:sz="0" w:space="0" w:color="auto"/>
                                  </w:divBdr>
                                  <w:divsChild>
                                    <w:div w:id="1900243222">
                                      <w:marLeft w:val="0"/>
                                      <w:marRight w:val="0"/>
                                      <w:marTop w:val="0"/>
                                      <w:marBottom w:val="0"/>
                                      <w:divBdr>
                                        <w:top w:val="none" w:sz="0" w:space="0" w:color="auto"/>
                                        <w:left w:val="none" w:sz="0" w:space="0" w:color="auto"/>
                                        <w:bottom w:val="none" w:sz="0" w:space="0" w:color="auto"/>
                                        <w:right w:val="none" w:sz="0" w:space="0" w:color="auto"/>
                                      </w:divBdr>
                                      <w:divsChild>
                                        <w:div w:id="8319947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18989826">
                                              <w:marLeft w:val="0"/>
                                              <w:marRight w:val="0"/>
                                              <w:marTop w:val="0"/>
                                              <w:marBottom w:val="0"/>
                                              <w:divBdr>
                                                <w:top w:val="none" w:sz="0" w:space="0" w:color="auto"/>
                                                <w:left w:val="none" w:sz="0" w:space="0" w:color="auto"/>
                                                <w:bottom w:val="none" w:sz="0" w:space="0" w:color="auto"/>
                                                <w:right w:val="none" w:sz="0" w:space="0" w:color="auto"/>
                                              </w:divBdr>
                                              <w:divsChild>
                                                <w:div w:id="551189126">
                                                  <w:marLeft w:val="0"/>
                                                  <w:marRight w:val="0"/>
                                                  <w:marTop w:val="0"/>
                                                  <w:marBottom w:val="0"/>
                                                  <w:divBdr>
                                                    <w:top w:val="none" w:sz="0" w:space="0" w:color="auto"/>
                                                    <w:left w:val="none" w:sz="0" w:space="0" w:color="auto"/>
                                                    <w:bottom w:val="none" w:sz="0" w:space="0" w:color="auto"/>
                                                    <w:right w:val="none" w:sz="0" w:space="0" w:color="auto"/>
                                                  </w:divBdr>
                                                  <w:divsChild>
                                                    <w:div w:id="1034310859">
                                                      <w:marLeft w:val="0"/>
                                                      <w:marRight w:val="0"/>
                                                      <w:marTop w:val="0"/>
                                                      <w:marBottom w:val="0"/>
                                                      <w:divBdr>
                                                        <w:top w:val="none" w:sz="0" w:space="0" w:color="auto"/>
                                                        <w:left w:val="none" w:sz="0" w:space="0" w:color="auto"/>
                                                        <w:bottom w:val="none" w:sz="0" w:space="0" w:color="auto"/>
                                                        <w:right w:val="none" w:sz="0" w:space="0" w:color="auto"/>
                                                      </w:divBdr>
                                                      <w:divsChild>
                                                        <w:div w:id="1640920854">
                                                          <w:marLeft w:val="0"/>
                                                          <w:marRight w:val="0"/>
                                                          <w:marTop w:val="0"/>
                                                          <w:marBottom w:val="0"/>
                                                          <w:divBdr>
                                                            <w:top w:val="none" w:sz="0" w:space="0" w:color="auto"/>
                                                            <w:left w:val="none" w:sz="0" w:space="0" w:color="auto"/>
                                                            <w:bottom w:val="none" w:sz="0" w:space="0" w:color="auto"/>
                                                            <w:right w:val="none" w:sz="0" w:space="0" w:color="auto"/>
                                                          </w:divBdr>
                                                          <w:divsChild>
                                                            <w:div w:id="1569920501">
                                                              <w:marLeft w:val="0"/>
                                                              <w:marRight w:val="0"/>
                                                              <w:marTop w:val="0"/>
                                                              <w:marBottom w:val="0"/>
                                                              <w:divBdr>
                                                                <w:top w:val="none" w:sz="0" w:space="0" w:color="auto"/>
                                                                <w:left w:val="none" w:sz="0" w:space="0" w:color="auto"/>
                                                                <w:bottom w:val="none" w:sz="0" w:space="0" w:color="auto"/>
                                                                <w:right w:val="none" w:sz="0" w:space="0" w:color="auto"/>
                                                              </w:divBdr>
                                                              <w:divsChild>
                                                                <w:div w:id="1117061783">
                                                                  <w:marLeft w:val="0"/>
                                                                  <w:marRight w:val="0"/>
                                                                  <w:marTop w:val="0"/>
                                                                  <w:marBottom w:val="0"/>
                                                                  <w:divBdr>
                                                                    <w:top w:val="none" w:sz="0" w:space="0" w:color="auto"/>
                                                                    <w:left w:val="none" w:sz="0" w:space="0" w:color="auto"/>
                                                                    <w:bottom w:val="none" w:sz="0" w:space="0" w:color="auto"/>
                                                                    <w:right w:val="none" w:sz="0" w:space="0" w:color="auto"/>
                                                                  </w:divBdr>
                                                                  <w:divsChild>
                                                                    <w:div w:id="1907913384">
                                                                      <w:marLeft w:val="0"/>
                                                                      <w:marRight w:val="0"/>
                                                                      <w:marTop w:val="0"/>
                                                                      <w:marBottom w:val="0"/>
                                                                      <w:divBdr>
                                                                        <w:top w:val="none" w:sz="0" w:space="0" w:color="auto"/>
                                                                        <w:left w:val="none" w:sz="0" w:space="0" w:color="auto"/>
                                                                        <w:bottom w:val="none" w:sz="0" w:space="0" w:color="auto"/>
                                                                        <w:right w:val="none" w:sz="0" w:space="0" w:color="auto"/>
                                                                      </w:divBdr>
                                                                      <w:divsChild>
                                                                        <w:div w:id="1878081967">
                                                                          <w:marLeft w:val="0"/>
                                                                          <w:marRight w:val="0"/>
                                                                          <w:marTop w:val="0"/>
                                                                          <w:marBottom w:val="0"/>
                                                                          <w:divBdr>
                                                                            <w:top w:val="none" w:sz="0" w:space="0" w:color="auto"/>
                                                                            <w:left w:val="none" w:sz="0" w:space="0" w:color="auto"/>
                                                                            <w:bottom w:val="none" w:sz="0" w:space="0" w:color="auto"/>
                                                                            <w:right w:val="none" w:sz="0" w:space="0" w:color="auto"/>
                                                                          </w:divBdr>
                                                                          <w:divsChild>
                                                                            <w:div w:id="897591852">
                                                                              <w:marLeft w:val="0"/>
                                                                              <w:marRight w:val="0"/>
                                                                              <w:marTop w:val="0"/>
                                                                              <w:marBottom w:val="0"/>
                                                                              <w:divBdr>
                                                                                <w:top w:val="none" w:sz="0" w:space="0" w:color="auto"/>
                                                                                <w:left w:val="none" w:sz="0" w:space="0" w:color="auto"/>
                                                                                <w:bottom w:val="none" w:sz="0" w:space="0" w:color="auto"/>
                                                                                <w:right w:val="none" w:sz="0" w:space="0" w:color="auto"/>
                                                                              </w:divBdr>
                                                                              <w:divsChild>
                                                                                <w:div w:id="1348210634">
                                                                                  <w:marLeft w:val="0"/>
                                                                                  <w:marRight w:val="0"/>
                                                                                  <w:marTop w:val="0"/>
                                                                                  <w:marBottom w:val="0"/>
                                                                                  <w:divBdr>
                                                                                    <w:top w:val="none" w:sz="0" w:space="0" w:color="auto"/>
                                                                                    <w:left w:val="none" w:sz="0" w:space="0" w:color="auto"/>
                                                                                    <w:bottom w:val="none" w:sz="0" w:space="0" w:color="auto"/>
                                                                                    <w:right w:val="none" w:sz="0" w:space="0" w:color="auto"/>
                                                                                  </w:divBdr>
                                                                                  <w:divsChild>
                                                                                    <w:div w:id="64778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89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ithub.com/matthieukomorowski/ICURL" TargetMode="Externa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18512</Words>
  <Characters>105525</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Komorowski, Matthieu</dc:creator>
  <cp:keywords/>
  <dc:description/>
  <cp:lastModifiedBy>Komorowski, Matthieu</cp:lastModifiedBy>
  <cp:revision>3</cp:revision>
  <dcterms:created xsi:type="dcterms:W3CDTF">2018-05-29T08:28:00Z</dcterms:created>
  <dcterms:modified xsi:type="dcterms:W3CDTF">2018-05-29T08:30:00Z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zotero-version="5.0.47"&gt;&lt;session id="KupM2ACF"/&gt;&lt;style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