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01D8" w:rsidRPr="000B6432" w:rsidRDefault="00553C47" w:rsidP="00783484">
      <w:pPr>
        <w:pStyle w:val="01PaperTitle"/>
      </w:pPr>
      <w:bookmarkStart w:id="0" w:name="_GoBack"/>
      <w:bookmarkEnd w:id="0"/>
      <w:r w:rsidRPr="00553C47">
        <w:t>Salts Dissolved in Salts</w:t>
      </w:r>
    </w:p>
    <w:p w:rsidR="009101D8" w:rsidRPr="000B6432" w:rsidRDefault="00553C47" w:rsidP="009101D8">
      <w:pPr>
        <w:pStyle w:val="02PaperAuthors"/>
      </w:pPr>
      <w:r w:rsidRPr="00553C47">
        <w:t>Matthew Y. Lui, Lorna Crowhurst, Jason P. Hallett*, Patricia A. Hunt, Heiko Niedermeyer and Tom Welton*</w:t>
      </w:r>
    </w:p>
    <w:p w:rsidR="009101D8" w:rsidRPr="000B6432" w:rsidRDefault="00336344" w:rsidP="009101D8">
      <w:pPr>
        <w:pStyle w:val="L1Receivedaccepteddates"/>
      </w:pPr>
      <w:r>
        <w:t xml:space="preserve">Received (in XXX, XXX) </w:t>
      </w:r>
      <w:r w:rsidR="00677018">
        <w:t>Xth</w:t>
      </w:r>
      <w:r>
        <w:t xml:space="preserve"> </w:t>
      </w:r>
      <w:r w:rsidR="00677018">
        <w:t>XXXXXXXXX</w:t>
      </w:r>
      <w:r>
        <w:t xml:space="preserve"> 20</w:t>
      </w:r>
      <w:r w:rsidR="00457EAC">
        <w:t>X</w:t>
      </w:r>
      <w:r w:rsidR="00677018">
        <w:t>X</w:t>
      </w:r>
      <w:r>
        <w:t xml:space="preserve">, </w:t>
      </w:r>
      <w:r w:rsidR="00512302">
        <w:t>Accept</w:t>
      </w:r>
      <w:r>
        <w:t xml:space="preserve">ed </w:t>
      </w:r>
      <w:r w:rsidR="00677018">
        <w:t>Xth XXXXXXXXX 20</w:t>
      </w:r>
      <w:r w:rsidR="00457EAC">
        <w:t>X</w:t>
      </w:r>
      <w:r w:rsidR="00677018">
        <w:t>X</w:t>
      </w:r>
    </w:p>
    <w:p w:rsidR="009101D8" w:rsidRDefault="009101D8" w:rsidP="009101D8">
      <w:pPr>
        <w:pStyle w:val="L2DOI"/>
      </w:pPr>
      <w:r w:rsidRPr="000B6432">
        <w:t>DOI: 10.1039/b</w:t>
      </w:r>
      <w:r w:rsidR="00336344">
        <w:t>000000x</w:t>
      </w:r>
    </w:p>
    <w:p w:rsidR="005654E1" w:rsidRPr="005654E1" w:rsidRDefault="00553C47" w:rsidP="005654E1">
      <w:pPr>
        <w:pStyle w:val="03Abstract"/>
        <w:rPr>
          <w:b/>
        </w:rPr>
      </w:pPr>
      <w:r w:rsidRPr="00553C47">
        <w:t>Solvents and solutions are ubiquitous in chemistry.  For instance, in synthesis the solvent allows reagents to mix intimately so that reactions between these may occur. Consequently, understanding how solutes behave in solutions has been one of the major themes of chemistry throughout its history. Ionic liquids (liquid salts) are an exciting recent addition to the range of available solvents. Here we show that these solvents interact with dissolved salts to give solutions that are completely different from those of salts in either traditional organic solvents or water. Observations of these ideal salt solutions will require new models of solvation and have the potential to lead to new chemical processes.</w:t>
      </w:r>
    </w:p>
    <w:p w:rsidR="00F41228" w:rsidRDefault="00F41228" w:rsidP="003F4A2D">
      <w:pPr>
        <w:pStyle w:val="08ArticleText"/>
        <w:sectPr w:rsidR="00F41228" w:rsidSect="00152DB1">
          <w:headerReference w:type="even" r:id="rId10"/>
          <w:headerReference w:type="default" r:id="rId11"/>
          <w:footerReference w:type="even" r:id="rId12"/>
          <w:footerReference w:type="default" r:id="rId13"/>
          <w:headerReference w:type="first" r:id="rId14"/>
          <w:footerReference w:type="first" r:id="rId15"/>
          <w:endnotePr>
            <w:numFmt w:val="decimal"/>
          </w:endnotePr>
          <w:pgSz w:w="11907" w:h="15593" w:code="119"/>
          <w:pgMar w:top="1021" w:right="907" w:bottom="1021" w:left="1077" w:header="227" w:footer="624" w:gutter="0"/>
          <w:lnNumType w:countBy="5" w:distance="57"/>
          <w:pgNumType w:start="1"/>
          <w:cols w:space="397"/>
          <w:titlePg/>
          <w:docGrid w:linePitch="360"/>
        </w:sectPr>
      </w:pPr>
    </w:p>
    <w:p w:rsidR="0080711F" w:rsidRDefault="000F405F" w:rsidP="00491891">
      <w:pPr>
        <w:pStyle w:val="04AHeading"/>
      </w:pPr>
      <w:r>
        <w:lastRenderedPageBreak/>
        <w:t>Introduction</w:t>
      </w:r>
    </w:p>
    <w:p w:rsidR="000F405F" w:rsidRDefault="000F405F" w:rsidP="003F4A2D">
      <w:pPr>
        <w:pStyle w:val="08ArticleText"/>
      </w:pPr>
      <w:r w:rsidRPr="000F405F">
        <w:t>Modern theories of solvation have been formulated to understand observations of the behaviours of solutes in molecular solvents.</w:t>
      </w:r>
      <w:r w:rsidRPr="000F405F">
        <w:rPr>
          <w:vertAlign w:val="superscript"/>
        </w:rPr>
        <w:t>1</w:t>
      </w:r>
      <w:r w:rsidRPr="000F405F">
        <w:t xml:space="preserve"> For molecular solutes at high dilution we generally see polarity dependent solvation (molecule-molecule interactions) of the individual molecules. For dissolved salts a number of solute species ranging from fully dissociated solvated free ions (molecule-ion interactions) to contact ion pairs (molecule-ion-ion-molecule) are observed.</w:t>
      </w:r>
      <w:r w:rsidRPr="000F405F">
        <w:rPr>
          <w:vertAlign w:val="superscript"/>
        </w:rPr>
        <w:t>2</w:t>
      </w:r>
      <w:r w:rsidRPr="000F405F">
        <w:t xml:space="preserve"> The introduction of ionic liquids as useful solvents for the chemical industry,</w:t>
      </w:r>
      <w:r w:rsidRPr="000F405F">
        <w:rPr>
          <w:vertAlign w:val="superscript"/>
        </w:rPr>
        <w:t>3</w:t>
      </w:r>
      <w:r w:rsidRPr="000F405F">
        <w:t xml:space="preserve"> is requiring that these observations and theories are expanded to encompass these new materials. To date, investigations of how ionic liquids interact with dissolved species have concentrated upon molecular solutes (molecule-ion interactions).</w:t>
      </w:r>
      <w:r w:rsidRPr="000F405F">
        <w:rPr>
          <w:vertAlign w:val="superscript"/>
        </w:rPr>
        <w:t>4</w:t>
      </w:r>
      <w:r w:rsidRPr="000F405F">
        <w:t xml:space="preserve"> Recently, our attention has been drawn to the study of dissolved salts in ionic liquids, which is showing some remarkable results arising from the exclusively ion-ion interactions that are unique to these molecule-free solutions.</w:t>
      </w:r>
    </w:p>
    <w:p w:rsidR="000F405F" w:rsidRDefault="000F405F" w:rsidP="003F4A2D">
      <w:pPr>
        <w:pStyle w:val="08ArticleText"/>
      </w:pPr>
      <w:r>
        <w:tab/>
      </w:r>
      <w:r w:rsidRPr="000F405F">
        <w:t>Ionic liquids are liquids composed entirely of ions when pure. Commonplace salts melt at high temperatures, such as NaCl at 801 °C.</w:t>
      </w:r>
      <w:r w:rsidRPr="000F405F">
        <w:rPr>
          <w:vertAlign w:val="superscript"/>
        </w:rPr>
        <w:t>5</w:t>
      </w:r>
      <w:r w:rsidRPr="000F405F">
        <w:t xml:space="preserve"> However, it is possible to prepare ionic liquids at room temperature by combining a large, asymmetric organic cation with a bulky, charge diffuse anion (see Figure 1). These low-melting ionic liquids have been the subject of much interest in recent years.</w:t>
      </w:r>
      <w:r w:rsidRPr="000F405F">
        <w:rPr>
          <w:vertAlign w:val="superscript"/>
        </w:rPr>
        <w:t>6</w:t>
      </w:r>
    </w:p>
    <w:p w:rsidR="00F31415" w:rsidRDefault="000F405F" w:rsidP="003F4A2D">
      <w:pPr>
        <w:pStyle w:val="08ArticleText"/>
      </w:pPr>
      <w:r>
        <w:tab/>
      </w:r>
      <w:r w:rsidRPr="000F405F">
        <w:t>Intuitively, one would expect a liquid composed entirely of ions to be highly polar.  Indeed, studies of reaction rates</w:t>
      </w:r>
      <w:r w:rsidRPr="000F405F">
        <w:rPr>
          <w:vertAlign w:val="superscript"/>
        </w:rPr>
        <w:t>7</w:t>
      </w:r>
      <w:r w:rsidRPr="000F405F">
        <w:t xml:space="preserve"> and spectra of some solute species</w:t>
      </w:r>
      <w:r w:rsidRPr="000F405F">
        <w:rPr>
          <w:vertAlign w:val="superscript"/>
        </w:rPr>
        <w:t>4,8</w:t>
      </w:r>
      <w:r w:rsidRPr="000F405F">
        <w:t xml:space="preserve"> have indicated that ionic liquids behave similarly to polar molecular liquids. However, other spectroscopic results</w:t>
      </w:r>
      <w:r w:rsidRPr="000F405F">
        <w:rPr>
          <w:vertAlign w:val="superscript"/>
        </w:rPr>
        <w:t>9,10</w:t>
      </w:r>
      <w:r w:rsidRPr="000F405F">
        <w:t xml:space="preserve">  and the dielectric spectroscopy measurements by Weingärtner </w:t>
      </w:r>
      <w:r w:rsidRPr="000F405F">
        <w:rPr>
          <w:i/>
        </w:rPr>
        <w:t>et al.</w:t>
      </w:r>
      <w:r w:rsidRPr="000F405F">
        <w:rPr>
          <w:vertAlign w:val="superscript"/>
        </w:rPr>
        <w:t>1</w:t>
      </w:r>
      <w:r w:rsidR="00C34CFC">
        <w:rPr>
          <w:vertAlign w:val="superscript"/>
        </w:rPr>
        <w:t>1</w:t>
      </w:r>
      <w:r w:rsidRPr="000F405F">
        <w:t xml:space="preserve"> have shown that some of the same ionic liquids have static dielectric constants as low as 10-15, similar to non-polar molecular liquids. The discrepancy </w:t>
      </w:r>
    </w:p>
    <w:p w:rsidR="00F31415" w:rsidRPr="00F31415" w:rsidRDefault="00F31415" w:rsidP="00C73DEA">
      <w:pPr>
        <w:pStyle w:val="G1bFigureCaption"/>
        <w:jc w:val="left"/>
      </w:pPr>
    </w:p>
    <w:p w:rsidR="00C73DEA" w:rsidRDefault="00C73DEA" w:rsidP="00C73DEA">
      <w:pPr>
        <w:pStyle w:val="G1aFigureImage"/>
      </w:pPr>
      <w:r w:rsidRPr="00C73DEA">
        <w:rPr>
          <w:noProof/>
        </w:rPr>
        <w:drawing>
          <wp:inline distT="0" distB="0" distL="0" distR="0">
            <wp:extent cx="2892425" cy="3295015"/>
            <wp:effectExtent l="19050" t="0" r="3175" b="0"/>
            <wp:docPr id="4"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16" cstate="print"/>
                    <a:srcRect/>
                    <a:stretch>
                      <a:fillRect/>
                    </a:stretch>
                  </pic:blipFill>
                  <pic:spPr bwMode="auto">
                    <a:xfrm>
                      <a:off x="0" y="0"/>
                      <a:ext cx="2892425" cy="3295015"/>
                    </a:xfrm>
                    <a:prstGeom prst="rect">
                      <a:avLst/>
                    </a:prstGeom>
                    <a:noFill/>
                    <a:ln w="9525">
                      <a:noFill/>
                      <a:miter lim="800000"/>
                      <a:headEnd/>
                      <a:tailEnd/>
                    </a:ln>
                  </pic:spPr>
                </pic:pic>
              </a:graphicData>
            </a:graphic>
          </wp:inline>
        </w:drawing>
      </w:r>
    </w:p>
    <w:p w:rsidR="00C73DEA" w:rsidRPr="00C73DEA" w:rsidRDefault="00C73DEA" w:rsidP="00C73DEA">
      <w:pPr>
        <w:pStyle w:val="G1bFigureCaption"/>
      </w:pPr>
      <w:r>
        <w:rPr>
          <w:b/>
        </w:rPr>
        <w:t>Figure 1</w:t>
      </w:r>
      <w:r>
        <w:t xml:space="preserve"> </w:t>
      </w:r>
      <w:r w:rsidRPr="00F31415">
        <w:t>Common ions used in ionic liquids.</w:t>
      </w:r>
    </w:p>
    <w:p w:rsidR="000F405F" w:rsidRDefault="000F405F" w:rsidP="003F4A2D">
      <w:pPr>
        <w:pStyle w:val="08ArticleText"/>
      </w:pPr>
      <w:r w:rsidRPr="000F405F">
        <w:t>between these low measurements of bulk solvent polarity and the typical effects of ionic liquids on reactions (generally indicating high polarity) has formed a barrier to the proper understanding of the interactions that dominate ionic liquid solutions.</w:t>
      </w:r>
    </w:p>
    <w:p w:rsidR="00C73DEA" w:rsidRDefault="00684C40" w:rsidP="003F4A2D">
      <w:pPr>
        <w:pStyle w:val="08ArticleText"/>
      </w:pPr>
      <w:r>
        <w:tab/>
      </w:r>
      <w:r w:rsidRPr="00684C40">
        <w:t xml:space="preserve">Previously we have proposed that the reactivity resulting from mixing two different and reactive salts (charged electrophiles and nucleophiles) together is highly dependent on the type of solvent, with molecular and ionic liquids exhibiting fundamentally different reaction pathways.  In ionic liquids, the salts behaved as </w:t>
      </w:r>
    </w:p>
    <w:p w:rsidR="00C73DEA" w:rsidRDefault="00C73DEA" w:rsidP="00C73DEA">
      <w:pPr>
        <w:pStyle w:val="G4aTableTitle"/>
      </w:pPr>
      <w:r>
        <w:rPr>
          <w:b/>
        </w:rPr>
        <w:lastRenderedPageBreak/>
        <w:t>Table 1</w:t>
      </w:r>
      <w:r>
        <w:t xml:space="preserve"> </w:t>
      </w:r>
      <w:r w:rsidRPr="00F31415">
        <w:rPr>
          <w:i/>
        </w:rPr>
        <w:t>Z</w:t>
      </w:r>
      <w:r w:rsidRPr="00F31415">
        <w:t>-values</w:t>
      </w:r>
      <w:r w:rsidR="00AA4DB9">
        <w:t>(in kcal/mol)</w:t>
      </w:r>
      <w:r w:rsidRPr="00F31415">
        <w:t xml:space="preserve"> and Kamlet-Taft parameters for various molecular solvents and ionic liquids. A correlation using only our data (measured at the same salt concentration) yields an equation of: Z =</w:t>
      </w:r>
      <w:r>
        <w:t xml:space="preserve"> 58.4 + 8.92π* + 7.17α + 11.8β.</w:t>
      </w:r>
    </w:p>
    <w:tbl>
      <w:tblPr>
        <w:tblW w:w="0" w:type="auto"/>
        <w:tblLayout w:type="fixed"/>
        <w:tblCellMar>
          <w:left w:w="0" w:type="dxa"/>
          <w:right w:w="0" w:type="dxa"/>
        </w:tblCellMar>
        <w:tblLook w:val="0000" w:firstRow="0" w:lastRow="0" w:firstColumn="0" w:lastColumn="0" w:noHBand="0" w:noVBand="0"/>
      </w:tblPr>
      <w:tblGrid>
        <w:gridCol w:w="4762"/>
      </w:tblGrid>
      <w:tr w:rsidR="00C73DEA" w:rsidTr="00C73DEA">
        <w:tc>
          <w:tcPr>
            <w:tcW w:w="4762" w:type="dxa"/>
            <w:shd w:val="clear" w:color="auto" w:fill="auto"/>
          </w:tcPr>
          <w:tbl>
            <w:tblPr>
              <w:tblW w:w="4373" w:type="dxa"/>
              <w:tblInd w:w="95" w:type="dxa"/>
              <w:tblLayout w:type="fixed"/>
              <w:tblLook w:val="04A0" w:firstRow="1" w:lastRow="0" w:firstColumn="1" w:lastColumn="0" w:noHBand="0" w:noVBand="1"/>
            </w:tblPr>
            <w:tblGrid>
              <w:gridCol w:w="10"/>
              <w:gridCol w:w="1600"/>
              <w:gridCol w:w="648"/>
              <w:gridCol w:w="705"/>
              <w:gridCol w:w="543"/>
              <w:gridCol w:w="162"/>
              <w:gridCol w:w="705"/>
            </w:tblGrid>
            <w:tr w:rsidR="006D7EC8" w:rsidRPr="006D17AC" w:rsidTr="006D7EC8">
              <w:trPr>
                <w:trHeight w:val="277"/>
              </w:trPr>
              <w:tc>
                <w:tcPr>
                  <w:tcW w:w="1610" w:type="dxa"/>
                  <w:gridSpan w:val="2"/>
                  <w:tcBorders>
                    <w:top w:val="nil"/>
                    <w:left w:val="nil"/>
                    <w:bottom w:val="single" w:sz="4" w:space="0" w:color="auto"/>
                    <w:right w:val="single" w:sz="4" w:space="0" w:color="auto"/>
                  </w:tcBorders>
                  <w:shd w:val="clear" w:color="auto" w:fill="auto"/>
                  <w:noWrap/>
                  <w:vAlign w:val="bottom"/>
                  <w:hideMark/>
                </w:tcPr>
                <w:p w:rsidR="006D7EC8" w:rsidRPr="006D17AC" w:rsidRDefault="006D7EC8" w:rsidP="00A81F6B">
                  <w:pPr>
                    <w:pStyle w:val="G4bTableBody"/>
                  </w:pPr>
                  <w:r w:rsidRPr="006D17AC">
                    <w:t>Liquid</w:t>
                  </w:r>
                </w:p>
              </w:tc>
              <w:tc>
                <w:tcPr>
                  <w:tcW w:w="648" w:type="dxa"/>
                  <w:tcBorders>
                    <w:top w:val="nil"/>
                    <w:left w:val="nil"/>
                    <w:bottom w:val="single" w:sz="4" w:space="0" w:color="auto"/>
                    <w:right w:val="nil"/>
                  </w:tcBorders>
                  <w:shd w:val="clear" w:color="auto" w:fill="auto"/>
                  <w:noWrap/>
                  <w:vAlign w:val="bottom"/>
                  <w:hideMark/>
                </w:tcPr>
                <w:p w:rsidR="006D7EC8" w:rsidRPr="006D17AC" w:rsidRDefault="006D7EC8" w:rsidP="00A81F6B">
                  <w:pPr>
                    <w:pStyle w:val="G4bTableBody"/>
                  </w:pPr>
                  <w:r w:rsidRPr="006D17AC">
                    <w:t>Z</w:t>
                  </w:r>
                </w:p>
              </w:tc>
              <w:tc>
                <w:tcPr>
                  <w:tcW w:w="705" w:type="dxa"/>
                  <w:tcBorders>
                    <w:top w:val="nil"/>
                    <w:left w:val="nil"/>
                    <w:bottom w:val="single" w:sz="4" w:space="0" w:color="auto"/>
                    <w:right w:val="nil"/>
                  </w:tcBorders>
                  <w:shd w:val="clear" w:color="auto" w:fill="auto"/>
                  <w:noWrap/>
                  <w:vAlign w:val="bottom"/>
                  <w:hideMark/>
                </w:tcPr>
                <w:p w:rsidR="006D7EC8" w:rsidRPr="006D17AC" w:rsidRDefault="006D7EC8" w:rsidP="00A81F6B">
                  <w:pPr>
                    <w:pStyle w:val="G4bTableBody"/>
                    <w:rPr>
                      <w:i/>
                    </w:rPr>
                  </w:pPr>
                  <w:r w:rsidRPr="006D17AC">
                    <w:rPr>
                      <w:i/>
                    </w:rPr>
                    <w:t>α</w:t>
                  </w:r>
                </w:p>
              </w:tc>
              <w:tc>
                <w:tcPr>
                  <w:tcW w:w="705" w:type="dxa"/>
                  <w:gridSpan w:val="2"/>
                  <w:tcBorders>
                    <w:top w:val="nil"/>
                    <w:left w:val="nil"/>
                    <w:bottom w:val="single" w:sz="4" w:space="0" w:color="auto"/>
                    <w:right w:val="nil"/>
                  </w:tcBorders>
                  <w:shd w:val="clear" w:color="auto" w:fill="auto"/>
                  <w:noWrap/>
                  <w:vAlign w:val="bottom"/>
                  <w:hideMark/>
                </w:tcPr>
                <w:p w:rsidR="006D7EC8" w:rsidRPr="006D17AC" w:rsidRDefault="006D7EC8" w:rsidP="00A81F6B">
                  <w:pPr>
                    <w:pStyle w:val="G4bTableBody"/>
                    <w:rPr>
                      <w:i/>
                    </w:rPr>
                  </w:pPr>
                  <w:r w:rsidRPr="006D17AC">
                    <w:rPr>
                      <w:i/>
                    </w:rPr>
                    <w:t>β</w:t>
                  </w:r>
                </w:p>
              </w:tc>
              <w:tc>
                <w:tcPr>
                  <w:tcW w:w="705" w:type="dxa"/>
                  <w:tcBorders>
                    <w:top w:val="nil"/>
                    <w:left w:val="nil"/>
                    <w:bottom w:val="single" w:sz="4" w:space="0" w:color="auto"/>
                    <w:right w:val="nil"/>
                  </w:tcBorders>
                  <w:shd w:val="clear" w:color="auto" w:fill="auto"/>
                  <w:noWrap/>
                  <w:vAlign w:val="bottom"/>
                  <w:hideMark/>
                </w:tcPr>
                <w:p w:rsidR="006D7EC8" w:rsidRPr="006D17AC" w:rsidRDefault="006D7EC8" w:rsidP="00A81F6B">
                  <w:pPr>
                    <w:pStyle w:val="G4bTableBody"/>
                    <w:rPr>
                      <w:i/>
                    </w:rPr>
                  </w:pPr>
                  <w:r w:rsidRPr="006D17AC">
                    <w:rPr>
                      <w:i/>
                    </w:rPr>
                    <w:t>π*</w:t>
                  </w:r>
                </w:p>
              </w:tc>
            </w:tr>
            <w:tr w:rsidR="006D7EC8" w:rsidRPr="006D17AC" w:rsidTr="006D7EC8">
              <w:trPr>
                <w:trHeight w:val="277"/>
              </w:trPr>
              <w:tc>
                <w:tcPr>
                  <w:tcW w:w="1610" w:type="dxa"/>
                  <w:gridSpan w:val="2"/>
                  <w:tcBorders>
                    <w:top w:val="nil"/>
                    <w:left w:val="nil"/>
                    <w:bottom w:val="nil"/>
                    <w:right w:val="single" w:sz="4" w:space="0" w:color="auto"/>
                  </w:tcBorders>
                  <w:shd w:val="clear" w:color="auto" w:fill="auto"/>
                  <w:noWrap/>
                  <w:vAlign w:val="bottom"/>
                  <w:hideMark/>
                </w:tcPr>
                <w:p w:rsidR="006D7EC8" w:rsidRPr="006D17AC" w:rsidRDefault="006D7EC8" w:rsidP="00A81F6B">
                  <w:pPr>
                    <w:pStyle w:val="G4bTableBody"/>
                  </w:pPr>
                  <w:r w:rsidRPr="006D17AC">
                    <w:t>Water</w:t>
                  </w:r>
                </w:p>
              </w:tc>
              <w:tc>
                <w:tcPr>
                  <w:tcW w:w="648" w:type="dxa"/>
                  <w:tcBorders>
                    <w:top w:val="nil"/>
                    <w:left w:val="nil"/>
                    <w:bottom w:val="nil"/>
                    <w:right w:val="nil"/>
                  </w:tcBorders>
                  <w:shd w:val="clear" w:color="auto" w:fill="auto"/>
                  <w:noWrap/>
                  <w:vAlign w:val="bottom"/>
                  <w:hideMark/>
                </w:tcPr>
                <w:p w:rsidR="006D7EC8" w:rsidRPr="006D17AC" w:rsidRDefault="006D7EC8" w:rsidP="00A81F6B">
                  <w:pPr>
                    <w:pStyle w:val="G4bTableBody"/>
                    <w:rPr>
                      <w:vertAlign w:val="superscript"/>
                    </w:rPr>
                  </w:pPr>
                  <w:r w:rsidRPr="006D17AC">
                    <w:t>94.6</w:t>
                  </w:r>
                  <w:r w:rsidRPr="006D17AC">
                    <w:rPr>
                      <w:vertAlign w:val="superscript"/>
                    </w:rPr>
                    <w:t>a</w:t>
                  </w:r>
                </w:p>
              </w:tc>
              <w:tc>
                <w:tcPr>
                  <w:tcW w:w="705" w:type="dxa"/>
                  <w:tcBorders>
                    <w:top w:val="nil"/>
                    <w:left w:val="nil"/>
                    <w:bottom w:val="nil"/>
                    <w:right w:val="nil"/>
                  </w:tcBorders>
                  <w:shd w:val="clear" w:color="auto" w:fill="auto"/>
                  <w:noWrap/>
                  <w:vAlign w:val="bottom"/>
                  <w:hideMark/>
                </w:tcPr>
                <w:p w:rsidR="006D7EC8" w:rsidRPr="006D17AC" w:rsidRDefault="006D7EC8" w:rsidP="00A81F6B">
                  <w:pPr>
                    <w:pStyle w:val="G4bTableBody"/>
                    <w:rPr>
                      <w:vertAlign w:val="superscript"/>
                    </w:rPr>
                  </w:pPr>
                  <w:r w:rsidRPr="006D17AC">
                    <w:t>1.16</w:t>
                  </w:r>
                  <w:r w:rsidRPr="006D17AC">
                    <w:rPr>
                      <w:vertAlign w:val="superscript"/>
                    </w:rPr>
                    <w:t>b</w:t>
                  </w:r>
                </w:p>
              </w:tc>
              <w:tc>
                <w:tcPr>
                  <w:tcW w:w="705" w:type="dxa"/>
                  <w:gridSpan w:val="2"/>
                  <w:tcBorders>
                    <w:top w:val="nil"/>
                    <w:left w:val="nil"/>
                    <w:bottom w:val="nil"/>
                    <w:right w:val="nil"/>
                  </w:tcBorders>
                  <w:shd w:val="clear" w:color="auto" w:fill="auto"/>
                  <w:noWrap/>
                  <w:vAlign w:val="bottom"/>
                  <w:hideMark/>
                </w:tcPr>
                <w:p w:rsidR="006D7EC8" w:rsidRPr="006D17AC" w:rsidRDefault="006D7EC8" w:rsidP="00A81F6B">
                  <w:pPr>
                    <w:pStyle w:val="G4bTableBody"/>
                    <w:rPr>
                      <w:vertAlign w:val="superscript"/>
                    </w:rPr>
                  </w:pPr>
                  <w:r w:rsidRPr="006D17AC">
                    <w:t>0.50</w:t>
                  </w:r>
                  <w:r w:rsidRPr="006D17AC">
                    <w:rPr>
                      <w:vertAlign w:val="superscript"/>
                    </w:rPr>
                    <w:t>b</w:t>
                  </w:r>
                </w:p>
              </w:tc>
              <w:tc>
                <w:tcPr>
                  <w:tcW w:w="705" w:type="dxa"/>
                  <w:tcBorders>
                    <w:top w:val="nil"/>
                    <w:left w:val="nil"/>
                    <w:bottom w:val="nil"/>
                    <w:right w:val="nil"/>
                  </w:tcBorders>
                  <w:shd w:val="clear" w:color="auto" w:fill="auto"/>
                  <w:noWrap/>
                  <w:vAlign w:val="bottom"/>
                  <w:hideMark/>
                </w:tcPr>
                <w:p w:rsidR="006D7EC8" w:rsidRPr="006D17AC" w:rsidRDefault="006D7EC8" w:rsidP="00A81F6B">
                  <w:pPr>
                    <w:pStyle w:val="G4bTableBody"/>
                    <w:rPr>
                      <w:vertAlign w:val="superscript"/>
                    </w:rPr>
                  </w:pPr>
                  <w:r w:rsidRPr="006D17AC">
                    <w:t>1.13</w:t>
                  </w:r>
                  <w:r w:rsidRPr="006D17AC">
                    <w:rPr>
                      <w:vertAlign w:val="superscript"/>
                    </w:rPr>
                    <w:t>b</w:t>
                  </w:r>
                </w:p>
              </w:tc>
            </w:tr>
            <w:tr w:rsidR="006D7EC8" w:rsidRPr="006D17AC" w:rsidTr="006D7EC8">
              <w:trPr>
                <w:trHeight w:val="277"/>
              </w:trPr>
              <w:tc>
                <w:tcPr>
                  <w:tcW w:w="1610" w:type="dxa"/>
                  <w:gridSpan w:val="2"/>
                  <w:tcBorders>
                    <w:top w:val="nil"/>
                    <w:left w:val="nil"/>
                    <w:bottom w:val="nil"/>
                    <w:right w:val="single" w:sz="4" w:space="0" w:color="auto"/>
                  </w:tcBorders>
                  <w:shd w:val="clear" w:color="auto" w:fill="auto"/>
                  <w:noWrap/>
                  <w:vAlign w:val="bottom"/>
                  <w:hideMark/>
                </w:tcPr>
                <w:p w:rsidR="006D7EC8" w:rsidRPr="006D17AC" w:rsidRDefault="006D7EC8" w:rsidP="00A81F6B">
                  <w:pPr>
                    <w:pStyle w:val="G4bTableBody"/>
                  </w:pPr>
                  <w:r w:rsidRPr="006D17AC">
                    <w:t>Methanol</w:t>
                  </w:r>
                </w:p>
              </w:tc>
              <w:tc>
                <w:tcPr>
                  <w:tcW w:w="648" w:type="dxa"/>
                  <w:tcBorders>
                    <w:top w:val="nil"/>
                    <w:left w:val="nil"/>
                    <w:bottom w:val="nil"/>
                    <w:right w:val="nil"/>
                  </w:tcBorders>
                  <w:shd w:val="clear" w:color="auto" w:fill="auto"/>
                  <w:noWrap/>
                  <w:vAlign w:val="bottom"/>
                  <w:hideMark/>
                </w:tcPr>
                <w:p w:rsidR="006D7EC8" w:rsidRPr="006D17AC" w:rsidRDefault="006D7EC8" w:rsidP="00A81F6B">
                  <w:pPr>
                    <w:pStyle w:val="G4bTableBody"/>
                    <w:rPr>
                      <w:vertAlign w:val="superscript"/>
                    </w:rPr>
                  </w:pPr>
                  <w:r w:rsidRPr="006D17AC">
                    <w:t>83.6</w:t>
                  </w:r>
                  <w:r w:rsidRPr="006D17AC">
                    <w:rPr>
                      <w:vertAlign w:val="superscript"/>
                    </w:rPr>
                    <w:t>a</w:t>
                  </w:r>
                </w:p>
              </w:tc>
              <w:tc>
                <w:tcPr>
                  <w:tcW w:w="705" w:type="dxa"/>
                  <w:tcBorders>
                    <w:top w:val="nil"/>
                    <w:left w:val="nil"/>
                    <w:bottom w:val="nil"/>
                    <w:right w:val="nil"/>
                  </w:tcBorders>
                  <w:shd w:val="clear" w:color="auto" w:fill="auto"/>
                  <w:noWrap/>
                  <w:vAlign w:val="bottom"/>
                  <w:hideMark/>
                </w:tcPr>
                <w:p w:rsidR="006D7EC8" w:rsidRPr="006D17AC" w:rsidRDefault="006D7EC8" w:rsidP="00A81F6B">
                  <w:pPr>
                    <w:pStyle w:val="G4bTableBody"/>
                    <w:rPr>
                      <w:vertAlign w:val="superscript"/>
                    </w:rPr>
                  </w:pPr>
                  <w:r w:rsidRPr="006D17AC">
                    <w:t>1.05</w:t>
                  </w:r>
                  <w:r w:rsidRPr="006D17AC">
                    <w:rPr>
                      <w:vertAlign w:val="superscript"/>
                    </w:rPr>
                    <w:t>b</w:t>
                  </w:r>
                </w:p>
              </w:tc>
              <w:tc>
                <w:tcPr>
                  <w:tcW w:w="705" w:type="dxa"/>
                  <w:gridSpan w:val="2"/>
                  <w:tcBorders>
                    <w:top w:val="nil"/>
                    <w:left w:val="nil"/>
                    <w:bottom w:val="nil"/>
                    <w:right w:val="nil"/>
                  </w:tcBorders>
                  <w:shd w:val="clear" w:color="auto" w:fill="auto"/>
                  <w:noWrap/>
                  <w:vAlign w:val="bottom"/>
                  <w:hideMark/>
                </w:tcPr>
                <w:p w:rsidR="006D7EC8" w:rsidRPr="006D17AC" w:rsidRDefault="006D7EC8" w:rsidP="00A81F6B">
                  <w:pPr>
                    <w:pStyle w:val="G4bTableBody"/>
                    <w:rPr>
                      <w:vertAlign w:val="superscript"/>
                    </w:rPr>
                  </w:pPr>
                  <w:r w:rsidRPr="006D17AC">
                    <w:t>0.61</w:t>
                  </w:r>
                  <w:r w:rsidRPr="006D17AC">
                    <w:rPr>
                      <w:vertAlign w:val="superscript"/>
                    </w:rPr>
                    <w:t>b</w:t>
                  </w:r>
                </w:p>
              </w:tc>
              <w:tc>
                <w:tcPr>
                  <w:tcW w:w="705" w:type="dxa"/>
                  <w:tcBorders>
                    <w:top w:val="nil"/>
                    <w:left w:val="nil"/>
                    <w:bottom w:val="nil"/>
                    <w:right w:val="nil"/>
                  </w:tcBorders>
                  <w:shd w:val="clear" w:color="auto" w:fill="auto"/>
                  <w:noWrap/>
                  <w:vAlign w:val="bottom"/>
                  <w:hideMark/>
                </w:tcPr>
                <w:p w:rsidR="006D7EC8" w:rsidRPr="006D17AC" w:rsidRDefault="006D7EC8" w:rsidP="00A81F6B">
                  <w:pPr>
                    <w:pStyle w:val="G4bTableBody"/>
                    <w:rPr>
                      <w:vertAlign w:val="superscript"/>
                    </w:rPr>
                  </w:pPr>
                  <w:r w:rsidRPr="006D17AC">
                    <w:t>0.73</w:t>
                  </w:r>
                  <w:r w:rsidRPr="006D17AC">
                    <w:rPr>
                      <w:vertAlign w:val="superscript"/>
                    </w:rPr>
                    <w:t>b</w:t>
                  </w:r>
                </w:p>
              </w:tc>
            </w:tr>
            <w:tr w:rsidR="006D7EC8" w:rsidRPr="006D17AC" w:rsidTr="006D7EC8">
              <w:trPr>
                <w:trHeight w:val="277"/>
              </w:trPr>
              <w:tc>
                <w:tcPr>
                  <w:tcW w:w="1610" w:type="dxa"/>
                  <w:gridSpan w:val="2"/>
                  <w:tcBorders>
                    <w:top w:val="nil"/>
                    <w:left w:val="nil"/>
                    <w:bottom w:val="nil"/>
                    <w:right w:val="single" w:sz="4" w:space="0" w:color="auto"/>
                  </w:tcBorders>
                  <w:shd w:val="clear" w:color="auto" w:fill="auto"/>
                  <w:noWrap/>
                  <w:vAlign w:val="bottom"/>
                  <w:hideMark/>
                </w:tcPr>
                <w:p w:rsidR="006D7EC8" w:rsidRPr="006D17AC" w:rsidRDefault="006D7EC8" w:rsidP="00A81F6B">
                  <w:pPr>
                    <w:pStyle w:val="G4bTableBody"/>
                  </w:pPr>
                  <w:r w:rsidRPr="006D17AC">
                    <w:t>Ethanol</w:t>
                  </w:r>
                </w:p>
              </w:tc>
              <w:tc>
                <w:tcPr>
                  <w:tcW w:w="648" w:type="dxa"/>
                  <w:tcBorders>
                    <w:top w:val="nil"/>
                    <w:left w:val="nil"/>
                    <w:bottom w:val="nil"/>
                    <w:right w:val="nil"/>
                  </w:tcBorders>
                  <w:shd w:val="clear" w:color="auto" w:fill="auto"/>
                  <w:noWrap/>
                  <w:vAlign w:val="bottom"/>
                  <w:hideMark/>
                </w:tcPr>
                <w:p w:rsidR="006D7EC8" w:rsidRPr="006D17AC" w:rsidRDefault="006D7EC8" w:rsidP="00A81F6B">
                  <w:pPr>
                    <w:pStyle w:val="G4bTableBody"/>
                    <w:rPr>
                      <w:vertAlign w:val="superscript"/>
                    </w:rPr>
                  </w:pPr>
                  <w:r w:rsidRPr="006D17AC">
                    <w:t>79.6</w:t>
                  </w:r>
                  <w:r w:rsidRPr="006D17AC">
                    <w:rPr>
                      <w:vertAlign w:val="superscript"/>
                    </w:rPr>
                    <w:t>a</w:t>
                  </w:r>
                </w:p>
              </w:tc>
              <w:tc>
                <w:tcPr>
                  <w:tcW w:w="705" w:type="dxa"/>
                  <w:tcBorders>
                    <w:top w:val="nil"/>
                    <w:left w:val="nil"/>
                    <w:bottom w:val="nil"/>
                    <w:right w:val="nil"/>
                  </w:tcBorders>
                  <w:shd w:val="clear" w:color="auto" w:fill="auto"/>
                  <w:noWrap/>
                  <w:vAlign w:val="bottom"/>
                  <w:hideMark/>
                </w:tcPr>
                <w:p w:rsidR="006D7EC8" w:rsidRPr="006D17AC" w:rsidRDefault="006D7EC8" w:rsidP="00A81F6B">
                  <w:pPr>
                    <w:pStyle w:val="G4bTableBody"/>
                    <w:rPr>
                      <w:vertAlign w:val="superscript"/>
                    </w:rPr>
                  </w:pPr>
                  <w:r w:rsidRPr="006D17AC">
                    <w:t>0.86</w:t>
                  </w:r>
                  <w:r w:rsidRPr="006D17AC">
                    <w:rPr>
                      <w:vertAlign w:val="superscript"/>
                    </w:rPr>
                    <w:t>a</w:t>
                  </w:r>
                </w:p>
              </w:tc>
              <w:tc>
                <w:tcPr>
                  <w:tcW w:w="705" w:type="dxa"/>
                  <w:gridSpan w:val="2"/>
                  <w:tcBorders>
                    <w:top w:val="nil"/>
                    <w:left w:val="nil"/>
                    <w:bottom w:val="nil"/>
                    <w:right w:val="nil"/>
                  </w:tcBorders>
                  <w:shd w:val="clear" w:color="auto" w:fill="auto"/>
                  <w:noWrap/>
                  <w:vAlign w:val="bottom"/>
                  <w:hideMark/>
                </w:tcPr>
                <w:p w:rsidR="006D7EC8" w:rsidRPr="006D17AC" w:rsidRDefault="006D7EC8" w:rsidP="00A81F6B">
                  <w:pPr>
                    <w:pStyle w:val="G4bTableBody"/>
                    <w:rPr>
                      <w:vertAlign w:val="superscript"/>
                    </w:rPr>
                  </w:pPr>
                  <w:r w:rsidRPr="006D17AC">
                    <w:t>0.75</w:t>
                  </w:r>
                  <w:r w:rsidRPr="006D17AC">
                    <w:rPr>
                      <w:vertAlign w:val="superscript"/>
                    </w:rPr>
                    <w:t>a</w:t>
                  </w:r>
                </w:p>
              </w:tc>
              <w:tc>
                <w:tcPr>
                  <w:tcW w:w="705" w:type="dxa"/>
                  <w:tcBorders>
                    <w:top w:val="nil"/>
                    <w:left w:val="nil"/>
                    <w:bottom w:val="nil"/>
                    <w:right w:val="nil"/>
                  </w:tcBorders>
                  <w:shd w:val="clear" w:color="auto" w:fill="auto"/>
                  <w:noWrap/>
                  <w:vAlign w:val="bottom"/>
                  <w:hideMark/>
                </w:tcPr>
                <w:p w:rsidR="006D7EC8" w:rsidRPr="006D17AC" w:rsidRDefault="006D7EC8" w:rsidP="00A81F6B">
                  <w:pPr>
                    <w:pStyle w:val="G4bTableBody"/>
                    <w:rPr>
                      <w:vertAlign w:val="superscript"/>
                    </w:rPr>
                  </w:pPr>
                  <w:r w:rsidRPr="006D17AC">
                    <w:t>0.54</w:t>
                  </w:r>
                  <w:r w:rsidRPr="006D17AC">
                    <w:rPr>
                      <w:vertAlign w:val="superscript"/>
                    </w:rPr>
                    <w:t>a</w:t>
                  </w:r>
                </w:p>
              </w:tc>
            </w:tr>
            <w:tr w:rsidR="006D7EC8" w:rsidRPr="006D17AC" w:rsidTr="006D7EC8">
              <w:trPr>
                <w:trHeight w:val="277"/>
              </w:trPr>
              <w:tc>
                <w:tcPr>
                  <w:tcW w:w="1610" w:type="dxa"/>
                  <w:gridSpan w:val="2"/>
                  <w:tcBorders>
                    <w:top w:val="nil"/>
                    <w:left w:val="nil"/>
                    <w:bottom w:val="nil"/>
                    <w:right w:val="single" w:sz="4" w:space="0" w:color="auto"/>
                  </w:tcBorders>
                  <w:shd w:val="clear" w:color="auto" w:fill="auto"/>
                  <w:noWrap/>
                  <w:vAlign w:val="bottom"/>
                  <w:hideMark/>
                </w:tcPr>
                <w:p w:rsidR="006D7EC8" w:rsidRPr="006D17AC" w:rsidRDefault="006D7EC8" w:rsidP="00A81F6B">
                  <w:pPr>
                    <w:pStyle w:val="G4bTableBody"/>
                  </w:pPr>
                  <w:r w:rsidRPr="006D17AC">
                    <w:t>Acetic Acid</w:t>
                  </w:r>
                </w:p>
              </w:tc>
              <w:tc>
                <w:tcPr>
                  <w:tcW w:w="648" w:type="dxa"/>
                  <w:tcBorders>
                    <w:top w:val="nil"/>
                    <w:left w:val="nil"/>
                    <w:bottom w:val="nil"/>
                    <w:right w:val="nil"/>
                  </w:tcBorders>
                  <w:shd w:val="clear" w:color="auto" w:fill="auto"/>
                  <w:noWrap/>
                  <w:vAlign w:val="bottom"/>
                  <w:hideMark/>
                </w:tcPr>
                <w:p w:rsidR="006D7EC8" w:rsidRPr="006D17AC" w:rsidRDefault="006D7EC8" w:rsidP="00A81F6B">
                  <w:pPr>
                    <w:pStyle w:val="G4bTableBody"/>
                    <w:rPr>
                      <w:vertAlign w:val="superscript"/>
                    </w:rPr>
                  </w:pPr>
                  <w:r w:rsidRPr="006D17AC">
                    <w:t>79.2</w:t>
                  </w:r>
                  <w:r w:rsidRPr="006D17AC">
                    <w:rPr>
                      <w:vertAlign w:val="superscript"/>
                    </w:rPr>
                    <w:t>a</w:t>
                  </w:r>
                </w:p>
              </w:tc>
              <w:tc>
                <w:tcPr>
                  <w:tcW w:w="705" w:type="dxa"/>
                  <w:tcBorders>
                    <w:top w:val="nil"/>
                    <w:left w:val="nil"/>
                    <w:bottom w:val="nil"/>
                    <w:right w:val="nil"/>
                  </w:tcBorders>
                  <w:shd w:val="clear" w:color="auto" w:fill="auto"/>
                  <w:noWrap/>
                  <w:vAlign w:val="bottom"/>
                  <w:hideMark/>
                </w:tcPr>
                <w:p w:rsidR="006D7EC8" w:rsidRPr="006D17AC" w:rsidRDefault="006D7EC8" w:rsidP="00A81F6B">
                  <w:pPr>
                    <w:pStyle w:val="G4bTableBody"/>
                    <w:rPr>
                      <w:vertAlign w:val="superscript"/>
                    </w:rPr>
                  </w:pPr>
                  <w:r w:rsidRPr="006D17AC">
                    <w:t>1.12</w:t>
                  </w:r>
                  <w:r w:rsidRPr="006D17AC">
                    <w:rPr>
                      <w:vertAlign w:val="superscript"/>
                    </w:rPr>
                    <w:t>a</w:t>
                  </w:r>
                </w:p>
              </w:tc>
              <w:tc>
                <w:tcPr>
                  <w:tcW w:w="705" w:type="dxa"/>
                  <w:gridSpan w:val="2"/>
                  <w:tcBorders>
                    <w:top w:val="nil"/>
                    <w:left w:val="nil"/>
                    <w:bottom w:val="nil"/>
                    <w:right w:val="nil"/>
                  </w:tcBorders>
                  <w:shd w:val="clear" w:color="auto" w:fill="auto"/>
                  <w:noWrap/>
                  <w:vAlign w:val="bottom"/>
                  <w:hideMark/>
                </w:tcPr>
                <w:p w:rsidR="006D7EC8" w:rsidRPr="006D17AC" w:rsidRDefault="006D7EC8" w:rsidP="00A81F6B">
                  <w:pPr>
                    <w:pStyle w:val="G4bTableBody"/>
                    <w:rPr>
                      <w:vertAlign w:val="superscript"/>
                    </w:rPr>
                  </w:pPr>
                  <w:r w:rsidRPr="006D17AC">
                    <w:t>0.45</w:t>
                  </w:r>
                  <w:r w:rsidRPr="006D17AC">
                    <w:rPr>
                      <w:vertAlign w:val="superscript"/>
                    </w:rPr>
                    <w:t>a</w:t>
                  </w:r>
                </w:p>
              </w:tc>
              <w:tc>
                <w:tcPr>
                  <w:tcW w:w="705" w:type="dxa"/>
                  <w:tcBorders>
                    <w:top w:val="nil"/>
                    <w:left w:val="nil"/>
                    <w:bottom w:val="nil"/>
                    <w:right w:val="nil"/>
                  </w:tcBorders>
                  <w:shd w:val="clear" w:color="auto" w:fill="auto"/>
                  <w:noWrap/>
                  <w:vAlign w:val="bottom"/>
                  <w:hideMark/>
                </w:tcPr>
                <w:p w:rsidR="006D7EC8" w:rsidRPr="006D17AC" w:rsidRDefault="006D7EC8" w:rsidP="00A81F6B">
                  <w:pPr>
                    <w:pStyle w:val="G4bTableBody"/>
                    <w:rPr>
                      <w:vertAlign w:val="superscript"/>
                    </w:rPr>
                  </w:pPr>
                  <w:r w:rsidRPr="006D17AC">
                    <w:t>0.64</w:t>
                  </w:r>
                  <w:r w:rsidRPr="006D17AC">
                    <w:rPr>
                      <w:vertAlign w:val="superscript"/>
                    </w:rPr>
                    <w:t>a</w:t>
                  </w:r>
                </w:p>
              </w:tc>
            </w:tr>
            <w:tr w:rsidR="006D7EC8" w:rsidRPr="006D17AC" w:rsidTr="006D7EC8">
              <w:trPr>
                <w:trHeight w:val="277"/>
              </w:trPr>
              <w:tc>
                <w:tcPr>
                  <w:tcW w:w="1610" w:type="dxa"/>
                  <w:gridSpan w:val="2"/>
                  <w:tcBorders>
                    <w:top w:val="nil"/>
                    <w:left w:val="nil"/>
                    <w:bottom w:val="nil"/>
                    <w:right w:val="single" w:sz="4" w:space="0" w:color="auto"/>
                  </w:tcBorders>
                  <w:shd w:val="clear" w:color="auto" w:fill="auto"/>
                  <w:noWrap/>
                  <w:vAlign w:val="bottom"/>
                  <w:hideMark/>
                </w:tcPr>
                <w:p w:rsidR="006D7EC8" w:rsidRPr="006D17AC" w:rsidRDefault="006D7EC8" w:rsidP="00A81F6B">
                  <w:pPr>
                    <w:pStyle w:val="G4bTableBody"/>
                  </w:pPr>
                  <w:r w:rsidRPr="006D17AC">
                    <w:t>1-butanol</w:t>
                  </w:r>
                </w:p>
              </w:tc>
              <w:tc>
                <w:tcPr>
                  <w:tcW w:w="648" w:type="dxa"/>
                  <w:tcBorders>
                    <w:top w:val="nil"/>
                    <w:left w:val="nil"/>
                    <w:bottom w:val="nil"/>
                    <w:right w:val="nil"/>
                  </w:tcBorders>
                  <w:shd w:val="clear" w:color="auto" w:fill="auto"/>
                  <w:noWrap/>
                  <w:vAlign w:val="bottom"/>
                  <w:hideMark/>
                </w:tcPr>
                <w:p w:rsidR="006D7EC8" w:rsidRPr="006D17AC" w:rsidRDefault="006D7EC8" w:rsidP="00A81F6B">
                  <w:pPr>
                    <w:pStyle w:val="G4bTableBody"/>
                  </w:pPr>
                  <w:r w:rsidRPr="006D17AC">
                    <w:t>78.6</w:t>
                  </w:r>
                </w:p>
              </w:tc>
              <w:tc>
                <w:tcPr>
                  <w:tcW w:w="705" w:type="dxa"/>
                  <w:tcBorders>
                    <w:top w:val="nil"/>
                    <w:left w:val="nil"/>
                    <w:bottom w:val="nil"/>
                    <w:right w:val="nil"/>
                  </w:tcBorders>
                  <w:shd w:val="clear" w:color="auto" w:fill="auto"/>
                  <w:noWrap/>
                  <w:vAlign w:val="bottom"/>
                  <w:hideMark/>
                </w:tcPr>
                <w:p w:rsidR="006D7EC8" w:rsidRPr="006D17AC" w:rsidRDefault="006D7EC8" w:rsidP="00A81F6B">
                  <w:pPr>
                    <w:pStyle w:val="G4bTableBody"/>
                  </w:pPr>
                  <w:r w:rsidRPr="006D17AC">
                    <w:t>0.84</w:t>
                  </w:r>
                </w:p>
              </w:tc>
              <w:tc>
                <w:tcPr>
                  <w:tcW w:w="705" w:type="dxa"/>
                  <w:gridSpan w:val="2"/>
                  <w:tcBorders>
                    <w:top w:val="nil"/>
                    <w:left w:val="nil"/>
                    <w:bottom w:val="nil"/>
                    <w:right w:val="nil"/>
                  </w:tcBorders>
                  <w:shd w:val="clear" w:color="auto" w:fill="auto"/>
                  <w:noWrap/>
                  <w:vAlign w:val="bottom"/>
                  <w:hideMark/>
                </w:tcPr>
                <w:p w:rsidR="006D7EC8" w:rsidRPr="006D17AC" w:rsidRDefault="006D7EC8" w:rsidP="00A81F6B">
                  <w:pPr>
                    <w:pStyle w:val="G4bTableBody"/>
                  </w:pPr>
                  <w:r w:rsidRPr="006D17AC">
                    <w:t>0.84</w:t>
                  </w:r>
                </w:p>
              </w:tc>
              <w:tc>
                <w:tcPr>
                  <w:tcW w:w="705" w:type="dxa"/>
                  <w:tcBorders>
                    <w:top w:val="nil"/>
                    <w:left w:val="nil"/>
                    <w:bottom w:val="nil"/>
                    <w:right w:val="nil"/>
                  </w:tcBorders>
                  <w:shd w:val="clear" w:color="auto" w:fill="auto"/>
                  <w:noWrap/>
                  <w:vAlign w:val="bottom"/>
                  <w:hideMark/>
                </w:tcPr>
                <w:p w:rsidR="006D7EC8" w:rsidRPr="006D17AC" w:rsidRDefault="006D7EC8" w:rsidP="00A81F6B">
                  <w:pPr>
                    <w:pStyle w:val="G4bTableBody"/>
                  </w:pPr>
                  <w:r w:rsidRPr="006D17AC">
                    <w:t>0.47</w:t>
                  </w:r>
                </w:p>
              </w:tc>
            </w:tr>
            <w:tr w:rsidR="006D7EC8" w:rsidRPr="006D17AC" w:rsidTr="006D7EC8">
              <w:trPr>
                <w:trHeight w:val="277"/>
              </w:trPr>
              <w:tc>
                <w:tcPr>
                  <w:tcW w:w="1610" w:type="dxa"/>
                  <w:gridSpan w:val="2"/>
                  <w:tcBorders>
                    <w:top w:val="nil"/>
                    <w:left w:val="nil"/>
                    <w:bottom w:val="nil"/>
                    <w:right w:val="single" w:sz="4" w:space="0" w:color="auto"/>
                  </w:tcBorders>
                  <w:shd w:val="clear" w:color="auto" w:fill="auto"/>
                  <w:noWrap/>
                  <w:vAlign w:val="bottom"/>
                  <w:hideMark/>
                </w:tcPr>
                <w:p w:rsidR="006D7EC8" w:rsidRPr="006D17AC" w:rsidRDefault="006D7EC8" w:rsidP="00A81F6B">
                  <w:pPr>
                    <w:pStyle w:val="G4bTableBody"/>
                  </w:pPr>
                  <w:r w:rsidRPr="006D17AC">
                    <w:t>[C</w:t>
                  </w:r>
                  <w:r w:rsidRPr="006D17AC">
                    <w:rPr>
                      <w:vertAlign w:val="subscript"/>
                    </w:rPr>
                    <w:t>4</w:t>
                  </w:r>
                  <w:r w:rsidRPr="006D17AC">
                    <w:t>C</w:t>
                  </w:r>
                  <w:r w:rsidRPr="006D17AC">
                    <w:rPr>
                      <w:vertAlign w:val="subscript"/>
                    </w:rPr>
                    <w:t>1</w:t>
                  </w:r>
                  <w:r w:rsidRPr="006D17AC">
                    <w:t>im][BF</w:t>
                  </w:r>
                  <w:r w:rsidRPr="006D17AC">
                    <w:rPr>
                      <w:vertAlign w:val="subscript"/>
                    </w:rPr>
                    <w:t>4</w:t>
                  </w:r>
                  <w:r w:rsidRPr="006D17AC">
                    <w:t>]</w:t>
                  </w:r>
                </w:p>
              </w:tc>
              <w:tc>
                <w:tcPr>
                  <w:tcW w:w="648" w:type="dxa"/>
                  <w:tcBorders>
                    <w:top w:val="nil"/>
                    <w:left w:val="nil"/>
                    <w:bottom w:val="nil"/>
                    <w:right w:val="nil"/>
                  </w:tcBorders>
                  <w:shd w:val="clear" w:color="auto" w:fill="auto"/>
                  <w:noWrap/>
                  <w:vAlign w:val="bottom"/>
                  <w:hideMark/>
                </w:tcPr>
                <w:p w:rsidR="006D7EC8" w:rsidRPr="006D17AC" w:rsidRDefault="006D7EC8" w:rsidP="00A81F6B">
                  <w:pPr>
                    <w:pStyle w:val="G4bTableBody"/>
                  </w:pPr>
                  <w:r w:rsidRPr="006D17AC">
                    <w:t>76.5</w:t>
                  </w:r>
                </w:p>
              </w:tc>
              <w:tc>
                <w:tcPr>
                  <w:tcW w:w="705" w:type="dxa"/>
                  <w:tcBorders>
                    <w:top w:val="nil"/>
                    <w:left w:val="nil"/>
                    <w:bottom w:val="nil"/>
                    <w:right w:val="nil"/>
                  </w:tcBorders>
                  <w:shd w:val="clear" w:color="auto" w:fill="auto"/>
                  <w:noWrap/>
                  <w:vAlign w:val="bottom"/>
                  <w:hideMark/>
                </w:tcPr>
                <w:p w:rsidR="006D7EC8" w:rsidRPr="006D17AC" w:rsidRDefault="006D7EC8" w:rsidP="00A81F6B">
                  <w:pPr>
                    <w:pStyle w:val="G4bTableBody"/>
                  </w:pPr>
                  <w:r w:rsidRPr="006D17AC">
                    <w:t>0.62</w:t>
                  </w:r>
                </w:p>
              </w:tc>
              <w:tc>
                <w:tcPr>
                  <w:tcW w:w="705" w:type="dxa"/>
                  <w:gridSpan w:val="2"/>
                  <w:tcBorders>
                    <w:top w:val="nil"/>
                    <w:left w:val="nil"/>
                    <w:bottom w:val="nil"/>
                    <w:right w:val="nil"/>
                  </w:tcBorders>
                  <w:shd w:val="clear" w:color="auto" w:fill="auto"/>
                  <w:noWrap/>
                  <w:vAlign w:val="bottom"/>
                  <w:hideMark/>
                </w:tcPr>
                <w:p w:rsidR="006D7EC8" w:rsidRPr="006D17AC" w:rsidRDefault="006D7EC8" w:rsidP="00A81F6B">
                  <w:pPr>
                    <w:pStyle w:val="G4bTableBody"/>
                  </w:pPr>
                  <w:r w:rsidRPr="006D17AC">
                    <w:t>0.37</w:t>
                  </w:r>
                </w:p>
              </w:tc>
              <w:tc>
                <w:tcPr>
                  <w:tcW w:w="705" w:type="dxa"/>
                  <w:tcBorders>
                    <w:top w:val="nil"/>
                    <w:left w:val="nil"/>
                    <w:bottom w:val="nil"/>
                    <w:right w:val="nil"/>
                  </w:tcBorders>
                  <w:shd w:val="clear" w:color="auto" w:fill="auto"/>
                  <w:noWrap/>
                  <w:vAlign w:val="bottom"/>
                  <w:hideMark/>
                </w:tcPr>
                <w:p w:rsidR="006D7EC8" w:rsidRPr="006D17AC" w:rsidRDefault="006D7EC8" w:rsidP="00A81F6B">
                  <w:pPr>
                    <w:pStyle w:val="G4bTableBody"/>
                  </w:pPr>
                  <w:r w:rsidRPr="006D17AC">
                    <w:t>1.05</w:t>
                  </w:r>
                </w:p>
              </w:tc>
            </w:tr>
            <w:tr w:rsidR="006D7EC8" w:rsidRPr="006D17AC" w:rsidTr="006D7EC8">
              <w:trPr>
                <w:trHeight w:val="277"/>
              </w:trPr>
              <w:tc>
                <w:tcPr>
                  <w:tcW w:w="1610" w:type="dxa"/>
                  <w:gridSpan w:val="2"/>
                  <w:tcBorders>
                    <w:top w:val="nil"/>
                    <w:left w:val="nil"/>
                    <w:bottom w:val="nil"/>
                    <w:right w:val="single" w:sz="4" w:space="0" w:color="auto"/>
                  </w:tcBorders>
                  <w:shd w:val="clear" w:color="auto" w:fill="auto"/>
                  <w:noWrap/>
                  <w:vAlign w:val="bottom"/>
                  <w:hideMark/>
                </w:tcPr>
                <w:p w:rsidR="006D7EC8" w:rsidRPr="006D17AC" w:rsidRDefault="006D7EC8" w:rsidP="00A81F6B">
                  <w:pPr>
                    <w:pStyle w:val="G4bTableBody"/>
                  </w:pPr>
                  <w:r w:rsidRPr="006D17AC">
                    <w:t>[C</w:t>
                  </w:r>
                  <w:r w:rsidRPr="006D17AC">
                    <w:rPr>
                      <w:vertAlign w:val="subscript"/>
                    </w:rPr>
                    <w:t>4</w:t>
                  </w:r>
                  <w:r w:rsidRPr="006D17AC">
                    <w:t>C</w:t>
                  </w:r>
                  <w:r w:rsidRPr="006D17AC">
                    <w:rPr>
                      <w:vertAlign w:val="subscript"/>
                    </w:rPr>
                    <w:t>1</w:t>
                  </w:r>
                  <w:r w:rsidRPr="006D17AC">
                    <w:t>im][OTf]</w:t>
                  </w:r>
                </w:p>
              </w:tc>
              <w:tc>
                <w:tcPr>
                  <w:tcW w:w="648" w:type="dxa"/>
                  <w:tcBorders>
                    <w:top w:val="nil"/>
                    <w:left w:val="nil"/>
                    <w:bottom w:val="nil"/>
                    <w:right w:val="nil"/>
                  </w:tcBorders>
                  <w:shd w:val="clear" w:color="auto" w:fill="auto"/>
                  <w:noWrap/>
                  <w:vAlign w:val="bottom"/>
                  <w:hideMark/>
                </w:tcPr>
                <w:p w:rsidR="006D7EC8" w:rsidRPr="006D17AC" w:rsidRDefault="006D7EC8" w:rsidP="00A81F6B">
                  <w:pPr>
                    <w:pStyle w:val="G4bTableBody"/>
                  </w:pPr>
                  <w:r w:rsidRPr="006D17AC">
                    <w:t>76.0</w:t>
                  </w:r>
                </w:p>
              </w:tc>
              <w:tc>
                <w:tcPr>
                  <w:tcW w:w="705" w:type="dxa"/>
                  <w:tcBorders>
                    <w:top w:val="nil"/>
                    <w:left w:val="nil"/>
                    <w:bottom w:val="nil"/>
                    <w:right w:val="nil"/>
                  </w:tcBorders>
                  <w:shd w:val="clear" w:color="auto" w:fill="auto"/>
                  <w:noWrap/>
                  <w:vAlign w:val="bottom"/>
                  <w:hideMark/>
                </w:tcPr>
                <w:p w:rsidR="006D7EC8" w:rsidRPr="006D17AC" w:rsidRDefault="006D7EC8" w:rsidP="00A81F6B">
                  <w:pPr>
                    <w:pStyle w:val="G4bTableBody"/>
                  </w:pPr>
                  <w:r w:rsidRPr="006D17AC">
                    <w:t>0.62</w:t>
                  </w:r>
                </w:p>
              </w:tc>
              <w:tc>
                <w:tcPr>
                  <w:tcW w:w="705" w:type="dxa"/>
                  <w:gridSpan w:val="2"/>
                  <w:tcBorders>
                    <w:top w:val="nil"/>
                    <w:left w:val="nil"/>
                    <w:bottom w:val="nil"/>
                    <w:right w:val="nil"/>
                  </w:tcBorders>
                  <w:shd w:val="clear" w:color="auto" w:fill="auto"/>
                  <w:noWrap/>
                  <w:vAlign w:val="bottom"/>
                  <w:hideMark/>
                </w:tcPr>
                <w:p w:rsidR="006D7EC8" w:rsidRPr="006D17AC" w:rsidRDefault="006D7EC8" w:rsidP="00A81F6B">
                  <w:pPr>
                    <w:pStyle w:val="G4bTableBody"/>
                  </w:pPr>
                  <w:r w:rsidRPr="006D17AC">
                    <w:t>0.49</w:t>
                  </w:r>
                </w:p>
              </w:tc>
              <w:tc>
                <w:tcPr>
                  <w:tcW w:w="705" w:type="dxa"/>
                  <w:tcBorders>
                    <w:top w:val="nil"/>
                    <w:left w:val="nil"/>
                    <w:bottom w:val="nil"/>
                    <w:right w:val="nil"/>
                  </w:tcBorders>
                  <w:shd w:val="clear" w:color="auto" w:fill="auto"/>
                  <w:noWrap/>
                  <w:vAlign w:val="bottom"/>
                  <w:hideMark/>
                </w:tcPr>
                <w:p w:rsidR="006D7EC8" w:rsidRPr="006D17AC" w:rsidRDefault="006D7EC8" w:rsidP="00A81F6B">
                  <w:pPr>
                    <w:pStyle w:val="G4bTableBody"/>
                  </w:pPr>
                  <w:r w:rsidRPr="006D17AC">
                    <w:t>1.00</w:t>
                  </w:r>
                </w:p>
              </w:tc>
            </w:tr>
            <w:tr w:rsidR="006D7EC8" w:rsidRPr="006D17AC" w:rsidTr="006D7EC8">
              <w:trPr>
                <w:trHeight w:val="277"/>
              </w:trPr>
              <w:tc>
                <w:tcPr>
                  <w:tcW w:w="1610" w:type="dxa"/>
                  <w:gridSpan w:val="2"/>
                  <w:tcBorders>
                    <w:top w:val="nil"/>
                    <w:left w:val="nil"/>
                    <w:bottom w:val="nil"/>
                    <w:right w:val="single" w:sz="4" w:space="0" w:color="auto"/>
                  </w:tcBorders>
                  <w:shd w:val="clear" w:color="auto" w:fill="auto"/>
                  <w:noWrap/>
                  <w:vAlign w:val="bottom"/>
                  <w:hideMark/>
                </w:tcPr>
                <w:p w:rsidR="006D7EC8" w:rsidRPr="006D17AC" w:rsidRDefault="006D7EC8" w:rsidP="00A81F6B">
                  <w:pPr>
                    <w:pStyle w:val="G4bTableBody"/>
                  </w:pPr>
                  <w:r w:rsidRPr="006D17AC">
                    <w:t>[C</w:t>
                  </w:r>
                  <w:r w:rsidRPr="006D17AC">
                    <w:rPr>
                      <w:vertAlign w:val="subscript"/>
                    </w:rPr>
                    <w:t>4</w:t>
                  </w:r>
                  <w:r w:rsidRPr="006D17AC">
                    <w:t>C</w:t>
                  </w:r>
                  <w:r w:rsidRPr="006D17AC">
                    <w:rPr>
                      <w:vertAlign w:val="subscript"/>
                    </w:rPr>
                    <w:t>1</w:t>
                  </w:r>
                  <w:r w:rsidRPr="006D17AC">
                    <w:t>im][SbF</w:t>
                  </w:r>
                  <w:r w:rsidRPr="006D17AC">
                    <w:rPr>
                      <w:vertAlign w:val="subscript"/>
                    </w:rPr>
                    <w:t>6</w:t>
                  </w:r>
                  <w:r w:rsidRPr="006D17AC">
                    <w:t>]</w:t>
                  </w:r>
                </w:p>
              </w:tc>
              <w:tc>
                <w:tcPr>
                  <w:tcW w:w="648" w:type="dxa"/>
                  <w:tcBorders>
                    <w:top w:val="nil"/>
                    <w:left w:val="nil"/>
                    <w:bottom w:val="nil"/>
                    <w:right w:val="nil"/>
                  </w:tcBorders>
                  <w:shd w:val="clear" w:color="auto" w:fill="auto"/>
                  <w:noWrap/>
                  <w:vAlign w:val="bottom"/>
                  <w:hideMark/>
                </w:tcPr>
                <w:p w:rsidR="006D7EC8" w:rsidRPr="006D17AC" w:rsidRDefault="006D7EC8" w:rsidP="00A81F6B">
                  <w:pPr>
                    <w:pStyle w:val="G4bTableBody"/>
                  </w:pPr>
                  <w:r w:rsidRPr="006D17AC">
                    <w:t>75.8</w:t>
                  </w:r>
                </w:p>
              </w:tc>
              <w:tc>
                <w:tcPr>
                  <w:tcW w:w="705" w:type="dxa"/>
                  <w:tcBorders>
                    <w:top w:val="nil"/>
                    <w:left w:val="nil"/>
                    <w:bottom w:val="nil"/>
                    <w:right w:val="nil"/>
                  </w:tcBorders>
                  <w:shd w:val="clear" w:color="auto" w:fill="auto"/>
                  <w:noWrap/>
                  <w:vAlign w:val="bottom"/>
                  <w:hideMark/>
                </w:tcPr>
                <w:p w:rsidR="006D7EC8" w:rsidRPr="006D17AC" w:rsidRDefault="006D7EC8" w:rsidP="00A81F6B">
                  <w:pPr>
                    <w:pStyle w:val="G4bTableBody"/>
                  </w:pPr>
                  <w:r w:rsidRPr="006D17AC">
                    <w:t>0.62</w:t>
                  </w:r>
                </w:p>
              </w:tc>
              <w:tc>
                <w:tcPr>
                  <w:tcW w:w="705" w:type="dxa"/>
                  <w:gridSpan w:val="2"/>
                  <w:tcBorders>
                    <w:top w:val="nil"/>
                    <w:left w:val="nil"/>
                    <w:bottom w:val="nil"/>
                    <w:right w:val="nil"/>
                  </w:tcBorders>
                  <w:shd w:val="clear" w:color="auto" w:fill="auto"/>
                  <w:noWrap/>
                  <w:vAlign w:val="bottom"/>
                  <w:hideMark/>
                </w:tcPr>
                <w:p w:rsidR="006D7EC8" w:rsidRPr="006D17AC" w:rsidRDefault="006D7EC8" w:rsidP="00A81F6B">
                  <w:pPr>
                    <w:pStyle w:val="G4bTableBody"/>
                  </w:pPr>
                  <w:r w:rsidRPr="006D17AC">
                    <w:t>0.15</w:t>
                  </w:r>
                </w:p>
              </w:tc>
              <w:tc>
                <w:tcPr>
                  <w:tcW w:w="705" w:type="dxa"/>
                  <w:tcBorders>
                    <w:top w:val="nil"/>
                    <w:left w:val="nil"/>
                    <w:bottom w:val="nil"/>
                    <w:right w:val="nil"/>
                  </w:tcBorders>
                  <w:shd w:val="clear" w:color="auto" w:fill="auto"/>
                  <w:noWrap/>
                  <w:vAlign w:val="bottom"/>
                  <w:hideMark/>
                </w:tcPr>
                <w:p w:rsidR="006D7EC8" w:rsidRPr="006D17AC" w:rsidRDefault="006D7EC8" w:rsidP="00A81F6B">
                  <w:pPr>
                    <w:pStyle w:val="G4bTableBody"/>
                  </w:pPr>
                  <w:r w:rsidRPr="006D17AC">
                    <w:t>1.04</w:t>
                  </w:r>
                </w:p>
              </w:tc>
            </w:tr>
            <w:tr w:rsidR="006D7EC8" w:rsidRPr="006D17AC" w:rsidTr="006D7EC8">
              <w:trPr>
                <w:trHeight w:val="277"/>
              </w:trPr>
              <w:tc>
                <w:tcPr>
                  <w:tcW w:w="1610" w:type="dxa"/>
                  <w:gridSpan w:val="2"/>
                  <w:tcBorders>
                    <w:top w:val="nil"/>
                    <w:left w:val="nil"/>
                    <w:bottom w:val="nil"/>
                    <w:right w:val="single" w:sz="4" w:space="0" w:color="auto"/>
                  </w:tcBorders>
                  <w:shd w:val="clear" w:color="auto" w:fill="auto"/>
                  <w:noWrap/>
                  <w:vAlign w:val="bottom"/>
                  <w:hideMark/>
                </w:tcPr>
                <w:p w:rsidR="006D7EC8" w:rsidRPr="006D17AC" w:rsidRDefault="006D7EC8" w:rsidP="00A81F6B">
                  <w:pPr>
                    <w:pStyle w:val="G4bTableBody"/>
                  </w:pPr>
                  <w:r w:rsidRPr="006D17AC">
                    <w:t>[C</w:t>
                  </w:r>
                  <w:r w:rsidRPr="006D17AC">
                    <w:rPr>
                      <w:vertAlign w:val="subscript"/>
                    </w:rPr>
                    <w:t>4</w:t>
                  </w:r>
                  <w:r w:rsidRPr="006D17AC">
                    <w:t>C</w:t>
                  </w:r>
                  <w:r w:rsidRPr="006D17AC">
                    <w:rPr>
                      <w:vertAlign w:val="subscript"/>
                    </w:rPr>
                    <w:t>1</w:t>
                  </w:r>
                  <w:r w:rsidRPr="006D17AC">
                    <w:t>im][NTf</w:t>
                  </w:r>
                  <w:r w:rsidRPr="006D17AC">
                    <w:rPr>
                      <w:vertAlign w:val="subscript"/>
                    </w:rPr>
                    <w:t>2</w:t>
                  </w:r>
                  <w:r w:rsidRPr="006D17AC">
                    <w:t>]</w:t>
                  </w:r>
                </w:p>
              </w:tc>
              <w:tc>
                <w:tcPr>
                  <w:tcW w:w="648" w:type="dxa"/>
                  <w:tcBorders>
                    <w:top w:val="nil"/>
                    <w:left w:val="nil"/>
                    <w:bottom w:val="nil"/>
                    <w:right w:val="nil"/>
                  </w:tcBorders>
                  <w:shd w:val="clear" w:color="auto" w:fill="auto"/>
                  <w:noWrap/>
                  <w:vAlign w:val="bottom"/>
                  <w:hideMark/>
                </w:tcPr>
                <w:p w:rsidR="006D7EC8" w:rsidRPr="006D17AC" w:rsidRDefault="006D7EC8" w:rsidP="00A81F6B">
                  <w:pPr>
                    <w:pStyle w:val="G4bTableBody"/>
                  </w:pPr>
                  <w:r w:rsidRPr="006D17AC">
                    <w:t>74.3</w:t>
                  </w:r>
                </w:p>
              </w:tc>
              <w:tc>
                <w:tcPr>
                  <w:tcW w:w="705" w:type="dxa"/>
                  <w:tcBorders>
                    <w:top w:val="nil"/>
                    <w:left w:val="nil"/>
                    <w:bottom w:val="nil"/>
                    <w:right w:val="nil"/>
                  </w:tcBorders>
                  <w:shd w:val="clear" w:color="auto" w:fill="auto"/>
                  <w:noWrap/>
                  <w:vAlign w:val="bottom"/>
                  <w:hideMark/>
                </w:tcPr>
                <w:p w:rsidR="006D7EC8" w:rsidRPr="006D17AC" w:rsidRDefault="006D7EC8" w:rsidP="00A81F6B">
                  <w:pPr>
                    <w:pStyle w:val="G4bTableBody"/>
                  </w:pPr>
                  <w:r w:rsidRPr="006D17AC">
                    <w:t>0.61</w:t>
                  </w:r>
                </w:p>
              </w:tc>
              <w:tc>
                <w:tcPr>
                  <w:tcW w:w="705" w:type="dxa"/>
                  <w:gridSpan w:val="2"/>
                  <w:tcBorders>
                    <w:top w:val="nil"/>
                    <w:left w:val="nil"/>
                    <w:bottom w:val="nil"/>
                    <w:right w:val="nil"/>
                  </w:tcBorders>
                  <w:shd w:val="clear" w:color="auto" w:fill="auto"/>
                  <w:noWrap/>
                  <w:vAlign w:val="bottom"/>
                  <w:hideMark/>
                </w:tcPr>
                <w:p w:rsidR="006D7EC8" w:rsidRPr="006D17AC" w:rsidRDefault="006D7EC8" w:rsidP="00A81F6B">
                  <w:pPr>
                    <w:pStyle w:val="G4bTableBody"/>
                  </w:pPr>
                  <w:r w:rsidRPr="006D17AC">
                    <w:t>0.23</w:t>
                  </w:r>
                </w:p>
              </w:tc>
              <w:tc>
                <w:tcPr>
                  <w:tcW w:w="705" w:type="dxa"/>
                  <w:tcBorders>
                    <w:top w:val="nil"/>
                    <w:left w:val="nil"/>
                    <w:bottom w:val="nil"/>
                    <w:right w:val="nil"/>
                  </w:tcBorders>
                  <w:shd w:val="clear" w:color="auto" w:fill="auto"/>
                  <w:noWrap/>
                  <w:vAlign w:val="bottom"/>
                  <w:hideMark/>
                </w:tcPr>
                <w:p w:rsidR="006D7EC8" w:rsidRPr="006D17AC" w:rsidRDefault="006D7EC8" w:rsidP="00A81F6B">
                  <w:pPr>
                    <w:pStyle w:val="G4bTableBody"/>
                  </w:pPr>
                  <w:r w:rsidRPr="006D17AC">
                    <w:t>0.99</w:t>
                  </w:r>
                </w:p>
              </w:tc>
            </w:tr>
            <w:tr w:rsidR="006D7EC8" w:rsidRPr="006D17AC" w:rsidTr="006D7EC8">
              <w:trPr>
                <w:trHeight w:val="277"/>
              </w:trPr>
              <w:tc>
                <w:tcPr>
                  <w:tcW w:w="1610" w:type="dxa"/>
                  <w:gridSpan w:val="2"/>
                  <w:tcBorders>
                    <w:top w:val="nil"/>
                    <w:left w:val="nil"/>
                    <w:bottom w:val="nil"/>
                    <w:right w:val="single" w:sz="4" w:space="0" w:color="auto"/>
                  </w:tcBorders>
                  <w:shd w:val="clear" w:color="auto" w:fill="auto"/>
                  <w:noWrap/>
                  <w:vAlign w:val="bottom"/>
                  <w:hideMark/>
                </w:tcPr>
                <w:p w:rsidR="006D7EC8" w:rsidRPr="006D17AC" w:rsidRDefault="006D7EC8" w:rsidP="00A81F6B">
                  <w:pPr>
                    <w:pStyle w:val="G4bTableBody"/>
                  </w:pPr>
                  <w:r w:rsidRPr="006D17AC">
                    <w:t>[C</w:t>
                  </w:r>
                  <w:r w:rsidRPr="006D17AC">
                    <w:rPr>
                      <w:vertAlign w:val="subscript"/>
                    </w:rPr>
                    <w:t>4</w:t>
                  </w:r>
                  <w:r w:rsidRPr="006D17AC">
                    <w:t>C</w:t>
                  </w:r>
                  <w:r w:rsidRPr="006D17AC">
                    <w:rPr>
                      <w:vertAlign w:val="subscript"/>
                    </w:rPr>
                    <w:t>1</w:t>
                  </w:r>
                  <w:r w:rsidRPr="006D17AC">
                    <w:t>pyrr][NTf</w:t>
                  </w:r>
                  <w:r w:rsidRPr="006D17AC">
                    <w:rPr>
                      <w:vertAlign w:val="subscript"/>
                    </w:rPr>
                    <w:t>2</w:t>
                  </w:r>
                  <w:r w:rsidRPr="006D17AC">
                    <w:t>]</w:t>
                  </w:r>
                </w:p>
              </w:tc>
              <w:tc>
                <w:tcPr>
                  <w:tcW w:w="648" w:type="dxa"/>
                  <w:tcBorders>
                    <w:top w:val="nil"/>
                    <w:left w:val="nil"/>
                    <w:bottom w:val="nil"/>
                    <w:right w:val="nil"/>
                  </w:tcBorders>
                  <w:shd w:val="clear" w:color="auto" w:fill="auto"/>
                  <w:noWrap/>
                  <w:vAlign w:val="bottom"/>
                  <w:hideMark/>
                </w:tcPr>
                <w:p w:rsidR="006D7EC8" w:rsidRPr="006D17AC" w:rsidRDefault="006D7EC8" w:rsidP="00A81F6B">
                  <w:pPr>
                    <w:pStyle w:val="G4bTableBody"/>
                  </w:pPr>
                  <w:r w:rsidRPr="006D17AC">
                    <w:t>73.3</w:t>
                  </w:r>
                </w:p>
              </w:tc>
              <w:tc>
                <w:tcPr>
                  <w:tcW w:w="705" w:type="dxa"/>
                  <w:tcBorders>
                    <w:top w:val="nil"/>
                    <w:left w:val="nil"/>
                    <w:bottom w:val="nil"/>
                    <w:right w:val="nil"/>
                  </w:tcBorders>
                  <w:shd w:val="clear" w:color="auto" w:fill="auto"/>
                  <w:noWrap/>
                  <w:vAlign w:val="bottom"/>
                  <w:hideMark/>
                </w:tcPr>
                <w:p w:rsidR="006D7EC8" w:rsidRPr="006D17AC" w:rsidRDefault="006D7EC8" w:rsidP="00A81F6B">
                  <w:pPr>
                    <w:pStyle w:val="G4bTableBody"/>
                  </w:pPr>
                  <w:r w:rsidRPr="006D17AC">
                    <w:t>0.42</w:t>
                  </w:r>
                </w:p>
              </w:tc>
              <w:tc>
                <w:tcPr>
                  <w:tcW w:w="705" w:type="dxa"/>
                  <w:gridSpan w:val="2"/>
                  <w:tcBorders>
                    <w:top w:val="nil"/>
                    <w:left w:val="nil"/>
                    <w:bottom w:val="nil"/>
                    <w:right w:val="nil"/>
                  </w:tcBorders>
                  <w:shd w:val="clear" w:color="auto" w:fill="auto"/>
                  <w:noWrap/>
                  <w:vAlign w:val="bottom"/>
                  <w:hideMark/>
                </w:tcPr>
                <w:p w:rsidR="006D7EC8" w:rsidRPr="006D17AC" w:rsidRDefault="006D7EC8" w:rsidP="00A81F6B">
                  <w:pPr>
                    <w:pStyle w:val="G4bTableBody"/>
                  </w:pPr>
                  <w:r w:rsidRPr="006D17AC">
                    <w:t>0.29</w:t>
                  </w:r>
                </w:p>
              </w:tc>
              <w:tc>
                <w:tcPr>
                  <w:tcW w:w="705" w:type="dxa"/>
                  <w:tcBorders>
                    <w:top w:val="nil"/>
                    <w:left w:val="nil"/>
                    <w:bottom w:val="nil"/>
                    <w:right w:val="nil"/>
                  </w:tcBorders>
                  <w:shd w:val="clear" w:color="auto" w:fill="auto"/>
                  <w:noWrap/>
                  <w:vAlign w:val="bottom"/>
                  <w:hideMark/>
                </w:tcPr>
                <w:p w:rsidR="006D7EC8" w:rsidRPr="006D17AC" w:rsidRDefault="006D7EC8" w:rsidP="00A81F6B">
                  <w:pPr>
                    <w:pStyle w:val="G4bTableBody"/>
                  </w:pPr>
                  <w:r w:rsidRPr="006D17AC">
                    <w:t>0.96</w:t>
                  </w:r>
                </w:p>
              </w:tc>
            </w:tr>
            <w:tr w:rsidR="006D7EC8" w:rsidRPr="006D17AC" w:rsidTr="006D7EC8">
              <w:trPr>
                <w:trHeight w:val="277"/>
              </w:trPr>
              <w:tc>
                <w:tcPr>
                  <w:tcW w:w="1610" w:type="dxa"/>
                  <w:gridSpan w:val="2"/>
                  <w:tcBorders>
                    <w:top w:val="nil"/>
                    <w:left w:val="nil"/>
                    <w:bottom w:val="nil"/>
                    <w:right w:val="single" w:sz="4" w:space="0" w:color="auto"/>
                  </w:tcBorders>
                  <w:shd w:val="clear" w:color="auto" w:fill="auto"/>
                  <w:noWrap/>
                  <w:vAlign w:val="bottom"/>
                  <w:hideMark/>
                </w:tcPr>
                <w:p w:rsidR="006D7EC8" w:rsidRPr="006D17AC" w:rsidRDefault="006D7EC8" w:rsidP="00A81F6B">
                  <w:pPr>
                    <w:pStyle w:val="G4bTableBody"/>
                  </w:pPr>
                  <w:r w:rsidRPr="006D17AC">
                    <w:t>[C</w:t>
                  </w:r>
                  <w:r w:rsidRPr="006D17AC">
                    <w:rPr>
                      <w:vertAlign w:val="subscript"/>
                    </w:rPr>
                    <w:t>4</w:t>
                  </w:r>
                  <w:r w:rsidRPr="006D17AC">
                    <w:t>C</w:t>
                  </w:r>
                  <w:r w:rsidRPr="006D17AC">
                    <w:rPr>
                      <w:vertAlign w:val="subscript"/>
                    </w:rPr>
                    <w:t>1</w:t>
                  </w:r>
                  <w:r w:rsidRPr="006D17AC">
                    <w:t>C</w:t>
                  </w:r>
                  <w:r w:rsidRPr="006D17AC">
                    <w:rPr>
                      <w:vertAlign w:val="subscript"/>
                    </w:rPr>
                    <w:t>1</w:t>
                  </w:r>
                  <w:r w:rsidRPr="006D17AC">
                    <w:t>im][NTf</w:t>
                  </w:r>
                  <w:r w:rsidRPr="006D17AC">
                    <w:rPr>
                      <w:vertAlign w:val="subscript"/>
                    </w:rPr>
                    <w:t>2</w:t>
                  </w:r>
                  <w:r w:rsidRPr="006D17AC">
                    <w:t>]</w:t>
                  </w:r>
                </w:p>
              </w:tc>
              <w:tc>
                <w:tcPr>
                  <w:tcW w:w="648" w:type="dxa"/>
                  <w:tcBorders>
                    <w:top w:val="nil"/>
                    <w:left w:val="nil"/>
                    <w:bottom w:val="nil"/>
                    <w:right w:val="nil"/>
                  </w:tcBorders>
                  <w:shd w:val="clear" w:color="auto" w:fill="auto"/>
                  <w:noWrap/>
                  <w:vAlign w:val="bottom"/>
                  <w:hideMark/>
                </w:tcPr>
                <w:p w:rsidR="006D7EC8" w:rsidRPr="006D17AC" w:rsidRDefault="006D7EC8" w:rsidP="00A81F6B">
                  <w:pPr>
                    <w:pStyle w:val="G4bTableBody"/>
                  </w:pPr>
                  <w:r w:rsidRPr="006D17AC">
                    <w:t>72.7</w:t>
                  </w:r>
                </w:p>
              </w:tc>
              <w:tc>
                <w:tcPr>
                  <w:tcW w:w="705" w:type="dxa"/>
                  <w:tcBorders>
                    <w:top w:val="nil"/>
                    <w:left w:val="nil"/>
                    <w:bottom w:val="nil"/>
                    <w:right w:val="nil"/>
                  </w:tcBorders>
                  <w:shd w:val="clear" w:color="auto" w:fill="auto"/>
                  <w:noWrap/>
                  <w:vAlign w:val="bottom"/>
                  <w:hideMark/>
                </w:tcPr>
                <w:p w:rsidR="006D7EC8" w:rsidRPr="006D17AC" w:rsidRDefault="006D7EC8" w:rsidP="00A81F6B">
                  <w:pPr>
                    <w:pStyle w:val="G4bTableBody"/>
                  </w:pPr>
                  <w:r w:rsidRPr="006D17AC">
                    <w:t>0.38</w:t>
                  </w:r>
                </w:p>
              </w:tc>
              <w:tc>
                <w:tcPr>
                  <w:tcW w:w="705" w:type="dxa"/>
                  <w:gridSpan w:val="2"/>
                  <w:tcBorders>
                    <w:top w:val="nil"/>
                    <w:left w:val="nil"/>
                    <w:bottom w:val="nil"/>
                    <w:right w:val="nil"/>
                  </w:tcBorders>
                  <w:shd w:val="clear" w:color="auto" w:fill="auto"/>
                  <w:noWrap/>
                  <w:vAlign w:val="bottom"/>
                  <w:hideMark/>
                </w:tcPr>
                <w:p w:rsidR="006D7EC8" w:rsidRPr="006D17AC" w:rsidRDefault="006D7EC8" w:rsidP="00A81F6B">
                  <w:pPr>
                    <w:pStyle w:val="G4bTableBody"/>
                  </w:pPr>
                  <w:r w:rsidRPr="006D17AC">
                    <w:t>0.26</w:t>
                  </w:r>
                </w:p>
              </w:tc>
              <w:tc>
                <w:tcPr>
                  <w:tcW w:w="705" w:type="dxa"/>
                  <w:tcBorders>
                    <w:top w:val="nil"/>
                    <w:left w:val="nil"/>
                    <w:bottom w:val="nil"/>
                    <w:right w:val="nil"/>
                  </w:tcBorders>
                  <w:shd w:val="clear" w:color="auto" w:fill="auto"/>
                  <w:noWrap/>
                  <w:vAlign w:val="bottom"/>
                  <w:hideMark/>
                </w:tcPr>
                <w:p w:rsidR="006D7EC8" w:rsidRPr="006D17AC" w:rsidRDefault="006D7EC8" w:rsidP="00A81F6B">
                  <w:pPr>
                    <w:pStyle w:val="G4bTableBody"/>
                  </w:pPr>
                  <w:r w:rsidRPr="006D17AC">
                    <w:t>1.02</w:t>
                  </w:r>
                </w:p>
              </w:tc>
            </w:tr>
            <w:tr w:rsidR="006D7EC8" w:rsidRPr="006D17AC" w:rsidTr="006D7EC8">
              <w:trPr>
                <w:trHeight w:val="277"/>
              </w:trPr>
              <w:tc>
                <w:tcPr>
                  <w:tcW w:w="1610" w:type="dxa"/>
                  <w:gridSpan w:val="2"/>
                  <w:tcBorders>
                    <w:top w:val="nil"/>
                    <w:left w:val="nil"/>
                    <w:bottom w:val="nil"/>
                    <w:right w:val="single" w:sz="4" w:space="0" w:color="auto"/>
                  </w:tcBorders>
                  <w:shd w:val="clear" w:color="auto" w:fill="auto"/>
                  <w:noWrap/>
                  <w:vAlign w:val="bottom"/>
                  <w:hideMark/>
                </w:tcPr>
                <w:p w:rsidR="006D7EC8" w:rsidRPr="006D17AC" w:rsidRDefault="006D7EC8" w:rsidP="00A81F6B">
                  <w:pPr>
                    <w:pStyle w:val="G4bTableBody"/>
                  </w:pPr>
                  <w:r w:rsidRPr="006D17AC">
                    <w:t>Propylene carbonate</w:t>
                  </w:r>
                </w:p>
              </w:tc>
              <w:tc>
                <w:tcPr>
                  <w:tcW w:w="648" w:type="dxa"/>
                  <w:tcBorders>
                    <w:top w:val="nil"/>
                    <w:left w:val="nil"/>
                    <w:bottom w:val="nil"/>
                    <w:right w:val="nil"/>
                  </w:tcBorders>
                  <w:shd w:val="clear" w:color="auto" w:fill="auto"/>
                  <w:noWrap/>
                  <w:vAlign w:val="bottom"/>
                  <w:hideMark/>
                </w:tcPr>
                <w:p w:rsidR="006D7EC8" w:rsidRPr="006D17AC" w:rsidRDefault="006D7EC8" w:rsidP="00A81F6B">
                  <w:pPr>
                    <w:pStyle w:val="G4bTableBody"/>
                  </w:pPr>
                  <w:r w:rsidRPr="006D17AC">
                    <w:t>72.4</w:t>
                  </w:r>
                </w:p>
              </w:tc>
              <w:tc>
                <w:tcPr>
                  <w:tcW w:w="705" w:type="dxa"/>
                  <w:tcBorders>
                    <w:top w:val="nil"/>
                    <w:left w:val="nil"/>
                    <w:bottom w:val="nil"/>
                    <w:right w:val="nil"/>
                  </w:tcBorders>
                  <w:shd w:val="clear" w:color="auto" w:fill="auto"/>
                  <w:noWrap/>
                  <w:vAlign w:val="bottom"/>
                  <w:hideMark/>
                </w:tcPr>
                <w:p w:rsidR="006D7EC8" w:rsidRPr="006D17AC" w:rsidRDefault="006D7EC8" w:rsidP="00A81F6B">
                  <w:pPr>
                    <w:pStyle w:val="G4bTableBody"/>
                  </w:pPr>
                  <w:r w:rsidRPr="006D17AC">
                    <w:t>0.00</w:t>
                  </w:r>
                </w:p>
              </w:tc>
              <w:tc>
                <w:tcPr>
                  <w:tcW w:w="705" w:type="dxa"/>
                  <w:gridSpan w:val="2"/>
                  <w:tcBorders>
                    <w:top w:val="nil"/>
                    <w:left w:val="nil"/>
                    <w:bottom w:val="nil"/>
                    <w:right w:val="nil"/>
                  </w:tcBorders>
                  <w:shd w:val="clear" w:color="auto" w:fill="auto"/>
                  <w:noWrap/>
                  <w:vAlign w:val="bottom"/>
                  <w:hideMark/>
                </w:tcPr>
                <w:p w:rsidR="006D7EC8" w:rsidRPr="006D17AC" w:rsidRDefault="006D7EC8" w:rsidP="00A81F6B">
                  <w:pPr>
                    <w:pStyle w:val="G4bTableBody"/>
                  </w:pPr>
                  <w:r w:rsidRPr="006D17AC">
                    <w:t>0.40</w:t>
                  </w:r>
                </w:p>
              </w:tc>
              <w:tc>
                <w:tcPr>
                  <w:tcW w:w="705" w:type="dxa"/>
                  <w:tcBorders>
                    <w:top w:val="nil"/>
                    <w:left w:val="nil"/>
                    <w:bottom w:val="nil"/>
                    <w:right w:val="nil"/>
                  </w:tcBorders>
                  <w:shd w:val="clear" w:color="auto" w:fill="auto"/>
                  <w:noWrap/>
                  <w:vAlign w:val="bottom"/>
                  <w:hideMark/>
                </w:tcPr>
                <w:p w:rsidR="006D7EC8" w:rsidRPr="006D17AC" w:rsidRDefault="006D7EC8" w:rsidP="00A81F6B">
                  <w:pPr>
                    <w:pStyle w:val="G4bTableBody"/>
                  </w:pPr>
                  <w:r w:rsidRPr="006D17AC">
                    <w:t>0.83</w:t>
                  </w:r>
                </w:p>
              </w:tc>
            </w:tr>
            <w:tr w:rsidR="006D7EC8" w:rsidRPr="006D17AC" w:rsidTr="006D7EC8">
              <w:trPr>
                <w:trHeight w:val="277"/>
              </w:trPr>
              <w:tc>
                <w:tcPr>
                  <w:tcW w:w="1610" w:type="dxa"/>
                  <w:gridSpan w:val="2"/>
                  <w:tcBorders>
                    <w:top w:val="nil"/>
                    <w:left w:val="nil"/>
                    <w:bottom w:val="nil"/>
                    <w:right w:val="single" w:sz="4" w:space="0" w:color="auto"/>
                  </w:tcBorders>
                  <w:shd w:val="clear" w:color="auto" w:fill="auto"/>
                  <w:noWrap/>
                  <w:vAlign w:val="bottom"/>
                  <w:hideMark/>
                </w:tcPr>
                <w:p w:rsidR="006D7EC8" w:rsidRPr="006D17AC" w:rsidRDefault="006D7EC8" w:rsidP="00A81F6B">
                  <w:pPr>
                    <w:pStyle w:val="G4bTableBody"/>
                  </w:pPr>
                  <w:r w:rsidRPr="006D17AC">
                    <w:t>Acetonitrile</w:t>
                  </w:r>
                </w:p>
              </w:tc>
              <w:tc>
                <w:tcPr>
                  <w:tcW w:w="648" w:type="dxa"/>
                  <w:tcBorders>
                    <w:top w:val="nil"/>
                    <w:left w:val="nil"/>
                    <w:bottom w:val="nil"/>
                    <w:right w:val="nil"/>
                  </w:tcBorders>
                  <w:shd w:val="clear" w:color="auto" w:fill="auto"/>
                  <w:noWrap/>
                  <w:vAlign w:val="bottom"/>
                  <w:hideMark/>
                </w:tcPr>
                <w:p w:rsidR="006D7EC8" w:rsidRPr="006D17AC" w:rsidRDefault="006D7EC8" w:rsidP="00A81F6B">
                  <w:pPr>
                    <w:pStyle w:val="G4bTableBody"/>
                    <w:rPr>
                      <w:vertAlign w:val="superscript"/>
                    </w:rPr>
                  </w:pPr>
                  <w:r w:rsidRPr="006D17AC">
                    <w:t>71.3</w:t>
                  </w:r>
                  <w:r w:rsidRPr="006D17AC">
                    <w:rPr>
                      <w:vertAlign w:val="superscript"/>
                    </w:rPr>
                    <w:t>a</w:t>
                  </w:r>
                </w:p>
              </w:tc>
              <w:tc>
                <w:tcPr>
                  <w:tcW w:w="705" w:type="dxa"/>
                  <w:tcBorders>
                    <w:top w:val="nil"/>
                    <w:left w:val="nil"/>
                    <w:bottom w:val="nil"/>
                    <w:right w:val="nil"/>
                  </w:tcBorders>
                  <w:shd w:val="clear" w:color="auto" w:fill="auto"/>
                  <w:noWrap/>
                  <w:vAlign w:val="bottom"/>
                  <w:hideMark/>
                </w:tcPr>
                <w:p w:rsidR="006D7EC8" w:rsidRPr="006D17AC" w:rsidRDefault="006D7EC8" w:rsidP="00A81F6B">
                  <w:pPr>
                    <w:pStyle w:val="G4bTableBody"/>
                    <w:rPr>
                      <w:vertAlign w:val="superscript"/>
                    </w:rPr>
                  </w:pPr>
                  <w:r w:rsidRPr="006D17AC">
                    <w:t>0.35</w:t>
                  </w:r>
                  <w:r w:rsidRPr="006D17AC">
                    <w:rPr>
                      <w:vertAlign w:val="superscript"/>
                    </w:rPr>
                    <w:t>b</w:t>
                  </w:r>
                </w:p>
              </w:tc>
              <w:tc>
                <w:tcPr>
                  <w:tcW w:w="705" w:type="dxa"/>
                  <w:gridSpan w:val="2"/>
                  <w:tcBorders>
                    <w:top w:val="nil"/>
                    <w:left w:val="nil"/>
                    <w:bottom w:val="nil"/>
                    <w:right w:val="nil"/>
                  </w:tcBorders>
                  <w:shd w:val="clear" w:color="auto" w:fill="auto"/>
                  <w:noWrap/>
                  <w:vAlign w:val="bottom"/>
                  <w:hideMark/>
                </w:tcPr>
                <w:p w:rsidR="006D7EC8" w:rsidRPr="006D17AC" w:rsidRDefault="006D7EC8" w:rsidP="00A81F6B">
                  <w:pPr>
                    <w:pStyle w:val="G4bTableBody"/>
                    <w:rPr>
                      <w:vertAlign w:val="superscript"/>
                    </w:rPr>
                  </w:pPr>
                  <w:r w:rsidRPr="006D17AC">
                    <w:t>0.37</w:t>
                  </w:r>
                  <w:r w:rsidRPr="006D17AC">
                    <w:rPr>
                      <w:vertAlign w:val="superscript"/>
                    </w:rPr>
                    <w:t>b</w:t>
                  </w:r>
                </w:p>
              </w:tc>
              <w:tc>
                <w:tcPr>
                  <w:tcW w:w="705" w:type="dxa"/>
                  <w:tcBorders>
                    <w:top w:val="nil"/>
                    <w:left w:val="nil"/>
                    <w:bottom w:val="nil"/>
                    <w:right w:val="nil"/>
                  </w:tcBorders>
                  <w:shd w:val="clear" w:color="auto" w:fill="auto"/>
                  <w:noWrap/>
                  <w:vAlign w:val="bottom"/>
                  <w:hideMark/>
                </w:tcPr>
                <w:p w:rsidR="006D7EC8" w:rsidRPr="006D17AC" w:rsidRDefault="006D7EC8" w:rsidP="00A81F6B">
                  <w:pPr>
                    <w:pStyle w:val="G4bTableBody"/>
                    <w:rPr>
                      <w:vertAlign w:val="superscript"/>
                    </w:rPr>
                  </w:pPr>
                  <w:r w:rsidRPr="006D17AC">
                    <w:t>0.80</w:t>
                  </w:r>
                  <w:r w:rsidRPr="006D17AC">
                    <w:rPr>
                      <w:vertAlign w:val="superscript"/>
                    </w:rPr>
                    <w:t>b</w:t>
                  </w:r>
                </w:p>
              </w:tc>
            </w:tr>
            <w:tr w:rsidR="006D7EC8" w:rsidRPr="006D17AC" w:rsidTr="006D7EC8">
              <w:trPr>
                <w:trHeight w:val="277"/>
              </w:trPr>
              <w:tc>
                <w:tcPr>
                  <w:tcW w:w="1610" w:type="dxa"/>
                  <w:gridSpan w:val="2"/>
                  <w:tcBorders>
                    <w:top w:val="nil"/>
                    <w:left w:val="nil"/>
                    <w:bottom w:val="nil"/>
                    <w:right w:val="single" w:sz="4" w:space="0" w:color="auto"/>
                  </w:tcBorders>
                  <w:shd w:val="clear" w:color="auto" w:fill="auto"/>
                  <w:noWrap/>
                  <w:vAlign w:val="bottom"/>
                  <w:hideMark/>
                </w:tcPr>
                <w:p w:rsidR="006D7EC8" w:rsidRPr="006D17AC" w:rsidRDefault="006D7EC8" w:rsidP="00A81F6B">
                  <w:pPr>
                    <w:pStyle w:val="G4bTableBody"/>
                  </w:pPr>
                  <w:r w:rsidRPr="006D17AC">
                    <w:t>DMSO</w:t>
                  </w:r>
                </w:p>
              </w:tc>
              <w:tc>
                <w:tcPr>
                  <w:tcW w:w="648" w:type="dxa"/>
                  <w:tcBorders>
                    <w:top w:val="nil"/>
                    <w:left w:val="nil"/>
                    <w:bottom w:val="nil"/>
                    <w:right w:val="nil"/>
                  </w:tcBorders>
                  <w:shd w:val="clear" w:color="auto" w:fill="auto"/>
                  <w:noWrap/>
                  <w:vAlign w:val="bottom"/>
                  <w:hideMark/>
                </w:tcPr>
                <w:p w:rsidR="006D7EC8" w:rsidRPr="006D17AC" w:rsidRDefault="006D7EC8" w:rsidP="00A81F6B">
                  <w:pPr>
                    <w:pStyle w:val="G4bTableBody"/>
                    <w:rPr>
                      <w:vertAlign w:val="superscript"/>
                    </w:rPr>
                  </w:pPr>
                  <w:r w:rsidRPr="006D17AC">
                    <w:t>70.2</w:t>
                  </w:r>
                  <w:r w:rsidRPr="006D17AC">
                    <w:rPr>
                      <w:vertAlign w:val="superscript"/>
                    </w:rPr>
                    <w:t>a</w:t>
                  </w:r>
                </w:p>
              </w:tc>
              <w:tc>
                <w:tcPr>
                  <w:tcW w:w="705" w:type="dxa"/>
                  <w:tcBorders>
                    <w:top w:val="nil"/>
                    <w:left w:val="nil"/>
                    <w:bottom w:val="nil"/>
                    <w:right w:val="nil"/>
                  </w:tcBorders>
                  <w:shd w:val="clear" w:color="auto" w:fill="auto"/>
                  <w:noWrap/>
                  <w:vAlign w:val="bottom"/>
                  <w:hideMark/>
                </w:tcPr>
                <w:p w:rsidR="006D7EC8" w:rsidRPr="006D17AC" w:rsidRDefault="006D7EC8" w:rsidP="00A81F6B">
                  <w:pPr>
                    <w:pStyle w:val="G4bTableBody"/>
                    <w:rPr>
                      <w:vertAlign w:val="superscript"/>
                    </w:rPr>
                  </w:pPr>
                  <w:r w:rsidRPr="006D17AC">
                    <w:t>0.00</w:t>
                  </w:r>
                  <w:r w:rsidRPr="006D17AC">
                    <w:rPr>
                      <w:vertAlign w:val="superscript"/>
                    </w:rPr>
                    <w:t>a</w:t>
                  </w:r>
                </w:p>
              </w:tc>
              <w:tc>
                <w:tcPr>
                  <w:tcW w:w="705" w:type="dxa"/>
                  <w:gridSpan w:val="2"/>
                  <w:tcBorders>
                    <w:top w:val="nil"/>
                    <w:left w:val="nil"/>
                    <w:bottom w:val="nil"/>
                    <w:right w:val="nil"/>
                  </w:tcBorders>
                  <w:shd w:val="clear" w:color="auto" w:fill="auto"/>
                  <w:noWrap/>
                  <w:vAlign w:val="bottom"/>
                  <w:hideMark/>
                </w:tcPr>
                <w:p w:rsidR="006D7EC8" w:rsidRPr="006D17AC" w:rsidRDefault="006D7EC8" w:rsidP="00A81F6B">
                  <w:pPr>
                    <w:pStyle w:val="G4bTableBody"/>
                    <w:rPr>
                      <w:vertAlign w:val="superscript"/>
                    </w:rPr>
                  </w:pPr>
                  <w:r w:rsidRPr="006D17AC">
                    <w:t>0.76</w:t>
                  </w:r>
                  <w:r w:rsidRPr="006D17AC">
                    <w:rPr>
                      <w:vertAlign w:val="superscript"/>
                    </w:rPr>
                    <w:t>a</w:t>
                  </w:r>
                </w:p>
              </w:tc>
              <w:tc>
                <w:tcPr>
                  <w:tcW w:w="705" w:type="dxa"/>
                  <w:tcBorders>
                    <w:top w:val="nil"/>
                    <w:left w:val="nil"/>
                    <w:bottom w:val="nil"/>
                    <w:right w:val="nil"/>
                  </w:tcBorders>
                  <w:shd w:val="clear" w:color="auto" w:fill="auto"/>
                  <w:noWrap/>
                  <w:vAlign w:val="bottom"/>
                  <w:hideMark/>
                </w:tcPr>
                <w:p w:rsidR="006D7EC8" w:rsidRPr="006D17AC" w:rsidRDefault="006D7EC8" w:rsidP="00A81F6B">
                  <w:pPr>
                    <w:pStyle w:val="G4bTableBody"/>
                    <w:rPr>
                      <w:vertAlign w:val="superscript"/>
                    </w:rPr>
                  </w:pPr>
                  <w:r w:rsidRPr="006D17AC">
                    <w:t>1.00</w:t>
                  </w:r>
                </w:p>
              </w:tc>
            </w:tr>
            <w:tr w:rsidR="006D7EC8" w:rsidRPr="006D17AC" w:rsidTr="006D7EC8">
              <w:trPr>
                <w:trHeight w:val="277"/>
              </w:trPr>
              <w:tc>
                <w:tcPr>
                  <w:tcW w:w="1610" w:type="dxa"/>
                  <w:gridSpan w:val="2"/>
                  <w:tcBorders>
                    <w:top w:val="nil"/>
                    <w:left w:val="nil"/>
                    <w:bottom w:val="nil"/>
                    <w:right w:val="single" w:sz="4" w:space="0" w:color="auto"/>
                  </w:tcBorders>
                  <w:shd w:val="clear" w:color="auto" w:fill="auto"/>
                  <w:noWrap/>
                  <w:vAlign w:val="bottom"/>
                  <w:hideMark/>
                </w:tcPr>
                <w:p w:rsidR="006D7EC8" w:rsidRPr="006D17AC" w:rsidRDefault="006D7EC8" w:rsidP="00A81F6B">
                  <w:pPr>
                    <w:pStyle w:val="G4bTableBody"/>
                  </w:pPr>
                  <w:r w:rsidRPr="006D17AC">
                    <w:t>1,2-dichloroethane</w:t>
                  </w:r>
                </w:p>
              </w:tc>
              <w:tc>
                <w:tcPr>
                  <w:tcW w:w="648" w:type="dxa"/>
                  <w:tcBorders>
                    <w:top w:val="nil"/>
                    <w:left w:val="nil"/>
                    <w:bottom w:val="nil"/>
                    <w:right w:val="nil"/>
                  </w:tcBorders>
                  <w:shd w:val="clear" w:color="auto" w:fill="auto"/>
                  <w:noWrap/>
                  <w:vAlign w:val="bottom"/>
                  <w:hideMark/>
                </w:tcPr>
                <w:p w:rsidR="006D7EC8" w:rsidRPr="006D17AC" w:rsidRDefault="006D7EC8" w:rsidP="00A81F6B">
                  <w:pPr>
                    <w:pStyle w:val="G4bTableBody"/>
                  </w:pPr>
                  <w:r w:rsidRPr="006D17AC">
                    <w:t>65.2</w:t>
                  </w:r>
                </w:p>
              </w:tc>
              <w:tc>
                <w:tcPr>
                  <w:tcW w:w="705" w:type="dxa"/>
                  <w:tcBorders>
                    <w:top w:val="nil"/>
                    <w:left w:val="nil"/>
                    <w:bottom w:val="nil"/>
                    <w:right w:val="nil"/>
                  </w:tcBorders>
                  <w:shd w:val="clear" w:color="auto" w:fill="auto"/>
                  <w:noWrap/>
                  <w:vAlign w:val="bottom"/>
                  <w:hideMark/>
                </w:tcPr>
                <w:p w:rsidR="006D7EC8" w:rsidRPr="006D17AC" w:rsidRDefault="006D7EC8" w:rsidP="00A81F6B">
                  <w:pPr>
                    <w:pStyle w:val="G4bTableBody"/>
                  </w:pPr>
                  <w:r w:rsidRPr="006D17AC">
                    <w:t>0.00</w:t>
                  </w:r>
                </w:p>
              </w:tc>
              <w:tc>
                <w:tcPr>
                  <w:tcW w:w="705" w:type="dxa"/>
                  <w:gridSpan w:val="2"/>
                  <w:tcBorders>
                    <w:top w:val="nil"/>
                    <w:left w:val="nil"/>
                    <w:bottom w:val="nil"/>
                    <w:right w:val="nil"/>
                  </w:tcBorders>
                  <w:shd w:val="clear" w:color="auto" w:fill="auto"/>
                  <w:noWrap/>
                  <w:vAlign w:val="bottom"/>
                  <w:hideMark/>
                </w:tcPr>
                <w:p w:rsidR="006D7EC8" w:rsidRPr="006D17AC" w:rsidRDefault="006D7EC8" w:rsidP="00A81F6B">
                  <w:pPr>
                    <w:pStyle w:val="G4bTableBody"/>
                  </w:pPr>
                  <w:r w:rsidRPr="006D17AC">
                    <w:t>0.10</w:t>
                  </w:r>
                </w:p>
              </w:tc>
              <w:tc>
                <w:tcPr>
                  <w:tcW w:w="705" w:type="dxa"/>
                  <w:tcBorders>
                    <w:top w:val="nil"/>
                    <w:left w:val="nil"/>
                    <w:bottom w:val="nil"/>
                    <w:right w:val="nil"/>
                  </w:tcBorders>
                  <w:shd w:val="clear" w:color="auto" w:fill="auto"/>
                  <w:noWrap/>
                  <w:vAlign w:val="bottom"/>
                  <w:hideMark/>
                </w:tcPr>
                <w:p w:rsidR="006D7EC8" w:rsidRPr="006D17AC" w:rsidRDefault="006D7EC8" w:rsidP="00A81F6B">
                  <w:pPr>
                    <w:pStyle w:val="G4bTableBody"/>
                  </w:pPr>
                  <w:r w:rsidRPr="006D17AC">
                    <w:t>0.81</w:t>
                  </w:r>
                </w:p>
              </w:tc>
            </w:tr>
            <w:tr w:rsidR="006D7EC8" w:rsidTr="006D7EC8">
              <w:tblPrEx>
                <w:tblCellMar>
                  <w:left w:w="0" w:type="dxa"/>
                  <w:right w:w="0" w:type="dxa"/>
                </w:tblCellMar>
                <w:tblLook w:val="0000" w:firstRow="0" w:lastRow="0" w:firstColumn="0" w:lastColumn="0" w:noHBand="0" w:noVBand="0"/>
              </w:tblPrEx>
              <w:trPr>
                <w:gridBefore w:val="1"/>
                <w:gridAfter w:val="2"/>
                <w:wBefore w:w="10" w:type="dxa"/>
                <w:wAfter w:w="867" w:type="dxa"/>
                <w:trHeight w:val="166"/>
              </w:trPr>
              <w:tc>
                <w:tcPr>
                  <w:tcW w:w="3496" w:type="dxa"/>
                  <w:gridSpan w:val="4"/>
                  <w:shd w:val="clear" w:color="auto" w:fill="auto"/>
                </w:tcPr>
                <w:p w:rsidR="006D7EC8" w:rsidRPr="00F31415" w:rsidRDefault="006D7EC8" w:rsidP="00A81F6B">
                  <w:pPr>
                    <w:pStyle w:val="G4bTableBody"/>
                    <w:jc w:val="left"/>
                  </w:pPr>
                </w:p>
              </w:tc>
            </w:tr>
          </w:tbl>
          <w:p w:rsidR="00C73DEA" w:rsidRPr="00C73DEA" w:rsidRDefault="00C73DEA" w:rsidP="00C73DEA">
            <w:pPr>
              <w:pStyle w:val="G4bTableBody"/>
            </w:pPr>
          </w:p>
        </w:tc>
      </w:tr>
    </w:tbl>
    <w:p w:rsidR="00C73DEA" w:rsidRPr="00C73DEA" w:rsidRDefault="00C73DEA" w:rsidP="00C73DEA">
      <w:pPr>
        <w:pStyle w:val="G4cTableFootnote"/>
      </w:pPr>
      <w:r>
        <w:rPr>
          <w:i/>
          <w:vertAlign w:val="superscript"/>
        </w:rPr>
        <w:t>a</w:t>
      </w:r>
      <w:r w:rsidRPr="00C73DEA">
        <w:rPr>
          <w:i/>
          <w:vertAlign w:val="superscript"/>
        </w:rPr>
        <w:t xml:space="preserve"> </w:t>
      </w:r>
      <w:r w:rsidRPr="00F31415">
        <w:t xml:space="preserve">Reference </w:t>
      </w:r>
      <w:r w:rsidR="00FF39D7">
        <w:t>18</w:t>
      </w:r>
      <w:r w:rsidRPr="00F31415">
        <w:t xml:space="preserve">; </w:t>
      </w:r>
      <w:r w:rsidRPr="00F31415">
        <w:rPr>
          <w:i/>
          <w:vertAlign w:val="superscript"/>
        </w:rPr>
        <w:t>b</w:t>
      </w:r>
      <w:r>
        <w:t xml:space="preserve"> </w:t>
      </w:r>
      <w:r w:rsidRPr="00F31415">
        <w:t xml:space="preserve">Reference </w:t>
      </w:r>
      <w:r w:rsidR="00FF39D7">
        <w:t>19</w:t>
      </w:r>
      <w:r w:rsidRPr="00F31415">
        <w:t>.</w:t>
      </w:r>
    </w:p>
    <w:p w:rsidR="000F405F" w:rsidRPr="009A369B" w:rsidRDefault="00684C40" w:rsidP="003F4A2D">
      <w:pPr>
        <w:pStyle w:val="08ArticleText"/>
      </w:pPr>
      <w:r w:rsidRPr="00684C40">
        <w:t>discrete reactive species, whereas in molecular solvents neutral clusters of ions are formed as the reactive species.</w:t>
      </w:r>
      <w:r w:rsidRPr="00684C40">
        <w:rPr>
          <w:vertAlign w:val="superscript"/>
        </w:rPr>
        <w:t>1</w:t>
      </w:r>
      <w:r w:rsidR="00C34CFC">
        <w:rPr>
          <w:vertAlign w:val="superscript"/>
        </w:rPr>
        <w:t>2</w:t>
      </w:r>
      <w:r w:rsidRPr="00684C40">
        <w:t xml:space="preserve"> This was the first report of any reaction phenomenon unique to ionic liquids, and we proposed that this was due to the complete lack of ion-pairing of these </w:t>
      </w:r>
      <w:r w:rsidRPr="00684C40">
        <w:rPr>
          <w:i/>
        </w:rPr>
        <w:t>solute</w:t>
      </w:r>
      <w:r w:rsidRPr="00684C40">
        <w:t xml:space="preserve"> salts in ionic liquids. This hypothesis has subsequently been supported by theoretical modelling,</w:t>
      </w:r>
      <w:r w:rsidRPr="00684C40">
        <w:rPr>
          <w:vertAlign w:val="superscript"/>
        </w:rPr>
        <w:t>1</w:t>
      </w:r>
      <w:r w:rsidR="00C34CFC">
        <w:rPr>
          <w:vertAlign w:val="superscript"/>
        </w:rPr>
        <w:t>3</w:t>
      </w:r>
      <w:r w:rsidRPr="00684C40">
        <w:t xml:space="preserve"> but we have been searching for further experimental evidence to support it and to also resolve the conflicting reports of ionic liquid polarity.  This lack of ion-pairing indicates a very polar solvent in which the solvent ion-solute ion interactions are sufficient to break the strong attractive Coulombic interactions of any solute </w:t>
      </w:r>
      <w:r w:rsidRPr="009A369B">
        <w:t>ion pairs.</w:t>
      </w:r>
    </w:p>
    <w:p w:rsidR="00F31415" w:rsidRDefault="009A369B" w:rsidP="003F4A2D">
      <w:pPr>
        <w:pStyle w:val="08ArticleText"/>
      </w:pPr>
      <w:r>
        <w:tab/>
      </w:r>
      <w:r w:rsidRPr="009A369B">
        <w:t xml:space="preserve">Kosower’s </w:t>
      </w:r>
      <w:r w:rsidRPr="009A369B">
        <w:rPr>
          <w:i/>
        </w:rPr>
        <w:t>Z</w:t>
      </w:r>
      <w:r w:rsidRPr="009A369B">
        <w:t>-scale was one of the first successful empirical polarity scales and is based upon the position of the absorption maximum of the longest wavelength charge-transfer band of 1-ethyl-4-(methoxycarbonyl)pyridinium iodide, [Py]I.</w:t>
      </w:r>
      <w:r w:rsidRPr="009A369B">
        <w:rPr>
          <w:vertAlign w:val="superscript"/>
        </w:rPr>
        <w:t>1</w:t>
      </w:r>
      <w:r w:rsidR="00B812E7">
        <w:rPr>
          <w:vertAlign w:val="superscript"/>
        </w:rPr>
        <w:t>4</w:t>
      </w:r>
      <w:r w:rsidRPr="009A369B">
        <w:t xml:space="preserve"> In solution, this salt is only spectroscopically active when its ions are in direct contact, so allowing charge transfer to occur.  Therefore, the intensity of this band is expected to be a good indicator of the number of [Py]I contact ion pairs in solution and can be used as a probe for the amount of ion-pairing in low and high polarity liquids. Bagchi,</w:t>
      </w:r>
      <w:r w:rsidRPr="009A369B">
        <w:rPr>
          <w:vertAlign w:val="superscript"/>
        </w:rPr>
        <w:t>1</w:t>
      </w:r>
      <w:r w:rsidR="00B812E7">
        <w:rPr>
          <w:vertAlign w:val="superscript"/>
        </w:rPr>
        <w:t>5</w:t>
      </w:r>
      <w:r w:rsidRPr="009A369B">
        <w:rPr>
          <w:vertAlign w:val="superscript"/>
        </w:rPr>
        <w:t xml:space="preserve"> </w:t>
      </w:r>
      <w:r w:rsidRPr="009A369B">
        <w:t>and Hemmes and co-workers</w:t>
      </w:r>
      <w:r w:rsidRPr="009A369B">
        <w:rPr>
          <w:vertAlign w:val="superscript"/>
        </w:rPr>
        <w:t>1</w:t>
      </w:r>
      <w:r w:rsidR="00B812E7">
        <w:rPr>
          <w:vertAlign w:val="superscript"/>
        </w:rPr>
        <w:t>6</w:t>
      </w:r>
      <w:r w:rsidRPr="009A369B">
        <w:t xml:space="preserve"> both reported </w:t>
      </w:r>
    </w:p>
    <w:p w:rsidR="00F31415" w:rsidRDefault="009A369B" w:rsidP="003F4A2D">
      <w:pPr>
        <w:pStyle w:val="08ArticleText"/>
      </w:pPr>
      <w:r w:rsidRPr="009A369B">
        <w:t xml:space="preserve">evidence for the presence of solvent-separated ion pairs (an ion pair with a single molecule of solvent between the ions, SSIP) in the molecular solutions of </w:t>
      </w:r>
      <w:r w:rsidRPr="009A369B">
        <w:rPr>
          <w:i/>
        </w:rPr>
        <w:t>N</w:t>
      </w:r>
      <w:r w:rsidRPr="009A369B">
        <w:t xml:space="preserve">-alkylpyridinium iodide. Binder </w:t>
      </w:r>
      <w:r w:rsidRPr="009A369B">
        <w:rPr>
          <w:i/>
        </w:rPr>
        <w:t xml:space="preserve">et al. </w:t>
      </w:r>
      <w:r w:rsidRPr="009A369B">
        <w:t>also showed the presence of solvent separated ion-pairs in solutions of 1-alkyl-(4-cyanopyridinium) iodide.</w:t>
      </w:r>
      <w:r w:rsidRPr="009A369B">
        <w:rPr>
          <w:vertAlign w:val="superscript"/>
        </w:rPr>
        <w:t>1</w:t>
      </w:r>
      <w:r w:rsidR="00FF39D7">
        <w:rPr>
          <w:vertAlign w:val="superscript"/>
        </w:rPr>
        <w:t>7</w:t>
      </w:r>
      <w:r w:rsidRPr="009A369B">
        <w:t xml:space="preserve"> Since a solvent separated </w:t>
      </w:r>
      <w:r w:rsidRPr="00DB65C7">
        <w:t>ion pair cannot lead to charge transfer, both of the following equilibria must be considered for the</w:t>
      </w:r>
      <w:r w:rsidR="004D63AC">
        <w:t xml:space="preserve"> closely related Kosower’s salt, as in Scheme 1.</w:t>
      </w:r>
    </w:p>
    <w:p w:rsidR="00F31415" w:rsidRPr="00DB65C7" w:rsidRDefault="00F31415" w:rsidP="003F4A2D">
      <w:pPr>
        <w:pStyle w:val="08ArticleText"/>
      </w:pPr>
    </w:p>
    <w:p w:rsidR="00F31415" w:rsidRDefault="00F31415" w:rsidP="00F31415">
      <w:pPr>
        <w:pStyle w:val="G1aFigureImage"/>
      </w:pPr>
      <w:r>
        <w:object w:dxaOrig="5084" w:dyaOrig="91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5.5pt;height:31.5pt" o:ole="" o:allowoverlap="f">
            <v:imagedata r:id="rId17" o:title=""/>
          </v:shape>
          <o:OLEObject Type="Embed" ProgID="ChemDraw.Document.6.0" ShapeID="_x0000_i1025" DrawAspect="Content" ObjectID="_1405941918" r:id="rId18"/>
        </w:object>
      </w:r>
    </w:p>
    <w:p w:rsidR="00F31415" w:rsidRPr="00F31415" w:rsidRDefault="00F31415" w:rsidP="00F31415">
      <w:pPr>
        <w:pStyle w:val="G1bFigureCaption"/>
      </w:pPr>
      <w:r>
        <w:rPr>
          <w:b/>
        </w:rPr>
        <w:t>Scheme 1</w:t>
      </w:r>
    </w:p>
    <w:p w:rsidR="009A369B" w:rsidRDefault="009A369B" w:rsidP="003F4A2D">
      <w:pPr>
        <w:pStyle w:val="08ArticleText"/>
      </w:pPr>
      <w:r w:rsidRPr="00DB65C7">
        <w:t>Since Kosower’s salt in solution can exist as a contact ion pair, a solvent separated ion pair, or separate discrete solvated ions (</w:t>
      </w:r>
      <w:r w:rsidR="00F31415">
        <w:t>Scheme</w:t>
      </w:r>
      <w:r w:rsidRPr="00DB65C7">
        <w:t xml:space="preserve"> 1), the concentration of spectroscopically active contact ion pairs (CIP) can be related</w:t>
      </w:r>
      <w:r w:rsidRPr="009A369B">
        <w:t xml:space="preserve"> to the total amount of Kosower’s salt added (C</w:t>
      </w:r>
      <w:r w:rsidRPr="009A369B">
        <w:rPr>
          <w:vertAlign w:val="subscript"/>
        </w:rPr>
        <w:t>0</w:t>
      </w:r>
      <w:r w:rsidRPr="009A369B">
        <w:t>, see supplementary information for derivation):</w:t>
      </w:r>
    </w:p>
    <w:p w:rsidR="00F31415" w:rsidRDefault="008D7469" w:rsidP="00F31415">
      <w:pPr>
        <w:pStyle w:val="G3SingleColumnEquation"/>
      </w:pPr>
      <w:r w:rsidRPr="00B44E82">
        <w:rPr>
          <w:position w:val="-12"/>
        </w:rPr>
        <w:object w:dxaOrig="3400" w:dyaOrig="380">
          <v:shape id="_x0000_i1026" type="#_x0000_t75" style="width:182.25pt;height:20.25pt" o:ole="" o:allowoverlap="f">
            <v:imagedata r:id="rId19" o:title=""/>
          </v:shape>
          <o:OLEObject Type="Embed" ProgID="Equation.3" ShapeID="_x0000_i1026" DrawAspect="Content" ObjectID="_1405941919" r:id="rId20"/>
        </w:object>
      </w:r>
      <w:r w:rsidR="00F31415">
        <w:tab/>
        <w:t>(1)</w:t>
      </w:r>
    </w:p>
    <w:p w:rsidR="009A369B" w:rsidRPr="009A369B" w:rsidRDefault="009A369B" w:rsidP="003F4A2D">
      <w:pPr>
        <w:pStyle w:val="08ArticleText"/>
      </w:pPr>
      <w:r w:rsidRPr="00DB65C7">
        <w:t xml:space="preserve">Where </w:t>
      </w:r>
      <w:r w:rsidRPr="00DB65C7">
        <w:rPr>
          <w:i/>
        </w:rPr>
        <w:t>K</w:t>
      </w:r>
      <w:r w:rsidRPr="00DB65C7">
        <w:rPr>
          <w:vertAlign w:val="subscript"/>
        </w:rPr>
        <w:t>1</w:t>
      </w:r>
      <w:r w:rsidRPr="00DB65C7">
        <w:t xml:space="preserve"> and </w:t>
      </w:r>
      <w:r w:rsidRPr="00DB65C7">
        <w:rPr>
          <w:i/>
        </w:rPr>
        <w:t>K</w:t>
      </w:r>
      <w:r w:rsidRPr="00DB65C7">
        <w:rPr>
          <w:vertAlign w:val="subscript"/>
        </w:rPr>
        <w:t>2</w:t>
      </w:r>
      <w:r w:rsidRPr="00DB65C7">
        <w:t xml:space="preserve"> are</w:t>
      </w:r>
      <w:r w:rsidRPr="009A369B">
        <w:t xml:space="preserve"> the equilibrium constants for each successive step </w:t>
      </w:r>
      <w:r w:rsidR="00F31415">
        <w:t>in Scheme</w:t>
      </w:r>
      <w:r w:rsidRPr="009A369B">
        <w:t xml:space="preserve"> 1.</w:t>
      </w:r>
    </w:p>
    <w:p w:rsidR="009A369B" w:rsidRDefault="009A369B" w:rsidP="003F4A2D">
      <w:pPr>
        <w:pStyle w:val="08ArticleText"/>
      </w:pPr>
      <w:r w:rsidRPr="009A369B">
        <w:tab/>
        <w:t xml:space="preserve">Experimentally, the absorbance (A) of a spectroscopically active species is proportional to the concentration of that species in solution </w:t>
      </w:r>
      <w:r w:rsidRPr="009A369B">
        <w:rPr>
          <w:i/>
        </w:rPr>
        <w:t>via</w:t>
      </w:r>
      <w:r w:rsidRPr="009A369B">
        <w:t xml:space="preserve"> the Beer-Lambert law (equation </w:t>
      </w:r>
      <w:r w:rsidR="00F31415">
        <w:t>2</w:t>
      </w:r>
      <w:r w:rsidRPr="009A369B">
        <w:t>), where ε is the molar extinction coefficient, and l is the path length of the spectrophotometric cell.  For most molecular solutes, ε is constant across a very wide concentration range, as the absorbance of an isolated molecule is not dependent upon its concentration.</w:t>
      </w:r>
    </w:p>
    <w:p w:rsidR="00F31415" w:rsidRDefault="00F31415" w:rsidP="00F31415">
      <w:pPr>
        <w:pStyle w:val="G3SingleColumnEquation"/>
      </w:pPr>
      <w:r>
        <w:tab/>
      </w:r>
      <w:r w:rsidRPr="00DB65C7">
        <w:rPr>
          <w:position w:val="-6"/>
        </w:rPr>
        <w:object w:dxaOrig="820" w:dyaOrig="279">
          <v:shape id="_x0000_i1027" type="#_x0000_t75" style="width:41.25pt;height:14.25pt" o:ole="">
            <v:imagedata r:id="rId21" o:title=""/>
          </v:shape>
          <o:OLEObject Type="Embed" ProgID="Equation.3" ShapeID="_x0000_i1027" DrawAspect="Content" ObjectID="_1405941920" r:id="rId22"/>
        </w:object>
      </w:r>
      <w:r>
        <w:tab/>
        <w:t>(2)</w:t>
      </w:r>
    </w:p>
    <w:p w:rsidR="000508F1" w:rsidRDefault="00F31415" w:rsidP="003F4A2D">
      <w:pPr>
        <w:pStyle w:val="08ArticleText"/>
      </w:pPr>
      <w:r>
        <w:tab/>
      </w:r>
      <w:r w:rsidR="000508F1" w:rsidRPr="000508F1">
        <w:t>In using Kosower’s salt, only the contact ion pairs will give rise to absorbance and hence the total concentration of the salt added (C</w:t>
      </w:r>
      <w:r w:rsidR="000508F1" w:rsidRPr="000508F1">
        <w:rPr>
          <w:vertAlign w:val="subscript"/>
        </w:rPr>
        <w:t>0</w:t>
      </w:r>
      <w:r w:rsidR="000508F1" w:rsidRPr="000508F1">
        <w:t>) can differ from the concentration of the contact ion pairs C</w:t>
      </w:r>
      <w:r w:rsidR="000508F1" w:rsidRPr="000508F1">
        <w:rPr>
          <w:vertAlign w:val="subscript"/>
        </w:rPr>
        <w:t>CIP</w:t>
      </w:r>
      <w:r w:rsidR="000508F1" w:rsidRPr="000508F1">
        <w:t>, and it is only the concentration of contact ion pairs that is directly proportional to the absorbance of the charge transfer band. For an individual measurement, however, one can calculate an extinction coefficient, ε</w:t>
      </w:r>
      <w:r w:rsidR="000508F1" w:rsidRPr="000508F1">
        <w:rPr>
          <w:vertAlign w:val="subscript"/>
        </w:rPr>
        <w:t>app</w:t>
      </w:r>
      <w:r w:rsidR="000508F1" w:rsidRPr="000508F1">
        <w:t>, (not a molar absorptivity of CIP, because the concentration of these is unknown) from the ratio of the absorbance to the total concentration of salt. In low polarity molecular solvents, such as chloroform, the observed extinction coefficient ε</w:t>
      </w:r>
      <w:r w:rsidR="000508F1" w:rsidRPr="000508F1">
        <w:rPr>
          <w:vertAlign w:val="subscript"/>
        </w:rPr>
        <w:t>app</w:t>
      </w:r>
      <w:r w:rsidR="000508F1" w:rsidRPr="000508F1">
        <w:t xml:space="preserve"> can reach values as high as 1400 L mol</w:t>
      </w:r>
      <w:r w:rsidR="000508F1" w:rsidRPr="000508F1">
        <w:rPr>
          <w:vertAlign w:val="superscript"/>
        </w:rPr>
        <w:t>-1</w:t>
      </w:r>
      <w:r w:rsidR="000508F1" w:rsidRPr="000508F1">
        <w:t xml:space="preserve"> cm</w:t>
      </w:r>
      <w:r w:rsidR="000508F1" w:rsidRPr="000508F1">
        <w:rPr>
          <w:vertAlign w:val="superscript"/>
        </w:rPr>
        <w:t>-1</w:t>
      </w:r>
      <w:r w:rsidR="000508F1" w:rsidRPr="000508F1">
        <w:t>. In high polarity solvents, such as methanol, this value drops to 30 L mol</w:t>
      </w:r>
      <w:r w:rsidR="000508F1" w:rsidRPr="000508F1">
        <w:rPr>
          <w:vertAlign w:val="superscript"/>
        </w:rPr>
        <w:t>-1</w:t>
      </w:r>
      <w:r w:rsidR="000508F1" w:rsidRPr="000508F1">
        <w:t xml:space="preserve"> cm</w:t>
      </w:r>
      <w:r w:rsidR="000508F1" w:rsidRPr="000508F1">
        <w:rPr>
          <w:vertAlign w:val="superscript"/>
        </w:rPr>
        <w:t>-1</w:t>
      </w:r>
      <w:r w:rsidR="000508F1" w:rsidRPr="000508F1">
        <w:t>.</w:t>
      </w:r>
      <w:r w:rsidR="000508F1" w:rsidRPr="000508F1">
        <w:rPr>
          <w:vertAlign w:val="superscript"/>
        </w:rPr>
        <w:t>1</w:t>
      </w:r>
      <w:r w:rsidR="00B812E7">
        <w:rPr>
          <w:vertAlign w:val="superscript"/>
        </w:rPr>
        <w:t>4</w:t>
      </w:r>
      <w:r w:rsidR="000508F1" w:rsidRPr="000508F1">
        <w:t xml:space="preserve"> This indicates a higher concentration of contact ion pairs in the low polarity solvent and a lower concentration of ion pairs in the high polarity (or more dissociating) solvent, for any given amount of added Kosower’s salt. This is usually well modelled using the liquid’s dielectric constant.</w:t>
      </w:r>
      <w:r w:rsidR="000508F1" w:rsidRPr="000508F1">
        <w:rPr>
          <w:vertAlign w:val="superscript"/>
        </w:rPr>
        <w:t>1</w:t>
      </w:r>
      <w:r w:rsidR="00B812E7">
        <w:rPr>
          <w:vertAlign w:val="superscript"/>
        </w:rPr>
        <w:t>4</w:t>
      </w:r>
      <w:r w:rsidR="000508F1" w:rsidRPr="000508F1">
        <w:t xml:space="preserve"> Here, we report the ion association/dissociation behaviour of 1-ethyl-4-(methoxycarbonyl)pyridinium iodide in a number of ionic and molecular liquids and with the aid of mathematical and computational modelling provide insight into the polarity of and extent of ion-pairing in ionic liquids.</w:t>
      </w:r>
    </w:p>
    <w:p w:rsidR="000508F1" w:rsidRDefault="000508F1" w:rsidP="00C14849">
      <w:pPr>
        <w:pStyle w:val="04AHeading"/>
      </w:pPr>
      <w:r w:rsidRPr="000508F1">
        <w:t>Results</w:t>
      </w:r>
    </w:p>
    <w:p w:rsidR="00C73DEA" w:rsidRDefault="000508F1" w:rsidP="003F4A2D">
      <w:pPr>
        <w:pStyle w:val="08ArticleText"/>
      </w:pPr>
      <w:r w:rsidRPr="000508F1">
        <w:t xml:space="preserve">The first point of note is that we do observe a spectrum for Kosower’s salt in all of the ionic liquids that we tested. This is in complete contradiction to our expectation from our previous kinetics results. The positions of the absorption maxima of these spectra yield the </w:t>
      </w:r>
      <w:r w:rsidRPr="000508F1">
        <w:rPr>
          <w:i/>
        </w:rPr>
        <w:t>Z</w:t>
      </w:r>
      <w:r w:rsidRPr="000508F1">
        <w:t xml:space="preserve">-values. In molecular liquids, the </w:t>
      </w:r>
      <w:r w:rsidRPr="000508F1">
        <w:rPr>
          <w:i/>
        </w:rPr>
        <w:t>Z</w:t>
      </w:r>
      <w:r w:rsidRPr="000508F1">
        <w:t xml:space="preserve">-values depend somewhat upon the salt concentration - the lower </w:t>
      </w:r>
      <w:r w:rsidRPr="000508F1">
        <w:rPr>
          <w:i/>
        </w:rPr>
        <w:t>Z</w:t>
      </w:r>
      <w:r w:rsidRPr="000508F1">
        <w:t>, the greater its sensitivity to concentration.</w:t>
      </w:r>
      <w:r w:rsidRPr="000508F1">
        <w:rPr>
          <w:vertAlign w:val="superscript"/>
        </w:rPr>
        <w:t>1</w:t>
      </w:r>
      <w:r w:rsidR="00B812E7">
        <w:rPr>
          <w:vertAlign w:val="superscript"/>
        </w:rPr>
        <w:t>4</w:t>
      </w:r>
      <w:r w:rsidRPr="000508F1">
        <w:t xml:space="preserve"> For instance, a substantial change was observed in 1,2-dichloroethane in which the </w:t>
      </w:r>
      <w:r w:rsidRPr="000508F1">
        <w:rPr>
          <w:i/>
        </w:rPr>
        <w:t>Z</w:t>
      </w:r>
      <w:r w:rsidRPr="000508F1">
        <w:t xml:space="preserve">-values changed from 63.3 kcal/mol at 0.2 mM to 65.1 kcal/mol at 20 mM. No, or small, effects were found in more </w:t>
      </w:r>
    </w:p>
    <w:p w:rsidR="00C73DEA" w:rsidRDefault="00C73DEA" w:rsidP="00C73DEA">
      <w:pPr>
        <w:pStyle w:val="G1aFigureImage"/>
      </w:pPr>
      <w:r w:rsidRPr="008D7469">
        <w:rPr>
          <w:noProof/>
        </w:rPr>
        <w:lastRenderedPageBreak/>
        <w:drawing>
          <wp:inline distT="0" distB="0" distL="0" distR="0">
            <wp:extent cx="3024505" cy="1867169"/>
            <wp:effectExtent l="19050" t="0" r="4445" b="0"/>
            <wp:docPr id="15"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 cstate="print"/>
                    <a:srcRect/>
                    <a:stretch>
                      <a:fillRect/>
                    </a:stretch>
                  </pic:blipFill>
                  <pic:spPr bwMode="auto">
                    <a:xfrm>
                      <a:off x="0" y="0"/>
                      <a:ext cx="3024505" cy="1867169"/>
                    </a:xfrm>
                    <a:prstGeom prst="rect">
                      <a:avLst/>
                    </a:prstGeom>
                    <a:noFill/>
                    <a:ln w="9525">
                      <a:noFill/>
                      <a:miter lim="800000"/>
                      <a:headEnd/>
                      <a:tailEnd/>
                    </a:ln>
                  </pic:spPr>
                </pic:pic>
              </a:graphicData>
            </a:graphic>
          </wp:inline>
        </w:drawing>
      </w:r>
    </w:p>
    <w:p w:rsidR="00C73DEA" w:rsidRPr="00F31415" w:rsidRDefault="00C73DEA" w:rsidP="00C73DEA">
      <w:pPr>
        <w:pStyle w:val="G1bFigureCaption"/>
      </w:pPr>
      <w:r>
        <w:rPr>
          <w:b/>
        </w:rPr>
        <w:t>Figure 2</w:t>
      </w:r>
      <w:r>
        <w:t xml:space="preserve"> </w:t>
      </w:r>
      <w:r w:rsidRPr="00F31415">
        <w:t>Apparent molar extinction coefficient, ε</w:t>
      </w:r>
      <w:r w:rsidRPr="008D7469">
        <w:rPr>
          <w:vertAlign w:val="subscript"/>
        </w:rPr>
        <w:t>app</w:t>
      </w:r>
      <w:r w:rsidRPr="00F31415">
        <w:t>, as a function of total concentration of 1-ethyl-4-(methoxycarbonyl)pyridinium iodide in various solvents. For clarity the results for only three of the ionic liquids are shown. For molecular solvents measurements were made up to the saturation concentration of Kosower’s salt.</w:t>
      </w:r>
    </w:p>
    <w:p w:rsidR="000508F1" w:rsidRPr="000508F1" w:rsidRDefault="000508F1" w:rsidP="003F4A2D">
      <w:pPr>
        <w:pStyle w:val="08ArticleText"/>
      </w:pPr>
      <w:r w:rsidRPr="000508F1">
        <w:t>polar liquids (</w:t>
      </w:r>
      <w:r w:rsidRPr="000508F1">
        <w:rPr>
          <w:i/>
        </w:rPr>
        <w:t>e.g</w:t>
      </w:r>
      <w:r w:rsidRPr="000508F1">
        <w:t xml:space="preserve">. in 1-butanol and acetonitrile), but overall </w:t>
      </w:r>
      <w:r w:rsidRPr="000508F1">
        <w:rPr>
          <w:i/>
        </w:rPr>
        <w:t>Z</w:t>
      </w:r>
      <w:r w:rsidRPr="000508F1">
        <w:t xml:space="preserve"> and thus polarity only increase with concentration in molecular solvents.  In contrast, the </w:t>
      </w:r>
      <w:r w:rsidRPr="000508F1">
        <w:rPr>
          <w:i/>
        </w:rPr>
        <w:t>Z</w:t>
      </w:r>
      <w:r w:rsidRPr="000508F1">
        <w:t xml:space="preserve">-values of the ionic liquids show a small, but perceptible decrease when more Kosower’s salt is added. Consequently, comparisons of </w:t>
      </w:r>
      <w:r w:rsidRPr="000508F1">
        <w:rPr>
          <w:i/>
        </w:rPr>
        <w:t>Z</w:t>
      </w:r>
      <w:r w:rsidRPr="000508F1">
        <w:t>-values for different solvents must be made at a fixed concentration.</w:t>
      </w:r>
    </w:p>
    <w:p w:rsidR="000508F1" w:rsidRPr="00C14849" w:rsidRDefault="00C14849" w:rsidP="003F4A2D">
      <w:pPr>
        <w:pStyle w:val="08ArticleText"/>
      </w:pPr>
      <w:r w:rsidRPr="00C14849">
        <w:t xml:space="preserve">Our common ionic liquids have </w:t>
      </w:r>
      <w:r w:rsidRPr="00C14849">
        <w:rPr>
          <w:i/>
        </w:rPr>
        <w:t>Z</w:t>
      </w:r>
      <w:r w:rsidRPr="00C14849">
        <w:t>-values in the range of 72.7-76.5 (</w:t>
      </w:r>
      <w:r w:rsidRPr="00F31415">
        <w:t>Table 1</w:t>
      </w:r>
      <w:r w:rsidRPr="00C14849">
        <w:t>), which is generally lower than those of polar protic liquids (</w:t>
      </w:r>
      <w:r w:rsidRPr="00C14849">
        <w:rPr>
          <w:i/>
        </w:rPr>
        <w:t>e.g</w:t>
      </w:r>
      <w:r w:rsidRPr="00C14849">
        <w:t>. 1-butanol) and higher than polar non-hydrogen-bonding liquids (</w:t>
      </w:r>
      <w:r w:rsidRPr="00C14849">
        <w:rPr>
          <w:i/>
        </w:rPr>
        <w:t>e.g</w:t>
      </w:r>
      <w:r w:rsidRPr="00C14849">
        <w:t xml:space="preserve">. acetonitrile). Regression was made for </w:t>
      </w:r>
      <w:r w:rsidRPr="00C14849">
        <w:rPr>
          <w:i/>
        </w:rPr>
        <w:t>Z</w:t>
      </w:r>
      <w:r w:rsidRPr="00C14849">
        <w:t xml:space="preserve"> data, which was found to correlate well with Kamlet-Taft solvatochromic parameters α (hydrogen bond donation ability), β (hydrogen bond accepting ability) and π* (dipolarity/polarisability). Common ionic liquids have lower α than polar protic liquids but higher α than polar non-hydrogen-bonding liquids, hence their Z-values are in this range. Similar conclusions have been drawn from other studies of the polarities of ionic liquids, using molecular probes.</w:t>
      </w:r>
      <w:r w:rsidRPr="00C14849">
        <w:rPr>
          <w:vertAlign w:val="superscript"/>
        </w:rPr>
        <w:t>2</w:t>
      </w:r>
      <w:r w:rsidR="009511D3">
        <w:rPr>
          <w:vertAlign w:val="superscript"/>
        </w:rPr>
        <w:t>0</w:t>
      </w:r>
    </w:p>
    <w:p w:rsidR="006F2F18" w:rsidRDefault="006F2F18" w:rsidP="006F2F18">
      <w:pPr>
        <w:pStyle w:val="05BHeading"/>
      </w:pPr>
      <w:r w:rsidRPr="006F2F18">
        <w:t>Absorptivity</w:t>
      </w:r>
    </w:p>
    <w:p w:rsidR="00C73DEA" w:rsidRDefault="006F2F18" w:rsidP="00C73DEA">
      <w:pPr>
        <w:pStyle w:val="08ArticleText"/>
      </w:pPr>
      <w:r w:rsidRPr="006F2F18">
        <w:t xml:space="preserve">While the ionic liquids give unremarkable </w:t>
      </w:r>
      <w:r w:rsidRPr="006F2F18">
        <w:rPr>
          <w:i/>
        </w:rPr>
        <w:t>Z</w:t>
      </w:r>
      <w:r w:rsidRPr="006F2F18">
        <w:t xml:space="preserve">-values, the absorptivities of their solutions of Kosower’s salt behave very differently to those of </w:t>
      </w:r>
      <w:r w:rsidRPr="00721B6C">
        <w:t>solutions of [Py]I in molecular solvents (see Figure 2). For a sufficiently low polarity molecular liquid, a horizontal line with high ε</w:t>
      </w:r>
      <w:r w:rsidRPr="00721B6C">
        <w:rPr>
          <w:vertAlign w:val="subscript"/>
        </w:rPr>
        <w:t>app</w:t>
      </w:r>
      <w:r w:rsidRPr="00721B6C">
        <w:t xml:space="preserve"> would be obtained if all of the ions were paired at all concentrations and, therefore, are spectroscopically active (C</w:t>
      </w:r>
      <w:r w:rsidRPr="00721B6C">
        <w:rPr>
          <w:vertAlign w:val="subscript"/>
        </w:rPr>
        <w:t>0</w:t>
      </w:r>
      <w:r w:rsidRPr="00721B6C">
        <w:t xml:space="preserve"> = C</w:t>
      </w:r>
      <w:r w:rsidRPr="00721B6C">
        <w:rPr>
          <w:vertAlign w:val="subscript"/>
        </w:rPr>
        <w:t>CIP</w:t>
      </w:r>
      <w:r w:rsidRPr="00721B6C">
        <w:t>). However, in both polar and non-polar molecular solvents, Kosower has shown that a curve is normally obtained.</w:t>
      </w:r>
      <w:r w:rsidRPr="00721B6C">
        <w:rPr>
          <w:vertAlign w:val="superscript"/>
        </w:rPr>
        <w:t>1</w:t>
      </w:r>
      <w:r w:rsidR="00B812E7">
        <w:rPr>
          <w:vertAlign w:val="superscript"/>
        </w:rPr>
        <w:t>4</w:t>
      </w:r>
      <w:r w:rsidRPr="00721B6C">
        <w:t xml:space="preserve"> The straight lines obtained for this selection of ionic liquids are, therefore, highly unusual. The slopes (585, 682, 705, 759, 823, 849) increase in order of increasing ionic liquid molar volume; indicating the different ratios of solute to solvent ions in these solutions. According to Weingärtner,</w:t>
      </w:r>
      <w:r w:rsidRPr="00721B6C">
        <w:rPr>
          <w:vertAlign w:val="superscript"/>
        </w:rPr>
        <w:t>1</w:t>
      </w:r>
      <w:r w:rsidR="00C34CFC">
        <w:rPr>
          <w:vertAlign w:val="superscript"/>
        </w:rPr>
        <w:t>1</w:t>
      </w:r>
      <w:r w:rsidRPr="00721B6C">
        <w:t xml:space="preserve"> the dielectric constants of the ionic liquids used in this study lie in the range of 10-15, which is in between the values of 1,2-dichloroethane and 1-butanol. Our experimental results clearly indicate that the usual correlation found between the dielectric</w:t>
      </w:r>
      <w:r w:rsidR="00C73DEA">
        <w:t xml:space="preserve"> </w:t>
      </w:r>
      <w:r w:rsidRPr="00721B6C">
        <w:t xml:space="preserve"> </w:t>
      </w:r>
    </w:p>
    <w:p w:rsidR="008D7469" w:rsidRPr="008D7469" w:rsidRDefault="006F2F18" w:rsidP="00C73DEA">
      <w:pPr>
        <w:pStyle w:val="08ArticleText"/>
      </w:pPr>
      <w:r w:rsidRPr="00721B6C">
        <w:t>constants and degree of ion contact for molecular solvents,</w:t>
      </w:r>
      <w:r w:rsidRPr="00721B6C">
        <w:rPr>
          <w:vertAlign w:val="superscript"/>
        </w:rPr>
        <w:t>2</w:t>
      </w:r>
      <w:r w:rsidRPr="00721B6C">
        <w:t xml:space="preserve"> does </w:t>
      </w:r>
    </w:p>
    <w:p w:rsidR="000508F1" w:rsidRPr="00721B6C" w:rsidRDefault="006F2F18" w:rsidP="00721B6C">
      <w:pPr>
        <w:pStyle w:val="08ArticleText"/>
      </w:pPr>
      <w:r w:rsidRPr="00721B6C">
        <w:t>not hold for ionic liquids.</w:t>
      </w:r>
    </w:p>
    <w:p w:rsidR="00C73DEA" w:rsidRDefault="006F2F18" w:rsidP="00721B6C">
      <w:pPr>
        <w:pStyle w:val="08ArticleText"/>
        <w:rPr>
          <w:rStyle w:val="Emphasis"/>
          <w:b w:val="0"/>
          <w:color w:val="000000"/>
        </w:rPr>
      </w:pPr>
      <w:r w:rsidRPr="00721B6C">
        <w:rPr>
          <w:rStyle w:val="Emphasis"/>
          <w:b w:val="0"/>
          <w:color w:val="000000"/>
        </w:rPr>
        <w:tab/>
        <w:t xml:space="preserve">The observation of a weak absorption band for solutions of Kosower’s salt in ionic liquids clearly shows that some, but not </w:t>
      </w:r>
    </w:p>
    <w:p w:rsidR="00C73DEA" w:rsidRDefault="00C73DEA" w:rsidP="00C73DEA">
      <w:pPr>
        <w:pStyle w:val="G1aFigureImage"/>
      </w:pPr>
      <w:r w:rsidRPr="008D7469">
        <w:rPr>
          <w:noProof/>
        </w:rPr>
        <w:drawing>
          <wp:inline distT="0" distB="0" distL="0" distR="0">
            <wp:extent cx="3024505" cy="1129815"/>
            <wp:effectExtent l="0" t="0" r="4445" b="0"/>
            <wp:docPr id="14"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 cstate="print"/>
                    <a:srcRect/>
                    <a:stretch>
                      <a:fillRect/>
                    </a:stretch>
                  </pic:blipFill>
                  <pic:spPr bwMode="auto">
                    <a:xfrm>
                      <a:off x="0" y="0"/>
                      <a:ext cx="3024505" cy="1129815"/>
                    </a:xfrm>
                    <a:prstGeom prst="rect">
                      <a:avLst/>
                    </a:prstGeom>
                    <a:noFill/>
                    <a:ln w="9525">
                      <a:noFill/>
                      <a:miter lim="800000"/>
                      <a:headEnd/>
                      <a:tailEnd/>
                    </a:ln>
                  </pic:spPr>
                </pic:pic>
              </a:graphicData>
            </a:graphic>
          </wp:inline>
        </w:drawing>
      </w:r>
    </w:p>
    <w:p w:rsidR="00C73DEA" w:rsidRPr="008D7469" w:rsidRDefault="00C73DEA" w:rsidP="00C73DEA">
      <w:pPr>
        <w:pStyle w:val="G1bFigureCaption"/>
      </w:pPr>
      <w:r>
        <w:rPr>
          <w:b/>
        </w:rPr>
        <w:t>Figure 3</w:t>
      </w:r>
      <w:r>
        <w:t xml:space="preserve"> </w:t>
      </w:r>
      <w:r w:rsidRPr="008D7469">
        <w:t>Schematic of Kosower’s salt solvated as (left) an ion contact or (right) non-contact.</w:t>
      </w:r>
    </w:p>
    <w:p w:rsidR="000508F1" w:rsidRPr="00721B6C" w:rsidRDefault="00C73DEA" w:rsidP="00721B6C">
      <w:pPr>
        <w:pStyle w:val="08ArticleText"/>
      </w:pPr>
      <w:r>
        <w:rPr>
          <w:rStyle w:val="Emphasis"/>
          <w:b w:val="0"/>
          <w:color w:val="000000"/>
        </w:rPr>
        <w:t>a</w:t>
      </w:r>
      <w:r w:rsidR="006F2F18" w:rsidRPr="00721B6C">
        <w:rPr>
          <w:rStyle w:val="Emphasis"/>
          <w:b w:val="0"/>
          <w:color w:val="000000"/>
        </w:rPr>
        <w:t xml:space="preserve">ll, of its </w:t>
      </w:r>
      <w:r w:rsidR="006F2F18" w:rsidRPr="00721B6C">
        <w:t>pyridinium cations</w:t>
      </w:r>
      <w:r w:rsidR="006F2F18" w:rsidRPr="00721B6C">
        <w:rPr>
          <w:rStyle w:val="Emphasis"/>
          <w:b w:val="0"/>
          <w:color w:val="000000"/>
        </w:rPr>
        <w:t xml:space="preserve"> are in direct contact with iodide anions, but no model involving any equilibria between ion pairs and free ions can give rise to a linear dependence of ε</w:t>
      </w:r>
      <w:r w:rsidR="006F2F18" w:rsidRPr="00721B6C">
        <w:rPr>
          <w:rStyle w:val="Emphasis"/>
          <w:b w:val="0"/>
          <w:color w:val="000000"/>
          <w:vertAlign w:val="subscript"/>
        </w:rPr>
        <w:t>app</w:t>
      </w:r>
      <w:r w:rsidR="006F2F18" w:rsidRPr="00721B6C">
        <w:rPr>
          <w:rStyle w:val="Emphasis"/>
          <w:b w:val="0"/>
          <w:color w:val="000000"/>
        </w:rPr>
        <w:t xml:space="preserve"> on total concentration. Consequently, some other model is required to explain these observations.</w:t>
      </w:r>
    </w:p>
    <w:p w:rsidR="006F2F18" w:rsidRPr="00721B6C" w:rsidRDefault="006F2F18" w:rsidP="00721B6C">
      <w:pPr>
        <w:pStyle w:val="05BHeading"/>
      </w:pPr>
      <w:r w:rsidRPr="00721B6C">
        <w:t>Liquid pseudo-lattice model</w:t>
      </w:r>
    </w:p>
    <w:p w:rsidR="00721B6C" w:rsidRDefault="006F2F18" w:rsidP="00721B6C">
      <w:pPr>
        <w:pStyle w:val="08ArticleText"/>
      </w:pPr>
      <w:r w:rsidRPr="00721B6C">
        <w:rPr>
          <w:rStyle w:val="Emphasis"/>
          <w:b w:val="0"/>
          <w:color w:val="000000"/>
        </w:rPr>
        <w:t>The experimentally observed linear relationship between ε</w:t>
      </w:r>
      <w:r w:rsidRPr="00721B6C">
        <w:rPr>
          <w:rStyle w:val="Emphasis"/>
          <w:b w:val="0"/>
          <w:color w:val="000000"/>
          <w:vertAlign w:val="subscript"/>
        </w:rPr>
        <w:t>app</w:t>
      </w:r>
      <w:r w:rsidRPr="00721B6C">
        <w:rPr>
          <w:rStyle w:val="Emphasis"/>
          <w:b w:val="0"/>
          <w:color w:val="000000"/>
        </w:rPr>
        <w:t xml:space="preserve"> and total Kosower’s salt concentration implies that the probability of a direct contact between ions of Kosower’s salt is dependent only on the concentration of these ions.  This behavior is indicative of statistically random ion contacts, rather than solvated ion pairs, </w:t>
      </w:r>
      <w:r w:rsidRPr="00721B6C">
        <w:rPr>
          <w:rStyle w:val="Emphasis"/>
          <w:b w:val="0"/>
          <w:i/>
          <w:color w:val="000000"/>
        </w:rPr>
        <w:t>i.e</w:t>
      </w:r>
      <w:r w:rsidRPr="00721B6C">
        <w:rPr>
          <w:rStyle w:val="Emphasis"/>
          <w:b w:val="0"/>
          <w:color w:val="000000"/>
        </w:rPr>
        <w:t xml:space="preserve">., there is no attractive nor repulsive interaction leading to solute ion pairing. This led us to utilize a random ionic structure based on a lattice site model with zero site exchange energy (Figure 3). Using this model, at any concentration the statistical probability for the pyridinium and iodide ions to be located on adjacent lattice sites can be calculated.  </w:t>
      </w:r>
      <w:r w:rsidRPr="00721B6C">
        <w:t xml:space="preserve">Given that </w:t>
      </w:r>
      <w:r w:rsidRPr="00721B6C">
        <w:rPr>
          <w:i/>
        </w:rPr>
        <w:t>r</w:t>
      </w:r>
      <w:r w:rsidRPr="00721B6C">
        <w:t xml:space="preserve"> is the ratio of the total possible anion sites in the cybotactic shell of each pyridinium cation to the number of sites that give rise to an absorption, where m</w:t>
      </w:r>
      <w:r w:rsidRPr="00721B6C">
        <w:rPr>
          <w:vertAlign w:val="subscript"/>
        </w:rPr>
        <w:t>I</w:t>
      </w:r>
      <w:r w:rsidRPr="00721B6C">
        <w:t xml:space="preserve"> = number of iodide ions in the mixture and m</w:t>
      </w:r>
      <w:r w:rsidRPr="00721B6C">
        <w:rPr>
          <w:vertAlign w:val="subscript"/>
        </w:rPr>
        <w:t>T</w:t>
      </w:r>
      <w:r w:rsidRPr="00721B6C">
        <w:t xml:space="preserve"> = total number of anions in the mixture (calculated from the pure ionic liquid molar volume), then the probability of having at least one iodide anion in the solvent shell, P</w:t>
      </w:r>
      <w:r w:rsidRPr="00721B6C">
        <w:rPr>
          <w:vertAlign w:val="subscript"/>
        </w:rPr>
        <w:t>[Py]I</w:t>
      </w:r>
      <w:r w:rsidRPr="00721B6C">
        <w:t>, is (see supplementary information for derivation)</w:t>
      </w:r>
      <w:r w:rsidR="00721B6C" w:rsidRPr="00721B6C">
        <w:t>:</w:t>
      </w:r>
    </w:p>
    <w:p w:rsidR="008D7469" w:rsidRDefault="008D7469" w:rsidP="008D7469">
      <w:pPr>
        <w:pStyle w:val="G3SingleColumnEquation"/>
      </w:pPr>
      <w:r>
        <w:tab/>
      </w:r>
      <w:r w:rsidRPr="00B44E82">
        <w:rPr>
          <w:position w:val="-14"/>
        </w:rPr>
        <w:object w:dxaOrig="2460" w:dyaOrig="400">
          <v:shape id="_x0000_i1028" type="#_x0000_t75" style="width:133.5pt;height:21.75pt" o:ole="" o:allowoverlap="f">
            <v:imagedata r:id="rId25" o:title=""/>
          </v:shape>
          <o:OLEObject Type="Embed" ProgID="Equation.3" ShapeID="_x0000_i1028" DrawAspect="Content" ObjectID="_1405941921" r:id="rId26"/>
        </w:object>
      </w:r>
      <w:r>
        <w:tab/>
        <w:t>(3)</w:t>
      </w:r>
    </w:p>
    <w:p w:rsidR="00A81F6B" w:rsidRDefault="00721B6C" w:rsidP="00721B6C">
      <w:pPr>
        <w:pStyle w:val="08ArticleText"/>
      </w:pPr>
      <w:r>
        <w:tab/>
      </w:r>
      <w:r w:rsidR="00A81F6B">
        <w:t>For solutions</w:t>
      </w:r>
      <w:r w:rsidR="002B03B5">
        <w:t xml:space="preserve"> containing low concentrations of Kosower’s salt</w:t>
      </w:r>
      <w:r w:rsidR="00A81F6B">
        <w:t>, m</w:t>
      </w:r>
      <w:r w:rsidR="00A81F6B">
        <w:rPr>
          <w:vertAlign w:val="subscript"/>
        </w:rPr>
        <w:t>I</w:t>
      </w:r>
      <w:r w:rsidR="00A81F6B">
        <w:t xml:space="preserve"> &lt;&lt; m</w:t>
      </w:r>
      <w:r w:rsidR="00A81F6B">
        <w:rPr>
          <w:vertAlign w:val="subscript"/>
        </w:rPr>
        <w:t>T</w:t>
      </w:r>
      <w:r w:rsidR="00A81F6B">
        <w:t xml:space="preserve"> and this relationship will be approximately linear in m</w:t>
      </w:r>
      <w:r w:rsidR="00A81F6B">
        <w:rPr>
          <w:vertAlign w:val="subscript"/>
        </w:rPr>
        <w:t>I</w:t>
      </w:r>
      <w:r w:rsidR="00A81F6B">
        <w:t>/m</w:t>
      </w:r>
      <w:r w:rsidR="00A81F6B">
        <w:rPr>
          <w:vertAlign w:val="subscript"/>
        </w:rPr>
        <w:t>T</w:t>
      </w:r>
      <w:r w:rsidR="00A81F6B">
        <w:t>, and proportional to r.</w:t>
      </w:r>
    </w:p>
    <w:p w:rsidR="00721B6C" w:rsidRPr="00721B6C" w:rsidRDefault="00A81F6B" w:rsidP="00721B6C">
      <w:pPr>
        <w:pStyle w:val="08ArticleText"/>
        <w:rPr>
          <w:rStyle w:val="Emphasis"/>
          <w:b w:val="0"/>
          <w:color w:val="000000"/>
        </w:rPr>
      </w:pPr>
      <w:r>
        <w:tab/>
      </w:r>
      <w:r w:rsidR="00721B6C" w:rsidRPr="00721B6C">
        <w:t>The absorbance will now be proportional to P</w:t>
      </w:r>
      <w:r w:rsidR="00721B6C" w:rsidRPr="00721B6C">
        <w:rPr>
          <w:vertAlign w:val="subscript"/>
        </w:rPr>
        <w:t>[Py]I</w:t>
      </w:r>
      <w:r w:rsidR="00721B6C" w:rsidRPr="00721B6C">
        <w:t xml:space="preserve"> in accordance with the Beer-Lambert Law.  Curves for the concentration-dependence of the molar absorptivity for various </w:t>
      </w:r>
      <w:r w:rsidR="00721B6C" w:rsidRPr="00721B6C">
        <w:rPr>
          <w:rStyle w:val="Emphasis"/>
          <w:b w:val="0"/>
          <w:color w:val="000000"/>
        </w:rPr>
        <w:t xml:space="preserve">numbers, </w:t>
      </w:r>
      <w:r w:rsidR="00721B6C" w:rsidRPr="00721B6C">
        <w:rPr>
          <w:rStyle w:val="Emphasis"/>
          <w:b w:val="0"/>
          <w:i/>
          <w:color w:val="000000"/>
        </w:rPr>
        <w:t>n</w:t>
      </w:r>
      <w:r w:rsidR="00721B6C" w:rsidRPr="00721B6C">
        <w:rPr>
          <w:rStyle w:val="Emphasis"/>
          <w:b w:val="0"/>
          <w:color w:val="000000"/>
        </w:rPr>
        <w:t>, of ions in the cybotactic shell of the pyridinium ion have been calculated and are shown in Figure 4 for the ionic liquid [C</w:t>
      </w:r>
      <w:r w:rsidR="00721B6C" w:rsidRPr="00721B6C">
        <w:rPr>
          <w:rStyle w:val="Emphasis"/>
          <w:b w:val="0"/>
          <w:color w:val="000000"/>
          <w:vertAlign w:val="subscript"/>
        </w:rPr>
        <w:t>4</w:t>
      </w:r>
      <w:r w:rsidR="00721B6C" w:rsidRPr="00721B6C">
        <w:rPr>
          <w:rStyle w:val="Emphasis"/>
          <w:b w:val="0"/>
          <w:color w:val="000000"/>
        </w:rPr>
        <w:t>C</w:t>
      </w:r>
      <w:r w:rsidR="00721B6C" w:rsidRPr="00721B6C">
        <w:rPr>
          <w:rStyle w:val="Emphasis"/>
          <w:b w:val="0"/>
          <w:color w:val="000000"/>
          <w:vertAlign w:val="subscript"/>
        </w:rPr>
        <w:t>1</w:t>
      </w:r>
      <w:r w:rsidR="00721B6C" w:rsidRPr="00721B6C">
        <w:rPr>
          <w:rStyle w:val="Emphasis"/>
          <w:b w:val="0"/>
          <w:color w:val="000000"/>
        </w:rPr>
        <w:t>im][NTf</w:t>
      </w:r>
      <w:r w:rsidR="00721B6C" w:rsidRPr="00721B6C">
        <w:rPr>
          <w:rStyle w:val="Emphasis"/>
          <w:b w:val="0"/>
          <w:color w:val="000000"/>
          <w:vertAlign w:val="subscript"/>
        </w:rPr>
        <w:t>2</w:t>
      </w:r>
      <w:r w:rsidR="00721B6C" w:rsidRPr="00721B6C">
        <w:rPr>
          <w:rStyle w:val="Emphasis"/>
          <w:b w:val="0"/>
          <w:color w:val="000000"/>
        </w:rPr>
        <w:t xml:space="preserve">].  For </w:t>
      </w:r>
      <w:r w:rsidR="00721B6C" w:rsidRPr="00721B6C">
        <w:rPr>
          <w:rStyle w:val="Emphasis"/>
          <w:b w:val="0"/>
          <w:i/>
          <w:color w:val="000000"/>
        </w:rPr>
        <w:t>r</w:t>
      </w:r>
      <w:r w:rsidR="00721B6C" w:rsidRPr="00721B6C">
        <w:rPr>
          <w:rStyle w:val="Emphasis"/>
          <w:b w:val="0"/>
          <w:color w:val="000000"/>
        </w:rPr>
        <w:t xml:space="preserve"> greater than 1 this equation is a power law, however it is clear from the linear relation at the experimentally realistic concentrations shown in Figure 4, we remain in the linear regime. Thus, this lattice site model is consistent with our experimental results.</w:t>
      </w:r>
    </w:p>
    <w:p w:rsidR="00C73DEA" w:rsidRDefault="00721B6C" w:rsidP="00C73DEA">
      <w:pPr>
        <w:pStyle w:val="08ArticleText"/>
      </w:pPr>
      <w:r>
        <w:tab/>
      </w:r>
      <w:r w:rsidRPr="00721B6C">
        <w:t xml:space="preserve">The slopes of these lines are expected to be proportional to the molar volume of the ionic liquid employed, with larger ionic liquids yielding larger slopes. This is also consistent with our experimental findings. The value of this slope can therefore be used to estimate the number of anions in the cybotactic shell of the pyridinium cation.  After correcting for the molar volume of </w:t>
      </w:r>
    </w:p>
    <w:p w:rsidR="008D7469" w:rsidRPr="008D7469" w:rsidRDefault="00721B6C" w:rsidP="00C73DEA">
      <w:pPr>
        <w:pStyle w:val="08ArticleText"/>
      </w:pPr>
      <w:r w:rsidRPr="00721B6C">
        <w:t xml:space="preserve">the ionic liquid employed, the slopes quoted above all collapse to </w:t>
      </w:r>
    </w:p>
    <w:p w:rsidR="00C73DEA" w:rsidRDefault="00721B6C" w:rsidP="00721B6C">
      <w:pPr>
        <w:pStyle w:val="08ArticleText"/>
      </w:pPr>
      <w:r w:rsidRPr="00721B6C">
        <w:t xml:space="preserve">a single line giving a value of </w:t>
      </w:r>
      <w:r w:rsidRPr="00721B6C">
        <w:rPr>
          <w:i/>
        </w:rPr>
        <w:t xml:space="preserve">r </w:t>
      </w:r>
      <w:r w:rsidRPr="00721B6C">
        <w:t xml:space="preserve">≈ 2. Given that it has been shown that there are two sites around the pyridinium cation in which the iodide can give charge transfer (one above and one below the </w:t>
      </w:r>
    </w:p>
    <w:p w:rsidR="00C73DEA" w:rsidRDefault="00C73DEA" w:rsidP="00C73DEA">
      <w:pPr>
        <w:pStyle w:val="G1aFigureImage"/>
      </w:pPr>
      <w:r w:rsidRPr="008D7469">
        <w:rPr>
          <w:noProof/>
        </w:rPr>
        <w:drawing>
          <wp:inline distT="0" distB="0" distL="0" distR="0">
            <wp:extent cx="3024505" cy="1982902"/>
            <wp:effectExtent l="19050" t="0" r="4445" b="0"/>
            <wp:docPr id="13"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 cstate="print"/>
                    <a:srcRect/>
                    <a:stretch>
                      <a:fillRect/>
                    </a:stretch>
                  </pic:blipFill>
                  <pic:spPr bwMode="auto">
                    <a:xfrm>
                      <a:off x="0" y="0"/>
                      <a:ext cx="3024505" cy="1982902"/>
                    </a:xfrm>
                    <a:prstGeom prst="rect">
                      <a:avLst/>
                    </a:prstGeom>
                    <a:noFill/>
                    <a:ln w="9525">
                      <a:noFill/>
                      <a:miter lim="800000"/>
                      <a:headEnd/>
                      <a:tailEnd/>
                    </a:ln>
                  </pic:spPr>
                </pic:pic>
              </a:graphicData>
            </a:graphic>
          </wp:inline>
        </w:drawing>
      </w:r>
    </w:p>
    <w:p w:rsidR="00C73DEA" w:rsidRPr="008D7469" w:rsidRDefault="00C73DEA" w:rsidP="00C73DEA">
      <w:pPr>
        <w:pStyle w:val="G1bFigureCaption"/>
      </w:pPr>
      <w:r>
        <w:rPr>
          <w:b/>
        </w:rPr>
        <w:t>Figure 4</w:t>
      </w:r>
      <w:r>
        <w:t xml:space="preserve"> </w:t>
      </w:r>
      <w:r w:rsidRPr="008D7469">
        <w:t>Theoretical apparent molar extinction coefficient, εapp, as a function of total concentration of charge-transfer salt, C</w:t>
      </w:r>
      <w:r w:rsidRPr="008D7469">
        <w:rPr>
          <w:vertAlign w:val="subscript"/>
        </w:rPr>
        <w:t>0</w:t>
      </w:r>
      <w:r w:rsidRPr="008D7469">
        <w:t xml:space="preserve">, based on equation </w:t>
      </w:r>
      <w:r>
        <w:t>1</w:t>
      </w:r>
      <w:r w:rsidRPr="008D7469">
        <w:t>. n is the number of ions in the cybotactic shell of a solute.</w:t>
      </w:r>
    </w:p>
    <w:p w:rsidR="00721B6C" w:rsidRPr="00721B6C" w:rsidRDefault="00721B6C" w:rsidP="00721B6C">
      <w:pPr>
        <w:pStyle w:val="08ArticleText"/>
        <w:rPr>
          <w:vertAlign w:val="superscript"/>
        </w:rPr>
      </w:pPr>
      <w:r w:rsidRPr="00721B6C">
        <w:t>plane of the ring,)</w:t>
      </w:r>
      <w:r w:rsidRPr="00721B6C">
        <w:rPr>
          <w:vertAlign w:val="superscript"/>
        </w:rPr>
        <w:t>1</w:t>
      </w:r>
      <w:r w:rsidR="00B812E7">
        <w:rPr>
          <w:vertAlign w:val="superscript"/>
        </w:rPr>
        <w:t>4</w:t>
      </w:r>
      <w:r w:rsidRPr="00721B6C">
        <w:t xml:space="preserve"> </w:t>
      </w:r>
      <w:r w:rsidRPr="00721B6C">
        <w:rPr>
          <w:i/>
        </w:rPr>
        <w:t xml:space="preserve">n </w:t>
      </w:r>
      <w:r w:rsidRPr="00721B6C">
        <w:t>≈ 4. This value is lower than the value found by Hardacre using neutron diffraction data, for the for the 1,3-dimethylimidazolium cation in ionic liquid 1,3-dimethylimidazolium chloride, which indicated a first solvation shell of 6 anions.</w:t>
      </w:r>
      <w:r w:rsidRPr="00721B6C">
        <w:rPr>
          <w:vertAlign w:val="superscript"/>
        </w:rPr>
        <w:t>2</w:t>
      </w:r>
      <w:r w:rsidR="009511D3">
        <w:rPr>
          <w:vertAlign w:val="superscript"/>
        </w:rPr>
        <w:t>1</w:t>
      </w:r>
      <w:r w:rsidRPr="00721B6C">
        <w:t xml:space="preserve"> This probably arises because of the differences in the relative sizes of the cations and anions in the different systems, as Hardacre subsequently found that less rigid ordering exists when the larger [NTf</w:t>
      </w:r>
      <w:r w:rsidRPr="00721B6C">
        <w:rPr>
          <w:vertAlign w:val="subscript"/>
        </w:rPr>
        <w:t>2</w:t>
      </w:r>
      <w:r w:rsidRPr="00721B6C">
        <w:t>] anion replaced chloride.</w:t>
      </w:r>
      <w:r w:rsidRPr="00721B6C">
        <w:rPr>
          <w:vertAlign w:val="superscript"/>
        </w:rPr>
        <w:t>2</w:t>
      </w:r>
      <w:r w:rsidR="007B27AC">
        <w:rPr>
          <w:vertAlign w:val="superscript"/>
        </w:rPr>
        <w:t>2</w:t>
      </w:r>
    </w:p>
    <w:p w:rsidR="00721B6C" w:rsidRPr="00721B6C" w:rsidRDefault="00721B6C" w:rsidP="00721B6C">
      <w:pPr>
        <w:pStyle w:val="08ArticleText"/>
      </w:pPr>
      <w:r>
        <w:tab/>
      </w:r>
      <w:r w:rsidRPr="00721B6C">
        <w:t xml:space="preserve">The fact that the charge-transfer behaviour in ionic liquids followed this </w:t>
      </w:r>
      <w:r w:rsidRPr="00721B6C">
        <w:rPr>
          <w:i/>
        </w:rPr>
        <w:t>pseudo-</w:t>
      </w:r>
      <w:r w:rsidRPr="00721B6C">
        <w:t>lattice model indicates that the interactions of the different ionic species (cations and anions deriving from either the ionic liquid or the Kosower’s salt) with their immediate surroundings have very similar energies. Thus, there is a near-zero energy penalty to site exchange between ions and the solute-solute, solute-solvent and solvent-solvent interactions are indistinguishable. This is quite unlike the situations found in solutions of salts in molecular solvents, whether of high or low polarity, and is much more akin to the situation found in mixtures of similarly structured molecular liquids (</w:t>
      </w:r>
      <w:r w:rsidRPr="00721B6C">
        <w:rPr>
          <w:i/>
        </w:rPr>
        <w:t>e.g</w:t>
      </w:r>
      <w:r w:rsidRPr="00721B6C">
        <w:t>. the nearly ideal mixtures of toluene and benzene). In ionic liquid solvents, solute ions are neither held together in classical solvated contact ion pairs nor kept apart</w:t>
      </w:r>
      <w:r w:rsidRPr="00721B6C" w:rsidDel="00F02013">
        <w:t xml:space="preserve"> </w:t>
      </w:r>
      <w:r w:rsidRPr="00721B6C">
        <w:t>as solvated free ions.  Thus, it appears to us that a unique solvation paradigm can exist for salts dissolved in an ionic solvent – the solute behaves as two distinct species, a cation and an anion, completely divorced from each other (highly screened) and capable of independently interacting with the solvent ions or other solute ions. Thus, these ionic liquids appear to form ideal mixtures of ions with the dissolved Kosower’s salt.</w:t>
      </w:r>
    </w:p>
    <w:p w:rsidR="00721B6C" w:rsidRPr="00721B6C" w:rsidRDefault="00721B6C" w:rsidP="00721B6C">
      <w:pPr>
        <w:pStyle w:val="08ArticleText"/>
      </w:pPr>
      <w:r>
        <w:tab/>
      </w:r>
      <w:r w:rsidRPr="00721B6C">
        <w:t>These apparently ideal salt mixtures contrast with common observations that salts such as NaCl are insoluble in many ILs.</w:t>
      </w:r>
      <w:r w:rsidRPr="00721B6C">
        <w:rPr>
          <w:vertAlign w:val="superscript"/>
        </w:rPr>
        <w:t>6</w:t>
      </w:r>
      <w:r w:rsidRPr="00721B6C">
        <w:t xml:space="preserve"> In the case of NaCl, the very similar sizes of Na</w:t>
      </w:r>
      <w:r w:rsidRPr="00721B6C">
        <w:rPr>
          <w:vertAlign w:val="superscript"/>
        </w:rPr>
        <w:t>+</w:t>
      </w:r>
      <w:r w:rsidRPr="00721B6C">
        <w:t xml:space="preserve"> and Cl</w:t>
      </w:r>
      <w:r w:rsidRPr="00721B6C">
        <w:rPr>
          <w:vertAlign w:val="superscript"/>
        </w:rPr>
        <w:t>-</w:t>
      </w:r>
      <w:r w:rsidRPr="00721B6C">
        <w:t xml:space="preserve">, which are much smaller than the IL ions, enable them to occupy lattice sites of approximately the same size, thus forming very favourable lattice energies and creating a favourable situation for solid formation. This does not indicate preferential ion pairing </w:t>
      </w:r>
      <w:r w:rsidRPr="00721B6C">
        <w:rPr>
          <w:i/>
        </w:rPr>
        <w:t>in the ionic liquid solution</w:t>
      </w:r>
      <w:r w:rsidRPr="00721B6C">
        <w:t>, merely that the crystallized solid is thermodynamically appealing.</w:t>
      </w:r>
    </w:p>
    <w:p w:rsidR="00C73DEA" w:rsidRDefault="00721B6C" w:rsidP="00721B6C">
      <w:pPr>
        <w:pStyle w:val="08ArticleText"/>
      </w:pPr>
      <w:r>
        <w:tab/>
      </w:r>
      <w:r w:rsidRPr="00721B6C">
        <w:t>Seddon</w:t>
      </w:r>
      <w:r w:rsidR="00F6256D">
        <w:rPr>
          <w:vertAlign w:val="superscript"/>
        </w:rPr>
        <w:t>23</w:t>
      </w:r>
      <w:r w:rsidRPr="00721B6C">
        <w:t xml:space="preserve"> previously reported the phenomenon of immiscible</w:t>
      </w:r>
      <w:r w:rsidR="00C73DEA">
        <w:t xml:space="preserve"> </w:t>
      </w:r>
      <w:r w:rsidRPr="00721B6C">
        <w:t xml:space="preserve">ionic liquids, which indicates substantially non-ideal mixing behavior. However, each of these cases involves systems containing ions mixed (or de-mixed) together which have </w:t>
      </w:r>
    </w:p>
    <w:p w:rsidR="00C73DEA" w:rsidRDefault="00C73DEA" w:rsidP="00C73DEA">
      <w:pPr>
        <w:pStyle w:val="G1aFigureImage"/>
      </w:pPr>
      <w:r>
        <w:object w:dxaOrig="7205" w:dyaOrig="481">
          <v:shape id="_x0000_i1029" type="#_x0000_t75" style="width:243pt;height:16.5pt" o:ole="" o:allowoverlap="f">
            <v:imagedata r:id="rId28" o:title=""/>
          </v:shape>
          <o:OLEObject Type="Embed" ProgID="ChemDraw.Document.6.0" ShapeID="_x0000_i1029" DrawAspect="Content" ObjectID="_1405941922" r:id="rId29"/>
        </w:object>
      </w:r>
    </w:p>
    <w:p w:rsidR="00C73DEA" w:rsidRPr="004D63AC" w:rsidRDefault="00C73DEA" w:rsidP="00C73DEA">
      <w:pPr>
        <w:pStyle w:val="G1bFigureCaption"/>
      </w:pPr>
      <w:r>
        <w:rPr>
          <w:b/>
        </w:rPr>
        <w:t>Scheme 2</w:t>
      </w:r>
    </w:p>
    <w:p w:rsidR="00721B6C" w:rsidRPr="00721B6C" w:rsidRDefault="00721B6C" w:rsidP="00721B6C">
      <w:pPr>
        <w:pStyle w:val="08ArticleText"/>
        <w:rPr>
          <w:b/>
        </w:rPr>
      </w:pPr>
      <w:r w:rsidRPr="00721B6C">
        <w:t>appreciably different sizes. These immiscible ILs form biphasic systems wherein the predominant cation and anion in each phase are matched by size – for example, when [C</w:t>
      </w:r>
      <w:r w:rsidRPr="00721B6C">
        <w:rPr>
          <w:vertAlign w:val="subscript"/>
        </w:rPr>
        <w:t>2</w:t>
      </w:r>
      <w:r w:rsidRPr="00721B6C">
        <w:t>C</w:t>
      </w:r>
      <w:r w:rsidRPr="00721B6C">
        <w:rPr>
          <w:vertAlign w:val="subscript"/>
        </w:rPr>
        <w:t>1</w:t>
      </w:r>
      <w:r w:rsidRPr="00721B6C">
        <w:t>im][C</w:t>
      </w:r>
      <w:r w:rsidRPr="00721B6C">
        <w:rPr>
          <w:vertAlign w:val="subscript"/>
        </w:rPr>
        <w:t>1</w:t>
      </w:r>
      <w:r w:rsidRPr="00721B6C">
        <w:t>SO</w:t>
      </w:r>
      <w:r w:rsidRPr="00721B6C">
        <w:rPr>
          <w:vertAlign w:val="subscript"/>
        </w:rPr>
        <w:t>3</w:t>
      </w:r>
      <w:r w:rsidRPr="00721B6C">
        <w:t>] was mixed with [C</w:t>
      </w:r>
      <w:r w:rsidRPr="00721B6C">
        <w:rPr>
          <w:vertAlign w:val="subscript"/>
        </w:rPr>
        <w:t>14</w:t>
      </w:r>
      <w:r w:rsidRPr="00721B6C">
        <w:t>(C</w:t>
      </w:r>
      <w:r w:rsidRPr="00721B6C">
        <w:rPr>
          <w:vertAlign w:val="subscript"/>
        </w:rPr>
        <w:t>6</w:t>
      </w:r>
      <w:r w:rsidRPr="00721B6C">
        <w:t>)</w:t>
      </w:r>
      <w:r w:rsidRPr="00721B6C">
        <w:rPr>
          <w:vertAlign w:val="subscript"/>
        </w:rPr>
        <w:t>3</w:t>
      </w:r>
      <w:r w:rsidRPr="00721B6C">
        <w:t>P][NTf</w:t>
      </w:r>
      <w:r w:rsidRPr="00721B6C">
        <w:rPr>
          <w:vertAlign w:val="subscript"/>
        </w:rPr>
        <w:t>2</w:t>
      </w:r>
      <w:r w:rsidRPr="00721B6C">
        <w:t>], the smaller [C</w:t>
      </w:r>
      <w:r w:rsidRPr="00721B6C">
        <w:rPr>
          <w:vertAlign w:val="subscript"/>
        </w:rPr>
        <w:t>2</w:t>
      </w:r>
      <w:r w:rsidRPr="00721B6C">
        <w:t>C</w:t>
      </w:r>
      <w:r w:rsidRPr="00721B6C">
        <w:rPr>
          <w:vertAlign w:val="subscript"/>
        </w:rPr>
        <w:t>1</w:t>
      </w:r>
      <w:r w:rsidRPr="00721B6C">
        <w:t>im]</w:t>
      </w:r>
      <w:r w:rsidRPr="00721B6C">
        <w:rPr>
          <w:vertAlign w:val="superscript"/>
        </w:rPr>
        <w:t>+</w:t>
      </w:r>
      <w:r w:rsidRPr="00721B6C">
        <w:t xml:space="preserve"> and [C</w:t>
      </w:r>
      <w:r w:rsidRPr="00721B6C">
        <w:rPr>
          <w:vertAlign w:val="subscript"/>
        </w:rPr>
        <w:t>1</w:t>
      </w:r>
      <w:r w:rsidRPr="00721B6C">
        <w:t>SO</w:t>
      </w:r>
      <w:r w:rsidRPr="00721B6C">
        <w:rPr>
          <w:vertAlign w:val="subscript"/>
        </w:rPr>
        <w:t>3</w:t>
      </w:r>
      <w:r w:rsidRPr="00721B6C">
        <w:t>]</w:t>
      </w:r>
      <w:r w:rsidRPr="00721B6C">
        <w:rPr>
          <w:vertAlign w:val="superscript"/>
        </w:rPr>
        <w:t>-</w:t>
      </w:r>
      <w:r w:rsidRPr="00721B6C">
        <w:t xml:space="preserve"> ions dominated the upper phase while the larger [C</w:t>
      </w:r>
      <w:r w:rsidRPr="00721B6C">
        <w:rPr>
          <w:vertAlign w:val="subscript"/>
        </w:rPr>
        <w:t>14</w:t>
      </w:r>
      <w:r w:rsidRPr="00721B6C">
        <w:t>(C</w:t>
      </w:r>
      <w:r w:rsidRPr="00721B6C">
        <w:rPr>
          <w:vertAlign w:val="subscript"/>
        </w:rPr>
        <w:t>6</w:t>
      </w:r>
      <w:r w:rsidRPr="00721B6C">
        <w:t>)</w:t>
      </w:r>
      <w:r w:rsidRPr="00721B6C">
        <w:rPr>
          <w:vertAlign w:val="subscript"/>
        </w:rPr>
        <w:t>3</w:t>
      </w:r>
      <w:r w:rsidRPr="00721B6C">
        <w:t>P]</w:t>
      </w:r>
      <w:r w:rsidRPr="00721B6C">
        <w:rPr>
          <w:vertAlign w:val="superscript"/>
        </w:rPr>
        <w:t>+</w:t>
      </w:r>
      <w:r w:rsidRPr="00721B6C">
        <w:t xml:space="preserve"> and [NTf</w:t>
      </w:r>
      <w:r w:rsidRPr="00721B6C">
        <w:rPr>
          <w:vertAlign w:val="subscript"/>
        </w:rPr>
        <w:t>2</w:t>
      </w:r>
      <w:r w:rsidRPr="00721B6C">
        <w:t>]</w:t>
      </w:r>
      <w:r w:rsidRPr="00721B6C">
        <w:rPr>
          <w:vertAlign w:val="superscript"/>
        </w:rPr>
        <w:t>-</w:t>
      </w:r>
      <w:r w:rsidRPr="00721B6C">
        <w:t xml:space="preserve"> ions dominated the lower phase. Once again, there was no indication in this experiment of preferential association </w:t>
      </w:r>
      <w:r w:rsidRPr="00721B6C">
        <w:rPr>
          <w:i/>
        </w:rPr>
        <w:t>within each phase</w:t>
      </w:r>
      <w:r w:rsidRPr="00721B6C">
        <w:t xml:space="preserve">, though there was preferential association </w:t>
      </w:r>
      <w:r w:rsidRPr="00721B6C">
        <w:rPr>
          <w:i/>
        </w:rPr>
        <w:t>between phases</w:t>
      </w:r>
      <w:r w:rsidRPr="00721B6C">
        <w:t>. These examples illustrate systems where ion association between multiple phases is dominated by entropic pressures (size matching) with no illustration of enthalpic association (ion pairing) within the IL phase(s). Mixtures of [C</w:t>
      </w:r>
      <w:r w:rsidRPr="00721B6C">
        <w:rPr>
          <w:vertAlign w:val="subscript"/>
        </w:rPr>
        <w:t>n</w:t>
      </w:r>
      <w:r w:rsidRPr="00721B6C">
        <w:t>C</w:t>
      </w:r>
      <w:r w:rsidRPr="00721B6C">
        <w:rPr>
          <w:vertAlign w:val="subscript"/>
        </w:rPr>
        <w:t>1</w:t>
      </w:r>
      <w:r w:rsidRPr="00721B6C">
        <w:t>im]Cl with [C</w:t>
      </w:r>
      <w:r w:rsidRPr="00721B6C">
        <w:rPr>
          <w:vertAlign w:val="subscript"/>
        </w:rPr>
        <w:t>14</w:t>
      </w:r>
      <w:r w:rsidRPr="00721B6C">
        <w:t>(C</w:t>
      </w:r>
      <w:r w:rsidRPr="00721B6C">
        <w:rPr>
          <w:vertAlign w:val="subscript"/>
        </w:rPr>
        <w:t>6</w:t>
      </w:r>
      <w:r w:rsidRPr="00721B6C">
        <w:t>)</w:t>
      </w:r>
      <w:r w:rsidRPr="00721B6C">
        <w:rPr>
          <w:vertAlign w:val="subscript"/>
        </w:rPr>
        <w:t>3</w:t>
      </w:r>
      <w:r w:rsidRPr="00721B6C">
        <w:t xml:space="preserve">P]Cl were reported as immiscible for all n &lt; 6, despite the common anion shared between these salts. The authors also report that for all n &gt; 1 the </w:t>
      </w:r>
      <w:r w:rsidRPr="00721B6C">
        <w:sym w:font="Symbol" w:char="F044"/>
      </w:r>
      <w:r w:rsidRPr="00721B6C">
        <w:t>H of mixing was negligible (between -2 and +2 kJ/mol) while the T</w:t>
      </w:r>
      <w:r w:rsidRPr="00721B6C">
        <w:sym w:font="Symbol" w:char="F044"/>
      </w:r>
      <w:r w:rsidRPr="00721B6C">
        <w:t>S of mixing was dominant (between -4.5 and -12 kJ/mol),</w:t>
      </w:r>
      <w:r w:rsidR="00F6256D">
        <w:rPr>
          <w:vertAlign w:val="superscript"/>
        </w:rPr>
        <w:t>23</w:t>
      </w:r>
      <w:r w:rsidRPr="00721B6C">
        <w:t xml:space="preserve"> further indicating that mismatched cation size (entropy) is responsible for this phenomenon. </w:t>
      </w:r>
    </w:p>
    <w:p w:rsidR="00721B6C" w:rsidRDefault="00721B6C" w:rsidP="00721B6C">
      <w:pPr>
        <w:pStyle w:val="05BHeading"/>
      </w:pPr>
      <w:r w:rsidRPr="00721B6C">
        <w:t>Energy of the metathesis reaction</w:t>
      </w:r>
    </w:p>
    <w:p w:rsidR="004D63AC" w:rsidRDefault="00721B6C" w:rsidP="00721B6C">
      <w:pPr>
        <w:pStyle w:val="08ArticleText"/>
      </w:pPr>
      <w:r w:rsidRPr="00721B6C">
        <w:t xml:space="preserve">In an ideal mixture there must be no energy change upon site exchange. In the case of these IL solutions, this implies that any ion metathesis taking place between within the solution will not result in a change to the overall energy of the solution. Since Kosower’s salt is present as a dilute component in these IL solutions, we assume that at most one of the anions present in the solvation shell of any cation is an iodide (all others are the anion of the ionic liquid). We also ignore interactions common to both sides (the remaining anion-cation interactions, in which only the IL anion is present), assuming that any changes on metathesis would be symmetrical. This enables us estimate the differences in the energies of the left and right hand sides of Figure 3 by reducing the reaction to </w:t>
      </w:r>
      <w:r w:rsidR="004D63AC">
        <w:t>a single</w:t>
      </w:r>
      <w:r w:rsidRPr="00721B6C">
        <w:t xml:space="preserve"> metathesis (for [Py]I/[C</w:t>
      </w:r>
      <w:r w:rsidRPr="00721B6C">
        <w:rPr>
          <w:vertAlign w:val="subscript"/>
        </w:rPr>
        <w:t>4</w:t>
      </w:r>
      <w:r w:rsidRPr="00721B6C">
        <w:t>C</w:t>
      </w:r>
      <w:r w:rsidRPr="00721B6C">
        <w:rPr>
          <w:vertAlign w:val="subscript"/>
        </w:rPr>
        <w:t>1</w:t>
      </w:r>
      <w:r w:rsidR="004D63AC">
        <w:t>im][OTf]) (Scheme 2).</w:t>
      </w:r>
    </w:p>
    <w:p w:rsidR="00721B6C" w:rsidRDefault="004D63AC" w:rsidP="00721B6C">
      <w:pPr>
        <w:pStyle w:val="08ArticleText"/>
      </w:pPr>
      <w:r>
        <w:tab/>
      </w:r>
      <w:r w:rsidR="00721B6C" w:rsidRPr="00721B6C">
        <w:t>The spatial arrangement of the anions around each cation allows a multitude of stable configurations. To allow a reasonable analysis within the precision of the simple description of the solvation processes as a metathesis, for [C</w:t>
      </w:r>
      <w:r w:rsidR="00721B6C" w:rsidRPr="00721B6C">
        <w:rPr>
          <w:vertAlign w:val="subscript"/>
        </w:rPr>
        <w:t>4</w:t>
      </w:r>
      <w:r w:rsidR="00721B6C" w:rsidRPr="00721B6C">
        <w:t>C</w:t>
      </w:r>
      <w:r w:rsidR="00721B6C" w:rsidRPr="00721B6C">
        <w:rPr>
          <w:vertAlign w:val="subscript"/>
        </w:rPr>
        <w:t>1</w:t>
      </w:r>
      <w:r w:rsidR="00721B6C" w:rsidRPr="00721B6C">
        <w:t>im]</w:t>
      </w:r>
      <w:r w:rsidR="00721B6C" w:rsidRPr="00721B6C">
        <w:rPr>
          <w:vertAlign w:val="superscript"/>
        </w:rPr>
        <w:t>+</w:t>
      </w:r>
      <w:r w:rsidR="00721B6C" w:rsidRPr="00721B6C">
        <w:t xml:space="preserve"> the most stable cation conformer has been selected.</w:t>
      </w:r>
      <w:r w:rsidR="0071448E">
        <w:rPr>
          <w:vertAlign w:val="superscript"/>
        </w:rPr>
        <w:t>24</w:t>
      </w:r>
      <w:r w:rsidR="00721B6C" w:rsidRPr="00721B6C">
        <w:t xml:space="preserve"> Furthermore, the two most stable ion pairs with both anions were calculated. For [Py]</w:t>
      </w:r>
      <w:r w:rsidR="00721B6C" w:rsidRPr="00721B6C">
        <w:rPr>
          <w:vertAlign w:val="superscript"/>
        </w:rPr>
        <w:t>+</w:t>
      </w:r>
      <w:r w:rsidR="00721B6C" w:rsidRPr="00721B6C">
        <w:t xml:space="preserve"> the two most stable conformers of each ion pair were calculated, ignoring the orientation of the methyl ester group.  Thus, for each pair of ions there is a low energy pair {IP}</w:t>
      </w:r>
      <w:r w:rsidR="00721B6C" w:rsidRPr="00721B6C">
        <w:rPr>
          <w:vertAlign w:val="subscript"/>
        </w:rPr>
        <w:t>low</w:t>
      </w:r>
      <w:r w:rsidR="00721B6C" w:rsidRPr="00721B6C">
        <w:t xml:space="preserve"> and a high energy pair, {IP}</w:t>
      </w:r>
      <w:r w:rsidR="00721B6C" w:rsidRPr="00721B6C">
        <w:rPr>
          <w:vertAlign w:val="subscript"/>
        </w:rPr>
        <w:t>high</w:t>
      </w:r>
      <w:r w:rsidR="00721B6C" w:rsidRPr="00721B6C">
        <w:t>.  The energy for the metathesis r</w:t>
      </w:r>
      <w:r w:rsidR="005D42C9">
        <w:t>eaction is therefore ambiguous.</w:t>
      </w:r>
    </w:p>
    <w:p w:rsidR="004D63AC" w:rsidRDefault="004D63AC" w:rsidP="004D63AC">
      <w:pPr>
        <w:pStyle w:val="G3SingleColumnEquation"/>
      </w:pPr>
      <w:r>
        <w:tab/>
      </w:r>
      <w:r w:rsidRPr="00B44E82">
        <w:rPr>
          <w:position w:val="-10"/>
        </w:rPr>
        <w:object w:dxaOrig="6840" w:dyaOrig="340">
          <v:shape id="_x0000_i1030" type="#_x0000_t75" style="width:210pt;height:10.5pt" o:ole="" o:allowoverlap="f">
            <v:imagedata r:id="rId30" o:title=""/>
          </v:shape>
          <o:OLEObject Type="Embed" ProgID="Equation.3" ShapeID="_x0000_i1030" DrawAspect="Content" ObjectID="_1405941923" r:id="rId31"/>
        </w:object>
      </w:r>
      <w:r>
        <w:tab/>
        <w:t>(4)</w:t>
      </w:r>
    </w:p>
    <w:p w:rsidR="00721B6C" w:rsidRPr="00721B6C" w:rsidRDefault="005D42C9" w:rsidP="00721B6C">
      <w:pPr>
        <w:pStyle w:val="08ArticleText"/>
      </w:pPr>
      <w:r>
        <w:tab/>
      </w:r>
      <w:r w:rsidR="00721B6C" w:rsidRPr="00721B6C">
        <w:t xml:space="preserve">As a fixed point of reference, the most stable ion pairs were chosen for the calculation of </w:t>
      </w:r>
      <w:r w:rsidR="00721B6C" w:rsidRPr="00721B6C">
        <w:sym w:font="Symbol" w:char="F044"/>
      </w:r>
      <w:r w:rsidR="00721B6C" w:rsidRPr="00721B6C">
        <w:t>G</w:t>
      </w:r>
      <w:r w:rsidR="00721B6C" w:rsidRPr="00721B6C">
        <w:rPr>
          <w:vertAlign w:val="subscript"/>
        </w:rPr>
        <w:t>r</w:t>
      </w:r>
      <w:r w:rsidR="00721B6C" w:rsidRPr="00721B6C">
        <w:t>. Further possible energies at different levels of theory and choosing other conformers can be found in the supplementary information. However, at the highest level of theory there is no significant preference for either reactants or products of the metathesis reaction with a Gibbs free energy of -0.69 kJ/mol, which is well within the error introduced by the simple model system.</w:t>
      </w:r>
    </w:p>
    <w:p w:rsidR="00721B6C" w:rsidRDefault="005D42C9" w:rsidP="00721B6C">
      <w:pPr>
        <w:pStyle w:val="08ArticleText"/>
      </w:pPr>
      <w:r>
        <w:tab/>
      </w:r>
      <w:r w:rsidR="00721B6C" w:rsidRPr="00721B6C">
        <w:t>These calculations indicate that the ion exchange energies for the [Py]I/[C</w:t>
      </w:r>
      <w:r w:rsidR="00721B6C" w:rsidRPr="00721B6C">
        <w:rPr>
          <w:vertAlign w:val="subscript"/>
        </w:rPr>
        <w:t>4</w:t>
      </w:r>
      <w:r w:rsidR="00721B6C" w:rsidRPr="00721B6C">
        <w:t>C</w:t>
      </w:r>
      <w:r w:rsidR="00721B6C" w:rsidRPr="00721B6C">
        <w:rPr>
          <w:vertAlign w:val="subscript"/>
        </w:rPr>
        <w:t>1</w:t>
      </w:r>
      <w:r w:rsidR="00721B6C" w:rsidRPr="00721B6C">
        <w:t>im][OTf] system are near zero (</w:t>
      </w:r>
      <w:r w:rsidR="00721B6C" w:rsidRPr="00721B6C">
        <w:rPr>
          <w:i/>
        </w:rPr>
        <w:t>i.e.</w:t>
      </w:r>
      <w:r w:rsidR="00721B6C" w:rsidRPr="00721B6C">
        <w:t xml:space="preserve"> nearly ideal). This would mean that</w:t>
      </w:r>
      <w:r>
        <w:t>:</w:t>
      </w:r>
    </w:p>
    <w:p w:rsidR="004D63AC" w:rsidRDefault="004D63AC" w:rsidP="004D63AC">
      <w:pPr>
        <w:pStyle w:val="G3SingleColumnEquation"/>
      </w:pPr>
      <w:r>
        <w:tab/>
      </w:r>
      <w:r w:rsidR="00862208" w:rsidRPr="00721B6C">
        <w:rPr>
          <w:position w:val="-6"/>
        </w:rPr>
        <w:object w:dxaOrig="2120" w:dyaOrig="320">
          <v:shape id="_x0000_i1031" type="#_x0000_t75" style="width:112.5pt;height:17.25pt" o:ole="">
            <v:imagedata r:id="rId32" o:title=""/>
          </v:shape>
          <o:OLEObject Type="Embed" ProgID="Equation.3" ShapeID="_x0000_i1031" DrawAspect="Content" ObjectID="_1405941924" r:id="rId33"/>
        </w:object>
      </w:r>
      <w:r>
        <w:tab/>
        <w:t>(5)</w:t>
      </w:r>
    </w:p>
    <w:p w:rsidR="00721B6C" w:rsidRPr="00721B6C" w:rsidRDefault="005D42C9" w:rsidP="00721B6C">
      <w:pPr>
        <w:pStyle w:val="08ArticleText"/>
      </w:pPr>
      <w:r>
        <w:tab/>
      </w:r>
      <w:r w:rsidR="00721B6C" w:rsidRPr="00721B6C">
        <w:t>Therefore, K</w:t>
      </w:r>
      <w:r w:rsidR="00721B6C" w:rsidRPr="00721B6C">
        <w:rPr>
          <w:vertAlign w:val="superscript"/>
        </w:rPr>
        <w:t>ex</w:t>
      </w:r>
      <w:r w:rsidR="00721B6C" w:rsidRPr="00721B6C">
        <w:t xml:space="preserve"> ≈ 1, which would yield a linear concentration dependence for the molar extinction coefficient, consistent with our experimental observations.</w:t>
      </w:r>
    </w:p>
    <w:p w:rsidR="005D42C9" w:rsidRDefault="00721B6C" w:rsidP="00056754">
      <w:pPr>
        <w:pStyle w:val="04AHeading"/>
      </w:pPr>
      <w:r w:rsidRPr="00721B6C">
        <w:t>Conclusion</w:t>
      </w:r>
    </w:p>
    <w:p w:rsidR="00721B6C" w:rsidRPr="00721B6C" w:rsidRDefault="00721B6C" w:rsidP="00721B6C">
      <w:pPr>
        <w:pStyle w:val="08ArticleText"/>
      </w:pPr>
      <w:r w:rsidRPr="00721B6C">
        <w:t>In stark contrast to its behaviour in molecular solvents, our experimental results show that the ionic charge-transfer salt 1-ethyl-4-(methoxycarbonyl)pyridinium iodide, Kosower’s salt, does not form ion pairs in the room temperature ionic liquids studied, but rather ideal solutions. These ionic liquids are, therefore, “super-dissociating” solvents for this solute, because they completely divorce the solute cations and anions from each other. However, this does not mean that the pyridinium ions and iodide ions are never in contact, just that this contact is random. In molecular solvents, ionic species can exist as contact ion pairs, solvent-separated ion pairs or solvated free ions, but in each case the solute cation and anion require each other’s proximity in order to preserve charge neutrality. Ionic liquids, conversely, solvate individual solute ions completely as the ionic liquid itself is capable of preserving charge neutrality. In this way, a salt dissolved in an ionic liquid is so dissociated as to be made into completely separate, unrelated, highly screened species. Our results are based upon observations of 1-ethyl-4-(methoxycarbonyl)pyridinium iodide in 6 different ionic liquids. These are mixtures of salts composed of similar ions, particularly in terms of relative sizes. It is possible that mixtures of more dissimilar salts would deviate from the ideal behaviour that we see here. This would be precisely analogous to the behaviour of molecular mixtures, in which structurally very similar molecules form ideal mixtures while structurally dissimilar molecules deviate from ideality.</w:t>
      </w:r>
    </w:p>
    <w:p w:rsidR="00721B6C" w:rsidRPr="00056754" w:rsidRDefault="005D42C9" w:rsidP="00056754">
      <w:pPr>
        <w:pStyle w:val="08ArticleText"/>
      </w:pPr>
      <w:r>
        <w:tab/>
      </w:r>
      <w:r w:rsidR="00721B6C" w:rsidRPr="00721B6C">
        <w:t>Finally, when probing the nature of ionic liquid-solute interactions using Kosower’s salt, two apparently contradictory results arise. The position of the absorption maximum (</w:t>
      </w:r>
      <w:r w:rsidR="00721B6C" w:rsidRPr="00721B6C">
        <w:rPr>
          <w:i/>
        </w:rPr>
        <w:t>Z</w:t>
      </w:r>
      <w:r w:rsidR="00721B6C" w:rsidRPr="00721B6C">
        <w:t>-scale) indicates that the ionic liquids are solvents of only moderate polarity, whereas the absorptivities of the same solutions show that they are highly polar. Since these two values come from a single measurement, this difference cannot be attributed to some change in conditions or other experimental artefact. This provides an explanation of the discrepancies seen between other methods of studying ionic liquid polarity, particularly those based upon reaction kinetics</w:t>
      </w:r>
      <w:r w:rsidR="00721B6C" w:rsidRPr="00721B6C">
        <w:rPr>
          <w:vertAlign w:val="superscript"/>
        </w:rPr>
        <w:t>7,8</w:t>
      </w:r>
      <w:r w:rsidR="00721B6C" w:rsidRPr="00721B6C">
        <w:t xml:space="preserve"> and </w:t>
      </w:r>
      <w:r w:rsidR="00721B6C" w:rsidRPr="00721B6C">
        <w:rPr>
          <w:lang w:val="de-DE"/>
        </w:rPr>
        <w:t>Weingärtner</w:t>
      </w:r>
      <w:r w:rsidR="00721B6C" w:rsidRPr="00721B6C">
        <w:t>’s dielectric spectroscopy measurements.</w:t>
      </w:r>
      <w:r w:rsidR="00721B6C" w:rsidRPr="00721B6C">
        <w:rPr>
          <w:vertAlign w:val="superscript"/>
        </w:rPr>
        <w:t>1</w:t>
      </w:r>
      <w:r w:rsidR="00C34CFC">
        <w:rPr>
          <w:vertAlign w:val="superscript"/>
        </w:rPr>
        <w:t>1</w:t>
      </w:r>
      <w:r w:rsidR="00721B6C" w:rsidRPr="00721B6C">
        <w:t xml:space="preserve"> Any model that involves the movement of molecules or ions necessarily implies the importance of timescales. The </w:t>
      </w:r>
      <w:r w:rsidR="00721B6C" w:rsidRPr="00721B6C">
        <w:rPr>
          <w:i/>
        </w:rPr>
        <w:t>Z</w:t>
      </w:r>
      <w:r w:rsidR="00721B6C" w:rsidRPr="00721B6C">
        <w:t>-scale measurement results from the measurement of a rapid electronic transition and is affected by a local environment that does not have the opportunity to reorganise itself on this timescale.</w:t>
      </w:r>
      <w:r w:rsidR="00721B6C" w:rsidRPr="00721B6C">
        <w:rPr>
          <w:vertAlign w:val="superscript"/>
        </w:rPr>
        <w:t>9</w:t>
      </w:r>
      <w:r w:rsidR="00721B6C" w:rsidRPr="00721B6C">
        <w:t xml:space="preserve"> This ‘freezes out’ ionic movement and the ‘snapshot’ of the ionic liquid that is obtained ostensibly appears nonpolar, as with the dielectric spectroscopy measurements. On the other hand, the absorptivity measurements are equilibrium concentration measurements wherein the longer timescale allows ion motion to dominate solvation, as with the kinetic measurements. This yields a much higher polarity. Hence, the answer</w:t>
      </w:r>
      <w:r w:rsidR="00721B6C" w:rsidRPr="00056754">
        <w:t xml:space="preserve"> to the question of how polar are ionic liquids very likely depends upon </w:t>
      </w:r>
      <w:r w:rsidR="00721B6C" w:rsidRPr="00056754">
        <w:rPr>
          <w:i/>
        </w:rPr>
        <w:t>when</w:t>
      </w:r>
      <w:r w:rsidR="00721B6C" w:rsidRPr="00056754">
        <w:t xml:space="preserve"> you ask.</w:t>
      </w:r>
    </w:p>
    <w:p w:rsidR="00056754" w:rsidRPr="00056754" w:rsidRDefault="00056754" w:rsidP="00056754">
      <w:pPr>
        <w:pStyle w:val="04AHeading"/>
      </w:pPr>
      <w:r w:rsidRPr="00056754">
        <w:t>Methods</w:t>
      </w:r>
    </w:p>
    <w:p w:rsidR="00056754" w:rsidRDefault="00056754" w:rsidP="00056754">
      <w:pPr>
        <w:pStyle w:val="05BHeading"/>
      </w:pPr>
      <w:r w:rsidRPr="00056754">
        <w:t>Computational</w:t>
      </w:r>
    </w:p>
    <w:p w:rsidR="00056754" w:rsidRPr="00056754" w:rsidRDefault="00056754" w:rsidP="00056754">
      <w:pPr>
        <w:pStyle w:val="08ArticleText"/>
        <w:rPr>
          <w:vertAlign w:val="superscript"/>
        </w:rPr>
      </w:pPr>
      <w:r w:rsidRPr="00056754">
        <w:t>All calculations were performed using the Gaussian 03 software package,</w:t>
      </w:r>
      <w:r w:rsidR="0071448E">
        <w:rPr>
          <w:vertAlign w:val="superscript"/>
        </w:rPr>
        <w:t>25</w:t>
      </w:r>
      <w:r w:rsidRPr="00056754">
        <w:t xml:space="preserve"> and the Becke three-parameter exchange</w:t>
      </w:r>
      <w:r w:rsidR="00585723">
        <w:rPr>
          <w:vertAlign w:val="superscript"/>
        </w:rPr>
        <w:t>26</w:t>
      </w:r>
      <w:r w:rsidRPr="00056754">
        <w:t xml:space="preserve"> with the Lee, Yang and Parr correlation.</w:t>
      </w:r>
      <w:r w:rsidR="00585723">
        <w:rPr>
          <w:vertAlign w:val="superscript"/>
        </w:rPr>
        <w:t>27</w:t>
      </w:r>
      <w:r w:rsidRPr="00056754">
        <w:t xml:space="preserve"> An augmented polarisable double-</w:t>
      </w:r>
      <w:r w:rsidRPr="00056754">
        <w:sym w:font="Symbol" w:char="F07A"/>
      </w:r>
      <w:r w:rsidRPr="00056754">
        <w:t xml:space="preserve"> basis set and corresponding small core ECP were used for iodide,</w:t>
      </w:r>
      <w:r w:rsidR="00585723">
        <w:rPr>
          <w:vertAlign w:val="superscript"/>
        </w:rPr>
        <w:t>28</w:t>
      </w:r>
      <w:r w:rsidRPr="00056754">
        <w:t xml:space="preserve"> and a 6-311+G(d,p) basis set for all other elements.</w:t>
      </w:r>
      <w:r w:rsidR="00EA33E6">
        <w:rPr>
          <w:vertAlign w:val="superscript"/>
        </w:rPr>
        <w:t>29</w:t>
      </w:r>
      <w:r w:rsidRPr="00056754">
        <w:t xml:space="preserve"> Zero point energy and basis set superposition error</w:t>
      </w:r>
      <w:r w:rsidRPr="00056754">
        <w:rPr>
          <w:vertAlign w:val="superscript"/>
        </w:rPr>
        <w:t>3</w:t>
      </w:r>
      <w:r w:rsidR="00EA33E6">
        <w:rPr>
          <w:vertAlign w:val="superscript"/>
        </w:rPr>
        <w:t>0</w:t>
      </w:r>
      <w:r w:rsidRPr="00056754">
        <w:t xml:space="preserve"> were calculated on this level of theory as well as MP2/6-31++G(d,p)//B3LYP/6-31++G(d,p) single point energies using Møller-Plesset perturbation theory.</w:t>
      </w:r>
      <w:r w:rsidRPr="00056754">
        <w:rPr>
          <w:vertAlign w:val="superscript"/>
        </w:rPr>
        <w:t>3</w:t>
      </w:r>
      <w:r w:rsidR="00EA33E6">
        <w:rPr>
          <w:vertAlign w:val="superscript"/>
        </w:rPr>
        <w:t>1</w:t>
      </w:r>
    </w:p>
    <w:p w:rsidR="00056754" w:rsidRDefault="00056754" w:rsidP="00056754">
      <w:pPr>
        <w:pStyle w:val="05BHeading"/>
      </w:pPr>
      <w:r w:rsidRPr="00056754">
        <w:t>Materials and Reagents</w:t>
      </w:r>
    </w:p>
    <w:p w:rsidR="00056754" w:rsidRPr="00056754" w:rsidRDefault="00056754" w:rsidP="00056754">
      <w:pPr>
        <w:pStyle w:val="08ArticleText"/>
      </w:pPr>
      <w:r w:rsidRPr="00056754">
        <w:t xml:space="preserve">1-methylimidazole, 1-methylpyrrolidine and ,ethyl isonicotinate were purchased from Sigma-Aldrich and distilled from potassium hydroxide; 1-Chlorobutane was purchased from Acros Organics and distilled from phosphorus pentoxide. Lithium </w:t>
      </w:r>
      <w:r w:rsidRPr="00056754">
        <w:rPr>
          <w:i/>
        </w:rPr>
        <w:t>bis</w:t>
      </w:r>
      <w:r w:rsidRPr="00056754">
        <w:t>(trifluoromethylsulfonyl)imide and lithium trifluoromethanesulfonate were purchased from Solvent Innovation GmbH and used as received.  All molecular solvents were purified by distillation from standard drying agents.  All syntheses were performed under anaerobic conditions using standard Schlenk techniques.  The preparations and spectral data of the ionic liquids have been described elsewhere</w:t>
      </w:r>
      <w:r w:rsidRPr="00056754">
        <w:rPr>
          <w:vertAlign w:val="superscript"/>
        </w:rPr>
        <w:t>3</w:t>
      </w:r>
      <w:r w:rsidR="00EA33E6">
        <w:rPr>
          <w:vertAlign w:val="superscript"/>
        </w:rPr>
        <w:t>2</w:t>
      </w:r>
    </w:p>
    <w:p w:rsidR="00056754" w:rsidRDefault="00056754" w:rsidP="00056754">
      <w:pPr>
        <w:pStyle w:val="05BHeading"/>
      </w:pPr>
      <w:r w:rsidRPr="00056754">
        <w:t>Synthesis of 1-ethyl-(4-methoxycarbonyl)pyridinium iodide</w:t>
      </w:r>
    </w:p>
    <w:p w:rsidR="00056754" w:rsidRPr="00056754" w:rsidRDefault="00056754" w:rsidP="00056754">
      <w:pPr>
        <w:pStyle w:val="08ArticleText"/>
      </w:pPr>
      <w:r w:rsidRPr="00056754">
        <w:t>Methyl isonicotinate (75 cm</w:t>
      </w:r>
      <w:r w:rsidRPr="00056754">
        <w:rPr>
          <w:vertAlign w:val="superscript"/>
        </w:rPr>
        <w:t>3</w:t>
      </w:r>
      <w:r w:rsidRPr="00056754">
        <w:t>, 635 mmol) and iodoethane (220 cm</w:t>
      </w:r>
      <w:r w:rsidRPr="00056754">
        <w:rPr>
          <w:vertAlign w:val="superscript"/>
        </w:rPr>
        <w:t>3</w:t>
      </w:r>
      <w:r w:rsidRPr="00056754">
        <w:t>, 2.75 mol) were heated at 40˚C for 24 h. The resulting bright orange solid was washed several times with cold acetone and EtOAc. The solid was then recrystallized from acetone to give bright orange crystals. Mp. 111.6-111.8 °C (lit. 111-112 °C)</w:t>
      </w:r>
      <w:r w:rsidRPr="00056754">
        <w:rPr>
          <w:vertAlign w:val="superscript"/>
        </w:rPr>
        <w:t>1</w:t>
      </w:r>
      <w:r w:rsidR="00B812E7">
        <w:rPr>
          <w:vertAlign w:val="superscript"/>
        </w:rPr>
        <w:t>4</w:t>
      </w:r>
      <w:r w:rsidRPr="00056754">
        <w:t>; δ</w:t>
      </w:r>
      <w:r w:rsidRPr="00056754">
        <w:rPr>
          <w:vertAlign w:val="subscript"/>
        </w:rPr>
        <w:t xml:space="preserve">H </w:t>
      </w:r>
      <w:r w:rsidRPr="00056754">
        <w:t>(400 MHz, DMSO-</w:t>
      </w:r>
      <w:r w:rsidRPr="00056754">
        <w:rPr>
          <w:i/>
        </w:rPr>
        <w:t>d</w:t>
      </w:r>
      <w:r w:rsidRPr="00056754">
        <w:rPr>
          <w:i/>
          <w:vertAlign w:val="superscript"/>
        </w:rPr>
        <w:t>6</w:t>
      </w:r>
      <w:r w:rsidRPr="00056754">
        <w:t xml:space="preserve">)/ppm 9.35 and 8.52 (4H, AB quartet, </w:t>
      </w:r>
      <w:r w:rsidRPr="00056754">
        <w:rPr>
          <w:vertAlign w:val="superscript"/>
        </w:rPr>
        <w:t>3</w:t>
      </w:r>
      <w:r w:rsidRPr="00056754">
        <w:rPr>
          <w:i/>
        </w:rPr>
        <w:t>J</w:t>
      </w:r>
      <w:r w:rsidRPr="00056754">
        <w:rPr>
          <w:i/>
          <w:vertAlign w:val="subscript"/>
        </w:rPr>
        <w:t xml:space="preserve">AB </w:t>
      </w:r>
      <w:r w:rsidRPr="00056754">
        <w:rPr>
          <w:i/>
        </w:rPr>
        <w:t xml:space="preserve">= </w:t>
      </w:r>
      <w:r w:rsidRPr="00056754">
        <w:t>6.4 Hz, Py-</w:t>
      </w:r>
      <w:r w:rsidRPr="00056754">
        <w:rPr>
          <w:i/>
        </w:rPr>
        <w:t>H</w:t>
      </w:r>
      <w:r w:rsidRPr="00056754">
        <w:t xml:space="preserve">), 4.75 (2H, quartet, </w:t>
      </w:r>
      <w:r w:rsidRPr="00056754">
        <w:rPr>
          <w:vertAlign w:val="superscript"/>
        </w:rPr>
        <w:t>3</w:t>
      </w:r>
      <w:r w:rsidRPr="00056754">
        <w:rPr>
          <w:i/>
        </w:rPr>
        <w:t>J</w:t>
      </w:r>
      <w:r w:rsidRPr="00056754">
        <w:rPr>
          <w:vertAlign w:val="subscript"/>
        </w:rPr>
        <w:t>H-H</w:t>
      </w:r>
      <w:r w:rsidRPr="00056754">
        <w:t xml:space="preserve"> = 7.3 Hz, C</w:t>
      </w:r>
      <w:r w:rsidRPr="00056754">
        <w:rPr>
          <w:i/>
        </w:rPr>
        <w:t>H</w:t>
      </w:r>
      <w:r w:rsidRPr="00056754">
        <w:rPr>
          <w:vertAlign w:val="subscript"/>
        </w:rPr>
        <w:t>2</w:t>
      </w:r>
      <w:r w:rsidRPr="00056754">
        <w:t>CH</w:t>
      </w:r>
      <w:r w:rsidRPr="00056754">
        <w:rPr>
          <w:vertAlign w:val="subscript"/>
        </w:rPr>
        <w:t>3</w:t>
      </w:r>
      <w:r w:rsidRPr="00056754">
        <w:t>), 3.99 (3H, s, CO</w:t>
      </w:r>
      <w:r w:rsidRPr="00056754">
        <w:rPr>
          <w:vertAlign w:val="subscript"/>
        </w:rPr>
        <w:t>2</w:t>
      </w:r>
      <w:r w:rsidRPr="00056754">
        <w:t>C</w:t>
      </w:r>
      <w:r w:rsidRPr="00056754">
        <w:rPr>
          <w:i/>
        </w:rPr>
        <w:t>H</w:t>
      </w:r>
      <w:r w:rsidRPr="00056754">
        <w:rPr>
          <w:vertAlign w:val="subscript"/>
        </w:rPr>
        <w:t>3</w:t>
      </w:r>
      <w:r w:rsidRPr="00056754">
        <w:t xml:space="preserve">), 1.58 (3H, t, </w:t>
      </w:r>
      <w:r w:rsidRPr="00056754">
        <w:rPr>
          <w:vertAlign w:val="superscript"/>
        </w:rPr>
        <w:t>3</w:t>
      </w:r>
      <w:r w:rsidRPr="00056754">
        <w:rPr>
          <w:i/>
        </w:rPr>
        <w:t>J</w:t>
      </w:r>
      <w:r w:rsidRPr="00056754">
        <w:rPr>
          <w:vertAlign w:val="subscript"/>
        </w:rPr>
        <w:t>H-H</w:t>
      </w:r>
      <w:r w:rsidRPr="00056754">
        <w:t xml:space="preserve"> = 7.2 Hz, CH</w:t>
      </w:r>
      <w:r w:rsidRPr="00056754">
        <w:rPr>
          <w:vertAlign w:val="subscript"/>
        </w:rPr>
        <w:t>2</w:t>
      </w:r>
      <w:r w:rsidRPr="00056754">
        <w:t>C</w:t>
      </w:r>
      <w:r w:rsidRPr="00056754">
        <w:rPr>
          <w:i/>
        </w:rPr>
        <w:t>H</w:t>
      </w:r>
      <w:r w:rsidRPr="00056754">
        <w:rPr>
          <w:vertAlign w:val="subscript"/>
        </w:rPr>
        <w:t>3</w:t>
      </w:r>
      <w:r w:rsidRPr="00056754">
        <w:t>); δ</w:t>
      </w:r>
      <w:r w:rsidRPr="00056754">
        <w:rPr>
          <w:vertAlign w:val="subscript"/>
        </w:rPr>
        <w:t xml:space="preserve">C </w:t>
      </w:r>
      <w:r w:rsidRPr="00056754">
        <w:t>(400 MHz, DMSO-</w:t>
      </w:r>
      <w:r w:rsidRPr="00056754">
        <w:rPr>
          <w:i/>
        </w:rPr>
        <w:t>d</w:t>
      </w:r>
      <w:r w:rsidRPr="00056754">
        <w:rPr>
          <w:i/>
          <w:vertAlign w:val="superscript"/>
        </w:rPr>
        <w:t>6</w:t>
      </w:r>
      <w:r w:rsidRPr="00056754">
        <w:t xml:space="preserve">)/ppm 163.1 (s, </w:t>
      </w:r>
      <w:r w:rsidRPr="00056754">
        <w:rPr>
          <w:u w:val="single"/>
        </w:rPr>
        <w:t>C</w:t>
      </w:r>
      <w:r w:rsidRPr="00056754">
        <w:t>O</w:t>
      </w:r>
      <w:r w:rsidRPr="00056754">
        <w:rPr>
          <w:vertAlign w:val="subscript"/>
        </w:rPr>
        <w:t>2</w:t>
      </w:r>
      <w:r w:rsidRPr="00056754">
        <w:t>CH</w:t>
      </w:r>
      <w:r w:rsidRPr="00056754">
        <w:rPr>
          <w:vertAlign w:val="subscript"/>
        </w:rPr>
        <w:t>3</w:t>
      </w:r>
      <w:r w:rsidRPr="00056754">
        <w:t xml:space="preserve">), 146.55 (s, </w:t>
      </w:r>
      <w:r w:rsidRPr="00056754">
        <w:rPr>
          <w:u w:val="single"/>
        </w:rPr>
        <w:t>C</w:t>
      </w:r>
      <w:r w:rsidRPr="00056754">
        <w:t>HNCH</w:t>
      </w:r>
      <w:r w:rsidRPr="00056754">
        <w:rPr>
          <w:vertAlign w:val="subscript"/>
        </w:rPr>
        <w:t>2</w:t>
      </w:r>
      <w:r w:rsidRPr="00056754">
        <w:t>CH</w:t>
      </w:r>
      <w:r w:rsidRPr="00056754">
        <w:rPr>
          <w:vertAlign w:val="subscript"/>
        </w:rPr>
        <w:t>3</w:t>
      </w:r>
      <w:r w:rsidRPr="00056754">
        <w:t>), 144.02 (s, CCO2CH3), 127.64 (s, CHCCO2CH3), 57.40 (s, NCH2CH3), 54.37 (s, CO2CH3), 16.73 (s, CH2CH3); (ESI+) MS (m/z) 166.1, [C9H12NO2]+, 100%; (ESI-) MS (m/z) 126.9, I-, 100%; 419.8, {[C9H12NO2]I2-}, 20%;    Elemental analysis, found (calcd): %C = 36.86 (36.88), %H = 4.09 (4.13), %N = 4.69 (4.78).</w:t>
      </w:r>
    </w:p>
    <w:p w:rsidR="00056754" w:rsidRDefault="00056754" w:rsidP="00056754">
      <w:pPr>
        <w:pStyle w:val="05BHeading"/>
      </w:pPr>
      <w:r w:rsidRPr="00056754">
        <w:t>Spectroscopic Measurements</w:t>
      </w:r>
    </w:p>
    <w:p w:rsidR="006F2F18" w:rsidRPr="00056754" w:rsidRDefault="00056754" w:rsidP="00056754">
      <w:pPr>
        <w:pStyle w:val="08ArticleText"/>
      </w:pPr>
      <w:r w:rsidRPr="00056754">
        <w:t>Electronic spectra were obtained with a Perkin Elmer 650 UV-Vis spectrometer. Quartz cuvettes of 0.10, 0.50 and 1.00 cm pathlength were used. Z values vary with temperature</w:t>
      </w:r>
      <w:r>
        <w:t>,</w:t>
      </w:r>
      <w:r w:rsidRPr="00056754">
        <w:rPr>
          <w:vertAlign w:val="superscript"/>
        </w:rPr>
        <w:t>1</w:t>
      </w:r>
      <w:r w:rsidR="00B812E7">
        <w:rPr>
          <w:vertAlign w:val="superscript"/>
        </w:rPr>
        <w:t>4</w:t>
      </w:r>
      <w:r w:rsidRPr="00056754">
        <w:t xml:space="preserve"> hence a thermostatic water circulator was used to control the sample-holder temperature to 25.0 °C.</w:t>
      </w:r>
    </w:p>
    <w:p w:rsidR="00641DA1" w:rsidRPr="003725DA" w:rsidRDefault="00641DA1" w:rsidP="00641DA1">
      <w:pPr>
        <w:pStyle w:val="04AHeading"/>
      </w:pPr>
      <w:r>
        <w:t>Notes and references</w:t>
      </w:r>
    </w:p>
    <w:p w:rsidR="00641DA1" w:rsidRDefault="002108E9" w:rsidP="006B670A">
      <w:pPr>
        <w:pStyle w:val="N1AuthorAddresses"/>
      </w:pPr>
      <w:r>
        <w:t xml:space="preserve">* </w:t>
      </w:r>
      <w:r w:rsidR="00000C32" w:rsidRPr="00000C32">
        <w:t>Department of Chemistry, Imperial College London, South Kensington Campus, London, SW7 2AZ, UK</w:t>
      </w:r>
      <w:r w:rsidR="00000C32">
        <w:t xml:space="preserve">. </w:t>
      </w:r>
      <w:r w:rsidR="00641DA1">
        <w:t xml:space="preserve">Tel: </w:t>
      </w:r>
      <w:r w:rsidR="00880DE4">
        <w:t>44</w:t>
      </w:r>
      <w:r w:rsidR="00641DA1">
        <w:t xml:space="preserve"> </w:t>
      </w:r>
      <w:r w:rsidR="00880DE4">
        <w:t>0207</w:t>
      </w:r>
      <w:r w:rsidR="00641DA1">
        <w:t xml:space="preserve"> </w:t>
      </w:r>
      <w:r w:rsidR="00880DE4">
        <w:t>594 3992</w:t>
      </w:r>
      <w:r w:rsidR="00641DA1">
        <w:t xml:space="preserve">; E-mail: </w:t>
      </w:r>
      <w:r w:rsidR="00880DE4">
        <w:t>j.hallett</w:t>
      </w:r>
      <w:r w:rsidR="00641DA1">
        <w:t>@</w:t>
      </w:r>
      <w:r w:rsidR="00880DE4">
        <w:t>imperial</w:t>
      </w:r>
      <w:r w:rsidR="00641DA1">
        <w:t>.</w:t>
      </w:r>
      <w:r w:rsidR="00880DE4">
        <w:t>ac</w:t>
      </w:r>
      <w:r w:rsidR="00641DA1">
        <w:t>.</w:t>
      </w:r>
      <w:r w:rsidR="00880DE4">
        <w:t>uk</w:t>
      </w:r>
    </w:p>
    <w:p w:rsidR="00641DA1" w:rsidRDefault="002108E9" w:rsidP="00641DA1">
      <w:pPr>
        <w:pStyle w:val="N1AuthorAddresses"/>
      </w:pPr>
      <w:r>
        <w:t xml:space="preserve">* </w:t>
      </w:r>
      <w:r w:rsidR="00000C32" w:rsidRPr="00000C32">
        <w:t>Department of Chemistry, Imperial College London, South Kensington Campus, London, SW7 2AZ, UK</w:t>
      </w:r>
      <w:r w:rsidR="00000C32">
        <w:t xml:space="preserve">. </w:t>
      </w:r>
      <w:r w:rsidR="00641DA1">
        <w:t xml:space="preserve">Tel: </w:t>
      </w:r>
      <w:r w:rsidR="00632647">
        <w:t>44</w:t>
      </w:r>
      <w:r w:rsidR="00641DA1">
        <w:t xml:space="preserve"> </w:t>
      </w:r>
      <w:r w:rsidR="00632647">
        <w:t>0207</w:t>
      </w:r>
      <w:r w:rsidR="00641DA1">
        <w:t xml:space="preserve"> </w:t>
      </w:r>
      <w:r w:rsidR="00632647">
        <w:t>594 5763</w:t>
      </w:r>
      <w:r w:rsidR="00641DA1">
        <w:t xml:space="preserve">; E-mail: </w:t>
      </w:r>
      <w:r w:rsidR="00632647">
        <w:t>t.welton</w:t>
      </w:r>
      <w:r w:rsidR="00641DA1">
        <w:t>@</w:t>
      </w:r>
      <w:r w:rsidR="00632647">
        <w:t>imperial</w:t>
      </w:r>
      <w:r w:rsidR="00641DA1">
        <w:t>.</w:t>
      </w:r>
      <w:r w:rsidR="00632647">
        <w:t>ac</w:t>
      </w:r>
      <w:r w:rsidR="00641DA1">
        <w:t>.</w:t>
      </w:r>
      <w:r w:rsidR="00632647">
        <w:t>uk</w:t>
      </w:r>
    </w:p>
    <w:p w:rsidR="00641DA1" w:rsidRPr="002108E9" w:rsidRDefault="00641DA1" w:rsidP="002108E9">
      <w:pPr>
        <w:pStyle w:val="N2Footnotes"/>
      </w:pPr>
      <w:r w:rsidRPr="003628FE">
        <w:t>†</w:t>
      </w:r>
      <w:r w:rsidRPr="003628FE">
        <w:tab/>
      </w:r>
      <w:r w:rsidRPr="0031610B">
        <w:t>Electronic</w:t>
      </w:r>
      <w:r w:rsidRPr="003628FE">
        <w:t xml:space="preserve"> Supplementary Information (ESI) available: [details of any supplementary information </w:t>
      </w:r>
      <w:r w:rsidRPr="00233BD7">
        <w:t>available</w:t>
      </w:r>
      <w:r w:rsidRPr="003628FE">
        <w:t xml:space="preserve"> should be included here]. See </w:t>
      </w:r>
      <w:r w:rsidR="00E22346">
        <w:t>DOI: </w:t>
      </w:r>
      <w:r w:rsidRPr="00EA020E">
        <w:t>10.1039/</w:t>
      </w:r>
      <w:r w:rsidRPr="002108E9">
        <w:t>b000000x/</w:t>
      </w:r>
    </w:p>
    <w:p w:rsidR="002108E9" w:rsidRPr="002108E9" w:rsidRDefault="002108E9" w:rsidP="002108E9">
      <w:pPr>
        <w:pStyle w:val="N2Footnotes"/>
      </w:pPr>
      <w:r w:rsidRPr="002108E9">
        <w:t>‡</w:t>
      </w:r>
      <w:r w:rsidRPr="002108E9">
        <w:tab/>
      </w:r>
      <w:r w:rsidRPr="002108E9">
        <w:rPr>
          <w:szCs w:val="24"/>
        </w:rPr>
        <w:t>The authors are grateful for financial support from the EPSRC (MYL), the Royal Society (PAH), BASF (HN) and the European Research Council.</w:t>
      </w:r>
    </w:p>
    <w:p w:rsidR="00BB1166" w:rsidRPr="00BB1166" w:rsidRDefault="00641DA1" w:rsidP="00F07F3A">
      <w:pPr>
        <w:pStyle w:val="N3References"/>
      </w:pPr>
      <w:r>
        <w:t>1</w:t>
      </w:r>
      <w:r>
        <w:tab/>
      </w:r>
      <w:r w:rsidR="00BB1166">
        <w:t xml:space="preserve">C. </w:t>
      </w:r>
      <w:r w:rsidR="00BB1166" w:rsidRPr="00BB1166">
        <w:rPr>
          <w:rFonts w:eastAsiaTheme="minorHAnsi"/>
        </w:rPr>
        <w:t>Reichardt</w:t>
      </w:r>
      <w:r w:rsidR="00BB1166">
        <w:rPr>
          <w:rFonts w:eastAsiaTheme="minorHAnsi"/>
        </w:rPr>
        <w:t xml:space="preserve"> and T.</w:t>
      </w:r>
      <w:r w:rsidR="00BB1166" w:rsidRPr="00BB1166">
        <w:rPr>
          <w:rFonts w:eastAsiaTheme="minorHAnsi"/>
        </w:rPr>
        <w:t xml:space="preserve"> Welton</w:t>
      </w:r>
      <w:r w:rsidR="00BB1166">
        <w:rPr>
          <w:rFonts w:eastAsiaTheme="minorHAnsi"/>
        </w:rPr>
        <w:t>,</w:t>
      </w:r>
      <w:r w:rsidR="00BB1166" w:rsidRPr="00BB1166">
        <w:rPr>
          <w:rFonts w:eastAsiaTheme="minorHAnsi"/>
        </w:rPr>
        <w:t xml:space="preserve"> </w:t>
      </w:r>
      <w:r w:rsidR="00BB1166" w:rsidRPr="00BB1166">
        <w:rPr>
          <w:rFonts w:eastAsiaTheme="minorHAnsi"/>
          <w:i/>
        </w:rPr>
        <w:t>Solvents and solvent effects in organic chemistry</w:t>
      </w:r>
      <w:r w:rsidR="00A100B8">
        <w:rPr>
          <w:rFonts w:eastAsiaTheme="minorHAnsi"/>
        </w:rPr>
        <w:t xml:space="preserve">, </w:t>
      </w:r>
      <w:r w:rsidR="00BB1166" w:rsidRPr="00BB1166">
        <w:rPr>
          <w:rFonts w:eastAsiaTheme="minorHAnsi"/>
        </w:rPr>
        <w:t>VCH Wiley, Weinheim, 4th ed., 2010.</w:t>
      </w:r>
    </w:p>
    <w:p w:rsidR="00632647" w:rsidRDefault="001D1F50" w:rsidP="00F07F3A">
      <w:pPr>
        <w:pStyle w:val="N3References"/>
      </w:pPr>
      <w:r>
        <w:t>2</w:t>
      </w:r>
      <w:r w:rsidR="00BB1166">
        <w:tab/>
      </w:r>
      <w:r>
        <w:t xml:space="preserve">Y. </w:t>
      </w:r>
      <w:r w:rsidR="00BB1166" w:rsidRPr="001D1F50">
        <w:t xml:space="preserve">Marcus, </w:t>
      </w:r>
      <w:r w:rsidR="00BB1166" w:rsidRPr="001D1F50">
        <w:rPr>
          <w:i/>
        </w:rPr>
        <w:t>Ion solvation</w:t>
      </w:r>
      <w:r w:rsidR="00A100B8">
        <w:t xml:space="preserve">, </w:t>
      </w:r>
      <w:r w:rsidR="00BB1166" w:rsidRPr="001D1F50">
        <w:t>Wiley, Chichester, 1985.</w:t>
      </w:r>
    </w:p>
    <w:p w:rsidR="001D1F50" w:rsidRDefault="001D1F50" w:rsidP="00F07F3A">
      <w:pPr>
        <w:pStyle w:val="N3References"/>
      </w:pPr>
      <w:r>
        <w:t>3</w:t>
      </w:r>
      <w:r>
        <w:tab/>
        <w:t>N.</w:t>
      </w:r>
      <w:r w:rsidR="004C3E39">
        <w:t xml:space="preserve"> V.</w:t>
      </w:r>
      <w:r>
        <w:t xml:space="preserve"> </w:t>
      </w:r>
      <w:r w:rsidRPr="001D1F50">
        <w:t>Plechkova</w:t>
      </w:r>
      <w:r>
        <w:t xml:space="preserve"> and</w:t>
      </w:r>
      <w:r w:rsidRPr="001D1F50">
        <w:t xml:space="preserve"> </w:t>
      </w:r>
      <w:r>
        <w:t>K.</w:t>
      </w:r>
      <w:r w:rsidR="004C3E39">
        <w:t xml:space="preserve"> R.</w:t>
      </w:r>
      <w:r>
        <w:t xml:space="preserve"> </w:t>
      </w:r>
      <w:r w:rsidRPr="001D1F50">
        <w:t xml:space="preserve">Seddon, </w:t>
      </w:r>
      <w:r w:rsidRPr="001D1F50">
        <w:rPr>
          <w:i/>
        </w:rPr>
        <w:t>Chem. Soc. Rev.</w:t>
      </w:r>
      <w:r>
        <w:t>,</w:t>
      </w:r>
      <w:r w:rsidRPr="001D1F50">
        <w:t xml:space="preserve"> </w:t>
      </w:r>
      <w:r>
        <w:t xml:space="preserve">2008, </w:t>
      </w:r>
      <w:r w:rsidRPr="001D1F50">
        <w:rPr>
          <w:b/>
        </w:rPr>
        <w:t>37</w:t>
      </w:r>
      <w:r w:rsidRPr="001D1F50">
        <w:t>, 123.</w:t>
      </w:r>
    </w:p>
    <w:p w:rsidR="001D1F50" w:rsidRDefault="001D1F50" w:rsidP="00F07F3A">
      <w:pPr>
        <w:pStyle w:val="N3References"/>
      </w:pPr>
      <w:r>
        <w:t>4</w:t>
      </w:r>
      <w:r>
        <w:tab/>
      </w:r>
      <w:r w:rsidR="002A226C">
        <w:t xml:space="preserve">C. </w:t>
      </w:r>
      <w:r w:rsidR="002A226C" w:rsidRPr="002A226C">
        <w:t xml:space="preserve">Reichardt, </w:t>
      </w:r>
      <w:r w:rsidR="002A226C" w:rsidRPr="002A226C">
        <w:rPr>
          <w:i/>
        </w:rPr>
        <w:t>Green Chem.</w:t>
      </w:r>
      <w:r w:rsidR="002A226C">
        <w:t>,</w:t>
      </w:r>
      <w:r w:rsidR="002A226C" w:rsidRPr="002A226C">
        <w:t xml:space="preserve"> </w:t>
      </w:r>
      <w:r w:rsidR="002A226C">
        <w:t xml:space="preserve">2005, </w:t>
      </w:r>
      <w:r w:rsidR="002A226C" w:rsidRPr="002A226C">
        <w:rPr>
          <w:b/>
        </w:rPr>
        <w:t>7</w:t>
      </w:r>
      <w:r w:rsidR="002A226C" w:rsidRPr="002A226C">
        <w:t>, 339.</w:t>
      </w:r>
    </w:p>
    <w:p w:rsidR="002A226C" w:rsidRDefault="002A226C" w:rsidP="00F07F3A">
      <w:pPr>
        <w:pStyle w:val="N3References"/>
      </w:pPr>
      <w:r>
        <w:t>5</w:t>
      </w:r>
      <w:r>
        <w:tab/>
        <w:t xml:space="preserve">C. </w:t>
      </w:r>
      <w:r w:rsidRPr="002A226C">
        <w:t xml:space="preserve">Qiyuan, </w:t>
      </w:r>
      <w:r>
        <w:t xml:space="preserve">Z. </w:t>
      </w:r>
      <w:r w:rsidRPr="002A226C">
        <w:t xml:space="preserve">Wenming, </w:t>
      </w:r>
      <w:r>
        <w:t>C.</w:t>
      </w:r>
      <w:r w:rsidRPr="002A226C">
        <w:t xml:space="preserve"> Xinmin, </w:t>
      </w:r>
      <w:r>
        <w:t>G.</w:t>
      </w:r>
      <w:r w:rsidRPr="002A226C">
        <w:t xml:space="preserve"> Songqing, </w:t>
      </w:r>
      <w:r>
        <w:t>Y.</w:t>
      </w:r>
      <w:r w:rsidRPr="002A226C">
        <w:t xml:space="preserve"> Guanqun, </w:t>
      </w:r>
      <w:r>
        <w:t>Z.</w:t>
      </w:r>
      <w:r w:rsidRPr="002A226C">
        <w:t xml:space="preserve"> Huifang</w:t>
      </w:r>
      <w:r>
        <w:t xml:space="preserve"> and Y.</w:t>
      </w:r>
      <w:r w:rsidRPr="002A226C">
        <w:t xml:space="preserve"> </w:t>
      </w:r>
      <w:r w:rsidR="004C3E39">
        <w:t xml:space="preserve">T. </w:t>
      </w:r>
      <w:r w:rsidRPr="002A226C">
        <w:t xml:space="preserve">Zhonglin, </w:t>
      </w:r>
      <w:r w:rsidRPr="002A226C">
        <w:rPr>
          <w:i/>
        </w:rPr>
        <w:t>Thermochim. Acta</w:t>
      </w:r>
      <w:r>
        <w:t>,</w:t>
      </w:r>
      <w:r w:rsidRPr="002A226C">
        <w:t xml:space="preserve"> </w:t>
      </w:r>
      <w:r>
        <w:t xml:space="preserve">1995, </w:t>
      </w:r>
      <w:r w:rsidRPr="002A226C">
        <w:rPr>
          <w:b/>
        </w:rPr>
        <w:t>253</w:t>
      </w:r>
      <w:r w:rsidRPr="002A226C">
        <w:t>, 33</w:t>
      </w:r>
      <w:r>
        <w:t>.</w:t>
      </w:r>
    </w:p>
    <w:p w:rsidR="002108E9" w:rsidRDefault="00A100B8" w:rsidP="00F07F3A">
      <w:pPr>
        <w:pStyle w:val="N3References"/>
        <w:rPr>
          <w:rFonts w:eastAsiaTheme="minorHAnsi"/>
        </w:rPr>
      </w:pPr>
      <w:r>
        <w:t>6</w:t>
      </w:r>
      <w:r>
        <w:tab/>
      </w:r>
      <w:r w:rsidR="004B70E1">
        <w:t>(</w:t>
      </w:r>
      <w:r w:rsidR="004B70E1" w:rsidRPr="004B70E1">
        <w:rPr>
          <w:i/>
        </w:rPr>
        <w:t>a</w:t>
      </w:r>
      <w:r w:rsidR="004B70E1">
        <w:t xml:space="preserve">) ; J. P. Hallett and T. Welton, </w:t>
      </w:r>
      <w:r w:rsidR="004B70E1">
        <w:rPr>
          <w:i/>
        </w:rPr>
        <w:t>Chem. Rev.</w:t>
      </w:r>
      <w:r w:rsidR="004B70E1">
        <w:t xml:space="preserve">, 2011, </w:t>
      </w:r>
      <w:r w:rsidR="004B70E1">
        <w:rPr>
          <w:b/>
        </w:rPr>
        <w:t>111</w:t>
      </w:r>
      <w:r w:rsidR="004B70E1">
        <w:t>, 3508. (</w:t>
      </w:r>
      <w:r w:rsidR="004B70E1" w:rsidRPr="004B70E1">
        <w:rPr>
          <w:i/>
        </w:rPr>
        <w:t>b</w:t>
      </w:r>
      <w:r w:rsidR="004B70E1">
        <w:t xml:space="preserve">) </w:t>
      </w:r>
      <w:r>
        <w:t xml:space="preserve">P. </w:t>
      </w:r>
      <w:r w:rsidRPr="00A100B8">
        <w:rPr>
          <w:rFonts w:eastAsiaTheme="minorHAnsi"/>
        </w:rPr>
        <w:t>Wasserschied</w:t>
      </w:r>
      <w:r>
        <w:rPr>
          <w:rFonts w:eastAsiaTheme="minorHAnsi"/>
        </w:rPr>
        <w:t xml:space="preserve"> and T.</w:t>
      </w:r>
      <w:r w:rsidRPr="00A100B8">
        <w:rPr>
          <w:rFonts w:eastAsiaTheme="minorHAnsi"/>
        </w:rPr>
        <w:t xml:space="preserve"> Welton</w:t>
      </w:r>
      <w:r>
        <w:rPr>
          <w:rFonts w:eastAsiaTheme="minorHAnsi"/>
        </w:rPr>
        <w:t xml:space="preserve"> </w:t>
      </w:r>
      <w:r w:rsidRPr="00A100B8">
        <w:rPr>
          <w:rFonts w:eastAsiaTheme="minorHAnsi"/>
        </w:rPr>
        <w:t>(eds.)</w:t>
      </w:r>
      <w:r>
        <w:rPr>
          <w:rFonts w:eastAsiaTheme="minorHAnsi"/>
        </w:rPr>
        <w:t>,</w:t>
      </w:r>
      <w:r w:rsidRPr="00A100B8">
        <w:rPr>
          <w:rFonts w:eastAsiaTheme="minorHAnsi"/>
        </w:rPr>
        <w:t xml:space="preserve"> </w:t>
      </w:r>
      <w:r w:rsidRPr="00A100B8">
        <w:rPr>
          <w:rFonts w:eastAsiaTheme="minorHAnsi"/>
          <w:i/>
        </w:rPr>
        <w:t xml:space="preserve">Ionic </w:t>
      </w:r>
      <w:r w:rsidRPr="00A100B8">
        <w:rPr>
          <w:rFonts w:eastAsiaTheme="minorEastAsia"/>
          <w:i/>
        </w:rPr>
        <w:t>l</w:t>
      </w:r>
      <w:r w:rsidRPr="00A100B8">
        <w:rPr>
          <w:rFonts w:eastAsiaTheme="minorHAnsi"/>
          <w:i/>
        </w:rPr>
        <w:t xml:space="preserve">iquids in </w:t>
      </w:r>
      <w:r w:rsidRPr="00A100B8">
        <w:rPr>
          <w:rFonts w:eastAsiaTheme="minorEastAsia"/>
          <w:i/>
        </w:rPr>
        <w:t>s</w:t>
      </w:r>
      <w:r w:rsidRPr="00A100B8">
        <w:rPr>
          <w:rFonts w:eastAsiaTheme="minorHAnsi"/>
          <w:i/>
        </w:rPr>
        <w:t>ynthesis</w:t>
      </w:r>
      <w:r>
        <w:rPr>
          <w:rFonts w:eastAsiaTheme="minorHAnsi"/>
        </w:rPr>
        <w:t xml:space="preserve">, </w:t>
      </w:r>
      <w:r w:rsidRPr="00A100B8">
        <w:rPr>
          <w:rFonts w:eastAsiaTheme="minorHAnsi"/>
        </w:rPr>
        <w:t>VCH Wiley, Weinheim, 2nd ed., 2007.</w:t>
      </w:r>
    </w:p>
    <w:p w:rsidR="00A100B8" w:rsidRDefault="00A100B8" w:rsidP="00F07F3A">
      <w:pPr>
        <w:pStyle w:val="N3References"/>
      </w:pPr>
      <w:r>
        <w:t>7</w:t>
      </w:r>
      <w:r>
        <w:tab/>
        <w:t xml:space="preserve">G. </w:t>
      </w:r>
      <w:r w:rsidRPr="00A100B8">
        <w:t xml:space="preserve">Ranieri, </w:t>
      </w:r>
      <w:r>
        <w:t>J.</w:t>
      </w:r>
      <w:r w:rsidRPr="00A100B8">
        <w:t xml:space="preserve"> </w:t>
      </w:r>
      <w:r w:rsidR="004C3E39">
        <w:t xml:space="preserve">P. </w:t>
      </w:r>
      <w:r w:rsidRPr="00A100B8">
        <w:t>Hallett</w:t>
      </w:r>
      <w:r>
        <w:t xml:space="preserve"> and</w:t>
      </w:r>
      <w:r w:rsidRPr="00A100B8">
        <w:t xml:space="preserve"> </w:t>
      </w:r>
      <w:r>
        <w:t xml:space="preserve">T. </w:t>
      </w:r>
      <w:r w:rsidRPr="00A100B8">
        <w:t xml:space="preserve">Welton, </w:t>
      </w:r>
      <w:r w:rsidRPr="00A100B8">
        <w:rPr>
          <w:i/>
        </w:rPr>
        <w:t>Ind. Eng. Chem. Res.</w:t>
      </w:r>
      <w:r>
        <w:t>, 2008,</w:t>
      </w:r>
      <w:r w:rsidRPr="00A100B8">
        <w:t xml:space="preserve"> </w:t>
      </w:r>
      <w:r w:rsidRPr="00A100B8">
        <w:rPr>
          <w:b/>
        </w:rPr>
        <w:t>47</w:t>
      </w:r>
      <w:r w:rsidRPr="00A100B8">
        <w:t>, 638</w:t>
      </w:r>
      <w:r>
        <w:t>.</w:t>
      </w:r>
    </w:p>
    <w:p w:rsidR="00A100B8" w:rsidRDefault="007D38F4" w:rsidP="00F07F3A">
      <w:pPr>
        <w:pStyle w:val="N3References"/>
      </w:pPr>
      <w:r>
        <w:t>8</w:t>
      </w:r>
      <w:r>
        <w:tab/>
      </w:r>
      <w:r w:rsidRPr="007D38F4">
        <w:t xml:space="preserve">L. Crowhurst, </w:t>
      </w:r>
      <w:r>
        <w:t>R.</w:t>
      </w:r>
      <w:r w:rsidRPr="007D38F4">
        <w:t xml:space="preserve"> Falcone, </w:t>
      </w:r>
      <w:r>
        <w:t>N.</w:t>
      </w:r>
      <w:r w:rsidRPr="007D38F4">
        <w:t xml:space="preserve"> </w:t>
      </w:r>
      <w:r w:rsidR="004C3E39">
        <w:t xml:space="preserve">L. </w:t>
      </w:r>
      <w:r w:rsidRPr="007D38F4">
        <w:t xml:space="preserve">Lancaster, </w:t>
      </w:r>
      <w:r>
        <w:t>V.</w:t>
      </w:r>
      <w:r w:rsidRPr="007D38F4">
        <w:t xml:space="preserve"> Llopis-Mestre</w:t>
      </w:r>
      <w:r>
        <w:t xml:space="preserve"> and T. </w:t>
      </w:r>
      <w:r w:rsidRPr="007D38F4">
        <w:t xml:space="preserve">Welton, </w:t>
      </w:r>
      <w:r w:rsidRPr="007D38F4">
        <w:rPr>
          <w:i/>
        </w:rPr>
        <w:t>J. Org. Chem.</w:t>
      </w:r>
      <w:r>
        <w:t>, 2006,</w:t>
      </w:r>
      <w:r w:rsidRPr="007D38F4">
        <w:t xml:space="preserve"> </w:t>
      </w:r>
      <w:r w:rsidRPr="007D38F4">
        <w:rPr>
          <w:b/>
        </w:rPr>
        <w:t>71</w:t>
      </w:r>
      <w:r w:rsidRPr="007D38F4">
        <w:t>, 8847</w:t>
      </w:r>
      <w:r>
        <w:t>.</w:t>
      </w:r>
    </w:p>
    <w:p w:rsidR="007D38F4" w:rsidRPr="007D38F4" w:rsidRDefault="007D38F4" w:rsidP="007D38F4">
      <w:pPr>
        <w:pStyle w:val="N3References"/>
      </w:pPr>
      <w:r>
        <w:t>9</w:t>
      </w:r>
      <w:r>
        <w:tab/>
        <w:t xml:space="preserve">C. </w:t>
      </w:r>
      <w:r w:rsidRPr="007D38F4">
        <w:t xml:space="preserve">Chiappe, </w:t>
      </w:r>
      <w:r>
        <w:t>M.</w:t>
      </w:r>
      <w:r w:rsidRPr="007D38F4">
        <w:t xml:space="preserve"> Malvaldi</w:t>
      </w:r>
      <w:r>
        <w:t xml:space="preserve"> and C.</w:t>
      </w:r>
      <w:r w:rsidRPr="007D38F4">
        <w:t xml:space="preserve"> </w:t>
      </w:r>
      <w:r w:rsidR="004C3E39">
        <w:t xml:space="preserve">S. </w:t>
      </w:r>
      <w:r w:rsidRPr="007D38F4">
        <w:t xml:space="preserve">Pomelli, </w:t>
      </w:r>
      <w:r w:rsidRPr="007D38F4">
        <w:rPr>
          <w:i/>
        </w:rPr>
        <w:t>Pure Appl. Chem.</w:t>
      </w:r>
      <w:r>
        <w:t>, 2009,</w:t>
      </w:r>
      <w:r w:rsidRPr="007D38F4">
        <w:t xml:space="preserve"> </w:t>
      </w:r>
      <w:r w:rsidRPr="007D38F4">
        <w:rPr>
          <w:b/>
        </w:rPr>
        <w:t>81</w:t>
      </w:r>
      <w:r w:rsidRPr="007D38F4">
        <w:t>, 767</w:t>
      </w:r>
      <w:r>
        <w:t>.</w:t>
      </w:r>
    </w:p>
    <w:p w:rsidR="007D38F4" w:rsidRDefault="007D38F4" w:rsidP="007D38F4">
      <w:pPr>
        <w:pStyle w:val="N3References"/>
      </w:pPr>
      <w:r w:rsidRPr="007D38F4">
        <w:t>10</w:t>
      </w:r>
      <w:r w:rsidRPr="007D38F4">
        <w:tab/>
      </w:r>
      <w:r w:rsidR="004B70E1">
        <w:t>(</w:t>
      </w:r>
      <w:r w:rsidR="004B70E1" w:rsidRPr="004B70E1">
        <w:rPr>
          <w:i/>
        </w:rPr>
        <w:t>a</w:t>
      </w:r>
      <w:r w:rsidR="004B70E1">
        <w:t xml:space="preserve">) </w:t>
      </w:r>
      <w:r w:rsidRPr="007D38F4">
        <w:t xml:space="preserve">S. </w:t>
      </w:r>
      <w:r w:rsidR="004C3E39">
        <w:t xml:space="preserve">N. </w:t>
      </w:r>
      <w:r w:rsidRPr="007D38F4">
        <w:rPr>
          <w:szCs w:val="24"/>
        </w:rPr>
        <w:t xml:space="preserve">Baker, </w:t>
      </w:r>
      <w:r>
        <w:rPr>
          <w:szCs w:val="24"/>
        </w:rPr>
        <w:t>G.</w:t>
      </w:r>
      <w:r w:rsidRPr="007D38F4">
        <w:rPr>
          <w:szCs w:val="24"/>
        </w:rPr>
        <w:t xml:space="preserve"> </w:t>
      </w:r>
      <w:r w:rsidR="004C3E39">
        <w:rPr>
          <w:szCs w:val="24"/>
        </w:rPr>
        <w:t xml:space="preserve">A. </w:t>
      </w:r>
      <w:r w:rsidRPr="007D38F4">
        <w:rPr>
          <w:szCs w:val="24"/>
        </w:rPr>
        <w:t xml:space="preserve">Baker, </w:t>
      </w:r>
      <w:r>
        <w:rPr>
          <w:szCs w:val="24"/>
        </w:rPr>
        <w:t>M.</w:t>
      </w:r>
      <w:r w:rsidRPr="007D38F4">
        <w:rPr>
          <w:szCs w:val="24"/>
        </w:rPr>
        <w:t xml:space="preserve"> </w:t>
      </w:r>
      <w:r w:rsidR="004C3E39">
        <w:rPr>
          <w:szCs w:val="24"/>
        </w:rPr>
        <w:t xml:space="preserve">A. </w:t>
      </w:r>
      <w:r w:rsidRPr="007D38F4">
        <w:rPr>
          <w:szCs w:val="24"/>
        </w:rPr>
        <w:t xml:space="preserve">Kane </w:t>
      </w:r>
      <w:r>
        <w:rPr>
          <w:szCs w:val="24"/>
        </w:rPr>
        <w:t>and F.</w:t>
      </w:r>
      <w:r w:rsidRPr="007D38F4">
        <w:rPr>
          <w:szCs w:val="24"/>
        </w:rPr>
        <w:t xml:space="preserve"> </w:t>
      </w:r>
      <w:r w:rsidR="004C3E39">
        <w:rPr>
          <w:szCs w:val="24"/>
        </w:rPr>
        <w:t xml:space="preserve">V. </w:t>
      </w:r>
      <w:r w:rsidRPr="007D38F4">
        <w:rPr>
          <w:szCs w:val="24"/>
        </w:rPr>
        <w:t xml:space="preserve">Bright, </w:t>
      </w:r>
      <w:r w:rsidRPr="007D38F4">
        <w:rPr>
          <w:i/>
          <w:szCs w:val="24"/>
        </w:rPr>
        <w:t>J. Phys. Chem. B</w:t>
      </w:r>
      <w:r>
        <w:rPr>
          <w:szCs w:val="24"/>
        </w:rPr>
        <w:t>, 2001,</w:t>
      </w:r>
      <w:r w:rsidRPr="007D38F4">
        <w:rPr>
          <w:szCs w:val="24"/>
        </w:rPr>
        <w:t xml:space="preserve"> </w:t>
      </w:r>
      <w:r w:rsidRPr="007D38F4">
        <w:rPr>
          <w:b/>
          <w:szCs w:val="24"/>
        </w:rPr>
        <w:t>105</w:t>
      </w:r>
      <w:r w:rsidRPr="007D38F4">
        <w:rPr>
          <w:szCs w:val="24"/>
        </w:rPr>
        <w:t>, 9663</w:t>
      </w:r>
      <w:r w:rsidR="004B70E1">
        <w:rPr>
          <w:szCs w:val="24"/>
        </w:rPr>
        <w:t>; (</w:t>
      </w:r>
      <w:r w:rsidR="004B70E1">
        <w:rPr>
          <w:i/>
          <w:szCs w:val="24"/>
        </w:rPr>
        <w:t>b</w:t>
      </w:r>
      <w:r w:rsidR="004B70E1">
        <w:rPr>
          <w:szCs w:val="24"/>
        </w:rPr>
        <w:t xml:space="preserve">) </w:t>
      </w:r>
      <w:r w:rsidR="00A1789B">
        <w:rPr>
          <w:szCs w:val="24"/>
        </w:rPr>
        <w:t xml:space="preserve">P. </w:t>
      </w:r>
      <w:r w:rsidR="00A1789B" w:rsidRPr="00A1789B">
        <w:t xml:space="preserve">Bonhôte, </w:t>
      </w:r>
      <w:r w:rsidR="00A1789B">
        <w:t>A.</w:t>
      </w:r>
      <w:r w:rsidR="004C3E39">
        <w:t>-P.</w:t>
      </w:r>
      <w:r w:rsidR="00A1789B" w:rsidRPr="00A1789B">
        <w:t xml:space="preserve"> Dias, </w:t>
      </w:r>
      <w:r w:rsidR="00A1789B">
        <w:t>N.</w:t>
      </w:r>
      <w:r w:rsidR="00A1789B" w:rsidRPr="00A1789B">
        <w:t xml:space="preserve"> Papageorgiou, </w:t>
      </w:r>
      <w:r w:rsidR="00A1789B">
        <w:t>K.</w:t>
      </w:r>
      <w:r w:rsidR="00A1789B" w:rsidRPr="00A1789B">
        <w:t xml:space="preserve"> Kalyanasundaram</w:t>
      </w:r>
      <w:r w:rsidR="00A1789B">
        <w:t xml:space="preserve"> and</w:t>
      </w:r>
      <w:r w:rsidR="00A1789B" w:rsidRPr="00A1789B">
        <w:t xml:space="preserve"> </w:t>
      </w:r>
      <w:r w:rsidR="00A1789B">
        <w:t xml:space="preserve">M. </w:t>
      </w:r>
      <w:r w:rsidR="00A1789B" w:rsidRPr="00A1789B">
        <w:t xml:space="preserve">Grätzel, </w:t>
      </w:r>
      <w:r w:rsidR="00A1789B" w:rsidRPr="00A1789B">
        <w:rPr>
          <w:i/>
        </w:rPr>
        <w:t>Inorg. Chem.</w:t>
      </w:r>
      <w:r w:rsidR="00A1789B">
        <w:t>, 1996,</w:t>
      </w:r>
      <w:r w:rsidR="00A1789B" w:rsidRPr="00A1789B">
        <w:t xml:space="preserve"> </w:t>
      </w:r>
      <w:r w:rsidR="00A1789B" w:rsidRPr="00A1789B">
        <w:rPr>
          <w:b/>
        </w:rPr>
        <w:t>35</w:t>
      </w:r>
      <w:r w:rsidR="00A1789B" w:rsidRPr="00A1789B">
        <w:t>, 1168</w:t>
      </w:r>
      <w:r w:rsidR="00A1789B">
        <w:t>.</w:t>
      </w:r>
    </w:p>
    <w:p w:rsidR="00AB3EA2" w:rsidRDefault="00A1789B" w:rsidP="007D38F4">
      <w:pPr>
        <w:pStyle w:val="N3References"/>
      </w:pPr>
      <w:r>
        <w:t>1</w:t>
      </w:r>
      <w:r w:rsidR="004B70E1">
        <w:t>1</w:t>
      </w:r>
      <w:r>
        <w:tab/>
      </w:r>
      <w:r w:rsidR="004B70E1">
        <w:t>(</w:t>
      </w:r>
      <w:r w:rsidR="004B70E1" w:rsidRPr="004B70E1">
        <w:rPr>
          <w:i/>
        </w:rPr>
        <w:t>a</w:t>
      </w:r>
      <w:r w:rsidR="004B70E1">
        <w:t xml:space="preserve">) M.-M. Huang, Y. Jiang, P. Sasisanker, G. W. Driver and H. </w:t>
      </w:r>
      <w:r w:rsidR="004B70E1" w:rsidRPr="00AB3EA2">
        <w:t>Weingärtner</w:t>
      </w:r>
      <w:r w:rsidR="004B70E1">
        <w:t xml:space="preserve">, </w:t>
      </w:r>
      <w:r w:rsidR="004B70E1">
        <w:rPr>
          <w:i/>
        </w:rPr>
        <w:t>J. Chem. Eng. Data</w:t>
      </w:r>
      <w:r w:rsidR="004B70E1">
        <w:t xml:space="preserve">, 2011, </w:t>
      </w:r>
      <w:r w:rsidR="004B70E1" w:rsidRPr="004B70E1">
        <w:rPr>
          <w:b/>
        </w:rPr>
        <w:t>56</w:t>
      </w:r>
      <w:r w:rsidR="004B70E1">
        <w:t>, 1494; (</w:t>
      </w:r>
      <w:r w:rsidR="004B70E1" w:rsidRPr="004B70E1">
        <w:rPr>
          <w:i/>
        </w:rPr>
        <w:t>b</w:t>
      </w:r>
      <w:r w:rsidR="004B70E1">
        <w:t xml:space="preserve">) </w:t>
      </w:r>
      <w:r w:rsidR="00AB3EA2">
        <w:t xml:space="preserve">H. </w:t>
      </w:r>
      <w:r w:rsidR="00AB3EA2" w:rsidRPr="00AB3EA2">
        <w:t xml:space="preserve">Weingärtner, </w:t>
      </w:r>
      <w:r w:rsidR="00AB3EA2" w:rsidRPr="00AB3EA2">
        <w:rPr>
          <w:i/>
        </w:rPr>
        <w:t>Z. Phys. Chem.</w:t>
      </w:r>
      <w:r w:rsidR="00AB3EA2">
        <w:t>, 2006,</w:t>
      </w:r>
      <w:r w:rsidR="00AB3EA2" w:rsidRPr="00AB3EA2">
        <w:t xml:space="preserve"> </w:t>
      </w:r>
      <w:r w:rsidR="00AB3EA2" w:rsidRPr="00AB3EA2">
        <w:rPr>
          <w:b/>
        </w:rPr>
        <w:t>220</w:t>
      </w:r>
      <w:r w:rsidR="00AB3EA2" w:rsidRPr="00AB3EA2">
        <w:t>, 1395</w:t>
      </w:r>
      <w:r w:rsidR="004B70E1">
        <w:t>; (</w:t>
      </w:r>
      <w:r w:rsidR="004B70E1">
        <w:rPr>
          <w:i/>
        </w:rPr>
        <w:t>c</w:t>
      </w:r>
      <w:r w:rsidR="004B70E1">
        <w:t xml:space="preserve">) </w:t>
      </w:r>
      <w:r w:rsidR="00AB3EA2">
        <w:tab/>
        <w:t xml:space="preserve">H. </w:t>
      </w:r>
      <w:r w:rsidR="00AB3EA2" w:rsidRPr="00AB3EA2">
        <w:t xml:space="preserve">Weingärtner,  </w:t>
      </w:r>
      <w:r w:rsidR="00AB3EA2">
        <w:t>A.</w:t>
      </w:r>
      <w:r w:rsidR="00AB3EA2" w:rsidRPr="00AB3EA2">
        <w:t xml:space="preserve"> Knocks, </w:t>
      </w:r>
      <w:r w:rsidR="00AB3EA2">
        <w:t>W.</w:t>
      </w:r>
      <w:r w:rsidR="00AB3EA2" w:rsidRPr="00AB3EA2">
        <w:t xml:space="preserve"> Schrader</w:t>
      </w:r>
      <w:r w:rsidR="00AB3EA2">
        <w:t xml:space="preserve"> and</w:t>
      </w:r>
      <w:r w:rsidR="00AB3EA2" w:rsidRPr="00AB3EA2">
        <w:t xml:space="preserve"> </w:t>
      </w:r>
      <w:r w:rsidR="00AB3EA2">
        <w:t>U.</w:t>
      </w:r>
      <w:r w:rsidR="00AB3EA2" w:rsidRPr="00AB3EA2">
        <w:t xml:space="preserve"> Kaatze, </w:t>
      </w:r>
      <w:r w:rsidR="00AB3EA2" w:rsidRPr="00AB3EA2">
        <w:rPr>
          <w:i/>
        </w:rPr>
        <w:t>J. Phys. Chem. A</w:t>
      </w:r>
      <w:r w:rsidR="00AB3EA2" w:rsidRPr="00AB3EA2">
        <w:t xml:space="preserve">, </w:t>
      </w:r>
      <w:r w:rsidR="00AB3EA2">
        <w:t xml:space="preserve">2001, </w:t>
      </w:r>
      <w:r w:rsidR="00AB3EA2" w:rsidRPr="00AB3EA2">
        <w:rPr>
          <w:b/>
        </w:rPr>
        <w:t>105</w:t>
      </w:r>
      <w:r w:rsidR="00AB3EA2" w:rsidRPr="00AB3EA2">
        <w:t>, 8646</w:t>
      </w:r>
      <w:r w:rsidR="00AB3EA2">
        <w:t>.</w:t>
      </w:r>
    </w:p>
    <w:p w:rsidR="00AB3EA2" w:rsidRDefault="00AB3EA2" w:rsidP="007D38F4">
      <w:pPr>
        <w:pStyle w:val="N3References"/>
      </w:pPr>
      <w:r>
        <w:t>1</w:t>
      </w:r>
      <w:r w:rsidR="00C34CFC">
        <w:t>2</w:t>
      </w:r>
      <w:r>
        <w:tab/>
        <w:t xml:space="preserve">J. </w:t>
      </w:r>
      <w:r w:rsidR="004C3E39">
        <w:t xml:space="preserve">P. </w:t>
      </w:r>
      <w:r w:rsidRPr="00AB3EA2">
        <w:t xml:space="preserve">Hallett, </w:t>
      </w:r>
      <w:r>
        <w:t>C.</w:t>
      </w:r>
      <w:r w:rsidRPr="00AB3EA2">
        <w:t xml:space="preserve"> </w:t>
      </w:r>
      <w:r w:rsidR="004C3E39">
        <w:t xml:space="preserve">L. </w:t>
      </w:r>
      <w:r w:rsidRPr="00AB3EA2">
        <w:t xml:space="preserve">Liotta, </w:t>
      </w:r>
      <w:r>
        <w:t>G.</w:t>
      </w:r>
      <w:r w:rsidRPr="00AB3EA2">
        <w:t xml:space="preserve"> Ranieri</w:t>
      </w:r>
      <w:r>
        <w:t xml:space="preserve"> and T.</w:t>
      </w:r>
      <w:r w:rsidRPr="00AB3EA2">
        <w:t xml:space="preserve"> Welton</w:t>
      </w:r>
      <w:r>
        <w:t>,</w:t>
      </w:r>
      <w:r w:rsidRPr="00AB3EA2">
        <w:t xml:space="preserve"> </w:t>
      </w:r>
      <w:r w:rsidRPr="00AB3EA2">
        <w:rPr>
          <w:i/>
        </w:rPr>
        <w:t>J. Org. Chem.</w:t>
      </w:r>
      <w:r>
        <w:t>, 2009,</w:t>
      </w:r>
      <w:r w:rsidRPr="00AB3EA2">
        <w:t xml:space="preserve"> </w:t>
      </w:r>
      <w:r w:rsidRPr="00AB3EA2">
        <w:rPr>
          <w:b/>
        </w:rPr>
        <w:t>74</w:t>
      </w:r>
      <w:r w:rsidRPr="00AB3EA2">
        <w:t>, 1864</w:t>
      </w:r>
      <w:r>
        <w:t>.</w:t>
      </w:r>
    </w:p>
    <w:p w:rsidR="00AB3EA2" w:rsidRDefault="00AB3EA2" w:rsidP="007D38F4">
      <w:pPr>
        <w:pStyle w:val="N3References"/>
      </w:pPr>
      <w:r>
        <w:t>1</w:t>
      </w:r>
      <w:r w:rsidR="00C34CFC">
        <w:t>3</w:t>
      </w:r>
      <w:r>
        <w:tab/>
        <w:t xml:space="preserve">R. </w:t>
      </w:r>
      <w:r w:rsidR="004C3E39">
        <w:t xml:space="preserve">M. </w:t>
      </w:r>
      <w:r w:rsidRPr="00AB3EA2">
        <w:t>Lynden-Bell</w:t>
      </w:r>
      <w:r>
        <w:t>,</w:t>
      </w:r>
      <w:r w:rsidRPr="00AB3EA2">
        <w:t xml:space="preserve"> </w:t>
      </w:r>
      <w:r w:rsidRPr="00AB3EA2">
        <w:rPr>
          <w:i/>
        </w:rPr>
        <w:t>Phys. Chem. Chem. Phys.</w:t>
      </w:r>
      <w:r>
        <w:t>, 2010,</w:t>
      </w:r>
      <w:r w:rsidRPr="00AB3EA2">
        <w:t xml:space="preserve"> </w:t>
      </w:r>
      <w:r w:rsidRPr="00AB3EA2">
        <w:rPr>
          <w:b/>
        </w:rPr>
        <w:t>12</w:t>
      </w:r>
      <w:r w:rsidRPr="00AB3EA2">
        <w:t>, 1733</w:t>
      </w:r>
      <w:r>
        <w:t>.</w:t>
      </w:r>
    </w:p>
    <w:p w:rsidR="00AB3EA2" w:rsidRDefault="00AB3EA2" w:rsidP="007D38F4">
      <w:pPr>
        <w:pStyle w:val="N3References"/>
      </w:pPr>
      <w:r>
        <w:t>1</w:t>
      </w:r>
      <w:r w:rsidR="00B812E7">
        <w:t>4</w:t>
      </w:r>
      <w:r>
        <w:tab/>
      </w:r>
      <w:r w:rsidR="00DD49C6">
        <w:t xml:space="preserve">E. </w:t>
      </w:r>
      <w:r w:rsidR="004C3E39">
        <w:t xml:space="preserve">M. </w:t>
      </w:r>
      <w:r w:rsidR="00DD49C6" w:rsidRPr="00DD49C6">
        <w:t xml:space="preserve">Kosower, </w:t>
      </w:r>
      <w:r w:rsidR="00DD49C6" w:rsidRPr="00DD49C6">
        <w:rPr>
          <w:i/>
        </w:rPr>
        <w:t>J. Am. Chem. Soc.</w:t>
      </w:r>
      <w:r w:rsidR="00DD49C6">
        <w:t>, 1958,</w:t>
      </w:r>
      <w:r w:rsidR="00DD49C6" w:rsidRPr="00DD49C6">
        <w:t xml:space="preserve"> </w:t>
      </w:r>
      <w:r w:rsidR="00DD49C6" w:rsidRPr="00DD49C6">
        <w:rPr>
          <w:b/>
        </w:rPr>
        <w:t>80</w:t>
      </w:r>
      <w:r w:rsidR="00DD49C6" w:rsidRPr="00DD49C6">
        <w:t>, 3253</w:t>
      </w:r>
      <w:r w:rsidR="00DD49C6">
        <w:t>.</w:t>
      </w:r>
    </w:p>
    <w:p w:rsidR="00DD49C6" w:rsidRDefault="00DD49C6" w:rsidP="007D38F4">
      <w:pPr>
        <w:pStyle w:val="N3References"/>
      </w:pPr>
      <w:r>
        <w:t>1</w:t>
      </w:r>
      <w:r w:rsidR="00B812E7">
        <w:t>5</w:t>
      </w:r>
      <w:r>
        <w:tab/>
      </w:r>
      <w:r w:rsidR="00A7531F">
        <w:t xml:space="preserve">M. </w:t>
      </w:r>
      <w:r w:rsidR="00A7531F" w:rsidRPr="00A7531F">
        <w:t>Pal</w:t>
      </w:r>
      <w:r w:rsidR="00A7531F">
        <w:t xml:space="preserve"> and S.</w:t>
      </w:r>
      <w:r w:rsidR="00A7531F" w:rsidRPr="00A7531F">
        <w:t xml:space="preserve"> Bagchi, </w:t>
      </w:r>
      <w:r w:rsidR="00A7531F" w:rsidRPr="00A7531F">
        <w:rPr>
          <w:i/>
        </w:rPr>
        <w:t>J. Chem. Soc., Faraday Trans. 1</w:t>
      </w:r>
      <w:r w:rsidR="00A7531F" w:rsidRPr="00A7531F">
        <w:t xml:space="preserve">, </w:t>
      </w:r>
      <w:r w:rsidR="00A7531F">
        <w:t xml:space="preserve">1985, </w:t>
      </w:r>
      <w:r w:rsidR="00A7531F" w:rsidRPr="00A7531F">
        <w:rPr>
          <w:b/>
        </w:rPr>
        <w:t>81</w:t>
      </w:r>
      <w:r w:rsidR="00A7531F" w:rsidRPr="00A7531F">
        <w:t>, 2323</w:t>
      </w:r>
      <w:r w:rsidR="00A7531F">
        <w:t>.</w:t>
      </w:r>
    </w:p>
    <w:p w:rsidR="00A7531F" w:rsidRDefault="00A7531F" w:rsidP="007D38F4">
      <w:pPr>
        <w:pStyle w:val="N3References"/>
      </w:pPr>
      <w:r>
        <w:t>1</w:t>
      </w:r>
      <w:r w:rsidR="00B812E7">
        <w:t>6</w:t>
      </w:r>
      <w:r>
        <w:tab/>
      </w:r>
      <w:r w:rsidR="00F77CAB">
        <w:t xml:space="preserve">P. </w:t>
      </w:r>
      <w:r w:rsidR="00F77CAB" w:rsidRPr="00F77CAB">
        <w:t xml:space="preserve">Hemmes, </w:t>
      </w:r>
      <w:r w:rsidR="00F77CAB">
        <w:t>J.</w:t>
      </w:r>
      <w:r w:rsidR="004C3E39">
        <w:t xml:space="preserve"> N.</w:t>
      </w:r>
      <w:r w:rsidR="00F77CAB" w:rsidRPr="00F77CAB">
        <w:t xml:space="preserve"> Costanzo</w:t>
      </w:r>
      <w:r w:rsidR="00F77CAB">
        <w:t xml:space="preserve"> and F.</w:t>
      </w:r>
      <w:r w:rsidR="00F77CAB" w:rsidRPr="00F77CAB">
        <w:t xml:space="preserve"> Jordan, </w:t>
      </w:r>
      <w:r w:rsidR="00F77CAB" w:rsidRPr="00F77CAB">
        <w:rPr>
          <w:i/>
        </w:rPr>
        <w:t>J. Phys. Chem.</w:t>
      </w:r>
      <w:r w:rsidR="00F77CAB">
        <w:t>, 1978,</w:t>
      </w:r>
      <w:r w:rsidR="00F77CAB" w:rsidRPr="00F77CAB">
        <w:t xml:space="preserve"> </w:t>
      </w:r>
      <w:r w:rsidR="00F77CAB" w:rsidRPr="00F77CAB">
        <w:rPr>
          <w:b/>
        </w:rPr>
        <w:t>82</w:t>
      </w:r>
      <w:r w:rsidR="00F77CAB" w:rsidRPr="00F77CAB">
        <w:t>, 387</w:t>
      </w:r>
      <w:r w:rsidR="00F77CAB">
        <w:t>.</w:t>
      </w:r>
    </w:p>
    <w:p w:rsidR="00F77CAB" w:rsidRDefault="00F77CAB" w:rsidP="007D38F4">
      <w:pPr>
        <w:pStyle w:val="N3References"/>
      </w:pPr>
      <w:r>
        <w:t>1</w:t>
      </w:r>
      <w:r w:rsidR="00FF39D7">
        <w:t>7</w:t>
      </w:r>
      <w:r>
        <w:tab/>
        <w:t xml:space="preserve">D. </w:t>
      </w:r>
      <w:r w:rsidR="004C3E39">
        <w:t xml:space="preserve">A. </w:t>
      </w:r>
      <w:r w:rsidRPr="00F77CAB">
        <w:t>Binder</w:t>
      </w:r>
      <w:r>
        <w:t xml:space="preserve"> and M.</w:t>
      </w:r>
      <w:r w:rsidRPr="00F77CAB">
        <w:t xml:space="preserve"> </w:t>
      </w:r>
      <w:r w:rsidR="004C3E39">
        <w:t xml:space="preserve">M. </w:t>
      </w:r>
      <w:r w:rsidRPr="00F77CAB">
        <w:t xml:space="preserve">Kreevoy, </w:t>
      </w:r>
      <w:r w:rsidRPr="00F77CAB">
        <w:rPr>
          <w:i/>
        </w:rPr>
        <w:t>J. Phys. Chem. A.</w:t>
      </w:r>
      <w:r>
        <w:t>, 1997,</w:t>
      </w:r>
      <w:r w:rsidRPr="00F77CAB">
        <w:t xml:space="preserve"> </w:t>
      </w:r>
      <w:r w:rsidRPr="00F77CAB">
        <w:rPr>
          <w:b/>
        </w:rPr>
        <w:t>101</w:t>
      </w:r>
      <w:r w:rsidRPr="00F77CAB">
        <w:t>, 1774</w:t>
      </w:r>
      <w:r>
        <w:t>.</w:t>
      </w:r>
    </w:p>
    <w:p w:rsidR="00F77CAB" w:rsidRDefault="00FF39D7" w:rsidP="007D38F4">
      <w:pPr>
        <w:pStyle w:val="N3References"/>
      </w:pPr>
      <w:r>
        <w:t>18</w:t>
      </w:r>
      <w:r w:rsidR="00F77CAB">
        <w:tab/>
        <w:t xml:space="preserve">L. </w:t>
      </w:r>
      <w:r w:rsidR="00F77CAB" w:rsidRPr="00F77CAB">
        <w:t xml:space="preserve">Crowhurst, </w:t>
      </w:r>
      <w:r w:rsidR="00F77CAB">
        <w:t>P.</w:t>
      </w:r>
      <w:r w:rsidR="00F77CAB" w:rsidRPr="00F77CAB">
        <w:t xml:space="preserve"> </w:t>
      </w:r>
      <w:r w:rsidR="004C3E39">
        <w:t xml:space="preserve">R. </w:t>
      </w:r>
      <w:r w:rsidR="00F77CAB" w:rsidRPr="00F77CAB">
        <w:t xml:space="preserve">Mawdsley, </w:t>
      </w:r>
      <w:r w:rsidR="00F77CAB">
        <w:t>J.</w:t>
      </w:r>
      <w:r w:rsidR="004C3E39">
        <w:t xml:space="preserve"> M.</w:t>
      </w:r>
      <w:r w:rsidR="00F77CAB" w:rsidRPr="00F77CAB">
        <w:t xml:space="preserve"> Perez-Arlandis, </w:t>
      </w:r>
      <w:r w:rsidR="00F77CAB">
        <w:t>P.</w:t>
      </w:r>
      <w:r w:rsidR="00F77CAB" w:rsidRPr="00F77CAB">
        <w:t xml:space="preserve"> </w:t>
      </w:r>
      <w:r w:rsidR="004C3E39">
        <w:t xml:space="preserve">A. </w:t>
      </w:r>
      <w:r w:rsidR="00F77CAB" w:rsidRPr="00F77CAB">
        <w:t>Salter</w:t>
      </w:r>
      <w:r w:rsidR="00F77CAB">
        <w:t xml:space="preserve"> and T. </w:t>
      </w:r>
      <w:r w:rsidR="00F77CAB" w:rsidRPr="00F77CAB">
        <w:t xml:space="preserve">Welton, </w:t>
      </w:r>
      <w:r w:rsidR="00F77CAB" w:rsidRPr="00F77CAB">
        <w:rPr>
          <w:i/>
        </w:rPr>
        <w:t>Phys. Chem. Chem. Phys.</w:t>
      </w:r>
      <w:r w:rsidR="00F77CAB" w:rsidRPr="00F77CAB">
        <w:t xml:space="preserve">, </w:t>
      </w:r>
      <w:r w:rsidR="00F77CAB">
        <w:t xml:space="preserve">2003, </w:t>
      </w:r>
      <w:r w:rsidR="00F77CAB" w:rsidRPr="00F77CAB">
        <w:rPr>
          <w:b/>
        </w:rPr>
        <w:t>5</w:t>
      </w:r>
      <w:r w:rsidR="00F77CAB" w:rsidRPr="00F77CAB">
        <w:t>, 2790</w:t>
      </w:r>
      <w:r w:rsidR="00F77CAB">
        <w:t>.</w:t>
      </w:r>
    </w:p>
    <w:p w:rsidR="00F77CAB" w:rsidRDefault="00FF39D7" w:rsidP="007D38F4">
      <w:pPr>
        <w:pStyle w:val="N3References"/>
      </w:pPr>
      <w:r>
        <w:t>19</w:t>
      </w:r>
      <w:r w:rsidR="00F77CAB">
        <w:tab/>
      </w:r>
      <w:r w:rsidR="0075068F">
        <w:t xml:space="preserve">Y. </w:t>
      </w:r>
      <w:r w:rsidR="0075068F" w:rsidRPr="0075068F">
        <w:t xml:space="preserve">Marcus, </w:t>
      </w:r>
      <w:r w:rsidR="0075068F" w:rsidRPr="0075068F">
        <w:rPr>
          <w:i/>
        </w:rPr>
        <w:t>Chem. Soc. Rev.</w:t>
      </w:r>
      <w:r w:rsidR="0075068F">
        <w:t>, 1993,</w:t>
      </w:r>
      <w:r w:rsidR="0075068F" w:rsidRPr="0075068F">
        <w:t xml:space="preserve"> </w:t>
      </w:r>
      <w:r w:rsidR="0075068F" w:rsidRPr="0075068F">
        <w:rPr>
          <w:b/>
        </w:rPr>
        <w:t>22</w:t>
      </w:r>
      <w:r w:rsidR="0075068F" w:rsidRPr="0075068F">
        <w:t>, 409</w:t>
      </w:r>
      <w:r w:rsidR="0075068F">
        <w:t>.</w:t>
      </w:r>
    </w:p>
    <w:p w:rsidR="0075068F" w:rsidRDefault="0075068F" w:rsidP="007D38F4">
      <w:pPr>
        <w:pStyle w:val="N3References"/>
      </w:pPr>
      <w:r>
        <w:t>2</w:t>
      </w:r>
      <w:r w:rsidR="009511D3">
        <w:t>0</w:t>
      </w:r>
      <w:r>
        <w:tab/>
        <w:t xml:space="preserve">A. </w:t>
      </w:r>
      <w:r w:rsidR="004C3E39">
        <w:t xml:space="preserve">J. </w:t>
      </w:r>
      <w:r w:rsidRPr="0075068F">
        <w:t>Carmichael</w:t>
      </w:r>
      <w:r>
        <w:t xml:space="preserve"> and K. </w:t>
      </w:r>
      <w:r w:rsidR="004C3E39">
        <w:t xml:space="preserve">R. </w:t>
      </w:r>
      <w:r w:rsidRPr="0075068F">
        <w:t xml:space="preserve">Seddon, </w:t>
      </w:r>
      <w:r w:rsidRPr="0075068F">
        <w:rPr>
          <w:i/>
        </w:rPr>
        <w:t>J. Phys. Org. Chem.</w:t>
      </w:r>
      <w:r w:rsidRPr="0075068F">
        <w:t xml:space="preserve">, 2000, </w:t>
      </w:r>
      <w:r w:rsidRPr="0075068F">
        <w:rPr>
          <w:b/>
        </w:rPr>
        <w:t>13</w:t>
      </w:r>
      <w:r w:rsidRPr="0075068F">
        <w:t>, 591-595.</w:t>
      </w:r>
    </w:p>
    <w:p w:rsidR="0075068F" w:rsidRDefault="0075068F" w:rsidP="007D38F4">
      <w:pPr>
        <w:pStyle w:val="N3References"/>
      </w:pPr>
      <w:r>
        <w:t>2</w:t>
      </w:r>
      <w:r w:rsidR="009511D3">
        <w:t>1</w:t>
      </w:r>
      <w:r>
        <w:tab/>
        <w:t xml:space="preserve">C. </w:t>
      </w:r>
      <w:r w:rsidRPr="0075068F">
        <w:t xml:space="preserve">Hardacre, </w:t>
      </w:r>
      <w:r>
        <w:t>J.</w:t>
      </w:r>
      <w:r w:rsidRPr="0075068F">
        <w:t xml:space="preserve"> </w:t>
      </w:r>
      <w:r w:rsidR="004C3E39">
        <w:t xml:space="preserve">D. </w:t>
      </w:r>
      <w:r w:rsidRPr="0075068F">
        <w:t xml:space="preserve">Holbrey, </w:t>
      </w:r>
      <w:r>
        <w:t>S.</w:t>
      </w:r>
      <w:r w:rsidR="004C3E39">
        <w:t xml:space="preserve"> E. J.</w:t>
      </w:r>
      <w:r w:rsidRPr="0075068F">
        <w:t xml:space="preserve"> McMath, </w:t>
      </w:r>
      <w:r>
        <w:t>D.</w:t>
      </w:r>
      <w:r w:rsidR="004C3E39">
        <w:t xml:space="preserve"> T.</w:t>
      </w:r>
      <w:r w:rsidRPr="0075068F">
        <w:t xml:space="preserve"> Bowron</w:t>
      </w:r>
      <w:r>
        <w:t xml:space="preserve"> and A.</w:t>
      </w:r>
      <w:r w:rsidR="004C3E39">
        <w:t xml:space="preserve"> K.</w:t>
      </w:r>
      <w:r>
        <w:t xml:space="preserve"> </w:t>
      </w:r>
      <w:r w:rsidRPr="0075068F">
        <w:t xml:space="preserve">Soper, </w:t>
      </w:r>
      <w:r w:rsidRPr="0075068F">
        <w:rPr>
          <w:i/>
        </w:rPr>
        <w:t>J. Chem. Phys.</w:t>
      </w:r>
      <w:r>
        <w:t>, 2003,</w:t>
      </w:r>
      <w:r w:rsidRPr="0075068F">
        <w:t xml:space="preserve"> </w:t>
      </w:r>
      <w:r w:rsidRPr="0075068F">
        <w:rPr>
          <w:b/>
        </w:rPr>
        <w:t>118</w:t>
      </w:r>
      <w:r w:rsidRPr="0075068F">
        <w:t>, 273</w:t>
      </w:r>
      <w:r>
        <w:t>.</w:t>
      </w:r>
    </w:p>
    <w:p w:rsidR="0075068F" w:rsidRDefault="007B27AC" w:rsidP="007D38F4">
      <w:pPr>
        <w:pStyle w:val="N3References"/>
      </w:pPr>
      <w:r>
        <w:t>22</w:t>
      </w:r>
      <w:r w:rsidR="0075068F">
        <w:tab/>
      </w:r>
      <w:r w:rsidR="006407C7">
        <w:t xml:space="preserve">M. </w:t>
      </w:r>
      <w:r w:rsidR="006407C7" w:rsidRPr="006407C7">
        <w:t xml:space="preserve">Deetlefs, </w:t>
      </w:r>
      <w:r w:rsidR="006407C7">
        <w:t>C.</w:t>
      </w:r>
      <w:r w:rsidR="006407C7" w:rsidRPr="006407C7">
        <w:t xml:space="preserve"> Hardacre, </w:t>
      </w:r>
      <w:r w:rsidR="006407C7">
        <w:t>M.</w:t>
      </w:r>
      <w:r w:rsidR="006407C7" w:rsidRPr="006407C7">
        <w:t xml:space="preserve"> Nieuwenhuyzen, </w:t>
      </w:r>
      <w:r w:rsidR="006407C7">
        <w:t>A.</w:t>
      </w:r>
      <w:r w:rsidR="004C3E39">
        <w:t xml:space="preserve"> A. H.</w:t>
      </w:r>
      <w:r w:rsidR="006407C7" w:rsidRPr="006407C7">
        <w:t xml:space="preserve"> Padua, </w:t>
      </w:r>
      <w:r w:rsidR="006407C7">
        <w:t>O.</w:t>
      </w:r>
      <w:r w:rsidR="006407C7" w:rsidRPr="006407C7">
        <w:t xml:space="preserve"> Sheppard</w:t>
      </w:r>
      <w:r w:rsidR="006407C7">
        <w:t xml:space="preserve"> and A.</w:t>
      </w:r>
      <w:r w:rsidR="004C3E39">
        <w:t xml:space="preserve"> K.</w:t>
      </w:r>
      <w:r w:rsidR="006407C7">
        <w:t xml:space="preserve"> </w:t>
      </w:r>
      <w:r w:rsidR="006407C7" w:rsidRPr="006407C7">
        <w:t xml:space="preserve">Soper, </w:t>
      </w:r>
      <w:r w:rsidR="006407C7" w:rsidRPr="006407C7">
        <w:rPr>
          <w:i/>
        </w:rPr>
        <w:t>J. Phys. Chem. B</w:t>
      </w:r>
      <w:r w:rsidR="006407C7">
        <w:t>, 2006,</w:t>
      </w:r>
      <w:r w:rsidR="006407C7" w:rsidRPr="006407C7">
        <w:t xml:space="preserve"> </w:t>
      </w:r>
      <w:r w:rsidR="006407C7" w:rsidRPr="006407C7">
        <w:rPr>
          <w:b/>
        </w:rPr>
        <w:t>110</w:t>
      </w:r>
      <w:r w:rsidR="006407C7" w:rsidRPr="006407C7">
        <w:t>, 12055</w:t>
      </w:r>
      <w:r w:rsidR="006407C7">
        <w:t>.</w:t>
      </w:r>
    </w:p>
    <w:p w:rsidR="006407C7" w:rsidRDefault="006407C7" w:rsidP="007D38F4">
      <w:pPr>
        <w:pStyle w:val="N3References"/>
      </w:pPr>
      <w:r>
        <w:t>2</w:t>
      </w:r>
      <w:r w:rsidR="00F6256D">
        <w:t>3</w:t>
      </w:r>
      <w:r>
        <w:tab/>
        <w:t xml:space="preserve">A. </w:t>
      </w:r>
      <w:r w:rsidRPr="006407C7">
        <w:t xml:space="preserve">Acre, </w:t>
      </w:r>
      <w:r>
        <w:t>M.</w:t>
      </w:r>
      <w:r w:rsidRPr="006407C7">
        <w:t xml:space="preserve"> </w:t>
      </w:r>
      <w:r w:rsidR="00FA185B">
        <w:t xml:space="preserve">J. </w:t>
      </w:r>
      <w:r w:rsidRPr="006407C7">
        <w:t xml:space="preserve">Earle, </w:t>
      </w:r>
      <w:r>
        <w:t>S.</w:t>
      </w:r>
      <w:r w:rsidR="00FA185B">
        <w:t xml:space="preserve"> P.</w:t>
      </w:r>
      <w:r w:rsidRPr="006407C7">
        <w:t xml:space="preserve"> Katdare, </w:t>
      </w:r>
      <w:r>
        <w:t>H.</w:t>
      </w:r>
      <w:r w:rsidRPr="006407C7">
        <w:t xml:space="preserve"> Rodriguez</w:t>
      </w:r>
      <w:r>
        <w:t xml:space="preserve"> and K.</w:t>
      </w:r>
      <w:r w:rsidR="00FA185B">
        <w:t xml:space="preserve"> R.</w:t>
      </w:r>
      <w:r w:rsidRPr="006407C7">
        <w:t xml:space="preserve"> Seddon, </w:t>
      </w:r>
      <w:r w:rsidRPr="006407C7">
        <w:rPr>
          <w:i/>
        </w:rPr>
        <w:t>Chem. Commun.</w:t>
      </w:r>
      <w:r>
        <w:t>,</w:t>
      </w:r>
      <w:r w:rsidRPr="006407C7">
        <w:t xml:space="preserve"> 2006, 2548</w:t>
      </w:r>
      <w:r>
        <w:t>.</w:t>
      </w:r>
    </w:p>
    <w:p w:rsidR="006407C7" w:rsidRDefault="006407C7" w:rsidP="007D38F4">
      <w:pPr>
        <w:pStyle w:val="N3References"/>
      </w:pPr>
      <w:r>
        <w:t>2</w:t>
      </w:r>
      <w:r w:rsidR="0071448E">
        <w:t>4</w:t>
      </w:r>
      <w:r>
        <w:tab/>
        <w:t xml:space="preserve">P. </w:t>
      </w:r>
      <w:r w:rsidR="00FA185B">
        <w:t xml:space="preserve">A. </w:t>
      </w:r>
      <w:r w:rsidRPr="006407C7">
        <w:t>Hunt</w:t>
      </w:r>
      <w:r>
        <w:t xml:space="preserve"> and I.</w:t>
      </w:r>
      <w:r w:rsidR="00FA185B">
        <w:t xml:space="preserve"> R.</w:t>
      </w:r>
      <w:r>
        <w:t xml:space="preserve"> </w:t>
      </w:r>
      <w:r w:rsidRPr="006407C7">
        <w:t xml:space="preserve">Gould, </w:t>
      </w:r>
      <w:r w:rsidRPr="006407C7">
        <w:rPr>
          <w:i/>
        </w:rPr>
        <w:t>J. Phys. Chem. A</w:t>
      </w:r>
      <w:r>
        <w:t>, 2006,</w:t>
      </w:r>
      <w:r w:rsidRPr="006407C7">
        <w:t xml:space="preserve"> </w:t>
      </w:r>
      <w:r w:rsidRPr="006407C7">
        <w:rPr>
          <w:b/>
        </w:rPr>
        <w:t>110</w:t>
      </w:r>
      <w:r w:rsidRPr="006407C7">
        <w:t>, 2269</w:t>
      </w:r>
      <w:r>
        <w:t>.</w:t>
      </w:r>
    </w:p>
    <w:p w:rsidR="006407C7" w:rsidRDefault="006407C7" w:rsidP="007D38F4">
      <w:pPr>
        <w:pStyle w:val="N3References"/>
      </w:pPr>
      <w:r>
        <w:t>2</w:t>
      </w:r>
      <w:r w:rsidR="0071448E">
        <w:t>5</w:t>
      </w:r>
      <w:r>
        <w:tab/>
        <w:t xml:space="preserve">M. </w:t>
      </w:r>
      <w:r w:rsidR="00FA185B">
        <w:t xml:space="preserve">J. </w:t>
      </w:r>
      <w:r w:rsidRPr="006407C7">
        <w:t>Frisch</w:t>
      </w:r>
      <w:r>
        <w:t xml:space="preserve"> </w:t>
      </w:r>
      <w:r w:rsidRPr="006407C7">
        <w:rPr>
          <w:i/>
        </w:rPr>
        <w:t>et al.</w:t>
      </w:r>
      <w:r>
        <w:t>,</w:t>
      </w:r>
      <w:r w:rsidRPr="006407C7">
        <w:t xml:space="preserve"> GAUSSIAN 03 (Revision E.01), Gaussian, Inc., Wallingford, CT, 2004.</w:t>
      </w:r>
    </w:p>
    <w:p w:rsidR="006407C7" w:rsidRDefault="006407C7" w:rsidP="007D38F4">
      <w:pPr>
        <w:pStyle w:val="N3References"/>
      </w:pPr>
      <w:r>
        <w:t>2</w:t>
      </w:r>
      <w:r w:rsidR="00585723">
        <w:t>6</w:t>
      </w:r>
      <w:r>
        <w:tab/>
        <w:t xml:space="preserve">A. </w:t>
      </w:r>
      <w:r w:rsidR="00FA185B">
        <w:t xml:space="preserve">D. </w:t>
      </w:r>
      <w:r w:rsidRPr="006407C7">
        <w:t xml:space="preserve">Becke, </w:t>
      </w:r>
      <w:r w:rsidRPr="006407C7">
        <w:rPr>
          <w:i/>
        </w:rPr>
        <w:t>J. Chem. Phys.</w:t>
      </w:r>
      <w:r>
        <w:t>, 1993,</w:t>
      </w:r>
      <w:r w:rsidRPr="006407C7">
        <w:t xml:space="preserve"> </w:t>
      </w:r>
      <w:r w:rsidRPr="006407C7">
        <w:rPr>
          <w:b/>
        </w:rPr>
        <w:t>98</w:t>
      </w:r>
      <w:r w:rsidRPr="006407C7">
        <w:t>, 5648</w:t>
      </w:r>
      <w:r>
        <w:t>.</w:t>
      </w:r>
    </w:p>
    <w:p w:rsidR="006407C7" w:rsidRDefault="006407C7" w:rsidP="007D38F4">
      <w:pPr>
        <w:pStyle w:val="N3References"/>
      </w:pPr>
      <w:r>
        <w:t>2</w:t>
      </w:r>
      <w:r w:rsidR="00585723">
        <w:t>7</w:t>
      </w:r>
      <w:r>
        <w:tab/>
        <w:t xml:space="preserve">C. </w:t>
      </w:r>
      <w:r w:rsidR="00FA185B">
        <w:t xml:space="preserve">T. </w:t>
      </w:r>
      <w:r w:rsidRPr="006407C7">
        <w:t xml:space="preserve">Lee, </w:t>
      </w:r>
      <w:r>
        <w:t>W.</w:t>
      </w:r>
      <w:r w:rsidRPr="006407C7">
        <w:t xml:space="preserve"> </w:t>
      </w:r>
      <w:r w:rsidR="00FA185B">
        <w:t xml:space="preserve">T. </w:t>
      </w:r>
      <w:r w:rsidRPr="006407C7">
        <w:t>Yang</w:t>
      </w:r>
      <w:r>
        <w:t xml:space="preserve"> and R.</w:t>
      </w:r>
      <w:r w:rsidR="00FA185B">
        <w:t xml:space="preserve"> G.</w:t>
      </w:r>
      <w:r>
        <w:t xml:space="preserve"> </w:t>
      </w:r>
      <w:r w:rsidRPr="006407C7">
        <w:t xml:space="preserve">Parr, </w:t>
      </w:r>
      <w:r w:rsidRPr="006407C7">
        <w:rPr>
          <w:i/>
        </w:rPr>
        <w:t>Phys. Rev. B</w:t>
      </w:r>
      <w:r>
        <w:t>, 1988,</w:t>
      </w:r>
      <w:r w:rsidRPr="006407C7">
        <w:t xml:space="preserve"> </w:t>
      </w:r>
      <w:r w:rsidRPr="006407C7">
        <w:rPr>
          <w:b/>
        </w:rPr>
        <w:t>37</w:t>
      </w:r>
      <w:r w:rsidRPr="006407C7">
        <w:t>, 785</w:t>
      </w:r>
      <w:r>
        <w:t>.</w:t>
      </w:r>
    </w:p>
    <w:p w:rsidR="006407C7" w:rsidRDefault="00585723" w:rsidP="007D38F4">
      <w:pPr>
        <w:pStyle w:val="N3References"/>
      </w:pPr>
      <w:r>
        <w:t>28</w:t>
      </w:r>
      <w:r w:rsidR="006407C7">
        <w:tab/>
      </w:r>
      <w:r w:rsidR="0084644C">
        <w:t xml:space="preserve">K. </w:t>
      </w:r>
      <w:r w:rsidR="00FA185B">
        <w:t xml:space="preserve">A. </w:t>
      </w:r>
      <w:r w:rsidR="006407C7" w:rsidRPr="0084644C">
        <w:t xml:space="preserve">Peterson, </w:t>
      </w:r>
      <w:r w:rsidR="0084644C">
        <w:t>B.</w:t>
      </w:r>
      <w:r w:rsidR="00FA185B">
        <w:t xml:space="preserve"> C.</w:t>
      </w:r>
      <w:r w:rsidR="006407C7" w:rsidRPr="0084644C">
        <w:t xml:space="preserve"> Shepler, </w:t>
      </w:r>
      <w:r w:rsidR="0084644C">
        <w:t>D.</w:t>
      </w:r>
      <w:r w:rsidR="006407C7" w:rsidRPr="0084644C">
        <w:t xml:space="preserve"> Figgen</w:t>
      </w:r>
      <w:r w:rsidR="0084644C">
        <w:t xml:space="preserve"> and H. </w:t>
      </w:r>
      <w:r w:rsidR="006407C7" w:rsidRPr="0084644C">
        <w:t xml:space="preserve">Stoll, </w:t>
      </w:r>
      <w:r w:rsidR="006407C7" w:rsidRPr="0084644C">
        <w:rPr>
          <w:i/>
        </w:rPr>
        <w:t>J. Phys. Chem. A</w:t>
      </w:r>
      <w:r w:rsidR="0084644C">
        <w:t>, 2006,</w:t>
      </w:r>
      <w:r w:rsidR="006407C7" w:rsidRPr="0084644C">
        <w:t xml:space="preserve"> </w:t>
      </w:r>
      <w:r w:rsidR="006407C7" w:rsidRPr="0084644C">
        <w:rPr>
          <w:b/>
        </w:rPr>
        <w:t>110</w:t>
      </w:r>
      <w:r w:rsidR="006407C7" w:rsidRPr="0084644C">
        <w:t>, 13877</w:t>
      </w:r>
      <w:r w:rsidR="0084644C">
        <w:t>.</w:t>
      </w:r>
    </w:p>
    <w:p w:rsidR="00D8495E" w:rsidRDefault="00EA33E6" w:rsidP="007D38F4">
      <w:pPr>
        <w:pStyle w:val="N3References"/>
        <w:rPr>
          <w:rFonts w:eastAsia="AdvTimes"/>
        </w:rPr>
      </w:pPr>
      <w:r>
        <w:t>29</w:t>
      </w:r>
      <w:r w:rsidR="0084644C">
        <w:tab/>
      </w:r>
      <w:r>
        <w:t>(</w:t>
      </w:r>
      <w:r w:rsidRPr="00EA33E6">
        <w:rPr>
          <w:i/>
        </w:rPr>
        <w:t>a</w:t>
      </w:r>
      <w:r>
        <w:t xml:space="preserve">) </w:t>
      </w:r>
      <w:r w:rsidR="00D8495E">
        <w:t>M.</w:t>
      </w:r>
      <w:r w:rsidR="00FA185B">
        <w:t xml:space="preserve"> M.</w:t>
      </w:r>
      <w:r w:rsidR="00D8495E">
        <w:t xml:space="preserve"> </w:t>
      </w:r>
      <w:r w:rsidR="00D8495E" w:rsidRPr="00D8495E">
        <w:rPr>
          <w:rFonts w:eastAsia="AdvTimes"/>
        </w:rPr>
        <w:t xml:space="preserve">Francl, </w:t>
      </w:r>
      <w:r w:rsidR="00D8495E">
        <w:rPr>
          <w:rFonts w:eastAsia="AdvTimes"/>
        </w:rPr>
        <w:t>W.</w:t>
      </w:r>
      <w:r w:rsidR="00FA185B">
        <w:rPr>
          <w:rFonts w:eastAsia="AdvTimes"/>
        </w:rPr>
        <w:t xml:space="preserve"> J.</w:t>
      </w:r>
      <w:r w:rsidR="00D8495E" w:rsidRPr="00D8495E">
        <w:rPr>
          <w:rFonts w:eastAsia="AdvTimes"/>
        </w:rPr>
        <w:t xml:space="preserve"> Pietro, </w:t>
      </w:r>
      <w:r w:rsidR="00D8495E">
        <w:rPr>
          <w:rFonts w:eastAsia="AdvTimes"/>
        </w:rPr>
        <w:t>W.</w:t>
      </w:r>
      <w:r w:rsidR="00FA185B">
        <w:rPr>
          <w:rFonts w:eastAsia="AdvTimes"/>
        </w:rPr>
        <w:t xml:space="preserve"> J.</w:t>
      </w:r>
      <w:r w:rsidR="00D8495E" w:rsidRPr="00D8495E">
        <w:rPr>
          <w:rFonts w:eastAsia="AdvTimes"/>
        </w:rPr>
        <w:t xml:space="preserve"> Hehre, </w:t>
      </w:r>
      <w:r w:rsidR="00D8495E">
        <w:rPr>
          <w:rFonts w:eastAsia="AdvTimes"/>
        </w:rPr>
        <w:t>J.</w:t>
      </w:r>
      <w:r w:rsidR="00FA185B">
        <w:rPr>
          <w:rFonts w:eastAsia="AdvTimes"/>
        </w:rPr>
        <w:t xml:space="preserve"> S.</w:t>
      </w:r>
      <w:r w:rsidR="00D8495E" w:rsidRPr="00D8495E">
        <w:rPr>
          <w:rFonts w:eastAsia="AdvTimes"/>
        </w:rPr>
        <w:t xml:space="preserve"> Binkley, </w:t>
      </w:r>
      <w:r w:rsidR="00D8495E">
        <w:rPr>
          <w:rFonts w:eastAsia="AdvTimes"/>
        </w:rPr>
        <w:t>D.</w:t>
      </w:r>
      <w:r w:rsidR="00FA185B">
        <w:rPr>
          <w:rFonts w:eastAsia="AdvTimes"/>
        </w:rPr>
        <w:t xml:space="preserve"> J.</w:t>
      </w:r>
      <w:r w:rsidR="00D8495E" w:rsidRPr="00D8495E">
        <w:rPr>
          <w:rFonts w:eastAsia="AdvTimes"/>
        </w:rPr>
        <w:t xml:space="preserve"> DeFrees, </w:t>
      </w:r>
      <w:r w:rsidR="00D8495E">
        <w:rPr>
          <w:rFonts w:eastAsia="AdvTimes"/>
        </w:rPr>
        <w:t>J.</w:t>
      </w:r>
      <w:r w:rsidR="00FA185B">
        <w:rPr>
          <w:rFonts w:eastAsia="AdvTimes"/>
        </w:rPr>
        <w:t xml:space="preserve"> A.</w:t>
      </w:r>
      <w:r w:rsidR="00D8495E" w:rsidRPr="00D8495E">
        <w:rPr>
          <w:rFonts w:eastAsia="AdvTimes"/>
        </w:rPr>
        <w:t xml:space="preserve"> Pople</w:t>
      </w:r>
      <w:r w:rsidR="00D8495E">
        <w:rPr>
          <w:rFonts w:eastAsia="AdvTimes"/>
        </w:rPr>
        <w:t xml:space="preserve"> and</w:t>
      </w:r>
      <w:r w:rsidR="00D8495E" w:rsidRPr="00D8495E">
        <w:rPr>
          <w:rFonts w:eastAsia="AdvTimes"/>
        </w:rPr>
        <w:t xml:space="preserve"> </w:t>
      </w:r>
      <w:r w:rsidR="00D8495E">
        <w:rPr>
          <w:rFonts w:eastAsia="AdvTimes"/>
        </w:rPr>
        <w:t>M.</w:t>
      </w:r>
      <w:r w:rsidR="00FA185B">
        <w:rPr>
          <w:rFonts w:eastAsia="AdvTimes"/>
        </w:rPr>
        <w:t xml:space="preserve"> S.</w:t>
      </w:r>
      <w:r w:rsidR="00D8495E">
        <w:rPr>
          <w:rFonts w:eastAsia="AdvTimes"/>
        </w:rPr>
        <w:t xml:space="preserve"> </w:t>
      </w:r>
      <w:r w:rsidR="00D8495E" w:rsidRPr="00D8495E">
        <w:rPr>
          <w:rFonts w:eastAsia="AdvTimes"/>
        </w:rPr>
        <w:t xml:space="preserve">Gordon, </w:t>
      </w:r>
      <w:r w:rsidR="00D8495E" w:rsidRPr="00D8495E">
        <w:rPr>
          <w:rFonts w:eastAsia="AdvTimes"/>
          <w:i/>
        </w:rPr>
        <w:t>J. Chem. Phys.</w:t>
      </w:r>
      <w:r w:rsidR="00D8495E">
        <w:rPr>
          <w:rFonts w:eastAsia="AdvTimes"/>
        </w:rPr>
        <w:t>, 1982,</w:t>
      </w:r>
      <w:r w:rsidR="00D8495E" w:rsidRPr="00D8495E">
        <w:rPr>
          <w:rFonts w:eastAsia="AdvTimes"/>
        </w:rPr>
        <w:t xml:space="preserve"> </w:t>
      </w:r>
      <w:r w:rsidR="00D8495E" w:rsidRPr="00D8495E">
        <w:rPr>
          <w:rFonts w:eastAsia="AdvTimes"/>
          <w:b/>
        </w:rPr>
        <w:t>77</w:t>
      </w:r>
      <w:r w:rsidR="00D8495E" w:rsidRPr="00D8495E">
        <w:rPr>
          <w:rFonts w:eastAsia="AdvTimes"/>
        </w:rPr>
        <w:t>, 3654</w:t>
      </w:r>
      <w:r>
        <w:rPr>
          <w:rFonts w:eastAsia="AdvTimes"/>
        </w:rPr>
        <w:t>; (</w:t>
      </w:r>
      <w:r>
        <w:rPr>
          <w:rFonts w:eastAsia="AdvTimes"/>
          <w:i/>
        </w:rPr>
        <w:t>b</w:t>
      </w:r>
      <w:r>
        <w:rPr>
          <w:rFonts w:eastAsia="AdvTimes"/>
        </w:rPr>
        <w:t xml:space="preserve">) </w:t>
      </w:r>
      <w:r w:rsidR="00573374">
        <w:t>P.</w:t>
      </w:r>
      <w:r w:rsidR="00FA185B">
        <w:t xml:space="preserve"> C.</w:t>
      </w:r>
      <w:r w:rsidR="00573374">
        <w:t xml:space="preserve"> </w:t>
      </w:r>
      <w:r w:rsidR="00573374" w:rsidRPr="00573374">
        <w:rPr>
          <w:rFonts w:eastAsia="AdvTimes"/>
        </w:rPr>
        <w:t>Harihara</w:t>
      </w:r>
      <w:r w:rsidR="00573374">
        <w:rPr>
          <w:rFonts w:eastAsia="AdvTimes"/>
        </w:rPr>
        <w:t xml:space="preserve"> and J.</w:t>
      </w:r>
      <w:r w:rsidR="00FA185B">
        <w:rPr>
          <w:rFonts w:eastAsia="AdvTimes"/>
        </w:rPr>
        <w:t xml:space="preserve"> A.</w:t>
      </w:r>
      <w:r w:rsidR="00573374">
        <w:rPr>
          <w:rFonts w:eastAsia="AdvTimes"/>
        </w:rPr>
        <w:t xml:space="preserve"> </w:t>
      </w:r>
      <w:r w:rsidR="00573374" w:rsidRPr="00573374">
        <w:rPr>
          <w:rFonts w:eastAsia="AdvTimes"/>
        </w:rPr>
        <w:t xml:space="preserve">Pople, </w:t>
      </w:r>
      <w:r w:rsidR="00573374" w:rsidRPr="00573374">
        <w:rPr>
          <w:rFonts w:eastAsia="AdvTimes"/>
          <w:i/>
        </w:rPr>
        <w:t>Theor. Chim. Acta</w:t>
      </w:r>
      <w:r w:rsidR="00573374">
        <w:rPr>
          <w:rFonts w:eastAsia="AdvTimes"/>
        </w:rPr>
        <w:t>, 1973,</w:t>
      </w:r>
      <w:r w:rsidR="00573374" w:rsidRPr="00573374">
        <w:rPr>
          <w:rFonts w:eastAsia="AdvTimes"/>
        </w:rPr>
        <w:t xml:space="preserve"> </w:t>
      </w:r>
      <w:r w:rsidR="00573374" w:rsidRPr="00573374">
        <w:rPr>
          <w:rFonts w:eastAsia="AdvTimes"/>
          <w:b/>
        </w:rPr>
        <w:t>28</w:t>
      </w:r>
      <w:r w:rsidR="00573374" w:rsidRPr="00573374">
        <w:rPr>
          <w:rFonts w:eastAsia="AdvTimes"/>
        </w:rPr>
        <w:t>, 213</w:t>
      </w:r>
      <w:r w:rsidR="00573374">
        <w:rPr>
          <w:rFonts w:eastAsia="AdvTimes"/>
        </w:rPr>
        <w:t>.</w:t>
      </w:r>
    </w:p>
    <w:p w:rsidR="00573374" w:rsidRDefault="00573374" w:rsidP="007D38F4">
      <w:pPr>
        <w:pStyle w:val="N3References"/>
      </w:pPr>
      <w:r>
        <w:t>3</w:t>
      </w:r>
      <w:r w:rsidR="00EA33E6">
        <w:t>0</w:t>
      </w:r>
      <w:r>
        <w:tab/>
      </w:r>
      <w:r w:rsidR="00EA33E6">
        <w:t>(</w:t>
      </w:r>
      <w:r w:rsidR="00EA33E6" w:rsidRPr="00EA33E6">
        <w:rPr>
          <w:i/>
        </w:rPr>
        <w:t>a</w:t>
      </w:r>
      <w:r w:rsidR="00EA33E6">
        <w:t xml:space="preserve">) </w:t>
      </w:r>
      <w:r>
        <w:t>S.</w:t>
      </w:r>
      <w:r w:rsidR="00FA185B">
        <w:t xml:space="preserve"> F.</w:t>
      </w:r>
      <w:r>
        <w:t xml:space="preserve"> </w:t>
      </w:r>
      <w:r w:rsidRPr="00573374">
        <w:t>Boys</w:t>
      </w:r>
      <w:r>
        <w:t xml:space="preserve"> and </w:t>
      </w:r>
      <w:r w:rsidRPr="00573374">
        <w:t xml:space="preserve">F. Bernardi, </w:t>
      </w:r>
      <w:r w:rsidRPr="00573374">
        <w:rPr>
          <w:i/>
        </w:rPr>
        <w:t>Mol. Phys.</w:t>
      </w:r>
      <w:r>
        <w:t>, 1970,</w:t>
      </w:r>
      <w:r w:rsidRPr="00573374">
        <w:t xml:space="preserve"> </w:t>
      </w:r>
      <w:r w:rsidRPr="00573374">
        <w:rPr>
          <w:b/>
        </w:rPr>
        <w:t>19</w:t>
      </w:r>
      <w:r w:rsidRPr="00573374">
        <w:t>, 553</w:t>
      </w:r>
      <w:r w:rsidR="00EA33E6">
        <w:t xml:space="preserve">; </w:t>
      </w:r>
      <w:r>
        <w:tab/>
        <w:t xml:space="preserve">S. </w:t>
      </w:r>
      <w:r w:rsidRPr="00573374">
        <w:t xml:space="preserve">Simon, </w:t>
      </w:r>
      <w:r>
        <w:t>M.</w:t>
      </w:r>
      <w:r w:rsidRPr="00573374">
        <w:t xml:space="preserve"> Duran</w:t>
      </w:r>
      <w:r>
        <w:t xml:space="preserve"> and J.</w:t>
      </w:r>
      <w:r w:rsidR="00440D21">
        <w:t xml:space="preserve"> J.</w:t>
      </w:r>
      <w:r>
        <w:t xml:space="preserve"> </w:t>
      </w:r>
      <w:r w:rsidRPr="00573374">
        <w:t xml:space="preserve">Dannenberg, </w:t>
      </w:r>
      <w:r w:rsidRPr="00573374">
        <w:rPr>
          <w:i/>
        </w:rPr>
        <w:t>J. Chem. Phys.</w:t>
      </w:r>
      <w:r>
        <w:t>, 1996,</w:t>
      </w:r>
      <w:r w:rsidRPr="00573374">
        <w:t xml:space="preserve"> </w:t>
      </w:r>
      <w:r w:rsidRPr="00573374">
        <w:rPr>
          <w:b/>
        </w:rPr>
        <w:t>105</w:t>
      </w:r>
      <w:r w:rsidRPr="00573374">
        <w:t>, 11024</w:t>
      </w:r>
      <w:r>
        <w:t>.</w:t>
      </w:r>
    </w:p>
    <w:p w:rsidR="00573374" w:rsidRDefault="00573374" w:rsidP="007D38F4">
      <w:pPr>
        <w:pStyle w:val="N3References"/>
        <w:rPr>
          <w:rFonts w:eastAsia="AdvTimes"/>
        </w:rPr>
      </w:pPr>
      <w:r>
        <w:t>3</w:t>
      </w:r>
      <w:r w:rsidR="00EA33E6">
        <w:t>1</w:t>
      </w:r>
      <w:r>
        <w:tab/>
      </w:r>
      <w:r w:rsidR="00AD49E2">
        <w:t xml:space="preserve">C. </w:t>
      </w:r>
      <w:r w:rsidR="00AD49E2" w:rsidRPr="00AD49E2">
        <w:rPr>
          <w:rFonts w:eastAsia="AdvTimes"/>
        </w:rPr>
        <w:t>Møller</w:t>
      </w:r>
      <w:r w:rsidR="00AD49E2">
        <w:rPr>
          <w:rFonts w:eastAsia="AdvTimes"/>
        </w:rPr>
        <w:t xml:space="preserve"> and M.</w:t>
      </w:r>
      <w:r w:rsidR="00AD49E2" w:rsidRPr="00AD49E2">
        <w:rPr>
          <w:rFonts w:eastAsia="AdvTimes"/>
        </w:rPr>
        <w:t xml:space="preserve"> </w:t>
      </w:r>
      <w:r w:rsidR="00440D21">
        <w:rPr>
          <w:rFonts w:eastAsia="AdvTimes"/>
        </w:rPr>
        <w:t xml:space="preserve">S. </w:t>
      </w:r>
      <w:r w:rsidR="00AD49E2" w:rsidRPr="00AD49E2">
        <w:rPr>
          <w:rFonts w:eastAsia="AdvTimes"/>
        </w:rPr>
        <w:t xml:space="preserve">Plesset, </w:t>
      </w:r>
      <w:r w:rsidR="00AD49E2" w:rsidRPr="00AD49E2">
        <w:rPr>
          <w:rFonts w:eastAsia="AdvTimes"/>
          <w:i/>
        </w:rPr>
        <w:t>Phys. Rev.</w:t>
      </w:r>
      <w:r w:rsidR="00AD49E2">
        <w:rPr>
          <w:rFonts w:eastAsia="AdvTimes"/>
        </w:rPr>
        <w:t>, 1934,</w:t>
      </w:r>
      <w:r w:rsidR="00AD49E2" w:rsidRPr="00AD49E2">
        <w:rPr>
          <w:rFonts w:eastAsia="AdvTimes"/>
        </w:rPr>
        <w:t xml:space="preserve"> </w:t>
      </w:r>
      <w:r w:rsidR="00AD49E2" w:rsidRPr="00AD49E2">
        <w:rPr>
          <w:rFonts w:eastAsia="AdvTimes"/>
          <w:b/>
        </w:rPr>
        <w:t>46</w:t>
      </w:r>
      <w:r w:rsidR="00AD49E2" w:rsidRPr="00AD49E2">
        <w:rPr>
          <w:rFonts w:eastAsia="AdvTimes"/>
        </w:rPr>
        <w:t>, 618</w:t>
      </w:r>
      <w:r w:rsidR="00AD49E2">
        <w:rPr>
          <w:rFonts w:eastAsia="AdvTimes"/>
        </w:rPr>
        <w:t>.</w:t>
      </w:r>
    </w:p>
    <w:p w:rsidR="00AD49E2" w:rsidRPr="00AD49E2" w:rsidRDefault="00AD49E2" w:rsidP="007D38F4">
      <w:pPr>
        <w:pStyle w:val="N3References"/>
      </w:pPr>
      <w:r>
        <w:t>3</w:t>
      </w:r>
      <w:r w:rsidR="00EA33E6">
        <w:t>2</w:t>
      </w:r>
      <w:r>
        <w:tab/>
      </w:r>
      <w:r w:rsidR="00EA33E6">
        <w:t>(</w:t>
      </w:r>
      <w:r w:rsidR="00EA33E6" w:rsidRPr="00EA33E6">
        <w:rPr>
          <w:i/>
        </w:rPr>
        <w:t>a</w:t>
      </w:r>
      <w:r w:rsidR="00EA33E6">
        <w:t xml:space="preserve">) </w:t>
      </w:r>
      <w:r>
        <w:t xml:space="preserve">L. </w:t>
      </w:r>
      <w:r w:rsidRPr="00AD49E2">
        <w:t xml:space="preserve">Cammarata, </w:t>
      </w:r>
      <w:r>
        <w:t>S.</w:t>
      </w:r>
      <w:r w:rsidR="00440D21">
        <w:t xml:space="preserve"> G.</w:t>
      </w:r>
      <w:r w:rsidRPr="00AD49E2">
        <w:t xml:space="preserve"> Kazarian, </w:t>
      </w:r>
      <w:r>
        <w:t>P.</w:t>
      </w:r>
      <w:r w:rsidR="00440D21">
        <w:t xml:space="preserve"> A.</w:t>
      </w:r>
      <w:r w:rsidRPr="00AD49E2">
        <w:t xml:space="preserve"> Salter</w:t>
      </w:r>
      <w:r>
        <w:t xml:space="preserve"> and T. </w:t>
      </w:r>
      <w:r w:rsidRPr="00AD49E2">
        <w:t xml:space="preserve">Welton, </w:t>
      </w:r>
      <w:r w:rsidRPr="00AD49E2">
        <w:rPr>
          <w:i/>
        </w:rPr>
        <w:t>Phys. Chem. Chem. Phys.</w:t>
      </w:r>
      <w:r>
        <w:t>, 2001,</w:t>
      </w:r>
      <w:r w:rsidRPr="00AD49E2">
        <w:t xml:space="preserve"> </w:t>
      </w:r>
      <w:r w:rsidRPr="00AD49E2">
        <w:rPr>
          <w:b/>
        </w:rPr>
        <w:t>3</w:t>
      </w:r>
      <w:r w:rsidRPr="00AD49E2">
        <w:t>, 5192</w:t>
      </w:r>
      <w:r w:rsidR="00EA33E6">
        <w:t>; (</w:t>
      </w:r>
      <w:r w:rsidR="00EA33E6">
        <w:rPr>
          <w:i/>
        </w:rPr>
        <w:t>b</w:t>
      </w:r>
      <w:r w:rsidR="00EA33E6">
        <w:t xml:space="preserve">) </w:t>
      </w:r>
      <w:r>
        <w:t xml:space="preserve">N. </w:t>
      </w:r>
      <w:r w:rsidR="00440D21">
        <w:t xml:space="preserve">L. </w:t>
      </w:r>
      <w:r w:rsidRPr="00AD49E2">
        <w:t xml:space="preserve">Lancaster, </w:t>
      </w:r>
      <w:r>
        <w:t>P.</w:t>
      </w:r>
      <w:r w:rsidRPr="00AD49E2">
        <w:t xml:space="preserve"> </w:t>
      </w:r>
      <w:r w:rsidR="00440D21">
        <w:t xml:space="preserve">A. </w:t>
      </w:r>
      <w:r w:rsidRPr="00AD49E2">
        <w:t xml:space="preserve">Salter, </w:t>
      </w:r>
      <w:r>
        <w:t>T.</w:t>
      </w:r>
      <w:r w:rsidRPr="00AD49E2">
        <w:t xml:space="preserve"> Welton</w:t>
      </w:r>
      <w:r>
        <w:t xml:space="preserve"> and G. </w:t>
      </w:r>
      <w:r w:rsidR="00440D21">
        <w:t xml:space="preserve">B. </w:t>
      </w:r>
      <w:r w:rsidRPr="00AD49E2">
        <w:t xml:space="preserve">Young, </w:t>
      </w:r>
      <w:r w:rsidRPr="00AD49E2">
        <w:rPr>
          <w:i/>
        </w:rPr>
        <w:t>J. Org. Chem.</w:t>
      </w:r>
      <w:r>
        <w:t>, 2002,</w:t>
      </w:r>
      <w:r w:rsidRPr="00AD49E2">
        <w:t xml:space="preserve"> </w:t>
      </w:r>
      <w:r w:rsidRPr="00AD49E2">
        <w:rPr>
          <w:b/>
        </w:rPr>
        <w:t>67</w:t>
      </w:r>
      <w:r w:rsidRPr="00AD49E2">
        <w:t>, 8855</w:t>
      </w:r>
      <w:r>
        <w:t>.</w:t>
      </w:r>
    </w:p>
    <w:sectPr w:rsidR="00AD49E2" w:rsidRPr="00AD49E2" w:rsidSect="00152DB1">
      <w:headerReference w:type="even" r:id="rId34"/>
      <w:headerReference w:type="default" r:id="rId35"/>
      <w:endnotePr>
        <w:numFmt w:val="decimal"/>
      </w:endnotePr>
      <w:type w:val="continuous"/>
      <w:pgSz w:w="11907" w:h="15593" w:code="119"/>
      <w:pgMar w:top="1021" w:right="907" w:bottom="1021" w:left="1077" w:header="227" w:footer="624" w:gutter="0"/>
      <w:lnNumType w:countBy="5" w:distance="57"/>
      <w:cols w:num="2" w:space="397"/>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1F6B" w:rsidRPr="004C27D7" w:rsidRDefault="00A81F6B" w:rsidP="004C27D7">
      <w:pPr>
        <w:pStyle w:val="Footer"/>
        <w:rPr>
          <w:sz w:val="2"/>
          <w:szCs w:val="2"/>
        </w:rPr>
      </w:pPr>
    </w:p>
    <w:p w:rsidR="00A81F6B" w:rsidRDefault="00A81F6B"/>
  </w:endnote>
  <w:endnote w:type="continuationSeparator" w:id="0">
    <w:p w:rsidR="00A81F6B" w:rsidRPr="004C27D7" w:rsidRDefault="00A81F6B" w:rsidP="004C27D7">
      <w:pPr>
        <w:pStyle w:val="Footer"/>
        <w:rPr>
          <w:sz w:val="2"/>
          <w:szCs w:val="2"/>
        </w:rPr>
      </w:pPr>
    </w:p>
    <w:p w:rsidR="00A81F6B" w:rsidRDefault="00A81F6B"/>
  </w:endnote>
  <w:endnote w:type="continuationNotice" w:id="1">
    <w:p w:rsidR="00A81F6B" w:rsidRPr="004C27D7" w:rsidRDefault="00A81F6B">
      <w:pPr>
        <w:rPr>
          <w:sz w:val="2"/>
          <w:szCs w:val="2"/>
        </w:rPr>
      </w:pPr>
    </w:p>
    <w:p w:rsidR="00A81F6B" w:rsidRDefault="00A81F6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embedRegular r:id="rId1" w:fontKey="{D85A634E-0479-4AB6-BB23-A84A74866514}"/>
    <w:embedBold r:id="rId2" w:fontKey="{5DCF7780-6860-42B0-AABE-86916C203674}"/>
    <w:embedItalic r:id="rId3" w:fontKey="{2DA94530-4E26-4674-91FF-35315AEC6986}"/>
    <w:embedBoldItalic r:id="rId4" w:fontKey="{98CF3161-0DCD-43B7-8D80-CB5ADF9484E7}"/>
  </w:font>
  <w:font w:name="Arial">
    <w:panose1 w:val="020B0604020202020204"/>
    <w:charset w:val="00"/>
    <w:family w:val="swiss"/>
    <w:pitch w:val="variable"/>
    <w:sig w:usb0="E0002AFF" w:usb1="C0007843" w:usb2="00000009" w:usb3="00000000" w:csb0="000001FF" w:csb1="00000000"/>
  </w:font>
  <w:font w:name="Myriad Pro">
    <w:altName w:val="Arial"/>
    <w:panose1 w:val="00000000000000000000"/>
    <w:charset w:val="00"/>
    <w:family w:val="swiss"/>
    <w:notTrueType/>
    <w:pitch w:val="variable"/>
    <w:sig w:usb0="A00002AF" w:usb1="5000204B" w:usb2="00000000" w:usb3="00000000" w:csb0="0000019F" w:csb1="00000000"/>
  </w:font>
  <w:font w:name="Tahoma">
    <w:panose1 w:val="020B0604030504040204"/>
    <w:charset w:val="00"/>
    <w:family w:val="swiss"/>
    <w:pitch w:val="variable"/>
    <w:sig w:usb0="E1002EFF" w:usb1="C000605B" w:usb2="00000029" w:usb3="00000000" w:csb0="000101FF" w:csb1="00000000"/>
    <w:embedRegular r:id="rId5" w:fontKey="{87FA6BF9-EC02-4CAB-9825-5147FBB7BEFB}"/>
  </w:font>
  <w:font w:name="Pompei">
    <w:altName w:val="Times New Roman"/>
    <w:panose1 w:val="00000000000000000000"/>
    <w:charset w:val="00"/>
    <w:family w:val="roman"/>
    <w:notTrueType/>
    <w:pitch w:val="variable"/>
    <w:sig w:usb0="00000001" w:usb1="00000000" w:usb2="00000000" w:usb3="00000000" w:csb0="00000009" w:csb1="00000000"/>
  </w:font>
  <w:font w:name="Myriad Pro Light">
    <w:altName w:val="Arial"/>
    <w:panose1 w:val="00000000000000000000"/>
    <w:charset w:val="00"/>
    <w:family w:val="swiss"/>
    <w:notTrueType/>
    <w:pitch w:val="variable"/>
    <w:sig w:usb0="00000001" w:usb1="5000204B" w:usb2="00000000" w:usb3="00000000" w:csb0="0000009F" w:csb1="00000000"/>
  </w:font>
  <w:font w:name="Myriad Condensed Web">
    <w:altName w:val="Franklin Gothic Medium Cond"/>
    <w:charset w:val="00"/>
    <w:family w:val="swiss"/>
    <w:pitch w:val="variable"/>
    <w:sig w:usb0="00000001"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AdvTimes">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embedRegular r:id="rId6" w:fontKey="{37BE4675-C133-4E67-BD34-728C95611AA5}"/>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1F6B" w:rsidRPr="004E5F6D" w:rsidRDefault="00A81F6B" w:rsidP="00512C15">
    <w:pPr>
      <w:pStyle w:val="F1RunningFooter"/>
    </w:pPr>
    <w:r w:rsidRPr="000C02B6">
      <w:rPr>
        <w:b/>
      </w:rPr>
      <w:fldChar w:fldCharType="begin"/>
    </w:r>
    <w:r w:rsidRPr="000C02B6">
      <w:rPr>
        <w:b/>
      </w:rPr>
      <w:instrText xml:space="preserve"> PAGE </w:instrText>
    </w:r>
    <w:r w:rsidRPr="000C02B6">
      <w:rPr>
        <w:b/>
      </w:rPr>
      <w:fldChar w:fldCharType="separate"/>
    </w:r>
    <w:r w:rsidR="005518E4">
      <w:rPr>
        <w:b/>
        <w:noProof/>
      </w:rPr>
      <w:t>2</w:t>
    </w:r>
    <w:r w:rsidRPr="000C02B6">
      <w:rPr>
        <w:b/>
      </w:rPr>
      <w:fldChar w:fldCharType="end"/>
    </w:r>
    <w:r>
      <w:t xml:space="preserve">  </w:t>
    </w:r>
    <w:r w:rsidRPr="004E5F6D">
      <w:t>|</w:t>
    </w:r>
    <w:r>
      <w:t xml:space="preserve">  </w:t>
    </w:r>
    <w:r>
      <w:rPr>
        <w:i/>
      </w:rPr>
      <w:t>Journal Name</w:t>
    </w:r>
    <w:r w:rsidRPr="004E5F6D">
      <w:t xml:space="preserve">, </w:t>
    </w:r>
    <w:r>
      <w:t>[year]</w:t>
    </w:r>
    <w:r w:rsidRPr="004E5F6D">
      <w:t xml:space="preserve">, </w:t>
    </w:r>
    <w:r>
      <w:rPr>
        <w:b/>
      </w:rPr>
      <w:t>[vol]</w:t>
    </w:r>
    <w:r w:rsidRPr="004E5F6D">
      <w:t xml:space="preserve">, </w:t>
    </w:r>
    <w:r>
      <w:t>00–00</w:t>
    </w:r>
    <w:r>
      <w:rPr>
        <w:b/>
      </w:rPr>
      <w:tab/>
    </w:r>
    <w:r w:rsidRPr="00E26194">
      <w:rPr>
        <w:rStyle w:val="C1Gray"/>
        <w:lang w:val="en-GB"/>
      </w:rPr>
      <w:t>This journal is © The Royal Society of Chemistry [year]</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1F6B" w:rsidRPr="004E5F6D" w:rsidRDefault="00A81F6B" w:rsidP="00512C15">
    <w:pPr>
      <w:pStyle w:val="F1RunningFooter"/>
    </w:pPr>
    <w:r w:rsidRPr="00E26194">
      <w:rPr>
        <w:rStyle w:val="C1Gray"/>
        <w:lang w:val="en-GB"/>
      </w:rPr>
      <w:t>This journal is © The Royal Society of Chemistry [year]</w:t>
    </w:r>
    <w:r>
      <w:rPr>
        <w:b/>
      </w:rPr>
      <w:tab/>
    </w:r>
    <w:r>
      <w:rPr>
        <w:i/>
      </w:rPr>
      <w:t>Journal Name</w:t>
    </w:r>
    <w:r w:rsidRPr="004E5F6D">
      <w:t xml:space="preserve">, </w:t>
    </w:r>
    <w:r>
      <w:t>[year]</w:t>
    </w:r>
    <w:r w:rsidRPr="004E5F6D">
      <w:t xml:space="preserve">, </w:t>
    </w:r>
    <w:r>
      <w:rPr>
        <w:b/>
      </w:rPr>
      <w:t>[vol]</w:t>
    </w:r>
    <w:r w:rsidRPr="004E5F6D">
      <w:t xml:space="preserve">, </w:t>
    </w:r>
    <w:r>
      <w:t xml:space="preserve">00–00  </w:t>
    </w:r>
    <w:r w:rsidRPr="004E5F6D">
      <w:t>|</w:t>
    </w:r>
    <w:r>
      <w:t xml:space="preserve">  </w:t>
    </w:r>
    <w:r w:rsidRPr="000C02B6">
      <w:rPr>
        <w:b/>
      </w:rPr>
      <w:fldChar w:fldCharType="begin"/>
    </w:r>
    <w:r w:rsidRPr="000C02B6">
      <w:rPr>
        <w:b/>
      </w:rPr>
      <w:instrText xml:space="preserve"> PAGE </w:instrText>
    </w:r>
    <w:r w:rsidRPr="000C02B6">
      <w:rPr>
        <w:b/>
      </w:rPr>
      <w:fldChar w:fldCharType="separate"/>
    </w:r>
    <w:r w:rsidR="00EA33E6">
      <w:rPr>
        <w:b/>
        <w:noProof/>
      </w:rPr>
      <w:t>3</w:t>
    </w:r>
    <w:r w:rsidRPr="000C02B6">
      <w:rPr>
        <w:b/>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1F6B" w:rsidRPr="004E5F6D" w:rsidRDefault="00A81F6B" w:rsidP="008E64AC">
    <w:pPr>
      <w:pBdr>
        <w:top w:val="single" w:sz="6" w:space="1" w:color="auto"/>
      </w:pBdr>
      <w:tabs>
        <w:tab w:val="right" w:pos="9923"/>
      </w:tabs>
      <w:rPr>
        <w:rFonts w:ascii="Arial" w:hAnsi="Arial" w:cs="Arial"/>
        <w:sz w:val="17"/>
        <w:szCs w:val="17"/>
      </w:rPr>
    </w:pPr>
    <w:r w:rsidRPr="00D40D6C">
      <w:rPr>
        <w:rFonts w:ascii="Arial" w:hAnsi="Arial" w:cs="Arial"/>
        <w:color w:val="666666"/>
        <w:sz w:val="17"/>
        <w:szCs w:val="17"/>
      </w:rPr>
      <w:t xml:space="preserve">This journal </w:t>
    </w:r>
    <w:r>
      <w:rPr>
        <w:rFonts w:ascii="Arial" w:hAnsi="Arial" w:cs="Arial"/>
        <w:color w:val="666666"/>
        <w:sz w:val="17"/>
        <w:szCs w:val="17"/>
      </w:rPr>
      <w:t xml:space="preserve">is </w:t>
    </w:r>
    <w:r w:rsidRPr="00D40D6C">
      <w:rPr>
        <w:rFonts w:ascii="Arial" w:hAnsi="Arial" w:cs="Arial"/>
        <w:color w:val="666666"/>
        <w:sz w:val="17"/>
        <w:szCs w:val="17"/>
      </w:rPr>
      <w:t xml:space="preserve">© </w:t>
    </w:r>
    <w:r>
      <w:rPr>
        <w:rFonts w:ascii="Arial" w:hAnsi="Arial" w:cs="Arial"/>
        <w:color w:val="666666"/>
        <w:sz w:val="17"/>
        <w:szCs w:val="17"/>
      </w:rPr>
      <w:t xml:space="preserve">The </w:t>
    </w:r>
    <w:r w:rsidRPr="00D40D6C">
      <w:rPr>
        <w:rFonts w:ascii="Arial" w:hAnsi="Arial" w:cs="Arial"/>
        <w:color w:val="666666"/>
        <w:sz w:val="17"/>
        <w:szCs w:val="17"/>
      </w:rPr>
      <w:t>Royal Society of Chemistry</w:t>
    </w:r>
    <w:r>
      <w:rPr>
        <w:rFonts w:ascii="Arial" w:hAnsi="Arial" w:cs="Arial"/>
        <w:color w:val="666666"/>
        <w:sz w:val="17"/>
        <w:szCs w:val="17"/>
      </w:rPr>
      <w:t xml:space="preserve"> [year]</w:t>
    </w:r>
    <w:r>
      <w:rPr>
        <w:rFonts w:ascii="Arial" w:hAnsi="Arial" w:cs="Arial"/>
        <w:b/>
        <w:sz w:val="17"/>
        <w:szCs w:val="17"/>
      </w:rPr>
      <w:tab/>
    </w:r>
    <w:r w:rsidRPr="00F5304A">
      <w:rPr>
        <w:rFonts w:ascii="Arial" w:hAnsi="Arial" w:cs="Arial"/>
        <w:i/>
        <w:sz w:val="17"/>
        <w:szCs w:val="17"/>
      </w:rPr>
      <w:t>[journal]</w:t>
    </w:r>
    <w:r w:rsidRPr="004E5F6D">
      <w:rPr>
        <w:rFonts w:ascii="Arial" w:hAnsi="Arial" w:cs="Arial"/>
        <w:sz w:val="17"/>
        <w:szCs w:val="17"/>
      </w:rPr>
      <w:t xml:space="preserve">, </w:t>
    </w:r>
    <w:r>
      <w:rPr>
        <w:rFonts w:ascii="Arial" w:hAnsi="Arial" w:cs="Arial"/>
        <w:sz w:val="17"/>
        <w:szCs w:val="17"/>
      </w:rPr>
      <w:t>[year]</w:t>
    </w:r>
    <w:r w:rsidRPr="004E5F6D">
      <w:rPr>
        <w:rFonts w:ascii="Arial" w:hAnsi="Arial" w:cs="Arial"/>
        <w:sz w:val="17"/>
        <w:szCs w:val="17"/>
      </w:rPr>
      <w:t xml:space="preserve">, </w:t>
    </w:r>
    <w:r>
      <w:rPr>
        <w:rFonts w:ascii="Arial" w:hAnsi="Arial" w:cs="Arial"/>
        <w:b/>
        <w:sz w:val="17"/>
        <w:szCs w:val="17"/>
      </w:rPr>
      <w:t>[vol]</w:t>
    </w:r>
    <w:r w:rsidRPr="004E5F6D">
      <w:rPr>
        <w:rFonts w:ascii="Arial" w:hAnsi="Arial" w:cs="Arial"/>
        <w:sz w:val="17"/>
        <w:szCs w:val="17"/>
      </w:rPr>
      <w:t xml:space="preserve">, </w:t>
    </w:r>
    <w:r>
      <w:rPr>
        <w:rFonts w:ascii="Arial" w:hAnsi="Arial" w:cs="Arial"/>
        <w:sz w:val="17"/>
        <w:szCs w:val="17"/>
      </w:rPr>
      <w:t xml:space="preserve">00–00  </w:t>
    </w:r>
    <w:r w:rsidRPr="004E5F6D">
      <w:rPr>
        <w:rFonts w:ascii="Arial" w:hAnsi="Arial" w:cs="Arial"/>
        <w:sz w:val="17"/>
        <w:szCs w:val="17"/>
      </w:rPr>
      <w:t>|</w:t>
    </w:r>
    <w:r>
      <w:rPr>
        <w:rFonts w:ascii="Arial" w:hAnsi="Arial" w:cs="Arial"/>
        <w:sz w:val="17"/>
        <w:szCs w:val="17"/>
      </w:rPr>
      <w:t xml:space="preserve">  </w:t>
    </w:r>
    <w:r w:rsidRPr="000C02B6">
      <w:rPr>
        <w:rFonts w:ascii="Arial" w:hAnsi="Arial" w:cs="Arial"/>
        <w:b/>
        <w:sz w:val="17"/>
        <w:szCs w:val="17"/>
      </w:rPr>
      <w:fldChar w:fldCharType="begin"/>
    </w:r>
    <w:r w:rsidRPr="000C02B6">
      <w:rPr>
        <w:rFonts w:ascii="Arial" w:hAnsi="Arial" w:cs="Arial"/>
        <w:b/>
        <w:sz w:val="17"/>
        <w:szCs w:val="17"/>
      </w:rPr>
      <w:instrText xml:space="preserve"> PAGE </w:instrText>
    </w:r>
    <w:r w:rsidRPr="000C02B6">
      <w:rPr>
        <w:rFonts w:ascii="Arial" w:hAnsi="Arial" w:cs="Arial"/>
        <w:b/>
        <w:sz w:val="17"/>
        <w:szCs w:val="17"/>
      </w:rPr>
      <w:fldChar w:fldCharType="separate"/>
    </w:r>
    <w:r w:rsidR="005518E4">
      <w:rPr>
        <w:rFonts w:ascii="Arial" w:hAnsi="Arial" w:cs="Arial"/>
        <w:b/>
        <w:noProof/>
        <w:sz w:val="17"/>
        <w:szCs w:val="17"/>
      </w:rPr>
      <w:t>1</w:t>
    </w:r>
    <w:r w:rsidRPr="000C02B6">
      <w:rPr>
        <w:rFonts w:ascii="Arial" w:hAnsi="Arial" w:cs="Arial"/>
        <w:b/>
        <w:sz w:val="17"/>
        <w:szCs w:val="17"/>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1F6B" w:rsidRDefault="00A81F6B">
      <w:r>
        <w:separator/>
      </w:r>
    </w:p>
    <w:p w:rsidR="00A81F6B" w:rsidRDefault="00A81F6B"/>
  </w:footnote>
  <w:footnote w:type="continuationSeparator" w:id="0">
    <w:p w:rsidR="00A81F6B" w:rsidRDefault="00A81F6B">
      <w:r>
        <w:continuationSeparator/>
      </w:r>
    </w:p>
    <w:p w:rsidR="00A81F6B" w:rsidRDefault="00A81F6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1F6B" w:rsidRDefault="00A81F6B" w:rsidP="00D216FB">
    <w:pPr>
      <w:spacing w:after="80"/>
      <w:jc w:val="center"/>
      <w:rPr>
        <w:rFonts w:ascii="Arial" w:hAnsi="Arial"/>
        <w:b/>
        <w:color w:val="000000"/>
        <w:sz w:val="12"/>
      </w:rPr>
    </w:pPr>
    <w:r>
      <w:rPr>
        <w:rFonts w:ascii="Arial" w:hAnsi="Arial"/>
        <w:b/>
        <w:color w:val="000000"/>
        <w:sz w:val="12"/>
      </w:rPr>
      <w:t>CREATED USING THE RSC ARTICLE TEMPLATE (VER. 3.0) - SEE WWW.RSC.ORG/ELECTRONICFILES FOR DETAILS</w:t>
    </w:r>
  </w:p>
  <w:p w:rsidR="00A81F6B" w:rsidRPr="00641DA1" w:rsidRDefault="00A81F6B" w:rsidP="008C11DC">
    <w:pPr>
      <w:pStyle w:val="H1RunningHeader"/>
      <w:rPr>
        <w:color w:val="000000"/>
        <w:lang w:val="fr-FR"/>
      </w:rPr>
    </w:pPr>
    <w:r w:rsidRPr="00641DA1">
      <w:rPr>
        <w:rStyle w:val="C1Gray"/>
      </w:rPr>
      <w:t xml:space="preserve">ARTICLE </w:t>
    </w:r>
    <w:r>
      <w:rPr>
        <w:rStyle w:val="C1Gray"/>
      </w:rPr>
      <w:t>TYPE</w:t>
    </w:r>
    <w:r w:rsidRPr="00641DA1">
      <w:rPr>
        <w:color w:val="000000"/>
        <w:lang w:val="fr-FR"/>
      </w:rPr>
      <w:tab/>
    </w:r>
    <w:r w:rsidRPr="00641DA1">
      <w:rPr>
        <w:rStyle w:val="C1Gray"/>
      </w:rPr>
      <w:t>www.rsc.org/xxxxxx</w:t>
    </w:r>
    <w:r w:rsidRPr="00641DA1">
      <w:rPr>
        <w:color w:val="000000"/>
        <w:lang w:val="fr-FR"/>
      </w:rPr>
      <w:t xml:space="preserve">  |  XXXXXXXX</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bottom w:val="single" w:sz="4" w:space="0" w:color="auto"/>
      </w:tblBorders>
      <w:tblLook w:val="04A0" w:firstRow="1" w:lastRow="0" w:firstColumn="1" w:lastColumn="0" w:noHBand="0" w:noVBand="1"/>
    </w:tblPr>
    <w:tblGrid>
      <w:gridCol w:w="4979"/>
      <w:gridCol w:w="4944"/>
    </w:tblGrid>
    <w:tr w:rsidR="00A81F6B" w:rsidRPr="00045511" w:rsidTr="00152DB1">
      <w:tc>
        <w:tcPr>
          <w:tcW w:w="5069" w:type="dxa"/>
          <w:tcBorders>
            <w:bottom w:val="single" w:sz="4" w:space="0" w:color="auto"/>
          </w:tcBorders>
        </w:tcPr>
        <w:p w:rsidR="00A81F6B" w:rsidRDefault="00A81F6B" w:rsidP="00152DB1">
          <w:pPr>
            <w:pStyle w:val="H1RunningHeader"/>
            <w:pBdr>
              <w:bottom w:val="none" w:sz="0" w:space="0" w:color="auto"/>
            </w:pBdr>
            <w:spacing w:line="440" w:lineRule="exact"/>
            <w:rPr>
              <w:rStyle w:val="C1Gray"/>
              <w:rFonts w:ascii="Pompei" w:hAnsi="Pompei"/>
              <w:color w:val="auto"/>
              <w:position w:val="4"/>
              <w:sz w:val="40"/>
              <w:szCs w:val="40"/>
              <w:lang w:val="en-GB"/>
            </w:rPr>
          </w:pPr>
          <w:r w:rsidRPr="00045511">
            <w:rPr>
              <w:rStyle w:val="C1Gray"/>
              <w:rFonts w:ascii="Pompei" w:hAnsi="Pompei"/>
              <w:color w:val="auto"/>
              <w:position w:val="4"/>
              <w:sz w:val="40"/>
              <w:szCs w:val="40"/>
              <w:lang w:val="en-GB"/>
            </w:rPr>
            <w:t>Journal Name</w:t>
          </w:r>
        </w:p>
        <w:p w:rsidR="00A81F6B" w:rsidRPr="00045511" w:rsidRDefault="00A81F6B" w:rsidP="00152DB1">
          <w:pPr>
            <w:pStyle w:val="H1RunningHeader"/>
            <w:pBdr>
              <w:bottom w:val="none" w:sz="0" w:space="0" w:color="auto"/>
            </w:pBdr>
            <w:spacing w:before="720" w:line="240" w:lineRule="exact"/>
            <w:rPr>
              <w:rStyle w:val="C1Gray"/>
              <w:rFonts w:ascii="Myriad Pro Light" w:hAnsi="Myriad Pro Light"/>
              <w:sz w:val="24"/>
              <w:szCs w:val="24"/>
              <w:lang w:val="en-GB"/>
            </w:rPr>
          </w:pPr>
          <w:r w:rsidRPr="00045511">
            <w:rPr>
              <w:rStyle w:val="C1Gray"/>
              <w:rFonts w:ascii="Myriad Pro Light" w:hAnsi="Myriad Pro Light"/>
              <w:sz w:val="24"/>
              <w:szCs w:val="24"/>
              <w:lang w:val="en-GB"/>
            </w:rPr>
            <w:t>Cite this: DOI: 10.1039/c0xx00000x</w:t>
          </w:r>
        </w:p>
        <w:p w:rsidR="00A81F6B" w:rsidRPr="00045511" w:rsidRDefault="00A81F6B" w:rsidP="00152DB1">
          <w:pPr>
            <w:pStyle w:val="H1RunningHeader"/>
            <w:pBdr>
              <w:bottom w:val="none" w:sz="0" w:space="0" w:color="auto"/>
            </w:pBdr>
            <w:spacing w:before="220" w:after="60" w:line="240" w:lineRule="exact"/>
            <w:rPr>
              <w:rStyle w:val="C1Gray"/>
              <w:rFonts w:ascii="Myriad Pro Light" w:hAnsi="Myriad Pro Light"/>
              <w:sz w:val="24"/>
              <w:szCs w:val="24"/>
              <w:lang w:val="en-GB"/>
            </w:rPr>
          </w:pPr>
          <w:r w:rsidRPr="00045511">
            <w:rPr>
              <w:rStyle w:val="C1Gray"/>
              <w:rFonts w:ascii="Myriad Pro Light" w:hAnsi="Myriad Pro Light"/>
              <w:sz w:val="24"/>
              <w:szCs w:val="24"/>
              <w:lang w:val="en-GB"/>
            </w:rPr>
            <w:t>www.rsc.org/xxxxxx</w:t>
          </w:r>
        </w:p>
      </w:tc>
      <w:tc>
        <w:tcPr>
          <w:tcW w:w="5070" w:type="dxa"/>
          <w:tcBorders>
            <w:bottom w:val="single" w:sz="4" w:space="0" w:color="auto"/>
          </w:tcBorders>
        </w:tcPr>
        <w:p w:rsidR="00A81F6B" w:rsidRDefault="00A81F6B" w:rsidP="00152DB1">
          <w:pPr>
            <w:pStyle w:val="H1RunningHeader"/>
            <w:pBdr>
              <w:bottom w:val="none" w:sz="0" w:space="0" w:color="auto"/>
            </w:pBdr>
            <w:spacing w:before="20" w:line="240" w:lineRule="exact"/>
            <w:jc w:val="right"/>
            <w:rPr>
              <w:rFonts w:ascii="Times New Roman" w:hAnsi="Times New Roman" w:cs="Times New Roman"/>
              <w:color w:val="0000ED"/>
            </w:rPr>
          </w:pPr>
          <w:r w:rsidRPr="00045511">
            <w:rPr>
              <w:rStyle w:val="C1Gray"/>
              <w:rFonts w:ascii="Myriad Pro Light" w:hAnsi="Myriad Pro Light"/>
              <w:color w:val="0000ED"/>
              <w:sz w:val="24"/>
              <w:szCs w:val="24"/>
              <w:lang w:val="en-GB"/>
            </w:rPr>
            <w:t>Dynamic Article Links</w:t>
          </w:r>
          <w:r w:rsidRPr="00045511">
            <w:t xml:space="preserve"> </w:t>
          </w:r>
          <w:r w:rsidRPr="00045511">
            <w:rPr>
              <w:rFonts w:ascii="Times New Roman" w:hAnsi="Times New Roman" w:cs="Times New Roman"/>
              <w:color w:val="0000ED"/>
            </w:rPr>
            <w:t>►</w:t>
          </w:r>
        </w:p>
        <w:p w:rsidR="00A81F6B" w:rsidRPr="00045511" w:rsidRDefault="00A81F6B" w:rsidP="00152DB1">
          <w:pPr>
            <w:pStyle w:val="H1RunningHeader"/>
            <w:pBdr>
              <w:bottom w:val="none" w:sz="0" w:space="0" w:color="auto"/>
            </w:pBdr>
            <w:spacing w:before="1240" w:line="400" w:lineRule="exact"/>
            <w:jc w:val="right"/>
            <w:rPr>
              <w:rStyle w:val="C1Gray"/>
              <w:rFonts w:ascii="Pompei" w:hAnsi="Pompei"/>
              <w:color w:val="auto"/>
              <w:sz w:val="40"/>
              <w:szCs w:val="40"/>
              <w:lang w:val="en-GB"/>
            </w:rPr>
          </w:pPr>
          <w:r w:rsidRPr="00045511">
            <w:rPr>
              <w:rStyle w:val="C1Gray"/>
              <w:rFonts w:ascii="Myriad Condensed Web" w:hAnsi="Myriad Condensed Web"/>
              <w:b/>
              <w:color w:val="auto"/>
              <w:sz w:val="40"/>
              <w:szCs w:val="40"/>
              <w:lang w:val="en-GB"/>
            </w:rPr>
            <w:t>ARTICLE TYPE</w:t>
          </w:r>
        </w:p>
      </w:tc>
    </w:tr>
  </w:tbl>
  <w:p w:rsidR="00A81F6B" w:rsidRPr="00171725" w:rsidRDefault="00A81F6B" w:rsidP="000D0DE1">
    <w:pPr>
      <w:pStyle w:val="Header"/>
      <w:spacing w:line="200" w:lineRule="exact"/>
      <w:rPr>
        <w:sz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bottom w:val="single" w:sz="4" w:space="0" w:color="auto"/>
      </w:tblBorders>
      <w:tblLook w:val="04A0" w:firstRow="1" w:lastRow="0" w:firstColumn="1" w:lastColumn="0" w:noHBand="0" w:noVBand="1"/>
    </w:tblPr>
    <w:tblGrid>
      <w:gridCol w:w="4977"/>
      <w:gridCol w:w="4946"/>
    </w:tblGrid>
    <w:tr w:rsidR="00A81F6B" w:rsidRPr="00045511" w:rsidTr="00152DB1">
      <w:tc>
        <w:tcPr>
          <w:tcW w:w="5069" w:type="dxa"/>
          <w:tcBorders>
            <w:bottom w:val="single" w:sz="4" w:space="0" w:color="auto"/>
          </w:tcBorders>
        </w:tcPr>
        <w:p w:rsidR="00A81F6B" w:rsidRPr="00384457" w:rsidRDefault="00A81F6B" w:rsidP="00152DB1">
          <w:pPr>
            <w:pStyle w:val="H1RunningHeader"/>
            <w:pBdr>
              <w:bottom w:val="none" w:sz="0" w:space="0" w:color="auto"/>
            </w:pBdr>
            <w:spacing w:line="440" w:lineRule="exact"/>
            <w:rPr>
              <w:rStyle w:val="C1Gray"/>
              <w:rFonts w:ascii="Pompei" w:hAnsi="Pompei"/>
              <w:color w:val="auto"/>
              <w:w w:val="100"/>
              <w:position w:val="4"/>
              <w:sz w:val="40"/>
              <w:szCs w:val="40"/>
              <w:lang w:val="en-GB"/>
            </w:rPr>
          </w:pPr>
          <w:r w:rsidRPr="00384457">
            <w:rPr>
              <w:rStyle w:val="C1Gray"/>
              <w:rFonts w:ascii="Pompei" w:hAnsi="Pompei"/>
              <w:color w:val="auto"/>
              <w:w w:val="100"/>
              <w:position w:val="4"/>
              <w:sz w:val="40"/>
              <w:szCs w:val="40"/>
              <w:lang w:val="en-GB"/>
            </w:rPr>
            <w:t>Journal Name</w:t>
          </w:r>
        </w:p>
        <w:p w:rsidR="00A81F6B" w:rsidRPr="00384457" w:rsidRDefault="00A81F6B" w:rsidP="00152DB1">
          <w:pPr>
            <w:pStyle w:val="H1RunningHeader"/>
            <w:pBdr>
              <w:bottom w:val="none" w:sz="0" w:space="0" w:color="auto"/>
            </w:pBdr>
            <w:spacing w:before="720" w:line="240" w:lineRule="exact"/>
            <w:rPr>
              <w:rStyle w:val="C1Gray"/>
              <w:rFonts w:ascii="Myriad Pro Light" w:hAnsi="Myriad Pro Light"/>
              <w:w w:val="100"/>
              <w:sz w:val="24"/>
              <w:szCs w:val="24"/>
              <w:lang w:val="en-GB"/>
            </w:rPr>
          </w:pPr>
          <w:r w:rsidRPr="00384457">
            <w:rPr>
              <w:rStyle w:val="C1Gray"/>
              <w:rFonts w:ascii="Myriad Pro Light" w:hAnsi="Myriad Pro Light"/>
              <w:w w:val="100"/>
              <w:sz w:val="24"/>
              <w:szCs w:val="24"/>
              <w:lang w:val="en-GB"/>
            </w:rPr>
            <w:t>Cite this: DOI: 10.1039/c0xx00000x</w:t>
          </w:r>
        </w:p>
        <w:p w:rsidR="00A81F6B" w:rsidRPr="00384457" w:rsidRDefault="00A81F6B" w:rsidP="00152DB1">
          <w:pPr>
            <w:pStyle w:val="H1RunningHeader"/>
            <w:pBdr>
              <w:bottom w:val="none" w:sz="0" w:space="0" w:color="auto"/>
            </w:pBdr>
            <w:spacing w:before="220" w:after="60" w:line="240" w:lineRule="exact"/>
            <w:rPr>
              <w:rStyle w:val="C1Gray"/>
              <w:rFonts w:ascii="Myriad Pro Light" w:hAnsi="Myriad Pro Light"/>
              <w:w w:val="100"/>
              <w:sz w:val="24"/>
              <w:szCs w:val="24"/>
              <w:lang w:val="en-GB"/>
            </w:rPr>
          </w:pPr>
          <w:r w:rsidRPr="00384457">
            <w:rPr>
              <w:rStyle w:val="C1Gray"/>
              <w:rFonts w:ascii="Myriad Pro Light" w:hAnsi="Myriad Pro Light"/>
              <w:w w:val="100"/>
              <w:sz w:val="24"/>
              <w:szCs w:val="24"/>
              <w:lang w:val="en-GB"/>
            </w:rPr>
            <w:t>www.rsc.org/xxxxxx</w:t>
          </w:r>
        </w:p>
      </w:tc>
      <w:tc>
        <w:tcPr>
          <w:tcW w:w="5070" w:type="dxa"/>
          <w:tcBorders>
            <w:bottom w:val="single" w:sz="4" w:space="0" w:color="auto"/>
          </w:tcBorders>
        </w:tcPr>
        <w:p w:rsidR="00A81F6B" w:rsidRPr="00384457" w:rsidRDefault="00A81F6B" w:rsidP="00152DB1">
          <w:pPr>
            <w:pStyle w:val="H1RunningHeader"/>
            <w:pBdr>
              <w:bottom w:val="none" w:sz="0" w:space="0" w:color="auto"/>
            </w:pBdr>
            <w:spacing w:before="20" w:line="240" w:lineRule="exact"/>
            <w:jc w:val="right"/>
            <w:rPr>
              <w:rFonts w:ascii="Times New Roman" w:hAnsi="Times New Roman" w:cs="Times New Roman"/>
              <w:color w:val="0000ED"/>
              <w:w w:val="100"/>
            </w:rPr>
          </w:pPr>
          <w:r w:rsidRPr="00384457">
            <w:rPr>
              <w:rStyle w:val="C1Gray"/>
              <w:rFonts w:ascii="Myriad Pro Light" w:hAnsi="Myriad Pro Light"/>
              <w:color w:val="0000ED"/>
              <w:w w:val="100"/>
              <w:sz w:val="24"/>
              <w:szCs w:val="24"/>
              <w:lang w:val="en-GB"/>
            </w:rPr>
            <w:t>Dynamic Article Links</w:t>
          </w:r>
          <w:r w:rsidRPr="00384457">
            <w:rPr>
              <w:w w:val="100"/>
            </w:rPr>
            <w:t xml:space="preserve"> </w:t>
          </w:r>
          <w:r w:rsidRPr="00384457">
            <w:rPr>
              <w:rFonts w:ascii="Times New Roman" w:hAnsi="Times New Roman" w:cs="Times New Roman"/>
              <w:color w:val="0000ED"/>
              <w:w w:val="100"/>
              <w:sz w:val="24"/>
              <w:szCs w:val="24"/>
            </w:rPr>
            <w:t>►</w:t>
          </w:r>
        </w:p>
        <w:p w:rsidR="00A81F6B" w:rsidRPr="00384457" w:rsidRDefault="00A81F6B" w:rsidP="00152DB1">
          <w:pPr>
            <w:pStyle w:val="H1RunningHeader"/>
            <w:pBdr>
              <w:bottom w:val="none" w:sz="0" w:space="0" w:color="auto"/>
            </w:pBdr>
            <w:spacing w:before="1240" w:line="400" w:lineRule="exact"/>
            <w:jc w:val="right"/>
            <w:rPr>
              <w:rStyle w:val="C1Gray"/>
              <w:rFonts w:ascii="Pompei" w:hAnsi="Pompei"/>
              <w:color w:val="auto"/>
              <w:w w:val="100"/>
              <w:sz w:val="40"/>
              <w:szCs w:val="40"/>
              <w:lang w:val="en-GB"/>
            </w:rPr>
          </w:pPr>
          <w:r w:rsidRPr="00384457">
            <w:rPr>
              <w:rStyle w:val="C1Gray"/>
              <w:rFonts w:ascii="Myriad Condensed Web" w:hAnsi="Myriad Condensed Web"/>
              <w:b/>
              <w:color w:val="auto"/>
              <w:w w:val="100"/>
              <w:sz w:val="40"/>
              <w:szCs w:val="40"/>
              <w:lang w:val="en-GB"/>
            </w:rPr>
            <w:t>ARTICLE TYPE</w:t>
          </w:r>
        </w:p>
      </w:tc>
    </w:tr>
  </w:tbl>
  <w:p w:rsidR="00A81F6B" w:rsidRPr="00171725" w:rsidRDefault="00A81F6B" w:rsidP="000D0DE1">
    <w:pPr>
      <w:pStyle w:val="Header"/>
      <w:spacing w:line="200" w:lineRule="exact"/>
      <w:rPr>
        <w:sz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1F6B" w:rsidRPr="00740342" w:rsidRDefault="00A81F6B" w:rsidP="00822F1E">
    <w:pPr>
      <w:pStyle w:val="H1RunningHeader"/>
      <w:rPr>
        <w:sz w:val="48"/>
        <w:szCs w:val="48"/>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1F6B" w:rsidRPr="00740342" w:rsidRDefault="00A81F6B" w:rsidP="00822F1E">
    <w:pPr>
      <w:pStyle w:val="H1RunningHeader"/>
      <w:rPr>
        <w:sz w:val="48"/>
        <w:szCs w:val="4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78200842"/>
    <w:lvl w:ilvl="0">
      <w:start w:val="1"/>
      <w:numFmt w:val="decimal"/>
      <w:lvlText w:val="%1."/>
      <w:lvlJc w:val="left"/>
      <w:pPr>
        <w:tabs>
          <w:tab w:val="num" w:pos="1209"/>
        </w:tabs>
        <w:ind w:left="1209" w:hanging="360"/>
      </w:pPr>
    </w:lvl>
  </w:abstractNum>
  <w:abstractNum w:abstractNumId="1">
    <w:nsid w:val="FFFFFF7E"/>
    <w:multiLevelType w:val="singleLevel"/>
    <w:tmpl w:val="CF56D2CC"/>
    <w:lvl w:ilvl="0">
      <w:start w:val="1"/>
      <w:numFmt w:val="decimal"/>
      <w:lvlText w:val="%1."/>
      <w:lvlJc w:val="left"/>
      <w:pPr>
        <w:tabs>
          <w:tab w:val="num" w:pos="926"/>
        </w:tabs>
        <w:ind w:left="926" w:hanging="360"/>
      </w:pPr>
    </w:lvl>
  </w:abstractNum>
  <w:abstractNum w:abstractNumId="2">
    <w:nsid w:val="FFFFFF7F"/>
    <w:multiLevelType w:val="singleLevel"/>
    <w:tmpl w:val="938013B0"/>
    <w:lvl w:ilvl="0">
      <w:start w:val="1"/>
      <w:numFmt w:val="decimal"/>
      <w:lvlText w:val="%1."/>
      <w:lvlJc w:val="left"/>
      <w:pPr>
        <w:tabs>
          <w:tab w:val="num" w:pos="643"/>
        </w:tabs>
        <w:ind w:left="643" w:hanging="360"/>
      </w:pPr>
    </w:lvl>
  </w:abstractNum>
  <w:abstractNum w:abstractNumId="3">
    <w:nsid w:val="FFFFFF80"/>
    <w:multiLevelType w:val="singleLevel"/>
    <w:tmpl w:val="938C0E4E"/>
    <w:lvl w:ilvl="0">
      <w:start w:val="1"/>
      <w:numFmt w:val="bullet"/>
      <w:lvlText w:val=""/>
      <w:lvlJc w:val="left"/>
      <w:pPr>
        <w:tabs>
          <w:tab w:val="num" w:pos="1492"/>
        </w:tabs>
        <w:ind w:left="1492" w:hanging="360"/>
      </w:pPr>
      <w:rPr>
        <w:rFonts w:ascii="Symbol" w:hAnsi="Symbol" w:hint="default"/>
      </w:rPr>
    </w:lvl>
  </w:abstractNum>
  <w:abstractNum w:abstractNumId="4">
    <w:nsid w:val="FFFFFF81"/>
    <w:multiLevelType w:val="singleLevel"/>
    <w:tmpl w:val="71B25244"/>
    <w:lvl w:ilvl="0">
      <w:start w:val="1"/>
      <w:numFmt w:val="bullet"/>
      <w:lvlText w:val=""/>
      <w:lvlJc w:val="left"/>
      <w:pPr>
        <w:tabs>
          <w:tab w:val="num" w:pos="1209"/>
        </w:tabs>
        <w:ind w:left="1209" w:hanging="360"/>
      </w:pPr>
      <w:rPr>
        <w:rFonts w:ascii="Symbol" w:hAnsi="Symbol" w:hint="default"/>
      </w:rPr>
    </w:lvl>
  </w:abstractNum>
  <w:abstractNum w:abstractNumId="5">
    <w:nsid w:val="FFFFFF82"/>
    <w:multiLevelType w:val="singleLevel"/>
    <w:tmpl w:val="80803B96"/>
    <w:lvl w:ilvl="0">
      <w:start w:val="1"/>
      <w:numFmt w:val="bullet"/>
      <w:lvlText w:val=""/>
      <w:lvlJc w:val="left"/>
      <w:pPr>
        <w:tabs>
          <w:tab w:val="num" w:pos="926"/>
        </w:tabs>
        <w:ind w:left="926" w:hanging="360"/>
      </w:pPr>
      <w:rPr>
        <w:rFonts w:ascii="Symbol" w:hAnsi="Symbol" w:hint="default"/>
      </w:rPr>
    </w:lvl>
  </w:abstractNum>
  <w:abstractNum w:abstractNumId="6">
    <w:nsid w:val="FFFFFF83"/>
    <w:multiLevelType w:val="singleLevel"/>
    <w:tmpl w:val="2DDCAD58"/>
    <w:lvl w:ilvl="0">
      <w:start w:val="1"/>
      <w:numFmt w:val="bullet"/>
      <w:lvlText w:val=""/>
      <w:lvlJc w:val="left"/>
      <w:pPr>
        <w:tabs>
          <w:tab w:val="num" w:pos="643"/>
        </w:tabs>
        <w:ind w:left="643" w:hanging="360"/>
      </w:pPr>
      <w:rPr>
        <w:rFonts w:ascii="Symbol" w:hAnsi="Symbol" w:hint="default"/>
      </w:rPr>
    </w:lvl>
  </w:abstractNum>
  <w:abstractNum w:abstractNumId="7">
    <w:nsid w:val="FFFFFF88"/>
    <w:multiLevelType w:val="singleLevel"/>
    <w:tmpl w:val="0D62A6B8"/>
    <w:lvl w:ilvl="0">
      <w:start w:val="1"/>
      <w:numFmt w:val="decimal"/>
      <w:lvlText w:val="%1."/>
      <w:lvlJc w:val="left"/>
      <w:pPr>
        <w:tabs>
          <w:tab w:val="num" w:pos="360"/>
        </w:tabs>
        <w:ind w:left="360" w:hanging="360"/>
      </w:pPr>
    </w:lvl>
  </w:abstractNum>
  <w:abstractNum w:abstractNumId="8">
    <w:nsid w:val="FFFFFF89"/>
    <w:multiLevelType w:val="singleLevel"/>
    <w:tmpl w:val="7BC0EA5A"/>
    <w:lvl w:ilvl="0">
      <w:start w:val="1"/>
      <w:numFmt w:val="bullet"/>
      <w:lvlText w:val=""/>
      <w:lvlJc w:val="left"/>
      <w:pPr>
        <w:tabs>
          <w:tab w:val="num" w:pos="360"/>
        </w:tabs>
        <w:ind w:left="360" w:hanging="360"/>
      </w:pPr>
      <w:rPr>
        <w:rFonts w:ascii="Symbol" w:hAnsi="Symbol" w:hint="default"/>
      </w:rPr>
    </w:lvl>
  </w:abstractNum>
  <w:abstractNum w:abstractNumId="9">
    <w:nsid w:val="0D88403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2DCD3B45"/>
    <w:multiLevelType w:val="multilevel"/>
    <w:tmpl w:val="08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54E77C6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8"/>
  </w:num>
  <w:num w:numId="2">
    <w:abstractNumId w:val="6"/>
  </w:num>
  <w:num w:numId="3">
    <w:abstractNumId w:val="5"/>
  </w:num>
  <w:num w:numId="4">
    <w:abstractNumId w:val="4"/>
  </w:num>
  <w:num w:numId="5">
    <w:abstractNumId w:val="3"/>
  </w:num>
  <w:num w:numId="6">
    <w:abstractNumId w:val="7"/>
  </w:num>
  <w:num w:numId="7">
    <w:abstractNumId w:val="2"/>
  </w:num>
  <w:num w:numId="8">
    <w:abstractNumId w:val="1"/>
  </w:num>
  <w:num w:numId="9">
    <w:abstractNumId w:val="0"/>
  </w:num>
  <w:num w:numId="10">
    <w:abstractNumId w:val="11"/>
  </w:num>
  <w:num w:numId="11">
    <w:abstractNumId w:val="9"/>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TrueTypeFonts/>
  <w:mirrorMargins/>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evenAndOddHeaders/>
  <w:drawingGridHorizontalSpacing w:val="120"/>
  <w:displayHorizontalDrawingGridEvery w:val="2"/>
  <w:displayVerticalDrawingGridEvery w:val="2"/>
  <w:noPunctuationKerning/>
  <w:characterSpacingControl w:val="doNotCompress"/>
  <w:hdrShapeDefaults>
    <o:shapedefaults v:ext="edit" spidmax="36865" fillcolor="white">
      <v:fill color="white"/>
      <v:textbox inset="0,0,0,0"/>
    </o:shapedefaults>
  </w:hdrShapeDefaults>
  <w:footnotePr>
    <w:footnote w:id="-1"/>
    <w:footnote w:id="0"/>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lt;ENInstantFormat&gt;&lt;Enabled&gt;1&lt;/Enabled&gt;&lt;ScanUnformatted&gt;1&lt;/ScanUnformatted&gt;&lt;ScanChanges&gt;1&lt;/ScanChanges&gt;&lt;/ENInstantFormat&gt;"/>
    <w:docVar w:name="EN.Layout" w:val="&lt;ENLayout&gt;&lt;Style&gt;Chemical Communications&lt;/Style&gt;&lt;LeftDelim&gt;{&lt;/LeftDelim&gt;&lt;RightDelim&gt;}&lt;/RightDelim&gt;&lt;FontName&gt;Times New Roman&lt;/FontName&gt;&lt;FontSize&gt;8&lt;/FontSize&gt;&lt;ReflistTitle&gt;&lt;/ReflistTitle&gt;&lt;StartingRefnum&gt;1&lt;/StartingRefnum&gt;&lt;FirstLineIndent&gt;0&lt;/FirstLineIndent&gt;&lt;HangingIndent&gt;720&lt;/HangingIndent&gt;&lt;LineSpacing&gt;0&lt;/LineSpacing&gt;&lt;SpaceAfter&gt;0&lt;/SpaceAfter&gt;&lt;/ENLayout&gt;"/>
  </w:docVars>
  <w:rsids>
    <w:rsidRoot w:val="00553C47"/>
    <w:rsid w:val="00000C32"/>
    <w:rsid w:val="00001BBF"/>
    <w:rsid w:val="00003211"/>
    <w:rsid w:val="000073CD"/>
    <w:rsid w:val="000132B0"/>
    <w:rsid w:val="00013CED"/>
    <w:rsid w:val="0001466E"/>
    <w:rsid w:val="000166DC"/>
    <w:rsid w:val="000173F5"/>
    <w:rsid w:val="00020950"/>
    <w:rsid w:val="000246F9"/>
    <w:rsid w:val="00025CC2"/>
    <w:rsid w:val="00045271"/>
    <w:rsid w:val="000508F1"/>
    <w:rsid w:val="00056754"/>
    <w:rsid w:val="00065238"/>
    <w:rsid w:val="00065BFF"/>
    <w:rsid w:val="00072C21"/>
    <w:rsid w:val="000734A0"/>
    <w:rsid w:val="00081108"/>
    <w:rsid w:val="00093F14"/>
    <w:rsid w:val="000958E8"/>
    <w:rsid w:val="000A3E61"/>
    <w:rsid w:val="000A7DBA"/>
    <w:rsid w:val="000B24AB"/>
    <w:rsid w:val="000B3D03"/>
    <w:rsid w:val="000B7545"/>
    <w:rsid w:val="000C0DC2"/>
    <w:rsid w:val="000C29C4"/>
    <w:rsid w:val="000C2BB7"/>
    <w:rsid w:val="000C4412"/>
    <w:rsid w:val="000C605C"/>
    <w:rsid w:val="000D0DE1"/>
    <w:rsid w:val="000E2372"/>
    <w:rsid w:val="000E2F8D"/>
    <w:rsid w:val="000F359A"/>
    <w:rsid w:val="000F405F"/>
    <w:rsid w:val="000F5A24"/>
    <w:rsid w:val="001107BA"/>
    <w:rsid w:val="001108D6"/>
    <w:rsid w:val="00110E73"/>
    <w:rsid w:val="0012428D"/>
    <w:rsid w:val="001266E9"/>
    <w:rsid w:val="00127C07"/>
    <w:rsid w:val="00136EDE"/>
    <w:rsid w:val="00151CBD"/>
    <w:rsid w:val="00152DB1"/>
    <w:rsid w:val="001531BA"/>
    <w:rsid w:val="00162682"/>
    <w:rsid w:val="00165FFB"/>
    <w:rsid w:val="00170A98"/>
    <w:rsid w:val="00174FEF"/>
    <w:rsid w:val="00190CA1"/>
    <w:rsid w:val="001928DD"/>
    <w:rsid w:val="001936E9"/>
    <w:rsid w:val="001A0995"/>
    <w:rsid w:val="001A6533"/>
    <w:rsid w:val="001B2209"/>
    <w:rsid w:val="001D1F50"/>
    <w:rsid w:val="002067F0"/>
    <w:rsid w:val="002108E9"/>
    <w:rsid w:val="00225822"/>
    <w:rsid w:val="00233BD7"/>
    <w:rsid w:val="00236D7F"/>
    <w:rsid w:val="00237FA5"/>
    <w:rsid w:val="00240887"/>
    <w:rsid w:val="002544AE"/>
    <w:rsid w:val="00281257"/>
    <w:rsid w:val="002A1822"/>
    <w:rsid w:val="002A226C"/>
    <w:rsid w:val="002B03B5"/>
    <w:rsid w:val="002B211E"/>
    <w:rsid w:val="002B7EEE"/>
    <w:rsid w:val="002C10EF"/>
    <w:rsid w:val="002D0294"/>
    <w:rsid w:val="002D04D6"/>
    <w:rsid w:val="002F20EF"/>
    <w:rsid w:val="002F3718"/>
    <w:rsid w:val="002F7FB8"/>
    <w:rsid w:val="003017A5"/>
    <w:rsid w:val="003114A2"/>
    <w:rsid w:val="003115B8"/>
    <w:rsid w:val="003119A9"/>
    <w:rsid w:val="00314B02"/>
    <w:rsid w:val="00315BA1"/>
    <w:rsid w:val="0031610B"/>
    <w:rsid w:val="00321C36"/>
    <w:rsid w:val="0032556E"/>
    <w:rsid w:val="003268A0"/>
    <w:rsid w:val="00334D45"/>
    <w:rsid w:val="00336344"/>
    <w:rsid w:val="00343E33"/>
    <w:rsid w:val="00350810"/>
    <w:rsid w:val="00357D83"/>
    <w:rsid w:val="003628FE"/>
    <w:rsid w:val="0037307E"/>
    <w:rsid w:val="00373B58"/>
    <w:rsid w:val="00376048"/>
    <w:rsid w:val="00384457"/>
    <w:rsid w:val="00386335"/>
    <w:rsid w:val="003871C9"/>
    <w:rsid w:val="003B0EE4"/>
    <w:rsid w:val="003B4829"/>
    <w:rsid w:val="003B78DD"/>
    <w:rsid w:val="003C6397"/>
    <w:rsid w:val="003C7D33"/>
    <w:rsid w:val="003D0803"/>
    <w:rsid w:val="003D2B9A"/>
    <w:rsid w:val="003E1BEC"/>
    <w:rsid w:val="003E2E49"/>
    <w:rsid w:val="003F2BBC"/>
    <w:rsid w:val="003F4A2D"/>
    <w:rsid w:val="003F516B"/>
    <w:rsid w:val="004147E6"/>
    <w:rsid w:val="0042585B"/>
    <w:rsid w:val="0043150C"/>
    <w:rsid w:val="0043352F"/>
    <w:rsid w:val="004407E4"/>
    <w:rsid w:val="00440A3C"/>
    <w:rsid w:val="00440D21"/>
    <w:rsid w:val="00445505"/>
    <w:rsid w:val="00451324"/>
    <w:rsid w:val="004541B5"/>
    <w:rsid w:val="00456365"/>
    <w:rsid w:val="00457EAC"/>
    <w:rsid w:val="004623B6"/>
    <w:rsid w:val="00465501"/>
    <w:rsid w:val="004662B2"/>
    <w:rsid w:val="00467A6D"/>
    <w:rsid w:val="004747FF"/>
    <w:rsid w:val="004755C5"/>
    <w:rsid w:val="004768D5"/>
    <w:rsid w:val="0048194C"/>
    <w:rsid w:val="004870C6"/>
    <w:rsid w:val="004871B8"/>
    <w:rsid w:val="00490497"/>
    <w:rsid w:val="00491891"/>
    <w:rsid w:val="004A5F73"/>
    <w:rsid w:val="004A62CC"/>
    <w:rsid w:val="004B4129"/>
    <w:rsid w:val="004B70E1"/>
    <w:rsid w:val="004C27D7"/>
    <w:rsid w:val="004C3E39"/>
    <w:rsid w:val="004C4987"/>
    <w:rsid w:val="004C4EC6"/>
    <w:rsid w:val="004D23AE"/>
    <w:rsid w:val="004D37E5"/>
    <w:rsid w:val="004D63AC"/>
    <w:rsid w:val="004E1FDE"/>
    <w:rsid w:val="004E7316"/>
    <w:rsid w:val="005054BE"/>
    <w:rsid w:val="00506C50"/>
    <w:rsid w:val="005121CB"/>
    <w:rsid w:val="00512302"/>
    <w:rsid w:val="00512C15"/>
    <w:rsid w:val="00516730"/>
    <w:rsid w:val="00520633"/>
    <w:rsid w:val="00520FC1"/>
    <w:rsid w:val="005404D9"/>
    <w:rsid w:val="00540CC9"/>
    <w:rsid w:val="00544FE2"/>
    <w:rsid w:val="005454D3"/>
    <w:rsid w:val="005518E4"/>
    <w:rsid w:val="00553C47"/>
    <w:rsid w:val="00561AF1"/>
    <w:rsid w:val="00563C56"/>
    <w:rsid w:val="005654E1"/>
    <w:rsid w:val="00571CD0"/>
    <w:rsid w:val="00573374"/>
    <w:rsid w:val="00585723"/>
    <w:rsid w:val="0059071F"/>
    <w:rsid w:val="00591E97"/>
    <w:rsid w:val="00593726"/>
    <w:rsid w:val="005A2ED8"/>
    <w:rsid w:val="005B7CAC"/>
    <w:rsid w:val="005C4499"/>
    <w:rsid w:val="005C7D19"/>
    <w:rsid w:val="005D42C9"/>
    <w:rsid w:val="005D49A5"/>
    <w:rsid w:val="005D5CDB"/>
    <w:rsid w:val="005D5ED9"/>
    <w:rsid w:val="005E4040"/>
    <w:rsid w:val="005F7467"/>
    <w:rsid w:val="00602841"/>
    <w:rsid w:val="00605506"/>
    <w:rsid w:val="00606ACE"/>
    <w:rsid w:val="00607902"/>
    <w:rsid w:val="00613ECB"/>
    <w:rsid w:val="00626858"/>
    <w:rsid w:val="00631326"/>
    <w:rsid w:val="00632647"/>
    <w:rsid w:val="006407C7"/>
    <w:rsid w:val="00641DA1"/>
    <w:rsid w:val="00645243"/>
    <w:rsid w:val="006523E0"/>
    <w:rsid w:val="006548C0"/>
    <w:rsid w:val="006763B3"/>
    <w:rsid w:val="00677018"/>
    <w:rsid w:val="006809F2"/>
    <w:rsid w:val="00684366"/>
    <w:rsid w:val="00684C40"/>
    <w:rsid w:val="0069118F"/>
    <w:rsid w:val="00694F76"/>
    <w:rsid w:val="006956CB"/>
    <w:rsid w:val="00697537"/>
    <w:rsid w:val="006B2CBF"/>
    <w:rsid w:val="006B5C87"/>
    <w:rsid w:val="006B670A"/>
    <w:rsid w:val="006B6BA7"/>
    <w:rsid w:val="006C7E5E"/>
    <w:rsid w:val="006D463A"/>
    <w:rsid w:val="006D67E4"/>
    <w:rsid w:val="006D6856"/>
    <w:rsid w:val="006D7EC8"/>
    <w:rsid w:val="006F2F18"/>
    <w:rsid w:val="006F448E"/>
    <w:rsid w:val="007020C5"/>
    <w:rsid w:val="0071448E"/>
    <w:rsid w:val="0071784E"/>
    <w:rsid w:val="00721B6C"/>
    <w:rsid w:val="0072442A"/>
    <w:rsid w:val="00727C41"/>
    <w:rsid w:val="00727F4C"/>
    <w:rsid w:val="007411B0"/>
    <w:rsid w:val="0074183C"/>
    <w:rsid w:val="00742C74"/>
    <w:rsid w:val="00743B20"/>
    <w:rsid w:val="0075068F"/>
    <w:rsid w:val="00763827"/>
    <w:rsid w:val="0076425B"/>
    <w:rsid w:val="007657D1"/>
    <w:rsid w:val="00767AC9"/>
    <w:rsid w:val="00775019"/>
    <w:rsid w:val="00775AF2"/>
    <w:rsid w:val="00783484"/>
    <w:rsid w:val="007848F5"/>
    <w:rsid w:val="0078702C"/>
    <w:rsid w:val="007903BC"/>
    <w:rsid w:val="00794A98"/>
    <w:rsid w:val="007964A9"/>
    <w:rsid w:val="007A30C0"/>
    <w:rsid w:val="007B27AC"/>
    <w:rsid w:val="007B5FF8"/>
    <w:rsid w:val="007C11F2"/>
    <w:rsid w:val="007C614E"/>
    <w:rsid w:val="007D02CC"/>
    <w:rsid w:val="007D1C55"/>
    <w:rsid w:val="007D249E"/>
    <w:rsid w:val="007D38F4"/>
    <w:rsid w:val="007D7259"/>
    <w:rsid w:val="007F2863"/>
    <w:rsid w:val="007F4496"/>
    <w:rsid w:val="0080485A"/>
    <w:rsid w:val="00804D37"/>
    <w:rsid w:val="0080711F"/>
    <w:rsid w:val="008128EC"/>
    <w:rsid w:val="00822F1E"/>
    <w:rsid w:val="008240A1"/>
    <w:rsid w:val="00836B92"/>
    <w:rsid w:val="00846128"/>
    <w:rsid w:val="0084644C"/>
    <w:rsid w:val="00852E43"/>
    <w:rsid w:val="0085460F"/>
    <w:rsid w:val="00856460"/>
    <w:rsid w:val="00862208"/>
    <w:rsid w:val="00872E76"/>
    <w:rsid w:val="00873A20"/>
    <w:rsid w:val="00880904"/>
    <w:rsid w:val="00880DE4"/>
    <w:rsid w:val="00882401"/>
    <w:rsid w:val="00890AD5"/>
    <w:rsid w:val="00893C37"/>
    <w:rsid w:val="008A6B8F"/>
    <w:rsid w:val="008B165D"/>
    <w:rsid w:val="008B2C86"/>
    <w:rsid w:val="008C11DC"/>
    <w:rsid w:val="008C1E0A"/>
    <w:rsid w:val="008C7328"/>
    <w:rsid w:val="008D6C30"/>
    <w:rsid w:val="008D7469"/>
    <w:rsid w:val="008E0418"/>
    <w:rsid w:val="008E1520"/>
    <w:rsid w:val="008E64AC"/>
    <w:rsid w:val="008F03D4"/>
    <w:rsid w:val="008F22F7"/>
    <w:rsid w:val="008F4620"/>
    <w:rsid w:val="00905B5F"/>
    <w:rsid w:val="009101D8"/>
    <w:rsid w:val="00910F0E"/>
    <w:rsid w:val="00912A1A"/>
    <w:rsid w:val="00913CDF"/>
    <w:rsid w:val="00914D36"/>
    <w:rsid w:val="00921D8E"/>
    <w:rsid w:val="009241C3"/>
    <w:rsid w:val="0092547C"/>
    <w:rsid w:val="0092712D"/>
    <w:rsid w:val="00942BAB"/>
    <w:rsid w:val="00944BE2"/>
    <w:rsid w:val="00944C19"/>
    <w:rsid w:val="009511D3"/>
    <w:rsid w:val="00953E1E"/>
    <w:rsid w:val="009547D1"/>
    <w:rsid w:val="009660F0"/>
    <w:rsid w:val="009717DD"/>
    <w:rsid w:val="00972233"/>
    <w:rsid w:val="0097415F"/>
    <w:rsid w:val="00982400"/>
    <w:rsid w:val="009923C9"/>
    <w:rsid w:val="009A369B"/>
    <w:rsid w:val="009B2FFF"/>
    <w:rsid w:val="009B36CB"/>
    <w:rsid w:val="009B5C42"/>
    <w:rsid w:val="009B6032"/>
    <w:rsid w:val="009C28CE"/>
    <w:rsid w:val="009C36E9"/>
    <w:rsid w:val="009E226E"/>
    <w:rsid w:val="009E6AA0"/>
    <w:rsid w:val="009F60F5"/>
    <w:rsid w:val="009F6DF0"/>
    <w:rsid w:val="009F71B5"/>
    <w:rsid w:val="00A05F83"/>
    <w:rsid w:val="00A100B8"/>
    <w:rsid w:val="00A11327"/>
    <w:rsid w:val="00A1789B"/>
    <w:rsid w:val="00A17E21"/>
    <w:rsid w:val="00A22430"/>
    <w:rsid w:val="00A248B7"/>
    <w:rsid w:val="00A25700"/>
    <w:rsid w:val="00A27F01"/>
    <w:rsid w:val="00A35651"/>
    <w:rsid w:val="00A36F2C"/>
    <w:rsid w:val="00A456AE"/>
    <w:rsid w:val="00A46CB4"/>
    <w:rsid w:val="00A5119B"/>
    <w:rsid w:val="00A51333"/>
    <w:rsid w:val="00A55B05"/>
    <w:rsid w:val="00A71836"/>
    <w:rsid w:val="00A7531F"/>
    <w:rsid w:val="00A81F6B"/>
    <w:rsid w:val="00A82005"/>
    <w:rsid w:val="00A87030"/>
    <w:rsid w:val="00A904DD"/>
    <w:rsid w:val="00A96428"/>
    <w:rsid w:val="00A96F94"/>
    <w:rsid w:val="00A978F1"/>
    <w:rsid w:val="00AA0BD2"/>
    <w:rsid w:val="00AA2AE0"/>
    <w:rsid w:val="00AA4DB9"/>
    <w:rsid w:val="00AA4F5C"/>
    <w:rsid w:val="00AB3EA2"/>
    <w:rsid w:val="00AB6A93"/>
    <w:rsid w:val="00AD49E2"/>
    <w:rsid w:val="00AE016C"/>
    <w:rsid w:val="00AE0E23"/>
    <w:rsid w:val="00AE1259"/>
    <w:rsid w:val="00AE51C1"/>
    <w:rsid w:val="00B07539"/>
    <w:rsid w:val="00B12896"/>
    <w:rsid w:val="00B22CFF"/>
    <w:rsid w:val="00B25044"/>
    <w:rsid w:val="00B52C54"/>
    <w:rsid w:val="00B54296"/>
    <w:rsid w:val="00B6167C"/>
    <w:rsid w:val="00B665F1"/>
    <w:rsid w:val="00B678DF"/>
    <w:rsid w:val="00B702BE"/>
    <w:rsid w:val="00B762BC"/>
    <w:rsid w:val="00B80726"/>
    <w:rsid w:val="00B80C57"/>
    <w:rsid w:val="00B812E7"/>
    <w:rsid w:val="00B917D3"/>
    <w:rsid w:val="00B9768F"/>
    <w:rsid w:val="00BB1166"/>
    <w:rsid w:val="00BB21D5"/>
    <w:rsid w:val="00BB37DA"/>
    <w:rsid w:val="00BC3C96"/>
    <w:rsid w:val="00BD5DDA"/>
    <w:rsid w:val="00BE0932"/>
    <w:rsid w:val="00BE10E6"/>
    <w:rsid w:val="00BE3C42"/>
    <w:rsid w:val="00BF07DF"/>
    <w:rsid w:val="00C05187"/>
    <w:rsid w:val="00C14849"/>
    <w:rsid w:val="00C27EFE"/>
    <w:rsid w:val="00C300F5"/>
    <w:rsid w:val="00C317AD"/>
    <w:rsid w:val="00C34CFC"/>
    <w:rsid w:val="00C3777D"/>
    <w:rsid w:val="00C43D15"/>
    <w:rsid w:val="00C51158"/>
    <w:rsid w:val="00C54321"/>
    <w:rsid w:val="00C57E93"/>
    <w:rsid w:val="00C656AE"/>
    <w:rsid w:val="00C73DEA"/>
    <w:rsid w:val="00C84725"/>
    <w:rsid w:val="00CA16C4"/>
    <w:rsid w:val="00CA37B5"/>
    <w:rsid w:val="00CA4A53"/>
    <w:rsid w:val="00CA4EDE"/>
    <w:rsid w:val="00CA6279"/>
    <w:rsid w:val="00CA7F98"/>
    <w:rsid w:val="00CB2900"/>
    <w:rsid w:val="00CC11C9"/>
    <w:rsid w:val="00CC1CD2"/>
    <w:rsid w:val="00CD5663"/>
    <w:rsid w:val="00CE3C1A"/>
    <w:rsid w:val="00CE4FD2"/>
    <w:rsid w:val="00CE6575"/>
    <w:rsid w:val="00CF184D"/>
    <w:rsid w:val="00D05967"/>
    <w:rsid w:val="00D11FE0"/>
    <w:rsid w:val="00D167DD"/>
    <w:rsid w:val="00D2054A"/>
    <w:rsid w:val="00D216FB"/>
    <w:rsid w:val="00D30ECA"/>
    <w:rsid w:val="00D353B9"/>
    <w:rsid w:val="00D40D6C"/>
    <w:rsid w:val="00D4158B"/>
    <w:rsid w:val="00D415AC"/>
    <w:rsid w:val="00D5548A"/>
    <w:rsid w:val="00D56E9B"/>
    <w:rsid w:val="00D601B1"/>
    <w:rsid w:val="00D829B8"/>
    <w:rsid w:val="00D8495E"/>
    <w:rsid w:val="00D9301C"/>
    <w:rsid w:val="00D93609"/>
    <w:rsid w:val="00D93A18"/>
    <w:rsid w:val="00D93EDC"/>
    <w:rsid w:val="00D94862"/>
    <w:rsid w:val="00DB12C8"/>
    <w:rsid w:val="00DB65C7"/>
    <w:rsid w:val="00DC024E"/>
    <w:rsid w:val="00DC1947"/>
    <w:rsid w:val="00DC2383"/>
    <w:rsid w:val="00DD3786"/>
    <w:rsid w:val="00DD49C6"/>
    <w:rsid w:val="00DD6806"/>
    <w:rsid w:val="00DE1609"/>
    <w:rsid w:val="00DE21DA"/>
    <w:rsid w:val="00DE430E"/>
    <w:rsid w:val="00DE48DE"/>
    <w:rsid w:val="00DE5CCB"/>
    <w:rsid w:val="00DF50C7"/>
    <w:rsid w:val="00E025A6"/>
    <w:rsid w:val="00E07BD4"/>
    <w:rsid w:val="00E1279B"/>
    <w:rsid w:val="00E140F2"/>
    <w:rsid w:val="00E15B29"/>
    <w:rsid w:val="00E22346"/>
    <w:rsid w:val="00E26194"/>
    <w:rsid w:val="00E37106"/>
    <w:rsid w:val="00E53FA0"/>
    <w:rsid w:val="00E540F9"/>
    <w:rsid w:val="00E54FF9"/>
    <w:rsid w:val="00E603CC"/>
    <w:rsid w:val="00E6425D"/>
    <w:rsid w:val="00E65A60"/>
    <w:rsid w:val="00E66051"/>
    <w:rsid w:val="00E70200"/>
    <w:rsid w:val="00E806BA"/>
    <w:rsid w:val="00E91BD1"/>
    <w:rsid w:val="00EA020E"/>
    <w:rsid w:val="00EA2906"/>
    <w:rsid w:val="00EA2EF5"/>
    <w:rsid w:val="00EA33E6"/>
    <w:rsid w:val="00EA5E4E"/>
    <w:rsid w:val="00EB3CBA"/>
    <w:rsid w:val="00EB402C"/>
    <w:rsid w:val="00ED32A9"/>
    <w:rsid w:val="00ED3A59"/>
    <w:rsid w:val="00ED5A6B"/>
    <w:rsid w:val="00EE0B52"/>
    <w:rsid w:val="00EF34EC"/>
    <w:rsid w:val="00EF4201"/>
    <w:rsid w:val="00EF620B"/>
    <w:rsid w:val="00EF7B13"/>
    <w:rsid w:val="00F006CA"/>
    <w:rsid w:val="00F07F3A"/>
    <w:rsid w:val="00F13826"/>
    <w:rsid w:val="00F17465"/>
    <w:rsid w:val="00F25923"/>
    <w:rsid w:val="00F2680E"/>
    <w:rsid w:val="00F31415"/>
    <w:rsid w:val="00F36BF7"/>
    <w:rsid w:val="00F41228"/>
    <w:rsid w:val="00F455DF"/>
    <w:rsid w:val="00F45D20"/>
    <w:rsid w:val="00F463A2"/>
    <w:rsid w:val="00F516D6"/>
    <w:rsid w:val="00F54FA0"/>
    <w:rsid w:val="00F55578"/>
    <w:rsid w:val="00F57F77"/>
    <w:rsid w:val="00F6256D"/>
    <w:rsid w:val="00F7067A"/>
    <w:rsid w:val="00F71AE3"/>
    <w:rsid w:val="00F7433F"/>
    <w:rsid w:val="00F77CAB"/>
    <w:rsid w:val="00F841B1"/>
    <w:rsid w:val="00F9556D"/>
    <w:rsid w:val="00FA0C30"/>
    <w:rsid w:val="00FA185B"/>
    <w:rsid w:val="00FA186E"/>
    <w:rsid w:val="00FA71B5"/>
    <w:rsid w:val="00FB124C"/>
    <w:rsid w:val="00FB41C7"/>
    <w:rsid w:val="00FC3A76"/>
    <w:rsid w:val="00FC3A9F"/>
    <w:rsid w:val="00FD61C2"/>
    <w:rsid w:val="00FE56E7"/>
    <w:rsid w:val="00FF39D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fillcolor="white">
      <v:fill color="white"/>
      <v:textbox inset="0,0,0,0"/>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annotation reference" w:uiPriority="99"/>
    <w:lsdException w:name="Emphasis" w:uiPriority="20"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9A369B"/>
    <w:pPr>
      <w:spacing w:after="200" w:line="276" w:lineRule="auto"/>
    </w:pPr>
    <w:rPr>
      <w:rFonts w:asciiTheme="minorHAnsi" w:eastAsiaTheme="minorHAnsi" w:hAnsiTheme="minorHAnsi" w:cstheme="minorBidi"/>
      <w:sz w:val="22"/>
      <w:szCs w:val="22"/>
      <w:lang w:val="en-US" w:eastAsia="en-US"/>
    </w:rPr>
  </w:style>
  <w:style w:type="paragraph" w:styleId="Heading1">
    <w:name w:val="heading 1"/>
    <w:basedOn w:val="Normal"/>
    <w:next w:val="Normal"/>
    <w:rsid w:val="005A2ED8"/>
    <w:pPr>
      <w:keepNext/>
      <w:spacing w:before="240" w:after="60"/>
      <w:outlineLvl w:val="0"/>
    </w:pPr>
    <w:rPr>
      <w:rFonts w:ascii="Arial" w:hAnsi="Arial" w:cs="Arial"/>
      <w:b/>
      <w:bCs/>
      <w:kern w:val="32"/>
      <w:sz w:val="32"/>
      <w:szCs w:val="32"/>
    </w:rPr>
  </w:style>
  <w:style w:type="paragraph" w:styleId="Heading2">
    <w:name w:val="heading 2"/>
    <w:basedOn w:val="Normal"/>
    <w:next w:val="Normal"/>
    <w:rsid w:val="005A2ED8"/>
    <w:pPr>
      <w:keepNext/>
      <w:spacing w:before="240" w:after="60"/>
      <w:outlineLvl w:val="1"/>
    </w:pPr>
    <w:rPr>
      <w:rFonts w:ascii="Arial" w:hAnsi="Arial" w:cs="Arial"/>
      <w:b/>
      <w:bCs/>
      <w:i/>
      <w:iCs/>
      <w:sz w:val="28"/>
      <w:szCs w:val="28"/>
    </w:rPr>
  </w:style>
  <w:style w:type="paragraph" w:styleId="Heading3">
    <w:name w:val="heading 3"/>
    <w:basedOn w:val="Normal"/>
    <w:next w:val="Normal"/>
    <w:rsid w:val="005A2ED8"/>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1PaperTitle">
    <w:name w:val="01 Paper Title"/>
    <w:qFormat/>
    <w:rsid w:val="00F25923"/>
    <w:pPr>
      <w:spacing w:after="180" w:line="360" w:lineRule="exact"/>
    </w:pPr>
    <w:rPr>
      <w:b/>
      <w:position w:val="7"/>
      <w:sz w:val="32"/>
      <w:szCs w:val="32"/>
    </w:rPr>
  </w:style>
  <w:style w:type="paragraph" w:customStyle="1" w:styleId="02PaperAuthors">
    <w:name w:val="02 Paper Authors"/>
    <w:qFormat/>
    <w:rsid w:val="009101D8"/>
    <w:pPr>
      <w:spacing w:line="240" w:lineRule="exact"/>
    </w:pPr>
    <w:rPr>
      <w:b/>
      <w:noProof/>
      <w:sz w:val="22"/>
      <w:szCs w:val="22"/>
    </w:rPr>
  </w:style>
  <w:style w:type="paragraph" w:customStyle="1" w:styleId="G1aFigureImage">
    <w:name w:val="G1a Figure Image"/>
    <w:next w:val="G1bFigureCaption"/>
    <w:qFormat/>
    <w:rsid w:val="00236D7F"/>
    <w:pPr>
      <w:shd w:val="solid" w:color="FFFFFF" w:fill="FFFFFF"/>
      <w:spacing w:before="160" w:after="40"/>
      <w:jc w:val="center"/>
    </w:pPr>
    <w:rPr>
      <w:sz w:val="18"/>
    </w:rPr>
  </w:style>
  <w:style w:type="paragraph" w:customStyle="1" w:styleId="03Abstract">
    <w:name w:val="03 Abstract"/>
    <w:qFormat/>
    <w:rsid w:val="00F25923"/>
    <w:pPr>
      <w:spacing w:after="240" w:line="240" w:lineRule="exact"/>
      <w:ind w:right="2268"/>
    </w:pPr>
    <w:rPr>
      <w:sz w:val="18"/>
      <w:szCs w:val="18"/>
    </w:rPr>
  </w:style>
  <w:style w:type="paragraph" w:customStyle="1" w:styleId="04AHeading">
    <w:name w:val="04 A Heading"/>
    <w:next w:val="08ArticleText"/>
    <w:qFormat/>
    <w:rsid w:val="00F25923"/>
    <w:pPr>
      <w:spacing w:before="240" w:after="120" w:line="240" w:lineRule="exact"/>
    </w:pPr>
    <w:rPr>
      <w:b/>
      <w:sz w:val="22"/>
    </w:rPr>
  </w:style>
  <w:style w:type="paragraph" w:customStyle="1" w:styleId="08ArticleText">
    <w:name w:val="08 Article Text"/>
    <w:qFormat/>
    <w:rsid w:val="00F25923"/>
    <w:pPr>
      <w:widowControl w:val="0"/>
      <w:tabs>
        <w:tab w:val="left" w:pos="198"/>
      </w:tabs>
      <w:spacing w:line="230" w:lineRule="exact"/>
      <w:jc w:val="both"/>
    </w:pPr>
    <w:rPr>
      <w:sz w:val="18"/>
      <w:szCs w:val="18"/>
    </w:rPr>
  </w:style>
  <w:style w:type="paragraph" w:customStyle="1" w:styleId="N2Footnotes">
    <w:name w:val="N2 Footnotes"/>
    <w:qFormat/>
    <w:rsid w:val="00D5548A"/>
    <w:pPr>
      <w:tabs>
        <w:tab w:val="left" w:pos="142"/>
      </w:tabs>
      <w:spacing w:line="190" w:lineRule="exact"/>
      <w:jc w:val="both"/>
    </w:pPr>
    <w:rPr>
      <w:noProof/>
      <w:sz w:val="16"/>
    </w:rPr>
  </w:style>
  <w:style w:type="paragraph" w:customStyle="1" w:styleId="N3References">
    <w:name w:val="N3 References"/>
    <w:qFormat/>
    <w:rsid w:val="00D5548A"/>
    <w:pPr>
      <w:tabs>
        <w:tab w:val="left" w:pos="284"/>
      </w:tabs>
      <w:spacing w:line="190" w:lineRule="exact"/>
      <w:ind w:left="284" w:hanging="284"/>
      <w:jc w:val="both"/>
    </w:pPr>
    <w:rPr>
      <w:noProof/>
      <w:sz w:val="16"/>
    </w:rPr>
  </w:style>
  <w:style w:type="paragraph" w:customStyle="1" w:styleId="L1Receivedaccepteddates">
    <w:name w:val="L1 Received/accepted dates"/>
    <w:next w:val="Normal"/>
    <w:qFormat/>
    <w:rsid w:val="009101D8"/>
    <w:pPr>
      <w:spacing w:before="180" w:line="240" w:lineRule="exact"/>
    </w:pPr>
    <w:rPr>
      <w:b/>
      <w:i/>
      <w:noProof/>
      <w:sz w:val="18"/>
    </w:rPr>
  </w:style>
  <w:style w:type="paragraph" w:customStyle="1" w:styleId="L2DOI">
    <w:name w:val="L2 DOI"/>
    <w:next w:val="03Abstract"/>
    <w:qFormat/>
    <w:rsid w:val="000D0DE1"/>
    <w:pPr>
      <w:spacing w:after="240" w:line="240" w:lineRule="exact"/>
    </w:pPr>
    <w:rPr>
      <w:b/>
      <w:noProof/>
      <w:sz w:val="18"/>
      <w:szCs w:val="18"/>
    </w:rPr>
  </w:style>
  <w:style w:type="paragraph" w:customStyle="1" w:styleId="N1AuthorAddresses">
    <w:name w:val="N1 Author Addresses"/>
    <w:qFormat/>
    <w:rsid w:val="00D5548A"/>
    <w:pPr>
      <w:spacing w:line="190" w:lineRule="exact"/>
    </w:pPr>
    <w:rPr>
      <w:i/>
      <w:sz w:val="16"/>
    </w:rPr>
  </w:style>
  <w:style w:type="paragraph" w:customStyle="1" w:styleId="05BHeading">
    <w:name w:val="05 B Heading"/>
    <w:next w:val="08ArticleText"/>
    <w:qFormat/>
    <w:rsid w:val="00F25923"/>
    <w:pPr>
      <w:spacing w:before="120" w:after="120" w:line="200" w:lineRule="exact"/>
      <w:jc w:val="both"/>
    </w:pPr>
    <w:rPr>
      <w:b/>
      <w:sz w:val="18"/>
    </w:rPr>
  </w:style>
  <w:style w:type="paragraph" w:customStyle="1" w:styleId="06CHeading">
    <w:name w:val="06 C Heading"/>
    <w:next w:val="08ArticleText"/>
    <w:qFormat/>
    <w:rsid w:val="00F25923"/>
    <w:pPr>
      <w:spacing w:line="200" w:lineRule="exact"/>
      <w:jc w:val="both"/>
    </w:pPr>
    <w:rPr>
      <w:b/>
      <w:sz w:val="18"/>
    </w:rPr>
  </w:style>
  <w:style w:type="paragraph" w:customStyle="1" w:styleId="07DHeading">
    <w:name w:val="07 D Heading"/>
    <w:next w:val="08ArticleText"/>
    <w:qFormat/>
    <w:rsid w:val="00F25923"/>
    <w:pPr>
      <w:spacing w:line="200" w:lineRule="exact"/>
      <w:jc w:val="both"/>
    </w:pPr>
    <w:rPr>
      <w:i/>
      <w:sz w:val="18"/>
    </w:rPr>
  </w:style>
  <w:style w:type="paragraph" w:styleId="Header">
    <w:name w:val="header"/>
    <w:basedOn w:val="Normal"/>
    <w:rsid w:val="00D40D6C"/>
    <w:pPr>
      <w:tabs>
        <w:tab w:val="center" w:pos="4153"/>
        <w:tab w:val="right" w:pos="8306"/>
      </w:tabs>
    </w:pPr>
  </w:style>
  <w:style w:type="paragraph" w:styleId="Footer">
    <w:name w:val="footer"/>
    <w:basedOn w:val="Normal"/>
    <w:rsid w:val="00D40D6C"/>
    <w:pPr>
      <w:tabs>
        <w:tab w:val="center" w:pos="4153"/>
        <w:tab w:val="right" w:pos="8306"/>
      </w:tabs>
    </w:pPr>
  </w:style>
  <w:style w:type="character" w:styleId="LineNumber">
    <w:name w:val="line number"/>
    <w:basedOn w:val="DefaultParagraphFont"/>
    <w:rsid w:val="004E1FDE"/>
    <w:rPr>
      <w:rFonts w:ascii="Times New Roman" w:hAnsi="Times New Roman"/>
      <w:sz w:val="10"/>
    </w:rPr>
  </w:style>
  <w:style w:type="paragraph" w:customStyle="1" w:styleId="G1bFigureCaption">
    <w:name w:val="G1b Figure Caption"/>
    <w:basedOn w:val="Normal"/>
    <w:next w:val="08ArticleText"/>
    <w:qFormat/>
    <w:rsid w:val="00ED5A6B"/>
    <w:pPr>
      <w:shd w:val="solid" w:color="FFFFFF" w:fill="FFFFFF"/>
      <w:spacing w:before="40" w:after="160" w:line="190" w:lineRule="exact"/>
      <w:jc w:val="center"/>
    </w:pPr>
    <w:rPr>
      <w:sz w:val="16"/>
    </w:rPr>
  </w:style>
  <w:style w:type="paragraph" w:customStyle="1" w:styleId="G2UncaptionedImage">
    <w:name w:val="G2 Uncaptioned Image"/>
    <w:next w:val="08ArticleText"/>
    <w:qFormat/>
    <w:rsid w:val="00236D7F"/>
    <w:pPr>
      <w:shd w:val="solid" w:color="FFFFFF" w:fill="FFFFFF"/>
      <w:spacing w:before="160" w:after="160"/>
      <w:jc w:val="center"/>
    </w:pPr>
    <w:rPr>
      <w:sz w:val="18"/>
    </w:rPr>
  </w:style>
  <w:style w:type="paragraph" w:customStyle="1" w:styleId="G3SingleColumnEquation">
    <w:name w:val="G3 Single Column Equation"/>
    <w:next w:val="08ArticleText"/>
    <w:qFormat/>
    <w:rsid w:val="0069118F"/>
    <w:pPr>
      <w:tabs>
        <w:tab w:val="center" w:pos="2155"/>
        <w:tab w:val="right" w:pos="4706"/>
      </w:tabs>
      <w:spacing w:before="160" w:after="160"/>
    </w:pPr>
    <w:rPr>
      <w:sz w:val="18"/>
    </w:rPr>
  </w:style>
  <w:style w:type="paragraph" w:customStyle="1" w:styleId="G4aTableTitle">
    <w:name w:val="G4a Table Title"/>
    <w:qFormat/>
    <w:rsid w:val="00236D7F"/>
    <w:pPr>
      <w:keepNext/>
      <w:keepLines/>
      <w:pBdr>
        <w:bottom w:val="single" w:sz="6" w:space="1" w:color="auto"/>
      </w:pBdr>
      <w:spacing w:before="120" w:after="120" w:line="190" w:lineRule="exact"/>
    </w:pPr>
    <w:rPr>
      <w:sz w:val="16"/>
    </w:rPr>
  </w:style>
  <w:style w:type="paragraph" w:customStyle="1" w:styleId="G4cTableFootnote">
    <w:name w:val="G4c Table Footnote"/>
    <w:qFormat/>
    <w:rsid w:val="003F4A2D"/>
    <w:pPr>
      <w:keepLines/>
      <w:pBdr>
        <w:bottom w:val="single" w:sz="6" w:space="1" w:color="auto"/>
      </w:pBdr>
      <w:spacing w:before="120" w:after="60"/>
    </w:pPr>
    <w:rPr>
      <w:sz w:val="16"/>
    </w:rPr>
  </w:style>
  <w:style w:type="table" w:styleId="TableGrid">
    <w:name w:val="Table Grid"/>
    <w:basedOn w:val="TableNormal"/>
    <w:rsid w:val="00CD5663"/>
    <w:tblPr>
      <w:jc w:val="center"/>
      <w:tblInd w:w="0" w:type="dxa"/>
      <w:tblCellMar>
        <w:top w:w="0" w:type="dxa"/>
        <w:left w:w="0" w:type="dxa"/>
        <w:bottom w:w="0" w:type="dxa"/>
        <w:right w:w="0" w:type="dxa"/>
      </w:tblCellMar>
    </w:tblPr>
    <w:trPr>
      <w:jc w:val="center"/>
    </w:trPr>
  </w:style>
  <w:style w:type="paragraph" w:customStyle="1" w:styleId="G4bTableBody">
    <w:name w:val="G4b Table Body"/>
    <w:qFormat/>
    <w:rsid w:val="003F4A2D"/>
    <w:pPr>
      <w:keepNext/>
      <w:keepLines/>
      <w:jc w:val="center"/>
    </w:pPr>
    <w:rPr>
      <w:sz w:val="16"/>
      <w:szCs w:val="16"/>
    </w:rPr>
  </w:style>
  <w:style w:type="paragraph" w:styleId="EndnoteText">
    <w:name w:val="endnote text"/>
    <w:basedOn w:val="Normal"/>
    <w:semiHidden/>
    <w:rsid w:val="004C27D7"/>
    <w:pPr>
      <w:spacing w:line="190" w:lineRule="exact"/>
      <w:ind w:left="284" w:hanging="284"/>
    </w:pPr>
    <w:rPr>
      <w:sz w:val="16"/>
    </w:rPr>
  </w:style>
  <w:style w:type="character" w:styleId="EndnoteReference">
    <w:name w:val="endnote reference"/>
    <w:basedOn w:val="DefaultParagraphFont"/>
    <w:semiHidden/>
    <w:rsid w:val="004C27D7"/>
    <w:rPr>
      <w:vertAlign w:val="superscript"/>
    </w:rPr>
  </w:style>
  <w:style w:type="paragraph" w:customStyle="1" w:styleId="RefOrdinal">
    <w:name w:val="RefOrdinal"/>
    <w:rsid w:val="008128EC"/>
    <w:rPr>
      <w:sz w:val="16"/>
      <w:szCs w:val="16"/>
    </w:rPr>
  </w:style>
  <w:style w:type="paragraph" w:customStyle="1" w:styleId="H1RunningHeader">
    <w:name w:val="H1 Running Header"/>
    <w:rsid w:val="00D216FB"/>
    <w:pPr>
      <w:pBdr>
        <w:bottom w:val="single" w:sz="4" w:space="2" w:color="auto"/>
      </w:pBdr>
      <w:tabs>
        <w:tab w:val="right" w:pos="9923"/>
      </w:tabs>
    </w:pPr>
    <w:rPr>
      <w:rFonts w:ascii="Myriad Pro" w:hAnsi="Myriad Pro" w:cs="Arial"/>
      <w:w w:val="108"/>
    </w:rPr>
  </w:style>
  <w:style w:type="character" w:customStyle="1" w:styleId="C1Gray">
    <w:name w:val="C1 Gray"/>
    <w:rsid w:val="00512C15"/>
    <w:rPr>
      <w:color w:val="666666"/>
      <w:lang w:val="fr-FR"/>
    </w:rPr>
  </w:style>
  <w:style w:type="paragraph" w:customStyle="1" w:styleId="F1RunningFooter">
    <w:name w:val="F1 Running Footer"/>
    <w:rsid w:val="00512C15"/>
    <w:pPr>
      <w:pBdr>
        <w:top w:val="single" w:sz="6" w:space="1" w:color="auto"/>
      </w:pBdr>
      <w:tabs>
        <w:tab w:val="right" w:pos="9923"/>
      </w:tabs>
    </w:pPr>
    <w:rPr>
      <w:rFonts w:ascii="Myriad Pro" w:hAnsi="Myriad Pro" w:cs="Arial"/>
      <w:w w:val="108"/>
      <w:sz w:val="17"/>
      <w:szCs w:val="17"/>
    </w:rPr>
  </w:style>
  <w:style w:type="character" w:styleId="PageNumber">
    <w:name w:val="page number"/>
    <w:basedOn w:val="DefaultParagraphFont"/>
    <w:rsid w:val="008C11DC"/>
  </w:style>
  <w:style w:type="paragraph" w:customStyle="1" w:styleId="09ListText">
    <w:name w:val="09 List Text"/>
    <w:basedOn w:val="08ArticleText"/>
    <w:qFormat/>
    <w:rsid w:val="0072442A"/>
    <w:pPr>
      <w:tabs>
        <w:tab w:val="clear" w:pos="198"/>
        <w:tab w:val="left" w:pos="284"/>
      </w:tabs>
      <w:ind w:left="284" w:hanging="284"/>
    </w:pPr>
  </w:style>
  <w:style w:type="character" w:styleId="Emphasis">
    <w:name w:val="Emphasis"/>
    <w:basedOn w:val="DefaultParagraphFont"/>
    <w:uiPriority w:val="20"/>
    <w:qFormat/>
    <w:rsid w:val="006F2F18"/>
    <w:rPr>
      <w:b/>
      <w:bCs/>
      <w:i w:val="0"/>
      <w:iCs w:val="0"/>
    </w:rPr>
  </w:style>
  <w:style w:type="character" w:styleId="CommentReference">
    <w:name w:val="annotation reference"/>
    <w:basedOn w:val="DefaultParagraphFont"/>
    <w:uiPriority w:val="99"/>
    <w:unhideWhenUsed/>
    <w:rsid w:val="00056754"/>
    <w:rPr>
      <w:sz w:val="16"/>
      <w:szCs w:val="16"/>
    </w:rPr>
  </w:style>
  <w:style w:type="paragraph" w:styleId="BodyText2">
    <w:name w:val="Body Text 2"/>
    <w:basedOn w:val="Normal"/>
    <w:link w:val="BodyText2Char"/>
    <w:rsid w:val="00BB1166"/>
    <w:pPr>
      <w:spacing w:after="0" w:line="240" w:lineRule="auto"/>
      <w:jc w:val="center"/>
    </w:pPr>
    <w:rPr>
      <w:rFonts w:ascii="Arial" w:eastAsia="Times New Roman" w:hAnsi="Arial" w:cs="Arial"/>
      <w:sz w:val="20"/>
      <w:szCs w:val="20"/>
      <w:lang w:val="en-GB"/>
    </w:rPr>
  </w:style>
  <w:style w:type="character" w:customStyle="1" w:styleId="BodyText2Char">
    <w:name w:val="Body Text 2 Char"/>
    <w:basedOn w:val="DefaultParagraphFont"/>
    <w:link w:val="BodyText2"/>
    <w:rsid w:val="00BB1166"/>
    <w:rPr>
      <w:rFonts w:ascii="Arial" w:hAnsi="Arial" w:cs="Arial"/>
      <w:lang w:eastAsia="en-US"/>
    </w:rPr>
  </w:style>
  <w:style w:type="paragraph" w:styleId="BalloonText">
    <w:name w:val="Balloon Text"/>
    <w:basedOn w:val="Normal"/>
    <w:link w:val="BalloonTextChar"/>
    <w:rsid w:val="00F3141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F31415"/>
    <w:rPr>
      <w:rFonts w:ascii="Tahoma" w:eastAsiaTheme="minorHAnsi" w:hAnsi="Tahoma" w:cs="Tahoma"/>
      <w:sz w:val="16"/>
      <w:szCs w:val="16"/>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annotation reference" w:uiPriority="99"/>
    <w:lsdException w:name="Emphasis" w:uiPriority="20"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9A369B"/>
    <w:pPr>
      <w:spacing w:after="200" w:line="276" w:lineRule="auto"/>
    </w:pPr>
    <w:rPr>
      <w:rFonts w:asciiTheme="minorHAnsi" w:eastAsiaTheme="minorHAnsi" w:hAnsiTheme="minorHAnsi" w:cstheme="minorBidi"/>
      <w:sz w:val="22"/>
      <w:szCs w:val="22"/>
      <w:lang w:val="en-US" w:eastAsia="en-US"/>
    </w:rPr>
  </w:style>
  <w:style w:type="paragraph" w:styleId="Heading1">
    <w:name w:val="heading 1"/>
    <w:basedOn w:val="Normal"/>
    <w:next w:val="Normal"/>
    <w:rsid w:val="005A2ED8"/>
    <w:pPr>
      <w:keepNext/>
      <w:spacing w:before="240" w:after="60"/>
      <w:outlineLvl w:val="0"/>
    </w:pPr>
    <w:rPr>
      <w:rFonts w:ascii="Arial" w:hAnsi="Arial" w:cs="Arial"/>
      <w:b/>
      <w:bCs/>
      <w:kern w:val="32"/>
      <w:sz w:val="32"/>
      <w:szCs w:val="32"/>
    </w:rPr>
  </w:style>
  <w:style w:type="paragraph" w:styleId="Heading2">
    <w:name w:val="heading 2"/>
    <w:basedOn w:val="Normal"/>
    <w:next w:val="Normal"/>
    <w:rsid w:val="005A2ED8"/>
    <w:pPr>
      <w:keepNext/>
      <w:spacing w:before="240" w:after="60"/>
      <w:outlineLvl w:val="1"/>
    </w:pPr>
    <w:rPr>
      <w:rFonts w:ascii="Arial" w:hAnsi="Arial" w:cs="Arial"/>
      <w:b/>
      <w:bCs/>
      <w:i/>
      <w:iCs/>
      <w:sz w:val="28"/>
      <w:szCs w:val="28"/>
    </w:rPr>
  </w:style>
  <w:style w:type="paragraph" w:styleId="Heading3">
    <w:name w:val="heading 3"/>
    <w:basedOn w:val="Normal"/>
    <w:next w:val="Normal"/>
    <w:rsid w:val="005A2ED8"/>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1PaperTitle">
    <w:name w:val="01 Paper Title"/>
    <w:qFormat/>
    <w:rsid w:val="00F25923"/>
    <w:pPr>
      <w:spacing w:after="180" w:line="360" w:lineRule="exact"/>
    </w:pPr>
    <w:rPr>
      <w:b/>
      <w:position w:val="7"/>
      <w:sz w:val="32"/>
      <w:szCs w:val="32"/>
    </w:rPr>
  </w:style>
  <w:style w:type="paragraph" w:customStyle="1" w:styleId="02PaperAuthors">
    <w:name w:val="02 Paper Authors"/>
    <w:qFormat/>
    <w:rsid w:val="009101D8"/>
    <w:pPr>
      <w:spacing w:line="240" w:lineRule="exact"/>
    </w:pPr>
    <w:rPr>
      <w:b/>
      <w:noProof/>
      <w:sz w:val="22"/>
      <w:szCs w:val="22"/>
    </w:rPr>
  </w:style>
  <w:style w:type="paragraph" w:customStyle="1" w:styleId="G1aFigureImage">
    <w:name w:val="G1a Figure Image"/>
    <w:next w:val="G1bFigureCaption"/>
    <w:qFormat/>
    <w:rsid w:val="00236D7F"/>
    <w:pPr>
      <w:shd w:val="solid" w:color="FFFFFF" w:fill="FFFFFF"/>
      <w:spacing w:before="160" w:after="40"/>
      <w:jc w:val="center"/>
    </w:pPr>
    <w:rPr>
      <w:sz w:val="18"/>
    </w:rPr>
  </w:style>
  <w:style w:type="paragraph" w:customStyle="1" w:styleId="03Abstract">
    <w:name w:val="03 Abstract"/>
    <w:qFormat/>
    <w:rsid w:val="00F25923"/>
    <w:pPr>
      <w:spacing w:after="240" w:line="240" w:lineRule="exact"/>
      <w:ind w:right="2268"/>
    </w:pPr>
    <w:rPr>
      <w:sz w:val="18"/>
      <w:szCs w:val="18"/>
    </w:rPr>
  </w:style>
  <w:style w:type="paragraph" w:customStyle="1" w:styleId="04AHeading">
    <w:name w:val="04 A Heading"/>
    <w:next w:val="08ArticleText"/>
    <w:qFormat/>
    <w:rsid w:val="00F25923"/>
    <w:pPr>
      <w:spacing w:before="240" w:after="120" w:line="240" w:lineRule="exact"/>
    </w:pPr>
    <w:rPr>
      <w:b/>
      <w:sz w:val="22"/>
    </w:rPr>
  </w:style>
  <w:style w:type="paragraph" w:customStyle="1" w:styleId="08ArticleText">
    <w:name w:val="08 Article Text"/>
    <w:qFormat/>
    <w:rsid w:val="00F25923"/>
    <w:pPr>
      <w:widowControl w:val="0"/>
      <w:tabs>
        <w:tab w:val="left" w:pos="198"/>
      </w:tabs>
      <w:spacing w:line="230" w:lineRule="exact"/>
      <w:jc w:val="both"/>
    </w:pPr>
    <w:rPr>
      <w:sz w:val="18"/>
      <w:szCs w:val="18"/>
    </w:rPr>
  </w:style>
  <w:style w:type="paragraph" w:customStyle="1" w:styleId="N2Footnotes">
    <w:name w:val="N2 Footnotes"/>
    <w:qFormat/>
    <w:rsid w:val="00D5548A"/>
    <w:pPr>
      <w:tabs>
        <w:tab w:val="left" w:pos="142"/>
      </w:tabs>
      <w:spacing w:line="190" w:lineRule="exact"/>
      <w:jc w:val="both"/>
    </w:pPr>
    <w:rPr>
      <w:noProof/>
      <w:sz w:val="16"/>
    </w:rPr>
  </w:style>
  <w:style w:type="paragraph" w:customStyle="1" w:styleId="N3References">
    <w:name w:val="N3 References"/>
    <w:qFormat/>
    <w:rsid w:val="00D5548A"/>
    <w:pPr>
      <w:tabs>
        <w:tab w:val="left" w:pos="284"/>
      </w:tabs>
      <w:spacing w:line="190" w:lineRule="exact"/>
      <w:ind w:left="284" w:hanging="284"/>
      <w:jc w:val="both"/>
    </w:pPr>
    <w:rPr>
      <w:noProof/>
      <w:sz w:val="16"/>
    </w:rPr>
  </w:style>
  <w:style w:type="paragraph" w:customStyle="1" w:styleId="L1Receivedaccepteddates">
    <w:name w:val="L1 Received/accepted dates"/>
    <w:next w:val="Normal"/>
    <w:qFormat/>
    <w:rsid w:val="009101D8"/>
    <w:pPr>
      <w:spacing w:before="180" w:line="240" w:lineRule="exact"/>
    </w:pPr>
    <w:rPr>
      <w:b/>
      <w:i/>
      <w:noProof/>
      <w:sz w:val="18"/>
    </w:rPr>
  </w:style>
  <w:style w:type="paragraph" w:customStyle="1" w:styleId="L2DOI">
    <w:name w:val="L2 DOI"/>
    <w:next w:val="03Abstract"/>
    <w:qFormat/>
    <w:rsid w:val="000D0DE1"/>
    <w:pPr>
      <w:spacing w:after="240" w:line="240" w:lineRule="exact"/>
    </w:pPr>
    <w:rPr>
      <w:b/>
      <w:noProof/>
      <w:sz w:val="18"/>
      <w:szCs w:val="18"/>
    </w:rPr>
  </w:style>
  <w:style w:type="paragraph" w:customStyle="1" w:styleId="N1AuthorAddresses">
    <w:name w:val="N1 Author Addresses"/>
    <w:qFormat/>
    <w:rsid w:val="00D5548A"/>
    <w:pPr>
      <w:spacing w:line="190" w:lineRule="exact"/>
    </w:pPr>
    <w:rPr>
      <w:i/>
      <w:sz w:val="16"/>
    </w:rPr>
  </w:style>
  <w:style w:type="paragraph" w:customStyle="1" w:styleId="05BHeading">
    <w:name w:val="05 B Heading"/>
    <w:next w:val="08ArticleText"/>
    <w:qFormat/>
    <w:rsid w:val="00F25923"/>
    <w:pPr>
      <w:spacing w:before="120" w:after="120" w:line="200" w:lineRule="exact"/>
      <w:jc w:val="both"/>
    </w:pPr>
    <w:rPr>
      <w:b/>
      <w:sz w:val="18"/>
    </w:rPr>
  </w:style>
  <w:style w:type="paragraph" w:customStyle="1" w:styleId="06CHeading">
    <w:name w:val="06 C Heading"/>
    <w:next w:val="08ArticleText"/>
    <w:qFormat/>
    <w:rsid w:val="00F25923"/>
    <w:pPr>
      <w:spacing w:line="200" w:lineRule="exact"/>
      <w:jc w:val="both"/>
    </w:pPr>
    <w:rPr>
      <w:b/>
      <w:sz w:val="18"/>
    </w:rPr>
  </w:style>
  <w:style w:type="paragraph" w:customStyle="1" w:styleId="07DHeading">
    <w:name w:val="07 D Heading"/>
    <w:next w:val="08ArticleText"/>
    <w:qFormat/>
    <w:rsid w:val="00F25923"/>
    <w:pPr>
      <w:spacing w:line="200" w:lineRule="exact"/>
      <w:jc w:val="both"/>
    </w:pPr>
    <w:rPr>
      <w:i/>
      <w:sz w:val="18"/>
    </w:rPr>
  </w:style>
  <w:style w:type="paragraph" w:styleId="Header">
    <w:name w:val="header"/>
    <w:basedOn w:val="Normal"/>
    <w:rsid w:val="00D40D6C"/>
    <w:pPr>
      <w:tabs>
        <w:tab w:val="center" w:pos="4153"/>
        <w:tab w:val="right" w:pos="8306"/>
      </w:tabs>
    </w:pPr>
  </w:style>
  <w:style w:type="paragraph" w:styleId="Footer">
    <w:name w:val="footer"/>
    <w:basedOn w:val="Normal"/>
    <w:rsid w:val="00D40D6C"/>
    <w:pPr>
      <w:tabs>
        <w:tab w:val="center" w:pos="4153"/>
        <w:tab w:val="right" w:pos="8306"/>
      </w:tabs>
    </w:pPr>
  </w:style>
  <w:style w:type="character" w:styleId="LineNumber">
    <w:name w:val="line number"/>
    <w:basedOn w:val="DefaultParagraphFont"/>
    <w:rsid w:val="004E1FDE"/>
    <w:rPr>
      <w:rFonts w:ascii="Times New Roman" w:hAnsi="Times New Roman"/>
      <w:sz w:val="10"/>
    </w:rPr>
  </w:style>
  <w:style w:type="paragraph" w:customStyle="1" w:styleId="G1bFigureCaption">
    <w:name w:val="G1b Figure Caption"/>
    <w:basedOn w:val="Normal"/>
    <w:next w:val="08ArticleText"/>
    <w:qFormat/>
    <w:rsid w:val="00ED5A6B"/>
    <w:pPr>
      <w:shd w:val="solid" w:color="FFFFFF" w:fill="FFFFFF"/>
      <w:spacing w:before="40" w:after="160" w:line="190" w:lineRule="exact"/>
      <w:jc w:val="center"/>
    </w:pPr>
    <w:rPr>
      <w:sz w:val="16"/>
    </w:rPr>
  </w:style>
  <w:style w:type="paragraph" w:customStyle="1" w:styleId="G2UncaptionedImage">
    <w:name w:val="G2 Uncaptioned Image"/>
    <w:next w:val="08ArticleText"/>
    <w:qFormat/>
    <w:rsid w:val="00236D7F"/>
    <w:pPr>
      <w:shd w:val="solid" w:color="FFFFFF" w:fill="FFFFFF"/>
      <w:spacing w:before="160" w:after="160"/>
      <w:jc w:val="center"/>
    </w:pPr>
    <w:rPr>
      <w:sz w:val="18"/>
    </w:rPr>
  </w:style>
  <w:style w:type="paragraph" w:customStyle="1" w:styleId="G3SingleColumnEquation">
    <w:name w:val="G3 Single Column Equation"/>
    <w:next w:val="08ArticleText"/>
    <w:qFormat/>
    <w:rsid w:val="0069118F"/>
    <w:pPr>
      <w:tabs>
        <w:tab w:val="center" w:pos="2155"/>
        <w:tab w:val="right" w:pos="4706"/>
      </w:tabs>
      <w:spacing w:before="160" w:after="160"/>
    </w:pPr>
    <w:rPr>
      <w:sz w:val="18"/>
    </w:rPr>
  </w:style>
  <w:style w:type="paragraph" w:customStyle="1" w:styleId="G4aTableTitle">
    <w:name w:val="G4a Table Title"/>
    <w:qFormat/>
    <w:rsid w:val="00236D7F"/>
    <w:pPr>
      <w:keepNext/>
      <w:keepLines/>
      <w:pBdr>
        <w:bottom w:val="single" w:sz="6" w:space="1" w:color="auto"/>
      </w:pBdr>
      <w:spacing w:before="120" w:after="120" w:line="190" w:lineRule="exact"/>
    </w:pPr>
    <w:rPr>
      <w:sz w:val="16"/>
    </w:rPr>
  </w:style>
  <w:style w:type="paragraph" w:customStyle="1" w:styleId="G4cTableFootnote">
    <w:name w:val="G4c Table Footnote"/>
    <w:qFormat/>
    <w:rsid w:val="003F4A2D"/>
    <w:pPr>
      <w:keepLines/>
      <w:pBdr>
        <w:bottom w:val="single" w:sz="6" w:space="1" w:color="auto"/>
      </w:pBdr>
      <w:spacing w:before="120" w:after="60"/>
    </w:pPr>
    <w:rPr>
      <w:sz w:val="16"/>
    </w:rPr>
  </w:style>
  <w:style w:type="table" w:styleId="TableGrid">
    <w:name w:val="Table Grid"/>
    <w:basedOn w:val="TableNormal"/>
    <w:rsid w:val="00CD5663"/>
    <w:tblPr>
      <w:jc w:val="center"/>
      <w:tblInd w:w="0" w:type="dxa"/>
      <w:tblCellMar>
        <w:top w:w="0" w:type="dxa"/>
        <w:left w:w="0" w:type="dxa"/>
        <w:bottom w:w="0" w:type="dxa"/>
        <w:right w:w="0" w:type="dxa"/>
      </w:tblCellMar>
    </w:tblPr>
    <w:trPr>
      <w:jc w:val="center"/>
    </w:trPr>
  </w:style>
  <w:style w:type="paragraph" w:customStyle="1" w:styleId="G4bTableBody">
    <w:name w:val="G4b Table Body"/>
    <w:qFormat/>
    <w:rsid w:val="003F4A2D"/>
    <w:pPr>
      <w:keepNext/>
      <w:keepLines/>
      <w:jc w:val="center"/>
    </w:pPr>
    <w:rPr>
      <w:sz w:val="16"/>
      <w:szCs w:val="16"/>
    </w:rPr>
  </w:style>
  <w:style w:type="paragraph" w:styleId="EndnoteText">
    <w:name w:val="endnote text"/>
    <w:basedOn w:val="Normal"/>
    <w:semiHidden/>
    <w:rsid w:val="004C27D7"/>
    <w:pPr>
      <w:spacing w:line="190" w:lineRule="exact"/>
      <w:ind w:left="284" w:hanging="284"/>
    </w:pPr>
    <w:rPr>
      <w:sz w:val="16"/>
    </w:rPr>
  </w:style>
  <w:style w:type="character" w:styleId="EndnoteReference">
    <w:name w:val="endnote reference"/>
    <w:basedOn w:val="DefaultParagraphFont"/>
    <w:semiHidden/>
    <w:rsid w:val="004C27D7"/>
    <w:rPr>
      <w:vertAlign w:val="superscript"/>
    </w:rPr>
  </w:style>
  <w:style w:type="paragraph" w:customStyle="1" w:styleId="RefOrdinal">
    <w:name w:val="RefOrdinal"/>
    <w:rsid w:val="008128EC"/>
    <w:rPr>
      <w:sz w:val="16"/>
      <w:szCs w:val="16"/>
    </w:rPr>
  </w:style>
  <w:style w:type="paragraph" w:customStyle="1" w:styleId="H1RunningHeader">
    <w:name w:val="H1 Running Header"/>
    <w:rsid w:val="00D216FB"/>
    <w:pPr>
      <w:pBdr>
        <w:bottom w:val="single" w:sz="4" w:space="2" w:color="auto"/>
      </w:pBdr>
      <w:tabs>
        <w:tab w:val="right" w:pos="9923"/>
      </w:tabs>
    </w:pPr>
    <w:rPr>
      <w:rFonts w:ascii="Myriad Pro" w:hAnsi="Myriad Pro" w:cs="Arial"/>
      <w:w w:val="108"/>
    </w:rPr>
  </w:style>
  <w:style w:type="character" w:customStyle="1" w:styleId="C1Gray">
    <w:name w:val="C1 Gray"/>
    <w:rsid w:val="00512C15"/>
    <w:rPr>
      <w:color w:val="666666"/>
      <w:lang w:val="fr-FR"/>
    </w:rPr>
  </w:style>
  <w:style w:type="paragraph" w:customStyle="1" w:styleId="F1RunningFooter">
    <w:name w:val="F1 Running Footer"/>
    <w:rsid w:val="00512C15"/>
    <w:pPr>
      <w:pBdr>
        <w:top w:val="single" w:sz="6" w:space="1" w:color="auto"/>
      </w:pBdr>
      <w:tabs>
        <w:tab w:val="right" w:pos="9923"/>
      </w:tabs>
    </w:pPr>
    <w:rPr>
      <w:rFonts w:ascii="Myriad Pro" w:hAnsi="Myriad Pro" w:cs="Arial"/>
      <w:w w:val="108"/>
      <w:sz w:val="17"/>
      <w:szCs w:val="17"/>
    </w:rPr>
  </w:style>
  <w:style w:type="character" w:styleId="PageNumber">
    <w:name w:val="page number"/>
    <w:basedOn w:val="DefaultParagraphFont"/>
    <w:rsid w:val="008C11DC"/>
  </w:style>
  <w:style w:type="paragraph" w:customStyle="1" w:styleId="09ListText">
    <w:name w:val="09 List Text"/>
    <w:basedOn w:val="08ArticleText"/>
    <w:qFormat/>
    <w:rsid w:val="0072442A"/>
    <w:pPr>
      <w:tabs>
        <w:tab w:val="clear" w:pos="198"/>
        <w:tab w:val="left" w:pos="284"/>
      </w:tabs>
      <w:ind w:left="284" w:hanging="284"/>
    </w:pPr>
  </w:style>
  <w:style w:type="character" w:styleId="Emphasis">
    <w:name w:val="Emphasis"/>
    <w:basedOn w:val="DefaultParagraphFont"/>
    <w:uiPriority w:val="20"/>
    <w:qFormat/>
    <w:rsid w:val="006F2F18"/>
    <w:rPr>
      <w:b/>
      <w:bCs/>
      <w:i w:val="0"/>
      <w:iCs w:val="0"/>
    </w:rPr>
  </w:style>
  <w:style w:type="character" w:styleId="CommentReference">
    <w:name w:val="annotation reference"/>
    <w:basedOn w:val="DefaultParagraphFont"/>
    <w:uiPriority w:val="99"/>
    <w:unhideWhenUsed/>
    <w:rsid w:val="00056754"/>
    <w:rPr>
      <w:sz w:val="16"/>
      <w:szCs w:val="16"/>
    </w:rPr>
  </w:style>
  <w:style w:type="paragraph" w:styleId="BodyText2">
    <w:name w:val="Body Text 2"/>
    <w:basedOn w:val="Normal"/>
    <w:link w:val="BodyText2Char"/>
    <w:rsid w:val="00BB1166"/>
    <w:pPr>
      <w:spacing w:after="0" w:line="240" w:lineRule="auto"/>
      <w:jc w:val="center"/>
    </w:pPr>
    <w:rPr>
      <w:rFonts w:ascii="Arial" w:eastAsia="Times New Roman" w:hAnsi="Arial" w:cs="Arial"/>
      <w:sz w:val="20"/>
      <w:szCs w:val="20"/>
      <w:lang w:val="en-GB"/>
    </w:rPr>
  </w:style>
  <w:style w:type="character" w:customStyle="1" w:styleId="BodyText2Char">
    <w:name w:val="Body Text 2 Char"/>
    <w:basedOn w:val="DefaultParagraphFont"/>
    <w:link w:val="BodyText2"/>
    <w:rsid w:val="00BB1166"/>
    <w:rPr>
      <w:rFonts w:ascii="Arial" w:hAnsi="Arial" w:cs="Arial"/>
      <w:lang w:eastAsia="en-US"/>
    </w:rPr>
  </w:style>
  <w:style w:type="paragraph" w:styleId="BalloonText">
    <w:name w:val="Balloon Text"/>
    <w:basedOn w:val="Normal"/>
    <w:link w:val="BalloonTextChar"/>
    <w:rsid w:val="00F3141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F31415"/>
    <w:rPr>
      <w:rFonts w:ascii="Tahoma" w:eastAsiaTheme="minorHAnsi" w:hAnsi="Tahoma" w:cs="Tahoma"/>
      <w:sz w:val="16"/>
      <w:szCs w:val="1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oleObject" Target="embeddings/oleObject1.bin"/><Relationship Id="rId26" Type="http://schemas.openxmlformats.org/officeDocument/2006/relationships/oleObject" Target="embeddings/oleObject4.bin"/><Relationship Id="rId3" Type="http://schemas.openxmlformats.org/officeDocument/2006/relationships/numbering" Target="numbering.xml"/><Relationship Id="rId21" Type="http://schemas.openxmlformats.org/officeDocument/2006/relationships/image" Target="media/image4.wmf"/><Relationship Id="rId34" Type="http://schemas.openxmlformats.org/officeDocument/2006/relationships/header" Target="header4.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image" Target="media/image2.wmf"/><Relationship Id="rId25" Type="http://schemas.openxmlformats.org/officeDocument/2006/relationships/image" Target="media/image7.wmf"/><Relationship Id="rId33" Type="http://schemas.openxmlformats.org/officeDocument/2006/relationships/oleObject" Target="embeddings/oleObject7.bin"/><Relationship Id="rId2" Type="http://schemas.openxmlformats.org/officeDocument/2006/relationships/customXml" Target="../customXml/item2.xml"/><Relationship Id="rId16" Type="http://schemas.openxmlformats.org/officeDocument/2006/relationships/image" Target="media/image1.wmf"/><Relationship Id="rId20" Type="http://schemas.openxmlformats.org/officeDocument/2006/relationships/oleObject" Target="embeddings/oleObject2.bin"/><Relationship Id="rId29" Type="http://schemas.openxmlformats.org/officeDocument/2006/relationships/oleObject" Target="embeddings/oleObject5.bin"/><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image" Target="media/image6.emf"/><Relationship Id="rId32" Type="http://schemas.openxmlformats.org/officeDocument/2006/relationships/image" Target="media/image11.wmf"/><Relationship Id="rId37" Type="http://schemas.openxmlformats.org/officeDocument/2006/relationships/theme" Target="theme/theme1.xml"/><Relationship Id="rId5" Type="http://schemas.microsoft.com/office/2007/relationships/stylesWithEffects" Target="stylesWithEffects.xml"/><Relationship Id="rId15" Type="http://schemas.openxmlformats.org/officeDocument/2006/relationships/footer" Target="footer3.xml"/><Relationship Id="rId23" Type="http://schemas.openxmlformats.org/officeDocument/2006/relationships/image" Target="media/image5.emf"/><Relationship Id="rId28" Type="http://schemas.openxmlformats.org/officeDocument/2006/relationships/image" Target="media/image9.wmf"/><Relationship Id="rId36"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image" Target="media/image3.wmf"/><Relationship Id="rId31" Type="http://schemas.openxmlformats.org/officeDocument/2006/relationships/oleObject" Target="embeddings/oleObject6.bin"/><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oleObject" Target="embeddings/oleObject3.bin"/><Relationship Id="rId27" Type="http://schemas.openxmlformats.org/officeDocument/2006/relationships/image" Target="media/image8.emf"/><Relationship Id="rId30" Type="http://schemas.openxmlformats.org/officeDocument/2006/relationships/image" Target="media/image10.wmf"/><Relationship Id="rId35" Type="http://schemas.openxmlformats.org/officeDocument/2006/relationships/header" Target="header5.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m4010\AppData\Local\Chemistry%20Add-in%20for%20Word\Chemistry%20Gallery\Chem4Wor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40380A-BC5E-4CA4-8D5F-7B3C09F060EC}">
  <ds:schemaRefs>
    <ds:schemaRef ds:uri="urn:schemas-microsoft-com.VSTO2008Demos.ControlsStorage"/>
  </ds:schemaRefs>
</ds:datastoreItem>
</file>

<file path=customXml/itemProps2.xml><?xml version="1.0" encoding="utf-8"?>
<ds:datastoreItem xmlns:ds="http://schemas.openxmlformats.org/officeDocument/2006/customXml" ds:itemID="{6223830C-64AF-4462-9D39-0726FC8AA1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Chem4Word</Template>
  <TotalTime>1</TotalTime>
  <Pages>3</Pages>
  <Words>4589</Words>
  <Characters>26163</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RSC Article Template (Version 3.2)</vt:lpstr>
    </vt:vector>
  </TitlesOfParts>
  <Company>Royal Society of Chemistry</Company>
  <LinksUpToDate>false</LinksUpToDate>
  <CharactersWithSpaces>30691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RSC Article Template (Version 3.2)</dc:title>
  <dc:creator>jhallett</dc:creator>
  <dc:description>Design update</dc:description>
  <cp:lastModifiedBy>Munro, Adam</cp:lastModifiedBy>
  <cp:revision>2</cp:revision>
  <cp:lastPrinted>2010-12-02T14:17:00Z</cp:lastPrinted>
  <dcterms:created xsi:type="dcterms:W3CDTF">2012-08-08T13:39:00Z</dcterms:created>
  <dcterms:modified xsi:type="dcterms:W3CDTF">2012-08-08T13:39:00Z</dcterms:modified>
</cp:coreProperties>
</file>