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16755" w14:textId="2B1E743E" w:rsidR="00083525" w:rsidRPr="004613D3" w:rsidRDefault="00ED42C5" w:rsidP="00856AD0">
      <w:pPr>
        <w:spacing w:after="0"/>
        <w:rPr>
          <w:sz w:val="24"/>
        </w:rPr>
      </w:pPr>
      <w:bookmarkStart w:id="0" w:name="_GoBack"/>
      <w:bookmarkEnd w:id="0"/>
      <w:r w:rsidRPr="004613D3">
        <w:rPr>
          <w:b/>
          <w:sz w:val="24"/>
        </w:rPr>
        <w:t>C</w:t>
      </w:r>
      <w:r w:rsidR="00083525" w:rsidRPr="004613D3">
        <w:rPr>
          <w:b/>
          <w:sz w:val="24"/>
        </w:rPr>
        <w:t>ardiovascular outcomes with GLP-1 receptor agonists</w:t>
      </w:r>
      <w:r w:rsidRPr="004613D3">
        <w:rPr>
          <w:b/>
          <w:sz w:val="24"/>
        </w:rPr>
        <w:t>: A meta-analysis</w:t>
      </w:r>
    </w:p>
    <w:p w14:paraId="6855FB1F" w14:textId="77777777" w:rsidR="00512A96" w:rsidRDefault="00512A96" w:rsidP="00512A96">
      <w:pPr>
        <w:spacing w:after="0"/>
        <w:rPr>
          <w:lang w:val="en-US"/>
        </w:rPr>
      </w:pPr>
    </w:p>
    <w:p w14:paraId="458FCCE5" w14:textId="5B8074F5" w:rsidR="00B9688F" w:rsidRPr="00B9688F" w:rsidRDefault="00B9688F" w:rsidP="004613D3">
      <w:pPr>
        <w:spacing w:after="0"/>
        <w:rPr>
          <w:lang w:val="en-US"/>
        </w:rPr>
      </w:pPr>
      <w:r w:rsidRPr="00B9688F">
        <w:rPr>
          <w:lang w:val="en-US"/>
        </w:rPr>
        <w:t>M. Angelyn Bethel, M.D.,</w:t>
      </w:r>
      <w:r w:rsidRPr="00B9688F">
        <w:rPr>
          <w:vertAlign w:val="superscript"/>
          <w:lang w:val="en-US"/>
        </w:rPr>
        <w:t>1</w:t>
      </w:r>
      <w:r w:rsidRPr="00B9688F">
        <w:rPr>
          <w:lang w:val="en-US"/>
        </w:rPr>
        <w:t xml:space="preserve"> </w:t>
      </w:r>
      <w:r>
        <w:rPr>
          <w:lang w:val="en-US"/>
        </w:rPr>
        <w:t xml:space="preserve">Rishi A. Patel, </w:t>
      </w:r>
      <w:r w:rsidR="00CC23BD" w:rsidRPr="00CC23BD">
        <w:rPr>
          <w:lang w:val="en-US"/>
        </w:rPr>
        <w:t>MBChB</w:t>
      </w:r>
      <w:r>
        <w:rPr>
          <w:lang w:val="en-US"/>
        </w:rPr>
        <w:t>,</w:t>
      </w:r>
      <w:r w:rsidRPr="00B9688F">
        <w:rPr>
          <w:vertAlign w:val="superscript"/>
          <w:lang w:val="en-US"/>
        </w:rPr>
        <w:t>1</w:t>
      </w:r>
      <w:r>
        <w:rPr>
          <w:lang w:val="en-US"/>
        </w:rPr>
        <w:t xml:space="preserve"> Peter Merrill</w:t>
      </w:r>
      <w:r w:rsidR="009E30CB">
        <w:rPr>
          <w:lang w:val="en-US"/>
        </w:rPr>
        <w:t>, Ph.D.,</w:t>
      </w:r>
      <w:r w:rsidRPr="00B9688F">
        <w:rPr>
          <w:vertAlign w:val="superscript"/>
          <w:lang w:val="en-US"/>
        </w:rPr>
        <w:t>2</w:t>
      </w:r>
      <w:r w:rsidRPr="00B9688F">
        <w:rPr>
          <w:lang w:val="en-US"/>
        </w:rPr>
        <w:t xml:space="preserve"> </w:t>
      </w:r>
      <w:r w:rsidR="000220D7" w:rsidRPr="00B9688F">
        <w:rPr>
          <w:lang w:val="en-US"/>
        </w:rPr>
        <w:t>Yuliya Lokhnygina, Ph.D.,</w:t>
      </w:r>
      <w:r w:rsidR="000220D7" w:rsidRPr="00B9688F">
        <w:rPr>
          <w:vertAlign w:val="superscript"/>
          <w:lang w:val="en-US"/>
        </w:rPr>
        <w:t>2</w:t>
      </w:r>
      <w:r w:rsidR="000220D7" w:rsidRPr="00B9688F">
        <w:rPr>
          <w:lang w:val="en-US"/>
        </w:rPr>
        <w:t xml:space="preserve"> </w:t>
      </w:r>
      <w:r w:rsidRPr="00B9688F">
        <w:rPr>
          <w:lang w:val="en-US"/>
        </w:rPr>
        <w:t>John B. Buse, M.D.,</w:t>
      </w:r>
      <w:r w:rsidRPr="00B9688F">
        <w:rPr>
          <w:vertAlign w:val="superscript"/>
          <w:lang w:val="en-US"/>
        </w:rPr>
        <w:t>3</w:t>
      </w:r>
      <w:r w:rsidRPr="00B9688F">
        <w:rPr>
          <w:lang w:val="en-US"/>
        </w:rPr>
        <w:t xml:space="preserve"> </w:t>
      </w:r>
      <w:r w:rsidR="00C723B3" w:rsidRPr="00C723B3">
        <w:rPr>
          <w:lang w:val="en-US"/>
        </w:rPr>
        <w:t>Robert J. Mentz, M.D.,</w:t>
      </w:r>
      <w:r w:rsidR="00C723B3" w:rsidRPr="00C723B3">
        <w:rPr>
          <w:vertAlign w:val="superscript"/>
          <w:lang w:val="en-US"/>
        </w:rPr>
        <w:t>2</w:t>
      </w:r>
      <w:r w:rsidR="00C723B3" w:rsidRPr="00C723B3">
        <w:rPr>
          <w:lang w:val="en-US"/>
        </w:rPr>
        <w:t xml:space="preserve"> Neha J. Pagidipati, M.D.,</w:t>
      </w:r>
      <w:r w:rsidR="00C723B3" w:rsidRPr="00C723B3">
        <w:rPr>
          <w:vertAlign w:val="superscript"/>
          <w:lang w:val="en-US"/>
        </w:rPr>
        <w:t>2</w:t>
      </w:r>
      <w:r w:rsidR="00C723B3" w:rsidRPr="00C723B3">
        <w:rPr>
          <w:lang w:val="en-US"/>
        </w:rPr>
        <w:t xml:space="preserve"> </w:t>
      </w:r>
      <w:r w:rsidRPr="00B9688F">
        <w:rPr>
          <w:lang w:val="en-US"/>
        </w:rPr>
        <w:t>Juliana C. Chan, M.D.,</w:t>
      </w:r>
      <w:r w:rsidRPr="00B9688F">
        <w:rPr>
          <w:vertAlign w:val="superscript"/>
          <w:lang w:val="en-US"/>
        </w:rPr>
        <w:t>4</w:t>
      </w:r>
      <w:r w:rsidRPr="00B9688F">
        <w:rPr>
          <w:lang w:val="en-US"/>
        </w:rPr>
        <w:t xml:space="preserve"> Stephanie M. Gustavson, Ph.D.,</w:t>
      </w:r>
      <w:r w:rsidRPr="00B9688F">
        <w:rPr>
          <w:vertAlign w:val="superscript"/>
          <w:lang w:val="en-US"/>
        </w:rPr>
        <w:t>5</w:t>
      </w:r>
      <w:r w:rsidRPr="00B9688F">
        <w:rPr>
          <w:lang w:val="en-US"/>
        </w:rPr>
        <w:t xml:space="preserve"> Nayyar Iqbal, M.D.,</w:t>
      </w:r>
      <w:r w:rsidRPr="00B9688F">
        <w:rPr>
          <w:vertAlign w:val="superscript"/>
          <w:lang w:val="en-US"/>
        </w:rPr>
        <w:t>5</w:t>
      </w:r>
      <w:r w:rsidRPr="00B9688F">
        <w:rPr>
          <w:lang w:val="en-US"/>
        </w:rPr>
        <w:t xml:space="preserve"> Aldo P. Maggioni, M.D.,</w:t>
      </w:r>
      <w:r w:rsidRPr="00B9688F">
        <w:rPr>
          <w:vertAlign w:val="superscript"/>
          <w:lang w:val="en-US"/>
        </w:rPr>
        <w:t>6</w:t>
      </w:r>
      <w:r w:rsidRPr="00B9688F">
        <w:rPr>
          <w:lang w:val="en-US"/>
        </w:rPr>
        <w:t xml:space="preserve"> Peter Öhman, M.D.,</w:t>
      </w:r>
      <w:r w:rsidRPr="00B9688F">
        <w:rPr>
          <w:vertAlign w:val="superscript"/>
          <w:lang w:val="en-US"/>
        </w:rPr>
        <w:t>5</w:t>
      </w:r>
      <w:r w:rsidRPr="00B9688F">
        <w:rPr>
          <w:lang w:val="en-US"/>
        </w:rPr>
        <w:t xml:space="preserve"> Neil </w:t>
      </w:r>
      <w:r w:rsidR="004F4983">
        <w:rPr>
          <w:lang w:val="en-US"/>
        </w:rPr>
        <w:t xml:space="preserve">R. </w:t>
      </w:r>
      <w:r w:rsidRPr="00B9688F">
        <w:rPr>
          <w:lang w:val="en-US"/>
        </w:rPr>
        <w:t>Poulter, FMedSci,</w:t>
      </w:r>
      <w:r w:rsidR="0060479C">
        <w:rPr>
          <w:vertAlign w:val="superscript"/>
          <w:lang w:val="en-US"/>
        </w:rPr>
        <w:t>7</w:t>
      </w:r>
      <w:r w:rsidR="0060479C" w:rsidRPr="00B9688F">
        <w:rPr>
          <w:lang w:val="en-US"/>
        </w:rPr>
        <w:t xml:space="preserve"> </w:t>
      </w:r>
      <w:r w:rsidRPr="00B9688F">
        <w:rPr>
          <w:lang w:val="en-US"/>
        </w:rPr>
        <w:t>Ambady Ramachandran, M.D.,</w:t>
      </w:r>
      <w:r w:rsidR="0060479C">
        <w:rPr>
          <w:vertAlign w:val="superscript"/>
          <w:lang w:val="en-US"/>
        </w:rPr>
        <w:t>8</w:t>
      </w:r>
      <w:r w:rsidR="0060479C" w:rsidRPr="00B9688F">
        <w:rPr>
          <w:lang w:val="en-US"/>
        </w:rPr>
        <w:t xml:space="preserve"> </w:t>
      </w:r>
      <w:r w:rsidRPr="00B9688F">
        <w:rPr>
          <w:lang w:val="en-US"/>
        </w:rPr>
        <w:t>Bernard Zinman, M.D.,</w:t>
      </w:r>
      <w:r w:rsidR="0060479C">
        <w:rPr>
          <w:vertAlign w:val="superscript"/>
          <w:lang w:val="en-US"/>
        </w:rPr>
        <w:t>9</w:t>
      </w:r>
      <w:r w:rsidR="0060479C">
        <w:rPr>
          <w:lang w:val="en-US"/>
        </w:rPr>
        <w:t xml:space="preserve"> </w:t>
      </w:r>
      <w:r w:rsidRPr="00B9688F">
        <w:rPr>
          <w:lang w:val="en-US"/>
        </w:rPr>
        <w:t>Adrian F. Hernandez, M.D.,</w:t>
      </w:r>
      <w:r w:rsidRPr="00B9688F">
        <w:rPr>
          <w:vertAlign w:val="superscript"/>
          <w:lang w:val="en-US"/>
        </w:rPr>
        <w:t>2</w:t>
      </w:r>
      <w:r w:rsidRPr="00B9688F">
        <w:rPr>
          <w:lang w:val="en-US"/>
        </w:rPr>
        <w:t xml:space="preserve"> </w:t>
      </w:r>
      <w:r>
        <w:rPr>
          <w:lang w:val="en-US"/>
        </w:rPr>
        <w:t xml:space="preserve">and </w:t>
      </w:r>
      <w:r w:rsidRPr="00B9688F">
        <w:rPr>
          <w:lang w:val="en-US"/>
        </w:rPr>
        <w:t>Rury R. Holman, FMedSci,</w:t>
      </w:r>
      <w:r w:rsidRPr="00B9688F">
        <w:rPr>
          <w:vertAlign w:val="superscript"/>
          <w:lang w:val="en-US"/>
        </w:rPr>
        <w:t>1</w:t>
      </w:r>
      <w:r w:rsidRPr="00B9688F">
        <w:rPr>
          <w:lang w:val="en-US"/>
        </w:rPr>
        <w:t xml:space="preserve"> for the EXSCEL Study Group</w:t>
      </w:r>
    </w:p>
    <w:p w14:paraId="38B457F7" w14:textId="77777777" w:rsidR="00B9688F" w:rsidRPr="00B9688F" w:rsidRDefault="00B9688F" w:rsidP="004613D3">
      <w:pPr>
        <w:spacing w:after="0"/>
        <w:rPr>
          <w:lang w:val="en-US"/>
        </w:rPr>
      </w:pPr>
    </w:p>
    <w:p w14:paraId="799F7259" w14:textId="17989AF9" w:rsidR="00B9688F" w:rsidRPr="00B9688F" w:rsidRDefault="00B9688F" w:rsidP="004613D3">
      <w:pPr>
        <w:spacing w:after="0"/>
        <w:rPr>
          <w:lang w:val="en-US"/>
        </w:rPr>
      </w:pPr>
      <w:r w:rsidRPr="00B9688F">
        <w:rPr>
          <w:lang w:val="en-US"/>
        </w:rPr>
        <w:t>1. Diabetes Trials Unit, Oxford Centre for Diabetes, Endocrinology and Metabolism, University of Oxford, Oxford, UK</w:t>
      </w:r>
      <w:r w:rsidR="003859AD">
        <w:rPr>
          <w:lang w:val="en-US"/>
        </w:rPr>
        <w:t xml:space="preserve"> (Prof MA Bethel, Prof RR Holman)</w:t>
      </w:r>
    </w:p>
    <w:p w14:paraId="74F2B571" w14:textId="6A5EBB07" w:rsidR="00B9688F" w:rsidRPr="00B9688F" w:rsidRDefault="00B9688F" w:rsidP="004613D3">
      <w:pPr>
        <w:spacing w:after="0"/>
        <w:rPr>
          <w:lang w:val="en-US"/>
        </w:rPr>
      </w:pPr>
      <w:r w:rsidRPr="00B9688F">
        <w:rPr>
          <w:lang w:val="en-US"/>
        </w:rPr>
        <w:t>2. Duke Clinical Research Institute, Duke University School of Medicine, Durham, NC</w:t>
      </w:r>
      <w:r w:rsidR="003859AD">
        <w:rPr>
          <w:lang w:val="en-US"/>
        </w:rPr>
        <w:t xml:space="preserve"> (</w:t>
      </w:r>
      <w:r w:rsidR="00286CDE">
        <w:rPr>
          <w:lang w:val="en-US"/>
        </w:rPr>
        <w:t xml:space="preserve">Prof Y Lokhnygina, Prof RJ Mentz, Prof NJ Pagidipati, </w:t>
      </w:r>
      <w:r w:rsidR="003859AD">
        <w:rPr>
          <w:lang w:val="en-US"/>
        </w:rPr>
        <w:t xml:space="preserve">Prof AF Hernandez) </w:t>
      </w:r>
    </w:p>
    <w:p w14:paraId="1E27ACA9" w14:textId="3C56C692" w:rsidR="00B9688F" w:rsidRPr="00B9688F" w:rsidRDefault="00B9688F" w:rsidP="004613D3">
      <w:pPr>
        <w:spacing w:after="0"/>
        <w:rPr>
          <w:lang w:val="en-US"/>
        </w:rPr>
      </w:pPr>
      <w:r w:rsidRPr="00B9688F">
        <w:rPr>
          <w:lang w:val="en-US"/>
        </w:rPr>
        <w:t xml:space="preserve">3. </w:t>
      </w:r>
      <w:r w:rsidR="00032740">
        <w:rPr>
          <w:lang w:val="en-US"/>
        </w:rPr>
        <w:t>Department of Medicine</w:t>
      </w:r>
      <w:r w:rsidRPr="00B9688F">
        <w:rPr>
          <w:lang w:val="en-US"/>
        </w:rPr>
        <w:t>, University of North Carolina School of Medicine, Chapel Hill, NC</w:t>
      </w:r>
      <w:r w:rsidR="003859AD">
        <w:rPr>
          <w:lang w:val="en-US"/>
        </w:rPr>
        <w:t xml:space="preserve"> (Prof JB Buse)</w:t>
      </w:r>
    </w:p>
    <w:p w14:paraId="73178591" w14:textId="6B35BD9C" w:rsidR="00B9688F" w:rsidRPr="00B9688F" w:rsidRDefault="00B9688F" w:rsidP="004613D3">
      <w:pPr>
        <w:spacing w:after="0"/>
        <w:rPr>
          <w:lang w:val="en-US"/>
        </w:rPr>
      </w:pPr>
      <w:r w:rsidRPr="00B9688F">
        <w:rPr>
          <w:lang w:val="en-US"/>
        </w:rPr>
        <w:t>4. Department of Medicine &amp; Therapeutics, The Chinese University of Hong Kong, Hong Kong SAR, China</w:t>
      </w:r>
      <w:r w:rsidR="003859AD">
        <w:rPr>
          <w:lang w:val="en-US"/>
        </w:rPr>
        <w:t xml:space="preserve"> (Prof JC Chan)</w:t>
      </w:r>
    </w:p>
    <w:p w14:paraId="686BF207" w14:textId="77777777" w:rsidR="00B9688F" w:rsidRPr="00B9688F" w:rsidRDefault="00B9688F" w:rsidP="004613D3">
      <w:pPr>
        <w:spacing w:after="0"/>
        <w:rPr>
          <w:lang w:val="en-US"/>
        </w:rPr>
      </w:pPr>
      <w:r w:rsidRPr="00B9688F">
        <w:rPr>
          <w:lang w:val="en-US"/>
        </w:rPr>
        <w:t>5. AstraZeneca Research and Development, Gaithersburg, MD</w:t>
      </w:r>
    </w:p>
    <w:p w14:paraId="1030D52E" w14:textId="177E471E" w:rsidR="00B9688F" w:rsidRPr="00B9688F" w:rsidRDefault="00B9688F" w:rsidP="004613D3">
      <w:pPr>
        <w:spacing w:after="0"/>
        <w:rPr>
          <w:lang w:val="en-US"/>
        </w:rPr>
      </w:pPr>
      <w:r w:rsidRPr="00B9688F">
        <w:rPr>
          <w:lang w:val="en-US"/>
        </w:rPr>
        <w:t>6. ANMCO Research Center, Firenze, Italy</w:t>
      </w:r>
      <w:r w:rsidR="004F4BA8">
        <w:rPr>
          <w:lang w:val="en-US"/>
        </w:rPr>
        <w:t xml:space="preserve"> (Prof AP Maggioni)</w:t>
      </w:r>
    </w:p>
    <w:p w14:paraId="0AB8FCD3" w14:textId="7D95F2E0" w:rsidR="00B9688F" w:rsidRPr="00B9688F" w:rsidRDefault="00B9688F" w:rsidP="004613D3">
      <w:pPr>
        <w:spacing w:after="0"/>
        <w:rPr>
          <w:lang w:val="en-US"/>
        </w:rPr>
      </w:pPr>
      <w:r w:rsidRPr="00B9688F">
        <w:rPr>
          <w:lang w:val="en-US"/>
        </w:rPr>
        <w:t>7. International Centre for Circulatory Health, Imperial College London, London, UK</w:t>
      </w:r>
      <w:r w:rsidR="004F4BA8">
        <w:rPr>
          <w:lang w:val="en-US"/>
        </w:rPr>
        <w:t xml:space="preserve"> (Prof NR Poulter)</w:t>
      </w:r>
    </w:p>
    <w:p w14:paraId="75C7EA7D" w14:textId="7C937ECC" w:rsidR="00B9688F" w:rsidRPr="00B9688F" w:rsidRDefault="0060479C" w:rsidP="004613D3">
      <w:pPr>
        <w:spacing w:after="0"/>
        <w:rPr>
          <w:lang w:val="en-US"/>
        </w:rPr>
      </w:pPr>
      <w:r>
        <w:rPr>
          <w:lang w:val="en-US"/>
        </w:rPr>
        <w:t>8</w:t>
      </w:r>
      <w:r w:rsidR="00B9688F" w:rsidRPr="00B9688F">
        <w:rPr>
          <w:lang w:val="en-US"/>
        </w:rPr>
        <w:t>. India Diabetes Research Foundation and Dr. A. Ramachandran’s Diabetes Hospitals, Chennai, India</w:t>
      </w:r>
      <w:r w:rsidR="004F4BA8">
        <w:rPr>
          <w:lang w:val="en-US"/>
        </w:rPr>
        <w:t xml:space="preserve"> (Prof </w:t>
      </w:r>
      <w:r w:rsidR="004F4BA8" w:rsidRPr="004F4BA8">
        <w:rPr>
          <w:lang w:val="en-US"/>
        </w:rPr>
        <w:t>A Ramachandran</w:t>
      </w:r>
      <w:r w:rsidR="004F4BA8">
        <w:rPr>
          <w:lang w:val="en-US"/>
        </w:rPr>
        <w:t>)</w:t>
      </w:r>
    </w:p>
    <w:p w14:paraId="117BB453" w14:textId="41744907" w:rsidR="00B9688F" w:rsidRPr="00B9688F" w:rsidRDefault="0060479C" w:rsidP="004613D3">
      <w:pPr>
        <w:spacing w:after="0"/>
        <w:rPr>
          <w:lang w:val="en-US"/>
        </w:rPr>
      </w:pPr>
      <w:r>
        <w:rPr>
          <w:lang w:val="en-US"/>
        </w:rPr>
        <w:t>9</w:t>
      </w:r>
      <w:r w:rsidR="00B9688F" w:rsidRPr="00B9688F">
        <w:rPr>
          <w:lang w:val="en-US"/>
        </w:rPr>
        <w:t>. Lunenfeld Tanenbaum Research Institute, Mount Sinai Hospital and University of Toronto, Toronto, Ontario, Canada</w:t>
      </w:r>
      <w:r w:rsidR="003859AD">
        <w:rPr>
          <w:lang w:val="en-US"/>
        </w:rPr>
        <w:t xml:space="preserve"> (Prof B Zinman) </w:t>
      </w:r>
    </w:p>
    <w:p w14:paraId="51C191D1" w14:textId="77777777" w:rsidR="00B9688F" w:rsidRPr="00B9688F" w:rsidRDefault="00B9688F" w:rsidP="004613D3">
      <w:pPr>
        <w:spacing w:after="0"/>
        <w:rPr>
          <w:b/>
          <w:lang w:val="en-US"/>
        </w:rPr>
      </w:pPr>
    </w:p>
    <w:p w14:paraId="0A03EB93" w14:textId="77777777" w:rsidR="00B9688F" w:rsidRDefault="00B9688F" w:rsidP="004613D3">
      <w:pPr>
        <w:spacing w:after="0"/>
      </w:pPr>
      <w:r w:rsidRPr="00B9688F">
        <w:rPr>
          <w:b/>
          <w:lang w:val="en-US"/>
        </w:rPr>
        <w:t xml:space="preserve">Address for correspondence: </w:t>
      </w:r>
      <w:r>
        <w:rPr>
          <w:lang w:val="en-US"/>
        </w:rPr>
        <w:t>Prof Angelyn Bethel</w:t>
      </w:r>
      <w:r w:rsidRPr="00B9688F">
        <w:rPr>
          <w:lang w:val="en-US"/>
        </w:rPr>
        <w:t xml:space="preserve">, Diabetes Trials Unit, OCDEM, Churchill Hospital, Oxford OX3 7LJ, UK; Email: </w:t>
      </w:r>
      <w:r>
        <w:rPr>
          <w:lang w:val="en-US"/>
        </w:rPr>
        <w:t>Angelyn.bethel</w:t>
      </w:r>
      <w:r w:rsidRPr="00B9688F">
        <w:rPr>
          <w:lang w:val="en-US"/>
        </w:rPr>
        <w:t>@dtu.ox</w:t>
      </w:r>
      <w:r>
        <w:rPr>
          <w:lang w:val="en-US"/>
        </w:rPr>
        <w:t>.ac.uk; Tel: +44 (0) 1865 857239</w:t>
      </w:r>
      <w:r w:rsidRPr="00B9688F">
        <w:rPr>
          <w:lang w:val="en-US"/>
        </w:rPr>
        <w:t>.</w:t>
      </w:r>
    </w:p>
    <w:p w14:paraId="5371286A" w14:textId="77777777" w:rsidR="00083525" w:rsidRDefault="00083525" w:rsidP="004613D3">
      <w:pPr>
        <w:spacing w:after="0"/>
        <w:rPr>
          <w:b/>
        </w:rPr>
      </w:pPr>
    </w:p>
    <w:p w14:paraId="37284552" w14:textId="77777777" w:rsidR="00083525" w:rsidRDefault="00083525" w:rsidP="004613D3">
      <w:pPr>
        <w:spacing w:after="0"/>
        <w:rPr>
          <w:b/>
        </w:rPr>
      </w:pPr>
      <w:r>
        <w:rPr>
          <w:b/>
        </w:rPr>
        <w:t xml:space="preserve">Target Journal: </w:t>
      </w:r>
      <w:r w:rsidRPr="004613D3">
        <w:rPr>
          <w:b/>
          <w:i/>
        </w:rPr>
        <w:t>Lancet Diabetes &amp; Endocrinology</w:t>
      </w:r>
    </w:p>
    <w:p w14:paraId="1EF83A53" w14:textId="3F95BD83" w:rsidR="00246FDB" w:rsidRDefault="0094718D" w:rsidP="004613D3">
      <w:pPr>
        <w:spacing w:after="0"/>
        <w:rPr>
          <w:b/>
        </w:rPr>
      </w:pPr>
      <w:r>
        <w:rPr>
          <w:b/>
        </w:rPr>
        <w:t>Word count</w:t>
      </w:r>
      <w:r w:rsidR="00512A96">
        <w:rPr>
          <w:b/>
        </w:rPr>
        <w:t xml:space="preserve"> (text)</w:t>
      </w:r>
      <w:r>
        <w:rPr>
          <w:b/>
        </w:rPr>
        <w:t xml:space="preserve">: </w:t>
      </w:r>
      <w:r w:rsidR="009E67CB">
        <w:rPr>
          <w:b/>
        </w:rPr>
        <w:t>303</w:t>
      </w:r>
      <w:r w:rsidR="00AE116B">
        <w:rPr>
          <w:b/>
        </w:rPr>
        <w:t>2</w:t>
      </w:r>
      <w:r w:rsidR="009E67CB">
        <w:rPr>
          <w:b/>
        </w:rPr>
        <w:t xml:space="preserve"> </w:t>
      </w:r>
      <w:r w:rsidR="00A90B31">
        <w:rPr>
          <w:b/>
        </w:rPr>
        <w:t xml:space="preserve">(max </w:t>
      </w:r>
      <w:r>
        <w:rPr>
          <w:b/>
        </w:rPr>
        <w:t>3500 words</w:t>
      </w:r>
      <w:r w:rsidR="00A90B31">
        <w:rPr>
          <w:b/>
        </w:rPr>
        <w:t>)</w:t>
      </w:r>
    </w:p>
    <w:p w14:paraId="33E24C55" w14:textId="126FFD86" w:rsidR="0094718D" w:rsidRDefault="00246FDB" w:rsidP="004613D3">
      <w:pPr>
        <w:spacing w:after="0"/>
        <w:rPr>
          <w:b/>
        </w:rPr>
      </w:pPr>
      <w:r>
        <w:rPr>
          <w:b/>
        </w:rPr>
        <w:t>References:</w:t>
      </w:r>
      <w:r w:rsidR="00A90B31">
        <w:rPr>
          <w:b/>
        </w:rPr>
        <w:t xml:space="preserve"> 1</w:t>
      </w:r>
      <w:r w:rsidR="009E67CB">
        <w:rPr>
          <w:b/>
        </w:rPr>
        <w:t>8</w:t>
      </w:r>
      <w:r w:rsidR="00A90B31">
        <w:rPr>
          <w:b/>
        </w:rPr>
        <w:t xml:space="preserve"> (</w:t>
      </w:r>
      <w:r>
        <w:rPr>
          <w:b/>
        </w:rPr>
        <w:t xml:space="preserve">30 </w:t>
      </w:r>
      <w:r w:rsidR="009439B0">
        <w:rPr>
          <w:b/>
        </w:rPr>
        <w:t>max</w:t>
      </w:r>
      <w:r w:rsidR="00A90B31">
        <w:rPr>
          <w:b/>
        </w:rPr>
        <w:t>)</w:t>
      </w:r>
    </w:p>
    <w:p w14:paraId="0B972BFA" w14:textId="6D5DCB74" w:rsidR="0094718D" w:rsidRDefault="0094718D" w:rsidP="004613D3">
      <w:pPr>
        <w:spacing w:after="0"/>
        <w:rPr>
          <w:b/>
        </w:rPr>
      </w:pPr>
      <w:r>
        <w:rPr>
          <w:b/>
        </w:rPr>
        <w:t xml:space="preserve">Abstract: </w:t>
      </w:r>
      <w:r w:rsidR="00A13BDF">
        <w:rPr>
          <w:b/>
        </w:rPr>
        <w:t>24</w:t>
      </w:r>
      <w:r w:rsidR="009E67CB">
        <w:rPr>
          <w:b/>
        </w:rPr>
        <w:t>9</w:t>
      </w:r>
      <w:r w:rsidR="00345294">
        <w:rPr>
          <w:b/>
        </w:rPr>
        <w:t xml:space="preserve"> </w:t>
      </w:r>
      <w:r w:rsidR="00A90B31">
        <w:rPr>
          <w:b/>
        </w:rPr>
        <w:t xml:space="preserve">(max </w:t>
      </w:r>
      <w:r w:rsidRPr="00271F5E">
        <w:rPr>
          <w:b/>
        </w:rPr>
        <w:t xml:space="preserve">250 </w:t>
      </w:r>
      <w:r>
        <w:rPr>
          <w:b/>
        </w:rPr>
        <w:t>words</w:t>
      </w:r>
      <w:r w:rsidR="00B9688F">
        <w:rPr>
          <w:b/>
        </w:rPr>
        <w:t>)</w:t>
      </w:r>
      <w:r w:rsidR="00BF1A7E">
        <w:rPr>
          <w:b/>
        </w:rPr>
        <w:t xml:space="preserve"> </w:t>
      </w:r>
    </w:p>
    <w:p w14:paraId="417EDA28" w14:textId="77777777" w:rsidR="00B9688F" w:rsidRDefault="00B9688F" w:rsidP="004613D3">
      <w:pPr>
        <w:spacing w:after="0"/>
        <w:rPr>
          <w:b/>
        </w:rPr>
      </w:pPr>
      <w:r>
        <w:rPr>
          <w:b/>
        </w:rPr>
        <w:br w:type="page"/>
      </w:r>
    </w:p>
    <w:p w14:paraId="3A83FD2F" w14:textId="42530FCF" w:rsidR="001447BD" w:rsidRDefault="00D81CBA">
      <w:pPr>
        <w:rPr>
          <w:b/>
        </w:rPr>
      </w:pPr>
      <w:r>
        <w:rPr>
          <w:b/>
        </w:rPr>
        <w:lastRenderedPageBreak/>
        <w:t>Summary</w:t>
      </w:r>
    </w:p>
    <w:p w14:paraId="7494C6F1" w14:textId="2BC622BD" w:rsidR="001447BD" w:rsidRPr="00390D53" w:rsidRDefault="001447BD">
      <w:r w:rsidRPr="001447BD">
        <w:rPr>
          <w:i/>
        </w:rPr>
        <w:t>Background</w:t>
      </w:r>
      <w:r>
        <w:rPr>
          <w:i/>
        </w:rPr>
        <w:t>:</w:t>
      </w:r>
      <w:r w:rsidR="00A8626F" w:rsidRPr="00A8626F">
        <w:t xml:space="preserve"> </w:t>
      </w:r>
      <w:r w:rsidR="00A8626F">
        <w:t>Glucagon</w:t>
      </w:r>
      <w:r w:rsidR="004F4983">
        <w:t>-</w:t>
      </w:r>
      <w:r w:rsidR="00512A96">
        <w:t>like peptide</w:t>
      </w:r>
      <w:r w:rsidR="00A8626F">
        <w:t>-1 receptor agonists (GLP-1 RA</w:t>
      </w:r>
      <w:r w:rsidR="00D51B16">
        <w:t>s</w:t>
      </w:r>
      <w:r w:rsidR="00A8626F">
        <w:t xml:space="preserve">) are effective </w:t>
      </w:r>
      <w:r w:rsidR="0093787A">
        <w:t>glucose</w:t>
      </w:r>
      <w:r w:rsidR="00782351">
        <w:t>-</w:t>
      </w:r>
      <w:r w:rsidR="0093787A">
        <w:t>lowering agents</w:t>
      </w:r>
      <w:r w:rsidR="00A8626F">
        <w:t>.</w:t>
      </w:r>
      <w:r w:rsidR="00512A96">
        <w:t xml:space="preserve"> </w:t>
      </w:r>
      <w:r w:rsidR="00FE0FE7">
        <w:t xml:space="preserve">GLP-1 RA </w:t>
      </w:r>
      <w:r w:rsidR="00856AD0">
        <w:t>c</w:t>
      </w:r>
      <w:r w:rsidR="00E25004">
        <w:t xml:space="preserve">ardiovascular (CV) </w:t>
      </w:r>
      <w:r w:rsidR="000B3C54">
        <w:t xml:space="preserve">outcome trials have demonstrated </w:t>
      </w:r>
      <w:r w:rsidR="00E25004">
        <w:t xml:space="preserve">CV </w:t>
      </w:r>
      <w:r w:rsidR="00A8626F">
        <w:t xml:space="preserve">safety, but </w:t>
      </w:r>
      <w:r w:rsidR="00C126E2">
        <w:t>with</w:t>
      </w:r>
      <w:r w:rsidR="00BB1806">
        <w:t xml:space="preserve"> </w:t>
      </w:r>
      <w:r w:rsidR="00A8626F">
        <w:t xml:space="preserve">mixed results for </w:t>
      </w:r>
      <w:r w:rsidR="00084F12">
        <w:t xml:space="preserve">CV </w:t>
      </w:r>
      <w:r w:rsidR="001C00B5">
        <w:t>efficacy</w:t>
      </w:r>
      <w:r w:rsidR="00084F12">
        <w:t>.</w:t>
      </w:r>
      <w:r w:rsidR="00A8626F">
        <w:t xml:space="preserve"> </w:t>
      </w:r>
      <w:r w:rsidR="00E25004">
        <w:t>This</w:t>
      </w:r>
      <w:r w:rsidR="00A8626F">
        <w:t xml:space="preserve"> meta-analysis </w:t>
      </w:r>
      <w:r w:rsidR="000B3C54">
        <w:t>examine</w:t>
      </w:r>
      <w:r w:rsidR="00E25004">
        <w:t>s</w:t>
      </w:r>
      <w:r w:rsidR="000B3C54">
        <w:t xml:space="preserve"> </w:t>
      </w:r>
      <w:r w:rsidR="00A8626F">
        <w:t xml:space="preserve">overall </w:t>
      </w:r>
      <w:r w:rsidR="00084F12">
        <w:t xml:space="preserve">CV efficacy </w:t>
      </w:r>
      <w:r w:rsidR="00A8626F">
        <w:t xml:space="preserve">for </w:t>
      </w:r>
      <w:r w:rsidR="00782351">
        <w:t>lixisenatide, liraglutide, semaglutide, and exenatide</w:t>
      </w:r>
      <w:r w:rsidR="00FD797F">
        <w:t>.</w:t>
      </w:r>
      <w:r w:rsidR="00512A96">
        <w:t xml:space="preserve"> </w:t>
      </w:r>
    </w:p>
    <w:p w14:paraId="0AA107B6" w14:textId="75DDF3D3" w:rsidR="00F71246" w:rsidRDefault="001447BD">
      <w:r w:rsidRPr="001447BD">
        <w:rPr>
          <w:i/>
        </w:rPr>
        <w:t>Methods</w:t>
      </w:r>
      <w:r>
        <w:rPr>
          <w:i/>
        </w:rPr>
        <w:t>:</w:t>
      </w:r>
      <w:r w:rsidR="00512A96">
        <w:rPr>
          <w:i/>
        </w:rPr>
        <w:t xml:space="preserve"> </w:t>
      </w:r>
      <w:r w:rsidR="00757C3D">
        <w:t>Available d</w:t>
      </w:r>
      <w:r w:rsidR="00FD797F">
        <w:t>ata from</w:t>
      </w:r>
      <w:r w:rsidR="001C00B5">
        <w:t xml:space="preserve"> </w:t>
      </w:r>
      <w:r w:rsidR="00782351">
        <w:t>ELIXA, LEADER, SUSTAIN</w:t>
      </w:r>
      <w:r w:rsidR="004F4983">
        <w:t>-</w:t>
      </w:r>
      <w:r w:rsidR="00782351">
        <w:t>6</w:t>
      </w:r>
      <w:r w:rsidR="004F4983">
        <w:t>,</w:t>
      </w:r>
      <w:r w:rsidR="00782351">
        <w:t xml:space="preserve"> and EXSCEL</w:t>
      </w:r>
      <w:r w:rsidR="000B3C54">
        <w:t xml:space="preserve"> </w:t>
      </w:r>
      <w:r w:rsidR="00FD797F">
        <w:t xml:space="preserve">were </w:t>
      </w:r>
      <w:r w:rsidR="00F831FE">
        <w:t>analysed u</w:t>
      </w:r>
      <w:r w:rsidR="00F831FE" w:rsidRPr="00F831FE">
        <w:t>sing a random effects model meta-analysis</w:t>
      </w:r>
      <w:r w:rsidR="00F831FE">
        <w:t xml:space="preserve"> to derive overall h</w:t>
      </w:r>
      <w:r w:rsidR="00F831FE" w:rsidRPr="00F831FE">
        <w:t>azard ratio</w:t>
      </w:r>
      <w:r w:rsidR="00F831FE">
        <w:t>s</w:t>
      </w:r>
      <w:r w:rsidR="00F71246">
        <w:t xml:space="preserve"> (HR)</w:t>
      </w:r>
      <w:r w:rsidR="00FE0FE7">
        <w:t xml:space="preserve"> </w:t>
      </w:r>
      <w:r w:rsidR="00954E8C">
        <w:t>and</w:t>
      </w:r>
      <w:r w:rsidR="00FE0FE7">
        <w:t xml:space="preserve"> odds ratios (OR)</w:t>
      </w:r>
      <w:r w:rsidR="00F831FE" w:rsidRPr="00F831FE">
        <w:t xml:space="preserve"> </w:t>
      </w:r>
      <w:r w:rsidR="00954E8C">
        <w:t>with</w:t>
      </w:r>
      <w:r w:rsidR="00954E8C" w:rsidRPr="00F831FE">
        <w:t xml:space="preserve"> </w:t>
      </w:r>
      <w:r w:rsidR="00F831FE" w:rsidRPr="00F831FE">
        <w:t xml:space="preserve">95% CIs for </w:t>
      </w:r>
      <w:r w:rsidR="00682EA0">
        <w:t xml:space="preserve">CV efficacy </w:t>
      </w:r>
      <w:r w:rsidR="001B3313">
        <w:t xml:space="preserve">and </w:t>
      </w:r>
      <w:r w:rsidR="00F71246">
        <w:t>key safety outcomes</w:t>
      </w:r>
      <w:r w:rsidR="001B3313">
        <w:t>, respectively</w:t>
      </w:r>
      <w:r w:rsidR="00682EA0">
        <w:t>.</w:t>
      </w:r>
      <w:r w:rsidR="00F831FE">
        <w:t xml:space="preserve"> </w:t>
      </w:r>
    </w:p>
    <w:p w14:paraId="5EB183D8" w14:textId="4DD459C8" w:rsidR="001447BD" w:rsidRPr="00FD797F" w:rsidRDefault="0094718D">
      <w:r>
        <w:rPr>
          <w:i/>
        </w:rPr>
        <w:t>Findings</w:t>
      </w:r>
      <w:r w:rsidR="001447BD">
        <w:rPr>
          <w:i/>
        </w:rPr>
        <w:t>:</w:t>
      </w:r>
      <w:r w:rsidR="00512A96">
        <w:rPr>
          <w:i/>
        </w:rPr>
        <w:t xml:space="preserve"> </w:t>
      </w:r>
      <w:r w:rsidR="000B3C54">
        <w:t xml:space="preserve">Overall, </w:t>
      </w:r>
      <w:r w:rsidR="00FD797F">
        <w:t>GLP-1</w:t>
      </w:r>
      <w:r w:rsidR="000B3C54">
        <w:t xml:space="preserve"> RA treatment</w:t>
      </w:r>
      <w:r w:rsidR="00132B9E">
        <w:t>, compared with placebo,</w:t>
      </w:r>
      <w:r w:rsidR="000B3C54">
        <w:t xml:space="preserve"> </w:t>
      </w:r>
      <w:r w:rsidR="00A24DB1">
        <w:t xml:space="preserve">showed </w:t>
      </w:r>
      <w:r w:rsidR="002A6133">
        <w:t xml:space="preserve">a significant </w:t>
      </w:r>
      <w:r w:rsidR="008972D9">
        <w:t>10</w:t>
      </w:r>
      <w:r w:rsidR="002A6133">
        <w:t>% relative risk reduction</w:t>
      </w:r>
      <w:r w:rsidR="001B3313">
        <w:t xml:space="preserve"> (RRR)</w:t>
      </w:r>
      <w:r w:rsidR="002A6133">
        <w:t xml:space="preserve"> in</w:t>
      </w:r>
      <w:r w:rsidR="002A6133" w:rsidDel="002A6133">
        <w:t xml:space="preserve"> </w:t>
      </w:r>
      <w:r w:rsidR="006D2CD9">
        <w:t xml:space="preserve">the 3-point </w:t>
      </w:r>
      <w:r w:rsidR="00FD797F">
        <w:t xml:space="preserve">MACE </w:t>
      </w:r>
      <w:r w:rsidR="00686F10">
        <w:t>pri</w:t>
      </w:r>
      <w:r w:rsidR="00132B9E">
        <w:t xml:space="preserve">mary </w:t>
      </w:r>
      <w:r w:rsidR="00FD797F">
        <w:t>outcome</w:t>
      </w:r>
      <w:r w:rsidR="00A24DB1">
        <w:t xml:space="preserve"> </w:t>
      </w:r>
      <w:r w:rsidR="004F4983">
        <w:t>(</w:t>
      </w:r>
      <w:r w:rsidR="00A24DB1">
        <w:t>CV death, non</w:t>
      </w:r>
      <w:r w:rsidR="00F71246">
        <w:t>fatal myoca</w:t>
      </w:r>
      <w:r w:rsidR="00A24DB1">
        <w:t>rdial infarction [MI], and non</w:t>
      </w:r>
      <w:r w:rsidR="00F71246">
        <w:t>fatal stroke</w:t>
      </w:r>
      <w:r w:rsidR="004F4983">
        <w:t>)</w:t>
      </w:r>
      <w:r w:rsidR="00F71246">
        <w:t xml:space="preserve"> (</w:t>
      </w:r>
      <w:r w:rsidR="0067070A">
        <w:t>HR 0·90, 95% CI 0·82–0·99</w:t>
      </w:r>
      <w:r w:rsidR="00F71246">
        <w:t xml:space="preserve">, </w:t>
      </w:r>
      <w:r w:rsidR="00A24DB1">
        <w:t>P</w:t>
      </w:r>
      <w:r w:rsidR="00A24DB1" w:rsidRPr="00944126">
        <w:t>=0</w:t>
      </w:r>
      <w:r w:rsidR="00C616AF">
        <w:t>·</w:t>
      </w:r>
      <w:r w:rsidR="00A24DB1" w:rsidRPr="00944126">
        <w:t>0</w:t>
      </w:r>
      <w:r w:rsidR="008972D9">
        <w:t>33</w:t>
      </w:r>
      <w:r w:rsidR="00F71246">
        <w:t>)</w:t>
      </w:r>
      <w:r w:rsidR="00FD797F">
        <w:t xml:space="preserve">, </w:t>
      </w:r>
      <w:r w:rsidR="00F72CDF">
        <w:t>13% RRR in CV death (HR 0·87, 95% CI 0·79–0·96, P=0·007)</w:t>
      </w:r>
      <w:r w:rsidR="00864B64">
        <w:t xml:space="preserve"> and </w:t>
      </w:r>
      <w:r w:rsidR="00A24DB1">
        <w:t xml:space="preserve">12% </w:t>
      </w:r>
      <w:r w:rsidR="001B3313">
        <w:t xml:space="preserve">RRR </w:t>
      </w:r>
      <w:r w:rsidR="00A24DB1">
        <w:t xml:space="preserve">in </w:t>
      </w:r>
      <w:r w:rsidR="00FD797F">
        <w:t>all</w:t>
      </w:r>
      <w:r w:rsidR="001C00B5">
        <w:t>-</w:t>
      </w:r>
      <w:r w:rsidR="00FD797F">
        <w:t>cause death</w:t>
      </w:r>
      <w:r w:rsidR="00F71246">
        <w:t xml:space="preserve"> </w:t>
      </w:r>
      <w:r w:rsidR="00FD797F">
        <w:t>(</w:t>
      </w:r>
      <w:r w:rsidR="0067070A">
        <w:t>HR 0·88, 95% CI 0·81–0·95</w:t>
      </w:r>
      <w:r w:rsidR="004F4983">
        <w:t>,</w:t>
      </w:r>
      <w:r w:rsidR="00F71246">
        <w:t xml:space="preserve"> </w:t>
      </w:r>
      <w:r w:rsidR="00A24DB1">
        <w:t>P=0</w:t>
      </w:r>
      <w:r w:rsidR="00C13CCC">
        <w:t>·</w:t>
      </w:r>
      <w:r w:rsidR="00A24DB1">
        <w:t>002</w:t>
      </w:r>
      <w:r w:rsidR="00F71246">
        <w:t>)</w:t>
      </w:r>
      <w:r w:rsidR="00FD797F">
        <w:t xml:space="preserve">, </w:t>
      </w:r>
      <w:r w:rsidR="000B3C54">
        <w:t>with</w:t>
      </w:r>
      <w:r w:rsidR="00C06E5E">
        <w:t xml:space="preserve"> </w:t>
      </w:r>
      <w:r w:rsidR="008972D9">
        <w:t xml:space="preserve">low to moderate </w:t>
      </w:r>
      <w:r w:rsidR="00A24DB1">
        <w:t xml:space="preserve">between-trial </w:t>
      </w:r>
      <w:r w:rsidR="000B3C54">
        <w:t>statistical heterogeneity.</w:t>
      </w:r>
      <w:r w:rsidR="00512A96">
        <w:t xml:space="preserve"> </w:t>
      </w:r>
      <w:r w:rsidR="00A13BDF">
        <w:t xml:space="preserve">No significant impact </w:t>
      </w:r>
      <w:r w:rsidR="001B3313">
        <w:t xml:space="preserve">of GLP-1 RAs </w:t>
      </w:r>
      <w:r w:rsidR="00A13BDF">
        <w:t xml:space="preserve">was observed on fatal and nonfatal MI, fatal and nonfatal stroke, hospital admission for unstable angina, </w:t>
      </w:r>
      <w:r w:rsidR="00BF1A7E">
        <w:t>or hospital</w:t>
      </w:r>
      <w:r w:rsidR="00A13BDF">
        <w:t xml:space="preserve"> admission for heart failure. </w:t>
      </w:r>
      <w:r w:rsidR="00132B9E">
        <w:t xml:space="preserve">Overall, no significant differences were seen between GLP-1 RA treatment and placebo for </w:t>
      </w:r>
      <w:r w:rsidR="00877D9E">
        <w:t>severe hypoglycaemia</w:t>
      </w:r>
      <w:r w:rsidR="00132B9E">
        <w:t xml:space="preserve">, pancreatitis, </w:t>
      </w:r>
      <w:r w:rsidR="00877D9E">
        <w:t>pancreatic cancer</w:t>
      </w:r>
      <w:r w:rsidR="004F4983">
        <w:t>,</w:t>
      </w:r>
      <w:r w:rsidR="00877D9E">
        <w:t xml:space="preserve"> </w:t>
      </w:r>
      <w:r w:rsidR="00132B9E">
        <w:t xml:space="preserve">or </w:t>
      </w:r>
      <w:r w:rsidR="00877D9E">
        <w:t>medullary thyroid cancer</w:t>
      </w:r>
      <w:r w:rsidR="00E25262">
        <w:t xml:space="preserve"> rate</w:t>
      </w:r>
      <w:r w:rsidR="00877D9E">
        <w:t>s.</w:t>
      </w:r>
    </w:p>
    <w:p w14:paraId="5B1BCE2F" w14:textId="66851EBA" w:rsidR="0094718D" w:rsidRPr="00877D9E" w:rsidRDefault="0094718D">
      <w:r>
        <w:rPr>
          <w:i/>
        </w:rPr>
        <w:t>Interpretation</w:t>
      </w:r>
      <w:r w:rsidR="001447BD">
        <w:rPr>
          <w:i/>
        </w:rPr>
        <w:t>:</w:t>
      </w:r>
      <w:r w:rsidR="00512A96">
        <w:rPr>
          <w:i/>
        </w:rPr>
        <w:t xml:space="preserve"> </w:t>
      </w:r>
      <w:r w:rsidR="00813B60">
        <w:t>This m</w:t>
      </w:r>
      <w:r w:rsidR="00D55E54" w:rsidRPr="00692029">
        <w:t>eta</w:t>
      </w:r>
      <w:r w:rsidR="00D55E54">
        <w:t xml:space="preserve">-analysis </w:t>
      </w:r>
      <w:r w:rsidR="00813B60">
        <w:t xml:space="preserve">shows a consistent effect of </w:t>
      </w:r>
      <w:r w:rsidR="00877D9E">
        <w:t xml:space="preserve">GLP-1 RA agents </w:t>
      </w:r>
      <w:r w:rsidR="00813B60">
        <w:t xml:space="preserve">in </w:t>
      </w:r>
      <w:r w:rsidR="00877D9E">
        <w:t>reduc</w:t>
      </w:r>
      <w:r w:rsidR="0007410D">
        <w:t>ing CV risk an</w:t>
      </w:r>
      <w:r w:rsidR="00145778">
        <w:t>d all-cause mortality</w:t>
      </w:r>
      <w:r w:rsidR="006C50FB">
        <w:t>,</w:t>
      </w:r>
      <w:r w:rsidR="00145778">
        <w:t xml:space="preserve"> with no</w:t>
      </w:r>
      <w:r w:rsidR="0007410D">
        <w:t xml:space="preserve"> evidence </w:t>
      </w:r>
      <w:r w:rsidR="002F0BC5">
        <w:t>of any</w:t>
      </w:r>
      <w:r w:rsidR="00813B60">
        <w:t xml:space="preserve"> safety </w:t>
      </w:r>
      <w:r w:rsidR="00145778">
        <w:t>concerns</w:t>
      </w:r>
      <w:r w:rsidR="00813B60">
        <w:t xml:space="preserve"> </w:t>
      </w:r>
      <w:r w:rsidR="00145778">
        <w:t>for this class of glucose-lowering agents</w:t>
      </w:r>
      <w:r w:rsidR="00877D9E">
        <w:t>.</w:t>
      </w:r>
      <w:r w:rsidR="00FE0FE7">
        <w:t xml:space="preserve">  GLP-1</w:t>
      </w:r>
      <w:r w:rsidR="00856AD0">
        <w:t xml:space="preserve"> </w:t>
      </w:r>
      <w:r w:rsidR="00FE0FE7">
        <w:t>RA</w:t>
      </w:r>
      <w:r w:rsidR="00856AD0">
        <w:t>s</w:t>
      </w:r>
      <w:r w:rsidR="00FE0FE7">
        <w:t xml:space="preserve"> have a favourable risk-benefit balance overall, allowing choice of agent to be individualize</w:t>
      </w:r>
      <w:r w:rsidR="006E1994">
        <w:t>d</w:t>
      </w:r>
      <w:r w:rsidR="00FE0FE7">
        <w:t xml:space="preserve"> to meet patient needs.</w:t>
      </w:r>
    </w:p>
    <w:p w14:paraId="54C1BD4F" w14:textId="1BF8B3F1" w:rsidR="00B9688F" w:rsidRPr="00B9688F" w:rsidRDefault="0094718D" w:rsidP="00B9688F">
      <w:pPr>
        <w:rPr>
          <w:b/>
          <w:lang w:val="en-US"/>
        </w:rPr>
      </w:pPr>
      <w:r>
        <w:rPr>
          <w:i/>
        </w:rPr>
        <w:t>Funding:</w:t>
      </w:r>
      <w:r w:rsidR="00B9688F">
        <w:rPr>
          <w:i/>
        </w:rPr>
        <w:t xml:space="preserve"> </w:t>
      </w:r>
      <w:r w:rsidR="00B9688F" w:rsidRPr="00B9688F">
        <w:rPr>
          <w:lang w:val="en-US"/>
        </w:rPr>
        <w:t>Funded by Amylin Pharmaceuticals Inc., a wholly owned subsidiary of AstraZeneca</w:t>
      </w:r>
    </w:p>
    <w:p w14:paraId="2788708B" w14:textId="77777777" w:rsidR="00B9688F" w:rsidRDefault="00B9688F">
      <w:pPr>
        <w:rPr>
          <w:b/>
        </w:rPr>
      </w:pPr>
      <w:r>
        <w:rPr>
          <w:b/>
        </w:rPr>
        <w:br w:type="page"/>
      </w:r>
    </w:p>
    <w:p w14:paraId="38524D1A" w14:textId="77777777" w:rsidR="00831083" w:rsidRDefault="00831083">
      <w:pPr>
        <w:rPr>
          <w:b/>
        </w:rPr>
      </w:pPr>
      <w:r w:rsidRPr="00831083">
        <w:rPr>
          <w:b/>
        </w:rPr>
        <w:lastRenderedPageBreak/>
        <w:t>Background</w:t>
      </w:r>
    </w:p>
    <w:p w14:paraId="4864B8A9" w14:textId="75CB3835" w:rsidR="00C95A74" w:rsidRDefault="004F7E5C" w:rsidP="00882C8B">
      <w:r>
        <w:t>Glucagon</w:t>
      </w:r>
      <w:r w:rsidR="004F4983">
        <w:t>-</w:t>
      </w:r>
      <w:r w:rsidR="000220D7">
        <w:t>like peptide</w:t>
      </w:r>
      <w:r>
        <w:t>-1 receptor agonists (GLP-1 RA</w:t>
      </w:r>
      <w:r w:rsidR="00D51B16">
        <w:t>s</w:t>
      </w:r>
      <w:r>
        <w:t>) are effective treatments for type 2 diabetes, demonstrating glucose lowering without weight gain (often with weight loss) and with low risk for hypoglycaemia.</w:t>
      </w:r>
      <w:r w:rsidR="009E30CB" w:rsidRPr="009E30CB">
        <w:rPr>
          <w:vertAlign w:val="superscript"/>
        </w:rPr>
        <w:t>1</w:t>
      </w:r>
      <w:r w:rsidR="00512A96">
        <w:t xml:space="preserve"> </w:t>
      </w:r>
      <w:r w:rsidR="001C00B5">
        <w:t>Their a</w:t>
      </w:r>
      <w:r w:rsidR="00CB33B9">
        <w:t xml:space="preserve">ssociation with modest reductions in systolic blood pressure and lipid levels make them attractive candidates for use in </w:t>
      </w:r>
      <w:r w:rsidR="006601CD">
        <w:t>patients</w:t>
      </w:r>
      <w:r w:rsidR="009A3240">
        <w:t xml:space="preserve"> with type 2 diabetes</w:t>
      </w:r>
      <w:r w:rsidR="006601CD">
        <w:t xml:space="preserve"> </w:t>
      </w:r>
      <w:r w:rsidR="00CB33B9">
        <w:t>at elevated cardiovascular</w:t>
      </w:r>
      <w:r w:rsidR="00321D0A">
        <w:t xml:space="preserve"> (CV)</w:t>
      </w:r>
      <w:r w:rsidR="00CB33B9">
        <w:t xml:space="preserve"> risk</w:t>
      </w:r>
      <w:r w:rsidR="00654BC3">
        <w:t>.</w:t>
      </w:r>
      <w:r w:rsidR="009E30CB" w:rsidRPr="009E30CB">
        <w:rPr>
          <w:vertAlign w:val="superscript"/>
        </w:rPr>
        <w:t>2</w:t>
      </w:r>
      <w:r w:rsidR="00512A96">
        <w:t xml:space="preserve"> </w:t>
      </w:r>
      <w:r w:rsidR="00BF1F00">
        <w:t xml:space="preserve">In these patients, </w:t>
      </w:r>
      <w:r w:rsidR="00856AD0">
        <w:t>CV</w:t>
      </w:r>
      <w:r w:rsidR="00BF1F00">
        <w:t xml:space="preserve"> morbidity and mortality remains the leading cause of death. Although there is evidence that improved glucose control may confer a modest </w:t>
      </w:r>
      <w:r w:rsidR="00856AD0">
        <w:t>CV</w:t>
      </w:r>
      <w:r w:rsidR="00BF1F00">
        <w:t xml:space="preserve"> benefit, some glucose lowering medications may increase, rather than reduce </w:t>
      </w:r>
      <w:r w:rsidR="00856AD0">
        <w:t>CV</w:t>
      </w:r>
      <w:r w:rsidR="00BF1F00">
        <w:t xml:space="preserve"> risk. This paradox has prompted international regulatory agencies to revise diabetes drug approval processes, requiring </w:t>
      </w:r>
      <w:r w:rsidR="00722AC6">
        <w:t xml:space="preserve">demonstration </w:t>
      </w:r>
      <w:r w:rsidR="00BF1F00">
        <w:t xml:space="preserve">of </w:t>
      </w:r>
      <w:r w:rsidR="00856AD0">
        <w:t>CV</w:t>
      </w:r>
      <w:r w:rsidR="00BF1F00">
        <w:t xml:space="preserve"> safety for all new </w:t>
      </w:r>
      <w:r w:rsidR="00722AC6">
        <w:t xml:space="preserve">drug </w:t>
      </w:r>
      <w:r w:rsidR="00BF1F00">
        <w:t xml:space="preserve">applications. To further facilitate a common assessment of </w:t>
      </w:r>
      <w:r w:rsidR="00856AD0">
        <w:t>CV</w:t>
      </w:r>
      <w:r w:rsidR="00BF1F00">
        <w:t xml:space="preserve"> risk, trials must evaluate important </w:t>
      </w:r>
      <w:r w:rsidR="00856AD0">
        <w:t>CV</w:t>
      </w:r>
      <w:r w:rsidR="00BF1F00">
        <w:t xml:space="preserve"> outcomes including CV mortality, myocardial infarction, and stroke.</w:t>
      </w:r>
    </w:p>
    <w:p w14:paraId="1BCE34A5" w14:textId="3D8C59BE" w:rsidR="00831083" w:rsidRDefault="00654BC3">
      <w:r>
        <w:t xml:space="preserve">Four </w:t>
      </w:r>
      <w:r w:rsidR="004F4983">
        <w:t xml:space="preserve">CV </w:t>
      </w:r>
      <w:r>
        <w:t xml:space="preserve">outcomes trials </w:t>
      </w:r>
      <w:r w:rsidR="003C44B6">
        <w:t xml:space="preserve">evaluating the efficacy and safety of </w:t>
      </w:r>
      <w:r>
        <w:t>GLP-1 RA</w:t>
      </w:r>
      <w:r w:rsidR="003C44B6">
        <w:t>s</w:t>
      </w:r>
      <w:r>
        <w:t xml:space="preserve"> have been completed</w:t>
      </w:r>
      <w:r w:rsidR="00273BA1">
        <w:t xml:space="preserve"> to date</w:t>
      </w:r>
      <w:r w:rsidR="00783F14">
        <w:t>:</w:t>
      </w:r>
      <w:r w:rsidR="00512A96">
        <w:t xml:space="preserve"> </w:t>
      </w:r>
      <w:r w:rsidR="006601CD" w:rsidRPr="006601CD">
        <w:t xml:space="preserve">The Evaluation of Lixisenatide in Acute Coronary Syndrome </w:t>
      </w:r>
      <w:r w:rsidR="006601CD">
        <w:t>(</w:t>
      </w:r>
      <w:r>
        <w:t>ELIXA</w:t>
      </w:r>
      <w:r w:rsidR="006601CD">
        <w:t>)</w:t>
      </w:r>
      <w:r>
        <w:t xml:space="preserve"> </w:t>
      </w:r>
      <w:r w:rsidR="005A496F">
        <w:t>, t</w:t>
      </w:r>
      <w:r w:rsidR="006601CD" w:rsidRPr="006601CD">
        <w:t xml:space="preserve">he Liraglutide Effect and Action in Diabetes: Evaluation of Cardiovascular Outcome Results </w:t>
      </w:r>
      <w:r w:rsidR="006601CD">
        <w:t>(</w:t>
      </w:r>
      <w:r>
        <w:t>LEADER</w:t>
      </w:r>
      <w:r w:rsidR="006601CD">
        <w:t>)</w:t>
      </w:r>
      <w:r w:rsidR="005A496F">
        <w:t>, t</w:t>
      </w:r>
      <w:r w:rsidR="006601CD">
        <w:t>he T</w:t>
      </w:r>
      <w:r w:rsidR="006601CD" w:rsidRPr="006601CD">
        <w:t xml:space="preserve">rial to Evaluate Cardiovascular and Other Long-term Outcomes with Semaglutide in Subjects with Type 2 Diabetes </w:t>
      </w:r>
      <w:r w:rsidR="006601CD">
        <w:t>(</w:t>
      </w:r>
      <w:r w:rsidR="00882C8B">
        <w:t>SUSTAIN</w:t>
      </w:r>
      <w:r w:rsidR="004F4983">
        <w:t>-</w:t>
      </w:r>
      <w:r w:rsidR="00882C8B">
        <w:t>6</w:t>
      </w:r>
      <w:r w:rsidR="006601CD">
        <w:t>)</w:t>
      </w:r>
      <w:r w:rsidR="005A496F">
        <w:t>, and t</w:t>
      </w:r>
      <w:r w:rsidR="006601CD" w:rsidRPr="006601CD">
        <w:t xml:space="preserve">he Exenatide Study of Cardiovascular Event Lowering </w:t>
      </w:r>
      <w:r w:rsidR="006601CD">
        <w:t>(</w:t>
      </w:r>
      <w:r w:rsidR="00882C8B">
        <w:t>EXSCEL</w:t>
      </w:r>
      <w:r w:rsidR="006601CD">
        <w:t>)</w:t>
      </w:r>
      <w:r w:rsidR="001C00B5">
        <w:t>.</w:t>
      </w:r>
      <w:r w:rsidR="009E30CB" w:rsidRPr="009E30CB">
        <w:rPr>
          <w:vertAlign w:val="superscript"/>
        </w:rPr>
        <w:t>3-6</w:t>
      </w:r>
      <w:r w:rsidR="00C95A74">
        <w:t xml:space="preserve">  </w:t>
      </w:r>
      <w:r w:rsidR="00273BA1">
        <w:t>All</w:t>
      </w:r>
      <w:r w:rsidR="00CB33B9">
        <w:t xml:space="preserve"> four trials demonstrated </w:t>
      </w:r>
      <w:r w:rsidR="004F4983">
        <w:t xml:space="preserve">CV </w:t>
      </w:r>
      <w:r w:rsidR="00CB33B9">
        <w:t>safety (non-inferiority compared to placebo)</w:t>
      </w:r>
      <w:r w:rsidR="00273BA1">
        <w:t>, with</w:t>
      </w:r>
      <w:r w:rsidR="00CB33B9">
        <w:t xml:space="preserve"> </w:t>
      </w:r>
      <w:r w:rsidR="006601CD">
        <w:t>two</w:t>
      </w:r>
      <w:r w:rsidR="00273BA1">
        <w:t xml:space="preserve"> trials</w:t>
      </w:r>
      <w:r w:rsidR="006601CD">
        <w:t xml:space="preserve"> (LEADER and SUSTAIN</w:t>
      </w:r>
      <w:r w:rsidR="004F4983">
        <w:t>-</w:t>
      </w:r>
      <w:r w:rsidR="006601CD">
        <w:t>6)</w:t>
      </w:r>
      <w:r w:rsidR="006E3F3F">
        <w:t xml:space="preserve"> </w:t>
      </w:r>
      <w:r w:rsidR="00CB33B9">
        <w:t>demonstr</w:t>
      </w:r>
      <w:r w:rsidR="008067DA">
        <w:t>ating</w:t>
      </w:r>
      <w:r w:rsidR="00CB33B9">
        <w:t xml:space="preserve"> </w:t>
      </w:r>
      <w:r w:rsidR="006E3F3F">
        <w:t xml:space="preserve">a </w:t>
      </w:r>
      <w:r w:rsidR="006601CD">
        <w:t xml:space="preserve">statistically </w:t>
      </w:r>
      <w:r w:rsidR="006E3F3F">
        <w:t xml:space="preserve">significant </w:t>
      </w:r>
      <w:r w:rsidR="00CB33B9">
        <w:t xml:space="preserve">reduction in </w:t>
      </w:r>
      <w:r w:rsidR="00321D0A">
        <w:t xml:space="preserve">their primary 3-point </w:t>
      </w:r>
      <w:r w:rsidR="00344F4A">
        <w:t>major adverse CV event (</w:t>
      </w:r>
      <w:r w:rsidR="00321D0A">
        <w:t>MACE</w:t>
      </w:r>
      <w:r w:rsidR="00344F4A">
        <w:t>)</w:t>
      </w:r>
      <w:r w:rsidR="00321D0A">
        <w:t xml:space="preserve"> outcome (</w:t>
      </w:r>
      <w:r w:rsidR="00321D0A" w:rsidRPr="00321D0A">
        <w:t>CV death, non-fatal myocardial infarct</w:t>
      </w:r>
      <w:r w:rsidR="008067DA">
        <w:t>ion [MI], and none-fatal stroke</w:t>
      </w:r>
      <w:r w:rsidR="00321D0A">
        <w:t>)</w:t>
      </w:r>
      <w:r w:rsidR="008067DA">
        <w:t>.</w:t>
      </w:r>
      <w:r w:rsidR="009E30CB" w:rsidRPr="009E30CB">
        <w:rPr>
          <w:vertAlign w:val="superscript"/>
        </w:rPr>
        <w:t>4,5</w:t>
      </w:r>
      <w:r w:rsidR="00CB33B9">
        <w:t xml:space="preserve"> </w:t>
      </w:r>
      <w:r w:rsidR="00DD1CDD">
        <w:t>Only l</w:t>
      </w:r>
      <w:r w:rsidR="00F1636C">
        <w:t>iraglutide</w:t>
      </w:r>
      <w:r w:rsidR="00DD1CDD">
        <w:t xml:space="preserve"> was </w:t>
      </w:r>
      <w:r w:rsidR="00F1636C">
        <w:t>associated with significant reductions in all</w:t>
      </w:r>
      <w:r w:rsidR="001C00B5">
        <w:t>-</w:t>
      </w:r>
      <w:r w:rsidR="00F1636C">
        <w:t>cause mortality</w:t>
      </w:r>
      <w:r w:rsidR="00DD1CDD">
        <w:t xml:space="preserve"> and </w:t>
      </w:r>
      <w:r w:rsidR="004F4983">
        <w:t xml:space="preserve">CV </w:t>
      </w:r>
      <w:r w:rsidR="00F1636C">
        <w:t>death</w:t>
      </w:r>
      <w:r w:rsidR="00931309">
        <w:t>,</w:t>
      </w:r>
      <w:r w:rsidR="00DD1CDD">
        <w:t xml:space="preserve">  </w:t>
      </w:r>
      <w:r w:rsidR="00F1636C">
        <w:t>and only semaglutide was associated with</w:t>
      </w:r>
      <w:r w:rsidR="00DD1CDD">
        <w:t xml:space="preserve"> a</w:t>
      </w:r>
      <w:r w:rsidR="00F1636C">
        <w:t xml:space="preserve"> significant reduction in </w:t>
      </w:r>
      <w:r w:rsidR="00A96CE8">
        <w:t>nonfatal</w:t>
      </w:r>
      <w:r w:rsidR="00CC23BD">
        <w:t xml:space="preserve"> </w:t>
      </w:r>
      <w:r w:rsidR="00F1636C">
        <w:t>stroke outcomes.</w:t>
      </w:r>
      <w:r w:rsidR="00512A96">
        <w:t xml:space="preserve"> </w:t>
      </w:r>
      <w:r w:rsidR="00AF38FB">
        <w:t>These</w:t>
      </w:r>
      <w:r w:rsidR="008067DA">
        <w:t xml:space="preserve"> varying</w:t>
      </w:r>
      <w:r w:rsidR="00AF38FB">
        <w:t xml:space="preserve"> </w:t>
      </w:r>
      <w:r w:rsidR="008067DA">
        <w:t xml:space="preserve">findings </w:t>
      </w:r>
      <w:r w:rsidR="00AF38FB">
        <w:t xml:space="preserve">raise important questions about </w:t>
      </w:r>
      <w:r w:rsidR="000125D3">
        <w:t>the</w:t>
      </w:r>
      <w:r w:rsidR="008067DA">
        <w:t xml:space="preserve"> generalisability </w:t>
      </w:r>
      <w:r w:rsidR="000125D3">
        <w:t xml:space="preserve">of </w:t>
      </w:r>
      <w:r w:rsidR="008067DA">
        <w:t>GLP</w:t>
      </w:r>
      <w:r w:rsidR="00AF38FB">
        <w:t xml:space="preserve">-1 RA </w:t>
      </w:r>
      <w:r w:rsidR="000125D3">
        <w:t xml:space="preserve">trials to the drug </w:t>
      </w:r>
      <w:r w:rsidR="00AF38FB">
        <w:t xml:space="preserve">class </w:t>
      </w:r>
      <w:r w:rsidR="008067DA">
        <w:t>as a whole</w:t>
      </w:r>
      <w:r w:rsidR="00AF38FB">
        <w:t>.</w:t>
      </w:r>
      <w:r w:rsidR="00512A96">
        <w:t xml:space="preserve"> </w:t>
      </w:r>
    </w:p>
    <w:p w14:paraId="50C66E0A" w14:textId="77777777" w:rsidR="00831083" w:rsidRPr="00B10EDB" w:rsidRDefault="0032058E">
      <w:r>
        <w:t>We</w:t>
      </w:r>
      <w:r w:rsidR="00BD7B2A">
        <w:t xml:space="preserve"> conducted a</w:t>
      </w:r>
      <w:r w:rsidR="00AF38FB">
        <w:t xml:space="preserve"> meta-analysis synthesiz</w:t>
      </w:r>
      <w:r w:rsidR="007C240A">
        <w:t>ing</w:t>
      </w:r>
      <w:r w:rsidR="00AF38FB">
        <w:t xml:space="preserve"> </w:t>
      </w:r>
      <w:r w:rsidR="00BD7B2A">
        <w:t xml:space="preserve">data </w:t>
      </w:r>
      <w:r w:rsidR="00AF38FB">
        <w:t xml:space="preserve">available from </w:t>
      </w:r>
      <w:r w:rsidR="00CE5249">
        <w:t>ELIXA, LEADER, SUSTAIN</w:t>
      </w:r>
      <w:r w:rsidR="007C240A">
        <w:t>-</w:t>
      </w:r>
      <w:r w:rsidR="00CE5249">
        <w:t>6</w:t>
      </w:r>
      <w:r w:rsidR="007C240A">
        <w:t>,</w:t>
      </w:r>
      <w:r w:rsidR="00CE5249">
        <w:t xml:space="preserve"> and EXSCEL</w:t>
      </w:r>
      <w:r w:rsidR="00AF38FB">
        <w:t xml:space="preserve"> </w:t>
      </w:r>
      <w:r w:rsidR="00BD7B2A">
        <w:t xml:space="preserve">to examine the overall impact </w:t>
      </w:r>
      <w:r w:rsidR="00CE5249">
        <w:t xml:space="preserve">of GLP-1 RAs </w:t>
      </w:r>
      <w:r w:rsidR="00BD7B2A">
        <w:t xml:space="preserve">on </w:t>
      </w:r>
      <w:r w:rsidR="00CE5249">
        <w:t xml:space="preserve">CV </w:t>
      </w:r>
      <w:r w:rsidR="00654BC3">
        <w:t xml:space="preserve">efficacy and </w:t>
      </w:r>
      <w:r w:rsidR="00CE5249">
        <w:t xml:space="preserve">key </w:t>
      </w:r>
      <w:r w:rsidR="00654BC3">
        <w:t>safety outcomes</w:t>
      </w:r>
      <w:r w:rsidR="00BD7B2A">
        <w:t>.</w:t>
      </w:r>
      <w:r w:rsidR="00512A96">
        <w:t xml:space="preserve"> </w:t>
      </w:r>
    </w:p>
    <w:p w14:paraId="67785623" w14:textId="77777777" w:rsidR="00512A96" w:rsidRDefault="00512A96">
      <w:pPr>
        <w:rPr>
          <w:b/>
        </w:rPr>
      </w:pPr>
    </w:p>
    <w:p w14:paraId="0E8D7B1F" w14:textId="77777777" w:rsidR="005A1277" w:rsidRDefault="00831083">
      <w:pPr>
        <w:rPr>
          <w:b/>
        </w:rPr>
      </w:pPr>
      <w:r>
        <w:rPr>
          <w:b/>
        </w:rPr>
        <w:t>Methods</w:t>
      </w:r>
    </w:p>
    <w:p w14:paraId="64B91825" w14:textId="4C5B9CD9" w:rsidR="005A1277" w:rsidRPr="00AE07BD" w:rsidRDefault="002F2614">
      <w:pPr>
        <w:rPr>
          <w:i/>
        </w:rPr>
      </w:pPr>
      <w:r>
        <w:rPr>
          <w:i/>
        </w:rPr>
        <w:t>Search strategy and selection criteria</w:t>
      </w:r>
    </w:p>
    <w:p w14:paraId="2BE03303" w14:textId="44A94687" w:rsidR="002F2614" w:rsidRDefault="002F2614" w:rsidP="00605644">
      <w:r>
        <w:t xml:space="preserve">In this meta-analysis, </w:t>
      </w:r>
      <w:r w:rsidR="002700D3">
        <w:t>we</w:t>
      </w:r>
      <w:r>
        <w:t xml:space="preserve"> searched PubMed and MEDLINE databases without language restriction to identify all eligible trials with a primary outcome including but not limited to CV death, nonfatal MI or nonfatal stroke (outcomes required by regulatory agencies for CV safety studies in diabetes), comparing the safety and efficacy of GLP-1 RA</w:t>
      </w:r>
      <w:r w:rsidR="00E76167">
        <w:t>s</w:t>
      </w:r>
      <w:r>
        <w:t xml:space="preserve"> with that of placebo, in adult patients with type 2 diabetes. The search terms used were </w:t>
      </w:r>
      <w:r w:rsidR="0082101C">
        <w:t xml:space="preserve">“glucagon-like peptide-1 receptor agonist“, </w:t>
      </w:r>
      <w:r>
        <w:t xml:space="preserve">“exenatide”, “liraglutide”, “lixisenatide”, “semaglutide”, “dulaglutide”, “albiglutide”, “placebo”, “cardiovascular mortality”, “myocardial infarction” and “stroke”. The search was filtered to include </w:t>
      </w:r>
      <w:r w:rsidR="00E76167">
        <w:t xml:space="preserve">only </w:t>
      </w:r>
      <w:r>
        <w:t>randomised controlled trials or meta-analyses involving humans. Searches were conducted between June</w:t>
      </w:r>
      <w:r w:rsidR="00E76167">
        <w:t xml:space="preserve"> 22</w:t>
      </w:r>
      <w:r>
        <w:t>, 2017</w:t>
      </w:r>
      <w:r w:rsidR="00E76167">
        <w:t>,</w:t>
      </w:r>
      <w:r>
        <w:t xml:space="preserve"> and September</w:t>
      </w:r>
      <w:r w:rsidR="00E76167">
        <w:t xml:space="preserve"> 18</w:t>
      </w:r>
      <w:r>
        <w:t>, 2017. This meta-analysis was not prospectively registered in PROSPERO.</w:t>
      </w:r>
    </w:p>
    <w:p w14:paraId="5311BF53" w14:textId="32F1976D" w:rsidR="005E073C" w:rsidRDefault="005E073C" w:rsidP="001176CE"/>
    <w:p w14:paraId="6AE5A6B2" w14:textId="794AF00F" w:rsidR="005A1277" w:rsidRPr="006451F8" w:rsidRDefault="005A1277" w:rsidP="006451F8">
      <w:pPr>
        <w:keepNext/>
        <w:rPr>
          <w:i/>
        </w:rPr>
      </w:pPr>
      <w:r w:rsidRPr="006451F8">
        <w:rPr>
          <w:i/>
        </w:rPr>
        <w:t xml:space="preserve">Data </w:t>
      </w:r>
      <w:r w:rsidR="00606749">
        <w:rPr>
          <w:i/>
        </w:rPr>
        <w:t>analysis</w:t>
      </w:r>
    </w:p>
    <w:p w14:paraId="0738E8D0" w14:textId="4AE869E2" w:rsidR="00216B1C" w:rsidRPr="007941BE" w:rsidRDefault="00C7147D">
      <w:r>
        <w:t>Results reported in trial publications</w:t>
      </w:r>
      <w:r w:rsidR="004D1B84">
        <w:t xml:space="preserve"> (primary trial results and subsequent secondary publications)</w:t>
      </w:r>
      <w:r w:rsidR="007941BE">
        <w:t>, and</w:t>
      </w:r>
      <w:r>
        <w:t xml:space="preserve"> their</w:t>
      </w:r>
      <w:r w:rsidR="007941BE">
        <w:t xml:space="preserve"> accompanying supplementary materials, were used as the primary source of information.</w:t>
      </w:r>
      <w:r w:rsidR="004D1B84">
        <w:t xml:space="preserve"> Publicly available additional sources, including but not limited to the</w:t>
      </w:r>
      <w:r w:rsidR="007941BE">
        <w:t xml:space="preserve"> </w:t>
      </w:r>
      <w:r w:rsidR="003D7F65">
        <w:t xml:space="preserve">Food and Drug Administration (FDA, </w:t>
      </w:r>
      <w:hyperlink r:id="rId7" w:history="1">
        <w:r w:rsidR="006D4170" w:rsidRPr="00FE5327">
          <w:rPr>
            <w:rStyle w:val="Hyperlink"/>
          </w:rPr>
          <w:t>www.fda.gov</w:t>
        </w:r>
      </w:hyperlink>
      <w:r w:rsidR="003D7F65">
        <w:t>)</w:t>
      </w:r>
      <w:r w:rsidR="006D4170">
        <w:t xml:space="preserve">, </w:t>
      </w:r>
      <w:r w:rsidR="003D7F65">
        <w:t xml:space="preserve">European Medicines Agency (EMA, </w:t>
      </w:r>
      <w:hyperlink r:id="rId8" w:history="1">
        <w:r w:rsidR="006D4170" w:rsidRPr="00FE5327">
          <w:rPr>
            <w:rStyle w:val="Hyperlink"/>
          </w:rPr>
          <w:t>www.ema.europa.eu</w:t>
        </w:r>
      </w:hyperlink>
      <w:r w:rsidR="003D7F65">
        <w:t>)</w:t>
      </w:r>
      <w:r w:rsidR="006D4170">
        <w:t>, and pharmaceutical company</w:t>
      </w:r>
      <w:r>
        <w:t xml:space="preserve"> </w:t>
      </w:r>
      <w:r w:rsidR="006D4170">
        <w:t>websites</w:t>
      </w:r>
      <w:r w:rsidR="00536AA3">
        <w:t xml:space="preserve"> (e.g. </w:t>
      </w:r>
      <w:r w:rsidR="002F33FB" w:rsidRPr="002F33FB">
        <w:t>www.novonordisk-trials.com/Website/pdf/regis</w:t>
      </w:r>
      <w:r w:rsidR="002F33FB">
        <w:t>try/15076-3748-ctr-redacted.pdf</w:t>
      </w:r>
      <w:r w:rsidR="00536AA3">
        <w:t>)</w:t>
      </w:r>
      <w:r w:rsidR="006D4170">
        <w:t xml:space="preserve">, </w:t>
      </w:r>
      <w:r>
        <w:t xml:space="preserve">were </w:t>
      </w:r>
      <w:r w:rsidR="00216B1C">
        <w:t xml:space="preserve">searched to identify </w:t>
      </w:r>
      <w:r w:rsidR="00A769C5">
        <w:t xml:space="preserve">any </w:t>
      </w:r>
      <w:r w:rsidR="00216B1C">
        <w:t xml:space="preserve">additional </w:t>
      </w:r>
      <w:r w:rsidR="00A769C5">
        <w:t xml:space="preserve">data </w:t>
      </w:r>
      <w:r w:rsidR="00216B1C">
        <w:t>required</w:t>
      </w:r>
      <w:r w:rsidR="006D4170">
        <w:t>.</w:t>
      </w:r>
      <w:r w:rsidR="00512A96">
        <w:t xml:space="preserve"> </w:t>
      </w:r>
      <w:r w:rsidR="00A769C5">
        <w:t xml:space="preserve">Where </w:t>
      </w:r>
      <w:r w:rsidR="009E15FE">
        <w:t>data items were not available</w:t>
      </w:r>
      <w:r w:rsidR="00A769C5">
        <w:t xml:space="preserve">, </w:t>
      </w:r>
      <w:r w:rsidR="006D4170">
        <w:t xml:space="preserve">requests </w:t>
      </w:r>
      <w:r w:rsidR="00783F14">
        <w:t xml:space="preserve">for the information </w:t>
      </w:r>
      <w:r w:rsidR="006D4170">
        <w:t xml:space="preserve">were sent to </w:t>
      </w:r>
      <w:r w:rsidR="00783F14">
        <w:t xml:space="preserve">the </w:t>
      </w:r>
      <w:r w:rsidR="006D4170">
        <w:t>corresponding authors</w:t>
      </w:r>
      <w:r w:rsidR="00783F14">
        <w:t xml:space="preserve"> of trial articles</w:t>
      </w:r>
      <w:r w:rsidR="006D4170">
        <w:t>.</w:t>
      </w:r>
      <w:r w:rsidR="00664041">
        <w:t xml:space="preserve"> We assessed the methodological quality of included </w:t>
      </w:r>
      <w:r w:rsidR="00E76167">
        <w:t>randomized controlled trial</w:t>
      </w:r>
      <w:r w:rsidR="00664041">
        <w:t>s by calculating a Jadad score</w:t>
      </w:r>
      <w:r w:rsidR="00F8519F" w:rsidRPr="00F8519F">
        <w:rPr>
          <w:vertAlign w:val="superscript"/>
        </w:rPr>
        <w:t>7</w:t>
      </w:r>
      <w:r w:rsidR="00664041">
        <w:t xml:space="preserve"> for each trial.</w:t>
      </w:r>
      <w:r w:rsidR="00E76167">
        <w:t xml:space="preserve"> </w:t>
      </w:r>
      <w:r w:rsidR="00092613">
        <w:t>H</w:t>
      </w:r>
      <w:r w:rsidR="00216B1C">
        <w:t>azard ratios (HR) and 95% confidence intervals (95% CI) were collected</w:t>
      </w:r>
      <w:r w:rsidR="00092613">
        <w:t xml:space="preserve"> for CV efficacy outcomes</w:t>
      </w:r>
      <w:r w:rsidR="00A769C5">
        <w:t xml:space="preserve">, </w:t>
      </w:r>
      <w:r w:rsidR="00092613">
        <w:t xml:space="preserve">and </w:t>
      </w:r>
      <w:r w:rsidR="00216B1C">
        <w:t>number</w:t>
      </w:r>
      <w:r w:rsidR="00A769C5">
        <w:t>s</w:t>
      </w:r>
      <w:r w:rsidR="00216B1C">
        <w:t xml:space="preserve"> of events </w:t>
      </w:r>
      <w:r w:rsidR="00092613">
        <w:t xml:space="preserve">by </w:t>
      </w:r>
      <w:r w:rsidR="00216B1C">
        <w:t xml:space="preserve">treatment arm </w:t>
      </w:r>
      <w:r w:rsidR="00A769C5">
        <w:t xml:space="preserve">were </w:t>
      </w:r>
      <w:r w:rsidR="00216B1C">
        <w:t>collected</w:t>
      </w:r>
      <w:r w:rsidR="00092613" w:rsidRPr="00092613">
        <w:t xml:space="preserve"> </w:t>
      </w:r>
      <w:r w:rsidR="00092613">
        <w:t>for safety endpoints</w:t>
      </w:r>
      <w:r w:rsidR="00216B1C">
        <w:t>.</w:t>
      </w:r>
      <w:r w:rsidR="00512A96">
        <w:t xml:space="preserve"> </w:t>
      </w:r>
    </w:p>
    <w:p w14:paraId="2D4827A4" w14:textId="77777777" w:rsidR="00FC2D2F" w:rsidRPr="00FC2D2F" w:rsidRDefault="00C96A1B">
      <w:pPr>
        <w:rPr>
          <w:i/>
        </w:rPr>
      </w:pPr>
      <w:r>
        <w:rPr>
          <w:i/>
        </w:rPr>
        <w:t xml:space="preserve">CV </w:t>
      </w:r>
      <w:r w:rsidR="00783F14" w:rsidRPr="00FC2D2F">
        <w:rPr>
          <w:i/>
        </w:rPr>
        <w:t xml:space="preserve">efficacy </w:t>
      </w:r>
      <w:r w:rsidR="00FC2D2F" w:rsidRPr="00FC2D2F">
        <w:rPr>
          <w:i/>
        </w:rPr>
        <w:t>outcomes</w:t>
      </w:r>
    </w:p>
    <w:p w14:paraId="44257B45" w14:textId="788F5979" w:rsidR="008710F7" w:rsidRDefault="001C1454">
      <w:r w:rsidRPr="00C96A1B">
        <w:t xml:space="preserve">The </w:t>
      </w:r>
      <w:r w:rsidR="00D6125F" w:rsidRPr="00C96A1B">
        <w:t xml:space="preserve">primary </w:t>
      </w:r>
      <w:r w:rsidRPr="00C96A1B">
        <w:t xml:space="preserve">efficacy outcome </w:t>
      </w:r>
      <w:r w:rsidR="00D6125F" w:rsidRPr="00C96A1B">
        <w:t xml:space="preserve">for </w:t>
      </w:r>
      <w:r w:rsidRPr="00C96A1B">
        <w:t xml:space="preserve">this </w:t>
      </w:r>
      <w:r w:rsidR="009C1F62" w:rsidRPr="00C96A1B">
        <w:t>meta-</w:t>
      </w:r>
      <w:r w:rsidRPr="00C96A1B">
        <w:t xml:space="preserve">analysis was the effect of GLP-1 </w:t>
      </w:r>
      <w:r w:rsidR="009C1F62" w:rsidRPr="00C96A1B">
        <w:t xml:space="preserve">RAs </w:t>
      </w:r>
      <w:r w:rsidR="00047AD8" w:rsidRPr="00C96A1B">
        <w:t>on the incidence of</w:t>
      </w:r>
      <w:r>
        <w:t xml:space="preserve"> </w:t>
      </w:r>
      <w:r w:rsidR="004576A3">
        <w:t>3-point MACE</w:t>
      </w:r>
      <w:r w:rsidR="009C1F62">
        <w:t>, compared with placebo</w:t>
      </w:r>
      <w:r w:rsidR="00161EBA">
        <w:t xml:space="preserve">. </w:t>
      </w:r>
      <w:r w:rsidR="004576A3">
        <w:t>Additional analyses were conducted for</w:t>
      </w:r>
      <w:r>
        <w:t xml:space="preserve"> </w:t>
      </w:r>
      <w:r w:rsidR="004F4983">
        <w:t xml:space="preserve">CV </w:t>
      </w:r>
      <w:r w:rsidR="00430601">
        <w:t>death</w:t>
      </w:r>
      <w:r w:rsidR="008411EC">
        <w:t xml:space="preserve">, fatal or </w:t>
      </w:r>
      <w:r w:rsidR="00A96CE8">
        <w:t>nonfatal</w:t>
      </w:r>
      <w:r w:rsidR="008411EC">
        <w:t xml:space="preserve"> MI, fatal or</w:t>
      </w:r>
      <w:r w:rsidR="00161EBA">
        <w:t xml:space="preserve"> </w:t>
      </w:r>
      <w:r w:rsidR="00A96CE8">
        <w:t>nonfatal</w:t>
      </w:r>
      <w:r>
        <w:t xml:space="preserve"> stroke, </w:t>
      </w:r>
      <w:r w:rsidR="00430601">
        <w:t xml:space="preserve">all-cause mortality, </w:t>
      </w:r>
      <w:r>
        <w:t>hospital</w:t>
      </w:r>
      <w:r w:rsidR="001615B5">
        <w:t xml:space="preserve"> admission</w:t>
      </w:r>
      <w:r>
        <w:t xml:space="preserve"> for heart failure</w:t>
      </w:r>
      <w:r w:rsidR="006D4170">
        <w:t>,</w:t>
      </w:r>
      <w:r>
        <w:t xml:space="preserve"> and </w:t>
      </w:r>
      <w:r w:rsidR="001615B5">
        <w:t xml:space="preserve">hospital admission </w:t>
      </w:r>
      <w:r>
        <w:t>for unstable angina.</w:t>
      </w:r>
      <w:r w:rsidR="00512A96">
        <w:t xml:space="preserve"> </w:t>
      </w:r>
      <w:r w:rsidR="0052005E">
        <w:t xml:space="preserve">As </w:t>
      </w:r>
      <w:r w:rsidR="009124BD">
        <w:t xml:space="preserve">time to </w:t>
      </w:r>
      <w:r w:rsidR="0052005E">
        <w:t>hospital admission for unstable angina</w:t>
      </w:r>
      <w:r w:rsidR="0052005E" w:rsidDel="0052005E">
        <w:t xml:space="preserve"> </w:t>
      </w:r>
      <w:r w:rsidR="009124BD">
        <w:t xml:space="preserve">was not a prespecified endpoint </w:t>
      </w:r>
      <w:r w:rsidR="0052005E">
        <w:t xml:space="preserve">for EXSCEL, a post hoc analysis was conducted </w:t>
      </w:r>
      <w:r w:rsidR="009124BD">
        <w:t xml:space="preserve">using a </w:t>
      </w:r>
      <w:r w:rsidR="009124BD" w:rsidRPr="00216B1C">
        <w:t xml:space="preserve">Cox proportional hazards model, stratified by </w:t>
      </w:r>
      <w:r w:rsidR="00783F14">
        <w:t>previous</w:t>
      </w:r>
      <w:r w:rsidR="00783F14" w:rsidRPr="00216B1C">
        <w:t xml:space="preserve"> </w:t>
      </w:r>
      <w:r w:rsidR="004F4983">
        <w:t>CV</w:t>
      </w:r>
      <w:r w:rsidR="004F4983" w:rsidRPr="00216B1C">
        <w:t xml:space="preserve"> </w:t>
      </w:r>
      <w:r w:rsidR="009124BD" w:rsidRPr="00216B1C">
        <w:t>event status with treatment as an explanatory variable</w:t>
      </w:r>
      <w:r w:rsidR="009124BD">
        <w:t xml:space="preserve">, and </w:t>
      </w:r>
      <w:r w:rsidR="009124BD" w:rsidRPr="00216B1C">
        <w:t>Kaplan-Meier event rates were calculated.</w:t>
      </w:r>
      <w:r w:rsidR="002741D3">
        <w:t xml:space="preserve"> Only adjudicated, confirmed outcomes were included in the analysis.</w:t>
      </w:r>
    </w:p>
    <w:p w14:paraId="6CF6E4D9" w14:textId="7BE49248" w:rsidR="00DA6F7C" w:rsidRPr="00DA6F7C" w:rsidRDefault="00C15120" w:rsidP="00FC2D2F">
      <w:pPr>
        <w:rPr>
          <w:rFonts w:cstheme="minorHAnsi"/>
        </w:rPr>
      </w:pPr>
      <w:r>
        <w:t>H</w:t>
      </w:r>
      <w:r w:rsidR="00744B3E">
        <w:t>azard ratio</w:t>
      </w:r>
      <w:r w:rsidR="00406B66">
        <w:t>s</w:t>
      </w:r>
      <w:r w:rsidR="00744B3E">
        <w:t xml:space="preserve"> and 95% CI</w:t>
      </w:r>
      <w:r>
        <w:t>s</w:t>
      </w:r>
      <w:r w:rsidR="00744B3E">
        <w:t xml:space="preserve"> for </w:t>
      </w:r>
      <w:r w:rsidR="00406B66">
        <w:t>CV efficacy</w:t>
      </w:r>
      <w:r w:rsidR="00744B3E">
        <w:t xml:space="preserve"> </w:t>
      </w:r>
      <w:r>
        <w:t xml:space="preserve">outcomes </w:t>
      </w:r>
      <w:r w:rsidR="00744B3E">
        <w:t>were synthesized using a</w:t>
      </w:r>
      <w:r w:rsidR="00FC2D2F">
        <w:t xml:space="preserve"> random effects model meta-analysis. Heterogeneity of treatment effects </w:t>
      </w:r>
      <w:r w:rsidR="00542FA6">
        <w:t xml:space="preserve">between </w:t>
      </w:r>
      <w:r w:rsidR="00FC2D2F">
        <w:t xml:space="preserve">trials was assessed using the </w:t>
      </w:r>
      <w:r w:rsidR="007A4B40">
        <w:t>I</w:t>
      </w:r>
      <w:r w:rsidR="007A4B40" w:rsidRPr="00383859">
        <w:rPr>
          <w:vertAlign w:val="superscript"/>
        </w:rPr>
        <w:t>2</w:t>
      </w:r>
      <w:r w:rsidR="007A4B40">
        <w:t xml:space="preserve"> index and the </w:t>
      </w:r>
      <w:r w:rsidR="00FC2D2F">
        <w:t>Cochran Q test</w:t>
      </w:r>
      <w:r w:rsidR="007A4B40">
        <w:t xml:space="preserve">, with </w:t>
      </w:r>
      <w:r w:rsidR="00760035">
        <w:t>p</w:t>
      </w:r>
      <w:r w:rsidR="00D479D8">
        <w:t>&lt;0</w:t>
      </w:r>
      <w:r w:rsidR="009A5DD1">
        <w:t>·</w:t>
      </w:r>
      <w:r w:rsidR="00D479D8">
        <w:t>05</w:t>
      </w:r>
      <w:r w:rsidR="00760035">
        <w:t xml:space="preserve"> for the </w:t>
      </w:r>
      <w:r w:rsidR="006174B4">
        <w:t>latter representing</w:t>
      </w:r>
      <w:r w:rsidR="00760035">
        <w:t xml:space="preserve"> significant heterogeneity.</w:t>
      </w:r>
      <w:r w:rsidR="00512A96">
        <w:t xml:space="preserve"> </w:t>
      </w:r>
      <w:r w:rsidR="00783911">
        <w:t>I</w:t>
      </w:r>
      <w:r w:rsidR="00783911" w:rsidRPr="00DA6F7C">
        <w:rPr>
          <w:vertAlign w:val="superscript"/>
        </w:rPr>
        <w:t>2</w:t>
      </w:r>
      <w:r w:rsidR="00783911">
        <w:t xml:space="preserve"> index</w:t>
      </w:r>
      <w:r w:rsidR="00783911" w:rsidDel="00783911">
        <w:t xml:space="preserve"> </w:t>
      </w:r>
      <w:r w:rsidR="00783911">
        <w:t>t</w:t>
      </w:r>
      <w:r w:rsidR="00760035">
        <w:t xml:space="preserve">hresholds </w:t>
      </w:r>
      <w:r w:rsidR="006F135D">
        <w:t xml:space="preserve">describing </w:t>
      </w:r>
      <w:r w:rsidR="00DA6F7C">
        <w:t xml:space="preserve">the </w:t>
      </w:r>
      <w:r w:rsidR="00783911">
        <w:t xml:space="preserve">degree </w:t>
      </w:r>
      <w:r w:rsidR="00760035">
        <w:t>of heterogeneity</w:t>
      </w:r>
      <w:r w:rsidR="00783911">
        <w:t xml:space="preserve">, </w:t>
      </w:r>
      <w:r w:rsidR="00760035">
        <w:t>as defined by Huedo et al.</w:t>
      </w:r>
      <w:r w:rsidR="002F33FB">
        <w:t>,</w:t>
      </w:r>
      <w:r w:rsidR="00F8519F">
        <w:rPr>
          <w:vertAlign w:val="superscript"/>
        </w:rPr>
        <w:t>8</w:t>
      </w:r>
      <w:r w:rsidR="00783911">
        <w:t xml:space="preserve"> </w:t>
      </w:r>
      <w:r w:rsidR="006F135D">
        <w:t xml:space="preserve">are </w:t>
      </w:r>
      <w:r w:rsidR="00760035">
        <w:rPr>
          <w:rFonts w:cstheme="minorHAnsi"/>
        </w:rPr>
        <w:t>≤</w:t>
      </w:r>
      <w:r w:rsidR="00760035">
        <w:t>25%</w:t>
      </w:r>
      <w:r w:rsidR="006F135D">
        <w:t xml:space="preserve"> (low)</w:t>
      </w:r>
      <w:r w:rsidR="00760035">
        <w:t>, 26-50%</w:t>
      </w:r>
      <w:r w:rsidR="006F135D">
        <w:t xml:space="preserve"> (moderate)</w:t>
      </w:r>
      <w:r w:rsidR="00760035">
        <w:t xml:space="preserve">, </w:t>
      </w:r>
      <w:r w:rsidR="00783911">
        <w:t xml:space="preserve">and </w:t>
      </w:r>
      <w:r w:rsidR="00760035">
        <w:rPr>
          <w:rFonts w:cstheme="minorHAnsi"/>
        </w:rPr>
        <w:t>&gt;50%</w:t>
      </w:r>
      <w:r w:rsidR="006F135D">
        <w:rPr>
          <w:rFonts w:cstheme="minorHAnsi"/>
        </w:rPr>
        <w:t xml:space="preserve"> (</w:t>
      </w:r>
      <w:r w:rsidR="006F135D">
        <w:t>high)</w:t>
      </w:r>
      <w:r w:rsidR="00760035">
        <w:rPr>
          <w:rFonts w:cstheme="minorHAnsi"/>
        </w:rPr>
        <w:t>.</w:t>
      </w:r>
    </w:p>
    <w:p w14:paraId="56B6506B" w14:textId="77777777" w:rsidR="00FC2D2F" w:rsidRPr="00FC2D2F" w:rsidRDefault="00FC2D2F" w:rsidP="00FC2D2F">
      <w:pPr>
        <w:rPr>
          <w:i/>
        </w:rPr>
      </w:pPr>
      <w:r w:rsidRPr="00FC2D2F">
        <w:rPr>
          <w:i/>
        </w:rPr>
        <w:t xml:space="preserve">Safety outcomes </w:t>
      </w:r>
    </w:p>
    <w:p w14:paraId="2B37EED1" w14:textId="28D5A6C1" w:rsidR="0026775E" w:rsidRDefault="00790887" w:rsidP="0026775E">
      <w:r>
        <w:t>The p</w:t>
      </w:r>
      <w:r w:rsidR="00BF6C03">
        <w:t xml:space="preserve">respecified safety </w:t>
      </w:r>
      <w:r w:rsidR="0045140B">
        <w:t>outcome</w:t>
      </w:r>
      <w:r w:rsidR="006A5591">
        <w:t xml:space="preserve">s of interest were </w:t>
      </w:r>
      <w:r w:rsidR="00D161D3">
        <w:t xml:space="preserve">severe hypoglycaemia, </w:t>
      </w:r>
      <w:r w:rsidR="00BF6C03">
        <w:t xml:space="preserve">acute </w:t>
      </w:r>
      <w:r w:rsidR="0045140B">
        <w:t>pancreatitis, pancreatic c</w:t>
      </w:r>
      <w:r w:rsidR="00D161D3">
        <w:t>ancer</w:t>
      </w:r>
      <w:r w:rsidR="00783F14">
        <w:t>,</w:t>
      </w:r>
      <w:r w:rsidR="00BF6C03">
        <w:t xml:space="preserve"> and </w:t>
      </w:r>
      <w:r w:rsidR="00D161D3">
        <w:t>medullary thyroid cancer.</w:t>
      </w:r>
      <w:r w:rsidR="0045140B">
        <w:t xml:space="preserve"> </w:t>
      </w:r>
      <w:r w:rsidR="003905B2">
        <w:t xml:space="preserve">Event </w:t>
      </w:r>
      <w:r w:rsidR="00D17957">
        <w:t xml:space="preserve">definitions used </w:t>
      </w:r>
      <w:r w:rsidR="00CC23BD">
        <w:t xml:space="preserve">in </w:t>
      </w:r>
      <w:r w:rsidR="00537AF4">
        <w:t xml:space="preserve">each trial are listed in the Supplementary </w:t>
      </w:r>
      <w:r w:rsidR="00DA6F7C">
        <w:t xml:space="preserve">Materials </w:t>
      </w:r>
      <w:r w:rsidR="00537AF4">
        <w:t>(</w:t>
      </w:r>
      <w:r w:rsidR="00EB733E">
        <w:t xml:space="preserve">supplementary table </w:t>
      </w:r>
      <w:r w:rsidR="004274AC">
        <w:t>S</w:t>
      </w:r>
      <w:r w:rsidR="00DA6F7C">
        <w:t>1</w:t>
      </w:r>
      <w:r w:rsidR="00537AF4">
        <w:t>)</w:t>
      </w:r>
      <w:r w:rsidR="002741D3">
        <w:t xml:space="preserve"> and include adjudicated, confirmed outcomes, with the exception of severe hypoglycaemia (unadjudicated in all identified trials) and non-pancreatic neoplasms (unadjudicated in ELIXA)</w:t>
      </w:r>
      <w:r w:rsidR="00537AF4">
        <w:t>.</w:t>
      </w:r>
      <w:r w:rsidR="00512A96">
        <w:t xml:space="preserve"> </w:t>
      </w:r>
      <w:r w:rsidR="0026775E">
        <w:t xml:space="preserve">A random effects model meta-analysis was performed </w:t>
      </w:r>
      <w:r w:rsidR="00754F5C">
        <w:t>on the</w:t>
      </w:r>
      <w:r w:rsidR="00D97C2D">
        <w:t xml:space="preserve"> safety</w:t>
      </w:r>
      <w:r w:rsidR="0026775E">
        <w:t xml:space="preserve"> outcome</w:t>
      </w:r>
      <w:r w:rsidR="0053031E">
        <w:t xml:space="preserve"> </w:t>
      </w:r>
      <w:r w:rsidR="0026775E">
        <w:t xml:space="preserve">event numbers </w:t>
      </w:r>
      <w:r w:rsidR="00754F5C">
        <w:t xml:space="preserve">to </w:t>
      </w:r>
      <w:r w:rsidR="0026775E">
        <w:t>produce an overall</w:t>
      </w:r>
      <w:r w:rsidR="00FB2F3C">
        <w:t xml:space="preserve"> odds ratio (</w:t>
      </w:r>
      <w:r w:rsidR="0026775E">
        <w:t>OR</w:t>
      </w:r>
      <w:r w:rsidR="00FB2F3C">
        <w:t>)</w:t>
      </w:r>
      <w:r w:rsidR="0026775E">
        <w:t xml:space="preserve"> and 95% CI. </w:t>
      </w:r>
      <w:r w:rsidR="001A1798" w:rsidRPr="001A1798">
        <w:t xml:space="preserve"> Inverse variance weights were applied to log-odds ratio estimates from individual trials to obtain the weighted mean log-odds ratio estimate, which was then expone</w:t>
      </w:r>
      <w:r w:rsidR="001A1798">
        <w:t xml:space="preserve">ntiated to obtain the </w:t>
      </w:r>
      <w:r w:rsidR="001A1798" w:rsidRPr="001A1798">
        <w:t>overall OR estimate.</w:t>
      </w:r>
      <w:r w:rsidR="001A1798">
        <w:t xml:space="preserve"> </w:t>
      </w:r>
      <w:r w:rsidR="0026775E">
        <w:t xml:space="preserve">Heterogeneity of treatment effects across the trials was assessed using the </w:t>
      </w:r>
      <w:r w:rsidR="005F461F">
        <w:t>I</w:t>
      </w:r>
      <w:r w:rsidR="005F461F" w:rsidRPr="00383859">
        <w:rPr>
          <w:vertAlign w:val="superscript"/>
        </w:rPr>
        <w:t>2</w:t>
      </w:r>
      <w:r w:rsidR="005F461F">
        <w:t xml:space="preserve"> index and the </w:t>
      </w:r>
      <w:r w:rsidR="0026775E">
        <w:t>Cochran Q test.</w:t>
      </w:r>
      <w:r w:rsidR="005F461F" w:rsidRPr="005F461F">
        <w:t xml:space="preserve"> </w:t>
      </w:r>
      <w:r w:rsidR="001D764A">
        <w:t>A</w:t>
      </w:r>
      <w:r w:rsidR="005F461F" w:rsidRPr="0053031E">
        <w:t>n analysis accounting for the different</w:t>
      </w:r>
      <w:r w:rsidR="005F461F">
        <w:t xml:space="preserve">ial follow-up </w:t>
      </w:r>
      <w:r w:rsidR="001D764A">
        <w:t xml:space="preserve">times </w:t>
      </w:r>
      <w:r w:rsidR="005F461F">
        <w:t>between trials was not possible</w:t>
      </w:r>
      <w:r w:rsidR="001D764A" w:rsidRPr="001D764A">
        <w:t xml:space="preserve"> </w:t>
      </w:r>
      <w:r w:rsidR="001D764A">
        <w:t>as</w:t>
      </w:r>
      <w:r w:rsidR="001D764A" w:rsidRPr="0053031E">
        <w:t xml:space="preserve"> </w:t>
      </w:r>
      <w:r w:rsidR="001D764A">
        <w:t xml:space="preserve">safety outcome </w:t>
      </w:r>
      <w:r w:rsidR="001D764A" w:rsidRPr="0053031E">
        <w:t xml:space="preserve">HRs could not be obtained </w:t>
      </w:r>
      <w:r w:rsidR="001D764A">
        <w:t>in all cases</w:t>
      </w:r>
      <w:r w:rsidR="005F461F">
        <w:t>.</w:t>
      </w:r>
    </w:p>
    <w:p w14:paraId="1BD18884" w14:textId="77777777" w:rsidR="0045140B" w:rsidRDefault="00701CEB" w:rsidP="00B31A16">
      <w:r>
        <w:t>All analyses</w:t>
      </w:r>
      <w:r w:rsidRPr="00B377BC">
        <w:t xml:space="preserve"> </w:t>
      </w:r>
      <w:r>
        <w:t xml:space="preserve">were performed using </w:t>
      </w:r>
      <w:r w:rsidR="0026775E" w:rsidRPr="00B377BC">
        <w:t>Comprehensive Meta Analysis version 2</w:t>
      </w:r>
      <w:r w:rsidR="009A5DD1">
        <w:t>·</w:t>
      </w:r>
      <w:r w:rsidR="0026775E" w:rsidRPr="00B377BC">
        <w:t>0</w:t>
      </w:r>
      <w:r w:rsidR="0026775E">
        <w:rPr>
          <w:i/>
        </w:rPr>
        <w:t xml:space="preserve"> </w:t>
      </w:r>
      <w:r w:rsidR="0026775E" w:rsidRPr="00B377BC">
        <w:t>(Biostat, Inc., Englewood, NJ)</w:t>
      </w:r>
      <w:r w:rsidR="0026775E">
        <w:t xml:space="preserve"> software.</w:t>
      </w:r>
    </w:p>
    <w:p w14:paraId="506EF975" w14:textId="77777777" w:rsidR="00F87A15" w:rsidRDefault="00F87A15" w:rsidP="004F4BA8">
      <w:pPr>
        <w:keepNext/>
        <w:rPr>
          <w:i/>
        </w:rPr>
      </w:pPr>
      <w:r>
        <w:rPr>
          <w:i/>
        </w:rPr>
        <w:t>Role of the funding source</w:t>
      </w:r>
    </w:p>
    <w:p w14:paraId="54BCF018" w14:textId="548375CA" w:rsidR="00512A96" w:rsidRDefault="007438E7" w:rsidP="00B31A16">
      <w:pPr>
        <w:rPr>
          <w:b/>
        </w:rPr>
      </w:pPr>
      <w:r w:rsidRPr="007438E7">
        <w:rPr>
          <w:lang w:val="en-US"/>
        </w:rPr>
        <w:t xml:space="preserve">The study was designed by the trial </w:t>
      </w:r>
      <w:r w:rsidR="005105D2">
        <w:rPr>
          <w:lang w:val="en-US"/>
        </w:rPr>
        <w:t>Executive</w:t>
      </w:r>
      <w:r w:rsidR="005105D2" w:rsidRPr="007438E7">
        <w:rPr>
          <w:lang w:val="en-US"/>
        </w:rPr>
        <w:t xml:space="preserve"> Committee</w:t>
      </w:r>
      <w:r w:rsidRPr="007438E7">
        <w:rPr>
          <w:lang w:val="en-US"/>
        </w:rPr>
        <w:t>,</w:t>
      </w:r>
      <w:r>
        <w:rPr>
          <w:lang w:val="en-US"/>
        </w:rPr>
        <w:t xml:space="preserve"> </w:t>
      </w:r>
      <w:r w:rsidRPr="007438E7">
        <w:rPr>
          <w:lang w:val="en-US"/>
        </w:rPr>
        <w:t>two members of which were employed by the study</w:t>
      </w:r>
      <w:r>
        <w:rPr>
          <w:lang w:val="en-US"/>
        </w:rPr>
        <w:t xml:space="preserve"> </w:t>
      </w:r>
      <w:r w:rsidRPr="007438E7">
        <w:rPr>
          <w:lang w:val="en-US"/>
        </w:rPr>
        <w:t>funder. The funder of the study had no role in data</w:t>
      </w:r>
      <w:r>
        <w:rPr>
          <w:lang w:val="en-US"/>
        </w:rPr>
        <w:t xml:space="preserve"> </w:t>
      </w:r>
      <w:r w:rsidRPr="007438E7">
        <w:rPr>
          <w:lang w:val="en-US"/>
        </w:rPr>
        <w:t>collection</w:t>
      </w:r>
      <w:r w:rsidR="00585DF1">
        <w:rPr>
          <w:lang w:val="en-US"/>
        </w:rPr>
        <w:t xml:space="preserve"> or</w:t>
      </w:r>
      <w:r w:rsidRPr="007438E7">
        <w:rPr>
          <w:lang w:val="en-US"/>
        </w:rPr>
        <w:t xml:space="preserve"> data analysis</w:t>
      </w:r>
      <w:r w:rsidR="00585DF1">
        <w:rPr>
          <w:lang w:val="en-US"/>
        </w:rPr>
        <w:t xml:space="preserve">.  </w:t>
      </w:r>
      <w:r w:rsidRPr="007438E7">
        <w:rPr>
          <w:lang w:val="en-US"/>
        </w:rPr>
        <w:t xml:space="preserve">All analyses were </w:t>
      </w:r>
      <w:r w:rsidR="00B367F2" w:rsidRPr="00E21ED0">
        <w:rPr>
          <w:lang w:val="en-US"/>
        </w:rPr>
        <w:t xml:space="preserve">performed </w:t>
      </w:r>
      <w:r w:rsidRPr="007438E7">
        <w:rPr>
          <w:lang w:val="en-US"/>
        </w:rPr>
        <w:t xml:space="preserve">independently by </w:t>
      </w:r>
      <w:r w:rsidR="00B367F2" w:rsidRPr="00E21ED0">
        <w:rPr>
          <w:lang w:val="en-US"/>
        </w:rPr>
        <w:t>the Duke Clinical Research Institute</w:t>
      </w:r>
      <w:r w:rsidR="00B367F2">
        <w:rPr>
          <w:lang w:val="en-US"/>
        </w:rPr>
        <w:t xml:space="preserve">. RAP and </w:t>
      </w:r>
      <w:r w:rsidRPr="007438E7">
        <w:rPr>
          <w:lang w:val="en-US"/>
        </w:rPr>
        <w:t>RRH had full access to the raw trial data.</w:t>
      </w:r>
      <w:r>
        <w:rPr>
          <w:lang w:val="en-US"/>
        </w:rPr>
        <w:t xml:space="preserve"> </w:t>
      </w:r>
      <w:r w:rsidR="005105D2" w:rsidRPr="00E21ED0">
        <w:rPr>
          <w:lang w:val="en-US"/>
        </w:rPr>
        <w:t>The manuscript was drafted and revised by the authors in accordance with ICJME standards for authorship.</w:t>
      </w:r>
      <w:r w:rsidR="005105D2">
        <w:rPr>
          <w:lang w:val="en-US"/>
        </w:rPr>
        <w:t xml:space="preserve"> </w:t>
      </w:r>
      <w:r w:rsidRPr="007438E7">
        <w:rPr>
          <w:lang w:val="en-US"/>
        </w:rPr>
        <w:t>The corresponding author had full access to all the data</w:t>
      </w:r>
      <w:r>
        <w:rPr>
          <w:lang w:val="en-US"/>
        </w:rPr>
        <w:t xml:space="preserve"> </w:t>
      </w:r>
      <w:r w:rsidRPr="007438E7">
        <w:rPr>
          <w:lang w:val="en-US"/>
        </w:rPr>
        <w:t>in the study</w:t>
      </w:r>
      <w:r w:rsidR="00B367F2">
        <w:rPr>
          <w:lang w:val="en-US"/>
        </w:rPr>
        <w:t>,</w:t>
      </w:r>
      <w:r w:rsidRPr="007438E7">
        <w:rPr>
          <w:lang w:val="en-US"/>
        </w:rPr>
        <w:t xml:space="preserve"> and had final </w:t>
      </w:r>
      <w:r>
        <w:rPr>
          <w:lang w:val="en-US"/>
        </w:rPr>
        <w:t>r</w:t>
      </w:r>
      <w:r w:rsidRPr="007438E7">
        <w:rPr>
          <w:lang w:val="en-US"/>
        </w:rPr>
        <w:t>esponsibility for the decision</w:t>
      </w:r>
      <w:r>
        <w:rPr>
          <w:lang w:val="en-US"/>
        </w:rPr>
        <w:t xml:space="preserve"> </w:t>
      </w:r>
      <w:r w:rsidRPr="007438E7">
        <w:rPr>
          <w:lang w:val="en-US"/>
        </w:rPr>
        <w:t>to submit for publication.</w:t>
      </w:r>
      <w:r w:rsidR="00E21ED0" w:rsidRPr="00E21ED0">
        <w:rPr>
          <w:lang w:val="en-US"/>
        </w:rPr>
        <w:t xml:space="preserve"> </w:t>
      </w:r>
    </w:p>
    <w:p w14:paraId="6F53B85C" w14:textId="77777777" w:rsidR="00B31A16" w:rsidRDefault="00B31A16" w:rsidP="004613D3">
      <w:pPr>
        <w:keepNext/>
        <w:rPr>
          <w:b/>
        </w:rPr>
      </w:pPr>
      <w:r>
        <w:rPr>
          <w:b/>
        </w:rPr>
        <w:t>Results</w:t>
      </w:r>
    </w:p>
    <w:p w14:paraId="79D493FC" w14:textId="1D613A81" w:rsidR="00B31A16" w:rsidRPr="006174B4" w:rsidRDefault="00650559" w:rsidP="004613D3">
      <w:pPr>
        <w:keepNext/>
        <w:rPr>
          <w:i/>
        </w:rPr>
      </w:pPr>
      <w:r w:rsidRPr="006174B4">
        <w:rPr>
          <w:i/>
        </w:rPr>
        <w:t>T</w:t>
      </w:r>
      <w:r w:rsidR="00B31A16" w:rsidRPr="006174B4">
        <w:rPr>
          <w:i/>
        </w:rPr>
        <w:t>rial</w:t>
      </w:r>
      <w:r w:rsidRPr="006174B4">
        <w:rPr>
          <w:i/>
        </w:rPr>
        <w:t xml:space="preserve"> </w:t>
      </w:r>
      <w:r w:rsidR="005105D2" w:rsidRPr="006174B4">
        <w:rPr>
          <w:i/>
        </w:rPr>
        <w:t>characteristics</w:t>
      </w:r>
    </w:p>
    <w:p w14:paraId="6B3E2068" w14:textId="6E941F55" w:rsidR="00CD75D8" w:rsidRDefault="00C51F61">
      <w:r>
        <w:t>Four trials were identified</w:t>
      </w:r>
      <w:r w:rsidR="00600E1E">
        <w:t xml:space="preserve"> (figure 1)</w:t>
      </w:r>
      <w:r>
        <w:t>: ELIXA compared lixisenatide (up to a maximum dose of 20 μg per day) with placebo in 6068 post-acute coronary syndrome patients with diabetes and mean HbA</w:t>
      </w:r>
      <w:r w:rsidRPr="00AE07BD">
        <w:rPr>
          <w:vertAlign w:val="subscript"/>
        </w:rPr>
        <w:t>1c</w:t>
      </w:r>
      <w:r>
        <w:t xml:space="preserve"> of 7·7%, followed for a median of 2·1 years. LEADER compared </w:t>
      </w:r>
      <w:r w:rsidRPr="00654BC3">
        <w:t xml:space="preserve">liraglutide </w:t>
      </w:r>
      <w:r>
        <w:t>1·8 mg per day with</w:t>
      </w:r>
      <w:r w:rsidRPr="00654BC3">
        <w:t xml:space="preserve"> placebo</w:t>
      </w:r>
      <w:r>
        <w:t xml:space="preserve"> in</w:t>
      </w:r>
      <w:r w:rsidRPr="00654BC3">
        <w:t xml:space="preserve"> </w:t>
      </w:r>
      <w:r>
        <w:t xml:space="preserve">9340 </w:t>
      </w:r>
      <w:r w:rsidRPr="00654BC3">
        <w:t xml:space="preserve">patients with established </w:t>
      </w:r>
      <w:r>
        <w:t>CV</w:t>
      </w:r>
      <w:r w:rsidRPr="00654BC3">
        <w:t xml:space="preserve"> disease (81%) or </w:t>
      </w:r>
      <w:r>
        <w:t>CV</w:t>
      </w:r>
      <w:r w:rsidRPr="00654BC3">
        <w:t xml:space="preserve"> risk factors and </w:t>
      </w:r>
      <w:r>
        <w:t xml:space="preserve">mean </w:t>
      </w:r>
      <w:r w:rsidRPr="00654BC3">
        <w:t>HbA</w:t>
      </w:r>
      <w:r w:rsidRPr="003F5F41">
        <w:rPr>
          <w:vertAlign w:val="subscript"/>
        </w:rPr>
        <w:t>1c</w:t>
      </w:r>
      <w:r>
        <w:t xml:space="preserve"> of 8·7%, followed for a median of 3·8 years. SUSTAIN-6 compared </w:t>
      </w:r>
      <w:r w:rsidRPr="00882C8B">
        <w:t>semaglutide</w:t>
      </w:r>
      <w:r>
        <w:t xml:space="preserve"> (0·5 mg or 1·0 mg per day</w:t>
      </w:r>
      <w:r w:rsidRPr="00905C76">
        <w:t>)</w:t>
      </w:r>
      <w:r w:rsidRPr="00882C8B">
        <w:t xml:space="preserve"> </w:t>
      </w:r>
      <w:r>
        <w:t>with</w:t>
      </w:r>
      <w:r w:rsidRPr="00882C8B">
        <w:t xml:space="preserve"> placebo </w:t>
      </w:r>
      <w:r>
        <w:t xml:space="preserve">in 3297 </w:t>
      </w:r>
      <w:r w:rsidRPr="00882C8B">
        <w:t xml:space="preserve">patients with established </w:t>
      </w:r>
      <w:r>
        <w:t>CV</w:t>
      </w:r>
      <w:r w:rsidRPr="00882C8B">
        <w:t xml:space="preserve"> disease (83%) or </w:t>
      </w:r>
      <w:r>
        <w:t>CV risk factors and mean HbA</w:t>
      </w:r>
      <w:r w:rsidRPr="003F5F41">
        <w:rPr>
          <w:vertAlign w:val="subscript"/>
        </w:rPr>
        <w:t>1c</w:t>
      </w:r>
      <w:r>
        <w:t xml:space="preserve"> of 8·7%, followed for a median of 2·1 years. EXSCEL compared once-weekly exenatide (2 mg) with placebo in 14,752 </w:t>
      </w:r>
      <w:r w:rsidRPr="00654BC3">
        <w:t>patients with establ</w:t>
      </w:r>
      <w:r>
        <w:t>ished CV disease (73</w:t>
      </w:r>
      <w:r w:rsidRPr="00654BC3">
        <w:t xml:space="preserve">%) </w:t>
      </w:r>
      <w:r>
        <w:t>or without previous CV events and median HbA</w:t>
      </w:r>
      <w:r w:rsidRPr="003F5F41">
        <w:rPr>
          <w:vertAlign w:val="subscript"/>
        </w:rPr>
        <w:t>1c</w:t>
      </w:r>
      <w:r>
        <w:t xml:space="preserve"> of 8·0</w:t>
      </w:r>
      <w:r w:rsidRPr="00654BC3">
        <w:t>%</w:t>
      </w:r>
      <w:r>
        <w:t>, followed for a median follow-up of 3·2 years</w:t>
      </w:r>
      <w:r w:rsidRPr="002F33FB">
        <w:rPr>
          <w:vertAlign w:val="superscript"/>
        </w:rPr>
        <w:t>3-6</w:t>
      </w:r>
      <w:r w:rsidR="00720B41">
        <w:rPr>
          <w:vertAlign w:val="superscript"/>
        </w:rPr>
        <w:t xml:space="preserve"> </w:t>
      </w:r>
      <w:r w:rsidR="00853CB1">
        <w:t>(</w:t>
      </w:r>
      <w:r w:rsidR="00CC588A">
        <w:t xml:space="preserve">table </w:t>
      </w:r>
      <w:r w:rsidR="009478E5">
        <w:t>1)</w:t>
      </w:r>
      <w:r w:rsidR="00853CB1">
        <w:t>.</w:t>
      </w:r>
      <w:r w:rsidR="00D70C53">
        <w:t xml:space="preserve"> Each of the four included trials had a</w:t>
      </w:r>
      <w:r w:rsidR="00A6276D">
        <w:t xml:space="preserve"> calculated</w:t>
      </w:r>
      <w:r w:rsidR="00D70C53">
        <w:t xml:space="preserve"> Jadad score of 5</w:t>
      </w:r>
      <w:r w:rsidR="00A6276D">
        <w:t>, suggestive of a high level of methodological quality</w:t>
      </w:r>
      <w:r w:rsidR="00D70C53">
        <w:t>.</w:t>
      </w:r>
      <w:r>
        <w:t xml:space="preserve"> The primary outcome for LEADER, SUSTAIN-6, and EXSCEL was a 3-point MACE, whilst ELIXA used a 4-point MACE that added hospital admission for unstable angina to the 3-point MACE components. </w:t>
      </w:r>
      <w:r w:rsidR="001E31A2">
        <w:t>Key</w:t>
      </w:r>
      <w:r w:rsidR="004269EC">
        <w:t xml:space="preserve"> </w:t>
      </w:r>
      <w:r w:rsidR="001E31A2">
        <w:t>trial design feature</w:t>
      </w:r>
      <w:r w:rsidR="00563461">
        <w:t>s</w:t>
      </w:r>
      <w:r w:rsidR="001E31A2">
        <w:t xml:space="preserve"> and patient characteristics </w:t>
      </w:r>
      <w:r w:rsidR="004269EC">
        <w:t xml:space="preserve">are </w:t>
      </w:r>
      <w:r w:rsidR="001E31A2">
        <w:t>listed</w:t>
      </w:r>
      <w:r w:rsidR="004269EC">
        <w:t xml:space="preserve"> in Table 1.</w:t>
      </w:r>
      <w:r w:rsidR="00723ECE">
        <w:t xml:space="preserve"> The p</w:t>
      </w:r>
      <w:r w:rsidR="00D64F81">
        <w:t>opulation</w:t>
      </w:r>
      <w:r w:rsidR="001B232A">
        <w:t>s</w:t>
      </w:r>
      <w:r w:rsidR="00D64F81">
        <w:t xml:space="preserve"> studied ranged </w:t>
      </w:r>
      <w:r w:rsidR="00723ECE">
        <w:t xml:space="preserve">in size </w:t>
      </w:r>
      <w:r w:rsidR="00D64F81">
        <w:t xml:space="preserve">from </w:t>
      </w:r>
      <w:r w:rsidR="00723ECE">
        <w:t>3297 (SUSTAIN</w:t>
      </w:r>
      <w:r w:rsidR="00360031">
        <w:t>-</w:t>
      </w:r>
      <w:r w:rsidR="00723ECE">
        <w:t>6) to 14</w:t>
      </w:r>
      <w:r w:rsidR="00933CCF">
        <w:t>,</w:t>
      </w:r>
      <w:r w:rsidR="00723ECE">
        <w:t xml:space="preserve">752 (EXSCEL) patients, </w:t>
      </w:r>
      <w:r w:rsidR="00990F44">
        <w:t>were of similar age (60–65 years)</w:t>
      </w:r>
      <w:r w:rsidR="00D64EA3">
        <w:t>,</w:t>
      </w:r>
      <w:r w:rsidR="00990F44">
        <w:t xml:space="preserve"> and </w:t>
      </w:r>
      <w:r w:rsidR="00D64EA3">
        <w:t>were primarily male</w:t>
      </w:r>
      <w:r w:rsidR="00990F44">
        <w:t xml:space="preserve"> (61–70%) and White (75–83%). Mean diabetes duration varied between 9</w:t>
      </w:r>
      <w:r w:rsidR="009A5DD1">
        <w:t>·</w:t>
      </w:r>
      <w:r w:rsidR="00990F44">
        <w:t xml:space="preserve">3 and </w:t>
      </w:r>
      <w:r w:rsidR="00271F5E">
        <w:t>13</w:t>
      </w:r>
      <w:r w:rsidR="009A5DD1">
        <w:t>·</w:t>
      </w:r>
      <w:r w:rsidR="00271F5E">
        <w:t>9</w:t>
      </w:r>
      <w:r w:rsidR="00990F44">
        <w:t xml:space="preserve"> years, </w:t>
      </w:r>
      <w:r w:rsidR="00933CCF">
        <w:t>and</w:t>
      </w:r>
      <w:r w:rsidR="00990F44">
        <w:t xml:space="preserve"> mean baseline H</w:t>
      </w:r>
      <w:r w:rsidR="00CE0207">
        <w:t>bA</w:t>
      </w:r>
      <w:r w:rsidR="00CE0207" w:rsidRPr="006174B4">
        <w:rPr>
          <w:vertAlign w:val="subscript"/>
        </w:rPr>
        <w:t>1c</w:t>
      </w:r>
      <w:r w:rsidR="00CE0207">
        <w:t xml:space="preserve"> </w:t>
      </w:r>
      <w:r w:rsidR="00933CCF">
        <w:t xml:space="preserve">ranged from </w:t>
      </w:r>
      <w:r w:rsidR="00CE0207">
        <w:t>7</w:t>
      </w:r>
      <w:r w:rsidR="009A5DD1">
        <w:t>·</w:t>
      </w:r>
      <w:r w:rsidR="00CE0207">
        <w:t>7</w:t>
      </w:r>
      <w:r w:rsidR="00933CCF">
        <w:t xml:space="preserve"> to </w:t>
      </w:r>
      <w:r w:rsidR="00CE0207">
        <w:t>8</w:t>
      </w:r>
      <w:r w:rsidR="009A5DD1">
        <w:t>·</w:t>
      </w:r>
      <w:r w:rsidR="00CE0207">
        <w:t xml:space="preserve">7%. The </w:t>
      </w:r>
      <w:r w:rsidR="00757C3D">
        <w:t>m</w:t>
      </w:r>
      <w:r w:rsidR="00CE0207">
        <w:t>edian d</w:t>
      </w:r>
      <w:r w:rsidR="00CE0207" w:rsidRPr="003F5F41">
        <w:t>uration of follow</w:t>
      </w:r>
      <w:r w:rsidR="009A5DD1">
        <w:t>-</w:t>
      </w:r>
      <w:r w:rsidR="00CE0207" w:rsidRPr="003F5F41">
        <w:t>up</w:t>
      </w:r>
      <w:r w:rsidR="00CE0207">
        <w:t xml:space="preserve"> ranged from 2</w:t>
      </w:r>
      <w:r w:rsidR="009A5DD1">
        <w:t>·</w:t>
      </w:r>
      <w:r w:rsidR="00CE0207">
        <w:t>1 to 3</w:t>
      </w:r>
      <w:r w:rsidR="009A5DD1">
        <w:t>·</w:t>
      </w:r>
      <w:r w:rsidR="00CE0207">
        <w:t xml:space="preserve">8 years, </w:t>
      </w:r>
      <w:r w:rsidR="00723ECE">
        <w:t>with the</w:t>
      </w:r>
      <w:r w:rsidR="00CE0207">
        <w:t xml:space="preserve"> number of participants having</w:t>
      </w:r>
      <w:r w:rsidR="00723ECE">
        <w:t xml:space="preserve"> a confirmed primary outcome varying from 254 (SUSTAIN</w:t>
      </w:r>
      <w:r w:rsidR="00D76007">
        <w:t>-</w:t>
      </w:r>
      <w:r w:rsidR="00723ECE">
        <w:t>6) to 1744 (EXSCEL).</w:t>
      </w:r>
    </w:p>
    <w:p w14:paraId="496E2B58" w14:textId="01940CAA" w:rsidR="008771D6" w:rsidRPr="006174B4" w:rsidRDefault="0036454D" w:rsidP="006174B4">
      <w:pPr>
        <w:keepNext/>
        <w:rPr>
          <w:i/>
        </w:rPr>
      </w:pPr>
      <w:r w:rsidRPr="006174B4">
        <w:rPr>
          <w:i/>
        </w:rPr>
        <w:t xml:space="preserve">CV </w:t>
      </w:r>
      <w:r w:rsidR="00CC588A" w:rsidRPr="006174B4">
        <w:rPr>
          <w:i/>
        </w:rPr>
        <w:t>efficacy outcomes</w:t>
      </w:r>
    </w:p>
    <w:p w14:paraId="2281A8A9" w14:textId="574E009A" w:rsidR="00F82870" w:rsidRPr="00F82870" w:rsidRDefault="00595179">
      <w:r>
        <w:t>For MACE-3</w:t>
      </w:r>
      <w:r w:rsidR="00D80C47">
        <w:t>,</w:t>
      </w:r>
      <w:r w:rsidR="00714E5D">
        <w:t xml:space="preserve"> use of GLP-1 </w:t>
      </w:r>
      <w:r w:rsidR="00011049">
        <w:t>RA</w:t>
      </w:r>
      <w:r w:rsidR="00714E5D">
        <w:t xml:space="preserve">s </w:t>
      </w:r>
      <w:r w:rsidR="00D23E22">
        <w:t xml:space="preserve">in </w:t>
      </w:r>
      <w:r w:rsidR="000C7C0D">
        <w:t xml:space="preserve">ELIXA, </w:t>
      </w:r>
      <w:r w:rsidR="00D23E22">
        <w:t>LEADER, SUSTAIN</w:t>
      </w:r>
      <w:r w:rsidR="00D64EA3">
        <w:t>-</w:t>
      </w:r>
      <w:r w:rsidR="00D23E22">
        <w:t>6</w:t>
      </w:r>
      <w:r w:rsidR="00D64EA3">
        <w:t>,</w:t>
      </w:r>
      <w:r w:rsidR="00D23E22">
        <w:t xml:space="preserve"> and EXSCEL </w:t>
      </w:r>
      <w:r w:rsidR="00714E5D">
        <w:t xml:space="preserve">was associated with a </w:t>
      </w:r>
      <w:r w:rsidR="00D23E22">
        <w:t xml:space="preserve">statistically </w:t>
      </w:r>
      <w:r w:rsidR="00944126">
        <w:t xml:space="preserve">significant </w:t>
      </w:r>
      <w:r w:rsidR="00D23E22">
        <w:t>1</w:t>
      </w:r>
      <w:r w:rsidR="008972D9">
        <w:t>0</w:t>
      </w:r>
      <w:r w:rsidR="00D23E22">
        <w:t xml:space="preserve">% relative risk </w:t>
      </w:r>
      <w:r w:rsidR="002A31E2">
        <w:t xml:space="preserve">reduction </w:t>
      </w:r>
      <w:r w:rsidR="00D10E23" w:rsidRPr="00944126">
        <w:t>(HR</w:t>
      </w:r>
      <w:r w:rsidR="008B51EC" w:rsidRPr="00944126">
        <w:t xml:space="preserve"> </w:t>
      </w:r>
      <w:r w:rsidR="00944126" w:rsidRPr="00944126">
        <w:t>0</w:t>
      </w:r>
      <w:r w:rsidR="009A5DD1">
        <w:t>·</w:t>
      </w:r>
      <w:r w:rsidR="008972D9">
        <w:t>90</w:t>
      </w:r>
      <w:r w:rsidR="00944126" w:rsidRPr="00944126">
        <w:t>, 95% CI 0</w:t>
      </w:r>
      <w:r w:rsidR="009A5DD1">
        <w:t>·</w:t>
      </w:r>
      <w:r w:rsidR="00944126" w:rsidRPr="00944126">
        <w:t>8</w:t>
      </w:r>
      <w:r w:rsidR="008972D9">
        <w:t>2</w:t>
      </w:r>
      <w:r w:rsidR="00D23E22">
        <w:t>–</w:t>
      </w:r>
      <w:r w:rsidR="00944126" w:rsidRPr="00944126">
        <w:t>0</w:t>
      </w:r>
      <w:r w:rsidR="009A5DD1">
        <w:t>·</w:t>
      </w:r>
      <w:r w:rsidR="00944126" w:rsidRPr="00944126">
        <w:t>9</w:t>
      </w:r>
      <w:r w:rsidR="008972D9">
        <w:t>9</w:t>
      </w:r>
      <w:r w:rsidR="00944126" w:rsidRPr="00944126">
        <w:t xml:space="preserve">; </w:t>
      </w:r>
      <w:r w:rsidR="00D23E22">
        <w:t>P</w:t>
      </w:r>
      <w:r w:rsidR="00944126" w:rsidRPr="00944126">
        <w:t>=0</w:t>
      </w:r>
      <w:r w:rsidR="009A5DD1">
        <w:t>·</w:t>
      </w:r>
      <w:r w:rsidR="00944126" w:rsidRPr="00944126">
        <w:t>0</w:t>
      </w:r>
      <w:r w:rsidR="008972D9">
        <w:t>33</w:t>
      </w:r>
      <w:r w:rsidR="00D23E22">
        <w:t>,</w:t>
      </w:r>
      <w:r w:rsidR="00D23E22" w:rsidRPr="00D23E22">
        <w:t xml:space="preserve"> </w:t>
      </w:r>
      <w:r w:rsidR="00D23E22">
        <w:t xml:space="preserve">compared with </w:t>
      </w:r>
      <w:r w:rsidR="00D23E22" w:rsidRPr="00944126">
        <w:t>placebo</w:t>
      </w:r>
      <w:r w:rsidR="00D23E22">
        <w:t xml:space="preserve">, </w:t>
      </w:r>
      <w:r w:rsidR="006174B4">
        <w:t>with</w:t>
      </w:r>
      <w:r w:rsidR="00D80C47">
        <w:t xml:space="preserve"> a</w:t>
      </w:r>
      <w:r w:rsidR="00D23E22">
        <w:t xml:space="preserve"> non-significant </w:t>
      </w:r>
      <w:r w:rsidR="00B8244F">
        <w:t xml:space="preserve">moderate </w:t>
      </w:r>
      <w:r w:rsidR="00D23E22">
        <w:t xml:space="preserve">degree of </w:t>
      </w:r>
      <w:r w:rsidR="00944126">
        <w:t>heterogeneity</w:t>
      </w:r>
      <w:r w:rsidR="00D23E22">
        <w:t xml:space="preserve"> between trials (</w:t>
      </w:r>
      <w:r w:rsidR="00CC588A" w:rsidRPr="00944126">
        <w:t xml:space="preserve">figure </w:t>
      </w:r>
      <w:r w:rsidR="002D61D3">
        <w:t>2</w:t>
      </w:r>
      <w:r w:rsidR="00D23E22" w:rsidRPr="00944126">
        <w:t>)</w:t>
      </w:r>
      <w:r w:rsidR="00944126">
        <w:t>.</w:t>
      </w:r>
      <w:r w:rsidR="00512A96">
        <w:t xml:space="preserve"> </w:t>
      </w:r>
    </w:p>
    <w:p w14:paraId="63301F21" w14:textId="0DEBB3C0" w:rsidR="00990BB8" w:rsidRDefault="008453C2" w:rsidP="00990BB8">
      <w:r>
        <w:t>For</w:t>
      </w:r>
      <w:r w:rsidR="00AC1344">
        <w:t xml:space="preserve"> </w:t>
      </w:r>
      <w:r w:rsidR="004F4983">
        <w:t xml:space="preserve">CV </w:t>
      </w:r>
      <w:r w:rsidR="00AC1344">
        <w:t>mortality</w:t>
      </w:r>
      <w:r w:rsidR="00F079F6" w:rsidRPr="00F079F6">
        <w:t xml:space="preserve"> </w:t>
      </w:r>
      <w:r w:rsidR="00F079F6">
        <w:t>and all-cause mortality</w:t>
      </w:r>
      <w:r>
        <w:t xml:space="preserve">, as </w:t>
      </w:r>
      <w:r w:rsidR="00744B3E">
        <w:t xml:space="preserve">reported </w:t>
      </w:r>
      <w:r>
        <w:t xml:space="preserve">in </w:t>
      </w:r>
      <w:r w:rsidR="00AC1344">
        <w:t xml:space="preserve">all </w:t>
      </w:r>
      <w:r>
        <w:t xml:space="preserve">four </w:t>
      </w:r>
      <w:r w:rsidR="00AC1344">
        <w:t>trials</w:t>
      </w:r>
      <w:r>
        <w:t>, there were statistically</w:t>
      </w:r>
      <w:r w:rsidR="002A31E2">
        <w:t xml:space="preserve"> </w:t>
      </w:r>
      <w:r w:rsidR="00944126">
        <w:t xml:space="preserve">significant </w:t>
      </w:r>
      <w:r>
        <w:t xml:space="preserve">relative risk </w:t>
      </w:r>
      <w:r w:rsidR="008810E9">
        <w:t>reduction</w:t>
      </w:r>
      <w:r>
        <w:t>s,</w:t>
      </w:r>
      <w:r w:rsidR="002A31E2">
        <w:t xml:space="preserve"> compared with placebo</w:t>
      </w:r>
      <w:r>
        <w:t>, of 12% (P=0</w:t>
      </w:r>
      <w:r w:rsidR="009A5DD1">
        <w:t>·</w:t>
      </w:r>
      <w:r>
        <w:t>002) and 13% (P=0</w:t>
      </w:r>
      <w:r w:rsidR="009A5DD1">
        <w:t>·</w:t>
      </w:r>
      <w:r>
        <w:t>007) respectively, and with no heterogeneity in either case (I</w:t>
      </w:r>
      <w:r w:rsidRPr="004274AC">
        <w:rPr>
          <w:vertAlign w:val="superscript"/>
        </w:rPr>
        <w:t>2</w:t>
      </w:r>
      <w:r>
        <w:t>=0%)</w:t>
      </w:r>
      <w:r w:rsidR="00A0146B">
        <w:t xml:space="preserve"> (</w:t>
      </w:r>
      <w:r w:rsidR="00CC588A">
        <w:t xml:space="preserve">figure </w:t>
      </w:r>
      <w:r w:rsidR="004950E2">
        <w:t>2</w:t>
      </w:r>
      <w:r w:rsidR="00A0146B">
        <w:t>)</w:t>
      </w:r>
      <w:r w:rsidR="00DC7755">
        <w:t>.</w:t>
      </w:r>
      <w:r w:rsidR="00C51EF1">
        <w:t xml:space="preserve"> Overall, no significant impact of GLP-1 RAs, compared with placebo, was seen on </w:t>
      </w:r>
      <w:r w:rsidR="00AC689B">
        <w:t>fatal and nonfatal MI</w:t>
      </w:r>
      <w:r w:rsidR="007D6C6A">
        <w:t>,</w:t>
      </w:r>
      <w:r w:rsidR="00AC689B">
        <w:t xml:space="preserve"> fatal and nonfatal stroke</w:t>
      </w:r>
      <w:r w:rsidR="00C51EF1">
        <w:t>,</w:t>
      </w:r>
      <w:r w:rsidR="00AC689B">
        <w:t xml:space="preserve"> </w:t>
      </w:r>
      <w:r w:rsidR="007D6C6A">
        <w:t xml:space="preserve">hospital admission for unstable angina, or hospital admission for heart failure, </w:t>
      </w:r>
      <w:r w:rsidR="00C51EF1">
        <w:t>with</w:t>
      </w:r>
      <w:r w:rsidR="00990BB8">
        <w:t xml:space="preserve"> no significant heterogeneity for </w:t>
      </w:r>
      <w:r w:rsidR="007D6C6A">
        <w:t xml:space="preserve">any of these </w:t>
      </w:r>
      <w:r w:rsidR="00990BB8">
        <w:t>endpoint</w:t>
      </w:r>
      <w:r w:rsidR="007D6C6A">
        <w:t>s</w:t>
      </w:r>
      <w:r w:rsidR="00C51EF1">
        <w:t xml:space="preserve"> (</w:t>
      </w:r>
      <w:r w:rsidR="00EB733E">
        <w:t xml:space="preserve">figure 2, </w:t>
      </w:r>
      <w:r w:rsidR="00EB733E" w:rsidRPr="004F461A">
        <w:t>supplementary figures</w:t>
      </w:r>
      <w:r w:rsidR="0063515B" w:rsidRPr="00F3791F">
        <w:t xml:space="preserve"> </w:t>
      </w:r>
      <w:r w:rsidR="004D139F" w:rsidRPr="00F3791F">
        <w:t>S1, S2)</w:t>
      </w:r>
      <w:r w:rsidR="004D139F">
        <w:t>.</w:t>
      </w:r>
    </w:p>
    <w:p w14:paraId="4827169F" w14:textId="373FCED8" w:rsidR="008771D6" w:rsidRPr="004274AC" w:rsidRDefault="008771D6" w:rsidP="009C6855">
      <w:pPr>
        <w:keepNext/>
        <w:rPr>
          <w:i/>
        </w:rPr>
      </w:pPr>
      <w:r w:rsidRPr="004274AC">
        <w:rPr>
          <w:i/>
        </w:rPr>
        <w:t xml:space="preserve">Safety </w:t>
      </w:r>
      <w:r w:rsidR="00CC588A" w:rsidRPr="004274AC">
        <w:rPr>
          <w:i/>
        </w:rPr>
        <w:t>outcomes</w:t>
      </w:r>
    </w:p>
    <w:p w14:paraId="1E9B9F3D" w14:textId="265B91E9" w:rsidR="008771D6" w:rsidRDefault="003C6829">
      <w:r>
        <w:t xml:space="preserve">No significant impact of GLP-1 RAs, compared with placebo, was seen </w:t>
      </w:r>
      <w:r w:rsidR="00CA0559">
        <w:t>on</w:t>
      </w:r>
      <w:r>
        <w:t xml:space="preserve"> the proportion</w:t>
      </w:r>
      <w:r w:rsidR="00CA0559">
        <w:t>s</w:t>
      </w:r>
      <w:r>
        <w:t xml:space="preserve"> of patients experiencing</w:t>
      </w:r>
      <w:r w:rsidR="00A8626F">
        <w:t xml:space="preserve"> severe hypoglycaemia (</w:t>
      </w:r>
      <w:r>
        <w:t xml:space="preserve">OR </w:t>
      </w:r>
      <w:r w:rsidR="00A8626F">
        <w:t>0</w:t>
      </w:r>
      <w:r w:rsidR="009A5DD1">
        <w:t>·</w:t>
      </w:r>
      <w:r w:rsidR="00A8626F">
        <w:t>93, 95% CI 0</w:t>
      </w:r>
      <w:r w:rsidR="009A5DD1">
        <w:t>·</w:t>
      </w:r>
      <w:r w:rsidR="00A8626F">
        <w:t>74</w:t>
      </w:r>
      <w:r>
        <w:softHyphen/>
      </w:r>
      <w:r w:rsidR="00A247B2">
        <w:t>–</w:t>
      </w:r>
      <w:r w:rsidR="00A8626F">
        <w:t>1</w:t>
      </w:r>
      <w:r w:rsidR="009A5DD1">
        <w:t>·</w:t>
      </w:r>
      <w:r w:rsidR="00A8626F">
        <w:t>18; p=0</w:t>
      </w:r>
      <w:r w:rsidR="009A5DD1">
        <w:t>·</w:t>
      </w:r>
      <w:r w:rsidR="00A8626F">
        <w:t>56</w:t>
      </w:r>
      <w:r w:rsidR="00887374">
        <w:t>)</w:t>
      </w:r>
      <w:r w:rsidR="000A24EB">
        <w:t>, although</w:t>
      </w:r>
      <w:r w:rsidR="00A8626F">
        <w:t xml:space="preserve"> there was </w:t>
      </w:r>
      <w:r w:rsidR="00887374">
        <w:t xml:space="preserve">a statistically </w:t>
      </w:r>
      <w:r w:rsidR="00A8626F">
        <w:t xml:space="preserve">significant </w:t>
      </w:r>
      <w:r w:rsidR="00887374">
        <w:t xml:space="preserve">high degree of </w:t>
      </w:r>
      <w:r w:rsidR="00A8626F">
        <w:t xml:space="preserve">heterogeneity </w:t>
      </w:r>
      <w:r w:rsidR="00887374">
        <w:t>(P</w:t>
      </w:r>
      <w:r w:rsidR="00A8626F">
        <w:t>=0</w:t>
      </w:r>
      <w:r w:rsidR="009A5DD1">
        <w:t>·</w:t>
      </w:r>
      <w:r w:rsidR="00A8626F">
        <w:t>01</w:t>
      </w:r>
      <w:r w:rsidR="00887374">
        <w:t>)</w:t>
      </w:r>
      <w:r w:rsidR="00887374" w:rsidRPr="00887374">
        <w:t xml:space="preserve"> </w:t>
      </w:r>
      <w:r w:rsidR="00887374">
        <w:t>(</w:t>
      </w:r>
      <w:r w:rsidR="00F3791F">
        <w:t xml:space="preserve">figure </w:t>
      </w:r>
      <w:r w:rsidR="00DC5483">
        <w:t>3</w:t>
      </w:r>
      <w:r w:rsidR="00887374">
        <w:t>)</w:t>
      </w:r>
      <w:r w:rsidR="00760035">
        <w:t>.</w:t>
      </w:r>
      <w:r w:rsidR="00CA0559">
        <w:t xml:space="preserve"> </w:t>
      </w:r>
      <w:r w:rsidR="00A247B2">
        <w:t>N</w:t>
      </w:r>
      <w:r w:rsidR="0068238D">
        <w:t>o significant effect</w:t>
      </w:r>
      <w:r w:rsidR="00A247B2">
        <w:t xml:space="preserve">s were seen </w:t>
      </w:r>
      <w:r w:rsidR="00C0296E">
        <w:t xml:space="preserve">on </w:t>
      </w:r>
      <w:r w:rsidR="00B54311">
        <w:t xml:space="preserve">the proportions of patients reported to have </w:t>
      </w:r>
      <w:r w:rsidR="00A247B2">
        <w:t xml:space="preserve">acute </w:t>
      </w:r>
      <w:r w:rsidR="00760035">
        <w:t>pancreatitis</w:t>
      </w:r>
      <w:r w:rsidR="0068238D">
        <w:t xml:space="preserve"> </w:t>
      </w:r>
      <w:r w:rsidR="00760035">
        <w:t>(</w:t>
      </w:r>
      <w:r w:rsidR="00A247B2">
        <w:t xml:space="preserve">OR </w:t>
      </w:r>
      <w:r w:rsidR="00760035">
        <w:t>0</w:t>
      </w:r>
      <w:r w:rsidR="009A5DD1">
        <w:t>·</w:t>
      </w:r>
      <w:r w:rsidR="00760035">
        <w:t>90, 95%</w:t>
      </w:r>
      <w:r w:rsidR="00D33EFE">
        <w:t xml:space="preserve"> </w:t>
      </w:r>
      <w:r w:rsidR="00760035">
        <w:t>CI 0</w:t>
      </w:r>
      <w:r w:rsidR="009A5DD1">
        <w:t>·</w:t>
      </w:r>
      <w:r w:rsidR="00760035">
        <w:t>63</w:t>
      </w:r>
      <w:r w:rsidR="00A247B2">
        <w:t>–</w:t>
      </w:r>
      <w:r w:rsidR="00760035">
        <w:t>1</w:t>
      </w:r>
      <w:r w:rsidR="009A5DD1">
        <w:t>·</w:t>
      </w:r>
      <w:r w:rsidR="00760035">
        <w:t>28; p=0</w:t>
      </w:r>
      <w:r w:rsidR="009A5DD1">
        <w:t>·</w:t>
      </w:r>
      <w:r w:rsidR="00760035">
        <w:t>54)</w:t>
      </w:r>
      <w:r w:rsidR="00B54311">
        <w:t xml:space="preserve"> or</w:t>
      </w:r>
      <w:r w:rsidR="00CA0559">
        <w:t xml:space="preserve"> </w:t>
      </w:r>
      <w:r w:rsidR="002949DF">
        <w:t>pancreatic cancer</w:t>
      </w:r>
      <w:r w:rsidR="00B54311">
        <w:t xml:space="preserve"> (OR 0</w:t>
      </w:r>
      <w:r w:rsidR="009A5DD1">
        <w:t>·</w:t>
      </w:r>
      <w:r w:rsidR="00B54311">
        <w:t>83, 95% CI 0</w:t>
      </w:r>
      <w:r w:rsidR="009A5DD1">
        <w:t>·</w:t>
      </w:r>
      <w:r w:rsidR="00B54311">
        <w:t>33</w:t>
      </w:r>
      <w:r w:rsidR="009A5DD1">
        <w:t>–</w:t>
      </w:r>
      <w:r w:rsidR="00B54311">
        <w:t>2</w:t>
      </w:r>
      <w:r w:rsidR="009A5DD1">
        <w:t>·</w:t>
      </w:r>
      <w:r w:rsidR="00B54311">
        <w:t>11; P=0</w:t>
      </w:r>
      <w:r w:rsidR="009A5DD1">
        <w:t>·</w:t>
      </w:r>
      <w:r w:rsidR="00B54311">
        <w:t>70)</w:t>
      </w:r>
      <w:r w:rsidR="00242716">
        <w:t>. There were four m</w:t>
      </w:r>
      <w:r w:rsidR="00804068">
        <w:t xml:space="preserve">edullary thyroid </w:t>
      </w:r>
      <w:r w:rsidR="00B54311">
        <w:t>carcinoma</w:t>
      </w:r>
      <w:r w:rsidR="00242716">
        <w:t>s reported in LEADER and EXSCEL (two with GLP-1 RA and two with placebo)</w:t>
      </w:r>
      <w:r w:rsidR="00CC175F">
        <w:t>, but</w:t>
      </w:r>
      <w:r w:rsidR="006B61A9">
        <w:t xml:space="preserve"> </w:t>
      </w:r>
      <w:r w:rsidR="00165173">
        <w:t>no medullary thyroid cancer events were reported in either arm of SUSTAIN-6</w:t>
      </w:r>
      <w:r w:rsidR="00CC175F">
        <w:t xml:space="preserve"> or ELIXA</w:t>
      </w:r>
      <w:r w:rsidR="00165173">
        <w:t>,</w:t>
      </w:r>
      <w:r w:rsidR="00F8519F">
        <w:rPr>
          <w:vertAlign w:val="superscript"/>
        </w:rPr>
        <w:t>9</w:t>
      </w:r>
      <w:r w:rsidR="00165173">
        <w:t xml:space="preserve"> </w:t>
      </w:r>
      <w:r w:rsidR="00242716">
        <w:t>precluding a</w:t>
      </w:r>
      <w:r w:rsidR="00B72A84">
        <w:t xml:space="preserve"> meta-analysis</w:t>
      </w:r>
      <w:r w:rsidR="00DC5483">
        <w:t xml:space="preserve"> (</w:t>
      </w:r>
      <w:r w:rsidR="00F3791F">
        <w:t xml:space="preserve">supplementary table </w:t>
      </w:r>
      <w:r w:rsidR="00DC5483">
        <w:t>S2)</w:t>
      </w:r>
      <w:r w:rsidR="00165173">
        <w:t>.</w:t>
      </w:r>
    </w:p>
    <w:p w14:paraId="5338B9F4" w14:textId="4382EA6D" w:rsidR="00804068" w:rsidRDefault="006B61A9" w:rsidP="00804068">
      <w:r>
        <w:t>P</w:t>
      </w:r>
      <w:r w:rsidR="00165173">
        <w:t>apillary thyroid cancer</w:t>
      </w:r>
      <w:r w:rsidR="00F968C2">
        <w:t>s</w:t>
      </w:r>
      <w:r w:rsidR="00165173">
        <w:t xml:space="preserve"> </w:t>
      </w:r>
      <w:r w:rsidR="00F968C2">
        <w:t>were reported in</w:t>
      </w:r>
      <w:r w:rsidR="008061BF">
        <w:t xml:space="preserve"> ELIXA</w:t>
      </w:r>
      <w:r w:rsidR="00F968C2">
        <w:t xml:space="preserve"> (N=2, one in each treatment group),</w:t>
      </w:r>
      <w:r w:rsidR="00F8519F">
        <w:rPr>
          <w:vertAlign w:val="superscript"/>
        </w:rPr>
        <w:t>10</w:t>
      </w:r>
      <w:r w:rsidR="002A6849">
        <w:t xml:space="preserve"> </w:t>
      </w:r>
      <w:r w:rsidR="00F968C2">
        <w:t xml:space="preserve">in LEADER (N=8, five in the liraglutide group and </w:t>
      </w:r>
      <w:r w:rsidR="009E30CB">
        <w:t>three</w:t>
      </w:r>
      <w:r w:rsidR="00F968C2">
        <w:t xml:space="preserve"> in the placebo group),</w:t>
      </w:r>
      <w:r w:rsidR="002F33FB" w:rsidRPr="002F33FB">
        <w:rPr>
          <w:vertAlign w:val="superscript"/>
        </w:rPr>
        <w:t>1</w:t>
      </w:r>
      <w:r w:rsidR="00F8519F">
        <w:rPr>
          <w:vertAlign w:val="superscript"/>
        </w:rPr>
        <w:t>1</w:t>
      </w:r>
      <w:r w:rsidR="00F968C2">
        <w:t xml:space="preserve"> </w:t>
      </w:r>
      <w:r w:rsidR="00C76D81">
        <w:t>SUSTAIN</w:t>
      </w:r>
      <w:r w:rsidR="00D76007">
        <w:t>-</w:t>
      </w:r>
      <w:r w:rsidR="00C76D81">
        <w:t>6 (N=3, one in the semaglutide 1 mg treatment group and two in the placebo group)</w:t>
      </w:r>
      <w:r w:rsidR="00A45B95">
        <w:t xml:space="preserve"> </w:t>
      </w:r>
      <w:r w:rsidR="00D33EFE">
        <w:t>(</w:t>
      </w:r>
      <w:r w:rsidR="00A45B95">
        <w:t>personal communication</w:t>
      </w:r>
      <w:r w:rsidR="00D33EFE">
        <w:t>)</w:t>
      </w:r>
      <w:r w:rsidR="00C76D81">
        <w:t xml:space="preserve">, </w:t>
      </w:r>
      <w:r w:rsidR="00F968C2">
        <w:t>and in</w:t>
      </w:r>
      <w:r w:rsidR="00165173">
        <w:t xml:space="preserve"> EXSCEL (</w:t>
      </w:r>
      <w:r w:rsidR="00F968C2">
        <w:t>N=14, 10 in the exenatide once-weekly group and four in the placebo group)</w:t>
      </w:r>
      <w:r w:rsidR="00CB42C5">
        <w:t xml:space="preserve">, an overall numerical imbalance of 17 versus </w:t>
      </w:r>
      <w:r w:rsidR="0067070A">
        <w:t>10</w:t>
      </w:r>
      <w:r w:rsidR="00DC5483">
        <w:t xml:space="preserve"> (</w:t>
      </w:r>
      <w:r w:rsidR="00F3791F">
        <w:t xml:space="preserve">supplementary table </w:t>
      </w:r>
      <w:r w:rsidR="00DC5483">
        <w:t>S2)</w:t>
      </w:r>
      <w:r w:rsidR="00CB42C5">
        <w:t>.</w:t>
      </w:r>
    </w:p>
    <w:p w14:paraId="4242BAD4" w14:textId="77777777" w:rsidR="002F33FB" w:rsidRDefault="002F33FB">
      <w:pPr>
        <w:rPr>
          <w:b/>
        </w:rPr>
      </w:pPr>
    </w:p>
    <w:p w14:paraId="15063428" w14:textId="77777777" w:rsidR="00804068" w:rsidRDefault="00885B45">
      <w:pPr>
        <w:rPr>
          <w:b/>
        </w:rPr>
      </w:pPr>
      <w:r w:rsidRPr="00885B45">
        <w:rPr>
          <w:b/>
        </w:rPr>
        <w:t>Discussion</w:t>
      </w:r>
    </w:p>
    <w:p w14:paraId="2A0B8D8B" w14:textId="77777777" w:rsidR="00E408BF" w:rsidRDefault="00FC6D19">
      <w:r>
        <w:t xml:space="preserve">The </w:t>
      </w:r>
      <w:r w:rsidR="00D33EFE">
        <w:t xml:space="preserve">results </w:t>
      </w:r>
      <w:r>
        <w:t xml:space="preserve">of four </w:t>
      </w:r>
      <w:r w:rsidR="004F4983">
        <w:t xml:space="preserve">CV </w:t>
      </w:r>
      <w:r>
        <w:t xml:space="preserve">outcomes trials using GLP-1 </w:t>
      </w:r>
      <w:r w:rsidR="00D33EFE">
        <w:t>RA</w:t>
      </w:r>
      <w:r>
        <w:t xml:space="preserve">s </w:t>
      </w:r>
      <w:r w:rsidR="00095967">
        <w:t xml:space="preserve">in 33,457 participants </w:t>
      </w:r>
      <w:r>
        <w:t xml:space="preserve">provides a large body of evidence to evaluate the </w:t>
      </w:r>
      <w:r w:rsidR="009E7654">
        <w:t xml:space="preserve">overall </w:t>
      </w:r>
      <w:r>
        <w:t>impact</w:t>
      </w:r>
      <w:r w:rsidR="00122521">
        <w:t xml:space="preserve"> of GLP-1</w:t>
      </w:r>
      <w:r w:rsidR="00FC570A">
        <w:t xml:space="preserve"> </w:t>
      </w:r>
      <w:r w:rsidR="00122521">
        <w:t>RA</w:t>
      </w:r>
      <w:r w:rsidR="009E7654">
        <w:t>s</w:t>
      </w:r>
      <w:r>
        <w:t xml:space="preserve"> on </w:t>
      </w:r>
      <w:r w:rsidR="004F4983">
        <w:t xml:space="preserve">CV </w:t>
      </w:r>
      <w:r w:rsidR="009E7654">
        <w:t xml:space="preserve">efficacy </w:t>
      </w:r>
      <w:r>
        <w:t xml:space="preserve">and </w:t>
      </w:r>
      <w:r w:rsidR="009E7654">
        <w:t>key</w:t>
      </w:r>
      <w:r>
        <w:t xml:space="preserve"> safety outcomes</w:t>
      </w:r>
      <w:r w:rsidR="009E7654">
        <w:t xml:space="preserve"> of interest</w:t>
      </w:r>
      <w:r>
        <w:t>.</w:t>
      </w:r>
      <w:r w:rsidR="00512A96">
        <w:t xml:space="preserve"> </w:t>
      </w:r>
      <w:r w:rsidR="009E7654">
        <w:t>As</w:t>
      </w:r>
      <w:r>
        <w:t xml:space="preserve"> </w:t>
      </w:r>
      <w:r w:rsidR="00FB3DC8">
        <w:t xml:space="preserve">individual trials are </w:t>
      </w:r>
      <w:r w:rsidR="009E7654">
        <w:t xml:space="preserve">frequently </w:t>
      </w:r>
      <w:r w:rsidR="0068238D">
        <w:t>under</w:t>
      </w:r>
      <w:r w:rsidR="00FB3DC8">
        <w:t xml:space="preserve">powered </w:t>
      </w:r>
      <w:r>
        <w:t xml:space="preserve">to evaluate single components of primary outcome or to </w:t>
      </w:r>
      <w:r w:rsidR="009E7654">
        <w:t xml:space="preserve">clarify </w:t>
      </w:r>
      <w:r w:rsidR="00E408BF">
        <w:t xml:space="preserve">the </w:t>
      </w:r>
      <w:r>
        <w:t xml:space="preserve">impact on </w:t>
      </w:r>
      <w:r w:rsidR="00CA5A64">
        <w:t xml:space="preserve">less common safety </w:t>
      </w:r>
      <w:r>
        <w:t>events</w:t>
      </w:r>
      <w:r w:rsidR="009E7654">
        <w:t>, we have performed</w:t>
      </w:r>
      <w:r>
        <w:t xml:space="preserve"> meta-analys</w:t>
      </w:r>
      <w:r w:rsidR="009E7654">
        <w:t>e</w:t>
      </w:r>
      <w:r>
        <w:t>s</w:t>
      </w:r>
      <w:r w:rsidR="009E7654">
        <w:t xml:space="preserve"> on the totality of the data available</w:t>
      </w:r>
      <w:r>
        <w:t xml:space="preserve"> to better understand the </w:t>
      </w:r>
      <w:r w:rsidR="00122521">
        <w:t>benefit-</w:t>
      </w:r>
      <w:r>
        <w:t>risk profile of the GLP-1</w:t>
      </w:r>
      <w:r w:rsidR="00D33EFE">
        <w:t xml:space="preserve"> </w:t>
      </w:r>
      <w:r w:rsidR="00122521">
        <w:t>RA</w:t>
      </w:r>
      <w:r>
        <w:t xml:space="preserve"> cla</w:t>
      </w:r>
      <w:r w:rsidR="008971B8">
        <w:t>ss.</w:t>
      </w:r>
      <w:r w:rsidR="00512A96">
        <w:t xml:space="preserve"> </w:t>
      </w:r>
    </w:p>
    <w:p w14:paraId="1841CB04" w14:textId="55193832" w:rsidR="00D73A80" w:rsidRDefault="008971B8">
      <w:r>
        <w:t xml:space="preserve">Overall, GLP-1 </w:t>
      </w:r>
      <w:r w:rsidR="00A91BD2">
        <w:t>RA</w:t>
      </w:r>
      <w:r w:rsidR="009707B8">
        <w:t xml:space="preserve"> treatment was associated with</w:t>
      </w:r>
      <w:r w:rsidR="00714AFF">
        <w:t xml:space="preserve"> </w:t>
      </w:r>
      <w:r w:rsidR="00801093">
        <w:t>a</w:t>
      </w:r>
      <w:r w:rsidR="00714AFF">
        <w:t xml:space="preserve"> statistically significant 1</w:t>
      </w:r>
      <w:r w:rsidR="00B8244F">
        <w:t>0</w:t>
      </w:r>
      <w:r w:rsidR="00714AFF">
        <w:t xml:space="preserve">% relative risk reduction </w:t>
      </w:r>
      <w:r>
        <w:t xml:space="preserve">in a composite MACE-3 </w:t>
      </w:r>
      <w:r w:rsidR="004F4983">
        <w:t xml:space="preserve">CV </w:t>
      </w:r>
      <w:r>
        <w:t>outcome (</w:t>
      </w:r>
      <w:r w:rsidR="004F4983">
        <w:t xml:space="preserve">CV </w:t>
      </w:r>
      <w:r>
        <w:t xml:space="preserve">death, nonfatal </w:t>
      </w:r>
      <w:r w:rsidR="004F4983">
        <w:t>MI</w:t>
      </w:r>
      <w:r>
        <w:t>, and nonfatal stroke),</w:t>
      </w:r>
      <w:r w:rsidR="00714AFF">
        <w:t xml:space="preserve"> 13% risk reduction for </w:t>
      </w:r>
      <w:r w:rsidR="004F4983">
        <w:t xml:space="preserve">CV </w:t>
      </w:r>
      <w:r>
        <w:t>mortality</w:t>
      </w:r>
      <w:r w:rsidR="00491314">
        <w:t xml:space="preserve"> and 12% risk reduction for all-cause mortality</w:t>
      </w:r>
      <w:r w:rsidR="009707B8">
        <w:t xml:space="preserve">, all with </w:t>
      </w:r>
      <w:r w:rsidR="00B8244F">
        <w:t xml:space="preserve">low to moderate </w:t>
      </w:r>
      <w:r w:rsidR="009707B8">
        <w:t xml:space="preserve">evidence of </w:t>
      </w:r>
      <w:r w:rsidR="0085340C">
        <w:t xml:space="preserve">between trial </w:t>
      </w:r>
      <w:r w:rsidR="00491314">
        <w:t xml:space="preserve">statistical </w:t>
      </w:r>
      <w:r w:rsidR="009707B8">
        <w:t>heterogeneity</w:t>
      </w:r>
      <w:r>
        <w:t>.</w:t>
      </w:r>
      <w:r w:rsidR="00512A96">
        <w:t xml:space="preserve"> </w:t>
      </w:r>
      <w:r w:rsidR="00BF1A6A">
        <w:t>O</w:t>
      </w:r>
      <w:r w:rsidR="009068E1">
        <w:t>verall</w:t>
      </w:r>
      <w:r w:rsidR="00BF1A6A">
        <w:t xml:space="preserve">, </w:t>
      </w:r>
      <w:r w:rsidR="005A64AF">
        <w:t>t</w:t>
      </w:r>
      <w:r w:rsidR="00BF1A6A">
        <w:t>here was a</w:t>
      </w:r>
      <w:r w:rsidR="009068E1">
        <w:t xml:space="preserve"> </w:t>
      </w:r>
      <w:r w:rsidR="009707B8">
        <w:t xml:space="preserve">neutral impact </w:t>
      </w:r>
      <w:r w:rsidR="009068E1">
        <w:t xml:space="preserve">of GLP-1 RAs on </w:t>
      </w:r>
      <w:r>
        <w:t>important secondary outcomes</w:t>
      </w:r>
      <w:r w:rsidR="00BF1A6A">
        <w:t xml:space="preserve"> that</w:t>
      </w:r>
      <w:r>
        <w:t xml:space="preserve"> </w:t>
      </w:r>
      <w:r w:rsidR="00BF1A6A">
        <w:t xml:space="preserve">included </w:t>
      </w:r>
      <w:r w:rsidR="009068E1">
        <w:t xml:space="preserve">fatal and nonfatal </w:t>
      </w:r>
      <w:r w:rsidR="004F4983">
        <w:t>MI</w:t>
      </w:r>
      <w:r w:rsidR="009068E1">
        <w:t xml:space="preserve">, </w:t>
      </w:r>
      <w:r w:rsidR="00095967">
        <w:t xml:space="preserve">fatal and </w:t>
      </w:r>
      <w:r w:rsidR="00A96CE8">
        <w:t>nonfatal</w:t>
      </w:r>
      <w:r w:rsidR="00095967">
        <w:t xml:space="preserve"> </w:t>
      </w:r>
      <w:r>
        <w:t xml:space="preserve">stroke, </w:t>
      </w:r>
      <w:r w:rsidR="009068E1">
        <w:t>hospital admission for unstable angina,</w:t>
      </w:r>
      <w:r w:rsidR="009068E1" w:rsidDel="009068E1">
        <w:t xml:space="preserve"> </w:t>
      </w:r>
      <w:r>
        <w:t xml:space="preserve">and </w:t>
      </w:r>
      <w:r w:rsidR="009068E1">
        <w:t>hospital admission for</w:t>
      </w:r>
      <w:r>
        <w:t xml:space="preserve"> heart failure.</w:t>
      </w:r>
      <w:r w:rsidR="00512A96">
        <w:t xml:space="preserve"> </w:t>
      </w:r>
    </w:p>
    <w:p w14:paraId="2F1610CD" w14:textId="44F0116D" w:rsidR="00D73A80" w:rsidRDefault="00D73A80">
      <w:r w:rsidRPr="00806272">
        <w:t xml:space="preserve">The consistency of </w:t>
      </w:r>
      <w:r w:rsidR="004F4983" w:rsidRPr="00806272">
        <w:t>CV</w:t>
      </w:r>
      <w:r w:rsidR="006921A8" w:rsidRPr="00806272">
        <w:t xml:space="preserve"> safety across the class</w:t>
      </w:r>
      <w:r w:rsidR="006B5BDF" w:rsidRPr="00806272">
        <w:t>,</w:t>
      </w:r>
      <w:r w:rsidR="006921A8" w:rsidRPr="00806272">
        <w:t xml:space="preserve"> reduced numbers of MACE-3 events in three of the four reported trials</w:t>
      </w:r>
      <w:r w:rsidR="006B5BDF" w:rsidRPr="00806272">
        <w:t xml:space="preserve"> (significant in the primary analysis only for LEADER), and numerically fewer or significantly less CV deaths in the GLP-1 RA arms of all four trials</w:t>
      </w:r>
      <w:r w:rsidR="006921A8" w:rsidRPr="00806272">
        <w:t xml:space="preserve"> </w:t>
      </w:r>
      <w:r w:rsidRPr="00806272">
        <w:t xml:space="preserve">supports the hypothesis that GLP-1 </w:t>
      </w:r>
      <w:r w:rsidR="006921A8" w:rsidRPr="00806272">
        <w:t xml:space="preserve">CV impact </w:t>
      </w:r>
      <w:r w:rsidRPr="00806272">
        <w:t xml:space="preserve">may be mediated via </w:t>
      </w:r>
      <w:r w:rsidR="00566097" w:rsidRPr="00806272">
        <w:t>anti-</w:t>
      </w:r>
      <w:r w:rsidRPr="00806272">
        <w:t xml:space="preserve">atherogenic </w:t>
      </w:r>
      <w:r w:rsidR="00FA4706" w:rsidRPr="00806272">
        <w:t xml:space="preserve">mechanisms </w:t>
      </w:r>
      <w:r w:rsidRPr="00806272">
        <w:t xml:space="preserve">that decrease </w:t>
      </w:r>
      <w:r w:rsidR="004F4983" w:rsidRPr="00806272">
        <w:t xml:space="preserve">CV </w:t>
      </w:r>
      <w:r w:rsidRPr="00806272">
        <w:t>risk over time</w:t>
      </w:r>
      <w:r w:rsidR="001B6B57" w:rsidRPr="00806272">
        <w:t>,</w:t>
      </w:r>
      <w:r w:rsidR="00FA4706" w:rsidRPr="00806272">
        <w:t xml:space="preserve"> including direct and indirect effects of GLP-1 RA on </w:t>
      </w:r>
      <w:r w:rsidR="00FA1BBE" w:rsidRPr="00806272">
        <w:t xml:space="preserve">traditional </w:t>
      </w:r>
      <w:r w:rsidR="00FA4706" w:rsidRPr="00806272">
        <w:t>CV risk factors (e.g. decreased blood pressure)</w:t>
      </w:r>
      <w:r w:rsidR="00FA1BBE" w:rsidRPr="00806272">
        <w:t>, anti-inflammatory pathways, cardiac output, ischemic conditioning, and endothelial function.</w:t>
      </w:r>
      <w:r w:rsidR="00F8519F" w:rsidRPr="00806272">
        <w:rPr>
          <w:vertAlign w:val="superscript"/>
        </w:rPr>
        <w:t>2</w:t>
      </w:r>
      <w:r w:rsidR="00FA1BBE" w:rsidRPr="00806272">
        <w:t xml:space="preserve"> </w:t>
      </w:r>
      <w:r w:rsidRPr="00806272">
        <w:t>MACE</w:t>
      </w:r>
      <w:r w:rsidR="000C7C0D" w:rsidRPr="00806272">
        <w:t>-3</w:t>
      </w:r>
      <w:r w:rsidRPr="00806272">
        <w:t xml:space="preserve"> events</w:t>
      </w:r>
      <w:r w:rsidR="006B5BDF" w:rsidRPr="00806272">
        <w:t>,</w:t>
      </w:r>
      <w:r w:rsidRPr="00806272">
        <w:t xml:space="preserve"> </w:t>
      </w:r>
      <w:r w:rsidR="001B6B57" w:rsidRPr="00806272">
        <w:t>fewer in LEADER,</w:t>
      </w:r>
      <w:r w:rsidR="001B6B57">
        <w:t xml:space="preserve"> SU</w:t>
      </w:r>
      <w:r w:rsidR="000C7C0D">
        <w:t>S</w:t>
      </w:r>
      <w:r w:rsidR="001B6B57">
        <w:t>TAIN</w:t>
      </w:r>
      <w:r w:rsidR="00D76007">
        <w:t>-</w:t>
      </w:r>
      <w:r w:rsidR="001B6B57">
        <w:t>6</w:t>
      </w:r>
      <w:r w:rsidR="00D33EFE">
        <w:t>,</w:t>
      </w:r>
      <w:r w:rsidR="001B6B57">
        <w:t xml:space="preserve"> and EXSCEL</w:t>
      </w:r>
      <w:r w:rsidR="006B5BDF">
        <w:t>, but greater in ELIXA (400 vs 393 events)</w:t>
      </w:r>
      <w:r w:rsidR="00D76007">
        <w:t>,</w:t>
      </w:r>
      <w:r w:rsidR="006B5BDF">
        <w:t xml:space="preserve"> give </w:t>
      </w:r>
      <w:r w:rsidR="00B8244F">
        <w:t>rise to a nonsignificant, moderate degree of statistical heterogeneity in the meta-analysis</w:t>
      </w:r>
      <w:r w:rsidR="00640E53">
        <w:t>.</w:t>
      </w:r>
      <w:r w:rsidR="00B8244F">
        <w:t xml:space="preserve"> Contributing factors could include use of a shorter acting GLP-1 RA in ELIXA or to varying </w:t>
      </w:r>
      <w:r w:rsidR="000C1762">
        <w:t xml:space="preserve">degrees of study medication </w:t>
      </w:r>
      <w:r w:rsidR="00B8244F">
        <w:t>adherence</w:t>
      </w:r>
      <w:r w:rsidR="0067070A">
        <w:t xml:space="preserve"> among the trials</w:t>
      </w:r>
      <w:r w:rsidR="00B8244F">
        <w:t>, lowest in EXSCEL with a once-weekly preparation.</w:t>
      </w:r>
      <w:r w:rsidR="003041AE">
        <w:t xml:space="preserve"> The potency of each agent may also differ, as suggested by </w:t>
      </w:r>
      <w:r w:rsidR="008A7C7C">
        <w:t>differing</w:t>
      </w:r>
      <w:r w:rsidR="003041AE">
        <w:t xml:space="preserve"> degrees of HbA</w:t>
      </w:r>
      <w:r w:rsidR="003041AE" w:rsidRPr="005A64AF">
        <w:rPr>
          <w:vertAlign w:val="subscript"/>
        </w:rPr>
        <w:t>1c</w:t>
      </w:r>
      <w:r w:rsidR="003041AE">
        <w:t xml:space="preserve"> lowering in head</w:t>
      </w:r>
      <w:r w:rsidR="008A7C7C">
        <w:t>-</w:t>
      </w:r>
      <w:r w:rsidR="003041AE">
        <w:t>to</w:t>
      </w:r>
      <w:r w:rsidR="008A7C7C">
        <w:t>-</w:t>
      </w:r>
      <w:r w:rsidR="003041AE">
        <w:t>head trials, lowest for lixisenatide and highest for semaglutide and liraglutide</w:t>
      </w:r>
      <w:r w:rsidR="004F461A">
        <w:t>.</w:t>
      </w:r>
      <w:r w:rsidR="004F461A" w:rsidRPr="004F461A">
        <w:rPr>
          <w:vertAlign w:val="superscript"/>
        </w:rPr>
        <w:t>12-15</w:t>
      </w:r>
      <w:r w:rsidR="00FA1BBE">
        <w:t xml:space="preserve"> </w:t>
      </w:r>
      <w:r w:rsidR="00933503">
        <w:t xml:space="preserve">Further reassurance of overall GLP-1 RA </w:t>
      </w:r>
      <w:r w:rsidR="004F4983">
        <w:t xml:space="preserve">CV </w:t>
      </w:r>
      <w:r w:rsidR="00933503">
        <w:t xml:space="preserve">safety is provided by </w:t>
      </w:r>
      <w:r w:rsidR="00164B6E">
        <w:t xml:space="preserve">favourable or </w:t>
      </w:r>
      <w:r w:rsidR="00933503">
        <w:t xml:space="preserve">neutral impacts </w:t>
      </w:r>
      <w:r w:rsidR="00164B6E">
        <w:t>on fatal or nonfatal MI, fatal or nonfatal stroke,</w:t>
      </w:r>
      <w:r w:rsidR="00D6671D">
        <w:t xml:space="preserve"> h</w:t>
      </w:r>
      <w:r w:rsidR="00933503">
        <w:t>ospital</w:t>
      </w:r>
      <w:r w:rsidR="00D6671D">
        <w:t xml:space="preserve"> admissions</w:t>
      </w:r>
      <w:r w:rsidR="00933503">
        <w:t xml:space="preserve"> for heart failure, </w:t>
      </w:r>
      <w:r w:rsidR="00271F5E">
        <w:t>and hospital</w:t>
      </w:r>
      <w:r w:rsidR="00D6671D">
        <w:t xml:space="preserve"> admissions</w:t>
      </w:r>
      <w:r w:rsidR="00D6671D" w:rsidDel="00D6671D">
        <w:t xml:space="preserve"> </w:t>
      </w:r>
      <w:r w:rsidR="00933503">
        <w:t>for unstable angina.</w:t>
      </w:r>
      <w:r w:rsidR="00377CD5">
        <w:t xml:space="preserve"> </w:t>
      </w:r>
      <w:r>
        <w:t>Th</w:t>
      </w:r>
      <w:r w:rsidR="00377CD5">
        <w:t>e</w:t>
      </w:r>
      <w:r>
        <w:t xml:space="preserve"> neutral impact seen </w:t>
      </w:r>
      <w:r w:rsidR="00640E53">
        <w:t xml:space="preserve">in </w:t>
      </w:r>
      <w:r>
        <w:t xml:space="preserve">ELIXA </w:t>
      </w:r>
      <w:r w:rsidR="00640E53">
        <w:t xml:space="preserve">for all its CV efficacy endpoints </w:t>
      </w:r>
      <w:r>
        <w:t xml:space="preserve">may </w:t>
      </w:r>
      <w:r w:rsidR="00E67792">
        <w:t xml:space="preserve">be </w:t>
      </w:r>
      <w:r>
        <w:t>related to important differences in the enrolled population</w:t>
      </w:r>
      <w:r w:rsidR="009C6855">
        <w:t>:</w:t>
      </w:r>
      <w:r w:rsidR="00C91E63">
        <w:t xml:space="preserve"> exclusively </w:t>
      </w:r>
      <w:r>
        <w:t>post-ACS</w:t>
      </w:r>
      <w:r w:rsidR="00640E53">
        <w:t xml:space="preserve"> patients</w:t>
      </w:r>
      <w:r w:rsidR="0067070A">
        <w:t>,</w:t>
      </w:r>
      <w:r>
        <w:t xml:space="preserve"> </w:t>
      </w:r>
      <w:r w:rsidR="00C91E63">
        <w:t xml:space="preserve">younger age, shorter duration of diabetes), </w:t>
      </w:r>
      <w:r w:rsidR="0067070A">
        <w:t xml:space="preserve">relatively </w:t>
      </w:r>
      <w:r w:rsidR="00640E53">
        <w:t xml:space="preserve">short </w:t>
      </w:r>
      <w:r>
        <w:t xml:space="preserve">median </w:t>
      </w:r>
      <w:r w:rsidR="00640E53">
        <w:t xml:space="preserve">follow-up </w:t>
      </w:r>
      <w:r w:rsidR="0067070A">
        <w:t xml:space="preserve">duration </w:t>
      </w:r>
      <w:r w:rsidR="00640E53">
        <w:t>(</w:t>
      </w:r>
      <w:r>
        <w:t>2</w:t>
      </w:r>
      <w:r w:rsidR="009A5DD1">
        <w:t>·</w:t>
      </w:r>
      <w:r>
        <w:t xml:space="preserve">1 years), </w:t>
      </w:r>
      <w:r w:rsidR="0067070A" w:rsidRPr="0067070A">
        <w:t>and use of a GLP-1 RA with a duration of action &lt; 24 hours (lixisenatide)</w:t>
      </w:r>
      <w:r>
        <w:t>.</w:t>
      </w:r>
      <w:r w:rsidR="00512A96">
        <w:t xml:space="preserve"> </w:t>
      </w:r>
    </w:p>
    <w:p w14:paraId="7C8F52B9" w14:textId="53129463" w:rsidR="00D73A80" w:rsidRDefault="00E408BF" w:rsidP="00FB1ED7">
      <w:r>
        <w:t xml:space="preserve">From a safety standpoint, </w:t>
      </w:r>
      <w:r w:rsidR="00955864">
        <w:t xml:space="preserve">our </w:t>
      </w:r>
      <w:r w:rsidR="00D73A80">
        <w:t xml:space="preserve">meta-analysis demonstrated </w:t>
      </w:r>
      <w:r>
        <w:t xml:space="preserve">no </w:t>
      </w:r>
      <w:r w:rsidR="006C42D8">
        <w:t xml:space="preserve">overall </w:t>
      </w:r>
      <w:r>
        <w:t>increase in pancreatitis</w:t>
      </w:r>
      <w:r w:rsidR="0068238D">
        <w:t>, pancreatic cancer, or severe hypoglyc</w:t>
      </w:r>
      <w:r w:rsidR="00592822">
        <w:t>a</w:t>
      </w:r>
      <w:r w:rsidR="0068238D">
        <w:t>emia</w:t>
      </w:r>
      <w:r>
        <w:t xml:space="preserve"> associated with GLP-1 RA therapy, </w:t>
      </w:r>
      <w:r w:rsidR="0033219F">
        <w:t xml:space="preserve">although there was </w:t>
      </w:r>
      <w:r w:rsidR="0068238D">
        <w:t xml:space="preserve">significant </w:t>
      </w:r>
      <w:r w:rsidR="0033219F">
        <w:t xml:space="preserve">between-trial </w:t>
      </w:r>
      <w:r w:rsidR="0068238D">
        <w:t>heterogeneity</w:t>
      </w:r>
      <w:r w:rsidR="0033219F">
        <w:t xml:space="preserve"> for the latter two events</w:t>
      </w:r>
      <w:r w:rsidR="006C42D8">
        <w:t>.</w:t>
      </w:r>
      <w:r w:rsidR="00512A96">
        <w:t xml:space="preserve"> </w:t>
      </w:r>
      <w:r w:rsidR="006C42D8">
        <w:t xml:space="preserve">For hypoglycaemia, the </w:t>
      </w:r>
      <w:r w:rsidR="00D73A80">
        <w:t xml:space="preserve">heterogeneity </w:t>
      </w:r>
      <w:r w:rsidR="0068238D">
        <w:t xml:space="preserve">may </w:t>
      </w:r>
      <w:r w:rsidR="00D73A80">
        <w:t xml:space="preserve">relate to differences in </w:t>
      </w:r>
      <w:r w:rsidR="00592822">
        <w:t>the protocol</w:t>
      </w:r>
      <w:r w:rsidR="00955864">
        <w:t>-</w:t>
      </w:r>
      <w:r w:rsidR="00592822">
        <w:t>specified management of concomitant antihyperglycaemic therapies (e.g. pre-emptive down-titration of insulin and/or sulfonylureas) at baseline or during follow-up, the definitions of hypoglycaemic events (</w:t>
      </w:r>
      <w:r w:rsidR="005E2215">
        <w:t xml:space="preserve">supplementary table </w:t>
      </w:r>
      <w:r w:rsidR="00E67792">
        <w:t>S1</w:t>
      </w:r>
      <w:r w:rsidR="00592822">
        <w:t xml:space="preserve">), </w:t>
      </w:r>
      <w:r w:rsidR="00D73A80">
        <w:t>the</w:t>
      </w:r>
      <w:r w:rsidR="006C42D8">
        <w:t xml:space="preserve"> overall glucose control of the</w:t>
      </w:r>
      <w:r w:rsidR="00D73A80">
        <w:t xml:space="preserve"> enrolled populations</w:t>
      </w:r>
      <w:r w:rsidR="006C42D8">
        <w:t xml:space="preserve">, </w:t>
      </w:r>
      <w:r w:rsidR="00592822">
        <w:t xml:space="preserve">or </w:t>
      </w:r>
      <w:r w:rsidR="006C42D8">
        <w:t xml:space="preserve">the </w:t>
      </w:r>
      <w:r w:rsidR="00592822">
        <w:t>frequency</w:t>
      </w:r>
      <w:r w:rsidR="0068238D">
        <w:t xml:space="preserve"> of </w:t>
      </w:r>
      <w:r w:rsidR="006C42D8">
        <w:t xml:space="preserve">within-trial </w:t>
      </w:r>
      <w:r w:rsidR="00D73A80">
        <w:t xml:space="preserve">use of concomitant diabetes medications </w:t>
      </w:r>
      <w:r w:rsidR="006C42D8">
        <w:t xml:space="preserve">that </w:t>
      </w:r>
      <w:r w:rsidR="00592822">
        <w:t>predispose to hypoglycaemia</w:t>
      </w:r>
      <w:r w:rsidR="00581CF1">
        <w:t>.</w:t>
      </w:r>
      <w:r w:rsidR="00512A96">
        <w:t xml:space="preserve"> </w:t>
      </w:r>
      <w:r w:rsidR="0068266A">
        <w:t>Potentially d</w:t>
      </w:r>
      <w:r w:rsidR="0068238D">
        <w:t xml:space="preserve">iscordant </w:t>
      </w:r>
      <w:r w:rsidR="00581CF1">
        <w:t>findings for pancreatic cancer are less likely to be attributable to features of trial design or conduct.</w:t>
      </w:r>
      <w:r w:rsidR="00512A96">
        <w:t xml:space="preserve"> </w:t>
      </w:r>
      <w:r w:rsidR="00581CF1">
        <w:t>Differences between enrolled study populations are not clearly correlated with cancer outcomes, and all four studies prospectively collected and adjudicated pancreatic cancer events using similar criteria.</w:t>
      </w:r>
      <w:r w:rsidR="00512A96">
        <w:t xml:space="preserve"> </w:t>
      </w:r>
      <w:r w:rsidR="00581CF1">
        <w:t xml:space="preserve">In this analysis, LEADER is an outlier, with an </w:t>
      </w:r>
      <w:r w:rsidR="00955864">
        <w:t>OR</w:t>
      </w:r>
      <w:r w:rsidR="00581CF1">
        <w:t xml:space="preserve"> nearly 3 times that of the other GLP-1 </w:t>
      </w:r>
      <w:r w:rsidR="00FC570A">
        <w:t xml:space="preserve">RA </w:t>
      </w:r>
      <w:r w:rsidR="00581CF1">
        <w:t>studies</w:t>
      </w:r>
      <w:r w:rsidR="00955864">
        <w:t>,</w:t>
      </w:r>
      <w:r w:rsidR="00581CF1">
        <w:t xml:space="preserve"> which all have </w:t>
      </w:r>
      <w:r w:rsidR="00955864">
        <w:t>ORs</w:t>
      </w:r>
      <w:r w:rsidR="00581CF1">
        <w:t xml:space="preserve"> &lt;1.</w:t>
      </w:r>
      <w:r w:rsidR="00512A96">
        <w:t xml:space="preserve"> </w:t>
      </w:r>
      <w:r w:rsidR="00EF71BA">
        <w:t>Th</w:t>
      </w:r>
      <w:r w:rsidR="00FC570A">
        <w:t>is</w:t>
      </w:r>
      <w:r w:rsidR="00EF71BA">
        <w:t xml:space="preserve"> within-trial </w:t>
      </w:r>
      <w:r w:rsidR="00FC570A">
        <w:t xml:space="preserve">imbalance in pancreatic cancer events </w:t>
      </w:r>
      <w:r w:rsidR="00EF71BA">
        <w:t>remains unexplained</w:t>
      </w:r>
      <w:r w:rsidR="00955864">
        <w:t>,</w:t>
      </w:r>
      <w:r w:rsidR="00EF71BA">
        <w:t xml:space="preserve"> and a chance finding cannot be excluded.</w:t>
      </w:r>
      <w:r w:rsidR="00512A96">
        <w:t xml:space="preserve"> </w:t>
      </w:r>
      <w:r w:rsidR="00FC570A">
        <w:t xml:space="preserve">Additional LEADER analyses including both adjudicated pancreatic cancer events and pancreatic cancers identified from death adjudication information (using less stringent definitions for pancreatic cancer) identified </w:t>
      </w:r>
      <w:r w:rsidR="00955864">
        <w:t xml:space="preserve">four </w:t>
      </w:r>
      <w:r w:rsidR="00FC570A">
        <w:t xml:space="preserve">additional events in the placebo group, bringing </w:t>
      </w:r>
      <w:r w:rsidR="00955864">
        <w:t xml:space="preserve">the </w:t>
      </w:r>
      <w:r w:rsidR="00FC570A">
        <w:t>totals to 13 events in the liraglutide group and 9 in the placebo group,</w:t>
      </w:r>
      <w:r w:rsidR="002F33FB" w:rsidRPr="002F33FB">
        <w:rPr>
          <w:vertAlign w:val="superscript"/>
        </w:rPr>
        <w:t>4</w:t>
      </w:r>
      <w:r w:rsidR="00FC570A">
        <w:t xml:space="preserve"> suggesting a lesser impact on pancreatic cancer than was seen in the primary analysis.</w:t>
      </w:r>
      <w:r w:rsidR="00512A96">
        <w:t xml:space="preserve"> </w:t>
      </w:r>
      <w:r w:rsidR="00FC570A">
        <w:t xml:space="preserve">It is reassuring that our </w:t>
      </w:r>
      <w:r w:rsidR="00EF71BA">
        <w:t>meta-analysis</w:t>
      </w:r>
      <w:r w:rsidR="00FC570A">
        <w:t xml:space="preserve"> identified </w:t>
      </w:r>
      <w:r w:rsidR="00EF71BA">
        <w:t xml:space="preserve">no excess of pancreatic cancers </w:t>
      </w:r>
      <w:r w:rsidR="00FC570A">
        <w:t>in the GLP-1 RA group</w:t>
      </w:r>
      <w:r w:rsidR="00EF71BA">
        <w:t xml:space="preserve"> (HR 0</w:t>
      </w:r>
      <w:r w:rsidR="009A5DD1">
        <w:t>·</w:t>
      </w:r>
      <w:r w:rsidR="00EF71BA">
        <w:t>84, 95%</w:t>
      </w:r>
      <w:r w:rsidR="009A5DD1">
        <w:t xml:space="preserve"> </w:t>
      </w:r>
      <w:r w:rsidR="00EF71BA">
        <w:t>C</w:t>
      </w:r>
      <w:r w:rsidR="009A5DD1">
        <w:t>I</w:t>
      </w:r>
      <w:r w:rsidR="00EF71BA">
        <w:t xml:space="preserve"> 0</w:t>
      </w:r>
      <w:r w:rsidR="009A5DD1">
        <w:t>·</w:t>
      </w:r>
      <w:r w:rsidR="00EF71BA">
        <w:t>33</w:t>
      </w:r>
      <w:r w:rsidR="009A5DD1">
        <w:t>–</w:t>
      </w:r>
      <w:r w:rsidR="00EF71BA">
        <w:t>2</w:t>
      </w:r>
      <w:r w:rsidR="009A5DD1">
        <w:t>·</w:t>
      </w:r>
      <w:r w:rsidR="00EF71BA">
        <w:t xml:space="preserve">11), </w:t>
      </w:r>
      <w:r w:rsidR="00FC570A">
        <w:t xml:space="preserve">but </w:t>
      </w:r>
      <w:r w:rsidR="00581CF1">
        <w:t>the small number of accrued events (32 with GLP-1 RA and 34 with placebo)</w:t>
      </w:r>
      <w:r w:rsidR="00EF71BA">
        <w:t xml:space="preserve"> and a significant degree of heterogeneity between trials means that </w:t>
      </w:r>
      <w:r w:rsidR="00581CF1">
        <w:t xml:space="preserve">pooled findings for </w:t>
      </w:r>
      <w:r w:rsidR="008026EC">
        <w:t xml:space="preserve">pancreatic cancer </w:t>
      </w:r>
      <w:r w:rsidR="00581CF1">
        <w:t xml:space="preserve">should be interpreted with caution. </w:t>
      </w:r>
    </w:p>
    <w:p w14:paraId="216583A3" w14:textId="790A2A2B" w:rsidR="00735E8E" w:rsidRDefault="00E408BF">
      <w:r>
        <w:t xml:space="preserve"> </w:t>
      </w:r>
      <w:r w:rsidR="00887471">
        <w:t xml:space="preserve">An early concern for the GLP-1 RA class was </w:t>
      </w:r>
      <w:r w:rsidR="0068266A">
        <w:t xml:space="preserve">the potential for an </w:t>
      </w:r>
      <w:r w:rsidR="00887471">
        <w:t>increased risk of thyroid C-cell adenomas</w:t>
      </w:r>
      <w:r w:rsidR="00B06AE8">
        <w:t xml:space="preserve"> and medullary thyroid carcinomas, a finding seen in animal data but not replicated in humans.</w:t>
      </w:r>
      <w:r w:rsidR="00512A96" w:rsidRPr="00512A96">
        <w:rPr>
          <w:vertAlign w:val="superscript"/>
        </w:rPr>
        <w:t>1</w:t>
      </w:r>
      <w:r w:rsidR="004F461A">
        <w:rPr>
          <w:vertAlign w:val="superscript"/>
        </w:rPr>
        <w:t>6</w:t>
      </w:r>
      <w:r w:rsidR="00512A96">
        <w:t xml:space="preserve"> </w:t>
      </w:r>
      <w:r w:rsidR="00B06AE8">
        <w:t>Medullary thyroid cancers are uncommon</w:t>
      </w:r>
      <w:r w:rsidR="00E762A4">
        <w:t xml:space="preserve">, making meta-analysis a potentially useful tool to combine available data across trials, </w:t>
      </w:r>
      <w:r w:rsidR="005F2618">
        <w:t>but here small event numbers</w:t>
      </w:r>
      <w:r w:rsidR="00E67792">
        <w:t xml:space="preserve"> and trials with zero reported events in either treatment arm </w:t>
      </w:r>
      <w:r w:rsidR="005F2618">
        <w:t xml:space="preserve">makes interpretation of the </w:t>
      </w:r>
      <w:r w:rsidR="00E67792">
        <w:t xml:space="preserve">combined </w:t>
      </w:r>
      <w:r w:rsidR="005F2618">
        <w:t>results difficult.</w:t>
      </w:r>
      <w:r w:rsidR="00512A96">
        <w:t xml:space="preserve"> </w:t>
      </w:r>
      <w:r w:rsidR="008026EC">
        <w:t>None of the trials have identified meaningful changes in calcitonin levels associated with active treatment.</w:t>
      </w:r>
      <w:r w:rsidR="00512A96">
        <w:t xml:space="preserve"> </w:t>
      </w:r>
      <w:r w:rsidR="005C15EF">
        <w:t>An unexpected finding in LEADER and EXSCEL was an imbalance</w:t>
      </w:r>
      <w:r w:rsidR="00E67792">
        <w:t xml:space="preserve"> favouring placebo</w:t>
      </w:r>
      <w:r w:rsidR="005C15EF">
        <w:t xml:space="preserve"> in papillary thyroid cancer incidence, but </w:t>
      </w:r>
      <w:r w:rsidR="00E67792">
        <w:t>similar trends were not seen for ELIXA or SUSTAIN-6</w:t>
      </w:r>
      <w:r w:rsidR="0067070A">
        <w:t xml:space="preserve"> (</w:t>
      </w:r>
      <w:r w:rsidR="00F8519F">
        <w:t xml:space="preserve">supplementary table </w:t>
      </w:r>
      <w:r w:rsidR="0067070A">
        <w:t>S2)</w:t>
      </w:r>
      <w:r w:rsidR="002C3D25">
        <w:t>.</w:t>
      </w:r>
      <w:r w:rsidR="00512A96">
        <w:t xml:space="preserve"> </w:t>
      </w:r>
      <w:r w:rsidR="0013248E">
        <w:t xml:space="preserve">Although </w:t>
      </w:r>
      <w:r w:rsidR="00F82F4C">
        <w:t>GLP-1 re</w:t>
      </w:r>
      <w:r w:rsidR="00046EC9">
        <w:t>ceptors have been identified by immunocytochemistry in some papillary thyroid carcinomas, suggesting potential of GLP-1 RA to influence cell growth rates, these findings have not been consistent across all studies.</w:t>
      </w:r>
      <w:r w:rsidR="00512A96" w:rsidRPr="00512A96">
        <w:rPr>
          <w:vertAlign w:val="superscript"/>
        </w:rPr>
        <w:t>1</w:t>
      </w:r>
      <w:r w:rsidR="004F461A">
        <w:rPr>
          <w:vertAlign w:val="superscript"/>
        </w:rPr>
        <w:t>7</w:t>
      </w:r>
      <w:r w:rsidR="00512A96" w:rsidRPr="00512A96">
        <w:rPr>
          <w:vertAlign w:val="superscript"/>
        </w:rPr>
        <w:t>,1</w:t>
      </w:r>
      <w:r w:rsidR="004F461A">
        <w:rPr>
          <w:vertAlign w:val="superscript"/>
        </w:rPr>
        <w:t>8</w:t>
      </w:r>
      <w:r w:rsidR="00512A96">
        <w:t xml:space="preserve"> </w:t>
      </w:r>
      <w:r w:rsidR="00E80BC5">
        <w:t xml:space="preserve">The pathophysiology of both </w:t>
      </w:r>
      <w:r w:rsidR="0013248E">
        <w:t xml:space="preserve">papillary and medullary thyroid cancers </w:t>
      </w:r>
      <w:r w:rsidR="00E80BC5">
        <w:t xml:space="preserve">suggests that transformation of normal </w:t>
      </w:r>
      <w:r w:rsidR="0013248E">
        <w:t xml:space="preserve">to potentially malignant </w:t>
      </w:r>
      <w:r w:rsidR="00E80BC5">
        <w:t>cells is a chronic process unlikely to be detected during the comparatively brief follow-up provided in these trials.</w:t>
      </w:r>
      <w:r w:rsidR="00512A96">
        <w:t xml:space="preserve"> </w:t>
      </w:r>
    </w:p>
    <w:p w14:paraId="4E77C494" w14:textId="4204C0FA" w:rsidR="00FF765F" w:rsidRDefault="008D1F91">
      <w:r>
        <w:t xml:space="preserve">Strengths of this meta-analysis are that all trials included were multinational, </w:t>
      </w:r>
      <w:r w:rsidR="00CA5A64">
        <w:t xml:space="preserve">large, </w:t>
      </w:r>
      <w:r>
        <w:t>randomi</w:t>
      </w:r>
      <w:r w:rsidR="000607BC">
        <w:t>s</w:t>
      </w:r>
      <w:r>
        <w:t xml:space="preserve">ed, </w:t>
      </w:r>
      <w:r w:rsidR="006A2146">
        <w:t xml:space="preserve">and </w:t>
      </w:r>
      <w:r>
        <w:t>placebo-</w:t>
      </w:r>
      <w:r w:rsidR="006A2146">
        <w:t xml:space="preserve">controlled, </w:t>
      </w:r>
      <w:r w:rsidR="00735E8E">
        <w:t xml:space="preserve">and </w:t>
      </w:r>
      <w:r>
        <w:t>prospectively collected events of interest using similar definitions and adjudication processes.</w:t>
      </w:r>
      <w:r w:rsidR="00512A96">
        <w:t xml:space="preserve"> </w:t>
      </w:r>
      <w:r>
        <w:t>The exception is for severe hypoglycaemic events where there were minor differences in event definitions, but more importantly, the protocol</w:t>
      </w:r>
      <w:r w:rsidR="006A2146">
        <w:t>-</w:t>
      </w:r>
      <w:r>
        <w:t xml:space="preserve">specified management of </w:t>
      </w:r>
      <w:r w:rsidR="00735E8E">
        <w:t>concomitant diabetes medications may have influenced rates of hypoglycaemia.</w:t>
      </w:r>
      <w:r w:rsidR="00512A96">
        <w:t xml:space="preserve"> </w:t>
      </w:r>
      <w:r w:rsidR="00735E8E">
        <w:t xml:space="preserve">These factors make head-to-head comparisons of rates of hypoglycaemia difficult </w:t>
      </w:r>
      <w:r w:rsidR="006E2700">
        <w:t xml:space="preserve">to interpret among </w:t>
      </w:r>
      <w:r w:rsidR="00735E8E">
        <w:t>the trials and have significant impact on the meta-analysis, meaning that these findings should be interpreted with caution.</w:t>
      </w:r>
      <w:r w:rsidR="00512A96">
        <w:t xml:space="preserve"> </w:t>
      </w:r>
    </w:p>
    <w:p w14:paraId="63BD3CBA" w14:textId="70B78ACA" w:rsidR="00592111" w:rsidRDefault="00AA62E7">
      <w:r>
        <w:t xml:space="preserve">This analysis has multiple limitations. </w:t>
      </w:r>
      <w:r w:rsidR="003E7BFB">
        <w:t>P</w:t>
      </w:r>
      <w:r w:rsidR="00FF765F">
        <w:t xml:space="preserve">atient-level data </w:t>
      </w:r>
      <w:r w:rsidR="003E7BFB">
        <w:t xml:space="preserve">may </w:t>
      </w:r>
      <w:r w:rsidR="00FF765F">
        <w:t xml:space="preserve">be </w:t>
      </w:r>
      <w:r w:rsidR="003E7BFB">
        <w:t xml:space="preserve">considered </w:t>
      </w:r>
      <w:r w:rsidR="00FF765F">
        <w:t>the gold standard for meta-analysis. Here we have used only aggregate data</w:t>
      </w:r>
      <w:r w:rsidR="005E2215">
        <w:t>,</w:t>
      </w:r>
      <w:r w:rsidR="00FF765F">
        <w:t xml:space="preserve"> which limits our ability to delve further into subgroups of interest</w:t>
      </w:r>
      <w:r w:rsidR="00A5444E">
        <w:t>, t</w:t>
      </w:r>
      <w:r w:rsidR="00FF765F">
        <w:t>o quantify cumulative follow-up time for safety events</w:t>
      </w:r>
      <w:r w:rsidR="00A5444E">
        <w:t>, or to fully understand the implications for any missing data</w:t>
      </w:r>
      <w:r w:rsidR="00FF765F">
        <w:t xml:space="preserve">. However, the use of common event definitions across trials, particularly for CV efficacy outcomes, ensures that our analysis has not been compromised by </w:t>
      </w:r>
      <w:r w:rsidR="00A5444E">
        <w:t xml:space="preserve">meaningful differences in event ascertainment or adjudication processes. </w:t>
      </w:r>
      <w:r w:rsidR="00735E8E">
        <w:t>Our findings are also limited by the duration of follow</w:t>
      </w:r>
      <w:r w:rsidR="006601CD">
        <w:t>-</w:t>
      </w:r>
      <w:r w:rsidR="00735E8E">
        <w:t>up for the included studies.</w:t>
      </w:r>
      <w:r w:rsidR="00512A96">
        <w:t xml:space="preserve"> </w:t>
      </w:r>
      <w:r w:rsidR="00735E8E">
        <w:t>Although these are considered longer term outcomes studies, they still only span 2-4 years</w:t>
      </w:r>
      <w:r w:rsidR="0013248E">
        <w:t xml:space="preserve">, </w:t>
      </w:r>
      <w:r w:rsidR="00735E8E">
        <w:t xml:space="preserve">a fraction of the time patients are likely to </w:t>
      </w:r>
      <w:r w:rsidR="00A90B31">
        <w:t xml:space="preserve">use </w:t>
      </w:r>
      <w:r w:rsidR="006A2146">
        <w:t xml:space="preserve">a </w:t>
      </w:r>
      <w:r w:rsidR="00735E8E">
        <w:t>GLP-1 RA in clinical practice.</w:t>
      </w:r>
      <w:r w:rsidR="00512A96">
        <w:t xml:space="preserve"> </w:t>
      </w:r>
      <w:r w:rsidR="00735E8E">
        <w:t>Although it is reassuring that there are no signals for harm for pancreatitis and cancer outcomes, neither the individual trials nor this meta-analysis can exclude additional benefits or harms that might accrue over longer exposure times.</w:t>
      </w:r>
      <w:r w:rsidR="00A5444E">
        <w:t xml:space="preserve"> </w:t>
      </w:r>
      <w:r w:rsidR="00474222">
        <w:t xml:space="preserve">Furthermore, </w:t>
      </w:r>
      <w:r w:rsidR="00923A30">
        <w:t xml:space="preserve">no head to head </w:t>
      </w:r>
      <w:r w:rsidR="00642F35">
        <w:t>CV outcomes trials have been performed</w:t>
      </w:r>
      <w:r w:rsidR="00923A30">
        <w:t xml:space="preserve">, limiting detection of </w:t>
      </w:r>
      <w:r w:rsidR="001871F1">
        <w:t xml:space="preserve">outcome </w:t>
      </w:r>
      <w:r w:rsidR="00923A30">
        <w:t>differences between GLP-1</w:t>
      </w:r>
      <w:r w:rsidR="00EF5F00">
        <w:t xml:space="preserve"> </w:t>
      </w:r>
      <w:r w:rsidR="00923A30">
        <w:t>RA of different structure</w:t>
      </w:r>
      <w:r w:rsidR="00F75AB8">
        <w:t xml:space="preserve"> or </w:t>
      </w:r>
      <w:r w:rsidR="00923A30">
        <w:t xml:space="preserve">potency. </w:t>
      </w:r>
      <w:r w:rsidR="00A5444E">
        <w:t xml:space="preserve">Finally, the generalizability of these aggregate treatment effect sizes is informed by the populations studied and, as such, </w:t>
      </w:r>
      <w:r w:rsidR="003E72BD">
        <w:t>is</w:t>
      </w:r>
      <w:r w:rsidR="00A5444E">
        <w:t xml:space="preserve"> less applicable to patients with diabetes who are at relatively low CV risk</w:t>
      </w:r>
      <w:r w:rsidR="00FA4706">
        <w:t>.</w:t>
      </w:r>
    </w:p>
    <w:p w14:paraId="1FBEC662" w14:textId="56A31AE1" w:rsidR="00642F35" w:rsidRDefault="00046EC9" w:rsidP="00701394">
      <w:r>
        <w:t xml:space="preserve">Overall, this meta-analysis shows a consistent </w:t>
      </w:r>
      <w:r w:rsidR="00081735">
        <w:t>finding of</w:t>
      </w:r>
      <w:r>
        <w:t xml:space="preserve"> </w:t>
      </w:r>
      <w:r w:rsidR="004F4983">
        <w:t xml:space="preserve">CV </w:t>
      </w:r>
      <w:r>
        <w:t>safety across all GLP-</w:t>
      </w:r>
      <w:r w:rsidR="00906CC0">
        <w:t xml:space="preserve">1 </w:t>
      </w:r>
      <w:r>
        <w:t xml:space="preserve">RA </w:t>
      </w:r>
      <w:r w:rsidR="00906CC0">
        <w:t>drugs</w:t>
      </w:r>
      <w:r w:rsidR="0080491A">
        <w:t xml:space="preserve"> evaluated and suggest</w:t>
      </w:r>
      <w:r w:rsidR="006921A8">
        <w:t>s</w:t>
      </w:r>
      <w:r w:rsidR="0080491A">
        <w:t xml:space="preserve"> that this class of glucose-lowering a</w:t>
      </w:r>
      <w:r w:rsidR="00906CC0">
        <w:t>gents appear</w:t>
      </w:r>
      <w:r w:rsidR="00C23C1D">
        <w:t>s</w:t>
      </w:r>
      <w:r w:rsidR="00906CC0">
        <w:t xml:space="preserve"> to reduce </w:t>
      </w:r>
      <w:r w:rsidR="00C23C1D">
        <w:t xml:space="preserve">3-point </w:t>
      </w:r>
      <w:r>
        <w:t xml:space="preserve">MACE events, </w:t>
      </w:r>
      <w:r w:rsidR="004F4983">
        <w:t xml:space="preserve">CV </w:t>
      </w:r>
      <w:r>
        <w:t>mortality, and all</w:t>
      </w:r>
      <w:r w:rsidR="006601CD">
        <w:t>-</w:t>
      </w:r>
      <w:r>
        <w:t>cause mortality.</w:t>
      </w:r>
      <w:r w:rsidR="00512A96">
        <w:t xml:space="preserve"> </w:t>
      </w:r>
      <w:r>
        <w:t>We have not identified any signals for harm for severe hypoglycaemia, pancreatitis</w:t>
      </w:r>
      <w:r w:rsidR="00E80BC5">
        <w:t>, or pancreatic cancer</w:t>
      </w:r>
      <w:r w:rsidR="00906CC0">
        <w:t>.</w:t>
      </w:r>
      <w:r w:rsidR="00512A96">
        <w:t xml:space="preserve"> </w:t>
      </w:r>
      <w:r w:rsidR="00E80BC5">
        <w:t>Early concerns about GLP-1 RA</w:t>
      </w:r>
      <w:r w:rsidR="006A2146">
        <w:t>–</w:t>
      </w:r>
      <w:r w:rsidR="00E80BC5">
        <w:t xml:space="preserve">induced medullary thyroid cancers have not </w:t>
      </w:r>
      <w:r w:rsidR="006A2146">
        <w:t xml:space="preserve">been </w:t>
      </w:r>
      <w:r w:rsidR="00E80BC5">
        <w:t>borne out in th</w:t>
      </w:r>
      <w:r w:rsidR="00A90B31">
        <w:t>is</w:t>
      </w:r>
      <w:r w:rsidR="00E80BC5">
        <w:t xml:space="preserve"> analysis, although the </w:t>
      </w:r>
      <w:r w:rsidR="00906CC0">
        <w:t xml:space="preserve">available data </w:t>
      </w:r>
      <w:r w:rsidR="00E80BC5">
        <w:t xml:space="preserve">do not permit robust </w:t>
      </w:r>
      <w:r w:rsidR="00877D9E">
        <w:t>conclusions</w:t>
      </w:r>
      <w:r w:rsidR="00E80BC5">
        <w:t>.</w:t>
      </w:r>
      <w:r w:rsidR="00512A96">
        <w:t xml:space="preserve"> </w:t>
      </w:r>
    </w:p>
    <w:p w14:paraId="1D4AA96C" w14:textId="60AE1896" w:rsidR="00701394" w:rsidRDefault="007A59DD" w:rsidP="00701394">
      <w:r>
        <w:t>The capacity of GLP-</w:t>
      </w:r>
      <w:r w:rsidR="00EF5F00">
        <w:t xml:space="preserve">1 </w:t>
      </w:r>
      <w:r>
        <w:t xml:space="preserve">RAs to reduce major adverse </w:t>
      </w:r>
      <w:r w:rsidR="004F4983">
        <w:t xml:space="preserve">CV </w:t>
      </w:r>
      <w:r>
        <w:t xml:space="preserve">events in patients with type 2 diabetes </w:t>
      </w:r>
      <w:r w:rsidR="00F92BF4">
        <w:t>at</w:t>
      </w:r>
      <w:r>
        <w:t xml:space="preserve"> </w:t>
      </w:r>
      <w:r w:rsidR="00F92BF4">
        <w:t xml:space="preserve">moderate to </w:t>
      </w:r>
      <w:r>
        <w:t xml:space="preserve">high </w:t>
      </w:r>
      <w:r w:rsidR="004F4983">
        <w:t xml:space="preserve">CV </w:t>
      </w:r>
      <w:r>
        <w:t xml:space="preserve">risk </w:t>
      </w:r>
      <w:r w:rsidR="00F92BF4">
        <w:t xml:space="preserve">and to do so </w:t>
      </w:r>
      <w:r>
        <w:t xml:space="preserve">without </w:t>
      </w:r>
      <w:r w:rsidR="00F92BF4">
        <w:t>detrimental impact on other safety parameters represents a major therapeutic advance.</w:t>
      </w:r>
      <w:r w:rsidR="00642F35">
        <w:t xml:space="preserve"> </w:t>
      </w:r>
      <w:r w:rsidR="00F0065A">
        <w:t>E</w:t>
      </w:r>
      <w:r w:rsidR="00F75AB8">
        <w:t xml:space="preserve">xisting </w:t>
      </w:r>
      <w:r w:rsidR="00F92BF4" w:rsidRPr="00F75AB8">
        <w:t xml:space="preserve">data show that the risk-benefit profile for the </w:t>
      </w:r>
      <w:r w:rsidR="00863E9C" w:rsidRPr="00F75AB8">
        <w:t xml:space="preserve">GLP-1RA </w:t>
      </w:r>
      <w:r w:rsidR="00F92BF4" w:rsidRPr="00F75AB8">
        <w:t>class seems favourably balanced</w:t>
      </w:r>
      <w:r w:rsidR="00F75AB8" w:rsidRPr="00F75AB8">
        <w:t xml:space="preserve">, </w:t>
      </w:r>
      <w:r w:rsidR="00F0065A">
        <w:t xml:space="preserve">but </w:t>
      </w:r>
      <w:r w:rsidR="0063425C">
        <w:t>class eff</w:t>
      </w:r>
      <w:r w:rsidR="00F0065A">
        <w:t>ects</w:t>
      </w:r>
      <w:r w:rsidR="00A26AF3" w:rsidRPr="00A26AF3">
        <w:t xml:space="preserve"> </w:t>
      </w:r>
      <w:r w:rsidR="00A26AF3">
        <w:t>generally used</w:t>
      </w:r>
      <w:r w:rsidR="00F0065A">
        <w:t xml:space="preserve"> to categorize drugs are </w:t>
      </w:r>
      <w:r w:rsidR="0063425C">
        <w:t>less useful when making individual patient treatment decisions. D</w:t>
      </w:r>
      <w:r w:rsidR="00F75AB8" w:rsidRPr="00F75AB8">
        <w:t>ifferences</w:t>
      </w:r>
      <w:r w:rsidR="003E72BD" w:rsidRPr="00F75AB8">
        <w:t xml:space="preserve"> between the </w:t>
      </w:r>
      <w:r w:rsidR="008845FF">
        <w:t xml:space="preserve">GLP-1 RA </w:t>
      </w:r>
      <w:r w:rsidR="003E72BD" w:rsidRPr="00F75AB8">
        <w:t>drugs do exist in their structure, potency, and CV risk impact</w:t>
      </w:r>
      <w:r w:rsidR="00F75AB8">
        <w:t>. The</w:t>
      </w:r>
      <w:r w:rsidR="00642F35">
        <w:t xml:space="preserve"> choice of GLP-1 RA for an individual patient should be based on available evidence for impact on CV risk, incorporating </w:t>
      </w:r>
      <w:r w:rsidR="00595CB0">
        <w:t xml:space="preserve">drug characteristics important to patients, including convenience, potency, ease-of-delivery, tolerability, and price.   </w:t>
      </w:r>
    </w:p>
    <w:p w14:paraId="502EFCEF" w14:textId="77777777" w:rsidR="00512A96" w:rsidRDefault="00512A96">
      <w:r>
        <w:br w:type="page"/>
      </w:r>
    </w:p>
    <w:p w14:paraId="35AA30AC" w14:textId="77777777" w:rsidR="008A4CC5" w:rsidRDefault="008A4CC5" w:rsidP="00C81F7F">
      <w:pPr>
        <w:spacing w:after="120"/>
        <w:rPr>
          <w:b/>
        </w:rPr>
      </w:pPr>
      <w:r>
        <w:rPr>
          <w:b/>
        </w:rPr>
        <w:t>Contributors</w:t>
      </w:r>
    </w:p>
    <w:p w14:paraId="5D19F3C6" w14:textId="19E6E0A9" w:rsidR="008A4CC5" w:rsidRPr="008A4CC5" w:rsidRDefault="00C81F7F" w:rsidP="00C81F7F">
      <w:pPr>
        <w:spacing w:after="0"/>
      </w:pPr>
      <w:r>
        <w:t xml:space="preserve">MAB contributed to the literature search, figures, study design, data analysis, interpretation and drafted and edited the manuscript; RAP performed the literature search and collected the data, contributed to the figures, contributed to data interpretation and edited the manuscript; PM </w:t>
      </w:r>
      <w:r w:rsidR="0000070F">
        <w:t>and</w:t>
      </w:r>
      <w:r>
        <w:t xml:space="preserve"> YL performed the statistical analysis, figure design, and edited the manuscript; JBB</w:t>
      </w:r>
      <w:r w:rsidR="00A865BA">
        <w:t>,</w:t>
      </w:r>
      <w:r>
        <w:t xml:space="preserve"> RJM,NJP, JCC,</w:t>
      </w:r>
      <w:r w:rsidR="00A865BA">
        <w:t xml:space="preserve"> </w:t>
      </w:r>
      <w:r>
        <w:t>SMG, NI, APM,</w:t>
      </w:r>
      <w:r w:rsidR="00A865BA">
        <w:t xml:space="preserve"> </w:t>
      </w:r>
      <w:r>
        <w:t>PO, NP, AR, BZ, and AFH contributed to the study design and edited the manuscript; RRH contributed to the study design and interpretation, and edited the manuscript.</w:t>
      </w:r>
    </w:p>
    <w:p w14:paraId="47A9E319" w14:textId="77777777" w:rsidR="008A4CC5" w:rsidRDefault="008A4CC5" w:rsidP="00C81F7F">
      <w:pPr>
        <w:spacing w:after="0"/>
        <w:rPr>
          <w:b/>
        </w:rPr>
      </w:pPr>
    </w:p>
    <w:p w14:paraId="5B7A0CB3" w14:textId="77777777" w:rsidR="00512A96" w:rsidRPr="00512A96" w:rsidRDefault="008A4CC5" w:rsidP="00C81F7F">
      <w:pPr>
        <w:spacing w:after="120"/>
        <w:rPr>
          <w:b/>
        </w:rPr>
      </w:pPr>
      <w:r>
        <w:rPr>
          <w:b/>
        </w:rPr>
        <w:t>Declaration of Interests</w:t>
      </w:r>
    </w:p>
    <w:p w14:paraId="744607F7" w14:textId="2B49B4E6" w:rsidR="00FD797F" w:rsidRDefault="00512A96" w:rsidP="00A865BA">
      <w:pPr>
        <w:spacing w:after="120"/>
      </w:pPr>
      <w:r w:rsidRPr="001E3481">
        <w:rPr>
          <w:b/>
        </w:rPr>
        <w:t>MAB</w:t>
      </w:r>
      <w:r>
        <w:t xml:space="preserve"> reports receiving research support from Merck and Astra Zeneca; participating in advisory boards for Boehringer Ingelheim and NovoNordisk; receiving honoraria, personal fees, and other support from Merck, Novo Nordisk, Astra Zeneca, and Sanofi; and receiving non-financial research support from Bayer and Merck Serono. </w:t>
      </w:r>
      <w:r w:rsidR="001E3481" w:rsidRPr="001E3481">
        <w:rPr>
          <w:b/>
        </w:rPr>
        <w:t>RAP</w:t>
      </w:r>
      <w:r w:rsidR="001E3481">
        <w:t xml:space="preserve"> reports no disclosures. </w:t>
      </w:r>
      <w:r w:rsidR="001E3481" w:rsidRPr="001E3481">
        <w:rPr>
          <w:b/>
        </w:rPr>
        <w:t>PM</w:t>
      </w:r>
      <w:r w:rsidR="001E3481">
        <w:t xml:space="preserve"> reports no disclosures. </w:t>
      </w:r>
      <w:r w:rsidR="001E3481" w:rsidRPr="001E3481">
        <w:rPr>
          <w:b/>
        </w:rPr>
        <w:t>YL</w:t>
      </w:r>
      <w:r w:rsidR="001E3481">
        <w:t xml:space="preserve"> reports receiving grants from Amylin Pharmaceuticals Inc. (a wholly owned subsidiary of AstraZeneca) during the conduct of the study, and grants from Merck, Janssen Research &amp; Development, GlaxoSmithKline, and Bayer HealthCare AG outside the submitted work. </w:t>
      </w:r>
      <w:r w:rsidRPr="001E3481">
        <w:rPr>
          <w:b/>
        </w:rPr>
        <w:t>JBB</w:t>
      </w:r>
      <w:r>
        <w:t xml:space="preserve"> reports receiving grants, non-financial support and other from AstraZeneca, grants from National Institutes of Health award UL1TR001111, during the conduct of the study; grants, non-financial support and other from Eli Lilly, grants, non-financial support and other from GI Dynamics, non-financial support and other from Elcylex Therapeutics, Inc., grants, non-financial support and other from Merck, non-financial support and other from Metavention, non-financial support and other from vTv Therapeutics, other from PhaseBio Pharmaceuticals, Inc, grants, non-financial support and other from AstraZeneca, non-financial support and other from Dance Biopharm, grants from Medtronic Minimed, grants, non-financial support and other from Sanofi, grants from Johnson &amp; Johnson, grants from Boehringer-Ingelheim, grants from GlaxoSmithKline, grants and other from Intarcia Therapeutics, grants, non-financial support and other from Lexicon, grants from Scion NeuroStim, grants, non-financial support and other from Orexigen, grants, non-financial support and other from Takeda, non-financial support and other from Adocia, grants from Theracos, grants, non-financial support and other from Novo Nordisk, other from Insulin Algorithms, grants from Bayer, other from Dexcom, other from Fractyl, other from Shenzen HighTide, other from NovaTarg, other from AstraZeneca HealthCare Foundation, outside the submitted work.</w:t>
      </w:r>
      <w:r w:rsidR="001E3481">
        <w:t xml:space="preserve"> </w:t>
      </w:r>
      <w:r w:rsidR="001E3481" w:rsidRPr="001E3481">
        <w:rPr>
          <w:b/>
        </w:rPr>
        <w:t>RJM</w:t>
      </w:r>
      <w:r w:rsidR="001E3481">
        <w:t xml:space="preserve"> reports receiving grants from AstraZeneca during the conduct of the study, and grants from GlaxoSmithKline and personal fees from Boehringer-Ingelheim outside the submitted work. </w:t>
      </w:r>
      <w:r w:rsidR="001E3481" w:rsidRPr="001E3481">
        <w:rPr>
          <w:b/>
        </w:rPr>
        <w:t>NJP</w:t>
      </w:r>
      <w:r w:rsidR="001E3481">
        <w:t xml:space="preserve"> reports ownership in: Freedom Health, Inc.; Physician Partners, LLC; RXAdvance, LLC; Florida Medical Associates, LLC. </w:t>
      </w:r>
      <w:r w:rsidRPr="001E3481">
        <w:rPr>
          <w:b/>
        </w:rPr>
        <w:t>JCC</w:t>
      </w:r>
      <w:r>
        <w:t xml:space="preserve"> reports receiving research grant and/or honoraria for consultancy and/or giving lectures from AstraZeneca, Bayer, Boehringer Ingelheim, Eli Lilly, GlaxoSmithKline, Merck Sharp &amp; Dohme, Novo Nordisk, Pfizer, and/or Sanofi (all proceeds have been donated to the Chinese University of Hong Kong to support research and education; the Chinese University of Hong Kong has received research grants and sponsorships from these companies). </w:t>
      </w:r>
      <w:r w:rsidRPr="001E3481">
        <w:rPr>
          <w:b/>
        </w:rPr>
        <w:t>SMG</w:t>
      </w:r>
      <w:r>
        <w:t xml:space="preserve">, </w:t>
      </w:r>
      <w:r w:rsidRPr="001E3481">
        <w:rPr>
          <w:b/>
        </w:rPr>
        <w:t>NI</w:t>
      </w:r>
      <w:r>
        <w:t xml:space="preserve"> and </w:t>
      </w:r>
      <w:r w:rsidRPr="001E3481">
        <w:rPr>
          <w:b/>
        </w:rPr>
        <w:t>PO</w:t>
      </w:r>
      <w:r>
        <w:t xml:space="preserve"> are employees of AstraZeneca. </w:t>
      </w:r>
      <w:r w:rsidRPr="001E3481">
        <w:rPr>
          <w:b/>
        </w:rPr>
        <w:t>APM</w:t>
      </w:r>
      <w:r>
        <w:t xml:space="preserve"> reports receiving honoraria from Bayer, Novartis, Cardiorentis, Fresenius for participation in study committees. </w:t>
      </w:r>
      <w:r w:rsidRPr="001E3481">
        <w:rPr>
          <w:b/>
        </w:rPr>
        <w:t>N</w:t>
      </w:r>
      <w:r w:rsidR="004F4983">
        <w:rPr>
          <w:b/>
        </w:rPr>
        <w:t>R</w:t>
      </w:r>
      <w:r w:rsidRPr="001E3481">
        <w:rPr>
          <w:b/>
        </w:rPr>
        <w:t>P</w:t>
      </w:r>
      <w:r>
        <w:t xml:space="preserve"> reports receiving personal fees and other support from Novo Nordisk during the conduct of the study; personal fees from Servier, Takeda, Novo Nordisk, and AstraZeneca, grants from Diabetes UK, the NIHR EME, Julius Clinical, and British Heart Foundation outside the submitted work. </w:t>
      </w:r>
      <w:r w:rsidRPr="001E3481">
        <w:rPr>
          <w:b/>
        </w:rPr>
        <w:t>AR</w:t>
      </w:r>
      <w:r>
        <w:t xml:space="preserve"> reports receiving remuneration for advisory board meetings from Merck, Sharp &amp; Dohme, and AstraZeneca; honoraria for lectures from Bayer, Novo Nordisk, Eli Lilly, Merck, Sharp &amp; Dohme, Sanofi-Aventis, and Novartis; and research grant support from AstraZeneca, Merck, Sharp &amp; Dohme, Novartis, and Sanofi-Aventis. </w:t>
      </w:r>
      <w:r w:rsidRPr="001E3481">
        <w:rPr>
          <w:b/>
        </w:rPr>
        <w:t>BZ</w:t>
      </w:r>
      <w:r>
        <w:t xml:space="preserve"> reports receiving personal fees from Abbott, Janssen, Sanofi, Eli Lilly, and Merck, and grants and personal fees from AstraZeneca, Boehringer Ingelheim, and Novo Nordisk outside the submitted work. </w:t>
      </w:r>
      <w:r w:rsidRPr="001E3481">
        <w:rPr>
          <w:b/>
        </w:rPr>
        <w:t>AFH</w:t>
      </w:r>
      <w:r>
        <w:t xml:space="preserve"> reports receiving research funding from AstraZeneca, GlaxoSmithKline, Merck, and Novartis; and consulting fees from AstraZeneca, Bayer, Boehringer Ingelheim, Boston Scientific, Merck, Novartis, and Pfizer. </w:t>
      </w:r>
      <w:r w:rsidR="001E3481" w:rsidRPr="001E3481">
        <w:rPr>
          <w:b/>
        </w:rPr>
        <w:t>RRH</w:t>
      </w:r>
      <w:r w:rsidR="001E3481">
        <w:t xml:space="preserve"> reports receiving grants from AstraZeneca during the conduct of the study, and grants and personal fees from Bayer, Boehringer Ingelheim and Merck, personal fees from Novartis, Amgen, and Servier, and other support from Elcelyx, GlaxoSmithKline, Janssen, and Takeda outside the submitted work. </w:t>
      </w:r>
    </w:p>
    <w:p w14:paraId="3DAC7FDF" w14:textId="77777777" w:rsidR="008A4CC5" w:rsidRDefault="008A4CC5" w:rsidP="00A865BA">
      <w:pPr>
        <w:spacing w:after="120"/>
        <w:rPr>
          <w:b/>
          <w:lang w:val="en-US"/>
        </w:rPr>
      </w:pPr>
    </w:p>
    <w:p w14:paraId="1DB272A5" w14:textId="77777777" w:rsidR="008A4CC5" w:rsidRPr="00015D17" w:rsidRDefault="008A4CC5" w:rsidP="00A865BA">
      <w:pPr>
        <w:spacing w:after="120"/>
        <w:rPr>
          <w:b/>
          <w:lang w:val="en-US"/>
        </w:rPr>
      </w:pPr>
      <w:r w:rsidRPr="00015D17">
        <w:rPr>
          <w:b/>
          <w:lang w:val="en-US"/>
        </w:rPr>
        <w:t>Acknowledgements</w:t>
      </w:r>
    </w:p>
    <w:p w14:paraId="61E4D53E" w14:textId="77777777" w:rsidR="008A4CC5" w:rsidRDefault="008A4CC5" w:rsidP="00A865BA">
      <w:pPr>
        <w:spacing w:after="120"/>
        <w:rPr>
          <w:lang w:val="en-US"/>
        </w:rPr>
      </w:pPr>
      <w:r w:rsidRPr="00015D17">
        <w:rPr>
          <w:lang w:val="en-US"/>
        </w:rPr>
        <w:t xml:space="preserve">Supported by Amylin Pharmaceuticals Inc., a wholly owned subsidiary of AstraZeneca. </w:t>
      </w:r>
    </w:p>
    <w:p w14:paraId="22D5994C" w14:textId="77777777" w:rsidR="00512A96" w:rsidRDefault="00512A96"/>
    <w:p w14:paraId="7766B00E" w14:textId="77777777" w:rsidR="00512A96" w:rsidRDefault="00512A96"/>
    <w:p w14:paraId="397CF2CF" w14:textId="77777777" w:rsidR="009E30CB" w:rsidRDefault="009E30CB">
      <w:pPr>
        <w:rPr>
          <w:b/>
        </w:rPr>
      </w:pPr>
      <w:r>
        <w:rPr>
          <w:b/>
        </w:rPr>
        <w:br w:type="page"/>
      </w:r>
    </w:p>
    <w:p w14:paraId="097BD46E" w14:textId="77777777" w:rsidR="00FD797F" w:rsidRDefault="00FD797F" w:rsidP="004613D3">
      <w:pPr>
        <w:spacing w:after="0" w:line="259" w:lineRule="auto"/>
        <w:rPr>
          <w:b/>
        </w:rPr>
      </w:pPr>
      <w:r>
        <w:rPr>
          <w:b/>
        </w:rPr>
        <w:t>References</w:t>
      </w:r>
    </w:p>
    <w:p w14:paraId="6E9142A5" w14:textId="77777777" w:rsidR="009E30CB" w:rsidRPr="00605644" w:rsidRDefault="009E30CB" w:rsidP="00512A96">
      <w:pPr>
        <w:spacing w:after="0" w:line="259" w:lineRule="auto"/>
        <w:ind w:left="360" w:hanging="360"/>
        <w:rPr>
          <w:lang w:val="sv-SE"/>
        </w:rPr>
      </w:pPr>
      <w:r>
        <w:t xml:space="preserve">1    Nauck M. Incretin therapies: highlighting common features and differences in the modes of action of glucagon-like peptide-1 receptor agonists and dipeptidyl peptidase-4 inhibitors. </w:t>
      </w:r>
      <w:r w:rsidRPr="00605644">
        <w:rPr>
          <w:i/>
          <w:iCs/>
          <w:lang w:val="sv-SE"/>
        </w:rPr>
        <w:t>Diabetes Obes Metab</w:t>
      </w:r>
      <w:r w:rsidRPr="00605644">
        <w:rPr>
          <w:lang w:val="sv-SE"/>
        </w:rPr>
        <w:t xml:space="preserve"> 2016; </w:t>
      </w:r>
      <w:r w:rsidRPr="00605644">
        <w:rPr>
          <w:b/>
          <w:bCs/>
          <w:lang w:val="sv-SE"/>
        </w:rPr>
        <w:t>18:</w:t>
      </w:r>
      <w:r w:rsidRPr="00605644">
        <w:rPr>
          <w:lang w:val="sv-SE"/>
        </w:rPr>
        <w:t xml:space="preserve"> 203-16. doi: 10.1111/dom.12591. </w:t>
      </w:r>
    </w:p>
    <w:p w14:paraId="55B6A71B" w14:textId="77777777" w:rsidR="009E30CB" w:rsidRDefault="009E30CB" w:rsidP="00512A96">
      <w:pPr>
        <w:spacing w:after="0" w:line="259" w:lineRule="auto"/>
        <w:ind w:left="360" w:hanging="360"/>
        <w:rPr>
          <w:sz w:val="24"/>
          <w:szCs w:val="24"/>
        </w:rPr>
      </w:pPr>
      <w:r w:rsidRPr="00605644">
        <w:rPr>
          <w:lang w:val="sv-SE"/>
        </w:rPr>
        <w:t xml:space="preserve">2    Nauck MA, Meier JJ, Cavender MA, Abd El Aziz M, Drucker DJ. </w:t>
      </w:r>
      <w:r>
        <w:t xml:space="preserve">Cardiovascular actions and clinical outcomes with glucagon-like peptide-1 receptor agonists and dipeptidyl peptidase-4 inhibitors. </w:t>
      </w:r>
      <w:r>
        <w:rPr>
          <w:i/>
          <w:iCs/>
        </w:rPr>
        <w:t>Circulation</w:t>
      </w:r>
      <w:r>
        <w:t xml:space="preserve"> 2017; </w:t>
      </w:r>
      <w:r>
        <w:rPr>
          <w:b/>
          <w:bCs/>
        </w:rPr>
        <w:t xml:space="preserve">136: </w:t>
      </w:r>
      <w:r>
        <w:t xml:space="preserve">849-70. doi: 10.1161/CIRCULATIONAHA.117.028136. </w:t>
      </w:r>
    </w:p>
    <w:p w14:paraId="5B3597B1" w14:textId="77777777" w:rsidR="009E30CB" w:rsidRPr="00605644" w:rsidRDefault="009E30CB" w:rsidP="00512A96">
      <w:pPr>
        <w:spacing w:after="0" w:line="259" w:lineRule="auto"/>
        <w:ind w:left="360" w:hanging="360"/>
        <w:rPr>
          <w:lang w:val="sv-SE"/>
        </w:rPr>
      </w:pPr>
      <w:r>
        <w:t xml:space="preserve">3    Pfeffer MA, Claggett B, Diaz R, et al. Lixisenatide in patients with type 2 diabetes and acute coronary syndrome. </w:t>
      </w:r>
      <w:r w:rsidRPr="00605644">
        <w:rPr>
          <w:i/>
          <w:iCs/>
          <w:lang w:val="sv-SE"/>
        </w:rPr>
        <w:t xml:space="preserve">N Engl J Med </w:t>
      </w:r>
      <w:r w:rsidRPr="00605644">
        <w:rPr>
          <w:lang w:val="sv-SE"/>
        </w:rPr>
        <w:t xml:space="preserve">2015; </w:t>
      </w:r>
      <w:r w:rsidRPr="00605644">
        <w:rPr>
          <w:b/>
          <w:bCs/>
          <w:lang w:val="sv-SE"/>
        </w:rPr>
        <w:t>373:</w:t>
      </w:r>
      <w:r w:rsidRPr="00605644">
        <w:rPr>
          <w:lang w:val="sv-SE"/>
        </w:rPr>
        <w:t xml:space="preserve"> 2247-57.</w:t>
      </w:r>
    </w:p>
    <w:p w14:paraId="320935D2" w14:textId="77777777" w:rsidR="009E30CB" w:rsidRDefault="009E30CB" w:rsidP="00512A96">
      <w:pPr>
        <w:spacing w:after="0" w:line="259" w:lineRule="auto"/>
        <w:ind w:left="360" w:hanging="360"/>
      </w:pPr>
      <w:r w:rsidRPr="00605644">
        <w:rPr>
          <w:lang w:val="sv-SE"/>
        </w:rPr>
        <w:t xml:space="preserve">4    Marso SP, Daniels GH, Brown-Frandsen K, et al. </w:t>
      </w:r>
      <w:r>
        <w:t xml:space="preserve">Liraglutide and cardiovascular outcomes in type 2 diabetes. </w:t>
      </w:r>
      <w:r w:rsidRPr="004F461A">
        <w:rPr>
          <w:i/>
        </w:rPr>
        <w:t>N Engl J Med</w:t>
      </w:r>
      <w:r>
        <w:t xml:space="preserve"> 2016; </w:t>
      </w:r>
      <w:r>
        <w:rPr>
          <w:b/>
          <w:bCs/>
        </w:rPr>
        <w:t>375:</w:t>
      </w:r>
      <w:r>
        <w:t xml:space="preserve"> 311-22.</w:t>
      </w:r>
    </w:p>
    <w:p w14:paraId="26628EEF" w14:textId="77777777" w:rsidR="009E30CB" w:rsidRPr="00605644" w:rsidRDefault="009E30CB" w:rsidP="00512A96">
      <w:pPr>
        <w:spacing w:after="0" w:line="259" w:lineRule="auto"/>
        <w:ind w:left="360" w:hanging="360"/>
        <w:rPr>
          <w:lang w:val="sv-SE"/>
        </w:rPr>
      </w:pPr>
      <w:r>
        <w:t xml:space="preserve">5    Marso SP, Bain SC, Consoli A, et al. Semaglutide and cardiovascular outcomes in patients with type 2 diabetes. </w:t>
      </w:r>
      <w:r w:rsidRPr="00605644">
        <w:rPr>
          <w:i/>
          <w:iCs/>
          <w:lang w:val="sv-SE"/>
        </w:rPr>
        <w:t>N Engl J Med</w:t>
      </w:r>
      <w:r w:rsidRPr="00605644">
        <w:rPr>
          <w:lang w:val="sv-SE"/>
        </w:rPr>
        <w:t xml:space="preserve"> 2016; </w:t>
      </w:r>
      <w:r w:rsidRPr="00605644">
        <w:rPr>
          <w:b/>
          <w:bCs/>
          <w:lang w:val="sv-SE"/>
        </w:rPr>
        <w:t>375:</w:t>
      </w:r>
      <w:r w:rsidRPr="00605644">
        <w:rPr>
          <w:lang w:val="sv-SE"/>
        </w:rPr>
        <w:t xml:space="preserve"> 1834-44.</w:t>
      </w:r>
    </w:p>
    <w:p w14:paraId="2E1231E7" w14:textId="77777777" w:rsidR="009E30CB" w:rsidRDefault="009E30CB" w:rsidP="00512A96">
      <w:pPr>
        <w:spacing w:after="0" w:line="259" w:lineRule="auto"/>
        <w:ind w:left="360" w:hanging="360"/>
      </w:pPr>
      <w:r w:rsidRPr="00605644">
        <w:rPr>
          <w:lang w:val="sv-SE"/>
        </w:rPr>
        <w:t xml:space="preserve">6    Holman RR, Bethel MA, Mentz RJ, et al. </w:t>
      </w:r>
      <w:r>
        <w:t xml:space="preserve">Effects of once-weekly exenatide on cardiovascular outcomes in type 2 diabetes. </w:t>
      </w:r>
      <w:r>
        <w:rPr>
          <w:i/>
          <w:iCs/>
        </w:rPr>
        <w:t>N Engl J Med</w:t>
      </w:r>
      <w:r>
        <w:t xml:space="preserve"> 2017 Sept. 14; epub ahead of print doi: 10.1056/NEJMoa1612917.</w:t>
      </w:r>
    </w:p>
    <w:p w14:paraId="446ECBB5" w14:textId="30885E3B" w:rsidR="00F8519F" w:rsidRDefault="00F8519F" w:rsidP="00F8519F">
      <w:pPr>
        <w:spacing w:after="0" w:line="259" w:lineRule="auto"/>
        <w:ind w:left="360" w:hanging="360"/>
      </w:pPr>
      <w:r>
        <w:t>7</w:t>
      </w:r>
      <w:r>
        <w:tab/>
        <w:t xml:space="preserve">Jadad AR, Moore RA, Carroll D, Jenkinson C, Reynolds DJ, Gavaghan DJ, McQuay HJ. Assessing the quality of reports of randomized clinical trials: is blinding necessary? </w:t>
      </w:r>
      <w:r w:rsidRPr="004F461A">
        <w:rPr>
          <w:i/>
        </w:rPr>
        <w:t>Control Clin Trials</w:t>
      </w:r>
      <w:r>
        <w:t xml:space="preserve"> 1996;</w:t>
      </w:r>
      <w:r w:rsidR="004F461A">
        <w:t xml:space="preserve"> </w:t>
      </w:r>
      <w:r w:rsidRPr="004F461A">
        <w:rPr>
          <w:b/>
        </w:rPr>
        <w:t>17</w:t>
      </w:r>
      <w:r>
        <w:t>(1):</w:t>
      </w:r>
      <w:r w:rsidR="004F461A">
        <w:t xml:space="preserve"> </w:t>
      </w:r>
      <w:r>
        <w:t xml:space="preserve">1-12. </w:t>
      </w:r>
    </w:p>
    <w:p w14:paraId="0B1144E9" w14:textId="341C8F39" w:rsidR="009E30CB" w:rsidRDefault="00F8519F" w:rsidP="00512A96">
      <w:pPr>
        <w:spacing w:after="0" w:line="259" w:lineRule="auto"/>
        <w:ind w:left="360" w:hanging="360"/>
      </w:pPr>
      <w:r>
        <w:t>8</w:t>
      </w:r>
      <w:r w:rsidR="009E30CB">
        <w:t xml:space="preserve">    Huedo-Medina T, Sanchez-Meca J, Marin-Martinez F, Botella J. Assessing heterogeneity in meta-analysis: Q statistic or I2 index? </w:t>
      </w:r>
      <w:r w:rsidR="009E30CB">
        <w:rPr>
          <w:i/>
          <w:iCs/>
        </w:rPr>
        <w:t>CHIP Documents</w:t>
      </w:r>
      <w:r w:rsidR="009E30CB">
        <w:t xml:space="preserve"> 2006; 19. Available at http://digitalcommons.uconn.edu/chip_docs/19.</w:t>
      </w:r>
    </w:p>
    <w:p w14:paraId="308D57E4" w14:textId="3812FCFB" w:rsidR="002F33FB" w:rsidRDefault="00F8519F" w:rsidP="00512A96">
      <w:pPr>
        <w:spacing w:after="0" w:line="259" w:lineRule="auto"/>
        <w:ind w:left="360" w:hanging="360"/>
      </w:pPr>
      <w:r>
        <w:t>9</w:t>
      </w:r>
      <w:r w:rsidR="002F33FB">
        <w:t> </w:t>
      </w:r>
      <w:r w:rsidR="00512A96">
        <w:t xml:space="preserve"> </w:t>
      </w:r>
      <w:r w:rsidR="002F33FB">
        <w:t xml:space="preserve"> Food and Drug Administration.  FDA Briefing Document. Endocrinologic and Metabolic Drugs Advisory Committee Meeting (EMDAC), June 20, 2017. Available at https://www.fda.gov/downloads/AdvisoryCommittees/CommitteesMeetingMaterials/Drugs/EndocrinologicandMetabolicDrugsAdvisoryCommittee/UCM563334.pdf.</w:t>
      </w:r>
    </w:p>
    <w:p w14:paraId="397196FA" w14:textId="0B4C3CAA" w:rsidR="009E30CB" w:rsidRDefault="00F8519F" w:rsidP="00512A96">
      <w:pPr>
        <w:spacing w:after="0" w:line="259" w:lineRule="auto"/>
        <w:ind w:left="360" w:hanging="360"/>
      </w:pPr>
      <w:r>
        <w:t>10</w:t>
      </w:r>
      <w:r w:rsidR="009E30CB">
        <w:t xml:space="preserve">    Evaluation of Cardiovascular Outcomes in Patients With Type 2 Diabetes After Acute Coronary Syndrome During Treatment With AVE0010 (Lixisenatide) (ELIXA). Available at https://clinicaltrials.gov/ct2/show/results/NCT01147250. </w:t>
      </w:r>
    </w:p>
    <w:p w14:paraId="55B9C3CB" w14:textId="1454AE80" w:rsidR="002F33FB" w:rsidRDefault="002F33FB" w:rsidP="00512A96">
      <w:pPr>
        <w:spacing w:after="0" w:line="259" w:lineRule="auto"/>
        <w:ind w:left="360" w:hanging="360"/>
      </w:pPr>
      <w:r>
        <w:t>1</w:t>
      </w:r>
      <w:r w:rsidR="00F8519F">
        <w:t>1</w:t>
      </w:r>
      <w:r w:rsidR="00F8519F">
        <w:tab/>
      </w:r>
      <w:r>
        <w:t xml:space="preserve">Novo Nordisk. </w:t>
      </w:r>
      <w:r w:rsidRPr="002F33FB">
        <w:t>Liraglutide Effect and Action in Diabetes: Evaluation of cardiovascular outcome Results</w:t>
      </w:r>
      <w:r>
        <w:t xml:space="preserve">. Available at </w:t>
      </w:r>
      <w:r w:rsidRPr="002F33FB">
        <w:t>http://www.novonordisk-trials.com/Website/pdf/registry/ex22113748.pdf</w:t>
      </w:r>
      <w:r>
        <w:t>.</w:t>
      </w:r>
    </w:p>
    <w:p w14:paraId="59623327" w14:textId="2491B962" w:rsidR="00F8519F" w:rsidRDefault="00F8519F" w:rsidP="00F8519F">
      <w:pPr>
        <w:spacing w:after="0" w:line="259" w:lineRule="auto"/>
        <w:ind w:left="360" w:hanging="360"/>
      </w:pPr>
      <w:r>
        <w:t>12</w:t>
      </w:r>
      <w:r>
        <w:tab/>
        <w:t xml:space="preserve">Rosenstock J, Raccah D, Korányi L, </w:t>
      </w:r>
      <w:r w:rsidR="004F461A">
        <w:t>et al</w:t>
      </w:r>
      <w:r>
        <w:t>.</w:t>
      </w:r>
      <w:r w:rsidR="004F461A">
        <w:t xml:space="preserve"> </w:t>
      </w:r>
      <w:r>
        <w:t xml:space="preserve">Efficacy and safety of lixisenatide once daily versus exenatide twice daily in type 2 diabetes inadequately controlled on metformin: a 24-week, randomized, open-label, active-controlled study (GetGoal-X). </w:t>
      </w:r>
      <w:r w:rsidRPr="004F461A">
        <w:rPr>
          <w:i/>
        </w:rPr>
        <w:t>Diabetes Care</w:t>
      </w:r>
      <w:r>
        <w:t xml:space="preserve"> 2013;</w:t>
      </w:r>
      <w:r w:rsidR="004F461A">
        <w:t xml:space="preserve"> </w:t>
      </w:r>
      <w:r w:rsidRPr="004F461A">
        <w:rPr>
          <w:b/>
        </w:rPr>
        <w:t>36</w:t>
      </w:r>
      <w:r>
        <w:t>:</w:t>
      </w:r>
      <w:r w:rsidR="004F461A">
        <w:t xml:space="preserve"> </w:t>
      </w:r>
      <w:r>
        <w:t xml:space="preserve">2945-51. </w:t>
      </w:r>
    </w:p>
    <w:p w14:paraId="3C02839F" w14:textId="4B5D2619" w:rsidR="00F8519F" w:rsidRDefault="00F8519F" w:rsidP="00F8519F">
      <w:pPr>
        <w:spacing w:after="0" w:line="259" w:lineRule="auto"/>
        <w:ind w:left="360" w:hanging="360"/>
      </w:pPr>
      <w:r>
        <w:t>13</w:t>
      </w:r>
      <w:r>
        <w:tab/>
        <w:t xml:space="preserve">Buse JB, Drucker DJ, Taylor KL, </w:t>
      </w:r>
      <w:r w:rsidR="004F461A">
        <w:t>et al.</w:t>
      </w:r>
      <w:r>
        <w:t xml:space="preserve">; DURATION-1 Study Group. DURATION-1: exenatide once weekly produces sustained glycemic control and weight loss over 52 weeks. </w:t>
      </w:r>
      <w:r w:rsidRPr="004F461A">
        <w:rPr>
          <w:i/>
        </w:rPr>
        <w:t>Diabetes Care</w:t>
      </w:r>
      <w:r>
        <w:t xml:space="preserve"> 2010;</w:t>
      </w:r>
      <w:r w:rsidR="004F461A">
        <w:t xml:space="preserve"> </w:t>
      </w:r>
      <w:r w:rsidRPr="004F461A">
        <w:rPr>
          <w:b/>
        </w:rPr>
        <w:t>33</w:t>
      </w:r>
      <w:r>
        <w:t>:</w:t>
      </w:r>
      <w:r w:rsidR="004F461A">
        <w:t xml:space="preserve"> </w:t>
      </w:r>
      <w:r>
        <w:t xml:space="preserve">1255-61. </w:t>
      </w:r>
    </w:p>
    <w:p w14:paraId="6F182620" w14:textId="3E5E7F80" w:rsidR="00F8519F" w:rsidRDefault="00F8519F" w:rsidP="00F8519F">
      <w:pPr>
        <w:spacing w:after="0" w:line="259" w:lineRule="auto"/>
        <w:ind w:left="360" w:hanging="360"/>
      </w:pPr>
      <w:r>
        <w:t>14</w:t>
      </w:r>
      <w:r>
        <w:tab/>
        <w:t xml:space="preserve">Buse JB, Nauck M, Forst T, </w:t>
      </w:r>
      <w:r w:rsidR="004F461A">
        <w:t>et al</w:t>
      </w:r>
      <w:r>
        <w:t xml:space="preserve">. Exenatide once weekly versus liraglutide once daily in patients with type 2 diabetes (DURATION-6): a randomised, open-label study. </w:t>
      </w:r>
      <w:r w:rsidRPr="004F461A">
        <w:rPr>
          <w:i/>
        </w:rPr>
        <w:t>Lancet</w:t>
      </w:r>
      <w:r>
        <w:t xml:space="preserve"> 2013;</w:t>
      </w:r>
      <w:r w:rsidR="004F461A">
        <w:t xml:space="preserve"> </w:t>
      </w:r>
      <w:r w:rsidRPr="004F461A">
        <w:rPr>
          <w:b/>
        </w:rPr>
        <w:t>381</w:t>
      </w:r>
      <w:r>
        <w:t>:</w:t>
      </w:r>
      <w:r w:rsidR="004F461A">
        <w:t xml:space="preserve"> </w:t>
      </w:r>
      <w:r>
        <w:t xml:space="preserve">117-24. </w:t>
      </w:r>
    </w:p>
    <w:p w14:paraId="5D255308" w14:textId="2FEB4DF3" w:rsidR="00F8519F" w:rsidRDefault="00F8519F" w:rsidP="00512A96">
      <w:pPr>
        <w:spacing w:after="0" w:line="259" w:lineRule="auto"/>
        <w:ind w:left="360" w:hanging="360"/>
      </w:pPr>
      <w:r>
        <w:t>15</w:t>
      </w:r>
      <w:r>
        <w:tab/>
      </w:r>
      <w:r w:rsidRPr="00F8519F">
        <w:t>Hramiak</w:t>
      </w:r>
      <w:r w:rsidR="004F461A">
        <w:t xml:space="preserve"> I</w:t>
      </w:r>
      <w:r w:rsidRPr="00F8519F">
        <w:t>, Ahmann</w:t>
      </w:r>
      <w:r w:rsidR="004F461A">
        <w:t xml:space="preserve"> A</w:t>
      </w:r>
      <w:r w:rsidRPr="00F8519F">
        <w:t>, Capethorn</w:t>
      </w:r>
      <w:r w:rsidR="004F461A">
        <w:t xml:space="preserve"> M</w:t>
      </w:r>
      <w:r w:rsidRPr="00F8519F">
        <w:t xml:space="preserve">, </w:t>
      </w:r>
      <w:r w:rsidR="004F461A">
        <w:t>et al.</w:t>
      </w:r>
      <w:r w:rsidRPr="00F8519F">
        <w:t xml:space="preserve"> Efficacy </w:t>
      </w:r>
      <w:r w:rsidR="004F461A" w:rsidRPr="00F8519F">
        <w:t xml:space="preserve">and safety of once-weekly semaglutide vs. exenatide er after 56 weeks in subjects with type 2 diabetes </w:t>
      </w:r>
      <w:r w:rsidRPr="00F8519F">
        <w:t>(SUSTAIN 3)</w:t>
      </w:r>
      <w:r w:rsidR="004F461A">
        <w:t>.</w:t>
      </w:r>
      <w:r w:rsidRPr="00F8519F">
        <w:t xml:space="preserve"> </w:t>
      </w:r>
      <w:r w:rsidRPr="004F461A">
        <w:rPr>
          <w:i/>
        </w:rPr>
        <w:t>Can J Diabetes</w:t>
      </w:r>
      <w:r w:rsidRPr="00F8519F">
        <w:t xml:space="preserve"> </w:t>
      </w:r>
      <w:r w:rsidR="004F461A">
        <w:t xml:space="preserve">2016; </w:t>
      </w:r>
      <w:r w:rsidRPr="004F461A">
        <w:rPr>
          <w:b/>
        </w:rPr>
        <w:t>40</w:t>
      </w:r>
      <w:r w:rsidR="004F461A">
        <w:rPr>
          <w:b/>
        </w:rPr>
        <w:t>:</w:t>
      </w:r>
      <w:r w:rsidRPr="00F8519F">
        <w:t xml:space="preserve"> S41</w:t>
      </w:r>
      <w:r w:rsidR="004F461A">
        <w:t>.</w:t>
      </w:r>
    </w:p>
    <w:p w14:paraId="52992DD1" w14:textId="0FB7308E" w:rsidR="009E30CB" w:rsidRDefault="009E30CB" w:rsidP="00512A96">
      <w:pPr>
        <w:spacing w:after="0" w:line="259" w:lineRule="auto"/>
        <w:ind w:left="360" w:hanging="360"/>
      </w:pPr>
      <w:r>
        <w:t>1</w:t>
      </w:r>
      <w:r w:rsidR="004F461A">
        <w:t>6</w:t>
      </w:r>
      <w:r>
        <w:t xml:space="preserve">  Nauck MA, Friedrich N. Do GLP-1-based therapies increase cancer risk? </w:t>
      </w:r>
      <w:r>
        <w:rPr>
          <w:i/>
          <w:iCs/>
        </w:rPr>
        <w:t>Diabetes Care</w:t>
      </w:r>
      <w:r>
        <w:t xml:space="preserve"> 2013; </w:t>
      </w:r>
      <w:r>
        <w:rPr>
          <w:b/>
          <w:bCs/>
        </w:rPr>
        <w:t>36</w:t>
      </w:r>
      <w:r>
        <w:t xml:space="preserve">(Suppl. 2): S245-52. </w:t>
      </w:r>
    </w:p>
    <w:p w14:paraId="597F9A6B" w14:textId="69079E4C" w:rsidR="009E30CB" w:rsidRPr="00605644" w:rsidRDefault="009E30CB" w:rsidP="00512A96">
      <w:pPr>
        <w:spacing w:after="0" w:line="259" w:lineRule="auto"/>
        <w:ind w:left="360" w:hanging="360"/>
        <w:rPr>
          <w:lang w:val="sv-SE"/>
        </w:rPr>
      </w:pPr>
      <w:r>
        <w:t>1</w:t>
      </w:r>
      <w:r w:rsidR="004F461A">
        <w:t>7</w:t>
      </w:r>
      <w:r>
        <w:t xml:space="preserve">  Gier B, Butler PC, Lai CK, Kirakossian D, DeNicola MM, Yeh MW. Glucagon like peptide-1 receptor expression in the human thyroid gland. </w:t>
      </w:r>
      <w:r w:rsidRPr="00605644">
        <w:rPr>
          <w:i/>
          <w:iCs/>
          <w:lang w:val="sv-SE"/>
        </w:rPr>
        <w:t>J Clin Endocrinol Metab</w:t>
      </w:r>
      <w:r w:rsidRPr="00605644">
        <w:rPr>
          <w:lang w:val="sv-SE"/>
        </w:rPr>
        <w:t xml:space="preserve"> 2012; </w:t>
      </w:r>
      <w:r w:rsidRPr="00605644">
        <w:rPr>
          <w:b/>
          <w:bCs/>
          <w:lang w:val="sv-SE"/>
        </w:rPr>
        <w:t>97:</w:t>
      </w:r>
      <w:r w:rsidRPr="00605644">
        <w:rPr>
          <w:lang w:val="sv-SE"/>
        </w:rPr>
        <w:t xml:space="preserve"> 121–31.</w:t>
      </w:r>
    </w:p>
    <w:p w14:paraId="0F53DF81" w14:textId="09C87FD6" w:rsidR="009E30CB" w:rsidRDefault="009E30CB" w:rsidP="00512A96">
      <w:pPr>
        <w:spacing w:after="0" w:line="259" w:lineRule="auto"/>
        <w:ind w:left="360" w:hanging="360"/>
      </w:pPr>
      <w:r w:rsidRPr="00605644">
        <w:rPr>
          <w:lang w:val="sv-SE"/>
        </w:rPr>
        <w:t>1</w:t>
      </w:r>
      <w:r w:rsidR="004F461A" w:rsidRPr="00605644">
        <w:rPr>
          <w:lang w:val="sv-SE"/>
        </w:rPr>
        <w:t>8</w:t>
      </w:r>
      <w:r w:rsidRPr="00605644">
        <w:rPr>
          <w:lang w:val="sv-SE"/>
        </w:rPr>
        <w:t xml:space="preserve">  Waser B, Beetschen K, Pellegata NS, Reubi JC. </w:t>
      </w:r>
      <w:r>
        <w:t xml:space="preserve">Incretin receptors in non-neoplastic and neoplastic thyroid C cells in rodents and humans: relevance for incretin-based diabetes therapy. </w:t>
      </w:r>
      <w:r>
        <w:rPr>
          <w:i/>
          <w:iCs/>
        </w:rPr>
        <w:t>Neuroendocrinology</w:t>
      </w:r>
      <w:r>
        <w:t xml:space="preserve"> 2011; </w:t>
      </w:r>
      <w:r>
        <w:rPr>
          <w:b/>
          <w:bCs/>
        </w:rPr>
        <w:t>94:</w:t>
      </w:r>
      <w:r>
        <w:t xml:space="preserve"> 291–301.</w:t>
      </w:r>
    </w:p>
    <w:p w14:paraId="1FB2092B" w14:textId="77777777" w:rsidR="009E30CB" w:rsidRDefault="009E30CB" w:rsidP="009E30CB"/>
    <w:p w14:paraId="7252707D" w14:textId="77777777" w:rsidR="004D3DC5" w:rsidRPr="003905B2" w:rsidRDefault="004D3DC5" w:rsidP="00AE116B">
      <w:pPr>
        <w:rPr>
          <w:b/>
        </w:rPr>
      </w:pPr>
    </w:p>
    <w:sectPr w:rsidR="004D3DC5" w:rsidRPr="003905B2" w:rsidSect="00AE116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D00C0" w14:textId="77777777" w:rsidR="000F447E" w:rsidRDefault="000F447E" w:rsidP="00512A96">
      <w:pPr>
        <w:spacing w:after="0" w:line="240" w:lineRule="auto"/>
      </w:pPr>
      <w:r>
        <w:separator/>
      </w:r>
    </w:p>
  </w:endnote>
  <w:endnote w:type="continuationSeparator" w:id="0">
    <w:p w14:paraId="19131CA5" w14:textId="77777777" w:rsidR="000F447E" w:rsidRDefault="000F447E" w:rsidP="00512A96">
      <w:pPr>
        <w:spacing w:after="0" w:line="240" w:lineRule="auto"/>
      </w:pPr>
      <w:r>
        <w:continuationSeparator/>
      </w:r>
    </w:p>
  </w:endnote>
  <w:endnote w:type="continuationNotice" w:id="1">
    <w:p w14:paraId="34F81666" w14:textId="77777777" w:rsidR="000F447E" w:rsidRDefault="000F44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775937"/>
      <w:docPartObj>
        <w:docPartGallery w:val="Page Numbers (Bottom of Page)"/>
        <w:docPartUnique/>
      </w:docPartObj>
    </w:sdtPr>
    <w:sdtEndPr/>
    <w:sdtContent>
      <w:sdt>
        <w:sdtPr>
          <w:id w:val="-1769616900"/>
          <w:docPartObj>
            <w:docPartGallery w:val="Page Numbers (Top of Page)"/>
            <w:docPartUnique/>
          </w:docPartObj>
        </w:sdtPr>
        <w:sdtEndPr/>
        <w:sdtContent>
          <w:p w14:paraId="5E3897A5" w14:textId="667A9DD7" w:rsidR="00642F35" w:rsidRDefault="00642F3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D0AA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D0AA8">
              <w:rPr>
                <w:b/>
                <w:bCs/>
                <w:noProof/>
              </w:rPr>
              <w:t>12</w:t>
            </w:r>
            <w:r>
              <w:rPr>
                <w:b/>
                <w:bCs/>
                <w:sz w:val="24"/>
                <w:szCs w:val="24"/>
              </w:rPr>
              <w:fldChar w:fldCharType="end"/>
            </w:r>
          </w:p>
        </w:sdtContent>
      </w:sdt>
    </w:sdtContent>
  </w:sdt>
  <w:p w14:paraId="3C1E8197" w14:textId="77777777" w:rsidR="00642F35" w:rsidRDefault="00642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E7D0A" w14:textId="77777777" w:rsidR="000F447E" w:rsidRDefault="000F447E" w:rsidP="00512A96">
      <w:pPr>
        <w:spacing w:after="0" w:line="240" w:lineRule="auto"/>
      </w:pPr>
      <w:r>
        <w:separator/>
      </w:r>
    </w:p>
  </w:footnote>
  <w:footnote w:type="continuationSeparator" w:id="0">
    <w:p w14:paraId="3FB9091A" w14:textId="77777777" w:rsidR="000F447E" w:rsidRDefault="000F447E" w:rsidP="00512A96">
      <w:pPr>
        <w:spacing w:after="0" w:line="240" w:lineRule="auto"/>
      </w:pPr>
      <w:r>
        <w:continuationSeparator/>
      </w:r>
    </w:p>
  </w:footnote>
  <w:footnote w:type="continuationNotice" w:id="1">
    <w:p w14:paraId="48C4870F" w14:textId="77777777" w:rsidR="000F447E" w:rsidRDefault="000F44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481D"/>
    <w:multiLevelType w:val="hybridMultilevel"/>
    <w:tmpl w:val="AB3A5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8162D"/>
    <w:multiLevelType w:val="multilevel"/>
    <w:tmpl w:val="4684B3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3551F41"/>
    <w:multiLevelType w:val="hybridMultilevel"/>
    <w:tmpl w:val="8332B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00C43"/>
    <w:multiLevelType w:val="hybridMultilevel"/>
    <w:tmpl w:val="FB86C9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0006DC"/>
    <w:multiLevelType w:val="hybridMultilevel"/>
    <w:tmpl w:val="992E0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DD2D3F"/>
    <w:multiLevelType w:val="hybridMultilevel"/>
    <w:tmpl w:val="EF788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337B8C"/>
    <w:multiLevelType w:val="hybridMultilevel"/>
    <w:tmpl w:val="D93C6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141F4C"/>
    <w:multiLevelType w:val="hybridMultilevel"/>
    <w:tmpl w:val="9ED4D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142801"/>
    <w:multiLevelType w:val="hybridMultilevel"/>
    <w:tmpl w:val="F5489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07687B"/>
    <w:multiLevelType w:val="hybridMultilevel"/>
    <w:tmpl w:val="298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C24B39"/>
    <w:multiLevelType w:val="hybridMultilevel"/>
    <w:tmpl w:val="36AE2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E30054"/>
    <w:multiLevelType w:val="hybridMultilevel"/>
    <w:tmpl w:val="8B001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4B616A"/>
    <w:multiLevelType w:val="hybridMultilevel"/>
    <w:tmpl w:val="D7C8C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A30DEA"/>
    <w:multiLevelType w:val="hybridMultilevel"/>
    <w:tmpl w:val="1FD81F10"/>
    <w:lvl w:ilvl="0" w:tplc="3180457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13"/>
  </w:num>
  <w:num w:numId="4">
    <w:abstractNumId w:val="3"/>
  </w:num>
  <w:num w:numId="5">
    <w:abstractNumId w:val="2"/>
  </w:num>
  <w:num w:numId="6">
    <w:abstractNumId w:val="10"/>
  </w:num>
  <w:num w:numId="7">
    <w:abstractNumId w:val="12"/>
  </w:num>
  <w:num w:numId="8">
    <w:abstractNumId w:val="11"/>
  </w:num>
  <w:num w:numId="9">
    <w:abstractNumId w:val="0"/>
  </w:num>
  <w:num w:numId="10">
    <w:abstractNumId w:val="1"/>
  </w:num>
  <w:num w:numId="11">
    <w:abstractNumId w:val="6"/>
  </w:num>
  <w:num w:numId="12">
    <w:abstractNumId w:val="4"/>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383"/>
    <w:rsid w:val="00000597"/>
    <w:rsid w:val="0000070F"/>
    <w:rsid w:val="00002852"/>
    <w:rsid w:val="000043C6"/>
    <w:rsid w:val="00006E3F"/>
    <w:rsid w:val="000102BF"/>
    <w:rsid w:val="00011049"/>
    <w:rsid w:val="000125D3"/>
    <w:rsid w:val="00017E00"/>
    <w:rsid w:val="000220D7"/>
    <w:rsid w:val="00032740"/>
    <w:rsid w:val="00040C35"/>
    <w:rsid w:val="00040D6C"/>
    <w:rsid w:val="00043C98"/>
    <w:rsid w:val="00046EC9"/>
    <w:rsid w:val="00047AD8"/>
    <w:rsid w:val="00050CD4"/>
    <w:rsid w:val="00054992"/>
    <w:rsid w:val="00055011"/>
    <w:rsid w:val="000607BC"/>
    <w:rsid w:val="000644F6"/>
    <w:rsid w:val="00065F40"/>
    <w:rsid w:val="00067960"/>
    <w:rsid w:val="00074082"/>
    <w:rsid w:val="0007410D"/>
    <w:rsid w:val="0007465E"/>
    <w:rsid w:val="00077EA8"/>
    <w:rsid w:val="00080D53"/>
    <w:rsid w:val="00081735"/>
    <w:rsid w:val="00083525"/>
    <w:rsid w:val="00084F12"/>
    <w:rsid w:val="000911B5"/>
    <w:rsid w:val="00092613"/>
    <w:rsid w:val="00093545"/>
    <w:rsid w:val="00095967"/>
    <w:rsid w:val="000A24EB"/>
    <w:rsid w:val="000B3C54"/>
    <w:rsid w:val="000B7CC8"/>
    <w:rsid w:val="000C1762"/>
    <w:rsid w:val="000C4AD7"/>
    <w:rsid w:val="000C7C0D"/>
    <w:rsid w:val="000D5EF8"/>
    <w:rsid w:val="000E1C54"/>
    <w:rsid w:val="000F3B59"/>
    <w:rsid w:val="000F3FB7"/>
    <w:rsid w:val="000F447E"/>
    <w:rsid w:val="000F51A5"/>
    <w:rsid w:val="00101303"/>
    <w:rsid w:val="001013FD"/>
    <w:rsid w:val="00104E10"/>
    <w:rsid w:val="001176CE"/>
    <w:rsid w:val="00122521"/>
    <w:rsid w:val="00123D46"/>
    <w:rsid w:val="001320AD"/>
    <w:rsid w:val="00132413"/>
    <w:rsid w:val="0013248E"/>
    <w:rsid w:val="00132B9E"/>
    <w:rsid w:val="0014120A"/>
    <w:rsid w:val="00143348"/>
    <w:rsid w:val="001447BD"/>
    <w:rsid w:val="00145778"/>
    <w:rsid w:val="00153089"/>
    <w:rsid w:val="00154721"/>
    <w:rsid w:val="001615B5"/>
    <w:rsid w:val="00161EBA"/>
    <w:rsid w:val="00164230"/>
    <w:rsid w:val="00164B6E"/>
    <w:rsid w:val="00165173"/>
    <w:rsid w:val="001669AC"/>
    <w:rsid w:val="001718BE"/>
    <w:rsid w:val="0017493A"/>
    <w:rsid w:val="0018036C"/>
    <w:rsid w:val="00181F25"/>
    <w:rsid w:val="001871F1"/>
    <w:rsid w:val="001877AA"/>
    <w:rsid w:val="00190C6E"/>
    <w:rsid w:val="001919D7"/>
    <w:rsid w:val="001A1798"/>
    <w:rsid w:val="001A192A"/>
    <w:rsid w:val="001A7A84"/>
    <w:rsid w:val="001B232A"/>
    <w:rsid w:val="001B3313"/>
    <w:rsid w:val="001B33D9"/>
    <w:rsid w:val="001B6B57"/>
    <w:rsid w:val="001B77E8"/>
    <w:rsid w:val="001C00B5"/>
    <w:rsid w:val="001C1454"/>
    <w:rsid w:val="001C35B0"/>
    <w:rsid w:val="001C700C"/>
    <w:rsid w:val="001D079F"/>
    <w:rsid w:val="001D43D8"/>
    <w:rsid w:val="001D764A"/>
    <w:rsid w:val="001D7CCF"/>
    <w:rsid w:val="001E31A2"/>
    <w:rsid w:val="001E3481"/>
    <w:rsid w:val="001F0EA7"/>
    <w:rsid w:val="00216B1C"/>
    <w:rsid w:val="00225C63"/>
    <w:rsid w:val="00226BBF"/>
    <w:rsid w:val="0022748E"/>
    <w:rsid w:val="00227E80"/>
    <w:rsid w:val="00242716"/>
    <w:rsid w:val="00246FDB"/>
    <w:rsid w:val="00263AF4"/>
    <w:rsid w:val="00263C10"/>
    <w:rsid w:val="00265495"/>
    <w:rsid w:val="0026775E"/>
    <w:rsid w:val="002700D3"/>
    <w:rsid w:val="00271F5E"/>
    <w:rsid w:val="00273BA1"/>
    <w:rsid w:val="002741D3"/>
    <w:rsid w:val="00283E88"/>
    <w:rsid w:val="00286887"/>
    <w:rsid w:val="00286CDE"/>
    <w:rsid w:val="00292225"/>
    <w:rsid w:val="002949DF"/>
    <w:rsid w:val="002A2676"/>
    <w:rsid w:val="002A31E2"/>
    <w:rsid w:val="002A42CA"/>
    <w:rsid w:val="002A6133"/>
    <w:rsid w:val="002A6849"/>
    <w:rsid w:val="002C3D25"/>
    <w:rsid w:val="002C647A"/>
    <w:rsid w:val="002C6DCB"/>
    <w:rsid w:val="002C722E"/>
    <w:rsid w:val="002D0B77"/>
    <w:rsid w:val="002D61D3"/>
    <w:rsid w:val="002E208D"/>
    <w:rsid w:val="002E6AB8"/>
    <w:rsid w:val="002F0279"/>
    <w:rsid w:val="002F0BC5"/>
    <w:rsid w:val="002F2614"/>
    <w:rsid w:val="002F33FB"/>
    <w:rsid w:val="0030148C"/>
    <w:rsid w:val="00302603"/>
    <w:rsid w:val="003041AE"/>
    <w:rsid w:val="00306093"/>
    <w:rsid w:val="00312068"/>
    <w:rsid w:val="00317CDC"/>
    <w:rsid w:val="0032058E"/>
    <w:rsid w:val="00321D0A"/>
    <w:rsid w:val="00323403"/>
    <w:rsid w:val="0033219F"/>
    <w:rsid w:val="00344F4A"/>
    <w:rsid w:val="00345294"/>
    <w:rsid w:val="003466ED"/>
    <w:rsid w:val="0034688C"/>
    <w:rsid w:val="0035060D"/>
    <w:rsid w:val="003533AC"/>
    <w:rsid w:val="00360031"/>
    <w:rsid w:val="0036284F"/>
    <w:rsid w:val="0036454D"/>
    <w:rsid w:val="00366D63"/>
    <w:rsid w:val="00375DDE"/>
    <w:rsid w:val="00377CD5"/>
    <w:rsid w:val="0038134E"/>
    <w:rsid w:val="00383859"/>
    <w:rsid w:val="003840FF"/>
    <w:rsid w:val="00384E76"/>
    <w:rsid w:val="003859AD"/>
    <w:rsid w:val="00386F69"/>
    <w:rsid w:val="003905B2"/>
    <w:rsid w:val="00390D53"/>
    <w:rsid w:val="0039118C"/>
    <w:rsid w:val="003B20CC"/>
    <w:rsid w:val="003C1DC5"/>
    <w:rsid w:val="003C2649"/>
    <w:rsid w:val="003C44B6"/>
    <w:rsid w:val="003C64D3"/>
    <w:rsid w:val="003C6829"/>
    <w:rsid w:val="003D7F65"/>
    <w:rsid w:val="003E0C7F"/>
    <w:rsid w:val="003E357E"/>
    <w:rsid w:val="003E72BD"/>
    <w:rsid w:val="003E7BFB"/>
    <w:rsid w:val="003F0DBB"/>
    <w:rsid w:val="00406B66"/>
    <w:rsid w:val="00407B9A"/>
    <w:rsid w:val="00410571"/>
    <w:rsid w:val="004269EC"/>
    <w:rsid w:val="004274AC"/>
    <w:rsid w:val="00430601"/>
    <w:rsid w:val="00431500"/>
    <w:rsid w:val="004415DE"/>
    <w:rsid w:val="00443CBE"/>
    <w:rsid w:val="00443E83"/>
    <w:rsid w:val="00450EF0"/>
    <w:rsid w:val="0045140B"/>
    <w:rsid w:val="004523A1"/>
    <w:rsid w:val="004576A3"/>
    <w:rsid w:val="00461029"/>
    <w:rsid w:val="004613D3"/>
    <w:rsid w:val="004617BA"/>
    <w:rsid w:val="004630A9"/>
    <w:rsid w:val="00464332"/>
    <w:rsid w:val="00470C97"/>
    <w:rsid w:val="004722B6"/>
    <w:rsid w:val="00473150"/>
    <w:rsid w:val="00474222"/>
    <w:rsid w:val="0047721E"/>
    <w:rsid w:val="00491314"/>
    <w:rsid w:val="004950E2"/>
    <w:rsid w:val="004A10FF"/>
    <w:rsid w:val="004B1BE9"/>
    <w:rsid w:val="004C523B"/>
    <w:rsid w:val="004D139F"/>
    <w:rsid w:val="004D1B84"/>
    <w:rsid w:val="004D3DC5"/>
    <w:rsid w:val="004F413F"/>
    <w:rsid w:val="004F461A"/>
    <w:rsid w:val="004F4983"/>
    <w:rsid w:val="004F4BA8"/>
    <w:rsid w:val="004F7E5C"/>
    <w:rsid w:val="005072C3"/>
    <w:rsid w:val="005105D2"/>
    <w:rsid w:val="00512A96"/>
    <w:rsid w:val="005159B1"/>
    <w:rsid w:val="0052005E"/>
    <w:rsid w:val="0052366D"/>
    <w:rsid w:val="00525DEC"/>
    <w:rsid w:val="0053031E"/>
    <w:rsid w:val="00533657"/>
    <w:rsid w:val="00533FC2"/>
    <w:rsid w:val="00536AA3"/>
    <w:rsid w:val="00537AF4"/>
    <w:rsid w:val="005403E7"/>
    <w:rsid w:val="00542FA6"/>
    <w:rsid w:val="005544F8"/>
    <w:rsid w:val="00554633"/>
    <w:rsid w:val="005567B2"/>
    <w:rsid w:val="00563461"/>
    <w:rsid w:val="00566097"/>
    <w:rsid w:val="00581CF1"/>
    <w:rsid w:val="00585DF1"/>
    <w:rsid w:val="005876D0"/>
    <w:rsid w:val="0059203E"/>
    <w:rsid w:val="00592111"/>
    <w:rsid w:val="005926AC"/>
    <w:rsid w:val="00592822"/>
    <w:rsid w:val="00595179"/>
    <w:rsid w:val="00595CB0"/>
    <w:rsid w:val="005A1277"/>
    <w:rsid w:val="005A496F"/>
    <w:rsid w:val="005A64AF"/>
    <w:rsid w:val="005C15EF"/>
    <w:rsid w:val="005D0D1A"/>
    <w:rsid w:val="005D310A"/>
    <w:rsid w:val="005E073C"/>
    <w:rsid w:val="005E2215"/>
    <w:rsid w:val="005E2BF1"/>
    <w:rsid w:val="005F2618"/>
    <w:rsid w:val="005F461F"/>
    <w:rsid w:val="00600E1E"/>
    <w:rsid w:val="0060479C"/>
    <w:rsid w:val="00605644"/>
    <w:rsid w:val="00606749"/>
    <w:rsid w:val="00613027"/>
    <w:rsid w:val="006139A8"/>
    <w:rsid w:val="006174B4"/>
    <w:rsid w:val="006245B5"/>
    <w:rsid w:val="0063425C"/>
    <w:rsid w:val="0063515B"/>
    <w:rsid w:val="00640E53"/>
    <w:rsid w:val="00642F35"/>
    <w:rsid w:val="006451F8"/>
    <w:rsid w:val="00646B4C"/>
    <w:rsid w:val="00650529"/>
    <w:rsid w:val="00650559"/>
    <w:rsid w:val="00653C17"/>
    <w:rsid w:val="00654BC3"/>
    <w:rsid w:val="00655235"/>
    <w:rsid w:val="006601CD"/>
    <w:rsid w:val="00664041"/>
    <w:rsid w:val="0066519B"/>
    <w:rsid w:val="0067070A"/>
    <w:rsid w:val="0068238D"/>
    <w:rsid w:val="0068266A"/>
    <w:rsid w:val="00682EA0"/>
    <w:rsid w:val="00684065"/>
    <w:rsid w:val="00684B7A"/>
    <w:rsid w:val="006857E4"/>
    <w:rsid w:val="00686F10"/>
    <w:rsid w:val="00692029"/>
    <w:rsid w:val="006921A8"/>
    <w:rsid w:val="006A2146"/>
    <w:rsid w:val="006A5591"/>
    <w:rsid w:val="006B00F2"/>
    <w:rsid w:val="006B02FD"/>
    <w:rsid w:val="006B29CE"/>
    <w:rsid w:val="006B5BDF"/>
    <w:rsid w:val="006B61A9"/>
    <w:rsid w:val="006B6417"/>
    <w:rsid w:val="006C42D8"/>
    <w:rsid w:val="006C50FB"/>
    <w:rsid w:val="006C66FD"/>
    <w:rsid w:val="006D2CD9"/>
    <w:rsid w:val="006D4170"/>
    <w:rsid w:val="006E1994"/>
    <w:rsid w:val="006E2700"/>
    <w:rsid w:val="006E3F3F"/>
    <w:rsid w:val="006E5E52"/>
    <w:rsid w:val="006E649F"/>
    <w:rsid w:val="006E757D"/>
    <w:rsid w:val="006F135D"/>
    <w:rsid w:val="006F1F33"/>
    <w:rsid w:val="006F3CCC"/>
    <w:rsid w:val="00701394"/>
    <w:rsid w:val="00701CEB"/>
    <w:rsid w:val="00702FED"/>
    <w:rsid w:val="00714AFF"/>
    <w:rsid w:val="00714E5D"/>
    <w:rsid w:val="00720B41"/>
    <w:rsid w:val="00722AC6"/>
    <w:rsid w:val="00723ECE"/>
    <w:rsid w:val="00727BCB"/>
    <w:rsid w:val="00731E84"/>
    <w:rsid w:val="00735E8E"/>
    <w:rsid w:val="007438E7"/>
    <w:rsid w:val="00744B3E"/>
    <w:rsid w:val="007538AB"/>
    <w:rsid w:val="00754F5C"/>
    <w:rsid w:val="00757C3D"/>
    <w:rsid w:val="00760035"/>
    <w:rsid w:val="0076197A"/>
    <w:rsid w:val="00767BC5"/>
    <w:rsid w:val="00782351"/>
    <w:rsid w:val="00783911"/>
    <w:rsid w:val="00783F14"/>
    <w:rsid w:val="00787CCC"/>
    <w:rsid w:val="0079014D"/>
    <w:rsid w:val="00790887"/>
    <w:rsid w:val="00791E2D"/>
    <w:rsid w:val="007941BE"/>
    <w:rsid w:val="007A4B40"/>
    <w:rsid w:val="007A54F9"/>
    <w:rsid w:val="007A59DD"/>
    <w:rsid w:val="007A69B6"/>
    <w:rsid w:val="007B364A"/>
    <w:rsid w:val="007B6593"/>
    <w:rsid w:val="007C14EF"/>
    <w:rsid w:val="007C240A"/>
    <w:rsid w:val="007C4CEB"/>
    <w:rsid w:val="007D5AE2"/>
    <w:rsid w:val="007D6C6A"/>
    <w:rsid w:val="007E3A20"/>
    <w:rsid w:val="007F4DC6"/>
    <w:rsid w:val="008006CD"/>
    <w:rsid w:val="00801093"/>
    <w:rsid w:val="008026EC"/>
    <w:rsid w:val="0080354D"/>
    <w:rsid w:val="00804068"/>
    <w:rsid w:val="0080488B"/>
    <w:rsid w:val="0080491A"/>
    <w:rsid w:val="008061BF"/>
    <w:rsid w:val="00806272"/>
    <w:rsid w:val="008067DA"/>
    <w:rsid w:val="00813B60"/>
    <w:rsid w:val="00814B8C"/>
    <w:rsid w:val="008206DF"/>
    <w:rsid w:val="0082101C"/>
    <w:rsid w:val="008224D3"/>
    <w:rsid w:val="008228AB"/>
    <w:rsid w:val="00827737"/>
    <w:rsid w:val="00831083"/>
    <w:rsid w:val="008401CA"/>
    <w:rsid w:val="008411EC"/>
    <w:rsid w:val="0084447A"/>
    <w:rsid w:val="008453C2"/>
    <w:rsid w:val="00851EFA"/>
    <w:rsid w:val="0085340C"/>
    <w:rsid w:val="00853CB1"/>
    <w:rsid w:val="00856AD0"/>
    <w:rsid w:val="00857B09"/>
    <w:rsid w:val="00857CE0"/>
    <w:rsid w:val="008607F3"/>
    <w:rsid w:val="0086337C"/>
    <w:rsid w:val="00863E9C"/>
    <w:rsid w:val="00864B64"/>
    <w:rsid w:val="00867142"/>
    <w:rsid w:val="008710F7"/>
    <w:rsid w:val="00874C67"/>
    <w:rsid w:val="008771D6"/>
    <w:rsid w:val="00877D9E"/>
    <w:rsid w:val="008810E9"/>
    <w:rsid w:val="00882C8B"/>
    <w:rsid w:val="008845FF"/>
    <w:rsid w:val="00885B45"/>
    <w:rsid w:val="00887374"/>
    <w:rsid w:val="00887471"/>
    <w:rsid w:val="008878F1"/>
    <w:rsid w:val="00893421"/>
    <w:rsid w:val="00894751"/>
    <w:rsid w:val="008971B8"/>
    <w:rsid w:val="008972D9"/>
    <w:rsid w:val="008A3092"/>
    <w:rsid w:val="008A4CC5"/>
    <w:rsid w:val="008A5FFF"/>
    <w:rsid w:val="008A7C7C"/>
    <w:rsid w:val="008B51EC"/>
    <w:rsid w:val="008C1146"/>
    <w:rsid w:val="008D1F91"/>
    <w:rsid w:val="008D55F3"/>
    <w:rsid w:val="008E6DB8"/>
    <w:rsid w:val="008F0F14"/>
    <w:rsid w:val="008F5EE7"/>
    <w:rsid w:val="008F6E03"/>
    <w:rsid w:val="008F76E6"/>
    <w:rsid w:val="009013E1"/>
    <w:rsid w:val="00905C76"/>
    <w:rsid w:val="009068E1"/>
    <w:rsid w:val="00906CC0"/>
    <w:rsid w:val="009124BD"/>
    <w:rsid w:val="009147DF"/>
    <w:rsid w:val="00923A30"/>
    <w:rsid w:val="00931309"/>
    <w:rsid w:val="00933503"/>
    <w:rsid w:val="00933CCF"/>
    <w:rsid w:val="0093434A"/>
    <w:rsid w:val="0093787A"/>
    <w:rsid w:val="009403AC"/>
    <w:rsid w:val="009439B0"/>
    <w:rsid w:val="00944126"/>
    <w:rsid w:val="009451AF"/>
    <w:rsid w:val="0094718D"/>
    <w:rsid w:val="009478E5"/>
    <w:rsid w:val="00952A45"/>
    <w:rsid w:val="00953505"/>
    <w:rsid w:val="00954E8C"/>
    <w:rsid w:val="00955864"/>
    <w:rsid w:val="00963268"/>
    <w:rsid w:val="009707B8"/>
    <w:rsid w:val="00971CD8"/>
    <w:rsid w:val="00990BB8"/>
    <w:rsid w:val="00990F44"/>
    <w:rsid w:val="0099232B"/>
    <w:rsid w:val="009942AE"/>
    <w:rsid w:val="009A2997"/>
    <w:rsid w:val="009A3240"/>
    <w:rsid w:val="009A32A1"/>
    <w:rsid w:val="009A5DD1"/>
    <w:rsid w:val="009A6AFF"/>
    <w:rsid w:val="009A6F70"/>
    <w:rsid w:val="009C0803"/>
    <w:rsid w:val="009C1F62"/>
    <w:rsid w:val="009C6855"/>
    <w:rsid w:val="009D58BF"/>
    <w:rsid w:val="009E15FE"/>
    <w:rsid w:val="009E30CB"/>
    <w:rsid w:val="009E3A50"/>
    <w:rsid w:val="009E67CB"/>
    <w:rsid w:val="009E7453"/>
    <w:rsid w:val="009E7654"/>
    <w:rsid w:val="00A0146B"/>
    <w:rsid w:val="00A072EF"/>
    <w:rsid w:val="00A13BDF"/>
    <w:rsid w:val="00A227F2"/>
    <w:rsid w:val="00A247B2"/>
    <w:rsid w:val="00A24DB1"/>
    <w:rsid w:val="00A26AF3"/>
    <w:rsid w:val="00A36778"/>
    <w:rsid w:val="00A45B95"/>
    <w:rsid w:val="00A46E83"/>
    <w:rsid w:val="00A53B8A"/>
    <w:rsid w:val="00A5444E"/>
    <w:rsid w:val="00A6276D"/>
    <w:rsid w:val="00A6528F"/>
    <w:rsid w:val="00A768CE"/>
    <w:rsid w:val="00A769C5"/>
    <w:rsid w:val="00A77FB0"/>
    <w:rsid w:val="00A8626F"/>
    <w:rsid w:val="00A865BA"/>
    <w:rsid w:val="00A909A6"/>
    <w:rsid w:val="00A90B31"/>
    <w:rsid w:val="00A91BD2"/>
    <w:rsid w:val="00A96CE8"/>
    <w:rsid w:val="00A97B79"/>
    <w:rsid w:val="00AA1089"/>
    <w:rsid w:val="00AA62E7"/>
    <w:rsid w:val="00AB7974"/>
    <w:rsid w:val="00AC1344"/>
    <w:rsid w:val="00AC689B"/>
    <w:rsid w:val="00AE07BD"/>
    <w:rsid w:val="00AE116B"/>
    <w:rsid w:val="00AE1F82"/>
    <w:rsid w:val="00AE2646"/>
    <w:rsid w:val="00AE3DB0"/>
    <w:rsid w:val="00AF38FB"/>
    <w:rsid w:val="00B0061E"/>
    <w:rsid w:val="00B06AE8"/>
    <w:rsid w:val="00B10EDB"/>
    <w:rsid w:val="00B21EE4"/>
    <w:rsid w:val="00B27DC5"/>
    <w:rsid w:val="00B31A16"/>
    <w:rsid w:val="00B33E36"/>
    <w:rsid w:val="00B367F2"/>
    <w:rsid w:val="00B377BC"/>
    <w:rsid w:val="00B4068C"/>
    <w:rsid w:val="00B520A5"/>
    <w:rsid w:val="00B54311"/>
    <w:rsid w:val="00B56937"/>
    <w:rsid w:val="00B722D7"/>
    <w:rsid w:val="00B7245F"/>
    <w:rsid w:val="00B72A84"/>
    <w:rsid w:val="00B74405"/>
    <w:rsid w:val="00B7447C"/>
    <w:rsid w:val="00B8244F"/>
    <w:rsid w:val="00B844AF"/>
    <w:rsid w:val="00B91F2A"/>
    <w:rsid w:val="00B95404"/>
    <w:rsid w:val="00B95965"/>
    <w:rsid w:val="00B9688F"/>
    <w:rsid w:val="00BA36EB"/>
    <w:rsid w:val="00BA6CC8"/>
    <w:rsid w:val="00BB0CD8"/>
    <w:rsid w:val="00BB1806"/>
    <w:rsid w:val="00BB37B0"/>
    <w:rsid w:val="00BB4021"/>
    <w:rsid w:val="00BB6425"/>
    <w:rsid w:val="00BC360B"/>
    <w:rsid w:val="00BC5A28"/>
    <w:rsid w:val="00BD0AA8"/>
    <w:rsid w:val="00BD3BB8"/>
    <w:rsid w:val="00BD7B2A"/>
    <w:rsid w:val="00BE6BC9"/>
    <w:rsid w:val="00BF1A6A"/>
    <w:rsid w:val="00BF1A7E"/>
    <w:rsid w:val="00BF1F00"/>
    <w:rsid w:val="00BF6C03"/>
    <w:rsid w:val="00C01EE3"/>
    <w:rsid w:val="00C0296E"/>
    <w:rsid w:val="00C06E5E"/>
    <w:rsid w:val="00C126E2"/>
    <w:rsid w:val="00C13CCC"/>
    <w:rsid w:val="00C15120"/>
    <w:rsid w:val="00C22207"/>
    <w:rsid w:val="00C23C1D"/>
    <w:rsid w:val="00C24699"/>
    <w:rsid w:val="00C2530A"/>
    <w:rsid w:val="00C4153A"/>
    <w:rsid w:val="00C45240"/>
    <w:rsid w:val="00C47C6C"/>
    <w:rsid w:val="00C51EF1"/>
    <w:rsid w:val="00C51F61"/>
    <w:rsid w:val="00C53923"/>
    <w:rsid w:val="00C56709"/>
    <w:rsid w:val="00C57886"/>
    <w:rsid w:val="00C57DEB"/>
    <w:rsid w:val="00C616AF"/>
    <w:rsid w:val="00C63F04"/>
    <w:rsid w:val="00C7147D"/>
    <w:rsid w:val="00C723B3"/>
    <w:rsid w:val="00C740BD"/>
    <w:rsid w:val="00C76C9A"/>
    <w:rsid w:val="00C76D81"/>
    <w:rsid w:val="00C81F7F"/>
    <w:rsid w:val="00C82B79"/>
    <w:rsid w:val="00C87574"/>
    <w:rsid w:val="00C91E63"/>
    <w:rsid w:val="00C95A74"/>
    <w:rsid w:val="00C96A1B"/>
    <w:rsid w:val="00CA0559"/>
    <w:rsid w:val="00CA5A64"/>
    <w:rsid w:val="00CB11E6"/>
    <w:rsid w:val="00CB16E3"/>
    <w:rsid w:val="00CB3383"/>
    <w:rsid w:val="00CB33B9"/>
    <w:rsid w:val="00CB42C5"/>
    <w:rsid w:val="00CC0BAB"/>
    <w:rsid w:val="00CC0CE6"/>
    <w:rsid w:val="00CC175F"/>
    <w:rsid w:val="00CC23BD"/>
    <w:rsid w:val="00CC33E5"/>
    <w:rsid w:val="00CC40D3"/>
    <w:rsid w:val="00CC5577"/>
    <w:rsid w:val="00CC588A"/>
    <w:rsid w:val="00CD1996"/>
    <w:rsid w:val="00CD7165"/>
    <w:rsid w:val="00CD75D8"/>
    <w:rsid w:val="00CE0207"/>
    <w:rsid w:val="00CE5249"/>
    <w:rsid w:val="00D042AB"/>
    <w:rsid w:val="00D05CA3"/>
    <w:rsid w:val="00D07058"/>
    <w:rsid w:val="00D10E23"/>
    <w:rsid w:val="00D134F0"/>
    <w:rsid w:val="00D14109"/>
    <w:rsid w:val="00D15D64"/>
    <w:rsid w:val="00D161D3"/>
    <w:rsid w:val="00D16E74"/>
    <w:rsid w:val="00D16E8B"/>
    <w:rsid w:val="00D17957"/>
    <w:rsid w:val="00D23E22"/>
    <w:rsid w:val="00D33EFE"/>
    <w:rsid w:val="00D4137B"/>
    <w:rsid w:val="00D479D8"/>
    <w:rsid w:val="00D51B16"/>
    <w:rsid w:val="00D52E02"/>
    <w:rsid w:val="00D53EB5"/>
    <w:rsid w:val="00D55E54"/>
    <w:rsid w:val="00D6125F"/>
    <w:rsid w:val="00D64EA3"/>
    <w:rsid w:val="00D64F81"/>
    <w:rsid w:val="00D6671D"/>
    <w:rsid w:val="00D70C53"/>
    <w:rsid w:val="00D71589"/>
    <w:rsid w:val="00D73904"/>
    <w:rsid w:val="00D73A80"/>
    <w:rsid w:val="00D76007"/>
    <w:rsid w:val="00D76183"/>
    <w:rsid w:val="00D80C47"/>
    <w:rsid w:val="00D81414"/>
    <w:rsid w:val="00D814F3"/>
    <w:rsid w:val="00D81CBA"/>
    <w:rsid w:val="00D92514"/>
    <w:rsid w:val="00D97C24"/>
    <w:rsid w:val="00D97C2D"/>
    <w:rsid w:val="00DA339B"/>
    <w:rsid w:val="00DA6983"/>
    <w:rsid w:val="00DA6F7C"/>
    <w:rsid w:val="00DB2B3F"/>
    <w:rsid w:val="00DC2CA5"/>
    <w:rsid w:val="00DC5483"/>
    <w:rsid w:val="00DC7755"/>
    <w:rsid w:val="00DC7912"/>
    <w:rsid w:val="00DD1273"/>
    <w:rsid w:val="00DD1CDD"/>
    <w:rsid w:val="00DD4E9C"/>
    <w:rsid w:val="00DE27DF"/>
    <w:rsid w:val="00DE76EB"/>
    <w:rsid w:val="00DE7F17"/>
    <w:rsid w:val="00DF6F94"/>
    <w:rsid w:val="00E04134"/>
    <w:rsid w:val="00E204CA"/>
    <w:rsid w:val="00E20F86"/>
    <w:rsid w:val="00E21ED0"/>
    <w:rsid w:val="00E241B5"/>
    <w:rsid w:val="00E24EF6"/>
    <w:rsid w:val="00E25004"/>
    <w:rsid w:val="00E25262"/>
    <w:rsid w:val="00E26203"/>
    <w:rsid w:val="00E26CF1"/>
    <w:rsid w:val="00E31401"/>
    <w:rsid w:val="00E36B2D"/>
    <w:rsid w:val="00E408BF"/>
    <w:rsid w:val="00E44157"/>
    <w:rsid w:val="00E54566"/>
    <w:rsid w:val="00E54D7F"/>
    <w:rsid w:val="00E67792"/>
    <w:rsid w:val="00E7107E"/>
    <w:rsid w:val="00E719E6"/>
    <w:rsid w:val="00E76167"/>
    <w:rsid w:val="00E762A4"/>
    <w:rsid w:val="00E80BC5"/>
    <w:rsid w:val="00E90924"/>
    <w:rsid w:val="00EA2762"/>
    <w:rsid w:val="00EA2EE8"/>
    <w:rsid w:val="00EA3A62"/>
    <w:rsid w:val="00EB0809"/>
    <w:rsid w:val="00EB5A71"/>
    <w:rsid w:val="00EB733E"/>
    <w:rsid w:val="00ED26A2"/>
    <w:rsid w:val="00ED42C5"/>
    <w:rsid w:val="00EE589F"/>
    <w:rsid w:val="00EF4864"/>
    <w:rsid w:val="00EF5F00"/>
    <w:rsid w:val="00EF71BA"/>
    <w:rsid w:val="00F0065A"/>
    <w:rsid w:val="00F00E16"/>
    <w:rsid w:val="00F01300"/>
    <w:rsid w:val="00F022C6"/>
    <w:rsid w:val="00F03270"/>
    <w:rsid w:val="00F079F6"/>
    <w:rsid w:val="00F1636C"/>
    <w:rsid w:val="00F20F34"/>
    <w:rsid w:val="00F3477E"/>
    <w:rsid w:val="00F372D4"/>
    <w:rsid w:val="00F375D7"/>
    <w:rsid w:val="00F3791F"/>
    <w:rsid w:val="00F45352"/>
    <w:rsid w:val="00F64110"/>
    <w:rsid w:val="00F71246"/>
    <w:rsid w:val="00F72CDF"/>
    <w:rsid w:val="00F746B1"/>
    <w:rsid w:val="00F75AB8"/>
    <w:rsid w:val="00F82870"/>
    <w:rsid w:val="00F82F4C"/>
    <w:rsid w:val="00F831FE"/>
    <w:rsid w:val="00F8519F"/>
    <w:rsid w:val="00F87A15"/>
    <w:rsid w:val="00F92BF4"/>
    <w:rsid w:val="00F968C2"/>
    <w:rsid w:val="00F971DE"/>
    <w:rsid w:val="00FA0A57"/>
    <w:rsid w:val="00FA1BBE"/>
    <w:rsid w:val="00FA4706"/>
    <w:rsid w:val="00FA54A6"/>
    <w:rsid w:val="00FB1ED7"/>
    <w:rsid w:val="00FB2F3C"/>
    <w:rsid w:val="00FB3DC8"/>
    <w:rsid w:val="00FB7814"/>
    <w:rsid w:val="00FC1495"/>
    <w:rsid w:val="00FC2D2F"/>
    <w:rsid w:val="00FC570A"/>
    <w:rsid w:val="00FC6D19"/>
    <w:rsid w:val="00FD1247"/>
    <w:rsid w:val="00FD39DB"/>
    <w:rsid w:val="00FD797F"/>
    <w:rsid w:val="00FD7A65"/>
    <w:rsid w:val="00FE0FE7"/>
    <w:rsid w:val="00FE2AE4"/>
    <w:rsid w:val="00FE33FB"/>
    <w:rsid w:val="00FE5EF0"/>
    <w:rsid w:val="00FF0412"/>
    <w:rsid w:val="00FF2C04"/>
    <w:rsid w:val="00FF364E"/>
    <w:rsid w:val="00FF4A0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8728E"/>
  <w15:docId w15:val="{FA4F4752-F32A-47ED-9AEF-20F0233D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F65"/>
    <w:rPr>
      <w:color w:val="0000FF" w:themeColor="hyperlink"/>
      <w:u w:val="single"/>
    </w:rPr>
  </w:style>
  <w:style w:type="character" w:styleId="CommentReference">
    <w:name w:val="annotation reference"/>
    <w:basedOn w:val="DefaultParagraphFont"/>
    <w:uiPriority w:val="99"/>
    <w:semiHidden/>
    <w:unhideWhenUsed/>
    <w:rsid w:val="00653C17"/>
    <w:rPr>
      <w:sz w:val="16"/>
      <w:szCs w:val="16"/>
    </w:rPr>
  </w:style>
  <w:style w:type="paragraph" w:styleId="CommentText">
    <w:name w:val="annotation text"/>
    <w:basedOn w:val="Normal"/>
    <w:link w:val="CommentTextChar"/>
    <w:uiPriority w:val="99"/>
    <w:unhideWhenUsed/>
    <w:rsid w:val="00653C17"/>
    <w:pPr>
      <w:spacing w:line="240" w:lineRule="auto"/>
    </w:pPr>
    <w:rPr>
      <w:sz w:val="20"/>
      <w:szCs w:val="20"/>
    </w:rPr>
  </w:style>
  <w:style w:type="character" w:customStyle="1" w:styleId="CommentTextChar">
    <w:name w:val="Comment Text Char"/>
    <w:basedOn w:val="DefaultParagraphFont"/>
    <w:link w:val="CommentText"/>
    <w:uiPriority w:val="99"/>
    <w:rsid w:val="00653C17"/>
    <w:rPr>
      <w:sz w:val="20"/>
      <w:szCs w:val="20"/>
    </w:rPr>
  </w:style>
  <w:style w:type="paragraph" w:styleId="CommentSubject">
    <w:name w:val="annotation subject"/>
    <w:basedOn w:val="CommentText"/>
    <w:next w:val="CommentText"/>
    <w:link w:val="CommentSubjectChar"/>
    <w:uiPriority w:val="99"/>
    <w:semiHidden/>
    <w:unhideWhenUsed/>
    <w:rsid w:val="00653C17"/>
    <w:rPr>
      <w:b/>
      <w:bCs/>
    </w:rPr>
  </w:style>
  <w:style w:type="character" w:customStyle="1" w:styleId="CommentSubjectChar">
    <w:name w:val="Comment Subject Char"/>
    <w:basedOn w:val="CommentTextChar"/>
    <w:link w:val="CommentSubject"/>
    <w:uiPriority w:val="99"/>
    <w:semiHidden/>
    <w:rsid w:val="00653C17"/>
    <w:rPr>
      <w:b/>
      <w:bCs/>
      <w:sz w:val="20"/>
      <w:szCs w:val="20"/>
    </w:rPr>
  </w:style>
  <w:style w:type="paragraph" w:styleId="BalloonText">
    <w:name w:val="Balloon Text"/>
    <w:basedOn w:val="Normal"/>
    <w:link w:val="BalloonTextChar"/>
    <w:uiPriority w:val="99"/>
    <w:semiHidden/>
    <w:unhideWhenUsed/>
    <w:rsid w:val="00653C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C17"/>
    <w:rPr>
      <w:rFonts w:ascii="Segoe UI" w:hAnsi="Segoe UI" w:cs="Segoe UI"/>
      <w:sz w:val="18"/>
      <w:szCs w:val="18"/>
    </w:rPr>
  </w:style>
  <w:style w:type="table" w:styleId="TableGrid">
    <w:name w:val="Table Grid"/>
    <w:basedOn w:val="TableNormal"/>
    <w:uiPriority w:val="39"/>
    <w:rsid w:val="003905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905B2"/>
    <w:pPr>
      <w:spacing w:after="0" w:line="240" w:lineRule="auto"/>
    </w:pPr>
    <w:rPr>
      <w:lang w:val="en-US"/>
    </w:rPr>
  </w:style>
  <w:style w:type="paragraph" w:styleId="ListParagraph">
    <w:name w:val="List Paragraph"/>
    <w:basedOn w:val="Normal"/>
    <w:uiPriority w:val="34"/>
    <w:qFormat/>
    <w:rsid w:val="003905B2"/>
    <w:pPr>
      <w:spacing w:after="160" w:line="259" w:lineRule="auto"/>
      <w:ind w:left="720"/>
      <w:contextualSpacing/>
    </w:pPr>
    <w:rPr>
      <w:lang w:val="en-US"/>
    </w:rPr>
  </w:style>
  <w:style w:type="paragraph" w:styleId="Revision">
    <w:name w:val="Revision"/>
    <w:hidden/>
    <w:uiPriority w:val="99"/>
    <w:semiHidden/>
    <w:rsid w:val="006601CD"/>
    <w:pPr>
      <w:spacing w:after="0" w:line="240" w:lineRule="auto"/>
    </w:pPr>
  </w:style>
  <w:style w:type="character" w:styleId="FollowedHyperlink">
    <w:name w:val="FollowedHyperlink"/>
    <w:basedOn w:val="DefaultParagraphFont"/>
    <w:uiPriority w:val="99"/>
    <w:semiHidden/>
    <w:unhideWhenUsed/>
    <w:rsid w:val="00B7447C"/>
    <w:rPr>
      <w:color w:val="800080" w:themeColor="followedHyperlink"/>
      <w:u w:val="single"/>
    </w:rPr>
  </w:style>
  <w:style w:type="paragraph" w:styleId="Header">
    <w:name w:val="header"/>
    <w:basedOn w:val="Normal"/>
    <w:link w:val="HeaderChar"/>
    <w:uiPriority w:val="99"/>
    <w:unhideWhenUsed/>
    <w:rsid w:val="00512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A96"/>
  </w:style>
  <w:style w:type="paragraph" w:styleId="Footer">
    <w:name w:val="footer"/>
    <w:basedOn w:val="Normal"/>
    <w:link w:val="FooterChar"/>
    <w:uiPriority w:val="99"/>
    <w:unhideWhenUsed/>
    <w:rsid w:val="00512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42057">
      <w:bodyDiv w:val="1"/>
      <w:marLeft w:val="0"/>
      <w:marRight w:val="120"/>
      <w:marTop w:val="0"/>
      <w:marBottom w:val="0"/>
      <w:divBdr>
        <w:top w:val="none" w:sz="0" w:space="0" w:color="auto"/>
        <w:left w:val="none" w:sz="0" w:space="0" w:color="auto"/>
        <w:bottom w:val="none" w:sz="0" w:space="0" w:color="auto"/>
        <w:right w:val="none" w:sz="0" w:space="0" w:color="auto"/>
      </w:divBdr>
      <w:divsChild>
        <w:div w:id="537202439">
          <w:marLeft w:val="0"/>
          <w:marRight w:val="0"/>
          <w:marTop w:val="0"/>
          <w:marBottom w:val="0"/>
          <w:divBdr>
            <w:top w:val="none" w:sz="0" w:space="0" w:color="auto"/>
            <w:left w:val="none" w:sz="0" w:space="0" w:color="auto"/>
            <w:bottom w:val="none" w:sz="0" w:space="0" w:color="auto"/>
            <w:right w:val="none" w:sz="0" w:space="0" w:color="auto"/>
          </w:divBdr>
        </w:div>
      </w:divsChild>
    </w:div>
    <w:div w:id="446313483">
      <w:bodyDiv w:val="1"/>
      <w:marLeft w:val="0"/>
      <w:marRight w:val="120"/>
      <w:marTop w:val="0"/>
      <w:marBottom w:val="0"/>
      <w:divBdr>
        <w:top w:val="none" w:sz="0" w:space="0" w:color="auto"/>
        <w:left w:val="none" w:sz="0" w:space="0" w:color="auto"/>
        <w:bottom w:val="none" w:sz="0" w:space="0" w:color="auto"/>
        <w:right w:val="none" w:sz="0" w:space="0" w:color="auto"/>
      </w:divBdr>
      <w:divsChild>
        <w:div w:id="196435842">
          <w:marLeft w:val="0"/>
          <w:marRight w:val="0"/>
          <w:marTop w:val="0"/>
          <w:marBottom w:val="0"/>
          <w:divBdr>
            <w:top w:val="none" w:sz="0" w:space="0" w:color="auto"/>
            <w:left w:val="none" w:sz="0" w:space="0" w:color="auto"/>
            <w:bottom w:val="none" w:sz="0" w:space="0" w:color="auto"/>
            <w:right w:val="none" w:sz="0" w:space="0" w:color="auto"/>
          </w:divBdr>
          <w:divsChild>
            <w:div w:id="19045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7260">
      <w:bodyDiv w:val="1"/>
      <w:marLeft w:val="0"/>
      <w:marRight w:val="120"/>
      <w:marTop w:val="0"/>
      <w:marBottom w:val="0"/>
      <w:divBdr>
        <w:top w:val="none" w:sz="0" w:space="0" w:color="auto"/>
        <w:left w:val="none" w:sz="0" w:space="0" w:color="auto"/>
        <w:bottom w:val="none" w:sz="0" w:space="0" w:color="auto"/>
        <w:right w:val="none" w:sz="0" w:space="0" w:color="auto"/>
      </w:divBdr>
      <w:divsChild>
        <w:div w:id="32730154">
          <w:marLeft w:val="0"/>
          <w:marRight w:val="0"/>
          <w:marTop w:val="0"/>
          <w:marBottom w:val="0"/>
          <w:divBdr>
            <w:top w:val="none" w:sz="0" w:space="0" w:color="auto"/>
            <w:left w:val="none" w:sz="0" w:space="0" w:color="auto"/>
            <w:bottom w:val="none" w:sz="0" w:space="0" w:color="auto"/>
            <w:right w:val="none" w:sz="0" w:space="0" w:color="auto"/>
          </w:divBdr>
          <w:divsChild>
            <w:div w:id="81561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713517">
      <w:bodyDiv w:val="1"/>
      <w:marLeft w:val="0"/>
      <w:marRight w:val="0"/>
      <w:marTop w:val="0"/>
      <w:marBottom w:val="0"/>
      <w:divBdr>
        <w:top w:val="none" w:sz="0" w:space="0" w:color="auto"/>
        <w:left w:val="none" w:sz="0" w:space="0" w:color="auto"/>
        <w:bottom w:val="none" w:sz="0" w:space="0" w:color="auto"/>
        <w:right w:val="none" w:sz="0" w:space="0" w:color="auto"/>
      </w:divBdr>
    </w:div>
    <w:div w:id="1240402935">
      <w:bodyDiv w:val="1"/>
      <w:marLeft w:val="0"/>
      <w:marRight w:val="120"/>
      <w:marTop w:val="0"/>
      <w:marBottom w:val="0"/>
      <w:divBdr>
        <w:top w:val="none" w:sz="0" w:space="0" w:color="auto"/>
        <w:left w:val="none" w:sz="0" w:space="0" w:color="auto"/>
        <w:bottom w:val="none" w:sz="0" w:space="0" w:color="auto"/>
        <w:right w:val="none" w:sz="0" w:space="0" w:color="auto"/>
      </w:divBdr>
      <w:divsChild>
        <w:div w:id="387269552">
          <w:marLeft w:val="0"/>
          <w:marRight w:val="0"/>
          <w:marTop w:val="0"/>
          <w:marBottom w:val="0"/>
          <w:divBdr>
            <w:top w:val="none" w:sz="0" w:space="0" w:color="auto"/>
            <w:left w:val="none" w:sz="0" w:space="0" w:color="auto"/>
            <w:bottom w:val="none" w:sz="0" w:space="0" w:color="auto"/>
            <w:right w:val="none" w:sz="0" w:space="0" w:color="auto"/>
          </w:divBdr>
          <w:divsChild>
            <w:div w:id="66296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56643">
      <w:bodyDiv w:val="1"/>
      <w:marLeft w:val="0"/>
      <w:marRight w:val="0"/>
      <w:marTop w:val="0"/>
      <w:marBottom w:val="0"/>
      <w:divBdr>
        <w:top w:val="none" w:sz="0" w:space="0" w:color="auto"/>
        <w:left w:val="none" w:sz="0" w:space="0" w:color="auto"/>
        <w:bottom w:val="none" w:sz="0" w:space="0" w:color="auto"/>
        <w:right w:val="none" w:sz="0" w:space="0" w:color="auto"/>
      </w:divBdr>
      <w:divsChild>
        <w:div w:id="1067460983">
          <w:marLeft w:val="0"/>
          <w:marRight w:val="0"/>
          <w:marTop w:val="0"/>
          <w:marBottom w:val="0"/>
          <w:divBdr>
            <w:top w:val="none" w:sz="0" w:space="0" w:color="auto"/>
            <w:left w:val="none" w:sz="0" w:space="0" w:color="auto"/>
            <w:bottom w:val="none" w:sz="0" w:space="0" w:color="auto"/>
            <w:right w:val="none" w:sz="0" w:space="0" w:color="auto"/>
          </w:divBdr>
          <w:divsChild>
            <w:div w:id="196239362">
              <w:marLeft w:val="0"/>
              <w:marRight w:val="0"/>
              <w:marTop w:val="0"/>
              <w:marBottom w:val="0"/>
              <w:divBdr>
                <w:top w:val="none" w:sz="0" w:space="0" w:color="auto"/>
                <w:left w:val="none" w:sz="0" w:space="0" w:color="auto"/>
                <w:bottom w:val="none" w:sz="0" w:space="0" w:color="auto"/>
                <w:right w:val="none" w:sz="0" w:space="0" w:color="auto"/>
              </w:divBdr>
              <w:divsChild>
                <w:div w:id="194137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04194">
      <w:bodyDiv w:val="1"/>
      <w:marLeft w:val="0"/>
      <w:marRight w:val="0"/>
      <w:marTop w:val="0"/>
      <w:marBottom w:val="0"/>
      <w:divBdr>
        <w:top w:val="none" w:sz="0" w:space="0" w:color="auto"/>
        <w:left w:val="none" w:sz="0" w:space="0" w:color="auto"/>
        <w:bottom w:val="none" w:sz="0" w:space="0" w:color="auto"/>
        <w:right w:val="none" w:sz="0" w:space="0" w:color="auto"/>
      </w:divBdr>
    </w:div>
    <w:div w:id="1746757570">
      <w:bodyDiv w:val="1"/>
      <w:marLeft w:val="0"/>
      <w:marRight w:val="0"/>
      <w:marTop w:val="0"/>
      <w:marBottom w:val="0"/>
      <w:divBdr>
        <w:top w:val="none" w:sz="0" w:space="0" w:color="auto"/>
        <w:left w:val="none" w:sz="0" w:space="0" w:color="auto"/>
        <w:bottom w:val="none" w:sz="0" w:space="0" w:color="auto"/>
        <w:right w:val="none" w:sz="0" w:space="0" w:color="auto"/>
      </w:divBdr>
    </w:div>
    <w:div w:id="186767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ettings" Target="settings.xml"/><Relationship Id="rId7" Type="http://schemas.openxmlformats.org/officeDocument/2006/relationships/hyperlink" Target="http://www.f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4931</Words>
  <Characters>28109</Characters>
  <Application>Microsoft Office Word</Application>
  <DocSecurity>4</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Rishi Patel</dc:creator>
  <cp:lastModifiedBy>Rayat, Ranjit K</cp:lastModifiedBy>
  <cp:revision>2</cp:revision>
  <cp:lastPrinted>2017-10-27T10:57:00Z</cp:lastPrinted>
  <dcterms:created xsi:type="dcterms:W3CDTF">2018-07-26T12:09:00Z</dcterms:created>
  <dcterms:modified xsi:type="dcterms:W3CDTF">2018-07-26T12:09:00Z</dcterms:modified>
</cp:coreProperties>
</file>