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A80" w:rsidRPr="001B54BE" w:rsidRDefault="00836A80" w:rsidP="00836A80">
      <w:pPr>
        <w:rPr>
          <w:b/>
          <w:sz w:val="28"/>
          <w:szCs w:val="28"/>
        </w:rPr>
      </w:pPr>
      <w:r w:rsidRPr="001B54BE">
        <w:rPr>
          <w:b/>
          <w:sz w:val="28"/>
          <w:szCs w:val="28"/>
        </w:rPr>
        <w:t>Reproductive history and</w:t>
      </w:r>
      <w:r w:rsidR="001B54BE">
        <w:rPr>
          <w:b/>
          <w:sz w:val="28"/>
          <w:szCs w:val="28"/>
        </w:rPr>
        <w:t xml:space="preserve"> mortality among postmenopausal </w:t>
      </w:r>
      <w:r w:rsidRPr="001B54BE">
        <w:rPr>
          <w:b/>
          <w:sz w:val="28"/>
          <w:szCs w:val="28"/>
        </w:rPr>
        <w:t>colorectal cancer patients</w:t>
      </w:r>
    </w:p>
    <w:p w:rsidR="00836A80" w:rsidRPr="00836A80" w:rsidRDefault="00836A80" w:rsidP="00836A80">
      <w:pPr>
        <w:rPr>
          <w:lang w:val="it-IT"/>
        </w:rPr>
      </w:pPr>
      <w:r w:rsidRPr="00836A80">
        <w:rPr>
          <w:lang w:val="it-IT"/>
        </w:rPr>
        <w:t>Mai Kadi</w:t>
      </w:r>
      <w:r w:rsidRPr="00836A80">
        <w:rPr>
          <w:vertAlign w:val="superscript"/>
          <w:lang w:val="it-IT"/>
        </w:rPr>
        <w:t>1</w:t>
      </w:r>
      <w:r w:rsidRPr="00836A80">
        <w:rPr>
          <w:lang w:val="it-IT"/>
        </w:rPr>
        <w:t>, Marc Gunter</w:t>
      </w:r>
      <w:r w:rsidRPr="00836A80">
        <w:rPr>
          <w:vertAlign w:val="superscript"/>
          <w:lang w:val="it-IT"/>
        </w:rPr>
        <w:t>1</w:t>
      </w:r>
      <w:r>
        <w:rPr>
          <w:lang w:val="it-IT"/>
        </w:rPr>
        <w:t>, Petra Wark</w:t>
      </w:r>
      <w:r w:rsidRPr="00836A80">
        <w:rPr>
          <w:vertAlign w:val="superscript"/>
          <w:lang w:val="it-IT"/>
        </w:rPr>
        <w:t>2</w:t>
      </w:r>
      <w:r>
        <w:rPr>
          <w:lang w:val="it-IT"/>
        </w:rPr>
        <w:t>, Elio Riboli</w:t>
      </w:r>
      <w:r w:rsidRPr="00605806">
        <w:rPr>
          <w:vertAlign w:val="superscript"/>
          <w:lang w:val="it-IT"/>
        </w:rPr>
        <w:t>2</w:t>
      </w:r>
    </w:p>
    <w:p w:rsidR="00836A80" w:rsidRDefault="00836A80" w:rsidP="00836A80">
      <w:r w:rsidRPr="00836A80">
        <w:rPr>
          <w:vertAlign w:val="superscript"/>
        </w:rPr>
        <w:t>1</w:t>
      </w:r>
      <w:r>
        <w:t xml:space="preserve"> </w:t>
      </w:r>
      <w:r>
        <w:t>Imperial College London, School of Public Health, Department of</w:t>
      </w:r>
      <w:r w:rsidR="000F1583">
        <w:t xml:space="preserve"> </w:t>
      </w:r>
      <w:r>
        <w:t>Epidemiology and Biostatistics, London, UK;</w:t>
      </w:r>
    </w:p>
    <w:p w:rsidR="000F1583" w:rsidRDefault="00836A80" w:rsidP="00836A80">
      <w:r w:rsidRPr="00836A80">
        <w:rPr>
          <w:vertAlign w:val="superscript"/>
        </w:rPr>
        <w:t>2</w:t>
      </w:r>
      <w:r>
        <w:t xml:space="preserve"> </w:t>
      </w:r>
      <w:r>
        <w:t xml:space="preserve">Global </w:t>
      </w:r>
      <w:proofErr w:type="spellStart"/>
      <w:r>
        <w:t>eHealth</w:t>
      </w:r>
      <w:proofErr w:type="spellEnd"/>
      <w:r>
        <w:t xml:space="preserve"> Unit,</w:t>
      </w:r>
      <w:r w:rsidR="000F1583">
        <w:t xml:space="preserve"> </w:t>
      </w:r>
      <w:r>
        <w:t>Department of Primary Care and Public Health, School of Public</w:t>
      </w:r>
      <w:r w:rsidR="000F1583">
        <w:t xml:space="preserve"> </w:t>
      </w:r>
      <w:r>
        <w:t xml:space="preserve">Health, Imperial College London, London, UK; </w:t>
      </w:r>
    </w:p>
    <w:p w:rsidR="00836A80" w:rsidRDefault="00836A80" w:rsidP="00836A80">
      <w:r>
        <w:t>Corresponding</w:t>
      </w:r>
      <w:r>
        <w:t xml:space="preserve"> </w:t>
      </w:r>
      <w:r>
        <w:t>author’s e-mail: mai.kadi09@imperial.ac.uk</w:t>
      </w:r>
    </w:p>
    <w:p w:rsidR="00836A80" w:rsidRPr="00836A80" w:rsidRDefault="00836A80" w:rsidP="00836A80">
      <w:pPr>
        <w:rPr>
          <w:b/>
        </w:rPr>
      </w:pPr>
      <w:r w:rsidRPr="00836A80">
        <w:rPr>
          <w:b/>
        </w:rPr>
        <w:t>Background:</w:t>
      </w:r>
    </w:p>
    <w:p w:rsidR="00836A80" w:rsidRDefault="007C5A86" w:rsidP="00836A80">
      <w:r>
        <w:t xml:space="preserve">Circulating oestrogen levels are positively </w:t>
      </w:r>
      <w:r w:rsidR="00836A80">
        <w:t>associated</w:t>
      </w:r>
      <w:r w:rsidR="00836A80">
        <w:t xml:space="preserve"> </w:t>
      </w:r>
      <w:r w:rsidR="00836A80">
        <w:t>with colorectal cancer risk in postmenopausal women. Survival after</w:t>
      </w:r>
      <w:r w:rsidR="00836A80">
        <w:t xml:space="preserve"> </w:t>
      </w:r>
      <w:r w:rsidR="00836A80">
        <w:t>colorectal cancer diagnosis may also be influenced by sex hormones</w:t>
      </w:r>
      <w:r w:rsidR="00836A80">
        <w:t xml:space="preserve"> </w:t>
      </w:r>
      <w:r>
        <w:t>via similar mechanisms.  We investigate the relationship</w:t>
      </w:r>
      <w:r w:rsidR="00836A80">
        <w:t xml:space="preserve"> between</w:t>
      </w:r>
      <w:r w:rsidR="00836A80">
        <w:t xml:space="preserve"> </w:t>
      </w:r>
      <w:r w:rsidR="00836A80">
        <w:t>reproductive   factors,   which   are   surrogate   measure   of   lifetime</w:t>
      </w:r>
      <w:r w:rsidR="00836A80">
        <w:t xml:space="preserve"> </w:t>
      </w:r>
      <w:r w:rsidR="00836A80">
        <w:t>oestrogen exposure, and survival after colorectal cancer diagnosis.</w:t>
      </w:r>
    </w:p>
    <w:p w:rsidR="00836A80" w:rsidRPr="00836A80" w:rsidRDefault="00836A80" w:rsidP="00836A80">
      <w:pPr>
        <w:rPr>
          <w:b/>
        </w:rPr>
      </w:pPr>
      <w:r w:rsidRPr="00836A80">
        <w:rPr>
          <w:b/>
        </w:rPr>
        <w:t>Methods:</w:t>
      </w:r>
    </w:p>
    <w:p w:rsidR="00836A80" w:rsidRDefault="00C64DCD" w:rsidP="00836A80">
      <w:r>
        <w:t xml:space="preserve">Study </w:t>
      </w:r>
      <w:r w:rsidR="00836A80">
        <w:t>participants incl</w:t>
      </w:r>
      <w:r>
        <w:t>uded 1556 postmenopausal col</w:t>
      </w:r>
      <w:r w:rsidR="00836A80">
        <w:t>orectal cancer patients cases identified from the European Prospective</w:t>
      </w:r>
      <w:r w:rsidR="00836A80">
        <w:t xml:space="preserve"> </w:t>
      </w:r>
      <w:r w:rsidR="00836A80">
        <w:t>Investigation into Cancer and Nutrition (EPIC). Reproductive factors</w:t>
      </w:r>
      <w:r w:rsidR="00836A80">
        <w:t xml:space="preserve"> </w:t>
      </w:r>
      <w:r>
        <w:t xml:space="preserve">were assessed at </w:t>
      </w:r>
      <w:r w:rsidR="00836A80">
        <w:t>baseline using self-reported questionnaires.  During</w:t>
      </w:r>
      <w:r w:rsidR="00836A80">
        <w:t xml:space="preserve"> </w:t>
      </w:r>
      <w:r w:rsidR="00836A80">
        <w:t>an average of 5.7 years follow up, 527 deaths occurred, 425 of them</w:t>
      </w:r>
      <w:r w:rsidR="00836A80">
        <w:t xml:space="preserve"> </w:t>
      </w:r>
      <w:r w:rsidR="00836A80">
        <w:t>of colorectal cancer. Cox proportional hazards modelling was used to</w:t>
      </w:r>
      <w:r w:rsidR="00836A80">
        <w:t xml:space="preserve"> </w:t>
      </w:r>
      <w:r w:rsidR="00836A80">
        <w:t>estimate  hazard  ratios  (HR)  and  95 %  confidence  intervals  (CI)</w:t>
      </w:r>
      <w:r w:rsidR="00836A80">
        <w:t xml:space="preserve"> </w:t>
      </w:r>
      <w:r w:rsidR="00836A80">
        <w:t>reflecting  associations  between  reproductive  factors  (parity,  age  at</w:t>
      </w:r>
      <w:r w:rsidR="00836A80">
        <w:t xml:space="preserve"> </w:t>
      </w:r>
      <w:r w:rsidR="00836A80">
        <w:t>menarche   and   menopause)   and   all-cause   and   colorectal   cancer-</w:t>
      </w:r>
      <w:r>
        <w:t xml:space="preserve">specific  mortality.  Models </w:t>
      </w:r>
      <w:r w:rsidR="00836A80">
        <w:t>were</w:t>
      </w:r>
      <w:r>
        <w:t xml:space="preserve"> </w:t>
      </w:r>
      <w:r w:rsidR="00836A80">
        <w:t xml:space="preserve">stratified </w:t>
      </w:r>
      <w:r w:rsidR="007C5A86">
        <w:t xml:space="preserve">by </w:t>
      </w:r>
      <w:r w:rsidR="00836A80">
        <w:t xml:space="preserve">age </w:t>
      </w:r>
      <w:r w:rsidR="008F2D4A">
        <w:t xml:space="preserve">at </w:t>
      </w:r>
      <w:r w:rsidR="00836A80">
        <w:t>diagnosis and</w:t>
      </w:r>
      <w:r w:rsidR="00836A80">
        <w:t xml:space="preserve"> </w:t>
      </w:r>
      <w:r w:rsidR="00836A80">
        <w:t>adjusted for year at diagnosis, tumour stage, tumour grade, smoking</w:t>
      </w:r>
      <w:r w:rsidR="00836A80">
        <w:t xml:space="preserve"> </w:t>
      </w:r>
      <w:r w:rsidR="00836A80">
        <w:t>and waist circumference</w:t>
      </w:r>
      <w:bookmarkStart w:id="0" w:name="_GoBack"/>
      <w:bookmarkEnd w:id="0"/>
      <w:r w:rsidR="00836A80">
        <w:t>.</w:t>
      </w:r>
    </w:p>
    <w:p w:rsidR="00836A80" w:rsidRPr="00836A80" w:rsidRDefault="00836A80" w:rsidP="00836A80">
      <w:pPr>
        <w:rPr>
          <w:b/>
        </w:rPr>
      </w:pPr>
      <w:r w:rsidRPr="00836A80">
        <w:rPr>
          <w:b/>
        </w:rPr>
        <w:t>Result:</w:t>
      </w:r>
    </w:p>
    <w:p w:rsidR="00836A80" w:rsidRDefault="00836A80" w:rsidP="00836A80">
      <w:r>
        <w:t>Compared to women aged 12 years or less at menarche, the</w:t>
      </w:r>
      <w:r w:rsidR="00497E22">
        <w:t xml:space="preserve"> </w:t>
      </w:r>
      <w:r>
        <w:t>participants  who  had  menarche  after  15 years  of  age  had  a  47 %</w:t>
      </w:r>
      <w:r w:rsidR="00497E22">
        <w:t xml:space="preserve"> </w:t>
      </w:r>
      <w:r>
        <w:t>decreased  risk  of  all-cause  and  44 %  decreased  risk  of  colorectal</w:t>
      </w:r>
      <w:r w:rsidR="00497E22">
        <w:t xml:space="preserve"> </w:t>
      </w:r>
      <w:r>
        <w:t>cancer-specific  mortality  (hazard  ratio  [HR]:  0.53,  95 %  confidence</w:t>
      </w:r>
      <w:r w:rsidR="00497E22">
        <w:t xml:space="preserve"> </w:t>
      </w:r>
      <w:r>
        <w:t>interval  [CI]:  0.34–0.81,  P  trend:  0.002  and  HR:  0.56,  95 %  CI:</w:t>
      </w:r>
      <w:r w:rsidR="00497E22">
        <w:t xml:space="preserve"> </w:t>
      </w:r>
      <w:r>
        <w:t>0.35–0.89, P trend: 0.002, respectively). Having ever used oral con-</w:t>
      </w:r>
      <w:proofErr w:type="spellStart"/>
      <w:r>
        <w:t>traceptive</w:t>
      </w:r>
      <w:proofErr w:type="spellEnd"/>
      <w:r>
        <w:t xml:space="preserve"> pills (OCs) was associated with 25 % decreased all-cause</w:t>
      </w:r>
      <w:r w:rsidR="00497E22">
        <w:t xml:space="preserve"> </w:t>
      </w:r>
      <w:r>
        <w:t>and 24 % colorectal-cancer specific mortality compared to those who</w:t>
      </w:r>
      <w:r w:rsidR="00497E22">
        <w:t xml:space="preserve"> </w:t>
      </w:r>
      <w:r>
        <w:t>never used them (hazard ratio [HR]: 0.75, 95 % confidence interval</w:t>
      </w:r>
      <w:r w:rsidR="00497E22">
        <w:t xml:space="preserve"> </w:t>
      </w:r>
      <w:r>
        <w:t>[CI]: 0.60–0.94 and HR: 0.76, 95 % CI: 0.60–0.96, respectively).</w:t>
      </w:r>
    </w:p>
    <w:p w:rsidR="00836A80" w:rsidRPr="00836A80" w:rsidRDefault="00836A80" w:rsidP="00836A80">
      <w:pPr>
        <w:rPr>
          <w:b/>
        </w:rPr>
      </w:pPr>
      <w:r w:rsidRPr="00836A80">
        <w:rPr>
          <w:b/>
        </w:rPr>
        <w:t>Conclusion:</w:t>
      </w:r>
    </w:p>
    <w:p w:rsidR="00FB17B8" w:rsidRPr="00836A80" w:rsidRDefault="00836A80" w:rsidP="00836A80">
      <w:r>
        <w:t>Our results show that endogenous and endogenous sex</w:t>
      </w:r>
      <w:r w:rsidR="00497E22">
        <w:t xml:space="preserve"> </w:t>
      </w:r>
      <w:r>
        <w:t xml:space="preserve">hormones may </w:t>
      </w:r>
      <w:r w:rsidR="0018110A">
        <w:t xml:space="preserve">influence </w:t>
      </w:r>
      <w:r>
        <w:t>prognosis</w:t>
      </w:r>
      <w:r w:rsidR="0018110A">
        <w:t xml:space="preserve"> in </w:t>
      </w:r>
      <w:r>
        <w:t>postmenopausal colorectal</w:t>
      </w:r>
      <w:r w:rsidR="00497E22">
        <w:t xml:space="preserve"> </w:t>
      </w:r>
      <w:r>
        <w:t>cancer patients. If confirmed in other studies, these findings may be</w:t>
      </w:r>
      <w:r w:rsidR="00497E22">
        <w:t xml:space="preserve"> </w:t>
      </w:r>
      <w:r>
        <w:t>further explored in prognostic modelling and influence health monitoring of high-risk groups.</w:t>
      </w:r>
    </w:p>
    <w:sectPr w:rsidR="00FB17B8" w:rsidRPr="00836A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A80"/>
    <w:rsid w:val="000F1583"/>
    <w:rsid w:val="0018110A"/>
    <w:rsid w:val="001B54BE"/>
    <w:rsid w:val="00497E22"/>
    <w:rsid w:val="00605806"/>
    <w:rsid w:val="007C5A86"/>
    <w:rsid w:val="008208FB"/>
    <w:rsid w:val="00836A80"/>
    <w:rsid w:val="008F2D4A"/>
    <w:rsid w:val="00AB7EA5"/>
    <w:rsid w:val="00B06FEC"/>
    <w:rsid w:val="00C64DCD"/>
    <w:rsid w:val="00F5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DE63E8-A948-460D-B1C5-D112A86C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1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391</Words>
  <Characters>2231</Characters>
  <Application>Microsoft Office Word</Application>
  <DocSecurity>0</DocSecurity>
  <Lines>18</Lines>
  <Paragraphs>5</Paragraphs>
  <ScaleCrop>false</ScaleCrop>
  <Company>Imperial College London</Company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Mangiameli, Giulia</dc:creator>
  <cp:keywords/>
  <dc:description/>
  <cp:lastModifiedBy>Mangiameli, Giulia</cp:lastModifiedBy>
  <cp:revision>11</cp:revision>
  <dcterms:created xsi:type="dcterms:W3CDTF">2017-02-06T09:38:00Z</dcterms:created>
  <dcterms:modified xsi:type="dcterms:W3CDTF">2017-02-06T09:45:00Z</dcterms:modified>
</cp:coreProperties>
</file>