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CC8" w:rsidRDefault="00831CC8">
      <w:r>
        <w:t xml:space="preserve">REVERSING ORAL ANTICOAGULATION IN NON-TRAUMATIC INTRACEREBRAL HEMORRHAGE WITH PROTHROMBIN COMPLEX CONCENTRATE – A COHORT STUDY ON THE INCIDENCE OF ADVERSE EVENTS </w:t>
      </w:r>
    </w:p>
    <w:p w:rsidR="00831CC8" w:rsidRDefault="00831CC8">
      <w:r>
        <w:t>T. Riz</w:t>
      </w:r>
      <w:r>
        <w:t xml:space="preserve">os, E. Jenetzky2, C. </w:t>
      </w:r>
      <w:proofErr w:type="spellStart"/>
      <w:r>
        <w:t>Beynon</w:t>
      </w:r>
      <w:proofErr w:type="spellEnd"/>
      <w:r>
        <w:t xml:space="preserve">, O.J. </w:t>
      </w:r>
      <w:proofErr w:type="spellStart"/>
      <w:r>
        <w:t>M</w:t>
      </w:r>
      <w:r>
        <w:rPr>
          <w:rFonts w:cstheme="minorHAnsi"/>
        </w:rPr>
        <w:t>ű</w:t>
      </w:r>
      <w:r>
        <w:t>ll</w:t>
      </w:r>
      <w:r>
        <w:t>er</w:t>
      </w:r>
      <w:proofErr w:type="spellEnd"/>
      <w:r>
        <w:t xml:space="preserve">, P. Sander, S. </w:t>
      </w:r>
      <w:proofErr w:type="spellStart"/>
      <w:r>
        <w:t>Schueler</w:t>
      </w:r>
      <w:proofErr w:type="spellEnd"/>
      <w:r>
        <w:t xml:space="preserve">, J. </w:t>
      </w:r>
      <w:proofErr w:type="spellStart"/>
      <w:r>
        <w:t>Purruck</w:t>
      </w:r>
      <w:r>
        <w:t>er</w:t>
      </w:r>
      <w:proofErr w:type="spellEnd"/>
      <w:r>
        <w:t xml:space="preserve">, M. </w:t>
      </w:r>
      <w:proofErr w:type="spellStart"/>
      <w:r>
        <w:t>M</w:t>
      </w:r>
      <w:r>
        <w:rPr>
          <w:rFonts w:cstheme="minorHAnsi"/>
        </w:rPr>
        <w:t>ő</w:t>
      </w:r>
      <w:r>
        <w:t>hlenbruc</w:t>
      </w:r>
      <w:r>
        <w:t>h</w:t>
      </w:r>
      <w:proofErr w:type="spellEnd"/>
      <w:r>
        <w:t>, T. Steiner, R. Veltkamp</w:t>
      </w:r>
      <w:r>
        <w:t xml:space="preserve">, </w:t>
      </w:r>
      <w:r>
        <w:t xml:space="preserve">P.A. </w:t>
      </w:r>
      <w:proofErr w:type="spellStart"/>
      <w:r>
        <w:t>Ringleb</w:t>
      </w:r>
      <w:proofErr w:type="spellEnd"/>
      <w:r>
        <w:t xml:space="preserve"> and M. </w:t>
      </w:r>
      <w:proofErr w:type="spellStart"/>
      <w:r>
        <w:t>Laible</w:t>
      </w:r>
      <w:proofErr w:type="spellEnd"/>
      <w:r>
        <w:t xml:space="preserve"> </w:t>
      </w:r>
    </w:p>
    <w:p w:rsidR="00831CC8" w:rsidRDefault="00831CC8">
      <w:r>
        <w:t xml:space="preserve">Introduction: Prothrombin complex concentrates (PCC) are frequently used to reverse the effect of vitamin K antagonists (VKA) in patients with non-traumatic </w:t>
      </w:r>
      <w:proofErr w:type="spellStart"/>
      <w:r>
        <w:t>intracerebral</w:t>
      </w:r>
      <w:proofErr w:type="spellEnd"/>
      <w:r>
        <w:t xml:space="preserve"> </w:t>
      </w:r>
      <w:proofErr w:type="spellStart"/>
      <w:r>
        <w:t>hemorrhage</w:t>
      </w:r>
      <w:proofErr w:type="spellEnd"/>
      <w:r>
        <w:t xml:space="preserve"> (ICH). However, information on the rate of thromboembolic and allergic events after PCC therapy in VKA-ICH patients is highly limited. </w:t>
      </w:r>
    </w:p>
    <w:p w:rsidR="00831CC8" w:rsidRDefault="00831CC8">
      <w:r>
        <w:t xml:space="preserve">Methods: Consecutive VKA-ICH patients treated at our institution between 12/2004 and 06/2014 with PCC were included into this retrospective observational study. Besides International Normalized Ratio (INR) values before and after PCC treatment, baseline clinical characteristics were recorded and medical charts were reviewed for thromboembolic (TE) and allergic events that occurred during the hospital stay. All events were classified by three reviewers as being ‘‘related’’, ‘‘probably related’’, ‘‘possibly related’’ ‘‘unlikely related’’ or ‘‘not related’’ to treatment with PCC. To identify factors associated with TEs, log-rank analyses were applied. </w:t>
      </w:r>
    </w:p>
    <w:p w:rsidR="00831CC8" w:rsidRDefault="00831CC8">
      <w:bookmarkStart w:id="0" w:name="_GoBack"/>
      <w:bookmarkEnd w:id="0"/>
      <w:r>
        <w:t xml:space="preserve">Results: 205 patients were included. Median initial INR was 2.8 (interquartile range (IQR) 2.2–3.8) before and 1.3 (IQR 1.2–1.4) after PCC-treatment. Median PCC dose was 1.500 IU (IQR 1.000–2.500). 19 TEs were observed (9.3%); none was classified ‘‘related’’ but 9 were classified ‘‘possibly’’ or ‘‘probably’’ related to PCC infusion (4.4%). One allergic reaction (0.5%), ‘‘unlikely’’ to be related to PCC, was observed. In the whole cohort, PCC doses exceeding 2.000 IU were associated with the development of TEs (p ¼ 0.031). </w:t>
      </w:r>
    </w:p>
    <w:p w:rsidR="000E6E44" w:rsidRDefault="00831CC8">
      <w:r>
        <w:t xml:space="preserve">Conclusions: Overall, reversal of increased INR with PCC is </w:t>
      </w:r>
      <w:proofErr w:type="gramStart"/>
      <w:r>
        <w:t>save</w:t>
      </w:r>
      <w:proofErr w:type="gramEnd"/>
      <w:r>
        <w:t xml:space="preserve">. However, high PCC dosages were associated with </w:t>
      </w:r>
      <w:proofErr w:type="gramStart"/>
      <w:r>
        <w:t>TEs,</w:t>
      </w:r>
      <w:proofErr w:type="gramEnd"/>
      <w:r>
        <w:t xml:space="preserve"> hence individual titration of PCC to avoid exposure to unnecessarily high doses using point-of-care devices should be explored</w:t>
      </w:r>
    </w:p>
    <w:sectPr w:rsidR="000E6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CC8"/>
    <w:rsid w:val="000E6E44"/>
    <w:rsid w:val="00831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Kirsten H</dc:creator>
  <cp:lastModifiedBy>Harvey, Kirsten H</cp:lastModifiedBy>
  <cp:revision>1</cp:revision>
  <dcterms:created xsi:type="dcterms:W3CDTF">2017-08-01T13:25:00Z</dcterms:created>
  <dcterms:modified xsi:type="dcterms:W3CDTF">2017-08-01T13:28:00Z</dcterms:modified>
</cp:coreProperties>
</file>