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42" w:rsidRDefault="005C1742" w:rsidP="005C1742">
      <w:pPr>
        <w:pStyle w:val="NormalWeb"/>
      </w:pPr>
      <w:bookmarkStart w:id="0" w:name="_GoBack"/>
      <w:r>
        <w:rPr>
          <w:rFonts w:ascii="AdvOT66af078c.B" w:hAnsi="AdvOT66af078c.B"/>
          <w:sz w:val="18"/>
          <w:szCs w:val="18"/>
        </w:rPr>
        <w:t xml:space="preserve">Human germinal </w:t>
      </w:r>
      <w:proofErr w:type="spellStart"/>
      <w:r>
        <w:rPr>
          <w:rFonts w:ascii="AdvOT66af078c.B" w:hAnsi="AdvOT66af078c.B"/>
          <w:sz w:val="18"/>
          <w:szCs w:val="18"/>
        </w:rPr>
        <w:t>center</w:t>
      </w:r>
      <w:proofErr w:type="spellEnd"/>
      <w:r>
        <w:rPr>
          <w:rFonts w:ascii="AdvOT66af078c.B" w:hAnsi="AdvOT66af078c.B"/>
          <w:sz w:val="18"/>
          <w:szCs w:val="18"/>
        </w:rPr>
        <w:t xml:space="preserve"> B cells express a unique glycosylation signature characterized by poly-N-</w:t>
      </w:r>
      <w:proofErr w:type="spellStart"/>
      <w:r>
        <w:rPr>
          <w:rFonts w:ascii="AdvOT66af078c.B" w:hAnsi="AdvOT66af078c.B"/>
          <w:sz w:val="18"/>
          <w:szCs w:val="18"/>
        </w:rPr>
        <w:t>acetyllactosaminyl</w:t>
      </w:r>
      <w:proofErr w:type="spellEnd"/>
      <w:r>
        <w:rPr>
          <w:rFonts w:ascii="AdvOT66af078c.B" w:hAnsi="AdvOT66af078c.B"/>
          <w:sz w:val="18"/>
          <w:szCs w:val="18"/>
        </w:rPr>
        <w:t xml:space="preserve"> glycans</w:t>
      </w:r>
    </w:p>
    <w:bookmarkEnd w:id="0"/>
    <w:p w:rsidR="005C1742" w:rsidRDefault="005C1742" w:rsidP="005C1742">
      <w:pPr>
        <w:pStyle w:val="NormalWeb"/>
      </w:pPr>
      <w:r>
        <w:rPr>
          <w:rFonts w:ascii="AdvOTbc475f09" w:hAnsi="AdvOTbc475f09"/>
          <w:sz w:val="18"/>
          <w:szCs w:val="18"/>
        </w:rPr>
        <w:t xml:space="preserve">Leukocytes commonly remodel cell surface glycans upon </w:t>
      </w:r>
      <w:proofErr w:type="spellStart"/>
      <w:r>
        <w:rPr>
          <w:rFonts w:ascii="AdvOTbc475f09" w:hAnsi="AdvOTbc475f09"/>
          <w:sz w:val="18"/>
          <w:szCs w:val="18"/>
        </w:rPr>
        <w:t>activa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tion</w:t>
      </w:r>
      <w:proofErr w:type="spellEnd"/>
      <w:r>
        <w:rPr>
          <w:rFonts w:ascii="AdvOTbc475f09" w:hAnsi="AdvOTbc475f09"/>
          <w:sz w:val="18"/>
          <w:szCs w:val="18"/>
        </w:rPr>
        <w:t xml:space="preserve"> as a means to modify immunologically signi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>cant lectin- glycoprotein interactions. While many glycan features have been documented for activated T cells, far fewer functionally important glycan features have been identi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>ed on activated B cells. As such, we sought to de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 xml:space="preserve">ne the surface carbohydrate rep- </w:t>
      </w:r>
      <w:proofErr w:type="spellStart"/>
      <w:r>
        <w:rPr>
          <w:rFonts w:ascii="AdvOTbc475f09" w:hAnsi="AdvOTbc475f09"/>
          <w:sz w:val="18"/>
          <w:szCs w:val="18"/>
        </w:rPr>
        <w:t>ertoire</w:t>
      </w:r>
      <w:proofErr w:type="spellEnd"/>
      <w:r>
        <w:rPr>
          <w:rFonts w:ascii="AdvOTbc475f09" w:hAnsi="AdvOTbc475f09"/>
          <w:sz w:val="18"/>
          <w:szCs w:val="18"/>
        </w:rPr>
        <w:t xml:space="preserve"> of human </w:t>
      </w:r>
      <w:proofErr w:type="spellStart"/>
      <w:r>
        <w:rPr>
          <w:rFonts w:ascii="AdvOTbc475f09" w:hAnsi="AdvOTbc475f09"/>
          <w:sz w:val="18"/>
          <w:szCs w:val="18"/>
        </w:rPr>
        <w:t>tonsillar</w:t>
      </w:r>
      <w:proofErr w:type="spellEnd"/>
      <w:r>
        <w:rPr>
          <w:rFonts w:ascii="AdvOTbc475f09" w:hAnsi="AdvOTbc475f09"/>
          <w:sz w:val="18"/>
          <w:szCs w:val="18"/>
        </w:rPr>
        <w:t xml:space="preserve"> B cells at various stages of B cell </w:t>
      </w:r>
      <w:proofErr w:type="spellStart"/>
      <w:r>
        <w:rPr>
          <w:rFonts w:ascii="AdvOTbc475f09" w:hAnsi="AdvOTbc475f09"/>
          <w:sz w:val="18"/>
          <w:szCs w:val="18"/>
        </w:rPr>
        <w:t>dif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ferentiation</w:t>
      </w:r>
      <w:proofErr w:type="spellEnd"/>
      <w:r>
        <w:rPr>
          <w:rFonts w:ascii="AdvOTbc475f09" w:hAnsi="AdvOTbc475f09"/>
          <w:sz w:val="18"/>
          <w:szCs w:val="18"/>
        </w:rPr>
        <w:t xml:space="preserve">. We found that B cells activated with T cell help (germinal </w:t>
      </w:r>
      <w:proofErr w:type="spellStart"/>
      <w:r>
        <w:rPr>
          <w:rFonts w:ascii="AdvOTbc475f09" w:hAnsi="AdvOTbc475f09"/>
          <w:sz w:val="18"/>
          <w:szCs w:val="18"/>
        </w:rPr>
        <w:t>center</w:t>
      </w:r>
      <w:proofErr w:type="spellEnd"/>
      <w:r>
        <w:rPr>
          <w:rFonts w:ascii="AdvOTbc475f09" w:hAnsi="AdvOTbc475f09"/>
          <w:sz w:val="18"/>
          <w:szCs w:val="18"/>
        </w:rPr>
        <w:t xml:space="preserve"> (GC) B cells) display &gt;2-fold higher levels of poly-N-</w:t>
      </w:r>
      <w:proofErr w:type="spellStart"/>
      <w:r>
        <w:rPr>
          <w:rFonts w:ascii="AdvOTbc475f09" w:hAnsi="AdvOTbc475f09"/>
          <w:sz w:val="18"/>
          <w:szCs w:val="18"/>
        </w:rPr>
        <w:t>acetyllactosamine</w:t>
      </w:r>
      <w:proofErr w:type="spellEnd"/>
      <w:r>
        <w:rPr>
          <w:rFonts w:ascii="AdvOTbc475f09" w:hAnsi="AdvOTbc475f09"/>
          <w:sz w:val="18"/>
          <w:szCs w:val="18"/>
        </w:rPr>
        <w:t xml:space="preserve"> (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 xml:space="preserve">) glycans compared to naive, memory, and </w:t>
      </w:r>
      <w:proofErr w:type="spellStart"/>
      <w:r>
        <w:rPr>
          <w:rFonts w:ascii="AdvOTbc475f09" w:hAnsi="AdvOTbc475f09"/>
          <w:sz w:val="18"/>
          <w:szCs w:val="18"/>
        </w:rPr>
        <w:t>plasmablast</w:t>
      </w:r>
      <w:proofErr w:type="spellEnd"/>
      <w:r>
        <w:rPr>
          <w:rFonts w:ascii="AdvOTbc475f09" w:hAnsi="AdvOTbc475f09"/>
          <w:sz w:val="18"/>
          <w:szCs w:val="18"/>
        </w:rPr>
        <w:t xml:space="preserve"> B cells, as measured by binding to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>-speci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 xml:space="preserve">c </w:t>
      </w:r>
      <w:proofErr w:type="spellStart"/>
      <w:r>
        <w:rPr>
          <w:rFonts w:ascii="AdvOTbc475f09" w:hAnsi="AdvOTbc475f09"/>
          <w:sz w:val="18"/>
          <w:szCs w:val="18"/>
        </w:rPr>
        <w:t>Solanum</w:t>
      </w:r>
      <w:proofErr w:type="spellEnd"/>
      <w:r>
        <w:rPr>
          <w:rFonts w:ascii="AdvOTbc475f09" w:hAnsi="AdvOTbc475f09"/>
          <w:sz w:val="18"/>
          <w:szCs w:val="18"/>
        </w:rPr>
        <w:t xml:space="preserve"> </w:t>
      </w:r>
      <w:proofErr w:type="spellStart"/>
      <w:r>
        <w:rPr>
          <w:rFonts w:ascii="AdvOTbc475f09" w:hAnsi="AdvOTbc475f09"/>
          <w:sz w:val="18"/>
          <w:szCs w:val="18"/>
        </w:rPr>
        <w:t>tuberosum</w:t>
      </w:r>
      <w:proofErr w:type="spellEnd"/>
      <w:r>
        <w:rPr>
          <w:rFonts w:ascii="AdvOTbc475f09" w:hAnsi="AdvOTbc475f09"/>
          <w:sz w:val="18"/>
          <w:szCs w:val="18"/>
        </w:rPr>
        <w:t xml:space="preserve"> (STA) and </w:t>
      </w:r>
      <w:proofErr w:type="spellStart"/>
      <w:r>
        <w:rPr>
          <w:rFonts w:ascii="AdvOTbc475f09" w:hAnsi="AdvOTbc475f09"/>
          <w:sz w:val="18"/>
          <w:szCs w:val="18"/>
        </w:rPr>
        <w:t>Lycopersicon</w:t>
      </w:r>
      <w:proofErr w:type="spellEnd"/>
      <w:r>
        <w:rPr>
          <w:rFonts w:ascii="AdvOTbc475f09" w:hAnsi="AdvOTbc475f09"/>
          <w:sz w:val="18"/>
          <w:szCs w:val="18"/>
        </w:rPr>
        <w:t xml:space="preserve"> </w:t>
      </w:r>
      <w:proofErr w:type="spellStart"/>
      <w:r>
        <w:rPr>
          <w:rFonts w:ascii="AdvOTbc475f09" w:hAnsi="AdvOTbc475f09"/>
          <w:sz w:val="18"/>
          <w:szCs w:val="18"/>
        </w:rPr>
        <w:t>esculentum</w:t>
      </w:r>
      <w:proofErr w:type="spellEnd"/>
      <w:r>
        <w:rPr>
          <w:rFonts w:ascii="AdvOTbc475f09" w:hAnsi="AdvOTbc475f09"/>
          <w:sz w:val="18"/>
          <w:szCs w:val="18"/>
        </w:rPr>
        <w:t xml:space="preserve"> (LEA) lectins. Furthermore, lectin blot analysis of primary cell lysates revealed that these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 xml:space="preserve"> glycans are primarily presented on CD45, a </w:t>
      </w:r>
      <w:proofErr w:type="spellStart"/>
      <w:r>
        <w:rPr>
          <w:rFonts w:ascii="AdvOTbc475f09" w:hAnsi="AdvOTbc475f09"/>
          <w:sz w:val="18"/>
          <w:szCs w:val="18"/>
        </w:rPr>
        <w:t>recep</w:t>
      </w:r>
      <w:proofErr w:type="spellEnd"/>
      <w:r>
        <w:rPr>
          <w:rFonts w:ascii="AdvOTbc475f09" w:hAnsi="AdvOTbc475f09"/>
          <w:sz w:val="18"/>
          <w:szCs w:val="18"/>
        </w:rPr>
        <w:t xml:space="preserve">- tor tyrosine phosphatase critically involved in B cell antigen re- </w:t>
      </w:r>
      <w:proofErr w:type="spellStart"/>
      <w:r>
        <w:rPr>
          <w:rFonts w:ascii="AdvOTbc475f09" w:hAnsi="AdvOTbc475f09"/>
          <w:sz w:val="18"/>
          <w:szCs w:val="18"/>
        </w:rPr>
        <w:t>ceptor</w:t>
      </w:r>
      <w:proofErr w:type="spellEnd"/>
      <w:r>
        <w:rPr>
          <w:rFonts w:ascii="AdvOTbc475f09" w:hAnsi="AdvOTbc475f09"/>
          <w:sz w:val="18"/>
          <w:szCs w:val="18"/>
        </w:rPr>
        <w:t xml:space="preserve"> </w:t>
      </w:r>
      <w:proofErr w:type="spellStart"/>
      <w:r>
        <w:rPr>
          <w:rFonts w:ascii="AdvOTbc475f09" w:hAnsi="AdvOTbc475f09"/>
          <w:sz w:val="18"/>
          <w:szCs w:val="18"/>
        </w:rPr>
        <w:t>signaling</w:t>
      </w:r>
      <w:proofErr w:type="spellEnd"/>
      <w:r>
        <w:rPr>
          <w:rFonts w:ascii="AdvOTbc475f09" w:hAnsi="AdvOTbc475f09"/>
          <w:sz w:val="18"/>
          <w:szCs w:val="18"/>
        </w:rPr>
        <w:t xml:space="preserve">. Global gene expression analysis and quantitative real-time PCR of FACS-sorted B cell subsets showed that GC B cells selectively </w:t>
      </w:r>
      <w:proofErr w:type="spellStart"/>
      <w:r>
        <w:rPr>
          <w:rFonts w:ascii="AdvOTbc475f09" w:hAnsi="AdvOTbc475f09"/>
          <w:sz w:val="18"/>
          <w:szCs w:val="18"/>
        </w:rPr>
        <w:t>downregulate</w:t>
      </w:r>
      <w:proofErr w:type="spellEnd"/>
      <w:r>
        <w:rPr>
          <w:rFonts w:ascii="AdvOTbc475f09" w:hAnsi="AdvOTbc475f09"/>
          <w:sz w:val="18"/>
          <w:szCs w:val="18"/>
        </w:rPr>
        <w:t xml:space="preserve"> levels of the </w:t>
      </w:r>
      <w:r>
        <w:rPr>
          <w:rFonts w:ascii="AdvTT05cc2067+03" w:hAnsi="AdvTT05cc2067+03"/>
          <w:sz w:val="18"/>
          <w:szCs w:val="18"/>
        </w:rPr>
        <w:t>α</w:t>
      </w:r>
      <w:r>
        <w:rPr>
          <w:rFonts w:ascii="AdvOTbc475f09" w:hAnsi="AdvOTbc475f09"/>
          <w:sz w:val="18"/>
          <w:szCs w:val="18"/>
        </w:rPr>
        <w:t>2</w:t>
      </w:r>
      <w:proofErr w:type="gramStart"/>
      <w:r>
        <w:rPr>
          <w:rFonts w:ascii="AdvOTbc475f09" w:hAnsi="AdvOTbc475f09"/>
          <w:sz w:val="18"/>
          <w:szCs w:val="18"/>
        </w:rPr>
        <w:t>,3</w:t>
      </w:r>
      <w:proofErr w:type="gramEnd"/>
      <w:r>
        <w:rPr>
          <w:rFonts w:ascii="AdvOTbc475f09" w:hAnsi="AdvOTbc475f09"/>
          <w:sz w:val="18"/>
          <w:szCs w:val="18"/>
        </w:rPr>
        <w:t xml:space="preserve"> </w:t>
      </w:r>
      <w:proofErr w:type="spellStart"/>
      <w:r>
        <w:rPr>
          <w:rFonts w:ascii="AdvOTbc475f09" w:hAnsi="AdvOTbc475f09"/>
          <w:sz w:val="18"/>
          <w:szCs w:val="18"/>
        </w:rPr>
        <w:t>sialyltransferase</w:t>
      </w:r>
      <w:proofErr w:type="spellEnd"/>
      <w:r>
        <w:rPr>
          <w:rFonts w:ascii="AdvOTbc475f09" w:hAnsi="AdvOTbc475f09"/>
          <w:sz w:val="18"/>
          <w:szCs w:val="18"/>
        </w:rPr>
        <w:t xml:space="preserve"> ST3Gal1, which we observed blocks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 xml:space="preserve"> expression when overexpressed in GC-like B cell lines. Surprisingly, increased GC B cell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 xml:space="preserve"> levels did not confer commensurate binding to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>-speci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 xml:space="preserve">c lectins galectin-1 or galectin-3; instead, galectin-1 and galectin-3 showed little change in binding or dramatically reduced binding, respectively, compared to naive and memory B cells. Taken to- </w:t>
      </w:r>
      <w:proofErr w:type="spellStart"/>
      <w:r>
        <w:rPr>
          <w:rFonts w:ascii="AdvOTbc475f09" w:hAnsi="AdvOTbc475f09"/>
          <w:sz w:val="18"/>
          <w:szCs w:val="18"/>
        </w:rPr>
        <w:t>gether</w:t>
      </w:r>
      <w:proofErr w:type="spellEnd"/>
      <w:r>
        <w:rPr>
          <w:rFonts w:ascii="AdvOTbc475f09" w:hAnsi="AdvOTbc475f09"/>
          <w:sz w:val="18"/>
          <w:szCs w:val="18"/>
        </w:rPr>
        <w:t xml:space="preserve">, these data suggest that activated GC B cells promote </w:t>
      </w:r>
      <w:proofErr w:type="spellStart"/>
      <w:r>
        <w:rPr>
          <w:rFonts w:ascii="AdvOTbc475f09" w:hAnsi="AdvOTbc475f09"/>
          <w:sz w:val="18"/>
          <w:szCs w:val="18"/>
        </w:rPr>
        <w:t>polyLacNAc</w:t>
      </w:r>
      <w:proofErr w:type="spellEnd"/>
      <w:r>
        <w:rPr>
          <w:rFonts w:ascii="AdvOTbc475f09" w:hAnsi="AdvOTbc475f09"/>
          <w:sz w:val="18"/>
          <w:szCs w:val="18"/>
        </w:rPr>
        <w:t xml:space="preserve"> synthesis by reducing expression of ST3Gal1, and display these </w:t>
      </w:r>
      <w:proofErr w:type="spellStart"/>
      <w:r>
        <w:rPr>
          <w:rFonts w:ascii="AdvOTbc475f09" w:hAnsi="AdvOTbc475f09"/>
          <w:sz w:val="18"/>
          <w:szCs w:val="18"/>
        </w:rPr>
        <w:t>polyLacNAcs</w:t>
      </w:r>
      <w:proofErr w:type="spellEnd"/>
      <w:r>
        <w:rPr>
          <w:rFonts w:ascii="AdvOTbc475f09" w:hAnsi="AdvOTbc475f09"/>
          <w:sz w:val="18"/>
          <w:szCs w:val="18"/>
        </w:rPr>
        <w:t xml:space="preserve"> in a manner that preserves binding to galectin-1 but not galectin-3. Accordingly, we propose that GC B cells may tune galectin ligand expression as a means to regulate cell fate decisions within the germinal </w:t>
      </w:r>
      <w:proofErr w:type="spellStart"/>
      <w:r>
        <w:rPr>
          <w:rFonts w:ascii="AdvOTbc475f09" w:hAnsi="AdvOTbc475f09"/>
          <w:sz w:val="18"/>
          <w:szCs w:val="18"/>
        </w:rPr>
        <w:t>center</w:t>
      </w:r>
      <w:proofErr w:type="spellEnd"/>
      <w:r>
        <w:rPr>
          <w:rFonts w:ascii="AdvOTbc475f09" w:hAnsi="AdvOTbc475f09"/>
          <w:sz w:val="18"/>
          <w:szCs w:val="18"/>
        </w:rPr>
        <w:t xml:space="preserve">. </w:t>
      </w:r>
    </w:p>
    <w:p w:rsidR="005C1742" w:rsidRDefault="005C1742" w:rsidP="005C1742">
      <w:pPr>
        <w:pStyle w:val="NormalWeb"/>
      </w:pPr>
    </w:p>
    <w:p w:rsidR="00092B9C" w:rsidRDefault="00092B9C"/>
    <w:sectPr w:rsidR="00092B9C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dvOT66af078c.B">
    <w:altName w:val="Times New Roman"/>
    <w:panose1 w:val="00000000000000000000"/>
    <w:charset w:val="00"/>
    <w:family w:val="roman"/>
    <w:notTrueType/>
    <w:pitch w:val="default"/>
  </w:font>
  <w:font w:name="AdvOTbc475f09">
    <w:altName w:val="Times New Roman"/>
    <w:panose1 w:val="00000000000000000000"/>
    <w:charset w:val="00"/>
    <w:family w:val="roman"/>
    <w:notTrueType/>
    <w:pitch w:val="default"/>
  </w:font>
  <w:font w:name="AdvOTbc475f09+fb">
    <w:altName w:val="Times New Roman"/>
    <w:panose1 w:val="00000000000000000000"/>
    <w:charset w:val="00"/>
    <w:family w:val="roman"/>
    <w:notTrueType/>
    <w:pitch w:val="default"/>
  </w:font>
  <w:font w:name="AdvTT05cc2067+0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42"/>
    <w:rsid w:val="00092B9C"/>
    <w:rsid w:val="005C17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3FA3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1742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1742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1767</Characters>
  <Application>Microsoft Macintosh Word</Application>
  <DocSecurity>0</DocSecurity>
  <Lines>14</Lines>
  <Paragraphs>4</Paragraphs>
  <ScaleCrop>false</ScaleCrop>
  <Company>Imperial College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Haslam</dc:creator>
  <cp:keywords/>
  <dc:description/>
  <cp:lastModifiedBy>Stuart Haslam</cp:lastModifiedBy>
  <cp:revision>1</cp:revision>
  <dcterms:created xsi:type="dcterms:W3CDTF">2016-04-07T14:34:00Z</dcterms:created>
  <dcterms:modified xsi:type="dcterms:W3CDTF">2016-04-07T14:35:00Z</dcterms:modified>
</cp:coreProperties>
</file>