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6A0E2" w14:textId="77777777" w:rsidR="00D27EA0" w:rsidRPr="00177593" w:rsidRDefault="00D27EA0" w:rsidP="00D27EA0">
      <w:pPr>
        <w:pStyle w:val="Title"/>
        <w:jc w:val="center"/>
        <w:rPr>
          <w:rFonts w:ascii="Calibri" w:hAnsi="Calibri" w:cs="Calibri"/>
          <w:sz w:val="36"/>
          <w:szCs w:val="36"/>
          <w:lang w:val="en-US"/>
        </w:rPr>
      </w:pPr>
      <w:r w:rsidRPr="00177593">
        <w:rPr>
          <w:rFonts w:ascii="Calibri" w:hAnsi="Calibri" w:cs="Calibri"/>
          <w:sz w:val="36"/>
          <w:szCs w:val="36"/>
          <w:lang w:val="en-US"/>
        </w:rPr>
        <w:t xml:space="preserve">Prognostic significance of </w:t>
      </w:r>
      <w:proofErr w:type="spellStart"/>
      <w:r w:rsidRPr="00177593">
        <w:rPr>
          <w:rFonts w:ascii="Calibri" w:hAnsi="Calibri" w:cs="Calibri"/>
          <w:sz w:val="36"/>
          <w:szCs w:val="36"/>
          <w:lang w:val="en-US"/>
        </w:rPr>
        <w:t>subpulmonary</w:t>
      </w:r>
      <w:proofErr w:type="spellEnd"/>
      <w:r w:rsidRPr="00177593">
        <w:rPr>
          <w:rFonts w:ascii="Calibri" w:hAnsi="Calibri" w:cs="Calibri"/>
          <w:sz w:val="36"/>
          <w:szCs w:val="36"/>
          <w:lang w:val="en-US"/>
        </w:rPr>
        <w:t xml:space="preserve"> left ventric</w:t>
      </w:r>
      <w:r>
        <w:rPr>
          <w:rFonts w:ascii="Calibri" w:hAnsi="Calibri" w:cs="Calibri"/>
          <w:sz w:val="36"/>
          <w:szCs w:val="36"/>
          <w:lang w:val="en-US"/>
        </w:rPr>
        <w:t xml:space="preserve">ular size and function </w:t>
      </w:r>
      <w:r w:rsidRPr="00177593">
        <w:rPr>
          <w:rFonts w:ascii="Calibri" w:hAnsi="Calibri" w:cs="Calibri"/>
          <w:sz w:val="36"/>
          <w:szCs w:val="36"/>
          <w:lang w:val="en-US"/>
        </w:rPr>
        <w:t>in patients with</w:t>
      </w:r>
      <w:r>
        <w:rPr>
          <w:rFonts w:ascii="Calibri" w:hAnsi="Calibri" w:cs="Calibri"/>
          <w:sz w:val="36"/>
          <w:szCs w:val="36"/>
          <w:lang w:val="en-US"/>
        </w:rPr>
        <w:t xml:space="preserve"> a</w:t>
      </w:r>
      <w:r w:rsidRPr="00177593">
        <w:rPr>
          <w:rFonts w:ascii="Calibri" w:hAnsi="Calibri" w:cs="Calibri"/>
          <w:sz w:val="36"/>
          <w:szCs w:val="36"/>
          <w:lang w:val="en-US"/>
        </w:rPr>
        <w:t xml:space="preserve"> systemic right </w:t>
      </w:r>
      <w:proofErr w:type="gramStart"/>
      <w:r w:rsidRPr="00177593">
        <w:rPr>
          <w:rFonts w:ascii="Calibri" w:hAnsi="Calibri" w:cs="Calibri"/>
          <w:sz w:val="36"/>
          <w:szCs w:val="36"/>
          <w:lang w:val="en-US"/>
        </w:rPr>
        <w:t>ventricle</w:t>
      </w:r>
      <w:proofErr w:type="gramEnd"/>
    </w:p>
    <w:p w14:paraId="4486E919" w14:textId="77777777" w:rsidR="00D27EA0" w:rsidRDefault="00D27EA0" w:rsidP="00D27EA0">
      <w:pPr>
        <w:widowControl w:val="0"/>
        <w:autoSpaceDE w:val="0"/>
        <w:autoSpaceDN w:val="0"/>
        <w:adjustRightInd w:val="0"/>
        <w:spacing w:line="480" w:lineRule="auto"/>
        <w:jc w:val="center"/>
        <w:rPr>
          <w:rFonts w:ascii="Calibri" w:hAnsi="Calibri" w:cs="Calibri"/>
          <w:color w:val="FF0000"/>
          <w:lang w:val="en-US"/>
        </w:rPr>
      </w:pPr>
    </w:p>
    <w:p w14:paraId="06A94C9C" w14:textId="77777777" w:rsidR="00D27EA0" w:rsidRPr="000245A9" w:rsidRDefault="00D27EA0" w:rsidP="00D27EA0">
      <w:pPr>
        <w:widowControl w:val="0"/>
        <w:autoSpaceDE w:val="0"/>
        <w:autoSpaceDN w:val="0"/>
        <w:adjustRightInd w:val="0"/>
        <w:spacing w:line="480" w:lineRule="auto"/>
        <w:jc w:val="center"/>
        <w:rPr>
          <w:rFonts w:asciiTheme="minorHAnsi" w:hAnsiTheme="minorHAnsi" w:cstheme="minorHAnsi"/>
          <w:color w:val="000000" w:themeColor="text1"/>
          <w:lang w:val="it-IT"/>
        </w:rPr>
      </w:pPr>
      <w:r w:rsidRPr="000245A9">
        <w:rPr>
          <w:rFonts w:asciiTheme="minorHAnsi" w:hAnsiTheme="minorHAnsi" w:cstheme="minorHAnsi"/>
          <w:color w:val="000000" w:themeColor="text1"/>
          <w:lang w:val="it-IT"/>
        </w:rPr>
        <w:t>Elena Surkova</w:t>
      </w:r>
      <w:r w:rsidRPr="000245A9">
        <w:rPr>
          <w:rFonts w:asciiTheme="minorHAnsi" w:hAnsiTheme="minorHAnsi" w:cstheme="minorHAnsi"/>
          <w:color w:val="000000" w:themeColor="text1"/>
          <w:vertAlign w:val="superscript"/>
          <w:lang w:val="it-IT"/>
        </w:rPr>
        <w:t>1,2,3</w:t>
      </w:r>
      <w:r w:rsidRPr="000245A9">
        <w:rPr>
          <w:rFonts w:asciiTheme="minorHAnsi" w:hAnsiTheme="minorHAnsi" w:cstheme="minorHAnsi"/>
          <w:color w:val="000000" w:themeColor="text1"/>
          <w:lang w:val="it-IT"/>
        </w:rPr>
        <w:t>, Andrew Constantine</w:t>
      </w:r>
      <w:r w:rsidRPr="000245A9">
        <w:rPr>
          <w:rFonts w:asciiTheme="minorHAnsi" w:hAnsiTheme="minorHAnsi" w:cstheme="minorHAnsi"/>
          <w:color w:val="000000" w:themeColor="text1"/>
          <w:vertAlign w:val="superscript"/>
          <w:lang w:val="it-IT"/>
        </w:rPr>
        <w:t>1,2</w:t>
      </w:r>
      <w:r w:rsidRPr="000245A9">
        <w:rPr>
          <w:rFonts w:asciiTheme="minorHAnsi" w:hAnsiTheme="minorHAnsi" w:cstheme="minorHAnsi"/>
          <w:color w:val="000000" w:themeColor="text1"/>
          <w:lang w:val="it-IT"/>
        </w:rPr>
        <w:t xml:space="preserve">, </w:t>
      </w:r>
      <w:proofErr w:type="spellStart"/>
      <w:r w:rsidRPr="000245A9">
        <w:rPr>
          <w:rFonts w:asciiTheme="minorHAnsi" w:hAnsiTheme="minorHAnsi" w:cstheme="minorHAnsi"/>
          <w:color w:val="000000" w:themeColor="text1"/>
          <w:lang w:val="it-IT"/>
        </w:rPr>
        <w:t>Zhuoyuan</w:t>
      </w:r>
      <w:proofErr w:type="spellEnd"/>
      <w:r w:rsidRPr="000245A9">
        <w:rPr>
          <w:rFonts w:asciiTheme="minorHAnsi" w:hAnsiTheme="minorHAnsi" w:cstheme="minorHAnsi"/>
          <w:color w:val="000000" w:themeColor="text1"/>
          <w:lang w:val="it-IT"/>
        </w:rPr>
        <w:t xml:space="preserve"> Xu</w:t>
      </w:r>
      <w:r w:rsidRPr="000245A9">
        <w:rPr>
          <w:rFonts w:asciiTheme="minorHAnsi" w:hAnsiTheme="minorHAnsi" w:cstheme="minorHAnsi"/>
          <w:color w:val="000000" w:themeColor="text1"/>
          <w:vertAlign w:val="superscript"/>
          <w:lang w:val="it-IT"/>
        </w:rPr>
        <w:t>1</w:t>
      </w:r>
      <w:r w:rsidRPr="000245A9">
        <w:rPr>
          <w:rFonts w:asciiTheme="minorHAnsi" w:hAnsiTheme="minorHAnsi" w:cstheme="minorHAnsi"/>
          <w:color w:val="000000" w:themeColor="text1"/>
          <w:lang w:val="it-IT"/>
        </w:rPr>
        <w:t>, Teresa Segura de la Cal</w:t>
      </w:r>
      <w:r w:rsidRPr="000245A9">
        <w:rPr>
          <w:rFonts w:asciiTheme="minorHAnsi" w:hAnsiTheme="minorHAnsi" w:cstheme="minorHAnsi"/>
          <w:color w:val="000000" w:themeColor="text1"/>
          <w:vertAlign w:val="superscript"/>
          <w:lang w:val="it-IT"/>
        </w:rPr>
        <w:t>1,4</w:t>
      </w:r>
      <w:r w:rsidRPr="000245A9">
        <w:rPr>
          <w:rFonts w:asciiTheme="minorHAnsi" w:hAnsiTheme="minorHAnsi" w:cstheme="minorHAnsi"/>
          <w:color w:val="000000" w:themeColor="text1"/>
          <w:lang w:val="it-IT"/>
        </w:rPr>
        <w:t>, Daniela Bispo</w:t>
      </w:r>
      <w:r w:rsidRPr="000245A9">
        <w:rPr>
          <w:rFonts w:asciiTheme="minorHAnsi" w:hAnsiTheme="minorHAnsi" w:cstheme="minorHAnsi"/>
          <w:color w:val="000000" w:themeColor="text1"/>
          <w:vertAlign w:val="superscript"/>
          <w:lang w:val="it-IT"/>
        </w:rPr>
        <w:t>1</w:t>
      </w:r>
      <w:r w:rsidRPr="000245A9">
        <w:rPr>
          <w:rFonts w:asciiTheme="minorHAnsi" w:hAnsiTheme="minorHAnsi" w:cstheme="minorHAnsi"/>
          <w:color w:val="000000" w:themeColor="text1"/>
          <w:lang w:val="it-IT"/>
        </w:rPr>
        <w:t>, Cathy West</w:t>
      </w:r>
      <w:r w:rsidRPr="000245A9">
        <w:rPr>
          <w:rFonts w:asciiTheme="minorHAnsi" w:hAnsiTheme="minorHAnsi" w:cstheme="minorHAnsi"/>
          <w:color w:val="000000" w:themeColor="text1"/>
          <w:vertAlign w:val="superscript"/>
          <w:lang w:val="it-IT"/>
        </w:rPr>
        <w:t>1</w:t>
      </w:r>
      <w:r w:rsidRPr="000245A9">
        <w:rPr>
          <w:rFonts w:asciiTheme="minorHAnsi" w:hAnsiTheme="minorHAnsi" w:cstheme="minorHAnsi"/>
          <w:color w:val="000000" w:themeColor="text1"/>
          <w:lang w:val="it-IT"/>
        </w:rPr>
        <w:t xml:space="preserve">, </w:t>
      </w:r>
      <w:proofErr w:type="spellStart"/>
      <w:r w:rsidRPr="000245A9">
        <w:rPr>
          <w:rFonts w:asciiTheme="minorHAnsi" w:hAnsiTheme="minorHAnsi" w:cstheme="minorHAnsi"/>
          <w:color w:val="000000" w:themeColor="text1"/>
          <w:lang w:val="it-IT"/>
        </w:rPr>
        <w:t>Roxy</w:t>
      </w:r>
      <w:proofErr w:type="spellEnd"/>
      <w:r w:rsidRPr="000245A9">
        <w:rPr>
          <w:rFonts w:asciiTheme="minorHAnsi" w:hAnsiTheme="minorHAnsi" w:cstheme="minorHAnsi"/>
          <w:color w:val="000000" w:themeColor="text1"/>
          <w:lang w:val="it-IT"/>
        </w:rPr>
        <w:t xml:space="preserve"> Senior</w:t>
      </w:r>
      <w:r w:rsidRPr="000245A9">
        <w:rPr>
          <w:rFonts w:asciiTheme="minorHAnsi" w:hAnsiTheme="minorHAnsi" w:cstheme="minorHAnsi"/>
          <w:color w:val="000000" w:themeColor="text1"/>
          <w:vertAlign w:val="superscript"/>
          <w:lang w:val="it-IT"/>
        </w:rPr>
        <w:t>1,2</w:t>
      </w:r>
      <w:r w:rsidRPr="000245A9">
        <w:rPr>
          <w:rFonts w:asciiTheme="minorHAnsi" w:hAnsiTheme="minorHAnsi" w:cstheme="minorHAnsi"/>
          <w:color w:val="000000" w:themeColor="text1"/>
          <w:lang w:val="it-IT"/>
        </w:rPr>
        <w:t>, Konstantinos Dimopoulos</w:t>
      </w:r>
      <w:r w:rsidRPr="000245A9">
        <w:rPr>
          <w:rFonts w:asciiTheme="minorHAnsi" w:hAnsiTheme="minorHAnsi" w:cstheme="minorHAnsi"/>
          <w:color w:val="000000" w:themeColor="text1"/>
          <w:vertAlign w:val="superscript"/>
          <w:lang w:val="it-IT"/>
        </w:rPr>
        <w:t>1,2</w:t>
      </w:r>
      <w:r w:rsidRPr="000245A9">
        <w:rPr>
          <w:rFonts w:asciiTheme="minorHAnsi" w:hAnsiTheme="minorHAnsi" w:cstheme="minorHAnsi"/>
          <w:color w:val="000000" w:themeColor="text1"/>
          <w:lang w:val="it-IT"/>
        </w:rPr>
        <w:t>, Wei Li</w:t>
      </w:r>
      <w:r w:rsidRPr="000245A9">
        <w:rPr>
          <w:rFonts w:asciiTheme="minorHAnsi" w:hAnsiTheme="minorHAnsi" w:cstheme="minorHAnsi"/>
          <w:color w:val="000000" w:themeColor="text1"/>
          <w:vertAlign w:val="superscript"/>
          <w:lang w:val="it-IT"/>
        </w:rPr>
        <w:t>1,2</w:t>
      </w:r>
    </w:p>
    <w:p w14:paraId="27ECBF0F" w14:textId="77777777" w:rsidR="00D27EA0" w:rsidRPr="000245A9" w:rsidRDefault="00D27EA0" w:rsidP="00D27EA0">
      <w:pPr>
        <w:pStyle w:val="Heading1"/>
        <w:rPr>
          <w:rFonts w:asciiTheme="minorHAnsi" w:hAnsiTheme="minorHAnsi" w:cstheme="minorHAnsi"/>
          <w:sz w:val="24"/>
          <w:szCs w:val="24"/>
        </w:rPr>
      </w:pPr>
      <w:r w:rsidRPr="000245A9">
        <w:rPr>
          <w:rFonts w:asciiTheme="minorHAnsi" w:hAnsiTheme="minorHAnsi" w:cstheme="minorHAnsi"/>
          <w:sz w:val="24"/>
          <w:szCs w:val="24"/>
        </w:rPr>
        <w:t>Author affiliations</w:t>
      </w:r>
    </w:p>
    <w:p w14:paraId="406A79BE" w14:textId="77777777" w:rsidR="00D27EA0" w:rsidRPr="000245A9" w:rsidRDefault="00D27EA0" w:rsidP="00D27EA0">
      <w:pPr>
        <w:pStyle w:val="Heading6"/>
        <w:spacing w:line="480" w:lineRule="auto"/>
        <w:rPr>
          <w:rFonts w:asciiTheme="minorHAnsi" w:hAnsiTheme="minorHAnsi" w:cstheme="minorHAnsi"/>
          <w:color w:val="000000" w:themeColor="text1"/>
        </w:rPr>
      </w:pPr>
      <w:bookmarkStart w:id="0" w:name="X87d3aed7225829b3e21c7c720082f17ab9fa6f8"/>
      <w:r w:rsidRPr="000245A9">
        <w:rPr>
          <w:rFonts w:asciiTheme="minorHAnsi" w:hAnsiTheme="minorHAnsi" w:cstheme="minorHAnsi"/>
          <w:color w:val="000000" w:themeColor="text1"/>
          <w:vertAlign w:val="superscript"/>
        </w:rPr>
        <w:t>1</w:t>
      </w:r>
      <w:r w:rsidRPr="000245A9">
        <w:rPr>
          <w:rFonts w:asciiTheme="minorHAnsi" w:hAnsiTheme="minorHAnsi" w:cstheme="minorHAnsi"/>
          <w:color w:val="000000" w:themeColor="text1"/>
        </w:rPr>
        <w:t>Adult Congenital Heart Centre and Centre for Pulmonary Hypertension, Royal Brompton Hospital, Royal Brompton &amp; Harefield Hospitals, Guy’s and St Thomas’ NHS Foundation Trust, London, UK.</w:t>
      </w:r>
    </w:p>
    <w:p w14:paraId="4FCD38F3" w14:textId="77777777" w:rsidR="00D27EA0" w:rsidRPr="000245A9" w:rsidRDefault="00D27EA0" w:rsidP="00D27EA0">
      <w:pPr>
        <w:pStyle w:val="Heading6"/>
        <w:spacing w:line="480" w:lineRule="auto"/>
        <w:rPr>
          <w:rFonts w:asciiTheme="minorHAnsi" w:hAnsiTheme="minorHAnsi" w:cstheme="minorHAnsi"/>
          <w:color w:val="000000" w:themeColor="text1"/>
        </w:rPr>
      </w:pPr>
      <w:bookmarkStart w:id="1" w:name="X5307981593e8fd4cad3b8e44f462a3f8c04c1e5"/>
      <w:bookmarkEnd w:id="0"/>
      <w:r w:rsidRPr="000245A9">
        <w:rPr>
          <w:rFonts w:asciiTheme="minorHAnsi" w:hAnsiTheme="minorHAnsi" w:cstheme="minorHAnsi"/>
          <w:color w:val="000000" w:themeColor="text1"/>
          <w:vertAlign w:val="superscript"/>
        </w:rPr>
        <w:t>2</w:t>
      </w:r>
      <w:r w:rsidRPr="000245A9">
        <w:rPr>
          <w:rFonts w:asciiTheme="minorHAnsi" w:hAnsiTheme="minorHAnsi" w:cstheme="minorHAnsi"/>
          <w:color w:val="000000" w:themeColor="text1"/>
        </w:rPr>
        <w:t>National Heart and Lung Institute, Imperial College London, London, UK.</w:t>
      </w:r>
    </w:p>
    <w:p w14:paraId="0F0EB4B2" w14:textId="77777777" w:rsidR="00D27EA0" w:rsidRPr="000245A9" w:rsidRDefault="00D27EA0" w:rsidP="00D27EA0">
      <w:pPr>
        <w:pStyle w:val="Heading6"/>
        <w:spacing w:line="480" w:lineRule="auto"/>
        <w:rPr>
          <w:rFonts w:asciiTheme="minorHAnsi" w:hAnsiTheme="minorHAnsi" w:cstheme="minorHAnsi"/>
          <w:color w:val="000000" w:themeColor="text1"/>
        </w:rPr>
      </w:pPr>
      <w:r w:rsidRPr="000245A9">
        <w:rPr>
          <w:rFonts w:asciiTheme="minorHAnsi" w:hAnsiTheme="minorHAnsi" w:cstheme="minorHAnsi"/>
          <w:color w:val="000000" w:themeColor="text1"/>
          <w:vertAlign w:val="superscript"/>
        </w:rPr>
        <w:t>3</w:t>
      </w:r>
      <w:r w:rsidRPr="000245A9">
        <w:rPr>
          <w:rFonts w:asciiTheme="minorHAnsi" w:hAnsiTheme="minorHAnsi" w:cstheme="minorHAnsi"/>
          <w:color w:val="000000" w:themeColor="text1"/>
        </w:rPr>
        <w:t>Harefield Hospital, Royal Brompton &amp; Harefield Hospitals, Guy’s and St Thomas’ NHS Foundation Trust, London, UK.</w:t>
      </w:r>
    </w:p>
    <w:p w14:paraId="4236D227" w14:textId="77777777" w:rsidR="00D27EA0" w:rsidRPr="000245A9" w:rsidRDefault="00D27EA0" w:rsidP="00D27EA0">
      <w:pPr>
        <w:rPr>
          <w:rFonts w:asciiTheme="minorHAnsi" w:hAnsiTheme="minorHAnsi" w:cstheme="minorHAnsi"/>
        </w:rPr>
      </w:pPr>
      <w:r w:rsidRPr="000245A9">
        <w:rPr>
          <w:rFonts w:asciiTheme="minorHAnsi" w:hAnsiTheme="minorHAnsi" w:cstheme="minorHAnsi"/>
          <w:vertAlign w:val="superscript"/>
        </w:rPr>
        <w:t>4</w:t>
      </w:r>
      <w:r w:rsidRPr="000245A9">
        <w:rPr>
          <w:rFonts w:asciiTheme="minorHAnsi" w:hAnsiTheme="minorHAnsi" w:cstheme="minorHAnsi"/>
        </w:rPr>
        <w:t xml:space="preserve">University Hospital 12 de </w:t>
      </w:r>
      <w:proofErr w:type="spellStart"/>
      <w:r w:rsidRPr="000245A9">
        <w:rPr>
          <w:rFonts w:asciiTheme="minorHAnsi" w:hAnsiTheme="minorHAnsi" w:cstheme="minorHAnsi"/>
        </w:rPr>
        <w:t>Octubre</w:t>
      </w:r>
      <w:proofErr w:type="spellEnd"/>
      <w:r w:rsidRPr="000245A9">
        <w:rPr>
          <w:rFonts w:asciiTheme="minorHAnsi" w:hAnsiTheme="minorHAnsi" w:cstheme="minorHAnsi"/>
        </w:rPr>
        <w:t>; Madrid, Spain.</w:t>
      </w:r>
    </w:p>
    <w:p w14:paraId="4C28F291" w14:textId="77777777" w:rsidR="00D27EA0" w:rsidRPr="000245A9" w:rsidRDefault="00D27EA0" w:rsidP="00D27EA0">
      <w:pPr>
        <w:rPr>
          <w:rFonts w:asciiTheme="minorHAnsi" w:hAnsiTheme="minorHAnsi" w:cstheme="minorHAnsi"/>
        </w:rPr>
      </w:pPr>
    </w:p>
    <w:p w14:paraId="59EE7AB1" w14:textId="77777777" w:rsidR="00D27EA0" w:rsidRPr="000245A9" w:rsidRDefault="00D27EA0" w:rsidP="00D27EA0">
      <w:pPr>
        <w:rPr>
          <w:rFonts w:asciiTheme="minorHAnsi" w:hAnsiTheme="minorHAnsi" w:cstheme="minorHAnsi"/>
        </w:rPr>
      </w:pPr>
    </w:p>
    <w:p w14:paraId="2CE5C639" w14:textId="77777777" w:rsidR="00D27EA0" w:rsidRPr="000245A9" w:rsidRDefault="00D27EA0" w:rsidP="00D27EA0">
      <w:pPr>
        <w:pStyle w:val="Heading1"/>
        <w:rPr>
          <w:rFonts w:asciiTheme="minorHAnsi" w:hAnsiTheme="minorHAnsi" w:cstheme="minorHAnsi"/>
          <w:sz w:val="24"/>
          <w:szCs w:val="24"/>
        </w:rPr>
      </w:pPr>
      <w:bookmarkStart w:id="2" w:name="manuscript-word-count"/>
      <w:bookmarkEnd w:id="1"/>
      <w:r w:rsidRPr="000245A9">
        <w:rPr>
          <w:rFonts w:asciiTheme="minorHAnsi" w:hAnsiTheme="minorHAnsi" w:cstheme="minorHAnsi"/>
          <w:sz w:val="24"/>
          <w:szCs w:val="24"/>
        </w:rPr>
        <w:t>Funding</w:t>
      </w:r>
    </w:p>
    <w:p w14:paraId="05F23E18" w14:textId="77777777" w:rsidR="00D27EA0" w:rsidRPr="000245A9" w:rsidRDefault="00D27EA0" w:rsidP="00D27EA0">
      <w:pPr>
        <w:pStyle w:val="Titlepageabstracttext"/>
        <w:rPr>
          <w:rStyle w:val="s9"/>
          <w:rFonts w:asciiTheme="minorHAnsi" w:hAnsiTheme="minorHAnsi" w:cstheme="minorHAnsi"/>
          <w:szCs w:val="24"/>
          <w:lang w:val="en-US"/>
        </w:rPr>
      </w:pPr>
      <w:r w:rsidRPr="000245A9">
        <w:rPr>
          <w:rStyle w:val="s9"/>
          <w:rFonts w:asciiTheme="minorHAnsi" w:hAnsiTheme="minorHAnsi" w:cstheme="minorHAnsi"/>
          <w:szCs w:val="24"/>
          <w:lang w:val="en-US"/>
        </w:rPr>
        <w:t xml:space="preserve">This study has not received any funding. </w:t>
      </w:r>
    </w:p>
    <w:p w14:paraId="3944D9D7" w14:textId="77777777" w:rsidR="00D27EA0" w:rsidRPr="000245A9" w:rsidRDefault="00D27EA0" w:rsidP="00D27EA0">
      <w:pPr>
        <w:pStyle w:val="Heading1"/>
        <w:rPr>
          <w:rStyle w:val="s9"/>
          <w:rFonts w:asciiTheme="minorHAnsi" w:hAnsiTheme="minorHAnsi" w:cstheme="minorHAnsi"/>
          <w:b w:val="0"/>
          <w:bCs w:val="0"/>
          <w:sz w:val="24"/>
          <w:szCs w:val="24"/>
        </w:rPr>
      </w:pPr>
      <w:r w:rsidRPr="000245A9">
        <w:rPr>
          <w:rStyle w:val="s9"/>
          <w:rFonts w:asciiTheme="minorHAnsi" w:hAnsiTheme="minorHAnsi" w:cstheme="minorHAnsi"/>
          <w:sz w:val="24"/>
          <w:szCs w:val="24"/>
        </w:rPr>
        <w:t>Disclosures</w:t>
      </w:r>
    </w:p>
    <w:p w14:paraId="2165CCA6" w14:textId="77777777" w:rsidR="00D27EA0" w:rsidRPr="000245A9" w:rsidRDefault="00D27EA0" w:rsidP="00D27EA0">
      <w:pPr>
        <w:pStyle w:val="Titlepageabstracttext"/>
        <w:spacing w:line="480" w:lineRule="auto"/>
        <w:jc w:val="both"/>
        <w:rPr>
          <w:rStyle w:val="s9"/>
          <w:rFonts w:asciiTheme="minorHAnsi" w:hAnsiTheme="minorHAnsi" w:cstheme="minorHAnsi"/>
          <w:szCs w:val="24"/>
          <w:lang w:val="en-US"/>
        </w:rPr>
      </w:pPr>
      <w:r w:rsidRPr="000245A9">
        <w:rPr>
          <w:rFonts w:asciiTheme="minorHAnsi" w:hAnsiTheme="minorHAnsi" w:cstheme="minorHAnsi"/>
          <w:szCs w:val="24"/>
          <w:lang w:val="en-US"/>
        </w:rPr>
        <w:t xml:space="preserve">Dr </w:t>
      </w:r>
      <w:proofErr w:type="spellStart"/>
      <w:r w:rsidRPr="000245A9">
        <w:rPr>
          <w:rFonts w:asciiTheme="minorHAnsi" w:hAnsiTheme="minorHAnsi" w:cstheme="minorHAnsi"/>
          <w:szCs w:val="24"/>
          <w:lang w:val="en-US"/>
        </w:rPr>
        <w:t>Surkova</w:t>
      </w:r>
      <w:proofErr w:type="spellEnd"/>
      <w:r w:rsidRPr="000245A9">
        <w:rPr>
          <w:rFonts w:asciiTheme="minorHAnsi" w:hAnsiTheme="minorHAnsi" w:cstheme="minorHAnsi"/>
          <w:szCs w:val="24"/>
          <w:lang w:val="en-US"/>
        </w:rPr>
        <w:t xml:space="preserve"> has received personal fees from GE Healthcare and 123sonography. Dr Constantine has received educational grants, personal fees, and non-financial support from Janssen-</w:t>
      </w:r>
      <w:proofErr w:type="spellStart"/>
      <w:r w:rsidRPr="000245A9">
        <w:rPr>
          <w:rFonts w:asciiTheme="minorHAnsi" w:hAnsiTheme="minorHAnsi" w:cstheme="minorHAnsi"/>
          <w:szCs w:val="24"/>
          <w:lang w:val="en-US"/>
        </w:rPr>
        <w:t>Cilag</w:t>
      </w:r>
      <w:proofErr w:type="spellEnd"/>
      <w:r w:rsidRPr="000245A9">
        <w:rPr>
          <w:rFonts w:asciiTheme="minorHAnsi" w:hAnsiTheme="minorHAnsi" w:cstheme="minorHAnsi"/>
          <w:szCs w:val="24"/>
          <w:lang w:val="en-US"/>
        </w:rPr>
        <w:t xml:space="preserve"> Limited. Dr Segura has received non-financial support from Janssen-</w:t>
      </w:r>
      <w:proofErr w:type="spellStart"/>
      <w:r w:rsidRPr="000245A9">
        <w:rPr>
          <w:rFonts w:asciiTheme="minorHAnsi" w:hAnsiTheme="minorHAnsi" w:cstheme="minorHAnsi"/>
          <w:szCs w:val="24"/>
          <w:lang w:val="en-US"/>
        </w:rPr>
        <w:t>Cilag</w:t>
      </w:r>
      <w:proofErr w:type="spellEnd"/>
      <w:r w:rsidRPr="000245A9">
        <w:rPr>
          <w:rFonts w:asciiTheme="minorHAnsi" w:hAnsiTheme="minorHAnsi" w:cstheme="minorHAnsi"/>
          <w:szCs w:val="24"/>
          <w:lang w:val="en-US"/>
        </w:rPr>
        <w:t xml:space="preserve"> Limited. Professor Dimopoulos has received nonfinancial support from Janssen-</w:t>
      </w:r>
      <w:proofErr w:type="spellStart"/>
      <w:r w:rsidRPr="000245A9">
        <w:rPr>
          <w:rFonts w:asciiTheme="minorHAnsi" w:hAnsiTheme="minorHAnsi" w:cstheme="minorHAnsi"/>
          <w:szCs w:val="24"/>
          <w:lang w:val="en-US"/>
        </w:rPr>
        <w:t>Cilag</w:t>
      </w:r>
      <w:proofErr w:type="spellEnd"/>
      <w:r w:rsidRPr="000245A9">
        <w:rPr>
          <w:rFonts w:asciiTheme="minorHAnsi" w:hAnsiTheme="minorHAnsi" w:cstheme="minorHAnsi"/>
          <w:szCs w:val="24"/>
          <w:lang w:val="en-US"/>
        </w:rPr>
        <w:t xml:space="preserve"> Limited; and has been a consultant to and received grants and personal fees from Janssen-</w:t>
      </w:r>
      <w:proofErr w:type="spellStart"/>
      <w:r w:rsidRPr="000245A9">
        <w:rPr>
          <w:rFonts w:asciiTheme="minorHAnsi" w:hAnsiTheme="minorHAnsi" w:cstheme="minorHAnsi"/>
          <w:szCs w:val="24"/>
          <w:lang w:val="en-US"/>
        </w:rPr>
        <w:t>Cilag</w:t>
      </w:r>
      <w:proofErr w:type="spellEnd"/>
      <w:r w:rsidRPr="000245A9">
        <w:rPr>
          <w:rFonts w:asciiTheme="minorHAnsi" w:hAnsiTheme="minorHAnsi" w:cstheme="minorHAnsi"/>
          <w:szCs w:val="24"/>
          <w:lang w:val="en-US"/>
        </w:rPr>
        <w:t xml:space="preserve"> Limited, Pfizer, GlaxoSmithKline, and Bayer/MSD. </w:t>
      </w:r>
      <w:proofErr w:type="gramStart"/>
      <w:r w:rsidRPr="000245A9">
        <w:rPr>
          <w:rFonts w:asciiTheme="minorHAnsi" w:hAnsiTheme="minorHAnsi" w:cstheme="minorHAnsi"/>
          <w:szCs w:val="24"/>
          <w:lang w:val="en-US"/>
        </w:rPr>
        <w:t>All of</w:t>
      </w:r>
      <w:proofErr w:type="gramEnd"/>
      <w:r w:rsidRPr="000245A9">
        <w:rPr>
          <w:rFonts w:asciiTheme="minorHAnsi" w:hAnsiTheme="minorHAnsi" w:cstheme="minorHAnsi"/>
          <w:szCs w:val="24"/>
          <w:lang w:val="en-US"/>
        </w:rPr>
        <w:t xml:space="preserve"> the remaining authors have no relationships with industry to declare. </w:t>
      </w:r>
    </w:p>
    <w:bookmarkEnd w:id="2"/>
    <w:p w14:paraId="5968B0FA" w14:textId="77777777" w:rsidR="00D27EA0" w:rsidRPr="000245A9" w:rsidRDefault="00D27EA0" w:rsidP="00D27EA0">
      <w:pPr>
        <w:pStyle w:val="Heading1"/>
        <w:rPr>
          <w:rFonts w:asciiTheme="minorHAnsi" w:hAnsiTheme="minorHAnsi" w:cstheme="minorHAnsi"/>
          <w:sz w:val="24"/>
          <w:szCs w:val="24"/>
        </w:rPr>
      </w:pPr>
      <w:r w:rsidRPr="000245A9">
        <w:rPr>
          <w:rFonts w:asciiTheme="minorHAnsi" w:hAnsiTheme="minorHAnsi" w:cstheme="minorHAnsi"/>
          <w:sz w:val="24"/>
          <w:szCs w:val="24"/>
        </w:rPr>
        <w:lastRenderedPageBreak/>
        <w:t>Corresponding Author</w:t>
      </w:r>
    </w:p>
    <w:p w14:paraId="205A5B43" w14:textId="77777777" w:rsidR="00D27EA0" w:rsidRPr="000245A9" w:rsidRDefault="00D27EA0" w:rsidP="00D27EA0">
      <w:pPr>
        <w:tabs>
          <w:tab w:val="left" w:pos="2835"/>
        </w:tabs>
        <w:autoSpaceDE w:val="0"/>
        <w:autoSpaceDN w:val="0"/>
        <w:adjustRightInd w:val="0"/>
        <w:spacing w:line="480" w:lineRule="auto"/>
        <w:rPr>
          <w:rFonts w:asciiTheme="minorHAnsi" w:hAnsiTheme="minorHAnsi" w:cstheme="minorHAnsi"/>
          <w:color w:val="000000" w:themeColor="text1"/>
          <w:lang w:val="en-US"/>
        </w:rPr>
      </w:pPr>
      <w:r w:rsidRPr="000245A9">
        <w:rPr>
          <w:rFonts w:asciiTheme="minorHAnsi" w:hAnsiTheme="minorHAnsi" w:cstheme="minorHAnsi"/>
          <w:color w:val="000000" w:themeColor="text1"/>
          <w:lang w:val="en-US"/>
        </w:rPr>
        <w:t xml:space="preserve">Dr. Elena </w:t>
      </w:r>
      <w:proofErr w:type="spellStart"/>
      <w:r w:rsidRPr="000245A9">
        <w:rPr>
          <w:rFonts w:asciiTheme="minorHAnsi" w:hAnsiTheme="minorHAnsi" w:cstheme="minorHAnsi"/>
          <w:color w:val="000000" w:themeColor="text1"/>
          <w:lang w:val="en-US"/>
        </w:rPr>
        <w:t>Surkova</w:t>
      </w:r>
      <w:proofErr w:type="spellEnd"/>
      <w:r w:rsidRPr="000245A9">
        <w:rPr>
          <w:rFonts w:asciiTheme="minorHAnsi" w:hAnsiTheme="minorHAnsi" w:cstheme="minorHAnsi"/>
          <w:color w:val="000000" w:themeColor="text1"/>
          <w:lang w:val="en-US"/>
        </w:rPr>
        <w:t>, MD, PhD, MSc, FESC</w:t>
      </w:r>
    </w:p>
    <w:p w14:paraId="456BD728" w14:textId="77777777" w:rsidR="00D27EA0" w:rsidRPr="000245A9" w:rsidRDefault="00D27EA0" w:rsidP="00D27EA0">
      <w:pPr>
        <w:spacing w:line="480" w:lineRule="auto"/>
        <w:jc w:val="both"/>
        <w:rPr>
          <w:rFonts w:asciiTheme="minorHAnsi" w:hAnsiTheme="minorHAnsi" w:cstheme="minorHAnsi"/>
          <w:color w:val="1C1D1E"/>
          <w:shd w:val="clear" w:color="auto" w:fill="FFFFFF"/>
        </w:rPr>
      </w:pPr>
      <w:r w:rsidRPr="000245A9">
        <w:rPr>
          <w:rFonts w:asciiTheme="minorHAnsi" w:hAnsiTheme="minorHAnsi" w:cstheme="minorHAnsi"/>
          <w:color w:val="1C1D1E"/>
          <w:shd w:val="clear" w:color="auto" w:fill="FFFFFF"/>
        </w:rPr>
        <w:t>Department of Echocardiography, Royal Brompton and Harefield Hospitals, Sydney Street, Chelsea, London SW3 6NP, United Kingdom</w:t>
      </w:r>
    </w:p>
    <w:p w14:paraId="5529EDC0" w14:textId="77777777" w:rsidR="00D27EA0" w:rsidRPr="000245A9" w:rsidRDefault="00D27EA0" w:rsidP="00D27EA0">
      <w:pPr>
        <w:spacing w:line="480" w:lineRule="auto"/>
        <w:jc w:val="both"/>
        <w:rPr>
          <w:rFonts w:asciiTheme="minorHAnsi" w:hAnsiTheme="minorHAnsi" w:cstheme="minorHAnsi"/>
          <w:color w:val="1C1D1E"/>
          <w:shd w:val="clear" w:color="auto" w:fill="FFFFFF"/>
        </w:rPr>
      </w:pPr>
      <w:r w:rsidRPr="000245A9">
        <w:rPr>
          <w:rFonts w:asciiTheme="minorHAnsi" w:hAnsiTheme="minorHAnsi" w:cstheme="minorHAnsi"/>
          <w:color w:val="1C1D1E"/>
          <w:shd w:val="clear" w:color="auto" w:fill="FFFFFF"/>
        </w:rPr>
        <w:t>Phone: +44(0)7777660685</w:t>
      </w:r>
    </w:p>
    <w:p w14:paraId="4492BEE2" w14:textId="77777777" w:rsidR="00D27EA0" w:rsidRPr="000245A9" w:rsidRDefault="00D27EA0" w:rsidP="00D27EA0">
      <w:pPr>
        <w:spacing w:line="480" w:lineRule="auto"/>
        <w:jc w:val="both"/>
        <w:rPr>
          <w:rFonts w:asciiTheme="minorHAnsi" w:eastAsia="MS Mincho" w:hAnsiTheme="minorHAnsi" w:cstheme="minorHAnsi"/>
          <w:b/>
          <w:color w:val="000000" w:themeColor="text1"/>
        </w:rPr>
      </w:pPr>
      <w:r w:rsidRPr="000245A9">
        <w:rPr>
          <w:rFonts w:asciiTheme="minorHAnsi" w:hAnsiTheme="minorHAnsi" w:cstheme="minorHAnsi"/>
          <w:color w:val="1C1D1E"/>
          <w:shd w:val="clear" w:color="auto" w:fill="FFFFFF"/>
        </w:rPr>
        <w:t xml:space="preserve">E-mail: </w:t>
      </w:r>
      <w:hyperlink r:id="rId8" w:history="1">
        <w:r w:rsidRPr="000245A9">
          <w:rPr>
            <w:rStyle w:val="Hyperlink"/>
            <w:rFonts w:asciiTheme="minorHAnsi" w:hAnsiTheme="minorHAnsi" w:cstheme="minorHAnsi"/>
            <w:shd w:val="clear" w:color="auto" w:fill="FFFFFF"/>
          </w:rPr>
          <w:t>E.Surkova@rbht.nhs.uk</w:t>
        </w:r>
      </w:hyperlink>
      <w:r w:rsidRPr="000245A9">
        <w:rPr>
          <w:rFonts w:asciiTheme="minorHAnsi" w:hAnsiTheme="minorHAnsi" w:cstheme="minorHAnsi"/>
          <w:color w:val="1C1D1E"/>
          <w:shd w:val="clear" w:color="auto" w:fill="FFFFFF"/>
        </w:rPr>
        <w:t xml:space="preserve">; </w:t>
      </w:r>
      <w:hyperlink r:id="rId9" w:history="1">
        <w:r w:rsidRPr="000245A9">
          <w:rPr>
            <w:rStyle w:val="Hyperlink"/>
            <w:rFonts w:asciiTheme="minorHAnsi" w:hAnsiTheme="minorHAnsi" w:cstheme="minorHAnsi"/>
            <w:shd w:val="clear" w:color="auto" w:fill="FFFFFF"/>
          </w:rPr>
          <w:t>elena.surkova.md@gmail.com</w:t>
        </w:r>
      </w:hyperlink>
    </w:p>
    <w:p w14:paraId="4CB1BFAA" w14:textId="77777777" w:rsidR="00D27EA0" w:rsidRDefault="00D27EA0" w:rsidP="00D27EA0">
      <w:pPr>
        <w:pStyle w:val="Heading1"/>
        <w:rPr>
          <w:rFonts w:asciiTheme="minorHAnsi" w:hAnsiTheme="minorHAnsi" w:cstheme="minorHAnsi"/>
          <w:sz w:val="24"/>
          <w:szCs w:val="24"/>
        </w:rPr>
      </w:pPr>
    </w:p>
    <w:p w14:paraId="5D7A0C3A" w14:textId="77777777" w:rsidR="00D27EA0" w:rsidRDefault="00D27EA0">
      <w:pPr>
        <w:rPr>
          <w:rFonts w:ascii="Calibri" w:eastAsiaTheme="majorEastAsia" w:hAnsi="Calibri" w:cs="Calibri"/>
          <w:b/>
          <w:bCs/>
          <w:sz w:val="28"/>
          <w:szCs w:val="28"/>
          <w:lang w:val="en-US"/>
        </w:rPr>
      </w:pPr>
      <w:r>
        <w:br w:type="page"/>
      </w:r>
    </w:p>
    <w:p w14:paraId="24384F90" w14:textId="02C5B122" w:rsidR="00D27EA0" w:rsidRDefault="00D27EA0" w:rsidP="00D27EA0">
      <w:pPr>
        <w:pStyle w:val="Heading1"/>
      </w:pPr>
      <w:r>
        <w:lastRenderedPageBreak/>
        <w:t>A</w:t>
      </w:r>
      <w:r>
        <w:t>bstract</w:t>
      </w:r>
    </w:p>
    <w:p w14:paraId="08B9249A" w14:textId="77777777" w:rsidR="00D27EA0" w:rsidRPr="00C4793A" w:rsidRDefault="00D27EA0" w:rsidP="00D27EA0">
      <w:pPr>
        <w:spacing w:line="480" w:lineRule="auto"/>
        <w:jc w:val="both"/>
        <w:rPr>
          <w:rFonts w:ascii="Calibri" w:hAnsi="Calibri" w:cs="Calibri"/>
          <w:b/>
          <w:color w:val="000000" w:themeColor="text1"/>
          <w:lang w:val="en-US"/>
        </w:rPr>
      </w:pPr>
      <w:r>
        <w:rPr>
          <w:rFonts w:ascii="Calibri" w:hAnsi="Calibri" w:cs="Calibri"/>
          <w:b/>
          <w:color w:val="000000" w:themeColor="text1"/>
          <w:lang w:val="en-US"/>
        </w:rPr>
        <w:t>Aim</w:t>
      </w:r>
      <w:r w:rsidRPr="00C4793A">
        <w:rPr>
          <w:rFonts w:ascii="Calibri" w:hAnsi="Calibri" w:cs="Calibri"/>
          <w:b/>
          <w:color w:val="000000" w:themeColor="text1"/>
          <w:lang w:val="en-US"/>
        </w:rPr>
        <w:t>:</w:t>
      </w:r>
      <w:r w:rsidRPr="00C4793A">
        <w:rPr>
          <w:rFonts w:ascii="Calibri" w:hAnsi="Calibri" w:cs="Calibri"/>
          <w:color w:val="000000" w:themeColor="text1"/>
        </w:rPr>
        <w:t xml:space="preserve"> To assess</w:t>
      </w:r>
      <w:r>
        <w:rPr>
          <w:rFonts w:ascii="Calibri" w:hAnsi="Calibri" w:cs="Calibri"/>
          <w:color w:val="000000" w:themeColor="text1"/>
        </w:rPr>
        <w:t xml:space="preserve"> the</w:t>
      </w:r>
      <w:r w:rsidRPr="00C4793A">
        <w:rPr>
          <w:rFonts w:ascii="Calibri" w:hAnsi="Calibri" w:cs="Calibri"/>
          <w:color w:val="000000" w:themeColor="text1"/>
        </w:rPr>
        <w:t xml:space="preserve"> </w:t>
      </w:r>
      <w:r>
        <w:rPr>
          <w:rFonts w:ascii="Calibri" w:hAnsi="Calibri" w:cs="Calibri"/>
          <w:color w:val="000000" w:themeColor="text1"/>
        </w:rPr>
        <w:t xml:space="preserve">additional </w:t>
      </w:r>
      <w:r w:rsidRPr="00C4793A">
        <w:rPr>
          <w:rFonts w:ascii="Calibri" w:hAnsi="Calibri" w:cs="Calibri"/>
          <w:color w:val="000000" w:themeColor="text1"/>
        </w:rPr>
        <w:t xml:space="preserve">prognostic significance of echocardiographic parameters of </w:t>
      </w:r>
      <w:proofErr w:type="spellStart"/>
      <w:r w:rsidRPr="00C4793A">
        <w:rPr>
          <w:rFonts w:ascii="Calibri" w:hAnsi="Calibri" w:cs="Calibri"/>
          <w:color w:val="000000" w:themeColor="text1"/>
        </w:rPr>
        <w:t>subpulmonary</w:t>
      </w:r>
      <w:proofErr w:type="spellEnd"/>
      <w:r w:rsidRPr="00C4793A">
        <w:rPr>
          <w:rFonts w:ascii="Calibri" w:hAnsi="Calibri" w:cs="Calibri"/>
          <w:color w:val="000000" w:themeColor="text1"/>
        </w:rPr>
        <w:t xml:space="preserve"> </w:t>
      </w:r>
      <w:r>
        <w:rPr>
          <w:rFonts w:ascii="Calibri" w:hAnsi="Calibri" w:cs="Calibri"/>
          <w:color w:val="000000" w:themeColor="text1"/>
        </w:rPr>
        <w:t>left ventricular (</w:t>
      </w:r>
      <w:r w:rsidRPr="00C4793A">
        <w:rPr>
          <w:rFonts w:ascii="Calibri" w:hAnsi="Calibri" w:cs="Calibri"/>
          <w:color w:val="000000" w:themeColor="text1"/>
        </w:rPr>
        <w:t>LV</w:t>
      </w:r>
      <w:r>
        <w:rPr>
          <w:rFonts w:ascii="Calibri" w:hAnsi="Calibri" w:cs="Calibri"/>
          <w:color w:val="000000" w:themeColor="text1"/>
        </w:rPr>
        <w:t>)</w:t>
      </w:r>
      <w:r w:rsidRPr="00C4793A">
        <w:rPr>
          <w:rFonts w:ascii="Calibri" w:hAnsi="Calibri" w:cs="Calibri"/>
          <w:color w:val="000000" w:themeColor="text1"/>
        </w:rPr>
        <w:t xml:space="preserve"> size and function</w:t>
      </w:r>
      <w:r w:rsidRPr="006B6E5C">
        <w:rPr>
          <w:rFonts w:ascii="Calibri" w:hAnsi="Calibri" w:cs="Calibri"/>
          <w:color w:val="000000" w:themeColor="text1"/>
        </w:rPr>
        <w:t xml:space="preserve"> </w:t>
      </w:r>
      <w:r w:rsidRPr="00C4793A">
        <w:rPr>
          <w:rFonts w:ascii="Calibri" w:hAnsi="Calibri" w:cs="Calibri"/>
          <w:color w:val="000000" w:themeColor="text1"/>
        </w:rPr>
        <w:t xml:space="preserve">in </w:t>
      </w:r>
      <w:r>
        <w:rPr>
          <w:rFonts w:ascii="Calibri" w:hAnsi="Calibri" w:cs="Calibri"/>
          <w:color w:val="000000" w:themeColor="text1"/>
        </w:rPr>
        <w:t>patients</w:t>
      </w:r>
      <w:r w:rsidRPr="00C4793A">
        <w:rPr>
          <w:rFonts w:ascii="Calibri" w:hAnsi="Calibri" w:cs="Calibri"/>
          <w:color w:val="000000" w:themeColor="text1"/>
        </w:rPr>
        <w:t xml:space="preserve"> with </w:t>
      </w:r>
      <w:r>
        <w:rPr>
          <w:rFonts w:ascii="Calibri" w:hAnsi="Calibri" w:cs="Calibri"/>
          <w:color w:val="000000" w:themeColor="text1"/>
        </w:rPr>
        <w:t xml:space="preserve">a systemic right ventricle (SRV). </w:t>
      </w:r>
    </w:p>
    <w:p w14:paraId="41BDD594" w14:textId="77777777" w:rsidR="00D27EA0" w:rsidRPr="00C4793A" w:rsidRDefault="00D27EA0" w:rsidP="00D27EA0">
      <w:pPr>
        <w:widowControl w:val="0"/>
        <w:autoSpaceDE w:val="0"/>
        <w:autoSpaceDN w:val="0"/>
        <w:adjustRightInd w:val="0"/>
        <w:spacing w:line="480" w:lineRule="auto"/>
        <w:jc w:val="both"/>
        <w:rPr>
          <w:rFonts w:ascii="Calibri" w:hAnsi="Calibri" w:cs="Calibri"/>
          <w:color w:val="000000" w:themeColor="text1"/>
          <w:lang w:val="en-US"/>
        </w:rPr>
      </w:pPr>
      <w:r w:rsidRPr="00C4793A">
        <w:rPr>
          <w:rFonts w:ascii="Calibri" w:hAnsi="Calibri" w:cs="Calibri"/>
          <w:b/>
          <w:color w:val="000000" w:themeColor="text1"/>
          <w:lang w:val="en-US"/>
        </w:rPr>
        <w:t>Methods</w:t>
      </w:r>
      <w:r>
        <w:rPr>
          <w:rFonts w:ascii="Calibri" w:hAnsi="Calibri" w:cs="Calibri"/>
          <w:b/>
          <w:color w:val="000000" w:themeColor="text1"/>
          <w:lang w:val="en-US"/>
        </w:rPr>
        <w:t xml:space="preserve"> and Results</w:t>
      </w:r>
      <w:r w:rsidRPr="00C4793A">
        <w:rPr>
          <w:rFonts w:ascii="Calibri" w:hAnsi="Calibri" w:cs="Calibri"/>
          <w:b/>
          <w:color w:val="000000" w:themeColor="text1"/>
          <w:lang w:val="en-US"/>
        </w:rPr>
        <w:t xml:space="preserve">: </w:t>
      </w:r>
      <w:r>
        <w:rPr>
          <w:rFonts w:ascii="Calibri" w:hAnsi="Calibri" w:cs="Calibri"/>
          <w:color w:val="000000" w:themeColor="text1"/>
          <w:lang w:val="en-US"/>
        </w:rPr>
        <w:t>A</w:t>
      </w:r>
      <w:r w:rsidRPr="00C4793A">
        <w:rPr>
          <w:rFonts w:ascii="Calibri" w:hAnsi="Calibri" w:cs="Calibri"/>
          <w:color w:val="000000" w:themeColor="text1"/>
          <w:lang w:val="en-US"/>
        </w:rPr>
        <w:t>ll adult</w:t>
      </w:r>
      <w:r>
        <w:rPr>
          <w:rFonts w:ascii="Calibri" w:hAnsi="Calibri" w:cs="Calibri"/>
          <w:color w:val="000000" w:themeColor="text1"/>
          <w:lang w:val="en-US"/>
        </w:rPr>
        <w:t>s</w:t>
      </w:r>
      <w:r w:rsidRPr="00C4793A">
        <w:rPr>
          <w:rFonts w:ascii="Calibri" w:hAnsi="Calibri" w:cs="Calibri"/>
          <w:color w:val="000000" w:themeColor="text1"/>
          <w:lang w:val="en-US"/>
        </w:rPr>
        <w:t xml:space="preserve"> with </w:t>
      </w:r>
      <w:r>
        <w:rPr>
          <w:rFonts w:ascii="Calibri" w:hAnsi="Calibri" w:cs="Calibri"/>
          <w:color w:val="000000" w:themeColor="text1"/>
          <w:lang w:val="en-US"/>
        </w:rPr>
        <w:t>a</w:t>
      </w:r>
      <w:r w:rsidRPr="00C4793A">
        <w:rPr>
          <w:rFonts w:ascii="Calibri" w:hAnsi="Calibri" w:cs="Calibri"/>
          <w:color w:val="000000" w:themeColor="text1"/>
          <w:lang w:val="en-US"/>
        </w:rPr>
        <w:t xml:space="preserve"> SRV who underwent transthoracic echocardiography </w:t>
      </w:r>
      <w:r>
        <w:rPr>
          <w:rFonts w:ascii="Calibri" w:hAnsi="Calibri" w:cs="Calibri"/>
          <w:color w:val="000000" w:themeColor="text1"/>
          <w:lang w:val="en-US"/>
        </w:rPr>
        <w:t xml:space="preserve">in </w:t>
      </w:r>
      <w:r w:rsidRPr="00C4793A">
        <w:rPr>
          <w:rFonts w:ascii="Calibri" w:hAnsi="Calibri" w:cs="Calibri"/>
          <w:color w:val="000000" w:themeColor="text1"/>
          <w:lang w:val="en-US"/>
        </w:rPr>
        <w:t>2010</w:t>
      </w:r>
      <w:r>
        <w:rPr>
          <w:rFonts w:ascii="Calibri" w:hAnsi="Calibri" w:cs="Calibri"/>
          <w:color w:val="000000" w:themeColor="text1"/>
          <w:lang w:val="en-US"/>
        </w:rPr>
        <w:t>-2</w:t>
      </w:r>
      <w:r w:rsidRPr="00C4793A">
        <w:rPr>
          <w:rFonts w:ascii="Calibri" w:hAnsi="Calibri" w:cs="Calibri"/>
          <w:color w:val="000000" w:themeColor="text1"/>
          <w:lang w:val="en-US"/>
        </w:rPr>
        <w:t xml:space="preserve">018 </w:t>
      </w:r>
      <w:r>
        <w:rPr>
          <w:rFonts w:ascii="Calibri" w:hAnsi="Calibri" w:cs="Calibri"/>
          <w:color w:val="000000" w:themeColor="text1"/>
          <w:lang w:val="en-US"/>
        </w:rPr>
        <w:t xml:space="preserve">at a large tertiary center </w:t>
      </w:r>
      <w:r w:rsidRPr="00C4793A">
        <w:rPr>
          <w:rFonts w:ascii="Calibri" w:hAnsi="Calibri" w:cs="Calibri"/>
          <w:color w:val="000000" w:themeColor="text1"/>
          <w:lang w:val="en-US"/>
        </w:rPr>
        <w:t xml:space="preserve">were identified. </w:t>
      </w:r>
      <w:r>
        <w:rPr>
          <w:rFonts w:ascii="Calibri" w:hAnsi="Calibri" w:cs="Calibri"/>
          <w:color w:val="000000" w:themeColor="text1"/>
          <w:lang w:val="en-US"/>
        </w:rPr>
        <w:t>Biventricular</w:t>
      </w:r>
      <w:r w:rsidRPr="00C4793A">
        <w:rPr>
          <w:rFonts w:ascii="Calibri" w:hAnsi="Calibri" w:cs="Calibri"/>
          <w:color w:val="000000" w:themeColor="text1"/>
          <w:lang w:val="en-US"/>
        </w:rPr>
        <w:t xml:space="preserve"> size and function were assessed at the most recent exam. </w:t>
      </w:r>
      <w:r w:rsidRPr="00C4793A">
        <w:rPr>
          <w:rFonts w:ascii="Calibri" w:hAnsi="Calibri" w:cs="Calibri"/>
          <w:color w:val="000000" w:themeColor="text1"/>
        </w:rPr>
        <w:t xml:space="preserve">The study endpoint was all-cause mortality </w:t>
      </w:r>
      <w:r>
        <w:rPr>
          <w:rFonts w:ascii="Calibri" w:hAnsi="Calibri" w:cs="Calibri"/>
          <w:color w:val="000000" w:themeColor="text1"/>
        </w:rPr>
        <w:t>or</w:t>
      </w:r>
      <w:r w:rsidRPr="00C4793A">
        <w:rPr>
          <w:rFonts w:ascii="Calibri" w:hAnsi="Calibri" w:cs="Calibri"/>
          <w:color w:val="000000" w:themeColor="text1"/>
        </w:rPr>
        <w:t xml:space="preserve"> heart</w:t>
      </w:r>
      <w:r>
        <w:rPr>
          <w:rFonts w:ascii="Calibri" w:hAnsi="Calibri" w:cs="Calibri"/>
          <w:color w:val="000000" w:themeColor="text1"/>
        </w:rPr>
        <w:t>/</w:t>
      </w:r>
      <w:r w:rsidRPr="00C4793A">
        <w:rPr>
          <w:rFonts w:ascii="Calibri" w:hAnsi="Calibri" w:cs="Calibri"/>
          <w:color w:val="000000" w:themeColor="text1"/>
        </w:rPr>
        <w:t>heart-lung transplantation.</w:t>
      </w:r>
    </w:p>
    <w:p w14:paraId="2AB759FF" w14:textId="77777777" w:rsidR="00D27EA0" w:rsidRPr="00C4793A" w:rsidRDefault="00D27EA0" w:rsidP="00D27EA0">
      <w:pPr>
        <w:spacing w:line="480" w:lineRule="auto"/>
        <w:jc w:val="both"/>
        <w:rPr>
          <w:rFonts w:ascii="Calibri" w:hAnsi="Calibri" w:cs="Calibri"/>
          <w:color w:val="000000" w:themeColor="text1"/>
        </w:rPr>
      </w:pPr>
      <w:r>
        <w:rPr>
          <w:rFonts w:ascii="Calibri" w:hAnsi="Calibri" w:cs="Calibri"/>
          <w:bCs/>
          <w:color w:val="000000" w:themeColor="text1"/>
          <w:lang w:val="en-US"/>
        </w:rPr>
        <w:t>We included</w:t>
      </w:r>
      <w:r w:rsidRPr="00C4793A">
        <w:rPr>
          <w:rFonts w:ascii="Calibri" w:hAnsi="Calibri" w:cs="Calibri"/>
          <w:bCs/>
          <w:color w:val="000000" w:themeColor="text1"/>
          <w:lang w:val="en-US"/>
        </w:rPr>
        <w:t xml:space="preserve"> 180 patients</w:t>
      </w:r>
      <w:r>
        <w:rPr>
          <w:rFonts w:ascii="Calibri" w:hAnsi="Calibri" w:cs="Calibri"/>
          <w:bCs/>
          <w:color w:val="000000" w:themeColor="text1"/>
          <w:lang w:val="en-US"/>
        </w:rPr>
        <w:t xml:space="preserve">, </w:t>
      </w:r>
      <w:r w:rsidRPr="00C4793A">
        <w:rPr>
          <w:rFonts w:ascii="Calibri" w:hAnsi="Calibri" w:cs="Calibri"/>
          <w:color w:val="000000" w:themeColor="text1"/>
        </w:rPr>
        <w:t>100(55.6%) male</w:t>
      </w:r>
      <w:r>
        <w:rPr>
          <w:rFonts w:ascii="Calibri" w:hAnsi="Calibri" w:cs="Calibri"/>
          <w:color w:val="000000" w:themeColor="text1"/>
        </w:rPr>
        <w:t>,</w:t>
      </w:r>
      <w:r w:rsidRPr="00C4793A">
        <w:rPr>
          <w:rFonts w:ascii="Calibri" w:hAnsi="Calibri" w:cs="Calibri"/>
          <w:bCs/>
          <w:color w:val="000000" w:themeColor="text1"/>
          <w:lang w:val="en-US"/>
        </w:rPr>
        <w:t xml:space="preserve"> mean age</w:t>
      </w:r>
      <w:r w:rsidRPr="00C4793A">
        <w:rPr>
          <w:rFonts w:ascii="Calibri" w:hAnsi="Calibri" w:cs="Calibri"/>
          <w:b/>
          <w:color w:val="000000" w:themeColor="text1"/>
          <w:lang w:val="en-US"/>
        </w:rPr>
        <w:t xml:space="preserve"> </w:t>
      </w:r>
      <w:r w:rsidRPr="00C4793A">
        <w:rPr>
          <w:rFonts w:ascii="Calibri" w:hAnsi="Calibri" w:cs="Calibri"/>
          <w:color w:val="000000" w:themeColor="text1"/>
        </w:rPr>
        <w:t>42.4±12.3 years,</w:t>
      </w:r>
      <w:r>
        <w:rPr>
          <w:rFonts w:ascii="Calibri" w:hAnsi="Calibri" w:cs="Calibri"/>
          <w:color w:val="000000" w:themeColor="text1"/>
        </w:rPr>
        <w:t xml:space="preserve"> of whom</w:t>
      </w:r>
      <w:r w:rsidRPr="00C4793A">
        <w:rPr>
          <w:rFonts w:ascii="Calibri" w:hAnsi="Calibri" w:cs="Calibri"/>
          <w:color w:val="000000" w:themeColor="text1"/>
        </w:rPr>
        <w:t xml:space="preserve"> </w:t>
      </w:r>
      <w:r w:rsidRPr="00C4793A">
        <w:rPr>
          <w:rFonts w:ascii="Calibri" w:hAnsi="Calibri" w:cs="Calibri"/>
          <w:bCs/>
          <w:color w:val="000000" w:themeColor="text1"/>
          <w:lang w:val="en-US"/>
        </w:rPr>
        <w:t>103</w:t>
      </w:r>
      <w:r>
        <w:rPr>
          <w:rFonts w:ascii="Calibri" w:hAnsi="Calibri" w:cs="Calibri"/>
          <w:bCs/>
          <w:color w:val="000000" w:themeColor="text1"/>
          <w:lang w:val="en-US"/>
        </w:rPr>
        <w:t>(57.2%)</w:t>
      </w:r>
      <w:r w:rsidRPr="00C4793A">
        <w:rPr>
          <w:rFonts w:ascii="Calibri" w:hAnsi="Calibri" w:cs="Calibri"/>
          <w:bCs/>
          <w:color w:val="000000" w:themeColor="text1"/>
          <w:lang w:val="en-US"/>
        </w:rPr>
        <w:t xml:space="preserve"> </w:t>
      </w:r>
      <w:r>
        <w:rPr>
          <w:rFonts w:ascii="Calibri" w:hAnsi="Calibri" w:cs="Calibri"/>
          <w:bCs/>
          <w:color w:val="000000" w:themeColor="text1"/>
          <w:lang w:val="en-US"/>
        </w:rPr>
        <w:t>had undergone</w:t>
      </w:r>
      <w:r w:rsidRPr="00C4793A">
        <w:rPr>
          <w:rFonts w:ascii="Calibri" w:hAnsi="Calibri" w:cs="Calibri"/>
          <w:bCs/>
          <w:color w:val="000000" w:themeColor="text1"/>
          <w:lang w:val="en-US"/>
        </w:rPr>
        <w:t xml:space="preserve"> Mustard/</w:t>
      </w:r>
      <w:proofErr w:type="spellStart"/>
      <w:r w:rsidRPr="00C4793A">
        <w:rPr>
          <w:rFonts w:ascii="Calibri" w:hAnsi="Calibri" w:cs="Calibri"/>
          <w:bCs/>
          <w:color w:val="000000" w:themeColor="text1"/>
          <w:lang w:val="en-US"/>
        </w:rPr>
        <w:t>Senning</w:t>
      </w:r>
      <w:proofErr w:type="spellEnd"/>
      <w:r w:rsidRPr="00C4793A">
        <w:rPr>
          <w:rFonts w:ascii="Calibri" w:hAnsi="Calibri" w:cs="Calibri"/>
          <w:bCs/>
          <w:color w:val="000000" w:themeColor="text1"/>
          <w:lang w:val="en-US"/>
        </w:rPr>
        <w:t xml:space="preserve"> operations</w:t>
      </w:r>
      <w:r>
        <w:rPr>
          <w:rFonts w:ascii="Calibri" w:hAnsi="Calibri" w:cs="Calibri"/>
          <w:bCs/>
          <w:color w:val="000000" w:themeColor="text1"/>
          <w:lang w:val="en-US"/>
        </w:rPr>
        <w:t xml:space="preserve"> and</w:t>
      </w:r>
      <w:r w:rsidRPr="00C4793A">
        <w:rPr>
          <w:rFonts w:ascii="Calibri" w:hAnsi="Calibri" w:cs="Calibri"/>
          <w:bCs/>
          <w:color w:val="000000" w:themeColor="text1"/>
          <w:lang w:val="en-US"/>
        </w:rPr>
        <w:t xml:space="preserve"> 77</w:t>
      </w:r>
      <w:r>
        <w:rPr>
          <w:rFonts w:ascii="Calibri" w:hAnsi="Calibri" w:cs="Calibri"/>
          <w:bCs/>
          <w:color w:val="000000" w:themeColor="text1"/>
          <w:lang w:val="en-US"/>
        </w:rPr>
        <w:t>(42.8%)</w:t>
      </w:r>
      <w:r w:rsidRPr="00C4793A">
        <w:rPr>
          <w:rFonts w:ascii="Calibri" w:hAnsi="Calibri" w:cs="Calibri"/>
          <w:bCs/>
          <w:color w:val="000000" w:themeColor="text1"/>
          <w:lang w:val="en-US"/>
        </w:rPr>
        <w:t xml:space="preserve"> </w:t>
      </w:r>
      <w:r>
        <w:rPr>
          <w:rFonts w:ascii="Calibri" w:hAnsi="Calibri" w:cs="Calibri"/>
          <w:bCs/>
          <w:color w:val="000000" w:themeColor="text1"/>
          <w:lang w:val="en-US"/>
        </w:rPr>
        <w:t>had</w:t>
      </w:r>
      <w:r w:rsidRPr="00C4793A">
        <w:rPr>
          <w:rFonts w:ascii="Calibri" w:hAnsi="Calibri" w:cs="Calibri"/>
          <w:bCs/>
          <w:color w:val="000000" w:themeColor="text1"/>
          <w:lang w:val="en-US"/>
        </w:rPr>
        <w:t xml:space="preserve"> </w:t>
      </w:r>
      <w:r w:rsidRPr="00C4793A">
        <w:rPr>
          <w:rFonts w:ascii="Calibri" w:hAnsi="Calibri" w:cs="Calibri"/>
          <w:color w:val="000000" w:themeColor="text1"/>
          <w:lang w:val="en-US"/>
        </w:rPr>
        <w:t>congenitally corrected transposition of great arteries</w:t>
      </w:r>
      <w:r w:rsidRPr="00C4793A">
        <w:rPr>
          <w:rFonts w:ascii="Calibri" w:hAnsi="Calibri" w:cs="Calibri"/>
          <w:color w:val="000000" w:themeColor="text1"/>
        </w:rPr>
        <w:t>.</w:t>
      </w:r>
      <w:r>
        <w:rPr>
          <w:rFonts w:ascii="Calibri" w:hAnsi="Calibri" w:cs="Calibri"/>
          <w:color w:val="000000" w:themeColor="text1"/>
        </w:rPr>
        <w:t xml:space="preserve"> </w:t>
      </w:r>
    </w:p>
    <w:p w14:paraId="57044D33" w14:textId="77777777" w:rsidR="00D27EA0" w:rsidRPr="0067673C" w:rsidRDefault="00D27EA0" w:rsidP="00D27EA0">
      <w:pPr>
        <w:pStyle w:val="BodyText"/>
        <w:jc w:val="both"/>
        <w:rPr>
          <w:rFonts w:ascii="Calibri" w:hAnsi="Calibri" w:cs="Calibri"/>
          <w:color w:val="000000" w:themeColor="text1"/>
        </w:rPr>
      </w:pPr>
      <w:r>
        <w:rPr>
          <w:rFonts w:ascii="Calibri" w:hAnsi="Calibri" w:cs="Calibri"/>
          <w:color w:val="000000" w:themeColor="text1"/>
        </w:rPr>
        <w:t>Over</w:t>
      </w:r>
      <w:r w:rsidRPr="00C4793A">
        <w:rPr>
          <w:rFonts w:ascii="Calibri" w:hAnsi="Calibri" w:cs="Calibri"/>
          <w:color w:val="000000" w:themeColor="text1"/>
        </w:rPr>
        <w:t xml:space="preserve"> 4.9[3.8-5.7] years, 28(15.6%) patients died and 4(2.2%) underwent heart or heart-lung transplantation. </w:t>
      </w:r>
      <w:r>
        <w:rPr>
          <w:rFonts w:ascii="Calibri" w:hAnsi="Calibri" w:cs="Calibri"/>
          <w:color w:val="000000" w:themeColor="text1"/>
        </w:rPr>
        <w:t>U</w:t>
      </w:r>
      <w:r w:rsidRPr="00C4793A">
        <w:rPr>
          <w:rFonts w:ascii="Calibri" w:hAnsi="Calibri" w:cs="Calibri"/>
          <w:color w:val="000000" w:themeColor="text1"/>
        </w:rPr>
        <w:t xml:space="preserve">nivariable </w:t>
      </w:r>
      <w:r>
        <w:rPr>
          <w:rFonts w:ascii="Calibri" w:hAnsi="Calibri" w:cs="Calibri"/>
          <w:color w:val="000000" w:themeColor="text1"/>
        </w:rPr>
        <w:t xml:space="preserve">predictors of the study endpoint included </w:t>
      </w:r>
      <w:r w:rsidRPr="00C4793A">
        <w:rPr>
          <w:rFonts w:ascii="Calibri" w:hAnsi="Calibri" w:cs="Calibri"/>
          <w:color w:val="000000" w:themeColor="text1"/>
        </w:rPr>
        <w:t xml:space="preserve">age, NYHA </w:t>
      </w:r>
      <w:r>
        <w:rPr>
          <w:rFonts w:ascii="Calibri" w:hAnsi="Calibri" w:cs="Calibri"/>
          <w:color w:val="000000" w:themeColor="text1"/>
        </w:rPr>
        <w:t xml:space="preserve">functional </w:t>
      </w:r>
      <w:r w:rsidRPr="00C4793A">
        <w:rPr>
          <w:rFonts w:ascii="Calibri" w:hAnsi="Calibri" w:cs="Calibri"/>
          <w:color w:val="000000" w:themeColor="text1"/>
        </w:rPr>
        <w:t>class III</w:t>
      </w:r>
      <w:r>
        <w:rPr>
          <w:rFonts w:ascii="Calibri" w:hAnsi="Calibri" w:cs="Calibri"/>
          <w:color w:val="000000" w:themeColor="text1"/>
        </w:rPr>
        <w:t xml:space="preserve"> or </w:t>
      </w:r>
      <w:r w:rsidRPr="00C4793A">
        <w:rPr>
          <w:rFonts w:ascii="Calibri" w:hAnsi="Calibri" w:cs="Calibri"/>
          <w:color w:val="000000" w:themeColor="text1"/>
        </w:rPr>
        <w:t xml:space="preserve">IV, </w:t>
      </w:r>
      <w:r>
        <w:rPr>
          <w:rFonts w:ascii="Calibri" w:hAnsi="Calibri" w:cs="Calibri"/>
          <w:color w:val="000000" w:themeColor="text1"/>
        </w:rPr>
        <w:t xml:space="preserve">history of </w:t>
      </w:r>
      <w:r w:rsidRPr="00C4793A">
        <w:rPr>
          <w:rFonts w:ascii="Calibri" w:hAnsi="Calibri" w:cs="Calibri"/>
          <w:color w:val="000000" w:themeColor="text1"/>
        </w:rPr>
        <w:t xml:space="preserve">atrial arrhythmias, </w:t>
      </w:r>
      <w:r>
        <w:rPr>
          <w:rFonts w:ascii="Calibri" w:hAnsi="Calibri" w:cs="Calibri"/>
          <w:color w:val="000000" w:themeColor="text1"/>
        </w:rPr>
        <w:t xml:space="preserve">presence of </w:t>
      </w:r>
      <w:r w:rsidRPr="00C4793A">
        <w:rPr>
          <w:rFonts w:ascii="Calibri" w:hAnsi="Calibri" w:cs="Calibri"/>
          <w:color w:val="000000" w:themeColor="text1"/>
        </w:rPr>
        <w:t xml:space="preserve">pacemaker or cardioverter-defibrillator, high BNP, and echocardiographic markers of SRV and </w:t>
      </w:r>
      <w:proofErr w:type="spellStart"/>
      <w:r w:rsidRPr="00C4793A">
        <w:rPr>
          <w:rFonts w:ascii="Calibri" w:hAnsi="Calibri" w:cs="Calibri"/>
          <w:color w:val="000000" w:themeColor="text1"/>
        </w:rPr>
        <w:t>subpulmonary</w:t>
      </w:r>
      <w:proofErr w:type="spellEnd"/>
      <w:r w:rsidRPr="00C4793A">
        <w:rPr>
          <w:rFonts w:ascii="Calibri" w:hAnsi="Calibri" w:cs="Calibri"/>
          <w:color w:val="000000" w:themeColor="text1"/>
        </w:rPr>
        <w:t xml:space="preserve"> LV size </w:t>
      </w:r>
      <w:r>
        <w:rPr>
          <w:rFonts w:ascii="Calibri" w:hAnsi="Calibri" w:cs="Calibri"/>
        </w:rPr>
        <w:t xml:space="preserve">and </w:t>
      </w:r>
      <w:r w:rsidRPr="00326CF9">
        <w:rPr>
          <w:rFonts w:ascii="Calibri" w:hAnsi="Calibri" w:cs="Calibri"/>
        </w:rPr>
        <w:t>function</w:t>
      </w:r>
      <w:r w:rsidRPr="00E72AA0">
        <w:rPr>
          <w:rFonts w:ascii="Calibri" w:hAnsi="Calibri" w:cs="Calibri"/>
          <w:color w:val="000000" w:themeColor="text1"/>
        </w:rPr>
        <w:t>. On multivariable Cox analysis</w:t>
      </w:r>
      <w:r>
        <w:rPr>
          <w:rFonts w:ascii="Calibri" w:hAnsi="Calibri" w:cs="Calibri"/>
          <w:color w:val="000000" w:themeColor="text1"/>
        </w:rPr>
        <w:t xml:space="preserve"> of echocardiographic variables</w:t>
      </w:r>
      <w:r w:rsidRPr="00E72AA0">
        <w:rPr>
          <w:rFonts w:ascii="Calibri" w:hAnsi="Calibri" w:cs="Calibri"/>
          <w:color w:val="000000" w:themeColor="text1"/>
        </w:rPr>
        <w:t xml:space="preserve">, </w:t>
      </w:r>
      <w:r>
        <w:rPr>
          <w:rFonts w:ascii="Calibri" w:hAnsi="Calibri" w:cs="Calibri"/>
          <w:color w:val="000000" w:themeColor="text1"/>
        </w:rPr>
        <w:t xml:space="preserve">indexed </w:t>
      </w:r>
      <w:r w:rsidRPr="00E72AA0">
        <w:rPr>
          <w:rFonts w:ascii="Calibri" w:hAnsi="Calibri" w:cs="Calibri"/>
          <w:color w:val="000000" w:themeColor="text1"/>
        </w:rPr>
        <w:t xml:space="preserve">LV </w:t>
      </w:r>
      <w:r>
        <w:rPr>
          <w:rFonts w:ascii="Calibri" w:hAnsi="Calibri" w:cs="Calibri"/>
          <w:color w:val="000000" w:themeColor="text1"/>
        </w:rPr>
        <w:t>end-systolic diameter (</w:t>
      </w:r>
      <w:proofErr w:type="spellStart"/>
      <w:r w:rsidRPr="00E72AA0">
        <w:rPr>
          <w:rFonts w:ascii="Calibri" w:hAnsi="Calibri" w:cs="Calibri"/>
          <w:color w:val="000000" w:themeColor="text1"/>
        </w:rPr>
        <w:t>ESDi</w:t>
      </w:r>
      <w:proofErr w:type="spellEnd"/>
      <w:r>
        <w:rPr>
          <w:rFonts w:ascii="Calibri" w:hAnsi="Calibri" w:cs="Calibri"/>
          <w:color w:val="000000" w:themeColor="text1"/>
        </w:rPr>
        <w:t xml:space="preserve">; </w:t>
      </w:r>
      <w:r w:rsidRPr="00E72AA0">
        <w:rPr>
          <w:rFonts w:ascii="Calibri" w:hAnsi="Calibri" w:cs="Calibri"/>
          <w:color w:val="000000" w:themeColor="text1"/>
        </w:rPr>
        <w:t xml:space="preserve">HR 2.77 [95%CI 1.35-5.68], p=0.01), LV </w:t>
      </w:r>
      <w:r>
        <w:rPr>
          <w:rFonts w:ascii="Calibri" w:hAnsi="Calibri" w:cs="Calibri"/>
          <w:color w:val="000000" w:themeColor="text1"/>
        </w:rPr>
        <w:t>fractional area change (</w:t>
      </w:r>
      <w:r w:rsidRPr="00E72AA0">
        <w:rPr>
          <w:rFonts w:ascii="Calibri" w:hAnsi="Calibri" w:cs="Calibri"/>
          <w:color w:val="000000" w:themeColor="text1"/>
        </w:rPr>
        <w:t>FAC</w:t>
      </w:r>
      <w:r>
        <w:rPr>
          <w:rFonts w:ascii="Calibri" w:hAnsi="Calibri" w:cs="Calibri"/>
          <w:color w:val="000000" w:themeColor="text1"/>
        </w:rPr>
        <w:t xml:space="preserve">; </w:t>
      </w:r>
      <w:r w:rsidRPr="00E72AA0">
        <w:rPr>
          <w:rFonts w:ascii="Calibri" w:hAnsi="Calibri" w:cs="Calibri"/>
          <w:color w:val="000000" w:themeColor="text1"/>
        </w:rPr>
        <w:t>HR 0.7 [95%CI 0.57-0.85], p=0.002), SRV basal diameter</w:t>
      </w:r>
      <w:r>
        <w:rPr>
          <w:rFonts w:ascii="Calibri" w:hAnsi="Calibri" w:cs="Calibri"/>
          <w:color w:val="000000" w:themeColor="text1"/>
        </w:rPr>
        <w:t xml:space="preserve"> (HR </w:t>
      </w:r>
      <w:r w:rsidRPr="00E72AA0">
        <w:rPr>
          <w:rFonts w:ascii="Calibri" w:hAnsi="Calibri" w:cs="Calibri"/>
          <w:color w:val="000000" w:themeColor="text1"/>
        </w:rPr>
        <w:t>1.66</w:t>
      </w:r>
      <w:r>
        <w:rPr>
          <w:rFonts w:ascii="Calibri" w:hAnsi="Calibri" w:cs="Calibri"/>
          <w:color w:val="000000" w:themeColor="text1"/>
        </w:rPr>
        <w:t xml:space="preserve"> [95%CI </w:t>
      </w:r>
      <w:r w:rsidRPr="00E72AA0">
        <w:rPr>
          <w:rFonts w:ascii="Calibri" w:hAnsi="Calibri" w:cs="Calibri"/>
          <w:color w:val="000000" w:themeColor="text1"/>
        </w:rPr>
        <w:t>1.21-2.29</w:t>
      </w:r>
      <w:r>
        <w:rPr>
          <w:rFonts w:ascii="Calibri" w:hAnsi="Calibri" w:cs="Calibri"/>
          <w:color w:val="000000" w:themeColor="text1"/>
        </w:rPr>
        <w:t>], p=</w:t>
      </w:r>
      <w:r w:rsidRPr="00E72AA0">
        <w:rPr>
          <w:rFonts w:ascii="Calibri" w:hAnsi="Calibri" w:cs="Calibri"/>
          <w:color w:val="000000" w:themeColor="text1"/>
        </w:rPr>
        <w:t>0.005</w:t>
      </w:r>
      <w:r>
        <w:rPr>
          <w:rFonts w:ascii="Calibri" w:hAnsi="Calibri" w:cs="Calibri"/>
          <w:color w:val="000000" w:themeColor="text1"/>
        </w:rPr>
        <w:t>)</w:t>
      </w:r>
      <w:r w:rsidRPr="00E72AA0">
        <w:rPr>
          <w:rFonts w:ascii="Calibri" w:hAnsi="Calibri" w:cs="Calibri"/>
          <w:color w:val="000000" w:themeColor="text1"/>
        </w:rPr>
        <w:t xml:space="preserve">, and SRV FAC </w:t>
      </w:r>
      <w:r>
        <w:rPr>
          <w:rFonts w:ascii="Calibri" w:hAnsi="Calibri" w:cs="Calibri"/>
          <w:color w:val="000000" w:themeColor="text1"/>
        </w:rPr>
        <w:t xml:space="preserve">(HR </w:t>
      </w:r>
      <w:r w:rsidRPr="00E72AA0">
        <w:rPr>
          <w:rFonts w:ascii="Calibri" w:hAnsi="Calibri" w:cs="Calibri"/>
          <w:color w:val="000000" w:themeColor="text1"/>
        </w:rPr>
        <w:t>0.65</w:t>
      </w:r>
      <w:r>
        <w:rPr>
          <w:rFonts w:ascii="Calibri" w:hAnsi="Calibri" w:cs="Calibri"/>
          <w:color w:val="000000" w:themeColor="text1"/>
        </w:rPr>
        <w:t xml:space="preserve"> [95%CI </w:t>
      </w:r>
      <w:r w:rsidRPr="00E72AA0">
        <w:rPr>
          <w:rFonts w:ascii="Calibri" w:hAnsi="Calibri" w:cs="Calibri"/>
          <w:color w:val="000000" w:themeColor="text1"/>
        </w:rPr>
        <w:t>0.49-0.87</w:t>
      </w:r>
      <w:r>
        <w:rPr>
          <w:rFonts w:ascii="Calibri" w:hAnsi="Calibri" w:cs="Calibri"/>
          <w:color w:val="000000" w:themeColor="text1"/>
        </w:rPr>
        <w:t>], p=</w:t>
      </w:r>
      <w:r w:rsidRPr="00E72AA0">
        <w:rPr>
          <w:rFonts w:ascii="Calibri" w:hAnsi="Calibri" w:cs="Calibri"/>
          <w:color w:val="000000" w:themeColor="text1"/>
        </w:rPr>
        <w:t>0.008</w:t>
      </w:r>
      <w:r>
        <w:rPr>
          <w:rFonts w:ascii="Calibri" w:hAnsi="Calibri" w:cs="Calibri"/>
          <w:color w:val="000000" w:themeColor="text1"/>
        </w:rPr>
        <w:t xml:space="preserve">) </w:t>
      </w:r>
      <w:r w:rsidRPr="00E72AA0">
        <w:rPr>
          <w:rFonts w:ascii="Calibri" w:hAnsi="Calibri" w:cs="Calibri"/>
          <w:color w:val="000000" w:themeColor="text1"/>
        </w:rPr>
        <w:t xml:space="preserve">remained predictive of mortality or transplantation. </w:t>
      </w:r>
      <w:r>
        <w:rPr>
          <w:rFonts w:ascii="Calibri" w:hAnsi="Calibri" w:cs="Calibri"/>
          <w:color w:val="000000" w:themeColor="text1"/>
        </w:rPr>
        <w:t>On</w:t>
      </w:r>
      <w:r w:rsidRPr="00E72AA0">
        <w:rPr>
          <w:rFonts w:ascii="Calibri" w:hAnsi="Calibri" w:cs="Calibri"/>
          <w:color w:val="000000" w:themeColor="text1"/>
        </w:rPr>
        <w:t xml:space="preserve"> ROC analysis, </w:t>
      </w:r>
      <w:proofErr w:type="spellStart"/>
      <w:r w:rsidRPr="00E72AA0">
        <w:rPr>
          <w:rFonts w:ascii="Calibri" w:hAnsi="Calibri" w:cs="Calibri"/>
          <w:color w:val="000000" w:themeColor="text1"/>
        </w:rPr>
        <w:t>subpulmonary</w:t>
      </w:r>
      <w:proofErr w:type="spellEnd"/>
      <w:r w:rsidRPr="00E72AA0">
        <w:rPr>
          <w:rFonts w:ascii="Calibri" w:hAnsi="Calibri" w:cs="Calibri"/>
          <w:color w:val="000000" w:themeColor="text1"/>
        </w:rPr>
        <w:t xml:space="preserve"> LV parameters performed </w:t>
      </w:r>
      <w:r w:rsidRPr="0067673C">
        <w:rPr>
          <w:rFonts w:ascii="Calibri" w:hAnsi="Calibri" w:cs="Calibri"/>
          <w:color w:val="000000" w:themeColor="text1"/>
        </w:rPr>
        <w:t xml:space="preserve">better </w:t>
      </w:r>
      <w:r>
        <w:rPr>
          <w:rFonts w:ascii="Calibri" w:hAnsi="Calibri" w:cs="Calibri"/>
          <w:color w:val="000000" w:themeColor="text1"/>
        </w:rPr>
        <w:t xml:space="preserve">than </w:t>
      </w:r>
      <w:r w:rsidRPr="0067673C">
        <w:rPr>
          <w:rFonts w:ascii="Calibri" w:hAnsi="Calibri" w:cs="Calibri"/>
          <w:color w:val="000000" w:themeColor="text1"/>
        </w:rPr>
        <w:t xml:space="preserve">SRV </w:t>
      </w:r>
      <w:r>
        <w:rPr>
          <w:rFonts w:ascii="Calibri" w:hAnsi="Calibri" w:cs="Calibri"/>
          <w:color w:val="000000" w:themeColor="text1"/>
        </w:rPr>
        <w:t xml:space="preserve">markers </w:t>
      </w:r>
      <w:r w:rsidRPr="0067673C">
        <w:rPr>
          <w:rFonts w:ascii="Calibri" w:hAnsi="Calibri" w:cs="Calibri"/>
          <w:color w:val="000000" w:themeColor="text1"/>
        </w:rPr>
        <w:t xml:space="preserve">in predicting </w:t>
      </w:r>
      <w:r>
        <w:rPr>
          <w:rFonts w:ascii="Calibri" w:hAnsi="Calibri" w:cs="Calibri"/>
          <w:color w:val="000000" w:themeColor="text1"/>
        </w:rPr>
        <w:t>adverse events</w:t>
      </w:r>
      <w:r w:rsidRPr="0067673C">
        <w:rPr>
          <w:rFonts w:ascii="Calibri" w:hAnsi="Calibri" w:cs="Calibri"/>
          <w:color w:val="000000" w:themeColor="text1"/>
        </w:rPr>
        <w:t>.</w:t>
      </w:r>
    </w:p>
    <w:p w14:paraId="5B1274E4" w14:textId="77777777" w:rsidR="00D27EA0" w:rsidRDefault="00D27EA0" w:rsidP="00D27EA0">
      <w:pPr>
        <w:spacing w:line="480" w:lineRule="auto"/>
        <w:jc w:val="both"/>
        <w:rPr>
          <w:rFonts w:ascii="Calibri" w:hAnsi="Calibri" w:cs="Calibri"/>
          <w:color w:val="000000" w:themeColor="text1"/>
        </w:rPr>
      </w:pPr>
      <w:r w:rsidRPr="00B3345C">
        <w:rPr>
          <w:rFonts w:ascii="Calibri" w:hAnsi="Calibri" w:cs="Calibri"/>
          <w:b/>
          <w:color w:val="000000" w:themeColor="text1"/>
          <w:lang w:val="en-US"/>
        </w:rPr>
        <w:t xml:space="preserve">Conclusions: </w:t>
      </w:r>
      <w:r>
        <w:rPr>
          <w:rFonts w:ascii="Calibri" w:hAnsi="Calibri" w:cs="Calibri"/>
        </w:rPr>
        <w:t xml:space="preserve">SRV </w:t>
      </w:r>
      <w:r w:rsidRPr="00326CF9">
        <w:rPr>
          <w:rFonts w:ascii="Calibri" w:hAnsi="Calibri" w:cs="Calibri"/>
        </w:rPr>
        <w:t>basal diameter</w:t>
      </w:r>
      <w:r>
        <w:rPr>
          <w:rFonts w:ascii="Calibri" w:hAnsi="Calibri" w:cs="Calibri"/>
        </w:rPr>
        <w:t>,</w:t>
      </w:r>
      <w:r w:rsidRPr="00326CF9">
        <w:rPr>
          <w:rFonts w:ascii="Calibri" w:hAnsi="Calibri" w:cs="Calibri"/>
        </w:rPr>
        <w:t xml:space="preserve"> SRV </w:t>
      </w:r>
      <w:r w:rsidRPr="00AD7065">
        <w:rPr>
          <w:rFonts w:ascii="Calibri" w:hAnsi="Calibri" w:cs="Calibri"/>
        </w:rPr>
        <w:t>FAC</w:t>
      </w:r>
      <w:r>
        <w:rPr>
          <w:rFonts w:ascii="Calibri" w:hAnsi="Calibri" w:cs="Calibri"/>
        </w:rPr>
        <w:t xml:space="preserve">, </w:t>
      </w:r>
      <w:r w:rsidRPr="00326CF9">
        <w:rPr>
          <w:rFonts w:ascii="Calibri" w:hAnsi="Calibri" w:cs="Calibri"/>
        </w:rPr>
        <w:t xml:space="preserve">LV </w:t>
      </w:r>
      <w:proofErr w:type="spellStart"/>
      <w:r w:rsidRPr="00326CF9">
        <w:rPr>
          <w:rFonts w:ascii="Calibri" w:hAnsi="Calibri" w:cs="Calibri"/>
        </w:rPr>
        <w:t>ESDi</w:t>
      </w:r>
      <w:proofErr w:type="spellEnd"/>
      <w:r w:rsidRPr="00326CF9">
        <w:rPr>
          <w:rFonts w:ascii="Calibri" w:hAnsi="Calibri" w:cs="Calibri"/>
        </w:rPr>
        <w:t xml:space="preserve">, </w:t>
      </w:r>
      <w:r>
        <w:rPr>
          <w:rFonts w:ascii="Calibri" w:hAnsi="Calibri" w:cs="Calibri"/>
        </w:rPr>
        <w:t>and</w:t>
      </w:r>
      <w:r w:rsidRPr="00326CF9">
        <w:rPr>
          <w:rFonts w:ascii="Calibri" w:hAnsi="Calibri" w:cs="Calibri"/>
        </w:rPr>
        <w:t xml:space="preserve"> </w:t>
      </w:r>
      <w:r>
        <w:rPr>
          <w:rFonts w:ascii="Calibri" w:hAnsi="Calibri" w:cs="Calibri"/>
        </w:rPr>
        <w:t xml:space="preserve">LV </w:t>
      </w:r>
      <w:r w:rsidRPr="00326CF9">
        <w:rPr>
          <w:rFonts w:ascii="Calibri" w:hAnsi="Calibri" w:cs="Calibri"/>
        </w:rPr>
        <w:t>FAC</w:t>
      </w:r>
      <w:r>
        <w:rPr>
          <w:rFonts w:ascii="Calibri" w:hAnsi="Calibri" w:cs="Calibri"/>
        </w:rPr>
        <w:t xml:space="preserve"> are significantly and independently associated with </w:t>
      </w:r>
      <w:r w:rsidRPr="00B3345C">
        <w:rPr>
          <w:rFonts w:ascii="Calibri" w:hAnsi="Calibri" w:cs="Calibri"/>
          <w:color w:val="000000" w:themeColor="text1"/>
        </w:rPr>
        <w:t xml:space="preserve">mortality and transplantation </w:t>
      </w:r>
      <w:r>
        <w:rPr>
          <w:rFonts w:ascii="Calibri" w:hAnsi="Calibri" w:cs="Calibri"/>
          <w:color w:val="000000" w:themeColor="text1"/>
        </w:rPr>
        <w:t xml:space="preserve">in adults with </w:t>
      </w:r>
      <w:proofErr w:type="gramStart"/>
      <w:r>
        <w:rPr>
          <w:rFonts w:ascii="Calibri" w:hAnsi="Calibri" w:cs="Calibri"/>
          <w:color w:val="000000" w:themeColor="text1"/>
        </w:rPr>
        <w:t>a</w:t>
      </w:r>
      <w:proofErr w:type="gramEnd"/>
      <w:r>
        <w:rPr>
          <w:rFonts w:ascii="Calibri" w:hAnsi="Calibri" w:cs="Calibri"/>
          <w:color w:val="000000" w:themeColor="text1"/>
        </w:rPr>
        <w:t xml:space="preserve"> </w:t>
      </w:r>
      <w:r w:rsidRPr="00B3345C">
        <w:rPr>
          <w:rFonts w:ascii="Calibri" w:hAnsi="Calibri" w:cs="Calibri"/>
          <w:color w:val="000000" w:themeColor="text1"/>
        </w:rPr>
        <w:t xml:space="preserve">SRV. Accurate </w:t>
      </w:r>
      <w:r w:rsidRPr="00B3345C">
        <w:rPr>
          <w:rFonts w:ascii="Calibri" w:hAnsi="Calibri" w:cs="Calibri"/>
          <w:color w:val="000000" w:themeColor="text1"/>
        </w:rPr>
        <w:lastRenderedPageBreak/>
        <w:t xml:space="preserve">echocardiographic assessment of </w:t>
      </w:r>
      <w:r>
        <w:rPr>
          <w:rFonts w:ascii="Calibri" w:hAnsi="Calibri" w:cs="Calibri"/>
          <w:color w:val="000000" w:themeColor="text1"/>
        </w:rPr>
        <w:t xml:space="preserve">both SRV and </w:t>
      </w:r>
      <w:proofErr w:type="spellStart"/>
      <w:r>
        <w:rPr>
          <w:rFonts w:ascii="Calibri" w:hAnsi="Calibri" w:cs="Calibri"/>
          <w:color w:val="000000" w:themeColor="text1"/>
        </w:rPr>
        <w:t>subpulmonary</w:t>
      </w:r>
      <w:proofErr w:type="spellEnd"/>
      <w:r>
        <w:rPr>
          <w:rFonts w:ascii="Calibri" w:hAnsi="Calibri" w:cs="Calibri"/>
          <w:color w:val="000000" w:themeColor="text1"/>
        </w:rPr>
        <w:t xml:space="preserve"> LV </w:t>
      </w:r>
      <w:r w:rsidRPr="00B3345C">
        <w:rPr>
          <w:rFonts w:ascii="Calibri" w:hAnsi="Calibri" w:cs="Calibri"/>
          <w:color w:val="000000" w:themeColor="text1"/>
        </w:rPr>
        <w:t xml:space="preserve">is </w:t>
      </w:r>
      <w:r>
        <w:rPr>
          <w:rFonts w:ascii="Calibri" w:hAnsi="Calibri" w:cs="Calibri"/>
          <w:color w:val="000000" w:themeColor="text1"/>
        </w:rPr>
        <w:t xml:space="preserve">therefore </w:t>
      </w:r>
      <w:r w:rsidRPr="00B3345C">
        <w:rPr>
          <w:rFonts w:ascii="Calibri" w:hAnsi="Calibri" w:cs="Calibri"/>
          <w:color w:val="000000" w:themeColor="text1"/>
        </w:rPr>
        <w:t xml:space="preserve">essential </w:t>
      </w:r>
      <w:r>
        <w:rPr>
          <w:rFonts w:ascii="Calibri" w:hAnsi="Calibri" w:cs="Calibri"/>
          <w:color w:val="000000" w:themeColor="text1"/>
        </w:rPr>
        <w:t>to inform</w:t>
      </w:r>
      <w:r w:rsidRPr="00B3345C">
        <w:rPr>
          <w:rFonts w:ascii="Calibri" w:hAnsi="Calibri" w:cs="Calibri"/>
          <w:color w:val="000000" w:themeColor="text1"/>
        </w:rPr>
        <w:t xml:space="preserve"> risk stratification and management</w:t>
      </w:r>
      <w:r>
        <w:rPr>
          <w:rFonts w:ascii="Calibri" w:hAnsi="Calibri" w:cs="Calibri"/>
          <w:color w:val="000000" w:themeColor="text1"/>
        </w:rPr>
        <w:t xml:space="preserve">. </w:t>
      </w:r>
    </w:p>
    <w:p w14:paraId="6E1B4716" w14:textId="77777777" w:rsidR="00D27EA0" w:rsidRDefault="00D27EA0" w:rsidP="00D27EA0">
      <w:pPr>
        <w:spacing w:line="480" w:lineRule="auto"/>
        <w:jc w:val="both"/>
        <w:rPr>
          <w:rFonts w:ascii="Calibri" w:hAnsi="Calibri" w:cs="Calibri"/>
          <w:color w:val="000000" w:themeColor="text1"/>
        </w:rPr>
      </w:pPr>
    </w:p>
    <w:p w14:paraId="2783054A" w14:textId="77777777" w:rsidR="00D27EA0" w:rsidRPr="000245A9" w:rsidRDefault="00D27EA0" w:rsidP="00D27EA0">
      <w:pPr>
        <w:pStyle w:val="Heading1"/>
        <w:rPr>
          <w:rFonts w:asciiTheme="minorHAnsi" w:hAnsiTheme="minorHAnsi" w:cstheme="minorHAnsi"/>
          <w:sz w:val="24"/>
          <w:szCs w:val="24"/>
        </w:rPr>
      </w:pPr>
      <w:r w:rsidRPr="000245A9">
        <w:rPr>
          <w:rFonts w:asciiTheme="minorHAnsi" w:hAnsiTheme="minorHAnsi" w:cstheme="minorHAnsi"/>
          <w:sz w:val="24"/>
          <w:szCs w:val="24"/>
        </w:rPr>
        <w:t>Key Words</w:t>
      </w:r>
    </w:p>
    <w:p w14:paraId="686EA9BE" w14:textId="77777777" w:rsidR="00D27EA0" w:rsidRPr="000245A9" w:rsidRDefault="00D27EA0" w:rsidP="00D27EA0">
      <w:pPr>
        <w:spacing w:line="480" w:lineRule="auto"/>
        <w:jc w:val="both"/>
        <w:rPr>
          <w:rFonts w:asciiTheme="minorHAnsi" w:hAnsiTheme="minorHAnsi" w:cstheme="minorHAnsi"/>
          <w:b/>
          <w:color w:val="000000" w:themeColor="text1"/>
          <w:lang w:val="en-US"/>
        </w:rPr>
      </w:pPr>
      <w:r w:rsidRPr="000245A9">
        <w:rPr>
          <w:rFonts w:asciiTheme="minorHAnsi" w:hAnsiTheme="minorHAnsi" w:cstheme="minorHAnsi"/>
          <w:color w:val="000000" w:themeColor="text1"/>
          <w:lang w:val="en-US"/>
        </w:rPr>
        <w:t xml:space="preserve">Systemic right ventricle, </w:t>
      </w:r>
      <w:proofErr w:type="spellStart"/>
      <w:r w:rsidRPr="000245A9">
        <w:rPr>
          <w:rFonts w:asciiTheme="minorHAnsi" w:hAnsiTheme="minorHAnsi" w:cstheme="minorHAnsi"/>
          <w:color w:val="000000" w:themeColor="text1"/>
          <w:lang w:val="en-US"/>
        </w:rPr>
        <w:t>Subpulmonary</w:t>
      </w:r>
      <w:proofErr w:type="spellEnd"/>
      <w:r w:rsidRPr="000245A9">
        <w:rPr>
          <w:rFonts w:asciiTheme="minorHAnsi" w:hAnsiTheme="minorHAnsi" w:cstheme="minorHAnsi"/>
          <w:color w:val="000000" w:themeColor="text1"/>
          <w:lang w:val="en-US"/>
        </w:rPr>
        <w:t xml:space="preserve"> left ventricle, Systolic Function, Prognosis</w:t>
      </w:r>
    </w:p>
    <w:p w14:paraId="7872D143" w14:textId="77777777" w:rsidR="00D27EA0" w:rsidRPr="00A9581C" w:rsidRDefault="00D27EA0" w:rsidP="00D27EA0">
      <w:pPr>
        <w:spacing w:line="480" w:lineRule="auto"/>
        <w:jc w:val="both"/>
        <w:rPr>
          <w:rFonts w:ascii="Calibri" w:hAnsi="Calibri" w:cs="Calibri"/>
          <w:color w:val="000000" w:themeColor="text1"/>
          <w:lang w:val="en-US"/>
        </w:rPr>
      </w:pPr>
    </w:p>
    <w:p w14:paraId="4553E70F" w14:textId="77777777" w:rsidR="00D27EA0" w:rsidRDefault="00D27EA0">
      <w:pPr>
        <w:rPr>
          <w:rFonts w:ascii="Calibri" w:eastAsiaTheme="majorEastAsia" w:hAnsi="Calibri" w:cs="Calibri"/>
          <w:b/>
          <w:bCs/>
          <w:sz w:val="28"/>
          <w:szCs w:val="28"/>
          <w:lang w:val="en-US"/>
        </w:rPr>
      </w:pPr>
      <w:r>
        <w:br w:type="page"/>
      </w:r>
    </w:p>
    <w:p w14:paraId="509B9676" w14:textId="75291D3F" w:rsidR="00D27EA0" w:rsidRDefault="00D27EA0" w:rsidP="00D27EA0">
      <w:pPr>
        <w:pStyle w:val="Heading1"/>
      </w:pPr>
      <w:r>
        <w:lastRenderedPageBreak/>
        <w:t>Graphical abstract</w:t>
      </w:r>
    </w:p>
    <w:p w14:paraId="7BE81B9C" w14:textId="77777777" w:rsidR="00D27EA0" w:rsidRPr="00F3314C" w:rsidRDefault="00D27EA0" w:rsidP="00D27EA0">
      <w:r w:rsidRPr="00D27EA0">
        <w:drawing>
          <wp:inline distT="0" distB="0" distL="0" distR="0" wp14:anchorId="12781B59" wp14:editId="24BDD98F">
            <wp:extent cx="5943600" cy="4125595"/>
            <wp:effectExtent l="0" t="0" r="0" b="1905"/>
            <wp:docPr id="415439226" name="Picture 1" descr="A diagram of an ultras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439226" name="Picture 1" descr="A diagram of an ultrasound&#10;&#10;Description automatically generated"/>
                    <pic:cNvPicPr/>
                  </pic:nvPicPr>
                  <pic:blipFill>
                    <a:blip r:embed="rId10"/>
                    <a:stretch>
                      <a:fillRect/>
                    </a:stretch>
                  </pic:blipFill>
                  <pic:spPr>
                    <a:xfrm>
                      <a:off x="0" y="0"/>
                      <a:ext cx="5943600" cy="4125595"/>
                    </a:xfrm>
                    <a:prstGeom prst="rect">
                      <a:avLst/>
                    </a:prstGeom>
                  </pic:spPr>
                </pic:pic>
              </a:graphicData>
            </a:graphic>
          </wp:inline>
        </w:drawing>
      </w:r>
    </w:p>
    <w:p w14:paraId="1ABFF15F" w14:textId="77777777" w:rsidR="00D27EA0" w:rsidRDefault="00D27EA0">
      <w:pPr>
        <w:rPr>
          <w:rFonts w:ascii="Calibri" w:eastAsiaTheme="majorEastAsia" w:hAnsi="Calibri" w:cs="Calibri"/>
          <w:b/>
          <w:bCs/>
          <w:sz w:val="28"/>
          <w:szCs w:val="28"/>
          <w:lang w:val="en-US"/>
        </w:rPr>
      </w:pPr>
      <w:r>
        <w:br w:type="page"/>
      </w:r>
    </w:p>
    <w:p w14:paraId="072313E5" w14:textId="70EBA258" w:rsidR="001F4E94" w:rsidRPr="00326CF9" w:rsidRDefault="001F4E94" w:rsidP="00E95D19">
      <w:pPr>
        <w:pStyle w:val="Heading1"/>
      </w:pPr>
      <w:r w:rsidRPr="00326CF9">
        <w:lastRenderedPageBreak/>
        <w:t>Introduction</w:t>
      </w:r>
    </w:p>
    <w:p w14:paraId="4B0EA9EC" w14:textId="1EDAA31C" w:rsidR="0026352B" w:rsidRDefault="00B908E4" w:rsidP="0026352B">
      <w:pPr>
        <w:widowControl w:val="0"/>
        <w:tabs>
          <w:tab w:val="left" w:pos="90"/>
        </w:tabs>
        <w:autoSpaceDE w:val="0"/>
        <w:autoSpaceDN w:val="0"/>
        <w:adjustRightInd w:val="0"/>
        <w:spacing w:line="480" w:lineRule="auto"/>
        <w:ind w:firstLine="851"/>
        <w:jc w:val="both"/>
        <w:rPr>
          <w:rFonts w:ascii="Calibri" w:hAnsi="Calibri" w:cs="Calibri"/>
          <w:color w:val="000000" w:themeColor="text1"/>
          <w:lang w:val="en-US"/>
        </w:rPr>
      </w:pPr>
      <w:r w:rsidRPr="00326CF9">
        <w:rPr>
          <w:rFonts w:ascii="Calibri" w:hAnsi="Calibri" w:cs="Calibri"/>
          <w:color w:val="000000" w:themeColor="text1"/>
          <w:lang w:val="en-US"/>
        </w:rPr>
        <w:t>﻿</w:t>
      </w:r>
      <w:r w:rsidR="008D372C" w:rsidRPr="00326CF9">
        <w:rPr>
          <w:rFonts w:ascii="Calibri" w:hAnsi="Calibri" w:cs="Calibri"/>
          <w:color w:val="000000" w:themeColor="text1"/>
          <w:lang w:val="en-US"/>
        </w:rPr>
        <w:t>Adult</w:t>
      </w:r>
      <w:r w:rsidR="00015450">
        <w:rPr>
          <w:rFonts w:ascii="Calibri" w:hAnsi="Calibri" w:cs="Calibri"/>
          <w:color w:val="000000" w:themeColor="text1"/>
          <w:lang w:val="en-US"/>
        </w:rPr>
        <w:t>s</w:t>
      </w:r>
      <w:r w:rsidR="008D372C" w:rsidRPr="00326CF9">
        <w:rPr>
          <w:rFonts w:ascii="Calibri" w:hAnsi="Calibri" w:cs="Calibri"/>
          <w:color w:val="000000" w:themeColor="text1"/>
          <w:lang w:val="en-US"/>
        </w:rPr>
        <w:t xml:space="preserve"> with transposition of</w:t>
      </w:r>
      <w:r w:rsidR="00015450">
        <w:rPr>
          <w:rFonts w:ascii="Calibri" w:hAnsi="Calibri" w:cs="Calibri"/>
          <w:color w:val="000000" w:themeColor="text1"/>
          <w:lang w:val="en-US"/>
        </w:rPr>
        <w:t xml:space="preserve"> the</w:t>
      </w:r>
      <w:r w:rsidR="008D372C" w:rsidRPr="00326CF9">
        <w:rPr>
          <w:rFonts w:ascii="Calibri" w:hAnsi="Calibri" w:cs="Calibri"/>
          <w:color w:val="000000" w:themeColor="text1"/>
          <w:lang w:val="en-US"/>
        </w:rPr>
        <w:t xml:space="preserve"> great arteries (TGA) after Mustard or Senning operation</w:t>
      </w:r>
      <w:r w:rsidR="00015450">
        <w:rPr>
          <w:rFonts w:ascii="Calibri" w:hAnsi="Calibri" w:cs="Calibri"/>
          <w:color w:val="000000" w:themeColor="text1"/>
          <w:lang w:val="en-US"/>
        </w:rPr>
        <w:t>,</w:t>
      </w:r>
      <w:r w:rsidR="008D372C" w:rsidRPr="00326CF9">
        <w:rPr>
          <w:rFonts w:ascii="Calibri" w:hAnsi="Calibri" w:cs="Calibri"/>
          <w:color w:val="000000" w:themeColor="text1"/>
          <w:lang w:val="en-US"/>
        </w:rPr>
        <w:t xml:space="preserve"> or with </w:t>
      </w:r>
      <w:r w:rsidR="00025207" w:rsidRPr="00326CF9">
        <w:rPr>
          <w:rFonts w:ascii="Calibri" w:hAnsi="Calibri" w:cs="Calibri"/>
          <w:color w:val="000000" w:themeColor="text1"/>
          <w:lang w:val="en-US"/>
        </w:rPr>
        <w:t xml:space="preserve">congenitally corrected </w:t>
      </w:r>
      <w:r w:rsidR="00015450">
        <w:rPr>
          <w:rFonts w:ascii="Calibri" w:hAnsi="Calibri" w:cs="Calibri"/>
          <w:color w:val="000000" w:themeColor="text1"/>
          <w:lang w:val="en-US"/>
        </w:rPr>
        <w:t>TGA</w:t>
      </w:r>
      <w:r w:rsidR="00025207" w:rsidRPr="00326CF9">
        <w:rPr>
          <w:rFonts w:ascii="Calibri" w:hAnsi="Calibri" w:cs="Calibri"/>
          <w:color w:val="000000" w:themeColor="text1"/>
          <w:lang w:val="en-US"/>
        </w:rPr>
        <w:t xml:space="preserve"> (ccTGA)</w:t>
      </w:r>
      <w:r w:rsidR="00015450">
        <w:rPr>
          <w:rFonts w:ascii="Calibri" w:hAnsi="Calibri" w:cs="Calibri"/>
          <w:color w:val="000000" w:themeColor="text1"/>
          <w:lang w:val="en-US"/>
        </w:rPr>
        <w:t>,</w:t>
      </w:r>
      <w:r w:rsidR="00025207" w:rsidRPr="00326CF9">
        <w:rPr>
          <w:rFonts w:ascii="Calibri" w:hAnsi="Calibri" w:cs="Calibri"/>
          <w:color w:val="000000" w:themeColor="text1"/>
          <w:lang w:val="en-US"/>
        </w:rPr>
        <w:t xml:space="preserve"> </w:t>
      </w:r>
      <w:r w:rsidR="008D372C" w:rsidRPr="00326CF9">
        <w:rPr>
          <w:rFonts w:ascii="Calibri" w:hAnsi="Calibri" w:cs="Calibri"/>
          <w:color w:val="000000" w:themeColor="text1"/>
          <w:lang w:val="en-US"/>
        </w:rPr>
        <w:t>are at particular</w:t>
      </w:r>
      <w:r w:rsidR="00015450">
        <w:rPr>
          <w:rFonts w:ascii="Calibri" w:hAnsi="Calibri" w:cs="Calibri"/>
          <w:color w:val="000000" w:themeColor="text1"/>
          <w:lang w:val="en-US"/>
        </w:rPr>
        <w:t>ly</w:t>
      </w:r>
      <w:r w:rsidR="008D372C" w:rsidRPr="00326CF9">
        <w:rPr>
          <w:rFonts w:ascii="Calibri" w:hAnsi="Calibri" w:cs="Calibri"/>
          <w:color w:val="000000" w:themeColor="text1"/>
          <w:lang w:val="en-US"/>
        </w:rPr>
        <w:t xml:space="preserve"> high risk of developing systolic dysfunction of the systemic ventricle, tricuspid regurgitation, heart failure, cardiac arrhythmias</w:t>
      </w:r>
      <w:r w:rsidR="00015450">
        <w:rPr>
          <w:rFonts w:ascii="Calibri" w:hAnsi="Calibri" w:cs="Calibri"/>
          <w:color w:val="000000" w:themeColor="text1"/>
          <w:lang w:val="en-US"/>
        </w:rPr>
        <w:t xml:space="preserve">, which are associated with </w:t>
      </w:r>
      <w:r w:rsidR="008D372C" w:rsidRPr="00326CF9">
        <w:rPr>
          <w:rFonts w:ascii="Calibri" w:hAnsi="Calibri" w:cs="Calibri"/>
          <w:color w:val="000000" w:themeColor="text1"/>
          <w:lang w:val="en-US"/>
        </w:rPr>
        <w:t>increased mortality</w:t>
      </w:r>
      <w:r w:rsidR="00876DAF" w:rsidRPr="00326CF9">
        <w:rPr>
          <w:rFonts w:ascii="Calibri" w:hAnsi="Calibri" w:cs="Calibri"/>
          <w:color w:val="000000" w:themeColor="text1"/>
          <w:lang w:val="en-US"/>
        </w:rPr>
        <w:t>.</w:t>
      </w:r>
      <w:r w:rsidR="008D372C" w:rsidRPr="00326CF9">
        <w:rPr>
          <w:rFonts w:ascii="Calibri" w:hAnsi="Calibri" w:cs="Calibri"/>
          <w:color w:val="000000" w:themeColor="text1"/>
          <w:lang w:val="en-US"/>
        </w:rPr>
        <w:fldChar w:fldCharType="begin" w:fldLock="1"/>
      </w:r>
      <w:r w:rsidR="008D372C" w:rsidRPr="00326CF9">
        <w:rPr>
          <w:rFonts w:ascii="Calibri" w:hAnsi="Calibri" w:cs="Calibri"/>
          <w:color w:val="000000" w:themeColor="text1"/>
          <w:lang w:val="en-US"/>
        </w:rPr>
        <w:instrText>ADDIN CSL_CITATION {"citationItems":[{"id":"ITEM-1","itemData":{"DOI":"10.1161/CIRCULATIONAHA.117.031544","ISSN":"1524-4539 (Electronic)","PMID":"29378757","abstract":"The systemic right ventricle (SRV) is commonly encountered in congenital heart disease representing a distinctly different model in terms of its anatomic spectrum, adaptation, clinical phenotype, and variable, but overall guarded prognosis. The most common clinical scenarios where an SRV is encountered are complete transposition of the great arteries with previous atrial switch repair, congenitally corrected transposition of the great arteries, double inlet right ventricle mostly with previous Fontan palliation, and hypoplastic left heart syndrome palliated with the Norwood-Fontan protocol. The reasons for the guarded prognosis of the SRV in comparison with the systemic left ventricle are multifactorial, including distinct fibromuscular architecture, shape and function, coronary artery supply mismatch, intrinsic abnormalities of the tricuspid valve, intrinsic or acquired conduction abnormalities, and varied SRV adaptation to pressure or volume overload. Management of the SRV remains an ongoing challenge because SRV dysfunction has implications on short- and long-term outcomes for all patients irrespective of underlying cardiac morphology. SRV dysfunction can be subclinical, underscoring the need for tertiary follow-up and timely management of target hemodynamic lesions. Catheter interventions and surgery have an established role in selected patients. Cardiac resynchronization therapy is increasingly used, whereas pharmacological therapy is largely empirical. Mechanical assist device and heart transplantation remain options in end-stage heart failure when other management strategies have been exhausted. The present report focuses on the SRV with its pathological subtypes, pathophysiology, clinical features, current management strategies, and long-term sequelae. Although our article touches on issues applicable to neonates and children, its main focus is on adults with SRV.","author":[{"dropping-particle":"","family":"Brida","given":"Margarita","non-dropping-particle":"","parse-names":false,"suffix":""},{"dropping-particle":"","family":"Diller","given":"Gerhard-Paul","non-dropping-particle":"","parse-names":false,"suffix":""},{"dropping-particle":"","family":"Gatzoulis","given":"Michael A","non-dropping-particle":"","parse-names":false,"suffix":""}],"container-title":"Circulation","id":"ITEM-1","issue":"5","issued":{"date-parts":[["2018","1"]]},"language":"eng","page":"508-518","publisher-place":"United States","title":"Systemic Right Ventricle in Adults With Congenital Heart Disease: Anatomic and Phenotypic Spectrum and Current Approach to Management.","type":"article-journal","volume":"137"},"uris":["http://www.mendeley.com/documents/?uuid=384d3753-27c0-4dac-9f38-c0908d90d08e"]}],"mendeley":{"formattedCitation":"&lt;sup&gt;1&lt;/sup&gt;","plainTextFormattedCitation":"1","previouslyFormattedCitation":"&lt;sup&gt;1&lt;/sup&gt;"},"properties":{"noteIndex":0},"schema":"https://github.com/citation-style-language/schema/raw/master/csl-citation.json"}</w:instrText>
      </w:r>
      <w:r w:rsidR="008D372C" w:rsidRPr="00326CF9">
        <w:rPr>
          <w:rFonts w:ascii="Calibri" w:hAnsi="Calibri" w:cs="Calibri"/>
          <w:color w:val="000000" w:themeColor="text1"/>
          <w:lang w:val="en-US"/>
        </w:rPr>
        <w:fldChar w:fldCharType="separate"/>
      </w:r>
      <w:r w:rsidR="008D372C" w:rsidRPr="00326CF9">
        <w:rPr>
          <w:rFonts w:ascii="Calibri" w:hAnsi="Calibri" w:cs="Calibri"/>
          <w:noProof/>
          <w:color w:val="000000" w:themeColor="text1"/>
          <w:vertAlign w:val="superscript"/>
          <w:lang w:val="en-US"/>
        </w:rPr>
        <w:t>1</w:t>
      </w:r>
      <w:r w:rsidR="008D372C" w:rsidRPr="00326CF9">
        <w:rPr>
          <w:rFonts w:ascii="Calibri" w:hAnsi="Calibri" w:cs="Calibri"/>
          <w:color w:val="000000" w:themeColor="text1"/>
          <w:lang w:val="en-US"/>
        </w:rPr>
        <w:fldChar w:fldCharType="end"/>
      </w:r>
      <w:r w:rsidR="008D372C" w:rsidRPr="00326CF9">
        <w:rPr>
          <w:rFonts w:ascii="Calibri" w:hAnsi="Calibri" w:cs="Calibri"/>
          <w:color w:val="000000" w:themeColor="text1"/>
          <w:lang w:val="en-US"/>
        </w:rPr>
        <w:t xml:space="preserve"> </w:t>
      </w:r>
      <w:r w:rsidR="0026352B">
        <w:rPr>
          <w:rFonts w:ascii="Calibri" w:hAnsi="Calibri" w:cs="Calibri"/>
          <w:color w:val="000000" w:themeColor="text1"/>
          <w:lang w:val="en-US"/>
        </w:rPr>
        <w:t>I</w:t>
      </w:r>
      <w:r w:rsidR="0026352B" w:rsidRPr="00326CF9">
        <w:rPr>
          <w:rFonts w:ascii="Calibri" w:hAnsi="Calibri" w:cs="Calibri"/>
          <w:color w:val="000000" w:themeColor="text1"/>
          <w:lang w:val="en-US"/>
        </w:rPr>
        <w:t xml:space="preserve">mpaired quality of life </w:t>
      </w:r>
      <w:r w:rsidR="0026352B">
        <w:rPr>
          <w:rFonts w:ascii="Calibri" w:hAnsi="Calibri" w:cs="Calibri"/>
          <w:color w:val="000000" w:themeColor="text1"/>
          <w:lang w:val="en-US"/>
        </w:rPr>
        <w:t>and</w:t>
      </w:r>
      <w:r w:rsidR="0026352B" w:rsidRPr="00326CF9">
        <w:rPr>
          <w:rFonts w:ascii="Calibri" w:hAnsi="Calibri" w:cs="Calibri"/>
          <w:color w:val="000000" w:themeColor="text1"/>
          <w:lang w:val="en-US"/>
        </w:rPr>
        <w:t xml:space="preserve"> heart failure symptoms </w:t>
      </w:r>
      <w:r w:rsidR="00C462EA">
        <w:rPr>
          <w:rFonts w:ascii="Calibri" w:hAnsi="Calibri" w:cs="Calibri"/>
          <w:color w:val="000000" w:themeColor="text1"/>
          <w:lang w:val="en-US"/>
        </w:rPr>
        <w:t xml:space="preserve">have been </w:t>
      </w:r>
      <w:r w:rsidR="0026352B">
        <w:rPr>
          <w:rFonts w:ascii="Calibri" w:hAnsi="Calibri" w:cs="Calibri"/>
          <w:color w:val="000000" w:themeColor="text1"/>
          <w:lang w:val="en-US"/>
        </w:rPr>
        <w:t xml:space="preserve">reported </w:t>
      </w:r>
      <w:r w:rsidR="0026352B" w:rsidRPr="00326CF9">
        <w:rPr>
          <w:rFonts w:ascii="Calibri" w:hAnsi="Calibri" w:cs="Calibri"/>
          <w:color w:val="000000" w:themeColor="text1"/>
          <w:lang w:val="en-US"/>
        </w:rPr>
        <w:t>in 22</w:t>
      </w:r>
      <w:r w:rsidR="0026352B">
        <w:rPr>
          <w:rFonts w:ascii="Calibri" w:hAnsi="Calibri" w:cs="Calibri"/>
          <w:color w:val="000000" w:themeColor="text1"/>
          <w:lang w:val="en-US"/>
        </w:rPr>
        <w:t>.2</w:t>
      </w:r>
      <w:r w:rsidR="0026352B" w:rsidRPr="00326CF9">
        <w:rPr>
          <w:rFonts w:ascii="Calibri" w:hAnsi="Calibri" w:cs="Calibri"/>
          <w:color w:val="000000" w:themeColor="text1"/>
          <w:lang w:val="en-US"/>
        </w:rPr>
        <w:t xml:space="preserve">% </w:t>
      </w:r>
      <w:r w:rsidR="0026352B">
        <w:rPr>
          <w:rFonts w:ascii="Calibri" w:hAnsi="Calibri" w:cs="Calibri"/>
          <w:color w:val="000000" w:themeColor="text1"/>
          <w:lang w:val="en-US"/>
        </w:rPr>
        <w:t xml:space="preserve">of </w:t>
      </w:r>
      <w:r w:rsidR="0026352B" w:rsidRPr="00326CF9">
        <w:rPr>
          <w:rFonts w:ascii="Calibri" w:hAnsi="Calibri" w:cs="Calibri"/>
          <w:color w:val="000000" w:themeColor="text1"/>
          <w:lang w:val="en-US"/>
        </w:rPr>
        <w:t>adult</w:t>
      </w:r>
      <w:r w:rsidR="00C462EA">
        <w:rPr>
          <w:rFonts w:ascii="Calibri" w:hAnsi="Calibri" w:cs="Calibri"/>
          <w:color w:val="000000" w:themeColor="text1"/>
          <w:lang w:val="en-US"/>
        </w:rPr>
        <w:t>s</w:t>
      </w:r>
      <w:r w:rsidR="0026352B" w:rsidRPr="00326CF9">
        <w:rPr>
          <w:rFonts w:ascii="Calibri" w:hAnsi="Calibri" w:cs="Calibri"/>
          <w:color w:val="000000" w:themeColor="text1"/>
          <w:lang w:val="en-US"/>
        </w:rPr>
        <w:t xml:space="preserve"> with TGA post atrial switch repair and in 32</w:t>
      </w:r>
      <w:r w:rsidR="0026352B">
        <w:rPr>
          <w:rFonts w:ascii="Calibri" w:hAnsi="Calibri" w:cs="Calibri"/>
          <w:color w:val="000000" w:themeColor="text1"/>
          <w:lang w:val="en-US"/>
        </w:rPr>
        <w:t>.3</w:t>
      </w:r>
      <w:r w:rsidR="0026352B" w:rsidRPr="00326CF9">
        <w:rPr>
          <w:rFonts w:ascii="Calibri" w:hAnsi="Calibri" w:cs="Calibri"/>
          <w:color w:val="000000" w:themeColor="text1"/>
          <w:lang w:val="en-US"/>
        </w:rPr>
        <w:t>% of those with ccTGA</w:t>
      </w:r>
      <w:r w:rsidR="0026352B">
        <w:rPr>
          <w:rFonts w:ascii="Calibri" w:hAnsi="Calibri" w:cs="Calibri"/>
          <w:color w:val="000000" w:themeColor="text1"/>
          <w:lang w:val="en-US"/>
        </w:rPr>
        <w:t>,</w:t>
      </w:r>
      <w:r w:rsidR="0026352B" w:rsidRPr="00326CF9">
        <w:rPr>
          <w:rFonts w:ascii="Calibri" w:hAnsi="Calibri" w:cs="Calibri"/>
          <w:color w:val="000000" w:themeColor="text1"/>
          <w:lang w:val="en-US"/>
        </w:rPr>
        <w:fldChar w:fldCharType="begin" w:fldLock="1"/>
      </w:r>
      <w:r w:rsidR="0026352B" w:rsidRPr="00326CF9">
        <w:rPr>
          <w:rFonts w:ascii="Calibri" w:hAnsi="Calibri" w:cs="Calibri"/>
          <w:color w:val="000000" w:themeColor="text1"/>
          <w:lang w:val="en-US"/>
        </w:rPr>
        <w:instrText>ADDIN CSL_CITATION {"citationItems":[{"id":"ITEM-1","itemData":{"DOI":"10.1093/eurheartj/ehv741","ISSN":"0195-668X","author":[{"dropping-particle":"","family":"Budts","given":"Werner","non-dropping-particle":"","parse-names":false,"suffix":""},{"dropping-particle":"","family":"Roos-Hesselink","given":"Jolien","non-dropping-particle":"","parse-names":false,"suffix":""},{"dropping-particle":"","family":"Rädle-Hurst","given":"Tanja","non-dropping-particle":"","parse-names":false,"suffix":""},{"dropping-particle":"","family":"Eicken","given":"Andreas","non-dropping-particle":"","parse-names":false,"suffix":""},{"dropping-particle":"","family":"McDonagh","given":"Theresa A","non-dropping-particle":"","parse-names":false,"suffix":""},{"dropping-particle":"","family":"Lambrinou","given":"Ekaterini","non-dropping-particle":"","parse-names":false,"suffix":""},{"dropping-particle":"","family":"Crespo-Leiro","given":"Maria G","non-dropping-particle":"","parse-names":false,"suffix":""},{"dropping-particle":"","family":"Walker","given":"Fiona","non-dropping-particle":"","parse-names":false,"suffix":""},{"dropping-particle":"","family":"Frogoudaki","given":"Alexandra A","non-dropping-particle":"","parse-names":false,"suffix":""}],"container-title":"European Heart Journal","id":"ITEM-1","issue":"18","issued":{"date-parts":[["2016","5","7"]]},"page":"1419-1427","title":"Treatment of heart failure in adult congenital heart disease: a position paper of the Working Group of Grown-Up Congenital Heart Disease and the Heart Failure Association of the European Society of Cardiology","type":"article-journal","volume":"37"},"uris":["http://www.mendeley.com/documents/?uuid=17630ffe-7281-4701-a80d-14c05273192f"]}],"mendeley":{"formattedCitation":"&lt;sup&gt;2&lt;/sup&gt;","plainTextFormattedCitation":"2","previouslyFormattedCitation":"&lt;sup&gt;2&lt;/sup&gt;"},"properties":{"noteIndex":0},"schema":"https://github.com/citation-style-language/schema/raw/master/csl-citation.json"}</w:instrText>
      </w:r>
      <w:r w:rsidR="0026352B" w:rsidRPr="00326CF9">
        <w:rPr>
          <w:rFonts w:ascii="Calibri" w:hAnsi="Calibri" w:cs="Calibri"/>
          <w:color w:val="000000" w:themeColor="text1"/>
          <w:lang w:val="en-US"/>
        </w:rPr>
        <w:fldChar w:fldCharType="separate"/>
      </w:r>
      <w:r w:rsidR="0026352B" w:rsidRPr="00326CF9">
        <w:rPr>
          <w:rFonts w:ascii="Calibri" w:hAnsi="Calibri" w:cs="Calibri"/>
          <w:noProof/>
          <w:color w:val="000000" w:themeColor="text1"/>
          <w:vertAlign w:val="superscript"/>
          <w:lang w:val="en-US"/>
        </w:rPr>
        <w:t>2</w:t>
      </w:r>
      <w:r w:rsidR="0026352B" w:rsidRPr="00326CF9">
        <w:rPr>
          <w:rFonts w:ascii="Calibri" w:hAnsi="Calibri" w:cs="Calibri"/>
          <w:color w:val="000000" w:themeColor="text1"/>
          <w:lang w:val="en-US"/>
        </w:rPr>
        <w:fldChar w:fldCharType="end"/>
      </w:r>
      <w:r w:rsidR="0026352B">
        <w:rPr>
          <w:rFonts w:ascii="Calibri" w:hAnsi="Calibri" w:cs="Calibri"/>
          <w:color w:val="000000" w:themeColor="text1"/>
          <w:lang w:val="en-US"/>
        </w:rPr>
        <w:t xml:space="preserve"> however this may</w:t>
      </w:r>
      <w:r w:rsidR="00C462EA">
        <w:rPr>
          <w:rFonts w:ascii="Calibri" w:hAnsi="Calibri" w:cs="Calibri"/>
          <w:color w:val="000000" w:themeColor="text1"/>
          <w:lang w:val="en-US"/>
        </w:rPr>
        <w:t xml:space="preserve"> be an</w:t>
      </w:r>
      <w:r w:rsidR="0026352B">
        <w:rPr>
          <w:rFonts w:ascii="Calibri" w:hAnsi="Calibri" w:cs="Calibri"/>
          <w:color w:val="000000" w:themeColor="text1"/>
          <w:lang w:val="en-US"/>
        </w:rPr>
        <w:t xml:space="preserve"> underestimate </w:t>
      </w:r>
      <w:r w:rsidR="00C462EA">
        <w:rPr>
          <w:rFonts w:ascii="Calibri" w:hAnsi="Calibri" w:cs="Calibri"/>
          <w:color w:val="000000" w:themeColor="text1"/>
          <w:lang w:val="en-US"/>
        </w:rPr>
        <w:t xml:space="preserve">of </w:t>
      </w:r>
      <w:r w:rsidR="0026352B">
        <w:rPr>
          <w:rFonts w:ascii="Calibri" w:hAnsi="Calibri" w:cs="Calibri"/>
          <w:color w:val="000000" w:themeColor="text1"/>
          <w:lang w:val="en-US"/>
        </w:rPr>
        <w:t xml:space="preserve">the true incidence of heart </w:t>
      </w:r>
      <w:r w:rsidR="00FB0216">
        <w:rPr>
          <w:rFonts w:ascii="Calibri" w:hAnsi="Calibri" w:cs="Calibri"/>
          <w:color w:val="000000" w:themeColor="text1"/>
          <w:lang w:val="en-US"/>
        </w:rPr>
        <w:t>failure</w:t>
      </w:r>
      <w:r w:rsidR="0026352B">
        <w:rPr>
          <w:rFonts w:ascii="Calibri" w:hAnsi="Calibri" w:cs="Calibri"/>
          <w:color w:val="000000" w:themeColor="text1"/>
          <w:lang w:val="en-US"/>
        </w:rPr>
        <w:t xml:space="preserve"> in this population</w:t>
      </w:r>
      <w:r w:rsidR="0026352B" w:rsidRPr="009857C5">
        <w:rPr>
          <w:rFonts w:ascii="Calibri" w:hAnsi="Calibri" w:cs="Calibri"/>
          <w:color w:val="000000" w:themeColor="text1"/>
          <w:lang w:val="en-US"/>
        </w:rPr>
        <w:t>,</w:t>
      </w:r>
      <w:r w:rsidR="0026352B">
        <w:rPr>
          <w:rFonts w:ascii="Calibri" w:hAnsi="Calibri" w:cs="Calibri"/>
          <w:color w:val="000000" w:themeColor="text1"/>
          <w:lang w:val="en-US"/>
        </w:rPr>
        <w:t xml:space="preserve"> posing</w:t>
      </w:r>
      <w:r w:rsidR="0026352B" w:rsidRPr="009857C5">
        <w:rPr>
          <w:rFonts w:ascii="Calibri" w:hAnsi="Calibri" w:cs="Calibri"/>
          <w:color w:val="000000" w:themeColor="text1"/>
          <w:lang w:val="en-US"/>
        </w:rPr>
        <w:t xml:space="preserve"> </w:t>
      </w:r>
      <w:r w:rsidR="00C462EA">
        <w:rPr>
          <w:rFonts w:ascii="Calibri" w:hAnsi="Calibri" w:cs="Calibri"/>
          <w:color w:val="000000" w:themeColor="text1"/>
          <w:lang w:val="en-US"/>
        </w:rPr>
        <w:t xml:space="preserve">a </w:t>
      </w:r>
      <w:r w:rsidR="0026352B" w:rsidRPr="009857C5">
        <w:rPr>
          <w:rFonts w:ascii="Calibri" w:hAnsi="Calibri" w:cs="Calibri"/>
          <w:color w:val="000000" w:themeColor="text1"/>
          <w:lang w:val="en-US"/>
        </w:rPr>
        <w:t>high</w:t>
      </w:r>
      <w:r w:rsidR="0026352B">
        <w:rPr>
          <w:rFonts w:ascii="Calibri" w:hAnsi="Calibri" w:cs="Calibri"/>
          <w:color w:val="000000" w:themeColor="text1"/>
          <w:lang w:val="en-US"/>
        </w:rPr>
        <w:t xml:space="preserve"> </w:t>
      </w:r>
      <w:r w:rsidR="0026352B" w:rsidRPr="009857C5">
        <w:rPr>
          <w:rFonts w:ascii="Calibri" w:hAnsi="Calibri" w:cs="Calibri"/>
          <w:color w:val="000000" w:themeColor="text1"/>
          <w:lang w:val="en-US"/>
        </w:rPr>
        <w:t>risk of</w:t>
      </w:r>
      <w:r w:rsidR="0026352B">
        <w:rPr>
          <w:rFonts w:ascii="Calibri" w:hAnsi="Calibri" w:cs="Calibri"/>
          <w:color w:val="000000" w:themeColor="text1"/>
          <w:lang w:val="en-US"/>
        </w:rPr>
        <w:t xml:space="preserve"> </w:t>
      </w:r>
      <w:r w:rsidR="0026352B" w:rsidRPr="009857C5">
        <w:rPr>
          <w:rFonts w:ascii="Calibri" w:hAnsi="Calibri" w:cs="Calibri"/>
          <w:color w:val="000000" w:themeColor="text1"/>
          <w:lang w:val="en-US"/>
        </w:rPr>
        <w:t xml:space="preserve">late </w:t>
      </w:r>
      <w:r w:rsidR="0026352B">
        <w:rPr>
          <w:rFonts w:ascii="Calibri" w:hAnsi="Calibri" w:cs="Calibri"/>
          <w:color w:val="000000" w:themeColor="text1"/>
          <w:lang w:val="en-US"/>
        </w:rPr>
        <w:t xml:space="preserve">diagnosis </w:t>
      </w:r>
      <w:r w:rsidR="0026352B" w:rsidRPr="009857C5">
        <w:rPr>
          <w:rFonts w:ascii="Calibri" w:hAnsi="Calibri" w:cs="Calibri"/>
          <w:color w:val="000000" w:themeColor="text1"/>
          <w:lang w:val="en-US"/>
        </w:rPr>
        <w:t xml:space="preserve">with </w:t>
      </w:r>
      <w:r w:rsidR="0026352B">
        <w:rPr>
          <w:rFonts w:ascii="Calibri" w:hAnsi="Calibri" w:cs="Calibri"/>
          <w:color w:val="000000" w:themeColor="text1"/>
          <w:lang w:val="en-US"/>
        </w:rPr>
        <w:t xml:space="preserve">limited </w:t>
      </w:r>
      <w:r w:rsidR="00C462EA">
        <w:rPr>
          <w:rFonts w:ascii="Calibri" w:hAnsi="Calibri" w:cs="Calibri"/>
          <w:color w:val="000000" w:themeColor="text1"/>
          <w:lang w:val="en-US"/>
        </w:rPr>
        <w:t>evidence for medical therapies</w:t>
      </w:r>
      <w:r w:rsidR="0026352B">
        <w:rPr>
          <w:rFonts w:ascii="Calibri" w:hAnsi="Calibri" w:cs="Calibri"/>
          <w:color w:val="000000" w:themeColor="text1"/>
          <w:lang w:val="en-US"/>
        </w:rPr>
        <w:t>.</w:t>
      </w:r>
      <w:r w:rsidR="0026352B">
        <w:rPr>
          <w:rFonts w:ascii="Calibri" w:hAnsi="Calibri" w:cs="Calibri"/>
          <w:color w:val="000000" w:themeColor="text1"/>
          <w:lang w:val="en-US"/>
        </w:rPr>
        <w:fldChar w:fldCharType="begin" w:fldLock="1"/>
      </w:r>
      <w:r w:rsidR="0026352B">
        <w:rPr>
          <w:rFonts w:ascii="Calibri" w:hAnsi="Calibri" w:cs="Calibri"/>
          <w:color w:val="000000" w:themeColor="text1"/>
          <w:lang w:val="en-US"/>
        </w:rPr>
        <w:instrText>ADDIN CSL_CITATION {"citationItems":[{"id":"ITEM-1","itemData":{"DOI":"https://doi.org/10.1016/j.jchf.2019.08.012","ISSN":"2213-1779","abstract":"As a result of improvements in care for patients with congenital heart disease (CHD), &gt;90% of children born with CHD are expected to survive to adulthood. For those adults, heart failure (HF) is the leading cause of death. Advances in recognition of, and treatments for, these patients continue to improve. Specifically, adults with CHD are candidates for both heart transplantation and mechanical circulatory support. However, challenges remain that require investigation to improve outcomes.","author":[{"dropping-particle":"","family":"Menachem","given":"Jonathan N","non-dropping-particle":"","parse-names":false,"suffix":""},{"dropping-particle":"","family":"Schlendorf","given":"Kelly H","non-dropping-particle":"","parse-names":false,"suffix":""},{"dropping-particle":"","family":"Mazurek","given":"Jeremy A","non-dropping-particle":"","parse-names":false,"suffix":""},{"dropping-particle":"","family":"Bichell","given":"David P","non-dropping-particle":"","parse-names":false,"suffix":""},{"dropping-particle":"","family":"Brinkley","given":"D Marshall","non-dropping-particle":"","parse-names":false,"suffix":""},{"dropping-particle":"","family":"Frischhertz","given":"Benjamin P","non-dropping-particle":"","parse-names":false,"suffix":""},{"dropping-particle":"","family":"Mettler","given":"Bret A","non-dropping-particle":"","parse-names":false,"suffix":""},{"dropping-particle":"","family":"Shah","given":"Ashish S","non-dropping-particle":"","parse-names":false,"suffix":""},{"dropping-particle":"","family":"Zalawadiya","given":"Sandip","non-dropping-particle":"","parse-names":false,"suffix":""},{"dropping-particle":"","family":"Book","given":"Wendy","non-dropping-particle":"","parse-names":false,"suffix":""},{"dropping-particle":"","family":"Lindenfeld","given":"JoAnn","non-dropping-particle":"","parse-names":false,"suffix":""}],"container-title":"JACC: Heart Failure","id":"ITEM-1","issue":"2","issued":{"date-parts":[["2020"]]},"page":"87-99","title":"Advanced Heart Failure in Adults With Congenital Heart Disease","type":"article-journal","volume":"8"},"uris":["http://www.mendeley.com/documents/?uuid=999014a4-904d-41f0-aace-3b9ca8016f9a"]}],"mendeley":{"formattedCitation":"&lt;sup&gt;3&lt;/sup&gt;","plainTextFormattedCitation":"3","previouslyFormattedCitation":"&lt;sup&gt;3&lt;/sup&gt;"},"properties":{"noteIndex":0},"schema":"https://github.com/citation-style-language/schema/raw/master/csl-citation.json"}</w:instrText>
      </w:r>
      <w:r w:rsidR="0026352B">
        <w:rPr>
          <w:rFonts w:ascii="Calibri" w:hAnsi="Calibri" w:cs="Calibri"/>
          <w:color w:val="000000" w:themeColor="text1"/>
          <w:lang w:val="en-US"/>
        </w:rPr>
        <w:fldChar w:fldCharType="separate"/>
      </w:r>
      <w:r w:rsidR="0026352B" w:rsidRPr="009857C5">
        <w:rPr>
          <w:rFonts w:ascii="Calibri" w:hAnsi="Calibri" w:cs="Calibri"/>
          <w:noProof/>
          <w:color w:val="000000" w:themeColor="text1"/>
          <w:vertAlign w:val="superscript"/>
          <w:lang w:val="en-US"/>
        </w:rPr>
        <w:t>3</w:t>
      </w:r>
      <w:r w:rsidR="0026352B">
        <w:rPr>
          <w:rFonts w:ascii="Calibri" w:hAnsi="Calibri" w:cs="Calibri"/>
          <w:color w:val="000000" w:themeColor="text1"/>
          <w:lang w:val="en-US"/>
        </w:rPr>
        <w:fldChar w:fldCharType="end"/>
      </w:r>
      <w:r w:rsidR="0026352B">
        <w:rPr>
          <w:rFonts w:ascii="Calibri" w:hAnsi="Calibri" w:cs="Calibri"/>
          <w:color w:val="000000" w:themeColor="text1"/>
          <w:lang w:val="en-US"/>
        </w:rPr>
        <w:t xml:space="preserve"> </w:t>
      </w:r>
      <w:r w:rsidR="00C462EA">
        <w:rPr>
          <w:rFonts w:ascii="Calibri" w:hAnsi="Calibri" w:cs="Calibri"/>
          <w:color w:val="000000" w:themeColor="text1"/>
          <w:lang w:val="en-US"/>
        </w:rPr>
        <w:t>T</w:t>
      </w:r>
      <w:r w:rsidR="0026352B">
        <w:rPr>
          <w:rFonts w:ascii="Calibri" w:hAnsi="Calibri" w:cs="Calibri"/>
          <w:color w:val="000000" w:themeColor="text1"/>
          <w:lang w:val="en-US"/>
        </w:rPr>
        <w:t>imely risk stratification</w:t>
      </w:r>
      <w:r w:rsidR="00C462EA">
        <w:rPr>
          <w:rFonts w:ascii="Calibri" w:hAnsi="Calibri" w:cs="Calibri"/>
          <w:color w:val="000000" w:themeColor="text1"/>
          <w:lang w:val="en-US"/>
        </w:rPr>
        <w:t>, including by echocardiography,</w:t>
      </w:r>
      <w:r w:rsidR="0026352B">
        <w:rPr>
          <w:rFonts w:ascii="Calibri" w:hAnsi="Calibri" w:cs="Calibri"/>
          <w:color w:val="000000" w:themeColor="text1"/>
          <w:lang w:val="en-US"/>
        </w:rPr>
        <w:t xml:space="preserve"> </w:t>
      </w:r>
      <w:r w:rsidR="00C462EA">
        <w:rPr>
          <w:rFonts w:ascii="Calibri" w:hAnsi="Calibri" w:cs="Calibri"/>
          <w:color w:val="000000" w:themeColor="text1"/>
          <w:lang w:val="en-US"/>
        </w:rPr>
        <w:t>is thus</w:t>
      </w:r>
      <w:r w:rsidR="0026352B">
        <w:rPr>
          <w:rFonts w:ascii="Calibri" w:hAnsi="Calibri" w:cs="Calibri"/>
          <w:color w:val="000000" w:themeColor="text1"/>
          <w:lang w:val="en-US"/>
        </w:rPr>
        <w:t xml:space="preserve"> vitally important.</w:t>
      </w:r>
    </w:p>
    <w:p w14:paraId="7573FE03" w14:textId="68D16BAA" w:rsidR="00AF08C0" w:rsidRPr="008A6DCF" w:rsidRDefault="00C462EA" w:rsidP="00C462EA">
      <w:pPr>
        <w:widowControl w:val="0"/>
        <w:tabs>
          <w:tab w:val="left" w:pos="90"/>
        </w:tabs>
        <w:autoSpaceDE w:val="0"/>
        <w:autoSpaceDN w:val="0"/>
        <w:adjustRightInd w:val="0"/>
        <w:spacing w:line="480" w:lineRule="auto"/>
        <w:ind w:firstLine="851"/>
        <w:jc w:val="both"/>
        <w:rPr>
          <w:rFonts w:ascii="Calibri" w:hAnsi="Calibri" w:cs="Calibri"/>
          <w:color w:val="000000" w:themeColor="text1"/>
          <w:lang w:val="en-US"/>
        </w:rPr>
      </w:pPr>
      <w:r>
        <w:rPr>
          <w:rFonts w:ascii="Calibri" w:hAnsi="Calibri" w:cs="Calibri"/>
          <w:color w:val="000000" w:themeColor="text1"/>
          <w:lang w:val="en-US"/>
        </w:rPr>
        <w:t>While s</w:t>
      </w:r>
      <w:r w:rsidRPr="00326CF9">
        <w:rPr>
          <w:rFonts w:ascii="Calibri" w:hAnsi="Calibri" w:cs="Calibri"/>
          <w:color w:val="000000" w:themeColor="text1"/>
          <w:lang w:val="en-US"/>
        </w:rPr>
        <w:t xml:space="preserve">ystolic </w:t>
      </w:r>
      <w:r w:rsidR="00590B80" w:rsidRPr="00326CF9">
        <w:rPr>
          <w:rFonts w:ascii="Calibri" w:hAnsi="Calibri" w:cs="Calibri"/>
          <w:color w:val="000000" w:themeColor="text1"/>
          <w:lang w:val="en-US"/>
        </w:rPr>
        <w:t>dys</w:t>
      </w:r>
      <w:r w:rsidR="00AF08C0" w:rsidRPr="00326CF9">
        <w:rPr>
          <w:rFonts w:ascii="Calibri" w:hAnsi="Calibri" w:cs="Calibri"/>
          <w:color w:val="000000" w:themeColor="text1"/>
          <w:lang w:val="en-US"/>
        </w:rPr>
        <w:t xml:space="preserve">function of </w:t>
      </w:r>
      <w:r w:rsidR="00590B80" w:rsidRPr="00326CF9">
        <w:rPr>
          <w:rFonts w:ascii="Calibri" w:hAnsi="Calibri" w:cs="Calibri"/>
          <w:color w:val="000000" w:themeColor="text1"/>
          <w:lang w:val="en-US"/>
        </w:rPr>
        <w:t>the systemic right ventricle (</w:t>
      </w:r>
      <w:r w:rsidR="00AF08C0" w:rsidRPr="00326CF9">
        <w:rPr>
          <w:rFonts w:ascii="Calibri" w:hAnsi="Calibri" w:cs="Calibri"/>
          <w:color w:val="000000" w:themeColor="text1"/>
          <w:lang w:val="en-US"/>
        </w:rPr>
        <w:t>SRV</w:t>
      </w:r>
      <w:r w:rsidR="00590B80" w:rsidRPr="00326CF9">
        <w:rPr>
          <w:rFonts w:ascii="Calibri" w:hAnsi="Calibri" w:cs="Calibri"/>
          <w:color w:val="000000" w:themeColor="text1"/>
          <w:lang w:val="en-US"/>
        </w:rPr>
        <w:t>)</w:t>
      </w:r>
      <w:r w:rsidR="0074690A" w:rsidRPr="00326CF9">
        <w:rPr>
          <w:rFonts w:ascii="Calibri" w:hAnsi="Calibri" w:cs="Calibri"/>
          <w:color w:val="000000" w:themeColor="text1"/>
          <w:lang w:val="en-US"/>
        </w:rPr>
        <w:t xml:space="preserve"> </w:t>
      </w:r>
      <w:r w:rsidR="00AF08C0" w:rsidRPr="00326CF9">
        <w:rPr>
          <w:rFonts w:ascii="Calibri" w:hAnsi="Calibri" w:cs="Calibri"/>
          <w:color w:val="000000" w:themeColor="text1"/>
          <w:lang w:val="en-US"/>
        </w:rPr>
        <w:t xml:space="preserve">is </w:t>
      </w:r>
      <w:r w:rsidR="00842383" w:rsidRPr="00326CF9">
        <w:rPr>
          <w:rFonts w:ascii="Calibri" w:hAnsi="Calibri" w:cs="Calibri"/>
          <w:color w:val="000000" w:themeColor="text1"/>
          <w:lang w:val="en-US"/>
        </w:rPr>
        <w:t xml:space="preserve">frequent </w:t>
      </w:r>
      <w:r>
        <w:rPr>
          <w:rFonts w:ascii="Calibri" w:hAnsi="Calibri" w:cs="Calibri"/>
          <w:color w:val="000000" w:themeColor="text1"/>
          <w:lang w:val="en-US"/>
        </w:rPr>
        <w:t>and a</w:t>
      </w:r>
      <w:r w:rsidR="00590B80" w:rsidRPr="00326CF9">
        <w:rPr>
          <w:rFonts w:ascii="Calibri" w:hAnsi="Calibri" w:cs="Calibri"/>
          <w:color w:val="000000" w:themeColor="text1"/>
          <w:lang w:val="en-US"/>
        </w:rPr>
        <w:t xml:space="preserve"> well</w:t>
      </w:r>
      <w:r w:rsidR="009A3157" w:rsidRPr="00326CF9">
        <w:rPr>
          <w:rFonts w:ascii="Calibri" w:hAnsi="Calibri" w:cs="Calibri"/>
          <w:color w:val="000000" w:themeColor="text1"/>
          <w:lang w:val="en-US"/>
        </w:rPr>
        <w:t>-</w:t>
      </w:r>
      <w:r w:rsidR="00590B80" w:rsidRPr="00326CF9">
        <w:rPr>
          <w:rFonts w:ascii="Calibri" w:hAnsi="Calibri" w:cs="Calibri"/>
          <w:color w:val="000000" w:themeColor="text1"/>
          <w:lang w:val="en-US"/>
        </w:rPr>
        <w:t>recognized</w:t>
      </w:r>
      <w:r w:rsidR="00AF08C0" w:rsidRPr="00326CF9">
        <w:rPr>
          <w:rFonts w:ascii="Calibri" w:hAnsi="Calibri" w:cs="Calibri"/>
          <w:color w:val="000000" w:themeColor="text1"/>
          <w:lang w:val="en-US"/>
        </w:rPr>
        <w:t xml:space="preserve"> </w:t>
      </w:r>
      <w:r>
        <w:rPr>
          <w:rFonts w:ascii="Calibri" w:hAnsi="Calibri" w:cs="Calibri"/>
          <w:color w:val="000000" w:themeColor="text1"/>
          <w:lang w:val="en-US"/>
        </w:rPr>
        <w:t>prognostic marker of</w:t>
      </w:r>
      <w:r w:rsidR="009A3157" w:rsidRPr="00326CF9">
        <w:rPr>
          <w:rFonts w:ascii="Calibri" w:hAnsi="Calibri" w:cs="Calibri"/>
          <w:color w:val="000000" w:themeColor="text1"/>
        </w:rPr>
        <w:t xml:space="preserve"> </w:t>
      </w:r>
      <w:r w:rsidR="009A3157" w:rsidRPr="00326CF9">
        <w:rPr>
          <w:rFonts w:ascii="Calibri" w:hAnsi="Calibri" w:cs="Calibri"/>
          <w:color w:val="000000" w:themeColor="text1"/>
          <w:lang w:val="en-US"/>
        </w:rPr>
        <w:t>mortality</w:t>
      </w:r>
      <w:r>
        <w:rPr>
          <w:rFonts w:ascii="Calibri" w:hAnsi="Calibri" w:cs="Calibri"/>
          <w:color w:val="000000" w:themeColor="text1"/>
          <w:lang w:val="en-US"/>
        </w:rPr>
        <w:t>, need for</w:t>
      </w:r>
      <w:r w:rsidR="009A3157" w:rsidRPr="00326CF9">
        <w:rPr>
          <w:rFonts w:ascii="Calibri" w:hAnsi="Calibri" w:cs="Calibri"/>
          <w:color w:val="000000" w:themeColor="text1"/>
          <w:lang w:val="en-US"/>
        </w:rPr>
        <w:t xml:space="preserve"> heart transplantation</w:t>
      </w:r>
      <w:r w:rsidR="00876DAF" w:rsidRPr="00326CF9">
        <w:rPr>
          <w:rFonts w:ascii="Calibri" w:hAnsi="Calibri" w:cs="Calibri"/>
          <w:color w:val="000000" w:themeColor="text1"/>
          <w:lang w:val="en-US"/>
        </w:rPr>
        <w:t>,</w:t>
      </w:r>
      <w:r w:rsidR="009A3157" w:rsidRPr="00326CF9">
        <w:rPr>
          <w:rFonts w:ascii="Calibri" w:hAnsi="Calibri" w:cs="Calibri"/>
          <w:color w:val="000000" w:themeColor="text1"/>
          <w:lang w:val="en-US"/>
        </w:rPr>
        <w:fldChar w:fldCharType="begin" w:fldLock="1"/>
      </w:r>
      <w:r w:rsidR="007E12C6">
        <w:rPr>
          <w:rFonts w:ascii="Calibri" w:hAnsi="Calibri" w:cs="Calibri"/>
          <w:color w:val="000000" w:themeColor="text1"/>
          <w:lang w:val="en-US"/>
        </w:rPr>
        <w:instrText>ADDIN CSL_CITATION {"citationItems":[{"id":"ITEM-1","itemData":{"DOI":"10.1016/j.ahj.2012.01.038","ISSN":"1097-6744 (Electronic)","PMID":"22607865","abstract":"BACKGROUND: Transposition of the great arteries (TGA) after atrial switch operation and congenitally corrected TGA (ccTGA) are commonly associated with impaired systemic right ventricular (RV) function and impaired prognosis. We aimed to investigate the value of indices of myocardial deformation on speckle-tracking echocardiography for quantifying ventricular function and their potential role in assessing ventricular-ventricular interaction and outcome in patients with a systemic RV. METHODS AND RESULTS: A total of 129 patients (87 with TGA and atrial switch and 42 with ccTGA, 71 men, age 35 +/- 12 years) were investigated, and biventricular myocardial deformation was compared with findings in healthy subjects (n = 38, age 36 +/- 10 years). Systemic ventricular longitudinal 2-dimensional (2D) peak systolic strain (RV 2D-LS) was significantly reduced compared with controls (-12.9 +/- 3.6 and -15.4 +/- 5.1 vs -21.0 +/- 5.5 in TGAs, ccTGAs, and controls, P &lt; .0001). Systemic and pulmonary 2D-LS were correlated in patients with TGA (r = 0.46, P &lt; .0001) and ccTGA (r = 0.64, P &lt; .0001), suggesting interventricular interaction, and this was confirmed when ejection fraction on magnetic resonance imaging was assessed (r = 0.53, P &lt; .0001). More importantly, systemic 2D-LS (hazard ratio 1.31, P = .01) was related to adverse clinical outcome (symptomatic progression to New York Heart Association class &gt;/=3, clinically relevant cardiac arrhythmia, or death) in patients with TGA and atrial switch independently of ejection fraction on cardiac magnetic resonance imaging, history of clinically relevant arrhythmia, or functional class. CONCLUSIONS: Global longitudinal systolic strain is significantly reduced in patients with a systemic RV, is related to subpulmonary ventricular function, and predicts adverse clinical outcome in adults with atrial switch TGA.","author":[{"dropping-particle":"","family":"Diller","given":"Gerhard-Paul","non-dropping-particle":"","parse-names":false,"suffix":""},{"dropping-particle":"","family":"Radojevic","given":"Jelena","non-dropping-particle":"","parse-names":false,"suffix":""},{"dropping-particle":"","family":"Kempny","given":"Aleksander","non-dropping-particle":"","parse-names":false,"suffix":""},{"dropping-particle":"","family":"Alonso-Gonzalez","given":"Rafael","non-dropping-particle":"","parse-names":false,"suffix":""},{"dropping-particle":"","family":"Emmanouil","given":"Liodakis","non-dropping-particle":"","parse-names":false,"suffix":""},{"dropping-particle":"","family":"Orwat","given":"Stefan","non-dropping-particle":"","parse-names":false,"suffix":""},{"dropping-particle":"","family":"Swan","given":"Lorna","non-dropping-particle":"","parse-names":false,"suffix":""},{"dropping-particle":"","family":"Uebing","given":"Anselm","non-dropping-particle":"","parse-names":false,"suffix":""},{"dropping-particle":"","family":"Li","given":"Wei","non-dropping-particle":"","parse-names":false,"suffix":""},{"dropping-particle":"","family":"Dimopoulos","given":"Konstantinos","non-dropping-particle":"","parse-names":false,"suffix":""},{"dropping-particle":"","family":"Gatzoulis","given":"Michael A","non-dropping-particle":"","parse-names":false,"suffix":""},{"dropping-particle":"","family":"Baumgartner","given":"Helmut","non-dropping-particle":"","parse-names":false,"suffix":""}],"container-title":"American heart journal","id":"ITEM-1","issue":"5","issued":{"date-parts":[["2012","5"]]},"language":"eng","page":"859-866","publisher-place":"United States","title":"Systemic right ventricular longitudinal strain is reduced in adults with transposition of the great arteries, relates to subpulmonary ventricular function, and predicts adverse clinical outcome.","type":"article-journal","volume":"163"},"uris":["http://www.mendeley.com/documents/?uuid=b6e0fbc1-c1af-424b-85e9-8ed0e2d952f0"]},{"id":"ITEM-2","itemData":{"DOI":"10.1016/j.echo.2011.12.003","ISSN":"1097-6795 (Electronic)","PMID":"22196884","abstract":"BACKGROUND: The prognostic value of deformation parameters of the systemic right  ventricle in adults with D-transposition of the great arteries and prior atrial switch has not been reported. METHODS: Sixty-four adults with D-transposition of the great arteries and prior atrial switch (mean age, 29 +/- 6 years; 22 women; mean right ventricular [RV] fractional area change, 22.9 +/- 7.5%; 31 with pacemakers at baseline) and no histories of heart failure or ventricular tachycardia were prospectively evaluated. Global longitudinal strain (GS), global systolic strain rate (GSRs), and global early diastolic strain rate (GSRe) of the right ventricle were measured using speckle tracking from apical views and compared with standard parameters of RV function (fractional area change, tricuspid annular plane systolic excursion, tissue Doppler velocities, and isovolumic acceleration) for association with and potential prediction of clinical events, defined as incident stage C heart failure or ventricular tachycardia. RESULTS: Baseline RV GS, GSRs, and GSRe were -12.5 +/- 3.0%, -0.59 +/- 0.14 sec(-1), and 0.68 +/- 0.22 sec(-1), respectively. After a median of 2.4 years (interquartile range, 1.5-4.1 years), 12 patients (19%) presented with clinical events (heart failure in 11 patients, ventricular tachycardia in one patient). In Cox models, RV GS had the strongest association with clinical events (hazard ratio [HR] per 1%, 1.35; 95% confidence interval [CI], 1.14-1.58; P &lt; .001), followed by GSRs (HR per 0.01 sec(-1), 1.06; 95% CI, 1.02-1.11; P = .006), GSRe (HR per -0.01 sec(-1), 1.04; 95% CI, 1.00-1.07; P = .031), and fractional area change (HR per -1%, 1.08; 95% CI, 1.00-1.17; P = .047). Other measures of RV function were not significantly associated with risk for events. In receiver operating characteristic analysis, RV GS &gt;/= -10% optimally predicted future events (C = 0.83; 95% CI, 0.71-0.91; P &lt; .001). CONCLUSIONS: Reduced longitudinal GS of the systemic right ventricle is associated with increased risk for clinical events among patients with D-transposition of the great arteries and prior atrial switch.","author":[{"dropping-particle":"","family":"Kalogeropoulos","given":"Andreas P","non-dropping-particle":"","parse-names":false,"suffix":""},{"dropping-particle":"","family":"Deka","given":"Anjan","non-dropping-particle":"","parse-names":false,"suffix":""},{"dropping-particle":"","family":"Border","given":"William","non-dropping-particle":"","parse-names":false,"suffix":""},{"dropping-particle":"","family":"Pernetz","given":"Maria A","non-dropping-particle":"","parse-names":false,"suffix":""},{"dropping-particle":"V","family":"Georgiopoulou","given":"Vasiliki","non-dropping-particle":"","parse-names":false,"suffix":""},{"dropping-particle":"","family":"Kiani","given":"Jawad","non-dropping-particle":"","parse-names":false,"suffix":""},{"dropping-particle":"","family":"McConnell","given":"Michael","non-dropping-particle":"","parse-names":false,"suffix":""},{"dropping-particle":"","family":"Lerakis","given":"Stamatios","non-dropping-particle":"","parse-names":false,"suffix":""},{"dropping-particle":"","family":"Butler","given":"Javed","non-dropping-particle":"","parse-names":false,"suffix":""},{"dropping-particle":"","family":"Martin","given":"Randolph P","non-dropping-particle":"","parse-names":false,"suffix":""},{"dropping-particle":"","family":"Book","given":"Wendy M","non-dropping-particle":"","parse-names":false,"suffix":""}],"container-title":"Journal of the American Society of Echocardiography : official publication of the American Society of Echocardiography","id":"ITEM-2","issue":"3","issued":{"date-parts":[["2012","3"]]},"language":"eng","page":"304-312","publisher-place":"United States","title":"Right ventricular function with standard and speckle-tracking echocardiography and clinical events in adults with D-transposition of the great arteries post atrial switch.","type":"article-journal","volume":"25"},"uris":["http://www.mendeley.com/documents/?uuid=18a436a5-b4fd-4124-b7d5-9507d3fb6693"]},{"id":"ITEM-3","itemData":{"DOI":"10.1016/j.jacc.2022.06.020","ISSN":"15583597","PMID":"36049802","abstract":"Background: For patients with d-loop transposition of the great arteries (d-TGA) with a systemic right ventricle after an atrial switch operation, there is a need to identify risks for end-stage heart failure outcomes. Objectives: The authors aimed to determine factors associated with survival in a large cohort of such individuals. Methods: This multicenter, retrospective cohort study included adults with d-TGA and prior atrial switch surgery seen at a congenital heart center. Clinical data from initial and most recent visits were obtained. The composite primary outcome was death, transplantation, or mechanical circulatory support (MCS). Results: From 1,168 patients (38% female, age at first visit 29 ± 7.2 years) during a median 9.2 years of follow-up, 91 (8.8% per 10 person-years) met the outcome (66 deaths, 19 transplantations, 6 MCS). Patients experiencing sudden/arrhythmic death were younger than those dying of other causes (32.6 ± 6.4 years vs 42.4 ± 6.8 years; P &lt; 0.001). There was a long duration between sentinel clinical events and end-stage heart failure. Age, atrial arrhythmia, pacemaker, biventricular enlargement, systolic dysfunction, and tricuspid regurgitation were all associated with the primary outcome. Independent 5-year predictors of primary outcome were prior ventricular arrhythmia, heart failure admission, complex anatomy, QRS duration &gt;120 ms, and severe right ventricle dysfunction based on echocardiography. Conclusions: For most adults with d-TGA after atrial switch, progress to end-stage heart failure or death is slow. A simplified prediction score for 5-year adverse outcome is derived to help identify those at greatest risk.","author":[{"dropping-particle":"","family":"Broberg","given":"Craig S.","non-dropping-particle":"","parse-names":false,"suffix":""},{"dropping-particle":"","family":"Dissel","given":"Alexandra","non-dropping-particle":"van","parse-names":false,"suffix":""},{"dropping-particle":"","family":"Minnier","given":"Jessica","non-dropping-particle":"","parse-names":false,"suffix":""},{"dropping-particle":"","family":"Aboulhosn","given":"Jamil","non-dropping-particle":"","parse-names":false,"suffix":""},{"dropping-particle":"","family":"Kauling","given":"Robert M.","non-dropping-particle":"","parse-names":false,"suffix":""},{"dropping-particle":"","family":"Ginde","given":"Salil","non-dropping-particle":"","parse-names":false,"suffix":""},{"dropping-particle":"V.","family":"Krieger","given":"Eric","non-dropping-particle":"","parse-names":false,"suffix":""},{"dropping-particle":"","family":"Rodriguez","given":"Fred","non-dropping-particle":"","parse-names":false,"suffix":""},{"dropping-particle":"","family":"Gupta","given":"Tripti","non-dropping-particle":"","parse-names":false,"suffix":""},{"dropping-particle":"","family":"Shah","given":"Sangeeta","non-dropping-particle":"","parse-names":false,"suffix":""},{"dropping-particle":"","family":"John","given":"Anitha S.","non-dropping-particle":"","parse-names":false,"suffix":""},{"dropping-particle":"","family":"Cotts","given":"Timothy","non-dropping-particle":"","parse-names":false,"suffix":""},{"dropping-particle":"","family":"Kay","given":"W. Aaron","non-dropping-particle":"","parse-names":false,"suffix":""},{"dropping-particle":"","family":"Kuo","given":"Marissa","non-dropping-particle":"","parse-names":false,"suffix":""},{"dropping-particle":"","family":"Dwight","given":"Cindy","non-dropping-particle":"","parse-names":false,"suffix":""},{"dropping-particle":"","family":"Woods","given":"Patricia","non-dropping-particle":"","parse-names":false,"suffix":""},{"dropping-particle":"","family":"Nicolarsen","given":"Jeremy","non-dropping-particle":"","parse-names":false,"suffix":""},{"dropping-particle":"","family":"Sarubbi","given":"Berardo","non-dropping-particle":"","parse-names":false,"suffix":""},{"dropping-particle":"","family":"Fusco","given":"Flavia","non-dropping-particle":"","parse-names":false,"suffix":""},{"dropping-particle":"","family":"Antonova","given":"Petra","non-dropping-particle":"","parse-names":false,"suffix":""},{"dropping-particle":"","family":"Fernandes","given":"Susan","non-dropping-particle":"","parse-names":false,"suffix":""},{"dropping-particle":"","family":"Grewal","given":"Jasmine","non-dropping-particle":"","parse-names":false,"suffix":""},{"dropping-particle":"","family":"Cramer","given":"Jonathan","non-dropping-particle":"","parse-names":false,"suffix":""},{"dropping-particle":"","family":"Khairy","given":"Paul","non-dropping-particle":"","parse-names":false,"suffix":""},{"dropping-particle":"","family":"Gallego","given":"Pastora","non-dropping-particle":"","parse-names":false,"suffix":""},{"dropping-particle":"","family":"O'Donnell","given":"Clare","non-dropping-particle":"","parse-names":false,"suffix":""},{"dropping-particle":"","family":"Hannah","given":"Jane","non-dropping-particle":"","parse-names":false,"suffix":""},{"dropping-particle":"","family":"Dellborg","given":"Mikael","non-dropping-particle":"","parse-names":false,"suffix":""},{"dropping-particle":"","family":"Rodriguez-Monserrate","given":"Carla P.","non-dropping-particle":"","parse-names":false,"suffix":""},{"dropping-particle":"","family":"Muhll","given":"Isabelle Vonder","non-dropping-particle":"","parse-names":false,"suffix":""},{"dropping-particle":"","family":"Pylypchuk","given":"Stephen","non-dropping-particle":"","parse-names":false,"suffix":""},{"dropping-particle":"","family":"Magalski","given":"Anthony","non-dropping-particle":"","parse-names":false,"suffix":""},{"dropping-particle":"","family":"Han","given":"Frank","non-dropping-particle":"","parse-names":false,"suffix":""},{"dropping-particle":"","family":"Lubert","given":"Adam M.","non-dropping-particle":"","parse-names":false,"suffix":""},{"dropping-particle":"","family":"Kay","given":"Joseph","non-dropping-particle":"","parse-names":false,"suffix":""},{"dropping-particle":"","family":"Yeung","given":"Elizabeth","non-dropping-particle":"","parse-names":false,"suffix":""},{"dropping-particle":"","family":"Roos-Hesselink","given":"Jolien","non-dropping-particle":"","parse-names":false,"suffix":""},{"dropping-particle":"","family":"Baker","given":"David","non-dropping-particle":"","parse-names":false,"suffix":""},{"dropping-particle":"","family":"Celermajer","given":"David S.","non-dropping-particle":"","parse-names":false,"suffix":""},{"dropping-particle":"","family":"Burchill","given":"Luke J.","non-dropping-particle":"","parse-names":false,"suffix":""},{"dropping-particle":"","family":"Wilson","given":"William M.","non-dropping-particle":"","parse-names":false,"suffix":""},{"dropping-particle":"","family":"Wong","given":"Joshua","non-dropping-particle":"","parse-names":false,"suffix":""},{"dropping-particle":"","family":"Kutty","given":"Shelby","non-dropping-particle":"","parse-names":false,"suffix":""},{"dropping-particle":"","family":"Opotowsky","given":"Alexander R.","non-dropping-particle":"","parse-names":false,"suffix":""}],"container-title":"Journal of the American College of Cardiology","id":"ITEM-3","issue":"10","issued":{"date-parts":[["2022"]]},"page":"951-963","title":"Long-Term Outcomes After Atrial Switch Operation for Transposition of the Great Arteries","type":"article-journal","volume":"80"},"uris":["http://www.mendeley.com/documents/?uuid=3d0264fc-2daf-4b38-a8df-2110eeda7401"]}],"mendeley":{"formattedCitation":"&lt;sup&gt;4–6&lt;/sup&gt;","plainTextFormattedCitation":"4–6","previouslyFormattedCitation":"&lt;sup&gt;4–6&lt;/sup&gt;"},"properties":{"noteIndex":0},"schema":"https://github.com/citation-style-language/schema/raw/master/csl-citation.json"}</w:instrText>
      </w:r>
      <w:r w:rsidR="009A3157" w:rsidRPr="00326CF9">
        <w:rPr>
          <w:rFonts w:ascii="Calibri" w:hAnsi="Calibri" w:cs="Calibri"/>
          <w:color w:val="000000" w:themeColor="text1"/>
          <w:lang w:val="en-US"/>
        </w:rPr>
        <w:fldChar w:fldCharType="separate"/>
      </w:r>
      <w:r w:rsidR="009857C5" w:rsidRPr="009857C5">
        <w:rPr>
          <w:rFonts w:ascii="Calibri" w:hAnsi="Calibri" w:cs="Calibri"/>
          <w:noProof/>
          <w:color w:val="000000" w:themeColor="text1"/>
          <w:vertAlign w:val="superscript"/>
          <w:lang w:val="en-US"/>
        </w:rPr>
        <w:t>4–6</w:t>
      </w:r>
      <w:r w:rsidR="009A3157" w:rsidRPr="00326CF9">
        <w:rPr>
          <w:rFonts w:ascii="Calibri" w:hAnsi="Calibri" w:cs="Calibri"/>
          <w:color w:val="000000" w:themeColor="text1"/>
          <w:lang w:val="en-US"/>
        </w:rPr>
        <w:fldChar w:fldCharType="end"/>
      </w:r>
      <w:r w:rsidR="009A3157" w:rsidRPr="00326CF9">
        <w:rPr>
          <w:rFonts w:ascii="Calibri" w:hAnsi="Calibri" w:cs="Calibri"/>
          <w:color w:val="000000" w:themeColor="text1"/>
        </w:rPr>
        <w:t xml:space="preserve"> major arrhythmias</w:t>
      </w:r>
      <w:r w:rsidR="00876DAF" w:rsidRPr="00326CF9">
        <w:rPr>
          <w:rFonts w:ascii="Calibri" w:hAnsi="Calibri" w:cs="Calibri"/>
          <w:color w:val="000000" w:themeColor="text1"/>
        </w:rPr>
        <w:t>,</w:t>
      </w:r>
      <w:r w:rsidR="009A3157" w:rsidRPr="00326CF9">
        <w:rPr>
          <w:rFonts w:ascii="Calibri" w:hAnsi="Calibri" w:cs="Calibri"/>
          <w:color w:val="000000" w:themeColor="text1"/>
        </w:rPr>
        <w:fldChar w:fldCharType="begin" w:fldLock="1"/>
      </w:r>
      <w:r w:rsidR="007E12C6">
        <w:rPr>
          <w:rFonts w:ascii="Calibri" w:hAnsi="Calibri" w:cs="Calibri"/>
          <w:color w:val="000000" w:themeColor="text1"/>
        </w:rPr>
        <w:instrText>ADDIN CSL_CITATION {"citationItems":[{"id":"ITEM-1","itemData":{"DOI":"10.1093/eurheartj/ehac288","ISSN":"15229645","PMID":"35673927","abstract":"AIMS: To investigate the incidence of major adverse ventricular arrhythmias and related events (MAREs) and to develop a stratification tool predicting MAREs in adults with a systemic right ventricle (sRV). METHODS AND RESULTS: In a multicentre approach, all adults (≥16 years old) with a sRV undergoing follow-up between 2000 and 2018 were identified. The incidence of MAREs, defined as sudden cardiac death, sustained ventricular tachycardia, and appropriate implantable cardioverter-defibrillator (ICD) therapy, was analysed. The association of MAREs with clinical, electrical, and echocardiographic parameters was evaluated. A total of 1184 patients (median age 27.1 years; interquartile range 19.9-34.9 years; 59% male; 70% with atrial switch repair for D-transposition of the great arteries) were included. The incidence of MAREs was 6.3 per 1000 patient-years. On multivariate analysis, age, history of heart failure, syncope, QRS duration, severe sRV dysfunction and at least moderate left ventricular outflow tract obstruction were retained in the final model with a C-index of 0.78 [95% confidence interval (CI) 0.72-0.83] and a calibration slope of 0.93 (95% CI 0.64-1.21). For every five ICDs implanted in patients with a 5-year MARE risk &gt;10%, one patient may potentially be spared from a MARE. CONCLUSION: Sudden cardiac death remains a devastating cause of death in a contemporary adult cohort with a sRV. A prediction model based on clinical, electrocardiographic, and echocardiographic parameters was devised to estimate MARE risk and to identify high-risk patients who may benefit from primary prevention ICD implantation.","author":[{"dropping-particle":"","family":"Ladouceur","given":"Magalie","non-dropping-particle":"","parse-names":false,"suffix":""},{"dropping-particle":"","family":"Bruaene","given":"Alexander","non-dropping-particle":"Van De","parse-names":false,"suffix":""},{"dropping-particle":"","family":"Kauling","given":"Robert","non-dropping-particle":"","parse-names":false,"suffix":""},{"dropping-particle":"","family":"Budts","given":"Werner","non-dropping-particle":"","parse-names":false,"suffix":""},{"dropping-particle":"","family":"Roos-Hesselink","given":"Jolien","non-dropping-particle":"","parse-names":false,"suffix":""},{"dropping-particle":"","family":"Albert","given":"Sandra Villagrá","non-dropping-particle":"","parse-names":false,"suffix":""},{"dropping-particle":"","family":"Perez","given":"Inmaculada Sanchez","non-dropping-particle":"","parse-names":false,"suffix":""},{"dropping-particle":"","family":"Sarubbi","given":"Berardo","non-dropping-particle":"","parse-names":false,"suffix":""},{"dropping-particle":"","family":"Fusco","given":"Flavia","non-dropping-particle":"","parse-names":false,"suffix":""},{"dropping-particle":"","family":"Gallego","given":"Pastora","non-dropping-particle":"","parse-names":false,"suffix":""},{"dropping-particle":"","family":"Rodriguez-Puras","given":"Maria Jose","non-dropping-particle":"","parse-names":false,"suffix":""},{"dropping-particle":"","family":"Bouchardy","given":"Judith","non-dropping-particle":"","parse-names":false,"suffix":""},{"dropping-particle":"","family":"Blanche","given":"Coralie","non-dropping-particle":"","parse-names":false,"suffix":""},{"dropping-particle":"","family":"Rutz","given":"Tobias","non-dropping-particle":"","parse-names":false,"suffix":""},{"dropping-particle":"","family":"Prokselj","given":"Katja","non-dropping-particle":"","parse-names":false,"suffix":""},{"dropping-particle":"","family":"Labombarda","given":"Fabien","non-dropping-particle":"","parse-names":false,"suffix":""},{"dropping-particle":"","family":"Iserin","given":"Laurence","non-dropping-particle":"","parse-names":false,"suffix":""},{"dropping-particle":"","family":"Wong","given":"Tom","non-dropping-particle":"","parse-names":false,"suffix":""},{"dropping-particle":"","family":"Gatzoulis","given":"Michael A.","non-dropping-particle":"","parse-names":false,"suffix":""}],"container-title":"European heart journal","id":"ITEM-1","issue":"28","issued":{"date-parts":[["2022"]]},"page":"2685-2694","title":"A new score for life-threatening ventricular arrhythmias and sudden cardiac death in adults with transposition of the great arteries and a systemic right ventricle","type":"article-journal","volume":"43"},"uris":["http://www.mendeley.com/documents/?uuid=a4e01ed0-43b3-4f8c-8ced-c5b613f4936c"]}],"mendeley":{"formattedCitation":"&lt;sup&gt;7&lt;/sup&gt;","plainTextFormattedCitation":"7","previouslyFormattedCitation":"&lt;sup&gt;7&lt;/sup&gt;"},"properties":{"noteIndex":0},"schema":"https://github.com/citation-style-language/schema/raw/master/csl-citation.json"}</w:instrText>
      </w:r>
      <w:r w:rsidR="009A3157" w:rsidRPr="00326CF9">
        <w:rPr>
          <w:rFonts w:ascii="Calibri" w:hAnsi="Calibri" w:cs="Calibri"/>
          <w:color w:val="000000" w:themeColor="text1"/>
        </w:rPr>
        <w:fldChar w:fldCharType="separate"/>
      </w:r>
      <w:r w:rsidR="009857C5" w:rsidRPr="009857C5">
        <w:rPr>
          <w:rFonts w:ascii="Calibri" w:hAnsi="Calibri" w:cs="Calibri"/>
          <w:noProof/>
          <w:color w:val="000000" w:themeColor="text1"/>
          <w:vertAlign w:val="superscript"/>
        </w:rPr>
        <w:t>7</w:t>
      </w:r>
      <w:r w:rsidR="009A3157" w:rsidRPr="00326CF9">
        <w:rPr>
          <w:rFonts w:ascii="Calibri" w:hAnsi="Calibri" w:cs="Calibri"/>
          <w:color w:val="000000" w:themeColor="text1"/>
        </w:rPr>
        <w:fldChar w:fldCharType="end"/>
      </w:r>
      <w:r w:rsidR="009A3157" w:rsidRPr="00326CF9">
        <w:rPr>
          <w:rFonts w:ascii="Calibri" w:hAnsi="Calibri" w:cs="Calibri"/>
          <w:color w:val="000000" w:themeColor="text1"/>
        </w:rPr>
        <w:t xml:space="preserve"> heart failure</w:t>
      </w:r>
      <w:r>
        <w:rPr>
          <w:rFonts w:ascii="Calibri" w:hAnsi="Calibri" w:cs="Calibri"/>
          <w:color w:val="000000" w:themeColor="text1"/>
        </w:rPr>
        <w:t>,</w:t>
      </w:r>
      <w:r w:rsidR="009A3157" w:rsidRPr="00326CF9">
        <w:rPr>
          <w:rFonts w:ascii="Calibri" w:hAnsi="Calibri" w:cs="Calibri"/>
          <w:color w:val="000000" w:themeColor="text1"/>
        </w:rPr>
        <w:t xml:space="preserve"> and </w:t>
      </w:r>
      <w:r w:rsidR="009A3157" w:rsidRPr="00326CF9">
        <w:rPr>
          <w:rFonts w:ascii="Calibri" w:hAnsi="Calibri" w:cs="Calibri"/>
          <w:color w:val="000000" w:themeColor="text1"/>
          <w:lang w:val="en-US"/>
        </w:rPr>
        <w:t>reduced exercise capacity</w:t>
      </w:r>
      <w:r>
        <w:rPr>
          <w:rFonts w:ascii="Calibri" w:hAnsi="Calibri" w:cs="Calibri"/>
          <w:color w:val="000000" w:themeColor="text1"/>
          <w:lang w:val="en-US"/>
        </w:rPr>
        <w:t>,</w:t>
      </w:r>
      <w:r w:rsidR="009A3157" w:rsidRPr="00326CF9">
        <w:rPr>
          <w:rFonts w:ascii="Calibri" w:hAnsi="Calibri" w:cs="Calibri"/>
          <w:color w:val="000000" w:themeColor="text1"/>
          <w:lang w:val="en-US"/>
        </w:rPr>
        <w:fldChar w:fldCharType="begin" w:fldLock="1"/>
      </w:r>
      <w:r w:rsidR="007E12C6">
        <w:rPr>
          <w:rFonts w:ascii="Calibri" w:hAnsi="Calibri" w:cs="Calibri"/>
          <w:color w:val="000000" w:themeColor="text1"/>
          <w:lang w:val="en-US"/>
        </w:rPr>
        <w:instrText>ADDIN CSL_CITATION {"citationItems":[{"id":"ITEM-1","itemData":{"DOI":"10.1111/chd.12248","ISSN":"1747-0803 (Electronic)","PMID":"25597937","abstract":"OBJECTIVES: In patients with systemic right ventricles (RVs) in a biventricular circulation, exercise capacity and RV function often deteriorate over time and echocardiographic assessment of systemic RV function is difficult. The purpose of this study was to examine the relationship between exercise capacity and RV function and to determine which noninvasive imaging parameters correlate most closely with exercise capacity. DESIGN: Patients with a systemic RV (D-loop transposition of the great arteries [TGA] after atrial switch procedure or physiologically \"corrected\" TGA) who underwent cardiopulmonary exercise testing (CPX) and noninvasive imaging (cardiac magnetic resonance [CMR] and echocardiography [echo]) within 1 year of CPX were identified. Regression analysis was used to evaluate the relationship between exercise variables and noninvasive indices of ventricular function. RESULTS: We identified 92 patients with 149 encounters (mean age 31.0 years, 61% men, 70% D-loop TGA) meeting inclusion criteria. Statistically significant correlations between % predicted peak oxygen uptake (%pVO2 ) and RV ejection fraction (EF) (r = 0.29, P = .0007), indexed RV end-systolic volume (r = -0.25, P = .002), and Tei index (r = -0.22, P = .03) were found. In patients without additional hemodynamically significant lesions, the correlations between %pVO2 and RV EF (r = 0.37, P = .0007) and the Tei index (r = -0.28, P = .03) strengthened and a correlation emerged between %pVO2 and dP/dtic (r = 0.31, P = .007). On multivariable analysis, Tei index was the only statistically significant correlate of %pVO2 (P = .04). CONCLUSIONS: In patients with systemic RVs in a biventricular circulation, CMR-derived RVEF and echo-derived Tei index correlate with %pVO2 . On multivariable analysis, the Tei index was the strongest predictor of peak %pVO2 response.","author":[{"dropping-particle":"","family":"Shafer","given":"Keri M","non-dropping-particle":"","parse-names":false,"suffix":""},{"dropping-particle":"","family":"Mann","given":"Nina","non-dropping-particle":"","parse-names":false,"suffix":""},{"dropping-particle":"","family":"Hehn","given":"Rebecca","non-dropping-particle":"","parse-names":false,"suffix":""},{"dropping-particle":"","family":"Ubeda Tikkanen","given":"Ana","non-dropping-particle":"","parse-names":false,"suffix":""},{"dropping-particle":"","family":"Valente","given":"Anne Marie","non-dropping-particle":"","parse-names":false,"suffix":""},{"dropping-particle":"","family":"Geva","given":"Tal","non-dropping-particle":"","parse-names":false,"suffix":""},{"dropping-particle":"","family":"Gauthier","given":"Naomi","non-dropping-particle":"","parse-names":false,"suffix":""},{"dropping-particle":"","family":"Rhodes","given":"Jonathan","non-dropping-particle":"","parse-names":false,"suffix":""}],"container-title":"Congenital heart disease","id":"ITEM-1","issue":"5","issued":{"date-parts":[["2015"]]},"language":"eng","page":"457-465","publisher-place":"United States","title":"Relationship between Exercise Parameters and Noninvasive Indices of Right Ventricular Function in Patients with Biventricular Circulation and Systemic Right Ventricle.","type":"article-journal","volume":"10"},"uris":["http://www.mendeley.com/documents/?uuid=ffd0965f-9e83-454a-946d-b50c07f833bc"]},{"id":"ITEM-2","itemData":{"DOI":"10.1016/j.amjcard.2005.07.096","ISSN":"0002-9149 (Print)","PMID":"16360364","abstract":"After Mustard repair for transposition of the great arteries, the right ventricle serves as a chronically overloaded systemic ventricle (SV). Thus, during long-term follow-up, dysfunction of the right ventricle with consecutive heart failure (HF) is not unusual. Early signs and symptoms of HF are depressed parameters of right ventricular (RV) function at rest and exercise intolerance. It was hypothesized that the measurement of RV function parameters, N-terminal pro-brain natriuretic peptide (NT-pro-BNP), and peak oxygen uptake (VO2max) during exercise testing were suitable for the early detection of subclinical HF. In 33 asymptomatic adolescents and adults who had undergone Mustard repair, RV function was analyzed by the myocardial performance index (Tei index). NT-pro-BNP and VO2max were also determined. The corresponding data from 52 patients operated on for left-to-right shunt defects without residual lesions served as reference data. In patients who underwent the Mustard procedure, the Tei index and NT-pro-BNP were elevated (mean Tei index of the SV 0.63 +/- 0.17 vs 0.34 +/- 0.05, p &lt;0.002; mean NT-pro-BNP 240 +/- 230 vs 57 +/- 39 pg/ml, p &lt;0.0001), and VO2max was reduced (27 +/- 6 vs 32 +/- 6 ml x kg(-1) x min(-1), p &lt;0.002). A good correlation was found between the Tei index and VO2max (r = -0.83, p &lt;0.0001). In conclusion, RV function is depressed in most patients with Mustard repair. Ventricular dysfunction in such asymptomatic or minimally symptomatic patients can be detected by measurement of the Tei index, NT-pro-BNP, and VO2max. These parameters are simple and reliable screening methods to stratify patients with impaired cardiac dysfunction before they become symptomatic.","author":[{"dropping-particle":"","family":"Norozi","given":"Kambiz","non-dropping-particle":"","parse-names":false,"suffix":""},{"dropping-particle":"","family":"Buchhorn","given":"Reiner","non-dropping-particle":"","parse-names":false,"suffix":""},{"dropping-particle":"","family":"Alpers","given":"Valentin","non-dropping-particle":"","parse-names":false,"suffix":""},{"dropping-particle":"","family":"Arnhold","given":"Jan O","non-dropping-particle":"","parse-names":false,"suffix":""},{"dropping-particle":"","family":"Schoof","given":"Stephan","non-dropping-particle":"","parse-names":false,"suffix":""},{"dropping-particle":"","family":"Zoege","given":"Monika","non-dropping-particle":"","parse-names":false,"suffix":""},{"dropping-particle":"","family":"Geyer","given":"Siegfried","non-dropping-particle":"","parse-names":false,"suffix":""},{"dropping-particle":"","family":"Wessel","given":"Armin","non-dropping-particle":"","parse-names":false,"suffix":""}],"container-title":"The American journal of cardiology","id":"ITEM-2","issue":"12","issued":{"date-parts":[["2005","12"]]},"language":"eng","page":"1721-1725","publisher-place":"United States","title":"Relation of systemic ventricular function quantified by myocardial performance index (Tei) to cardiopulmonary exercise capacity in adults after Mustard procedure for transposition of the great arteries.","type":"article-journal","volume":"96"},"uris":["http://www.mendeley.com/documents/?uuid=6a27fd08-8dc2-4c5c-a1a9-61bfcdb352cb"]},{"id":"ITEM-3","itemData":{"DOI":"10.1016/j.ijcard.2019.06.030","ISSN":"1874-1754 (Electronic)","PMID":"31256996","abstract":"BACKGROUND: Systemic right ventricle (RV) is a rare and complex congenital heart  disease (CHD). Patients with a systemic RV present with a significant decrease of their exercise capacity. We aimed at identifying clinical and paraclinical factors associated with maximum oxygen uptake (VO2max) in adults with a systemic RV. METHODS: This multicentre cross-sectional study was performed in 2017 in three French tertiary care CHD centres. Adult patients with a D-transposition of the great artery (d-TGA) or a congenitally corrected TGA (cc-TGA) were included. Demographic, clinical, laboratory and imaging data were collected. Univariate and multivariate analyses were performed to identify predictors of impaired VO2max, as measured by cardiopulmonary exercise test (CPET). RESULTS: A total of 111 patients were included in the study (85% d-TGA, median age 37.2+/-8.2years). Most patients presented with impaired physical capacity (mean VO2max of 23.3+/-6.9ml/kg/min, representing 68.4+/-16.6% of predicted values) and ventilatory anaerobic threshold (VAT) impaired (mean VAT of 32.7+/-10.9% of the predicted values). In univariate analysis, VO2max correlated with professional status, NYHA functional class, BNP level, the type of systemic RV, decreased RV function values in cardiac imaging, the severity of tricuspid regurgitation, the presence of a pacemaker or an implantable defibrillator, the VAT, the maximum load, and the maximal heart rate during exercise. In multivariate analysis, the VO2max remained associated with the NYHA functional class. The final multivariate model explained 49% of the variability of VO2max. CONCLUSION: NYHA functional class and RV function are predictors of impaired exercise capacity in adult patients with systemic RV.","author":[{"dropping-particle":"","family":"Gavotto","given":"Arthur","non-dropping-particle":"","parse-names":false,"suffix":""},{"dropping-particle":"","family":"Abassi","given":"Hamouda","non-dropping-particle":"","parse-names":false,"suffix":""},{"dropping-particle":"","family":"Rola","given":"Matthieu","non-dropping-particle":"","parse-names":false,"suffix":""},{"dropping-particle":"","family":"Serrand","given":"Chris","non-dropping-particle":"","parse-names":false,"suffix":""},{"dropping-particle":"","family":"Picot","given":"Marie-Christine","non-dropping-particle":"","parse-names":false,"suffix":""},{"dropping-particle":"","family":"Iriart","given":"Xavier","non-dropping-particle":"","parse-names":false,"suffix":""},{"dropping-particle":"","family":"Thambo","given":"Jean-Benoit","non-dropping-particle":"","parse-names":false,"suffix":""},{"dropping-particle":"","family":"Iserin","given":"Laurence","non-dropping-particle":"","parse-names":false,"suffix":""},{"dropping-particle":"","family":"Ladouceur","given":"Magalie","non-dropping-particle":"","parse-names":false,"suffix":""},{"dropping-particle":"","family":"Bredy","given":"Charlene","non-dropping-particle":"","parse-names":false,"suffix":""},{"dropping-particle":"","family":"Amedro","given":"Pascal","non-dropping-particle":"","parse-names":false,"suffix":""}],"container-title":"International journal of cardiology","id":"ITEM-3","issued":{"date-parts":[["2019","10"]]},"language":"eng","page":"230-235","publisher-place":"Netherlands","title":"Factors associated with exercise capacity in patients with a systemic right ventricle.","type":"article-journal","volume":"292"},"uris":["http://www.mendeley.com/documents/?uuid=3579c8cb-ee59-4205-9c19-bc01cda42534"]},{"id":"ITEM-4","itemData":{"DOI":"10.14503/THIJ-17-6408","ISSN":"1526-6702 (Electronic)","PMID":"30833832","abstract":"The right ventricle provides systemic circulation in individuals with congenitally corrected transposition of the great arteries (CCTGA) and in those with complete transposition who have had an atrial switch repair (DTGA). The aim of this study was to evaluate how the systemic right ventricle adapts to increased workload and oxygen demand during exercise. From November 2005 through December 2015, 3,358 adult patients with congenital heart disease were treated at our institution; we identified 48 (26 females, 22 males; median age, 25.4 +/- 8.1 yr) who met the study criteria; 37 had DTGA and atrial switch repair, and 11 had CCTGA. We studied their echocardiographic and cardiopulmonary exercise test results. A control group consisted of 29 healthy sex- and age-matched volunteers. On exercise testing, oxygen uptake at anaerobic threshold, peak oxygen uptake, peak heart rate, and percentage of maximal heart rate were significantly lower in the group with systemic right ventricle than in the control group (all P &lt;0.001); in contrast, the peak ventilatory equivalent for carbon dioxide was higher in the study group (P=0.013). Impaired systemic right ventricular function reduced peak oxygen uptake. The peak heart rate was lower in the CCTGA group than in the DTGA group. Our results indicate that reduced exercise capacity is related to impaired systemic right ventricular function, severe tricuspid valve regurgitation, and chronotropic incompetence. There was no correlation between cardiopulmonary exercise test results and time after surgery. Chronotropic efficiency is lower in individuals with CCTGA than in those with DTGA.","author":[{"dropping-particle":"","family":"Rog","given":"Beata","non-dropping-particle":"","parse-names":false,"suffix":""},{"dropping-particle":"","family":"Salapa","given":"Kinga","non-dropping-particle":"","parse-names":false,"suffix":""},{"dropping-particle":"","family":"Okolska","given":"Magdalena","non-dropping-particle":"","parse-names":false,"suffix":""},{"dropping-particle":"","family":"Dluzniewska","given":"Natalia","non-dropping-particle":"","parse-names":false,"suffix":""},{"dropping-particle":"","family":"Werynski","given":"Piotr","non-dropping-particle":"","parse-names":false,"suffix":""},{"dropping-particle":"","family":"Podolec","given":"Piotr","non-dropping-particle":"","parse-names":false,"suffix":""},{"dropping-particle":"","family":"Tomkiewicz-Pajak","given":"Lidia","non-dropping-particle":"","parse-names":false,"suffix":""}],"container-title":"Texas Heart Institute journal","id":"ITEM-4","issue":"1","issued":{"date-parts":[["2019","2"]]},"language":"eng","page":"14-20","publisher-place":"United States","title":"Clinical Evaluation of Exercise Capacity in Adults with Systemic Right Ventricle.","type":"article-journal","volume":"46"},"uris":["http://www.mendeley.com/documents/?uuid=7e62deaa-b554-430e-9634-4a7bcf71965b"]}],"mendeley":{"formattedCitation":"&lt;sup&gt;8–11&lt;/sup&gt;","plainTextFormattedCitation":"8–11","previouslyFormattedCitation":"&lt;sup&gt;8–11&lt;/sup&gt;"},"properties":{"noteIndex":0},"schema":"https://github.com/citation-style-language/schema/raw/master/csl-citation.json"}</w:instrText>
      </w:r>
      <w:r w:rsidR="009A3157" w:rsidRPr="00326CF9">
        <w:rPr>
          <w:rFonts w:ascii="Calibri" w:hAnsi="Calibri" w:cs="Calibri"/>
          <w:color w:val="000000" w:themeColor="text1"/>
          <w:lang w:val="en-US"/>
        </w:rPr>
        <w:fldChar w:fldCharType="separate"/>
      </w:r>
      <w:r w:rsidR="009857C5" w:rsidRPr="009857C5">
        <w:rPr>
          <w:rFonts w:ascii="Calibri" w:hAnsi="Calibri" w:cs="Calibri"/>
          <w:noProof/>
          <w:color w:val="000000" w:themeColor="text1"/>
          <w:vertAlign w:val="superscript"/>
          <w:lang w:val="en-US"/>
        </w:rPr>
        <w:t>8–11</w:t>
      </w:r>
      <w:r w:rsidR="009A3157" w:rsidRPr="00326CF9">
        <w:rPr>
          <w:rFonts w:ascii="Calibri" w:hAnsi="Calibri" w:cs="Calibri"/>
          <w:color w:val="000000" w:themeColor="text1"/>
          <w:lang w:val="en-US"/>
        </w:rPr>
        <w:fldChar w:fldCharType="end"/>
      </w:r>
      <w:r w:rsidR="009A3157" w:rsidRPr="00326CF9">
        <w:rPr>
          <w:rFonts w:ascii="Calibri" w:hAnsi="Calibri" w:cs="Calibri"/>
          <w:color w:val="000000" w:themeColor="text1"/>
          <w:lang w:val="en-US"/>
        </w:rPr>
        <w:t xml:space="preserve"> </w:t>
      </w:r>
      <w:r>
        <w:rPr>
          <w:rFonts w:ascii="Calibri" w:hAnsi="Calibri" w:cs="Calibri"/>
          <w:color w:val="000000" w:themeColor="text1"/>
          <w:lang w:val="en-US"/>
        </w:rPr>
        <w:t>little is known on the</w:t>
      </w:r>
      <w:r w:rsidRPr="00C462EA">
        <w:rPr>
          <w:rFonts w:ascii="Calibri" w:hAnsi="Calibri" w:cs="Calibri"/>
          <w:color w:val="000000" w:themeColor="text1"/>
          <w:lang w:val="en-US"/>
        </w:rPr>
        <w:t xml:space="preserve"> </w:t>
      </w:r>
      <w:r>
        <w:rPr>
          <w:rFonts w:ascii="Calibri" w:hAnsi="Calibri" w:cs="Calibri"/>
          <w:color w:val="000000" w:themeColor="text1"/>
          <w:lang w:val="en-US"/>
        </w:rPr>
        <w:t xml:space="preserve">contribution to risk assessment of the subpulmonary left ventricle (LV). </w:t>
      </w:r>
      <w:r w:rsidR="00876DAF" w:rsidRPr="00326CF9">
        <w:rPr>
          <w:rFonts w:ascii="Calibri" w:hAnsi="Calibri" w:cs="Calibri"/>
          <w:color w:val="000000" w:themeColor="text1"/>
          <w:lang w:val="en-US"/>
        </w:rPr>
        <w:t>Impair</w:t>
      </w:r>
      <w:r>
        <w:rPr>
          <w:rFonts w:ascii="Calibri" w:hAnsi="Calibri" w:cs="Calibri"/>
          <w:color w:val="000000" w:themeColor="text1"/>
          <w:lang w:val="en-US"/>
        </w:rPr>
        <w:t xml:space="preserve">ment of the subpulmonary LV is not uncommon and is associated with </w:t>
      </w:r>
      <w:r w:rsidR="00876DAF" w:rsidRPr="00326CF9">
        <w:rPr>
          <w:rFonts w:ascii="Calibri" w:hAnsi="Calibri" w:cs="Calibri"/>
          <w:color w:val="000000" w:themeColor="text1"/>
        </w:rPr>
        <w:t>heart failure symptoms (</w:t>
      </w:r>
      <w:r w:rsidR="009857C5" w:rsidRPr="00326CF9">
        <w:rPr>
          <w:rFonts w:ascii="Calibri" w:hAnsi="Calibri" w:cs="Calibri"/>
          <w:color w:val="000000" w:themeColor="text1"/>
        </w:rPr>
        <w:t xml:space="preserve">New York Heart Association </w:t>
      </w:r>
      <w:r w:rsidR="009857C5">
        <w:rPr>
          <w:rFonts w:ascii="Calibri" w:hAnsi="Calibri" w:cs="Calibri"/>
          <w:color w:val="000000" w:themeColor="text1"/>
        </w:rPr>
        <w:t>[</w:t>
      </w:r>
      <w:r w:rsidR="00876DAF" w:rsidRPr="00326CF9">
        <w:rPr>
          <w:rFonts w:ascii="Calibri" w:hAnsi="Calibri" w:cs="Calibri"/>
          <w:color w:val="000000" w:themeColor="text1"/>
        </w:rPr>
        <w:t>NYHA</w:t>
      </w:r>
      <w:r w:rsidR="009857C5">
        <w:rPr>
          <w:rFonts w:ascii="Calibri" w:hAnsi="Calibri" w:cs="Calibri"/>
          <w:color w:val="000000" w:themeColor="text1"/>
        </w:rPr>
        <w:t>]</w:t>
      </w:r>
      <w:r w:rsidR="00876DAF" w:rsidRPr="00326CF9">
        <w:rPr>
          <w:rFonts w:ascii="Calibri" w:hAnsi="Calibri" w:cs="Calibri"/>
          <w:color w:val="000000" w:themeColor="text1"/>
        </w:rPr>
        <w:t xml:space="preserve"> functional class 3-4)</w:t>
      </w:r>
      <w:r w:rsidR="0062071F" w:rsidRPr="00326CF9">
        <w:rPr>
          <w:rFonts w:ascii="Calibri" w:hAnsi="Calibri" w:cs="Calibri"/>
          <w:color w:val="000000" w:themeColor="text1"/>
          <w:lang w:val="en-US"/>
        </w:rPr>
        <w:t>.</w:t>
      </w:r>
      <w:r w:rsidRPr="00326CF9">
        <w:rPr>
          <w:rFonts w:ascii="Calibri" w:hAnsi="Calibri" w:cs="Calibri"/>
          <w:color w:val="000000" w:themeColor="text1"/>
          <w:lang w:val="en-US"/>
        </w:rPr>
        <w:fldChar w:fldCharType="begin" w:fldLock="1"/>
      </w:r>
      <w:r>
        <w:rPr>
          <w:rFonts w:ascii="Calibri" w:hAnsi="Calibri" w:cs="Calibri"/>
          <w:color w:val="000000" w:themeColor="text1"/>
          <w:lang w:val="en-US"/>
        </w:rPr>
        <w:instrText>ADDIN CSL_CITATION {"citationItems":[{"id":"ITEM-1","itemData":{"DOI":"10.1007/s00246-007-9156-1","ISSN":"0172-0643 (Print)","PMID":"18040733","abstract":"In patients operated with atrial switch for transposition of the great arteries (TGA), the left ventricle (LV) supports the pulmonary circulation and is thus pressure unloaded. Evaluation of LV function in this setting is of importance, as LV functional abnormalities have been documented and might contribute to development of symptoms. The ventricular contraction pattern in 14 Senning-operated TGA patients and 14 healthy controls was studied using tissue Doppler and magnetic resonance imaging. In the subpulmonary LV free wall, longitudinal strain was greater than circumferential strain (-23.6 +/- 3.6% vs. -19.1 +/- 3.2%, p = 0.002) as in the normal right ventricle (RV) (-30.7 +/- 3.3% vs. -15.8 +/- 1.3%, p &lt; 0.001), but opposite to findings in the normal LV (-16.5 +/- 1.7% vs. -25.7 +/- 3.1%, p &lt; 0.001). Subpulmonary strain and strain rate values were intermediate between those in the normal LV and RV. Ventricular free-wall torsion was reduced in the subpulmonary LV compared with both the normal LV (5.7 +/- 3.2 degrees vs. 16.7 +/- 5.6 degrees , p &lt; 0.001) and RV (5.7 +/- 3.2 degrees vs. 11.4 +/- 2.6 degrees , p &lt; 0.05). Furthermore, early diastolic filling of the subpulmonary LV differed from that of the normal LV. The subpulmonary LV displayed predominantly longitudinal shortening, as did its functional counterpart, the normal RV. However, the degree and rate of both longitudinal and circumferential shortening were intermediate between those of the normal LV and RV. This could represent a partial adaptation to the reduced pressure load. Decreased ventricular torsion and diastolic abnormalities might indicate subclinical ventricular dysfunction.","author":[{"dropping-particle":"","family":"Pettersen","given":"Eirik","non-dropping-particle":"","parse-names":false,"suffix":""},{"dropping-particle":"","family":"Lindberg","given":"Harald","non-dropping-particle":"","parse-names":false,"suffix":""},{"dropping-particle":"","family":"Smith","given":"Hans-Jorgen","non-dropping-particle":"","parse-names":false,"suffix":""},{"dropping-particle":"","family":"Smevik","given":"Bjarne","non-dropping-particle":"","parse-names":false,"suffix":""},{"dropping-particle":"","family":"Edvardsen","given":"Thor","non-dropping-particle":"","parse-names":false,"suffix":""},{"dropping-particle":"","family":"Smiseth","given":"Otto A","non-dropping-particle":"","parse-names":false,"suffix":""},{"dropping-particle":"","family":"Andersen","given":"Kai","non-dropping-particle":"","parse-names":false,"suffix":""}],"container-title":"Pediatric cardiology","id":"ITEM-1","issue":"3","issued":{"date-parts":[["2008","5"]]},"language":"eng","page":"597-603","publisher-place":"United States","title":"Left ventricular function in patients with transposition of the great arteries operated with atrial switch.","type":"article-journal","volume":"29"},"uris":["http://www.mendeley.com/documents/?uuid=6c771be7-95b5-4717-8b84-fdbd66b1f7c1"]},{"id":"ITEM-2","itemData":{"DOI":"10.1016/j.ijcard.2020.09.051","ISSN":"1874-1754 (Electronic)","PMID":"32987051","abstract":"BACKGROUND: The study aimed to assess the relation between echocardiographic  parameters of subpulmonary left ventricular (LV) size and function, and the severity of heart failure in patients with a systemic right ventricle (SRV). METHODS AND RESULTS: A total of 157 patients (89 post Mustard/Senning operations, 68 with congenitally corrected transposition of great arteries [ccTGA]) were included. The size and function of the SRV and subpulmonary LV were assessed on the most recent echocardiographic exam. Clinical data were collected from the electronic records. The majority (133, 84.7%) were in NYHA functional class 1-2. Median BNP concentration was 79.5[38.3-173.3] ng/l, and 100 (63.7%) patients were receiving heart failure therapy. Both LV and SRV fractional area change (FAC) differed significantly between patients with NYHA class 1-2 vs 3-4 (48[41.5-52.8]% vs 34[28.6-38.6]%, p &lt; 0.0001 and 29.5[23-35]% vs 22[20-27]%, p &lt; 0.0001, respectively), but LV FAC had a higher discriminative power for functional class &gt;2 than SRV FAC (AUC 0.90, p &lt; 0.0001 vs 0.79; p &lt; 0.0001, respectively). A LV FAC cut-off value &lt;39.2% had the highest accuracy in identifying patients with NYHA class 3-4 (sensitivity 83% and specificity 88%). In multivariable logistic regression analysis, LV FAC and SRV FAC independently associated to NYHA class 3-4 (OR 0.80 [95%CI 0.72-0.88], p &lt; 0.0001 and OR 0.85 [95%CI 0.76-0.96], p = 0.007, respectively). CONCLUSIONS: Subpulmonary LV systolic dysfunction is associated with NYHA functional class 3-4 in patients with ccTGA or after Mustard or Senning operation. Careful evaluation of the subpulmonary LV should be a part of the routine assessment of patients with a SRV.","author":[{"dropping-particle":"","family":"Surkova","given":"Elena","non-dropping-particle":"","parse-names":false,"suffix":""},{"dropping-particle":"","family":"Segura","given":"Teresa","non-dropping-particle":"","parse-names":false,"suffix":""},{"dropping-particle":"","family":"Dimopoulos","given":"Konstantinos","non-dropping-particle":"","parse-names":false,"suffix":""},{"dropping-particle":"","family":"Bispo","given":"Daniela","non-dropping-particle":"","parse-names":false,"suffix":""},{"dropping-particle":"","family":"Flick","given":"Caroline","non-dropping-particle":"","parse-names":false,"suffix":""},{"dropping-particle":"","family":"West","given":"Cathy","non-dropping-particle":"","parse-names":false,"suffix":""},{"dropping-particle":"V","family":"Babu-Narayan","given":"Sonya","non-dropping-particle":"","parse-names":false,"suffix":""},{"dropping-particle":"","family":"Senior","given":"Roxy","non-dropping-particle":"","parse-names":false,"suffix":""},{"dropping-particle":"","family":"Gatzoulis","given":"Michael A","non-dropping-particle":"","parse-names":false,"suffix":""},{"dropping-particle":"","family":"Li","given":"Wei","non-dropping-particle":"","parse-names":false,"suffix":""}],"container-title":"International journal of cardiology","id":"ITEM-2","issued":{"date-parts":[["2021","2"]]},"language":"eng","page":"66-71","publisher-place":"Netherlands","title":"Systolic dysfunction of the subpulmonary left ventricle is associated with the  severity of heart failure in patients with a systemic right ventricle.","type":"article-journal","volume":"324"},"uris":["http://www.mendeley.com/documents/?uuid=4f068205-b10f-4a76-8f07-d27dade0982b"]}],"mendeley":{"formattedCitation":"&lt;sup&gt;12,13&lt;/sup&gt;","plainTextFormattedCitation":"12,13","previouslyFormattedCitation":"&lt;sup&gt;12,13&lt;/sup&gt;"},"properties":{"noteIndex":0},"schema":"https://github.com/citation-style-language/schema/raw/master/csl-citation.json"}</w:instrText>
      </w:r>
      <w:r w:rsidRPr="00326CF9">
        <w:rPr>
          <w:rFonts w:ascii="Calibri" w:hAnsi="Calibri" w:cs="Calibri"/>
          <w:color w:val="000000" w:themeColor="text1"/>
          <w:lang w:val="en-US"/>
        </w:rPr>
        <w:fldChar w:fldCharType="separate"/>
      </w:r>
      <w:r w:rsidRPr="009857C5">
        <w:rPr>
          <w:rFonts w:ascii="Calibri" w:hAnsi="Calibri" w:cs="Calibri"/>
          <w:noProof/>
          <w:color w:val="000000" w:themeColor="text1"/>
          <w:vertAlign w:val="superscript"/>
          <w:lang w:val="en-US"/>
        </w:rPr>
        <w:t>12,13</w:t>
      </w:r>
      <w:r w:rsidRPr="00326CF9">
        <w:rPr>
          <w:rFonts w:ascii="Calibri" w:hAnsi="Calibri" w:cs="Calibri"/>
          <w:color w:val="000000" w:themeColor="text1"/>
          <w:lang w:val="en-US"/>
        </w:rPr>
        <w:fldChar w:fldCharType="end"/>
      </w:r>
      <w:r w:rsidR="0062071F" w:rsidRPr="00326CF9">
        <w:rPr>
          <w:rFonts w:ascii="Calibri" w:hAnsi="Calibri" w:cs="Calibri"/>
          <w:color w:val="000000" w:themeColor="text1"/>
          <w:lang w:val="en-US"/>
        </w:rPr>
        <w:t xml:space="preserve"> </w:t>
      </w:r>
      <w:r w:rsidR="00AF08C0" w:rsidRPr="00326CF9">
        <w:rPr>
          <w:rFonts w:ascii="Calibri" w:hAnsi="Calibri" w:cs="Calibri"/>
          <w:color w:val="000000" w:themeColor="text1"/>
        </w:rPr>
        <w:t>However</w:t>
      </w:r>
      <w:r w:rsidR="0062071F" w:rsidRPr="00326CF9">
        <w:rPr>
          <w:rFonts w:ascii="Calibri" w:hAnsi="Calibri" w:cs="Calibri"/>
          <w:color w:val="000000" w:themeColor="text1"/>
        </w:rPr>
        <w:t>,</w:t>
      </w:r>
      <w:r w:rsidR="00AF08C0" w:rsidRPr="00326CF9">
        <w:rPr>
          <w:rFonts w:ascii="Calibri" w:hAnsi="Calibri" w:cs="Calibri"/>
          <w:color w:val="000000" w:themeColor="text1"/>
        </w:rPr>
        <w:t xml:space="preserve"> </w:t>
      </w:r>
      <w:r w:rsidR="00B2164A">
        <w:rPr>
          <w:rFonts w:ascii="Calibri" w:hAnsi="Calibri" w:cs="Calibri"/>
          <w:color w:val="000000" w:themeColor="text1"/>
        </w:rPr>
        <w:t xml:space="preserve"> its</w:t>
      </w:r>
      <w:r w:rsidR="00876DAF" w:rsidRPr="00326CF9">
        <w:rPr>
          <w:rFonts w:ascii="Calibri" w:hAnsi="Calibri" w:cs="Calibri"/>
          <w:color w:val="000000" w:themeColor="text1"/>
        </w:rPr>
        <w:t xml:space="preserve"> </w:t>
      </w:r>
      <w:r w:rsidR="00AF08C0" w:rsidRPr="00326CF9">
        <w:rPr>
          <w:rFonts w:ascii="Calibri" w:hAnsi="Calibri" w:cs="Calibri"/>
          <w:color w:val="000000" w:themeColor="text1"/>
        </w:rPr>
        <w:t xml:space="preserve">prognostic significance </w:t>
      </w:r>
      <w:r w:rsidR="00B2164A">
        <w:rPr>
          <w:rFonts w:ascii="Calibri" w:hAnsi="Calibri" w:cs="Calibri"/>
          <w:color w:val="000000" w:themeColor="text1"/>
        </w:rPr>
        <w:t>remains unknown</w:t>
      </w:r>
      <w:r w:rsidR="00AF08C0" w:rsidRPr="00326CF9">
        <w:rPr>
          <w:rFonts w:ascii="Calibri" w:hAnsi="Calibri" w:cs="Calibri"/>
          <w:color w:val="000000" w:themeColor="text1"/>
        </w:rPr>
        <w:t>.</w:t>
      </w:r>
    </w:p>
    <w:p w14:paraId="7DE49D1E" w14:textId="35B0E6CD" w:rsidR="00AF08C0" w:rsidRPr="00326CF9" w:rsidRDefault="00B908E4" w:rsidP="00326CF9">
      <w:pPr>
        <w:widowControl w:val="0"/>
        <w:tabs>
          <w:tab w:val="left" w:pos="90"/>
        </w:tabs>
        <w:autoSpaceDE w:val="0"/>
        <w:autoSpaceDN w:val="0"/>
        <w:adjustRightInd w:val="0"/>
        <w:spacing w:line="480" w:lineRule="auto"/>
        <w:ind w:firstLine="851"/>
        <w:jc w:val="both"/>
        <w:rPr>
          <w:rFonts w:ascii="Calibri" w:hAnsi="Calibri" w:cs="Calibri"/>
          <w:b/>
          <w:color w:val="000000" w:themeColor="text1"/>
        </w:rPr>
      </w:pPr>
      <w:r w:rsidRPr="00326CF9">
        <w:rPr>
          <w:rFonts w:ascii="Calibri" w:hAnsi="Calibri" w:cs="Calibri"/>
          <w:color w:val="000000" w:themeColor="text1"/>
        </w:rPr>
        <w:t>﻿</w:t>
      </w:r>
      <w:r w:rsidR="008C6B91" w:rsidRPr="00326CF9">
        <w:rPr>
          <w:rFonts w:ascii="Calibri" w:hAnsi="Calibri" w:cs="Calibri"/>
          <w:color w:val="000000" w:themeColor="text1"/>
        </w:rPr>
        <w:t>In</w:t>
      </w:r>
      <w:r w:rsidRPr="00326CF9">
        <w:rPr>
          <w:rFonts w:ascii="Calibri" w:hAnsi="Calibri" w:cs="Calibri"/>
          <w:color w:val="000000" w:themeColor="text1"/>
        </w:rPr>
        <w:t xml:space="preserve"> </w:t>
      </w:r>
      <w:r w:rsidR="00B2164A">
        <w:rPr>
          <w:rFonts w:ascii="Calibri" w:hAnsi="Calibri" w:cs="Calibri"/>
          <w:color w:val="000000" w:themeColor="text1"/>
        </w:rPr>
        <w:t>this</w:t>
      </w:r>
      <w:r w:rsidRPr="00326CF9">
        <w:rPr>
          <w:rFonts w:ascii="Calibri" w:hAnsi="Calibri" w:cs="Calibri"/>
          <w:color w:val="000000" w:themeColor="text1"/>
        </w:rPr>
        <w:t xml:space="preserve"> study</w:t>
      </w:r>
      <w:r w:rsidR="008C6B91" w:rsidRPr="00326CF9">
        <w:rPr>
          <w:rFonts w:ascii="Calibri" w:hAnsi="Calibri" w:cs="Calibri"/>
          <w:color w:val="000000" w:themeColor="text1"/>
        </w:rPr>
        <w:t>, we aimed to</w:t>
      </w:r>
      <w:r w:rsidRPr="00326CF9">
        <w:rPr>
          <w:rFonts w:ascii="Calibri" w:hAnsi="Calibri" w:cs="Calibri"/>
          <w:color w:val="000000" w:themeColor="text1"/>
        </w:rPr>
        <w:t xml:space="preserve"> </w:t>
      </w:r>
      <w:r w:rsidR="008C6B91" w:rsidRPr="00326CF9">
        <w:rPr>
          <w:rFonts w:ascii="Calibri" w:hAnsi="Calibri" w:cs="Calibri"/>
          <w:color w:val="000000" w:themeColor="text1"/>
        </w:rPr>
        <w:t xml:space="preserve">analyse </w:t>
      </w:r>
      <w:r w:rsidR="00B2164A">
        <w:rPr>
          <w:rFonts w:ascii="Calibri" w:hAnsi="Calibri" w:cs="Calibri"/>
          <w:color w:val="000000" w:themeColor="text1"/>
        </w:rPr>
        <w:t>the</w:t>
      </w:r>
      <w:r w:rsidR="00B2164A" w:rsidRPr="00326CF9">
        <w:rPr>
          <w:rFonts w:ascii="Calibri" w:hAnsi="Calibri" w:cs="Calibri"/>
          <w:color w:val="000000" w:themeColor="text1"/>
        </w:rPr>
        <w:t xml:space="preserve"> </w:t>
      </w:r>
      <w:r w:rsidR="00AF08C0" w:rsidRPr="00326CF9">
        <w:rPr>
          <w:rFonts w:ascii="Calibri" w:hAnsi="Calibri" w:cs="Calibri"/>
          <w:color w:val="000000" w:themeColor="text1"/>
        </w:rPr>
        <w:t xml:space="preserve">echocardiographic </w:t>
      </w:r>
      <w:r w:rsidR="00B2164A">
        <w:rPr>
          <w:rFonts w:ascii="Calibri" w:hAnsi="Calibri" w:cs="Calibri"/>
          <w:color w:val="000000" w:themeColor="text1"/>
        </w:rPr>
        <w:t>characteristics</w:t>
      </w:r>
      <w:r w:rsidR="00B2164A" w:rsidRPr="00326CF9">
        <w:rPr>
          <w:rFonts w:ascii="Calibri" w:hAnsi="Calibri" w:cs="Calibri"/>
          <w:color w:val="000000" w:themeColor="text1"/>
        </w:rPr>
        <w:t xml:space="preserve"> </w:t>
      </w:r>
      <w:r w:rsidR="00AF08C0" w:rsidRPr="00326CF9">
        <w:rPr>
          <w:rFonts w:ascii="Calibri" w:hAnsi="Calibri" w:cs="Calibri"/>
          <w:color w:val="000000" w:themeColor="text1"/>
        </w:rPr>
        <w:t xml:space="preserve">of </w:t>
      </w:r>
      <w:r w:rsidR="009857C5">
        <w:rPr>
          <w:rFonts w:ascii="Calibri" w:hAnsi="Calibri" w:cs="Calibri"/>
          <w:color w:val="000000" w:themeColor="text1"/>
        </w:rPr>
        <w:t xml:space="preserve">the </w:t>
      </w:r>
      <w:r w:rsidR="00AF08C0" w:rsidRPr="00326CF9">
        <w:rPr>
          <w:rFonts w:ascii="Calibri" w:hAnsi="Calibri" w:cs="Calibri"/>
          <w:color w:val="000000" w:themeColor="text1"/>
        </w:rPr>
        <w:t xml:space="preserve">subpulmonary LV </w:t>
      </w:r>
      <w:r w:rsidR="00B2164A">
        <w:rPr>
          <w:rFonts w:ascii="Calibri" w:hAnsi="Calibri" w:cs="Calibri"/>
          <w:color w:val="000000" w:themeColor="text1"/>
        </w:rPr>
        <w:t xml:space="preserve">and its association with mortality and/or heart transplantation </w:t>
      </w:r>
      <w:r w:rsidR="008C6B91" w:rsidRPr="00326CF9">
        <w:rPr>
          <w:rFonts w:ascii="Calibri" w:hAnsi="Calibri" w:cs="Calibri"/>
          <w:color w:val="000000" w:themeColor="text1"/>
        </w:rPr>
        <w:t xml:space="preserve">in </w:t>
      </w:r>
      <w:r w:rsidR="00AF08C0" w:rsidRPr="00326CF9">
        <w:rPr>
          <w:rFonts w:ascii="Calibri" w:hAnsi="Calibri" w:cs="Calibri"/>
          <w:color w:val="000000" w:themeColor="text1"/>
        </w:rPr>
        <w:t xml:space="preserve">patients with </w:t>
      </w:r>
      <w:proofErr w:type="gramStart"/>
      <w:r w:rsidR="00B2164A">
        <w:rPr>
          <w:rFonts w:ascii="Calibri" w:hAnsi="Calibri" w:cs="Calibri"/>
          <w:color w:val="000000" w:themeColor="text1"/>
        </w:rPr>
        <w:t>a</w:t>
      </w:r>
      <w:proofErr w:type="gramEnd"/>
      <w:r w:rsidR="00B2164A" w:rsidRPr="00326CF9">
        <w:rPr>
          <w:rFonts w:ascii="Calibri" w:hAnsi="Calibri" w:cs="Calibri"/>
          <w:color w:val="000000" w:themeColor="text1"/>
        </w:rPr>
        <w:t xml:space="preserve"> </w:t>
      </w:r>
      <w:r w:rsidR="00AF08C0" w:rsidRPr="00326CF9">
        <w:rPr>
          <w:rFonts w:ascii="Calibri" w:hAnsi="Calibri" w:cs="Calibri"/>
          <w:color w:val="000000" w:themeColor="text1"/>
        </w:rPr>
        <w:t>SRV.</w:t>
      </w:r>
    </w:p>
    <w:p w14:paraId="4BCC8D8D" w14:textId="65435CA3" w:rsidR="00F5722B" w:rsidRPr="00326CF9" w:rsidRDefault="008C6B91" w:rsidP="00326CF9">
      <w:pPr>
        <w:widowControl w:val="0"/>
        <w:tabs>
          <w:tab w:val="left" w:pos="90"/>
        </w:tabs>
        <w:autoSpaceDE w:val="0"/>
        <w:autoSpaceDN w:val="0"/>
        <w:adjustRightInd w:val="0"/>
        <w:spacing w:line="480" w:lineRule="auto"/>
        <w:ind w:firstLine="851"/>
        <w:jc w:val="both"/>
        <w:rPr>
          <w:rFonts w:ascii="Calibri" w:hAnsi="Calibri" w:cs="Calibri"/>
          <w:bCs/>
          <w:color w:val="000000" w:themeColor="text1"/>
        </w:rPr>
      </w:pPr>
      <w:r w:rsidRPr="00326CF9">
        <w:rPr>
          <w:rFonts w:ascii="Calibri" w:hAnsi="Calibri" w:cs="Calibri"/>
          <w:bCs/>
          <w:color w:val="000000" w:themeColor="text1"/>
        </w:rPr>
        <w:t xml:space="preserve"> </w:t>
      </w:r>
    </w:p>
    <w:p w14:paraId="4870E03F" w14:textId="77777777" w:rsidR="00EE0B44" w:rsidRDefault="00EE0B44">
      <w:pPr>
        <w:rPr>
          <w:rFonts w:ascii="Calibri" w:eastAsiaTheme="majorEastAsia" w:hAnsi="Calibri" w:cs="Calibri"/>
          <w:b/>
          <w:bCs/>
          <w:sz w:val="28"/>
          <w:szCs w:val="28"/>
          <w:lang w:val="en-US"/>
        </w:rPr>
      </w:pPr>
      <w:r>
        <w:br w:type="page"/>
      </w:r>
    </w:p>
    <w:p w14:paraId="3ECFA70C" w14:textId="482EDA13" w:rsidR="001F4E94" w:rsidRPr="00326CF9" w:rsidRDefault="001F4E94" w:rsidP="00E95D19">
      <w:pPr>
        <w:pStyle w:val="Heading1"/>
      </w:pPr>
      <w:r w:rsidRPr="00326CF9">
        <w:lastRenderedPageBreak/>
        <w:t>Methods</w:t>
      </w:r>
    </w:p>
    <w:p w14:paraId="3F484E0D" w14:textId="43F4FF59" w:rsidR="001F4E94" w:rsidRPr="00326CF9" w:rsidRDefault="001F4E94" w:rsidP="00FF19A0">
      <w:pPr>
        <w:pStyle w:val="Heading2"/>
      </w:pPr>
      <w:r w:rsidRPr="00326CF9">
        <w:t xml:space="preserve">Study </w:t>
      </w:r>
      <w:r w:rsidR="009D447D" w:rsidRPr="00326CF9">
        <w:t xml:space="preserve">design </w:t>
      </w:r>
      <w:r w:rsidR="001D467A" w:rsidRPr="00326CF9">
        <w:t>and population</w:t>
      </w:r>
    </w:p>
    <w:p w14:paraId="68A7AF7E" w14:textId="0E51AA78" w:rsidR="00D54A53" w:rsidRPr="00326CF9" w:rsidRDefault="00AF08C0" w:rsidP="00326CF9">
      <w:pPr>
        <w:widowControl w:val="0"/>
        <w:autoSpaceDE w:val="0"/>
        <w:autoSpaceDN w:val="0"/>
        <w:adjustRightInd w:val="0"/>
        <w:spacing w:line="480" w:lineRule="auto"/>
        <w:ind w:firstLine="851"/>
        <w:jc w:val="both"/>
        <w:rPr>
          <w:rFonts w:ascii="Calibri" w:hAnsi="Calibri" w:cs="Calibri"/>
          <w:color w:val="000000" w:themeColor="text1"/>
          <w:lang w:val="en-US"/>
        </w:rPr>
      </w:pPr>
      <w:r w:rsidRPr="00326CF9">
        <w:rPr>
          <w:rFonts w:ascii="Calibri" w:hAnsi="Calibri" w:cs="Calibri"/>
          <w:color w:val="000000" w:themeColor="text1"/>
          <w:lang w:val="en-US"/>
        </w:rPr>
        <w:t xml:space="preserve">From </w:t>
      </w:r>
      <w:r w:rsidR="008C6B91" w:rsidRPr="00326CF9">
        <w:rPr>
          <w:rFonts w:ascii="Calibri" w:hAnsi="Calibri" w:cs="Calibri"/>
          <w:color w:val="000000" w:themeColor="text1"/>
          <w:lang w:val="en-US"/>
        </w:rPr>
        <w:t xml:space="preserve">the </w:t>
      </w:r>
      <w:r w:rsidRPr="00326CF9">
        <w:rPr>
          <w:rFonts w:ascii="Calibri" w:hAnsi="Calibri" w:cs="Calibri"/>
          <w:color w:val="000000" w:themeColor="text1"/>
          <w:lang w:val="en-US"/>
        </w:rPr>
        <w:t>digitally recorded echocardiographic database</w:t>
      </w:r>
      <w:r w:rsidR="006D2955" w:rsidRPr="00326CF9">
        <w:rPr>
          <w:rFonts w:ascii="Calibri" w:hAnsi="Calibri" w:cs="Calibri"/>
          <w:color w:val="000000" w:themeColor="text1"/>
          <w:lang w:val="en-US"/>
        </w:rPr>
        <w:t xml:space="preserve"> of a large tertiary center for adult congenital heart disease</w:t>
      </w:r>
      <w:r w:rsidRPr="00326CF9">
        <w:rPr>
          <w:rFonts w:ascii="Calibri" w:hAnsi="Calibri" w:cs="Calibri"/>
          <w:color w:val="000000" w:themeColor="text1"/>
          <w:lang w:val="en-US"/>
        </w:rPr>
        <w:t>, we have</w:t>
      </w:r>
      <w:r w:rsidR="008C6B91" w:rsidRPr="00326CF9">
        <w:rPr>
          <w:rFonts w:ascii="Calibri" w:hAnsi="Calibri" w:cs="Calibri"/>
          <w:color w:val="000000" w:themeColor="text1"/>
          <w:lang w:val="en-US"/>
        </w:rPr>
        <w:t xml:space="preserve"> retrospectively</w:t>
      </w:r>
      <w:r w:rsidRPr="00326CF9">
        <w:rPr>
          <w:rFonts w:ascii="Calibri" w:hAnsi="Calibri" w:cs="Calibri"/>
          <w:color w:val="000000" w:themeColor="text1"/>
          <w:lang w:val="en-US"/>
        </w:rPr>
        <w:t xml:space="preserve"> identified </w:t>
      </w:r>
      <w:r w:rsidR="00D54A53" w:rsidRPr="00326CF9">
        <w:rPr>
          <w:rFonts w:ascii="Calibri" w:hAnsi="Calibri" w:cs="Calibri"/>
          <w:color w:val="000000" w:themeColor="text1"/>
          <w:lang w:val="en-US"/>
        </w:rPr>
        <w:t xml:space="preserve">all </w:t>
      </w:r>
      <w:r w:rsidR="00B80C2A" w:rsidRPr="00326CF9">
        <w:rPr>
          <w:rFonts w:ascii="Calibri" w:hAnsi="Calibri" w:cs="Calibri"/>
          <w:color w:val="000000" w:themeColor="text1"/>
          <w:lang w:val="en-US"/>
        </w:rPr>
        <w:t xml:space="preserve">adult </w:t>
      </w:r>
      <w:r w:rsidRPr="00326CF9">
        <w:rPr>
          <w:rFonts w:ascii="Calibri" w:hAnsi="Calibri" w:cs="Calibri"/>
          <w:color w:val="000000" w:themeColor="text1"/>
          <w:lang w:val="en-US"/>
        </w:rPr>
        <w:t xml:space="preserve">patients with </w:t>
      </w:r>
      <w:r w:rsidR="008C6B91" w:rsidRPr="00326CF9">
        <w:rPr>
          <w:rFonts w:ascii="Calibri" w:hAnsi="Calibri" w:cs="Calibri"/>
          <w:color w:val="000000" w:themeColor="text1"/>
          <w:lang w:val="en-US"/>
        </w:rPr>
        <w:t xml:space="preserve">biventricular physiology and the </w:t>
      </w:r>
      <w:r w:rsidRPr="00326CF9">
        <w:rPr>
          <w:rFonts w:ascii="Calibri" w:hAnsi="Calibri" w:cs="Calibri"/>
          <w:color w:val="000000" w:themeColor="text1"/>
          <w:lang w:val="en-US"/>
        </w:rPr>
        <w:t>SRV</w:t>
      </w:r>
      <w:r w:rsidR="006D2955" w:rsidRPr="00326CF9">
        <w:rPr>
          <w:rFonts w:ascii="Calibri" w:hAnsi="Calibri" w:cs="Calibri"/>
          <w:color w:val="000000" w:themeColor="text1"/>
          <w:lang w:val="en-US"/>
        </w:rPr>
        <w:t xml:space="preserve"> who </w:t>
      </w:r>
      <w:r w:rsidR="007272A2" w:rsidRPr="00326CF9">
        <w:rPr>
          <w:rFonts w:ascii="Calibri" w:hAnsi="Calibri" w:cs="Calibri"/>
          <w:color w:val="000000" w:themeColor="text1"/>
          <w:lang w:val="en-US"/>
        </w:rPr>
        <w:t xml:space="preserve">underwent </w:t>
      </w:r>
      <w:r w:rsidR="006D2955" w:rsidRPr="00326CF9">
        <w:rPr>
          <w:rFonts w:ascii="Calibri" w:hAnsi="Calibri" w:cs="Calibri"/>
          <w:color w:val="000000" w:themeColor="text1"/>
          <w:lang w:val="en-US"/>
        </w:rPr>
        <w:t xml:space="preserve">transthoracic echocardiography (TTE) </w:t>
      </w:r>
      <w:r w:rsidR="007272A2" w:rsidRPr="00326CF9">
        <w:rPr>
          <w:rFonts w:ascii="Calibri" w:hAnsi="Calibri" w:cs="Calibri"/>
          <w:color w:val="000000" w:themeColor="text1"/>
          <w:lang w:val="en-US"/>
        </w:rPr>
        <w:t xml:space="preserve">at least once between </w:t>
      </w:r>
      <w:r w:rsidR="008C6B91" w:rsidRPr="00326CF9">
        <w:rPr>
          <w:rFonts w:ascii="Calibri" w:hAnsi="Calibri" w:cs="Calibri"/>
          <w:color w:val="000000" w:themeColor="text1"/>
          <w:lang w:val="en-US"/>
        </w:rPr>
        <w:t>May 2010</w:t>
      </w:r>
      <w:r w:rsidR="006D2955" w:rsidRPr="00326CF9">
        <w:rPr>
          <w:rFonts w:ascii="Calibri" w:hAnsi="Calibri" w:cs="Calibri"/>
          <w:color w:val="000000" w:themeColor="text1"/>
          <w:lang w:val="en-US"/>
        </w:rPr>
        <w:t xml:space="preserve"> </w:t>
      </w:r>
      <w:r w:rsidR="007272A2" w:rsidRPr="00326CF9">
        <w:rPr>
          <w:rFonts w:ascii="Calibri" w:hAnsi="Calibri" w:cs="Calibri"/>
          <w:color w:val="000000" w:themeColor="text1"/>
          <w:lang w:val="en-US"/>
        </w:rPr>
        <w:t xml:space="preserve">and </w:t>
      </w:r>
      <w:r w:rsidR="006D2955" w:rsidRPr="00326CF9">
        <w:rPr>
          <w:rFonts w:ascii="Calibri" w:hAnsi="Calibri" w:cs="Calibri"/>
          <w:color w:val="000000" w:themeColor="text1"/>
          <w:lang w:val="en-US"/>
        </w:rPr>
        <w:t>August 2018</w:t>
      </w:r>
      <w:r w:rsidR="00A71AD3" w:rsidRPr="00326CF9">
        <w:rPr>
          <w:rFonts w:ascii="Calibri" w:hAnsi="Calibri" w:cs="Calibri"/>
          <w:color w:val="000000" w:themeColor="text1"/>
          <w:lang w:val="en-US"/>
        </w:rPr>
        <w:t>.</w:t>
      </w:r>
      <w:r w:rsidRPr="00326CF9">
        <w:rPr>
          <w:rFonts w:ascii="Calibri" w:hAnsi="Calibri" w:cs="Calibri"/>
          <w:color w:val="000000" w:themeColor="text1"/>
          <w:lang w:val="en-US"/>
        </w:rPr>
        <w:t xml:space="preserve"> </w:t>
      </w:r>
      <w:r w:rsidR="007272A2" w:rsidRPr="00326CF9">
        <w:rPr>
          <w:rFonts w:ascii="Calibri" w:hAnsi="Calibri" w:cs="Calibri"/>
          <w:color w:val="000000" w:themeColor="text1"/>
          <w:lang w:val="en-US"/>
        </w:rPr>
        <w:t xml:space="preserve">The most </w:t>
      </w:r>
      <w:r w:rsidR="006D2955" w:rsidRPr="00326CF9">
        <w:rPr>
          <w:rFonts w:ascii="Calibri" w:hAnsi="Calibri" w:cs="Calibri"/>
          <w:color w:val="000000" w:themeColor="text1"/>
          <w:lang w:val="en-US"/>
        </w:rPr>
        <w:t xml:space="preserve">recent TTE was </w:t>
      </w:r>
      <w:r w:rsidR="008C6B91" w:rsidRPr="00326CF9">
        <w:rPr>
          <w:rFonts w:ascii="Calibri" w:hAnsi="Calibri" w:cs="Calibri"/>
          <w:color w:val="000000" w:themeColor="text1"/>
          <w:lang w:val="en-US"/>
        </w:rPr>
        <w:t>then</w:t>
      </w:r>
      <w:r w:rsidR="006D2955" w:rsidRPr="00326CF9">
        <w:rPr>
          <w:rFonts w:ascii="Calibri" w:hAnsi="Calibri" w:cs="Calibri"/>
          <w:color w:val="000000" w:themeColor="text1"/>
          <w:lang w:val="en-US"/>
        </w:rPr>
        <w:t xml:space="preserve"> </w:t>
      </w:r>
      <w:r w:rsidR="009B6535" w:rsidRPr="00326CF9">
        <w:rPr>
          <w:rFonts w:ascii="Calibri" w:hAnsi="Calibri" w:cs="Calibri"/>
          <w:color w:val="000000" w:themeColor="text1"/>
          <w:lang w:val="en-US"/>
        </w:rPr>
        <w:t>analyzed</w:t>
      </w:r>
      <w:r w:rsidR="006D2955" w:rsidRPr="00326CF9">
        <w:rPr>
          <w:rFonts w:ascii="Calibri" w:hAnsi="Calibri" w:cs="Calibri"/>
          <w:color w:val="000000" w:themeColor="text1"/>
          <w:lang w:val="en-US"/>
        </w:rPr>
        <w:t>.</w:t>
      </w:r>
    </w:p>
    <w:p w14:paraId="6A944351" w14:textId="4E5D8788" w:rsidR="009A6351" w:rsidRPr="00326CF9" w:rsidRDefault="00D54A53" w:rsidP="00326CF9">
      <w:pPr>
        <w:widowControl w:val="0"/>
        <w:tabs>
          <w:tab w:val="left" w:pos="90"/>
        </w:tabs>
        <w:autoSpaceDE w:val="0"/>
        <w:autoSpaceDN w:val="0"/>
        <w:adjustRightInd w:val="0"/>
        <w:spacing w:line="480" w:lineRule="auto"/>
        <w:ind w:firstLine="851"/>
        <w:jc w:val="both"/>
        <w:rPr>
          <w:rFonts w:ascii="Calibri" w:hAnsi="Calibri" w:cs="Calibri"/>
          <w:color w:val="000000" w:themeColor="text1"/>
          <w:lang w:val="en-US"/>
        </w:rPr>
      </w:pPr>
      <w:r w:rsidRPr="00326CF9">
        <w:rPr>
          <w:rFonts w:ascii="Calibri" w:hAnsi="Calibri" w:cs="Calibri"/>
          <w:color w:val="000000" w:themeColor="text1"/>
          <w:lang w:val="en-US"/>
        </w:rPr>
        <w:t>Demographic</w:t>
      </w:r>
      <w:r w:rsidR="009857C5">
        <w:rPr>
          <w:rFonts w:ascii="Calibri" w:hAnsi="Calibri" w:cs="Calibri"/>
          <w:color w:val="000000" w:themeColor="text1"/>
          <w:lang w:val="en-US"/>
        </w:rPr>
        <w:t xml:space="preserve"> and </w:t>
      </w:r>
      <w:r w:rsidRPr="00326CF9">
        <w:rPr>
          <w:rFonts w:ascii="Calibri" w:hAnsi="Calibri" w:cs="Calibri"/>
          <w:color w:val="000000" w:themeColor="text1"/>
          <w:lang w:val="en-US"/>
        </w:rPr>
        <w:t xml:space="preserve">clinical </w:t>
      </w:r>
      <w:r w:rsidR="003E3BC6" w:rsidRPr="00326CF9">
        <w:rPr>
          <w:rFonts w:ascii="Calibri" w:hAnsi="Calibri" w:cs="Calibri"/>
          <w:color w:val="000000" w:themeColor="text1"/>
          <w:lang w:val="en-US"/>
        </w:rPr>
        <w:t>characteristics</w:t>
      </w:r>
      <w:r w:rsidRPr="00326CF9">
        <w:rPr>
          <w:rFonts w:ascii="Calibri" w:hAnsi="Calibri" w:cs="Calibri"/>
          <w:color w:val="000000" w:themeColor="text1"/>
          <w:lang w:val="en-US"/>
        </w:rPr>
        <w:t xml:space="preserve"> (age, weight, height, body surface area, body mass index, cardiovascular risk factors, comorbidities</w:t>
      </w:r>
      <w:r w:rsidR="003E3BC6" w:rsidRPr="00326CF9">
        <w:rPr>
          <w:rFonts w:ascii="Calibri" w:hAnsi="Calibri" w:cs="Calibri"/>
          <w:color w:val="000000" w:themeColor="text1"/>
          <w:lang w:val="en-US"/>
        </w:rPr>
        <w:t xml:space="preserve"> and</w:t>
      </w:r>
      <w:r w:rsidRPr="00326CF9">
        <w:rPr>
          <w:rFonts w:ascii="Calibri" w:hAnsi="Calibri" w:cs="Calibri"/>
          <w:color w:val="000000" w:themeColor="text1"/>
          <w:lang w:val="en-US"/>
        </w:rPr>
        <w:t xml:space="preserve"> medical history</w:t>
      </w:r>
      <w:r w:rsidR="009857C5">
        <w:rPr>
          <w:rFonts w:ascii="Calibri" w:hAnsi="Calibri" w:cs="Calibri"/>
          <w:color w:val="000000" w:themeColor="text1"/>
          <w:lang w:val="en-US"/>
        </w:rPr>
        <w:t xml:space="preserve">, </w:t>
      </w:r>
      <w:r w:rsidR="009857C5" w:rsidRPr="009857C5">
        <w:rPr>
          <w:rFonts w:ascii="Calibri" w:hAnsi="Calibri" w:cs="Calibri"/>
          <w:color w:val="000000" w:themeColor="text1"/>
          <w:lang w:val="en-US"/>
        </w:rPr>
        <w:t>B-type natriuretic peptide</w:t>
      </w:r>
      <w:r w:rsidR="009857C5">
        <w:rPr>
          <w:rFonts w:ascii="Calibri" w:hAnsi="Calibri" w:cs="Calibri"/>
          <w:color w:val="000000" w:themeColor="text1"/>
          <w:lang w:val="en-US"/>
        </w:rPr>
        <w:t xml:space="preserve"> [BNP]</w:t>
      </w:r>
      <w:r w:rsidRPr="00326CF9">
        <w:rPr>
          <w:rFonts w:ascii="Calibri" w:hAnsi="Calibri" w:cs="Calibri"/>
          <w:color w:val="000000" w:themeColor="text1"/>
          <w:lang w:val="en-US"/>
        </w:rPr>
        <w:t xml:space="preserve">) were retrieved from the electronic patients’ records of the hospital database. </w:t>
      </w:r>
    </w:p>
    <w:p w14:paraId="4A6D3CCE" w14:textId="5240B4EF" w:rsidR="009A6351" w:rsidRPr="00326CF9" w:rsidRDefault="007272A2" w:rsidP="00326CF9">
      <w:pPr>
        <w:widowControl w:val="0"/>
        <w:tabs>
          <w:tab w:val="left" w:pos="90"/>
        </w:tabs>
        <w:autoSpaceDE w:val="0"/>
        <w:autoSpaceDN w:val="0"/>
        <w:adjustRightInd w:val="0"/>
        <w:spacing w:line="480" w:lineRule="auto"/>
        <w:ind w:firstLine="851"/>
        <w:jc w:val="both"/>
        <w:rPr>
          <w:rFonts w:ascii="Calibri" w:hAnsi="Calibri" w:cs="Calibri"/>
        </w:rPr>
      </w:pPr>
      <w:r w:rsidRPr="00326CF9">
        <w:rPr>
          <w:rFonts w:ascii="Calibri" w:hAnsi="Calibri" w:cs="Calibri"/>
          <w:color w:val="000000" w:themeColor="text1"/>
          <w:lang w:val="en-US"/>
        </w:rPr>
        <w:t xml:space="preserve">Follow-up data were collected by an investigator who was not involved in the echocardiographic measurements through the analysis of hospital electronic patients records. </w:t>
      </w:r>
      <w:r w:rsidRPr="00326CF9">
        <w:rPr>
          <w:rFonts w:ascii="Calibri" w:hAnsi="Calibri" w:cs="Calibri"/>
        </w:rPr>
        <w:t xml:space="preserve">Survival status was retrieved from the Primary Care Mortality Database in </w:t>
      </w:r>
      <w:r w:rsidR="009A6351" w:rsidRPr="00326CF9">
        <w:rPr>
          <w:rFonts w:ascii="Calibri" w:hAnsi="Calibri" w:cs="Calibri"/>
        </w:rPr>
        <w:t xml:space="preserve">the UK in </w:t>
      </w:r>
      <w:r w:rsidRPr="00326CF9">
        <w:rPr>
          <w:rFonts w:ascii="Calibri" w:hAnsi="Calibri" w:cs="Calibri"/>
        </w:rPr>
        <w:t xml:space="preserve">October 2022. </w:t>
      </w:r>
      <w:r w:rsidR="00E32F47" w:rsidRPr="00326CF9">
        <w:rPr>
          <w:rFonts w:ascii="Calibri" w:hAnsi="Calibri" w:cs="Calibri"/>
        </w:rPr>
        <w:t xml:space="preserve">The </w:t>
      </w:r>
      <w:r w:rsidR="0061663E">
        <w:rPr>
          <w:rFonts w:ascii="Calibri" w:hAnsi="Calibri" w:cs="Calibri"/>
        </w:rPr>
        <w:t>study</w:t>
      </w:r>
      <w:r w:rsidR="00E32F47" w:rsidRPr="00326CF9">
        <w:rPr>
          <w:rFonts w:ascii="Calibri" w:hAnsi="Calibri" w:cs="Calibri"/>
        </w:rPr>
        <w:t xml:space="preserve"> endpoint was all-cause mortality </w:t>
      </w:r>
      <w:r w:rsidR="00392E79">
        <w:rPr>
          <w:rFonts w:ascii="Calibri" w:hAnsi="Calibri" w:cs="Calibri"/>
        </w:rPr>
        <w:t>and</w:t>
      </w:r>
      <w:r w:rsidR="00E32F47" w:rsidRPr="00326CF9">
        <w:rPr>
          <w:rFonts w:ascii="Calibri" w:hAnsi="Calibri" w:cs="Calibri"/>
        </w:rPr>
        <w:t xml:space="preserve"> heart</w:t>
      </w:r>
      <w:r w:rsidR="00392E79">
        <w:rPr>
          <w:rFonts w:ascii="Calibri" w:hAnsi="Calibri" w:cs="Calibri"/>
        </w:rPr>
        <w:t xml:space="preserve"> or </w:t>
      </w:r>
      <w:r w:rsidR="00E32F47" w:rsidRPr="00326CF9">
        <w:rPr>
          <w:rFonts w:ascii="Calibri" w:hAnsi="Calibri" w:cs="Calibri"/>
        </w:rPr>
        <w:t>heart-and-lung transplantation.</w:t>
      </w:r>
    </w:p>
    <w:p w14:paraId="21B50E79" w14:textId="54E759CF" w:rsidR="00D54A53" w:rsidRPr="00326CF9" w:rsidRDefault="007272A2" w:rsidP="00326CF9">
      <w:pPr>
        <w:widowControl w:val="0"/>
        <w:tabs>
          <w:tab w:val="left" w:pos="90"/>
        </w:tabs>
        <w:autoSpaceDE w:val="0"/>
        <w:autoSpaceDN w:val="0"/>
        <w:adjustRightInd w:val="0"/>
        <w:spacing w:line="480" w:lineRule="auto"/>
        <w:ind w:firstLine="851"/>
        <w:jc w:val="both"/>
        <w:rPr>
          <w:rFonts w:ascii="Calibri" w:hAnsi="Calibri" w:cs="Calibri"/>
          <w:color w:val="000000" w:themeColor="text1"/>
          <w:lang w:val="en-US"/>
        </w:rPr>
      </w:pPr>
      <w:r w:rsidRPr="00326CF9">
        <w:rPr>
          <w:rFonts w:ascii="Calibri" w:hAnsi="Calibri" w:cs="Calibri"/>
        </w:rPr>
        <w:t>The study was approved by the UK Health Research Authority (IRAS Project ID 275809) and based on data collected for routine clinical care and administrative purposes, and therefore did not require individual consent.</w:t>
      </w:r>
    </w:p>
    <w:p w14:paraId="3875FE99" w14:textId="07B756D1" w:rsidR="00D54A53" w:rsidRPr="00326CF9" w:rsidRDefault="006F7B01" w:rsidP="00FF19A0">
      <w:pPr>
        <w:pStyle w:val="Heading2"/>
      </w:pPr>
      <w:r w:rsidRPr="00326CF9">
        <w:t xml:space="preserve">Echocardiographic data </w:t>
      </w:r>
      <w:r w:rsidR="00956954" w:rsidRPr="00326CF9">
        <w:t xml:space="preserve">acquisition and </w:t>
      </w:r>
      <w:r w:rsidRPr="00326CF9">
        <w:t>analysis</w:t>
      </w:r>
    </w:p>
    <w:p w14:paraId="3316E92B" w14:textId="29BA18DB" w:rsidR="008A6DCF" w:rsidRPr="00326CF9" w:rsidRDefault="00AF67E7" w:rsidP="008A6DCF">
      <w:pPr>
        <w:widowControl w:val="0"/>
        <w:autoSpaceDE w:val="0"/>
        <w:autoSpaceDN w:val="0"/>
        <w:adjustRightInd w:val="0"/>
        <w:spacing w:line="480" w:lineRule="auto"/>
        <w:ind w:firstLine="851"/>
        <w:jc w:val="both"/>
        <w:rPr>
          <w:rFonts w:ascii="Calibri" w:hAnsi="Calibri" w:cs="Calibri"/>
          <w:color w:val="000000" w:themeColor="text1"/>
          <w:lang w:val="en-US"/>
        </w:rPr>
      </w:pPr>
      <w:r w:rsidRPr="00326CF9">
        <w:rPr>
          <w:rFonts w:ascii="Calibri" w:hAnsi="Calibri" w:cs="Calibri"/>
          <w:color w:val="000000" w:themeColor="text1"/>
          <w:lang w:val="en-US"/>
        </w:rPr>
        <w:t xml:space="preserve">TTE </w:t>
      </w:r>
      <w:r w:rsidR="00E92362" w:rsidRPr="00326CF9">
        <w:rPr>
          <w:rFonts w:ascii="Calibri" w:hAnsi="Calibri" w:cs="Calibri"/>
          <w:color w:val="000000" w:themeColor="text1"/>
          <w:lang w:val="en-US"/>
        </w:rPr>
        <w:t>was</w:t>
      </w:r>
      <w:r w:rsidRPr="00326CF9">
        <w:rPr>
          <w:rFonts w:ascii="Calibri" w:hAnsi="Calibri" w:cs="Calibri"/>
          <w:color w:val="000000" w:themeColor="text1"/>
          <w:lang w:val="en-US"/>
        </w:rPr>
        <w:t xml:space="preserve"> performed according to the hospital protocol </w:t>
      </w:r>
      <w:r w:rsidR="00E92362" w:rsidRPr="00326CF9">
        <w:rPr>
          <w:rFonts w:ascii="Calibri" w:hAnsi="Calibri" w:cs="Calibri"/>
          <w:color w:val="000000" w:themeColor="text1"/>
          <w:lang w:val="en-US"/>
        </w:rPr>
        <w:t>which was in agreement with</w:t>
      </w:r>
      <w:r w:rsidRPr="00326CF9">
        <w:rPr>
          <w:rFonts w:ascii="Calibri" w:hAnsi="Calibri" w:cs="Calibri"/>
          <w:color w:val="000000" w:themeColor="text1"/>
          <w:lang w:val="en-US"/>
        </w:rPr>
        <w:t xml:space="preserve"> recommendations from the International Society of Adult Congenital Heart Disease</w:t>
      </w:r>
      <w:r w:rsidR="00CA43E7" w:rsidRPr="00326CF9">
        <w:rPr>
          <w:rFonts w:ascii="Calibri" w:hAnsi="Calibri" w:cs="Calibri"/>
          <w:color w:val="000000" w:themeColor="text1"/>
          <w:lang w:val="en-US"/>
        </w:rPr>
        <w:t>.</w:t>
      </w:r>
      <w:r w:rsidRPr="00326CF9">
        <w:rPr>
          <w:rFonts w:ascii="Calibri" w:hAnsi="Calibri" w:cs="Calibri"/>
          <w:color w:val="000000" w:themeColor="text1"/>
          <w:lang w:val="en-US"/>
        </w:rPr>
        <w:fldChar w:fldCharType="begin" w:fldLock="1"/>
      </w:r>
      <w:r w:rsidR="007E12C6">
        <w:rPr>
          <w:rFonts w:ascii="Calibri" w:hAnsi="Calibri" w:cs="Calibri"/>
          <w:color w:val="000000" w:themeColor="text1"/>
          <w:lang w:val="en-US"/>
        </w:rPr>
        <w:instrText>ADDIN CSL_CITATION {"citationItems":[{"id":"ITEM-1","itemData":{"DOI":"10.1016/j.ijcard.2018.07.058","ISSN":"0167-5273","author":[{"dropping-particle":"","family":"Li","given":"Wei","non-dropping-particle":"","parse-names":false,"suffix":""},{"dropping-particle":"","family":"West","given":"Cathy","non-dropping-particle":"","parse-names":false,"suffix":""},{"dropping-particle":"","family":"Mcghie","given":"Jackie","non-dropping-particle":"","parse-names":false,"suffix":""},{"dropping-particle":"Van Den","family":"Bosch","given":"Annemien E","non-dropping-particle":"","parse-names":false,"suffix":""},{"dropping-particle":"V","family":"Babu-narayan","given":"Sonya","non-dropping-particle":"","parse-names":false,"suffix":""},{"dropping-particle":"","family":"Meijboom","given":"Folkert","non-dropping-particle":"","parse-names":false,"suffix":""},{"dropping-particle":"","family":"Mongeon","given":"Francois-pierre","non-dropping-particle":"","parse-names":false,"suffix":""},{"dropping-particle":"","family":"Khairy","given":"Paul","non-dropping-particle":"","parse-names":false,"suffix":""},{"dropping-particle":"","family":"Kimball","given":"Thomas R","non-dropping-particle":"","parse-names":false,"suffix":""},{"dropping-particle":"","family":"Beauchesne","given":"Luc M","non-dropping-particle":"","parse-names":false,"suffix":""},{"dropping-particle":"","family":"Ammash","given":"Naser M","non-dropping-particle":"","parse-names":false,"suffix":""},{"dropping-particle":"","family":"Veldtman","given":"Gruschen R","non-dropping-particle":"","parse-names":false,"suffix":""},{"dropping-particle":"","family":"Oechslin","given":"Erwin","non-dropping-particle":"","parse-names":false,"suffix":""},{"dropping-particle":"","family":"Gatzoulis","given":"Michael A","non-dropping-particle":"","parse-names":false,"suffix":""},{"dropping-particle":"","family":"Webb","given":"Gary","non-dropping-particle":"","parse-names":false,"suffix":""}],"container-title":"International Journal of Cardiology","id":"ITEM-1","issued":{"date-parts":[["2018"]]},"page":"77-83","publisher":"Elsevier B.V.","title":"Consensus recommendations for echocardiography in adults with congenital heart defects from the International Society of Adult Congenital Heart Disease ( ISACHD )","type":"article-journal","volume":"272"},"uris":["http://www.mendeley.com/documents/?uuid=e3aeff98-5f98-4464-9cbb-99e7e52dc691"]}],"mendeley":{"formattedCitation":"&lt;sup&gt;14&lt;/sup&gt;","plainTextFormattedCitation":"14","previouslyFormattedCitation":"&lt;sup&gt;14&lt;/sup&gt;"},"properties":{"noteIndex":0},"schema":"https://github.com/citation-style-language/schema/raw/master/csl-citation.json"}</w:instrText>
      </w:r>
      <w:r w:rsidRPr="00326CF9">
        <w:rPr>
          <w:rFonts w:ascii="Calibri" w:hAnsi="Calibri" w:cs="Calibri"/>
          <w:color w:val="000000" w:themeColor="text1"/>
          <w:lang w:val="en-US"/>
        </w:rPr>
        <w:fldChar w:fldCharType="separate"/>
      </w:r>
      <w:r w:rsidR="009857C5" w:rsidRPr="009857C5">
        <w:rPr>
          <w:rFonts w:ascii="Calibri" w:hAnsi="Calibri" w:cs="Calibri"/>
          <w:noProof/>
          <w:color w:val="000000" w:themeColor="text1"/>
          <w:vertAlign w:val="superscript"/>
          <w:lang w:val="en-US"/>
        </w:rPr>
        <w:t>14</w:t>
      </w:r>
      <w:r w:rsidRPr="00326CF9">
        <w:rPr>
          <w:rFonts w:ascii="Calibri" w:hAnsi="Calibri" w:cs="Calibri"/>
          <w:color w:val="000000" w:themeColor="text1"/>
          <w:lang w:val="en-US"/>
        </w:rPr>
        <w:fldChar w:fldCharType="end"/>
      </w:r>
      <w:r w:rsidR="008A6DCF">
        <w:rPr>
          <w:rFonts w:ascii="Calibri" w:hAnsi="Calibri" w:cs="Calibri"/>
          <w:color w:val="000000" w:themeColor="text1"/>
          <w:lang w:val="en-US"/>
        </w:rPr>
        <w:t xml:space="preserve"> </w:t>
      </w:r>
      <w:r w:rsidR="008A6DCF">
        <w:rPr>
          <w:rFonts w:ascii="Calibri" w:hAnsi="Calibri" w:cs="Calibri"/>
          <w:color w:val="000000" w:themeColor="text1"/>
        </w:rPr>
        <w:t xml:space="preserve">All echocardiographic measurements </w:t>
      </w:r>
      <w:r w:rsidR="00B023C4">
        <w:rPr>
          <w:rFonts w:ascii="Calibri" w:hAnsi="Calibri" w:cs="Calibri"/>
          <w:color w:val="000000" w:themeColor="text1"/>
        </w:rPr>
        <w:t xml:space="preserve">in the studies included in the analysis </w:t>
      </w:r>
      <w:r w:rsidR="008A6DCF">
        <w:rPr>
          <w:rFonts w:ascii="Calibri" w:hAnsi="Calibri" w:cs="Calibri"/>
          <w:color w:val="000000" w:themeColor="text1"/>
        </w:rPr>
        <w:t xml:space="preserve">were performed by an experienced </w:t>
      </w:r>
      <w:r w:rsidR="00FB0216">
        <w:rPr>
          <w:rFonts w:ascii="Calibri" w:hAnsi="Calibri" w:cs="Calibri"/>
          <w:color w:val="000000" w:themeColor="text1"/>
        </w:rPr>
        <w:t>echocardiographer</w:t>
      </w:r>
      <w:r w:rsidR="008A6DCF">
        <w:rPr>
          <w:rFonts w:ascii="Calibri" w:hAnsi="Calibri" w:cs="Calibri"/>
          <w:color w:val="000000" w:themeColor="text1"/>
        </w:rPr>
        <w:t xml:space="preserve"> accredited in congenital heart disease echocardiography.</w:t>
      </w:r>
    </w:p>
    <w:p w14:paraId="0B8CEAAA" w14:textId="0D21BFDE" w:rsidR="00344EE2" w:rsidRPr="00326CF9" w:rsidRDefault="00E92362" w:rsidP="00326CF9">
      <w:pPr>
        <w:widowControl w:val="0"/>
        <w:autoSpaceDE w:val="0"/>
        <w:autoSpaceDN w:val="0"/>
        <w:adjustRightInd w:val="0"/>
        <w:spacing w:line="480" w:lineRule="auto"/>
        <w:ind w:firstLine="851"/>
        <w:jc w:val="both"/>
        <w:rPr>
          <w:rFonts w:ascii="Calibri" w:hAnsi="Calibri" w:cs="Calibri"/>
          <w:color w:val="000000" w:themeColor="text1"/>
          <w:lang w:val="en-US"/>
        </w:rPr>
      </w:pPr>
      <w:r w:rsidRPr="00326CF9">
        <w:rPr>
          <w:rFonts w:ascii="Calibri" w:hAnsi="Calibri" w:cs="Calibri"/>
          <w:color w:val="000000" w:themeColor="text1"/>
          <w:lang w:val="en-US"/>
        </w:rPr>
        <w:t xml:space="preserve">Due to complex geometry, semilunar shape under normal conditions and positional variations, subpulmonary LV morphology does not satisfy geometrical assumptions incorporated </w:t>
      </w:r>
      <w:r w:rsidRPr="00326CF9">
        <w:rPr>
          <w:rFonts w:ascii="Calibri" w:hAnsi="Calibri" w:cs="Calibri"/>
          <w:color w:val="000000" w:themeColor="text1"/>
          <w:lang w:val="en-US"/>
        </w:rPr>
        <w:lastRenderedPageBreak/>
        <w:t xml:space="preserve">in the Simpson model. That’s why </w:t>
      </w:r>
      <w:r w:rsidR="00344EE2" w:rsidRPr="00326CF9">
        <w:rPr>
          <w:rFonts w:ascii="Calibri" w:hAnsi="Calibri" w:cs="Calibri"/>
          <w:color w:val="000000" w:themeColor="text1"/>
          <w:lang w:val="en-US"/>
        </w:rPr>
        <w:t xml:space="preserve">traditional assessment of LV volumes and ejection fraction using Simpson’s biplane technique </w:t>
      </w:r>
      <w:r w:rsidR="005D70D5">
        <w:rPr>
          <w:rFonts w:ascii="Calibri" w:hAnsi="Calibri" w:cs="Calibri"/>
          <w:color w:val="000000" w:themeColor="text1"/>
          <w:lang w:val="en-US"/>
        </w:rPr>
        <w:t>will not be accurate</w:t>
      </w:r>
      <w:r w:rsidR="00344EE2" w:rsidRPr="00326CF9">
        <w:rPr>
          <w:rFonts w:ascii="Calibri" w:hAnsi="Calibri" w:cs="Calibri"/>
          <w:color w:val="000000" w:themeColor="text1"/>
          <w:lang w:val="en-US"/>
        </w:rPr>
        <w:t xml:space="preserve">. </w:t>
      </w:r>
      <w:r w:rsidRPr="00326CF9">
        <w:rPr>
          <w:rFonts w:ascii="Calibri" w:hAnsi="Calibri" w:cs="Calibri"/>
          <w:color w:val="000000" w:themeColor="text1"/>
          <w:lang w:val="en-US"/>
        </w:rPr>
        <w:t xml:space="preserve">LV </w:t>
      </w:r>
      <w:r w:rsidR="00344EE2" w:rsidRPr="00326CF9">
        <w:rPr>
          <w:rFonts w:ascii="Calibri" w:hAnsi="Calibri" w:cs="Calibri"/>
          <w:color w:val="000000" w:themeColor="text1"/>
          <w:lang w:val="en-US"/>
        </w:rPr>
        <w:t xml:space="preserve">size and </w:t>
      </w:r>
      <w:r w:rsidRPr="00326CF9">
        <w:rPr>
          <w:rFonts w:ascii="Calibri" w:hAnsi="Calibri" w:cs="Calibri"/>
          <w:color w:val="000000" w:themeColor="text1"/>
          <w:lang w:val="en-US"/>
        </w:rPr>
        <w:t xml:space="preserve">systolic function was </w:t>
      </w:r>
      <w:r w:rsidR="00344EE2" w:rsidRPr="00326CF9">
        <w:rPr>
          <w:rFonts w:ascii="Calibri" w:hAnsi="Calibri" w:cs="Calibri"/>
          <w:color w:val="000000" w:themeColor="text1"/>
          <w:lang w:val="en-US"/>
        </w:rPr>
        <w:t xml:space="preserve">assessed quantitively </w:t>
      </w:r>
      <w:r w:rsidRPr="00326CF9">
        <w:rPr>
          <w:rFonts w:ascii="Calibri" w:hAnsi="Calibri" w:cs="Calibri"/>
          <w:color w:val="000000" w:themeColor="text1"/>
          <w:lang w:val="en-US"/>
        </w:rPr>
        <w:t xml:space="preserve">using </w:t>
      </w:r>
      <w:r w:rsidR="00344EE2" w:rsidRPr="00326CF9">
        <w:rPr>
          <w:rFonts w:ascii="Calibri" w:hAnsi="Calibri" w:cs="Calibri"/>
          <w:color w:val="000000" w:themeColor="text1"/>
          <w:lang w:val="en-US"/>
        </w:rPr>
        <w:t xml:space="preserve">end-diastolic and and-systolic diameters (EDD and ESD), end-diastolic and end-systolic areas (EDA and ESA), </w:t>
      </w:r>
      <w:r w:rsidRPr="00326CF9">
        <w:rPr>
          <w:rFonts w:ascii="Calibri" w:hAnsi="Calibri" w:cs="Calibri"/>
          <w:color w:val="000000" w:themeColor="text1"/>
          <w:lang w:val="en-US"/>
        </w:rPr>
        <w:t xml:space="preserve">mitral annulus peak systolic excursion (MAPSE), </w:t>
      </w:r>
      <w:r w:rsidR="00344EE2" w:rsidRPr="00326CF9">
        <w:rPr>
          <w:rFonts w:ascii="Calibri" w:hAnsi="Calibri" w:cs="Calibri"/>
          <w:color w:val="000000" w:themeColor="text1"/>
          <w:lang w:val="en-US"/>
        </w:rPr>
        <w:t xml:space="preserve">fractional area change (FAC), and qualitatively by visual assessment from multiple views. </w:t>
      </w:r>
    </w:p>
    <w:p w14:paraId="2F362BF6" w14:textId="2600273C" w:rsidR="00344EE2" w:rsidRPr="00326CF9" w:rsidRDefault="00344EE2" w:rsidP="00326CF9">
      <w:pPr>
        <w:widowControl w:val="0"/>
        <w:autoSpaceDE w:val="0"/>
        <w:autoSpaceDN w:val="0"/>
        <w:adjustRightInd w:val="0"/>
        <w:spacing w:line="480" w:lineRule="auto"/>
        <w:ind w:firstLine="851"/>
        <w:jc w:val="both"/>
        <w:rPr>
          <w:rFonts w:ascii="Calibri" w:hAnsi="Calibri" w:cs="Calibri"/>
          <w:color w:val="000000" w:themeColor="text1"/>
        </w:rPr>
      </w:pPr>
      <w:r w:rsidRPr="00326CF9">
        <w:rPr>
          <w:rFonts w:ascii="Calibri" w:hAnsi="Calibri" w:cs="Calibri"/>
          <w:color w:val="000000" w:themeColor="text1"/>
          <w:lang w:val="en-US"/>
        </w:rPr>
        <w:t xml:space="preserve">In particular, </w:t>
      </w:r>
      <w:r w:rsidRPr="00326CF9">
        <w:rPr>
          <w:rFonts w:ascii="Calibri" w:hAnsi="Calibri" w:cs="Calibri"/>
          <w:color w:val="000000" w:themeColor="text1"/>
        </w:rPr>
        <w:t>for the assessment of FAC, the subpulmonary LV endocardial borders were traced in end-diastole and end-systole in the apical 4-chamber view to obtain EDA and ESA. FAC was calculated using the following formula:</w:t>
      </w:r>
      <w:r w:rsidRPr="00326CF9">
        <w:rPr>
          <w:rFonts w:ascii="Calibri" w:hAnsi="Calibri" w:cs="Calibri"/>
          <w:color w:val="000000" w:themeColor="text1"/>
          <w:lang w:val="en-US"/>
        </w:rPr>
        <w:t xml:space="preserve"> </w:t>
      </w:r>
      <w:r w:rsidRPr="00326CF9">
        <w:rPr>
          <w:rFonts w:ascii="Calibri" w:hAnsi="Calibri" w:cs="Calibri"/>
          <w:color w:val="000000" w:themeColor="text1"/>
        </w:rPr>
        <w:t>FAC = (EDA – ESA) / EDA. From the same apical 4-chamber view, a M-mode signal was obtained through the lateral mitral annulus with the line positioned along the direction of the mitral annulus displacement. MAPSE was measured as the difference between the annulus position in end-diastole and peak systole.</w:t>
      </w:r>
    </w:p>
    <w:p w14:paraId="780DB6EF" w14:textId="52F66983" w:rsidR="003418BD" w:rsidRDefault="00E92362" w:rsidP="00326CF9">
      <w:pPr>
        <w:widowControl w:val="0"/>
        <w:autoSpaceDE w:val="0"/>
        <w:autoSpaceDN w:val="0"/>
        <w:adjustRightInd w:val="0"/>
        <w:spacing w:line="480" w:lineRule="auto"/>
        <w:ind w:firstLine="851"/>
        <w:jc w:val="both"/>
        <w:rPr>
          <w:rFonts w:ascii="Calibri" w:hAnsi="Calibri" w:cs="Calibri"/>
          <w:color w:val="000000" w:themeColor="text1"/>
        </w:rPr>
      </w:pPr>
      <w:r w:rsidRPr="00326CF9">
        <w:rPr>
          <w:rFonts w:ascii="Calibri" w:hAnsi="Calibri" w:cs="Calibri"/>
          <w:color w:val="000000" w:themeColor="text1"/>
        </w:rPr>
        <w:t>T</w:t>
      </w:r>
      <w:r w:rsidR="00192BE2" w:rsidRPr="00326CF9">
        <w:rPr>
          <w:rFonts w:ascii="Calibri" w:hAnsi="Calibri" w:cs="Calibri"/>
          <w:color w:val="000000" w:themeColor="text1"/>
          <w:lang w:val="en-US"/>
        </w:rPr>
        <w:t xml:space="preserve">he size and function of </w:t>
      </w:r>
      <w:r w:rsidR="00344EE2" w:rsidRPr="00326CF9">
        <w:rPr>
          <w:rFonts w:ascii="Calibri" w:hAnsi="Calibri" w:cs="Calibri"/>
          <w:color w:val="000000" w:themeColor="text1"/>
          <w:lang w:val="en-US"/>
        </w:rPr>
        <w:t xml:space="preserve">the </w:t>
      </w:r>
      <w:r w:rsidR="00192BE2" w:rsidRPr="00326CF9">
        <w:rPr>
          <w:rFonts w:ascii="Calibri" w:hAnsi="Calibri" w:cs="Calibri"/>
          <w:color w:val="000000" w:themeColor="text1"/>
          <w:lang w:val="en-US"/>
        </w:rPr>
        <w:t xml:space="preserve">SRV was assessed </w:t>
      </w:r>
      <w:r w:rsidRPr="00326CF9">
        <w:rPr>
          <w:rFonts w:ascii="Calibri" w:hAnsi="Calibri" w:cs="Calibri"/>
          <w:color w:val="000000" w:themeColor="text1"/>
          <w:lang w:val="en-US"/>
        </w:rPr>
        <w:t>quantitively</w:t>
      </w:r>
      <w:r w:rsidR="00192BE2" w:rsidRPr="00326CF9">
        <w:rPr>
          <w:rFonts w:ascii="Calibri" w:hAnsi="Calibri" w:cs="Calibri"/>
          <w:color w:val="000000" w:themeColor="text1"/>
          <w:lang w:val="en-US"/>
        </w:rPr>
        <w:t xml:space="preserve"> by </w:t>
      </w:r>
      <w:r w:rsidR="00CA43E7" w:rsidRPr="00326CF9">
        <w:rPr>
          <w:rFonts w:ascii="Calibri" w:hAnsi="Calibri" w:cs="Calibri"/>
          <w:color w:val="000000" w:themeColor="text1"/>
          <w:lang w:val="en-US"/>
        </w:rPr>
        <w:t xml:space="preserve">SRV diameters, EDA and ESA, </w:t>
      </w:r>
      <w:r w:rsidR="00192BE2" w:rsidRPr="00326CF9">
        <w:rPr>
          <w:rFonts w:ascii="Calibri" w:hAnsi="Calibri" w:cs="Calibri"/>
          <w:color w:val="000000" w:themeColor="text1"/>
          <w:lang w:val="en-US"/>
        </w:rPr>
        <w:t xml:space="preserve">tricuspid annular plane systolic excursion (TAPSE), </w:t>
      </w:r>
      <w:r w:rsidR="00CA43E7" w:rsidRPr="00326CF9">
        <w:rPr>
          <w:rFonts w:ascii="Calibri" w:hAnsi="Calibri" w:cs="Calibri"/>
          <w:color w:val="000000" w:themeColor="text1"/>
          <w:lang w:val="en-US"/>
        </w:rPr>
        <w:t xml:space="preserve">tissue Doppler peak systolic velocity (S’), </w:t>
      </w:r>
      <w:r w:rsidR="00192BE2" w:rsidRPr="00326CF9">
        <w:rPr>
          <w:rFonts w:ascii="Calibri" w:hAnsi="Calibri" w:cs="Calibri"/>
          <w:color w:val="000000" w:themeColor="text1"/>
          <w:lang w:val="en-US"/>
        </w:rPr>
        <w:t>FAC, and qualitatively by visual assessment from multiple views</w:t>
      </w:r>
      <w:r w:rsidR="00344EE2" w:rsidRPr="00326CF9">
        <w:rPr>
          <w:rFonts w:ascii="Calibri" w:hAnsi="Calibri" w:cs="Calibri"/>
          <w:color w:val="000000" w:themeColor="text1"/>
          <w:lang w:val="en-US"/>
        </w:rPr>
        <w:t>, similarly as described for the subpulmonary LV.</w:t>
      </w:r>
      <w:r w:rsidR="00344EE2" w:rsidRPr="00326CF9">
        <w:rPr>
          <w:rFonts w:ascii="Calibri" w:hAnsi="Calibri" w:cs="Calibri"/>
          <w:color w:val="000000" w:themeColor="text1"/>
        </w:rPr>
        <w:t xml:space="preserve"> Care was taken to include the SRV trabeculation and moderator band into the cavity while measuring FAC.</w:t>
      </w:r>
    </w:p>
    <w:p w14:paraId="2CFBB9BD" w14:textId="77777777" w:rsidR="00956D7E" w:rsidRPr="00326CF9" w:rsidRDefault="00956D7E" w:rsidP="00956D7E">
      <w:pPr>
        <w:pStyle w:val="Heading2"/>
      </w:pPr>
      <w:r>
        <w:t>Reproducibility</w:t>
      </w:r>
      <w:r w:rsidRPr="00326CF9">
        <w:t xml:space="preserve"> analysis</w:t>
      </w:r>
    </w:p>
    <w:p w14:paraId="501161CC" w14:textId="77777777" w:rsidR="00956D7E" w:rsidRDefault="00956D7E" w:rsidP="00956D7E">
      <w:pPr>
        <w:widowControl w:val="0"/>
        <w:autoSpaceDE w:val="0"/>
        <w:autoSpaceDN w:val="0"/>
        <w:adjustRightInd w:val="0"/>
        <w:spacing w:line="480" w:lineRule="auto"/>
        <w:ind w:firstLine="851"/>
        <w:jc w:val="both"/>
        <w:rPr>
          <w:rFonts w:ascii="Calibri" w:hAnsi="Calibri" w:cs="Calibri"/>
          <w:color w:val="000000" w:themeColor="text1"/>
        </w:rPr>
      </w:pPr>
      <w:r w:rsidRPr="00956D7E">
        <w:rPr>
          <w:rFonts w:ascii="Calibri" w:hAnsi="Calibri" w:cs="Calibri"/>
          <w:color w:val="000000" w:themeColor="text1"/>
        </w:rPr>
        <w:t>To assess intra- and interobserver variability and reliability, measurements of key echocardiographic parameters in a subset of patients (n=18) were repeated by the initial operator (ES) and by a second experienced operator (CW), both blinded to the previous results. Intraclass correlation coefficient and the coefficient of variation were calculated</w:t>
      </w:r>
      <w:r>
        <w:rPr>
          <w:rFonts w:ascii="Calibri" w:hAnsi="Calibri" w:cs="Calibri"/>
          <w:color w:val="000000" w:themeColor="text1"/>
        </w:rPr>
        <w:t>.</w:t>
      </w:r>
    </w:p>
    <w:p w14:paraId="418F2E9B" w14:textId="77777777" w:rsidR="00956D7E" w:rsidRPr="00956D7E" w:rsidRDefault="00956D7E" w:rsidP="00FF19A0">
      <w:pPr>
        <w:pStyle w:val="Heading2"/>
        <w:rPr>
          <w:lang w:val="en-GB"/>
        </w:rPr>
      </w:pPr>
    </w:p>
    <w:p w14:paraId="5DC2B83D" w14:textId="4E26CCE4" w:rsidR="00E35B4C" w:rsidRPr="00326CF9" w:rsidRDefault="00E35B4C" w:rsidP="00FF19A0">
      <w:pPr>
        <w:pStyle w:val="Heading2"/>
      </w:pPr>
      <w:r w:rsidRPr="00326CF9">
        <w:t>Statistical analysis</w:t>
      </w:r>
    </w:p>
    <w:p w14:paraId="6DEC43BC" w14:textId="77777777" w:rsidR="009642E8" w:rsidRDefault="00E27711" w:rsidP="0021773B">
      <w:pPr>
        <w:pStyle w:val="FirstParagraph"/>
        <w:ind w:firstLine="851"/>
        <w:jc w:val="both"/>
        <w:rPr>
          <w:rFonts w:ascii="Calibri" w:hAnsi="Calibri" w:cs="Calibri"/>
        </w:rPr>
      </w:pPr>
      <w:r w:rsidRPr="00326CF9">
        <w:rPr>
          <w:rFonts w:ascii="Calibri" w:hAnsi="Calibri" w:cs="Calibri"/>
        </w:rPr>
        <w:t xml:space="preserve">Statistical analyses were performed using R Statistics version 4.1.2 (R Foundation for Statistical Computing, Vienna, Austria). Continuous variables are presented as </w:t>
      </w:r>
      <w:proofErr w:type="spellStart"/>
      <w:r w:rsidRPr="00326CF9">
        <w:rPr>
          <w:rFonts w:ascii="Calibri" w:hAnsi="Calibri" w:cs="Calibri"/>
        </w:rPr>
        <w:t>mean±standard</w:t>
      </w:r>
      <w:proofErr w:type="spellEnd"/>
      <w:r w:rsidRPr="00326CF9">
        <w:rPr>
          <w:rFonts w:ascii="Calibri" w:hAnsi="Calibri" w:cs="Calibri"/>
        </w:rPr>
        <w:t xml:space="preserve"> deviation or median [interquartile range]. Categorical variables are presented as number (percentage). Comparisons between groups were performed using the Wilcoxon rank sum test for continuous variables and the chi-squared test or Fisher’s exact test for categorical variables. Survival analysis was performed for the primary endpoint of all-cause mortality or heart/heart-lung transplantation, using the date of echocardiography as the start date. Patients were censored if they were alive at the end of the study (23</w:t>
      </w:r>
      <w:r w:rsidRPr="00326CF9">
        <w:rPr>
          <w:rFonts w:ascii="Calibri" w:hAnsi="Calibri" w:cs="Calibri"/>
          <w:vertAlign w:val="superscript"/>
        </w:rPr>
        <w:t>rd</w:t>
      </w:r>
      <w:r w:rsidRPr="00326CF9">
        <w:rPr>
          <w:rFonts w:ascii="Calibri" w:hAnsi="Calibri" w:cs="Calibri"/>
        </w:rPr>
        <w:t xml:space="preserve"> October 2022)</w:t>
      </w:r>
      <w:r w:rsidR="00B2164A">
        <w:rPr>
          <w:rFonts w:ascii="Calibri" w:hAnsi="Calibri" w:cs="Calibri"/>
        </w:rPr>
        <w:t>,</w:t>
      </w:r>
      <w:r w:rsidRPr="00326CF9">
        <w:rPr>
          <w:rFonts w:ascii="Calibri" w:hAnsi="Calibri" w:cs="Calibri"/>
        </w:rPr>
        <w:t xml:space="preserve"> or if they </w:t>
      </w:r>
      <w:r w:rsidR="00B2164A">
        <w:rPr>
          <w:rFonts w:ascii="Calibri" w:hAnsi="Calibri" w:cs="Calibri"/>
        </w:rPr>
        <w:t>emigrated</w:t>
      </w:r>
      <w:r w:rsidR="0061663E">
        <w:rPr>
          <w:rFonts w:ascii="Calibri" w:hAnsi="Calibri" w:cs="Calibri"/>
        </w:rPr>
        <w:t xml:space="preserve"> </w:t>
      </w:r>
      <w:r w:rsidR="00B2164A">
        <w:rPr>
          <w:rFonts w:ascii="Calibri" w:hAnsi="Calibri" w:cs="Calibri"/>
        </w:rPr>
        <w:t>or were lost-to-follow-up.</w:t>
      </w:r>
      <w:r w:rsidRPr="00326CF9">
        <w:rPr>
          <w:rFonts w:ascii="Calibri" w:hAnsi="Calibri" w:cs="Calibri"/>
        </w:rPr>
        <w:t xml:space="preserve"> Transplant-free survival differences in Kaplan-Meier survival curves were evaluated using the Log-rank test.</w:t>
      </w:r>
      <w:r w:rsidR="008E68D6">
        <w:rPr>
          <w:rFonts w:ascii="Calibri" w:hAnsi="Calibri" w:cs="Calibri"/>
        </w:rPr>
        <w:t xml:space="preserve"> </w:t>
      </w:r>
      <w:r w:rsidRPr="00326CF9">
        <w:rPr>
          <w:rFonts w:ascii="Calibri" w:hAnsi="Calibri" w:cs="Calibri"/>
        </w:rPr>
        <w:t>Univariable Cox regression analysis was used to assess the relation between baseline clinical variables and transplant-free survival. Time-dependent Receiver-operating characteristic (package ‘</w:t>
      </w:r>
      <w:proofErr w:type="spellStart"/>
      <w:r w:rsidRPr="00326CF9">
        <w:rPr>
          <w:rFonts w:ascii="Calibri" w:hAnsi="Calibri" w:cs="Calibri"/>
        </w:rPr>
        <w:t>timeROC</w:t>
      </w:r>
      <w:proofErr w:type="spellEnd"/>
      <w:r w:rsidRPr="00326CF9">
        <w:rPr>
          <w:rFonts w:ascii="Calibri" w:hAnsi="Calibri" w:cs="Calibri"/>
        </w:rPr>
        <w:t>’) was used to predict 1-, 3-, and 5-year transplant-free survival.</w:t>
      </w:r>
      <w:r w:rsidR="00163133">
        <w:rPr>
          <w:rFonts w:ascii="Calibri" w:hAnsi="Calibri" w:cs="Calibri"/>
        </w:rPr>
        <w:fldChar w:fldCharType="begin" w:fldLock="1"/>
      </w:r>
      <w:r w:rsidR="007E12C6">
        <w:rPr>
          <w:rFonts w:ascii="Calibri" w:hAnsi="Calibri" w:cs="Calibri"/>
        </w:rPr>
        <w:instrText>ADDIN CSL_CITATION {"citationItems":[{"id":"ITEM-1","itemData":{"DOI":"10.1002/sim.5958","ISSN":"1097-0258 (Electronic)","PMID":"24027076","abstract":"The area under the time-dependent ROC curve (AUC) may be used to quantify the  ability of a marker to predict the onset of a clinical outcome in the future. For survival analysis with competing risks, two alternative definitions of the specificity may be proposed depending of the way to deal with subjects who undergo the competing events. In this work, we propose nonparametric inverse probability of censoring weighting estimators of the AUC corresponding to these two definitions, and we study their asymptotic properties. We derive confidence intervals and test statistics for the equality of the AUCs obtained with two markers measured on the same subjects. A simulation study is performed to investigate the finite sample behaviour of the test and the confidence intervals. The method is applied to the French cohort PAQUID to compare the abilities of two psychometric tests to predict dementia onset in the elderly accounting for death without dementia competing risk. The 'timeROC' R package is provided to make the methodology easily usable.","author":[{"dropping-particle":"","family":"Blanche","given":"Paul","non-dropping-particle":"","parse-names":false,"suffix":""},{"dropping-particle":"","family":"Dartigues","given":"Jean-François","non-dropping-particle":"","parse-names":false,"suffix":""},{"dropping-particle":"","family":"Jacqmin-Gadda","given":"Hélène","non-dropping-particle":"","parse-names":false,"suffix":""}],"container-title":"Statistics in medicine","id":"ITEM-1","issue":"30","issued":{"date-parts":[["2013","12"]]},"language":"eng","page":"5381-5397","publisher-place":"England","title":"Estimating and comparing time-dependent areas under receiver operating  characteristic curves for censored event times with competing risks.","type":"article-journal","volume":"32"},"uris":["http://www.mendeley.com/documents/?uuid=5c489925-2d3a-485d-89f5-2b4ab3af4e0e"]}],"mendeley":{"formattedCitation":"&lt;sup&gt;15&lt;/sup&gt;","plainTextFormattedCitation":"15","previouslyFormattedCitation":"&lt;sup&gt;15&lt;/sup&gt;"},"properties":{"noteIndex":0},"schema":"https://github.com/citation-style-language/schema/raw/master/csl-citation.json"}</w:instrText>
      </w:r>
      <w:r w:rsidR="00163133">
        <w:rPr>
          <w:rFonts w:ascii="Calibri" w:hAnsi="Calibri" w:cs="Calibri"/>
        </w:rPr>
        <w:fldChar w:fldCharType="separate"/>
      </w:r>
      <w:r w:rsidR="009857C5" w:rsidRPr="009857C5">
        <w:rPr>
          <w:rFonts w:ascii="Calibri" w:hAnsi="Calibri" w:cs="Calibri"/>
          <w:noProof/>
          <w:vertAlign w:val="superscript"/>
        </w:rPr>
        <w:t>15</w:t>
      </w:r>
      <w:r w:rsidR="00163133">
        <w:rPr>
          <w:rFonts w:ascii="Calibri" w:hAnsi="Calibri" w:cs="Calibri"/>
        </w:rPr>
        <w:fldChar w:fldCharType="end"/>
      </w:r>
      <w:r w:rsidRPr="00326CF9">
        <w:rPr>
          <w:rFonts w:ascii="Calibri" w:hAnsi="Calibri" w:cs="Calibri"/>
        </w:rPr>
        <w:t xml:space="preserve"> Pointwise confidence interval and for areas under </w:t>
      </w:r>
      <w:proofErr w:type="spellStart"/>
      <w:r w:rsidRPr="00326CF9">
        <w:rPr>
          <w:rFonts w:ascii="Calibri" w:hAnsi="Calibri" w:cs="Calibri"/>
        </w:rPr>
        <w:t>timeROC</w:t>
      </w:r>
      <w:proofErr w:type="spellEnd"/>
      <w:r w:rsidRPr="00326CF9">
        <w:rPr>
          <w:rFonts w:ascii="Calibri" w:hAnsi="Calibri" w:cs="Calibri"/>
        </w:rPr>
        <w:t xml:space="preserve"> curves </w:t>
      </w:r>
      <w:r w:rsidR="009377FB">
        <w:rPr>
          <w:rFonts w:ascii="Calibri" w:hAnsi="Calibri" w:cs="Calibri"/>
        </w:rPr>
        <w:t xml:space="preserve">(AUC) </w:t>
      </w:r>
      <w:r w:rsidRPr="00326CF9">
        <w:rPr>
          <w:rFonts w:ascii="Calibri" w:hAnsi="Calibri" w:cs="Calibri"/>
        </w:rPr>
        <w:t>were computed from the asymptotic normality of time-dependent AUC estimators using inverse probability of censoring weights computed from a Kaplan-Meier estimator in the ‘</w:t>
      </w:r>
      <w:proofErr w:type="spellStart"/>
      <w:r w:rsidRPr="00326CF9">
        <w:rPr>
          <w:rFonts w:ascii="Calibri" w:hAnsi="Calibri" w:cs="Calibri"/>
        </w:rPr>
        <w:t>timeROC</w:t>
      </w:r>
      <w:proofErr w:type="spellEnd"/>
      <w:r w:rsidRPr="00326CF9">
        <w:rPr>
          <w:rFonts w:ascii="Calibri" w:hAnsi="Calibri" w:cs="Calibri"/>
        </w:rPr>
        <w:t xml:space="preserve">’ package. Missing data were imputed using multiple imputation by chained equations (package ‘mice’) to generate 20 imputed datasets. </w:t>
      </w:r>
      <w:r w:rsidR="005D6725" w:rsidRPr="005D6725">
        <w:rPr>
          <w:rFonts w:ascii="Calibri" w:hAnsi="Calibri" w:cs="Calibri"/>
        </w:rPr>
        <w:t>Variables with high missingness (≥20%) were not imputed or included in the subsequent analysis</w:t>
      </w:r>
      <w:r w:rsidR="005D6725">
        <w:rPr>
          <w:rFonts w:ascii="Calibri" w:hAnsi="Calibri" w:cs="Calibri"/>
        </w:rPr>
        <w:t>.</w:t>
      </w:r>
      <w:r w:rsidR="005D6725" w:rsidRPr="005D6725">
        <w:rPr>
          <w:rFonts w:ascii="Calibri" w:hAnsi="Calibri" w:cs="Calibri"/>
        </w:rPr>
        <w:t xml:space="preserve"> </w:t>
      </w:r>
      <w:r w:rsidRPr="00326CF9">
        <w:rPr>
          <w:rFonts w:ascii="Calibri" w:hAnsi="Calibri" w:cs="Calibri"/>
        </w:rPr>
        <w:t xml:space="preserve">Collinearity testing was undertaken pre- and post-multiple imputation (variance inflation factor &lt;3 indicative of collinearity). Variables with high missingness (&gt;20%) were not imputed or included in the subsequent analysis. Multivariable Cox regression analysis was performed on each imputed dataset and pooled estimates </w:t>
      </w:r>
      <w:r w:rsidRPr="00326CF9">
        <w:rPr>
          <w:rFonts w:ascii="Calibri" w:hAnsi="Calibri" w:cs="Calibri"/>
        </w:rPr>
        <w:lastRenderedPageBreak/>
        <w:t>generated.</w:t>
      </w:r>
      <w:r w:rsidR="00B2164A" w:rsidRPr="00B2164A">
        <w:rPr>
          <w:rFonts w:ascii="Calibri" w:hAnsi="Calibri" w:cs="Calibri"/>
        </w:rPr>
        <w:t xml:space="preserve"> </w:t>
      </w:r>
      <w:r w:rsidR="00BA61B5" w:rsidRPr="00BA61B5">
        <w:rPr>
          <w:rFonts w:asciiTheme="majorHAnsi" w:hAnsiTheme="majorHAnsi" w:cstheme="majorHAnsi"/>
          <w:color w:val="000000" w:themeColor="text1"/>
        </w:rPr>
        <w:t>To assess the prognostic significance of markers of subpulmonary LV function in patients without established pre-capillary pulmonary hypertension on pulmonary arterial hypertension (PAH) therapies, univariable and (after multiple imputation) multivariable Cox analysis was performed on the group of patients not on PAH therapies as a sensitivity analysis</w:t>
      </w:r>
      <w:r w:rsidR="00BA61B5">
        <w:rPr>
          <w:rFonts w:asciiTheme="majorHAnsi" w:hAnsiTheme="majorHAnsi" w:cstheme="majorHAnsi"/>
          <w:color w:val="000000" w:themeColor="text1"/>
        </w:rPr>
        <w:t xml:space="preserve">. </w:t>
      </w:r>
      <w:r w:rsidR="00B2164A" w:rsidRPr="00BA61B5">
        <w:rPr>
          <w:rFonts w:asciiTheme="majorHAnsi" w:hAnsiTheme="majorHAnsi" w:cstheme="majorHAnsi"/>
          <w:color w:val="000000" w:themeColor="text1"/>
        </w:rPr>
        <w:t>All</w:t>
      </w:r>
      <w:r w:rsidR="00B2164A" w:rsidRPr="00BA61B5">
        <w:rPr>
          <w:rFonts w:ascii="Calibri" w:hAnsi="Calibri" w:cs="Calibri"/>
          <w:color w:val="000000" w:themeColor="text1"/>
        </w:rPr>
        <w:t xml:space="preserve"> </w:t>
      </w:r>
      <w:r w:rsidR="00B2164A" w:rsidRPr="00326CF9">
        <w:rPr>
          <w:rFonts w:ascii="Calibri" w:hAnsi="Calibri" w:cs="Calibri"/>
        </w:rPr>
        <w:t xml:space="preserve">tests were 2-sided, and a P value &lt;0.05 </w:t>
      </w:r>
      <w:r w:rsidR="00B2164A">
        <w:rPr>
          <w:rFonts w:ascii="Calibri" w:hAnsi="Calibri" w:cs="Calibri"/>
        </w:rPr>
        <w:t>was indicative of</w:t>
      </w:r>
      <w:r w:rsidR="00B2164A" w:rsidRPr="00326CF9">
        <w:rPr>
          <w:rFonts w:ascii="Calibri" w:hAnsi="Calibri" w:cs="Calibri"/>
        </w:rPr>
        <w:t xml:space="preserve"> statistical significance.</w:t>
      </w:r>
    </w:p>
    <w:p w14:paraId="53CA6C2D" w14:textId="1BEF8560" w:rsidR="00EE0B44" w:rsidRDefault="00EE0B44" w:rsidP="009642E8">
      <w:pPr>
        <w:pStyle w:val="FirstParagraph"/>
        <w:jc w:val="both"/>
        <w:rPr>
          <w:rFonts w:ascii="Calibri" w:eastAsiaTheme="majorEastAsia" w:hAnsi="Calibri" w:cs="Calibri"/>
          <w:sz w:val="28"/>
          <w:szCs w:val="28"/>
        </w:rPr>
      </w:pPr>
    </w:p>
    <w:p w14:paraId="25BB6AAC" w14:textId="7554DDB5" w:rsidR="004D7D5F" w:rsidRPr="00326CF9" w:rsidRDefault="001F4E94" w:rsidP="00E95D19">
      <w:pPr>
        <w:pStyle w:val="Heading1"/>
      </w:pPr>
      <w:r w:rsidRPr="00326CF9">
        <w:t>Results</w:t>
      </w:r>
    </w:p>
    <w:p w14:paraId="60DB7A6B" w14:textId="425FB91D" w:rsidR="00D36B4F" w:rsidRPr="00FF19A0" w:rsidRDefault="00D36B4F" w:rsidP="00FF19A0">
      <w:pPr>
        <w:pStyle w:val="Heading2"/>
      </w:pPr>
      <w:bookmarkStart w:id="3" w:name="patient-characteristics"/>
      <w:r w:rsidRPr="00FF19A0">
        <w:t>Patient characteristics</w:t>
      </w:r>
    </w:p>
    <w:p w14:paraId="7108C852" w14:textId="77A7ED3F" w:rsidR="00E27711" w:rsidRPr="00326CF9" w:rsidRDefault="00E27711" w:rsidP="00326CF9">
      <w:pPr>
        <w:pStyle w:val="FirstParagraph"/>
        <w:ind w:firstLine="851"/>
        <w:jc w:val="both"/>
        <w:rPr>
          <w:rFonts w:ascii="Calibri" w:hAnsi="Calibri" w:cs="Calibri"/>
        </w:rPr>
      </w:pPr>
      <w:bookmarkStart w:id="4" w:name="Xc0632d787ab547327d3f73c794c056d8c09dbed"/>
      <w:bookmarkEnd w:id="3"/>
      <w:r w:rsidRPr="00326CF9">
        <w:rPr>
          <w:rFonts w:ascii="Calibri" w:hAnsi="Calibri" w:cs="Calibri"/>
        </w:rPr>
        <w:t xml:space="preserve">During the study period, we identified 180 patients with a diagnosis of </w:t>
      </w:r>
      <w:r w:rsidR="00A65E2B">
        <w:rPr>
          <w:rFonts w:ascii="Calibri" w:hAnsi="Calibri" w:cs="Calibri"/>
        </w:rPr>
        <w:t xml:space="preserve">the </w:t>
      </w:r>
      <w:r w:rsidRPr="00326CF9">
        <w:rPr>
          <w:rFonts w:ascii="Calibri" w:hAnsi="Calibri" w:cs="Calibri"/>
        </w:rPr>
        <w:t xml:space="preserve">SRV. Their main demographic, clinical and echocardiographic characteristics are presented </w:t>
      </w:r>
      <w:r w:rsidRPr="00AD7065">
        <w:rPr>
          <w:rFonts w:ascii="Calibri" w:hAnsi="Calibri" w:cs="Calibri"/>
        </w:rPr>
        <w:t xml:space="preserve">in </w:t>
      </w:r>
      <w:r w:rsidRPr="0021773B">
        <w:rPr>
          <w:rFonts w:ascii="Calibri" w:hAnsi="Calibri" w:cs="Calibri"/>
          <w:b/>
          <w:bCs/>
        </w:rPr>
        <w:t>Table 1</w:t>
      </w:r>
      <w:r w:rsidRPr="00AD7065">
        <w:rPr>
          <w:rFonts w:ascii="Calibri" w:hAnsi="Calibri" w:cs="Calibri"/>
        </w:rPr>
        <w:t>. Mean</w:t>
      </w:r>
      <w:r w:rsidRPr="00326CF9">
        <w:rPr>
          <w:rFonts w:ascii="Calibri" w:hAnsi="Calibri" w:cs="Calibri"/>
        </w:rPr>
        <w:t xml:space="preserve"> age the time of baseline echocardiography was 42.4±12.3 years</w:t>
      </w:r>
      <w:r w:rsidR="00895A64">
        <w:rPr>
          <w:rFonts w:ascii="Calibri" w:hAnsi="Calibri" w:cs="Calibri"/>
        </w:rPr>
        <w:t>,</w:t>
      </w:r>
      <w:r w:rsidRPr="00326CF9">
        <w:rPr>
          <w:rFonts w:ascii="Calibri" w:hAnsi="Calibri" w:cs="Calibri"/>
        </w:rPr>
        <w:t xml:space="preserve"> 100</w:t>
      </w:r>
      <w:r w:rsidR="00895A64">
        <w:rPr>
          <w:rFonts w:ascii="Calibri" w:hAnsi="Calibri" w:cs="Calibri"/>
        </w:rPr>
        <w:t xml:space="preserve"> patients </w:t>
      </w:r>
      <w:r w:rsidRPr="00326CF9">
        <w:rPr>
          <w:rFonts w:ascii="Calibri" w:hAnsi="Calibri" w:cs="Calibri"/>
        </w:rPr>
        <w:t xml:space="preserve">(55.6%) were male. Over half of patients </w:t>
      </w:r>
      <w:r w:rsidR="00895A64" w:rsidRPr="00326CF9">
        <w:rPr>
          <w:rFonts w:ascii="Calibri" w:hAnsi="Calibri" w:cs="Calibri"/>
        </w:rPr>
        <w:t xml:space="preserve">(103, 57.2%) </w:t>
      </w:r>
      <w:r w:rsidRPr="00326CF9">
        <w:rPr>
          <w:rFonts w:ascii="Calibri" w:hAnsi="Calibri" w:cs="Calibri"/>
        </w:rPr>
        <w:t xml:space="preserve">had TGA </w:t>
      </w:r>
      <w:r w:rsidR="00881D15">
        <w:rPr>
          <w:rFonts w:ascii="Calibri" w:hAnsi="Calibri" w:cs="Calibri"/>
        </w:rPr>
        <w:t xml:space="preserve">and </w:t>
      </w:r>
      <w:r w:rsidRPr="00326CF9">
        <w:rPr>
          <w:rFonts w:ascii="Calibri" w:hAnsi="Calibri" w:cs="Calibri"/>
        </w:rPr>
        <w:t xml:space="preserve">atrial switch operation, of which the vast majority </w:t>
      </w:r>
      <w:r w:rsidR="00895A64" w:rsidRPr="00326CF9">
        <w:rPr>
          <w:rFonts w:ascii="Calibri" w:hAnsi="Calibri" w:cs="Calibri"/>
        </w:rPr>
        <w:t xml:space="preserve">had undergone a Mustard repair </w:t>
      </w:r>
      <w:r w:rsidR="00895A64">
        <w:rPr>
          <w:rFonts w:ascii="Calibri" w:hAnsi="Calibri" w:cs="Calibri"/>
        </w:rPr>
        <w:t>(</w:t>
      </w:r>
      <w:r w:rsidRPr="00326CF9">
        <w:rPr>
          <w:rFonts w:ascii="Calibri" w:hAnsi="Calibri" w:cs="Calibri"/>
        </w:rPr>
        <w:t>97</w:t>
      </w:r>
      <w:r w:rsidR="00895A64">
        <w:rPr>
          <w:rFonts w:ascii="Calibri" w:hAnsi="Calibri" w:cs="Calibri"/>
        </w:rPr>
        <w:t xml:space="preserve">, </w:t>
      </w:r>
      <w:r w:rsidRPr="00326CF9">
        <w:rPr>
          <w:rFonts w:ascii="Calibri" w:hAnsi="Calibri" w:cs="Calibri"/>
        </w:rPr>
        <w:t>94.2%) and 6</w:t>
      </w:r>
      <w:r w:rsidR="00895A64">
        <w:rPr>
          <w:rFonts w:ascii="Calibri" w:hAnsi="Calibri" w:cs="Calibri"/>
        </w:rPr>
        <w:t xml:space="preserve"> </w:t>
      </w:r>
      <w:r w:rsidR="00FB0216">
        <w:rPr>
          <w:rFonts w:ascii="Calibri" w:hAnsi="Calibri" w:cs="Calibri"/>
        </w:rPr>
        <w:t>patients</w:t>
      </w:r>
      <w:r w:rsidR="00895A64">
        <w:rPr>
          <w:rFonts w:ascii="Calibri" w:hAnsi="Calibri" w:cs="Calibri"/>
        </w:rPr>
        <w:t xml:space="preserve"> </w:t>
      </w:r>
      <w:r w:rsidRPr="00326CF9">
        <w:rPr>
          <w:rFonts w:ascii="Calibri" w:hAnsi="Calibri" w:cs="Calibri"/>
        </w:rPr>
        <w:t>(5.8%)</w:t>
      </w:r>
      <w:r w:rsidR="00895A64">
        <w:rPr>
          <w:rFonts w:ascii="Calibri" w:hAnsi="Calibri" w:cs="Calibri"/>
        </w:rPr>
        <w:t xml:space="preserve"> </w:t>
      </w:r>
      <w:r w:rsidR="00895A64" w:rsidRPr="00326CF9">
        <w:rPr>
          <w:rFonts w:ascii="Calibri" w:hAnsi="Calibri" w:cs="Calibri"/>
        </w:rPr>
        <w:t xml:space="preserve">had undergone a </w:t>
      </w:r>
      <w:r w:rsidRPr="00326CF9">
        <w:rPr>
          <w:rFonts w:ascii="Calibri" w:hAnsi="Calibri" w:cs="Calibri"/>
        </w:rPr>
        <w:t>Senning</w:t>
      </w:r>
      <w:r w:rsidR="00895A64" w:rsidRPr="00895A64">
        <w:rPr>
          <w:rFonts w:ascii="Calibri" w:hAnsi="Calibri" w:cs="Calibri"/>
        </w:rPr>
        <w:t xml:space="preserve"> </w:t>
      </w:r>
      <w:r w:rsidR="00895A64" w:rsidRPr="00326CF9">
        <w:rPr>
          <w:rFonts w:ascii="Calibri" w:hAnsi="Calibri" w:cs="Calibri"/>
        </w:rPr>
        <w:t>repair</w:t>
      </w:r>
      <w:r w:rsidR="00895A64">
        <w:rPr>
          <w:rFonts w:ascii="Calibri" w:hAnsi="Calibri" w:cs="Calibri"/>
        </w:rPr>
        <w:t xml:space="preserve">. The </w:t>
      </w:r>
      <w:r w:rsidR="00B2164A">
        <w:rPr>
          <w:rFonts w:ascii="Calibri" w:hAnsi="Calibri" w:cs="Calibri"/>
        </w:rPr>
        <w:t>remainder</w:t>
      </w:r>
      <w:r w:rsidR="00895A64">
        <w:rPr>
          <w:rFonts w:ascii="Calibri" w:hAnsi="Calibri" w:cs="Calibri"/>
        </w:rPr>
        <w:t xml:space="preserve"> </w:t>
      </w:r>
      <w:r w:rsidRPr="00326CF9">
        <w:rPr>
          <w:rFonts w:ascii="Calibri" w:hAnsi="Calibri" w:cs="Calibri"/>
        </w:rPr>
        <w:t>(</w:t>
      </w:r>
      <w:r w:rsidR="00895A64">
        <w:rPr>
          <w:rFonts w:ascii="Calibri" w:hAnsi="Calibri" w:cs="Calibri"/>
        </w:rPr>
        <w:t xml:space="preserve">77, </w:t>
      </w:r>
      <w:r w:rsidRPr="00326CF9">
        <w:rPr>
          <w:rFonts w:ascii="Calibri" w:hAnsi="Calibri" w:cs="Calibri"/>
        </w:rPr>
        <w:t xml:space="preserve">42.8%) had a diagnosis of ccTGA. </w:t>
      </w:r>
      <w:r w:rsidR="00B2164A">
        <w:rPr>
          <w:rFonts w:ascii="Calibri" w:hAnsi="Calibri" w:cs="Calibri"/>
        </w:rPr>
        <w:t>H</w:t>
      </w:r>
      <w:r w:rsidRPr="00326CF9">
        <w:rPr>
          <w:rFonts w:ascii="Calibri" w:hAnsi="Calibri" w:cs="Calibri"/>
        </w:rPr>
        <w:t>alf of patients (90, 50</w:t>
      </w:r>
      <w:r w:rsidR="0021773B">
        <w:rPr>
          <w:rFonts w:ascii="Calibri" w:hAnsi="Calibri" w:cs="Calibri"/>
        </w:rPr>
        <w:t>.0</w:t>
      </w:r>
      <w:r w:rsidRPr="00326CF9">
        <w:rPr>
          <w:rFonts w:ascii="Calibri" w:hAnsi="Calibri" w:cs="Calibri"/>
        </w:rPr>
        <w:t xml:space="preserve">%) </w:t>
      </w:r>
      <w:r w:rsidR="009377FB">
        <w:rPr>
          <w:rFonts w:ascii="Calibri" w:hAnsi="Calibri" w:cs="Calibri"/>
        </w:rPr>
        <w:t>reported at least mild heart failure symptoms</w:t>
      </w:r>
      <w:r w:rsidR="00895A64">
        <w:rPr>
          <w:rFonts w:ascii="Calibri" w:hAnsi="Calibri" w:cs="Calibri"/>
        </w:rPr>
        <w:t>,</w:t>
      </w:r>
      <w:r w:rsidRPr="00326CF9">
        <w:rPr>
          <w:rFonts w:ascii="Calibri" w:hAnsi="Calibri" w:cs="Calibri"/>
        </w:rPr>
        <w:t xml:space="preserve"> </w:t>
      </w:r>
      <w:r w:rsidR="009377FB">
        <w:rPr>
          <w:rFonts w:ascii="Calibri" w:hAnsi="Calibri" w:cs="Calibri"/>
        </w:rPr>
        <w:t>including</w:t>
      </w:r>
      <w:r w:rsidRPr="00326CF9">
        <w:rPr>
          <w:rFonts w:ascii="Calibri" w:hAnsi="Calibri" w:cs="Calibri"/>
        </w:rPr>
        <w:t xml:space="preserve"> 29</w:t>
      </w:r>
      <w:r w:rsidR="00895A64">
        <w:rPr>
          <w:rFonts w:ascii="Calibri" w:hAnsi="Calibri" w:cs="Calibri"/>
        </w:rPr>
        <w:t xml:space="preserve"> </w:t>
      </w:r>
      <w:r w:rsidRPr="00326CF9">
        <w:rPr>
          <w:rFonts w:ascii="Calibri" w:hAnsi="Calibri" w:cs="Calibri"/>
        </w:rPr>
        <w:t>(16.</w:t>
      </w:r>
      <w:r w:rsidR="009377FB">
        <w:rPr>
          <w:rFonts w:ascii="Calibri" w:hAnsi="Calibri" w:cs="Calibri"/>
        </w:rPr>
        <w:t>1</w:t>
      </w:r>
      <w:r w:rsidRPr="00326CF9">
        <w:rPr>
          <w:rFonts w:ascii="Calibri" w:hAnsi="Calibri" w:cs="Calibri"/>
        </w:rPr>
        <w:t xml:space="preserve">%) </w:t>
      </w:r>
      <w:r w:rsidR="009377FB">
        <w:rPr>
          <w:rFonts w:ascii="Calibri" w:hAnsi="Calibri" w:cs="Calibri"/>
        </w:rPr>
        <w:t xml:space="preserve">who </w:t>
      </w:r>
      <w:r w:rsidRPr="00326CF9">
        <w:rPr>
          <w:rFonts w:ascii="Calibri" w:hAnsi="Calibri" w:cs="Calibri"/>
        </w:rPr>
        <w:t>were in NYHA functional class III or IV. A history of atrial arrhythmia was common</w:t>
      </w:r>
      <w:r w:rsidR="00895A64">
        <w:rPr>
          <w:rFonts w:ascii="Calibri" w:hAnsi="Calibri" w:cs="Calibri"/>
        </w:rPr>
        <w:t xml:space="preserve"> (</w:t>
      </w:r>
      <w:r w:rsidRPr="0021773B">
        <w:rPr>
          <w:rFonts w:ascii="Calibri" w:hAnsi="Calibri" w:cs="Calibri"/>
        </w:rPr>
        <w:t>84</w:t>
      </w:r>
      <w:r w:rsidR="00895A64" w:rsidRPr="0021773B">
        <w:rPr>
          <w:rFonts w:ascii="Calibri" w:hAnsi="Calibri" w:cs="Calibri"/>
        </w:rPr>
        <w:t xml:space="preserve"> </w:t>
      </w:r>
      <w:r w:rsidR="00FB0216" w:rsidRPr="0021773B">
        <w:rPr>
          <w:rFonts w:ascii="Calibri" w:hAnsi="Calibri" w:cs="Calibri"/>
        </w:rPr>
        <w:t>patients</w:t>
      </w:r>
      <w:r w:rsidR="00895A64" w:rsidRPr="0021773B">
        <w:rPr>
          <w:rFonts w:ascii="Calibri" w:hAnsi="Calibri" w:cs="Calibri"/>
        </w:rPr>
        <w:t xml:space="preserve">, </w:t>
      </w:r>
      <w:r w:rsidRPr="0021773B">
        <w:rPr>
          <w:rFonts w:ascii="Calibri" w:hAnsi="Calibri" w:cs="Calibri"/>
        </w:rPr>
        <w:t>47.2%</w:t>
      </w:r>
      <w:r w:rsidRPr="00B2164A">
        <w:rPr>
          <w:rFonts w:ascii="Calibri" w:hAnsi="Calibri" w:cs="Calibri"/>
        </w:rPr>
        <w:t>). Almost two-thirds of patients (</w:t>
      </w:r>
      <w:r w:rsidRPr="0021773B">
        <w:rPr>
          <w:rFonts w:ascii="Calibri" w:hAnsi="Calibri" w:cs="Calibri"/>
        </w:rPr>
        <w:t>113, 63.5%)</w:t>
      </w:r>
      <w:r w:rsidRPr="00B2164A">
        <w:rPr>
          <w:rFonts w:ascii="Calibri" w:hAnsi="Calibri" w:cs="Calibri"/>
        </w:rPr>
        <w:t xml:space="preserve"> were receiving at least </w:t>
      </w:r>
      <w:r w:rsidR="00895A64" w:rsidRPr="00B2164A">
        <w:rPr>
          <w:rFonts w:ascii="Calibri" w:hAnsi="Calibri" w:cs="Calibri"/>
        </w:rPr>
        <w:t>one</w:t>
      </w:r>
      <w:r w:rsidRPr="00B2164A">
        <w:rPr>
          <w:rFonts w:ascii="Calibri" w:hAnsi="Calibri" w:cs="Calibri"/>
        </w:rPr>
        <w:t xml:space="preserve"> heart failure </w:t>
      </w:r>
      <w:r w:rsidR="00895A64" w:rsidRPr="00B2164A">
        <w:rPr>
          <w:rFonts w:ascii="Calibri" w:hAnsi="Calibri" w:cs="Calibri"/>
        </w:rPr>
        <w:t>medication</w:t>
      </w:r>
      <w:r w:rsidRPr="00B2164A">
        <w:rPr>
          <w:rFonts w:ascii="Calibri" w:hAnsi="Calibri" w:cs="Calibri"/>
        </w:rPr>
        <w:t>, while 8</w:t>
      </w:r>
      <w:r w:rsidR="00895A64" w:rsidRPr="00B2164A">
        <w:rPr>
          <w:rFonts w:ascii="Calibri" w:hAnsi="Calibri" w:cs="Calibri"/>
        </w:rPr>
        <w:t xml:space="preserve"> </w:t>
      </w:r>
      <w:r w:rsidRPr="00B2164A">
        <w:rPr>
          <w:rFonts w:ascii="Calibri" w:hAnsi="Calibri" w:cs="Calibri"/>
        </w:rPr>
        <w:t>(</w:t>
      </w:r>
      <w:r w:rsidRPr="0021773B">
        <w:rPr>
          <w:rFonts w:ascii="Calibri" w:hAnsi="Calibri" w:cs="Calibri"/>
        </w:rPr>
        <w:t>4.5%)</w:t>
      </w:r>
      <w:r w:rsidRPr="00326CF9">
        <w:rPr>
          <w:rFonts w:ascii="Calibri" w:hAnsi="Calibri" w:cs="Calibri"/>
        </w:rPr>
        <w:t xml:space="preserve"> were receiving a pulmonary vasodilator.</w:t>
      </w:r>
    </w:p>
    <w:p w14:paraId="78F9E9AC" w14:textId="77573FF5" w:rsidR="00E27711" w:rsidRPr="00326CF9" w:rsidRDefault="00E27711" w:rsidP="006B15F1">
      <w:pPr>
        <w:pStyle w:val="BodyText"/>
        <w:ind w:firstLine="851"/>
        <w:jc w:val="both"/>
        <w:rPr>
          <w:rFonts w:ascii="Calibri" w:hAnsi="Calibri" w:cs="Calibri"/>
        </w:rPr>
      </w:pPr>
      <w:r w:rsidRPr="00326CF9">
        <w:rPr>
          <w:rFonts w:ascii="Calibri" w:hAnsi="Calibri" w:cs="Calibri"/>
        </w:rPr>
        <w:t>On baseline echocardiography,</w:t>
      </w:r>
      <w:r w:rsidR="007E12C6">
        <w:rPr>
          <w:rFonts w:ascii="Calibri" w:hAnsi="Calibri" w:cs="Calibri"/>
        </w:rPr>
        <w:t xml:space="preserve"> the vast majority of </w:t>
      </w:r>
      <w:r w:rsidR="00FB0216">
        <w:rPr>
          <w:rFonts w:ascii="Calibri" w:hAnsi="Calibri" w:cs="Calibri"/>
        </w:rPr>
        <w:t>patients</w:t>
      </w:r>
      <w:r w:rsidR="007E12C6">
        <w:rPr>
          <w:rFonts w:ascii="Calibri" w:hAnsi="Calibri" w:cs="Calibri"/>
        </w:rPr>
        <w:t xml:space="preserve"> had </w:t>
      </w:r>
      <w:r w:rsidR="00B2164A">
        <w:rPr>
          <w:rFonts w:ascii="Calibri" w:hAnsi="Calibri" w:cs="Calibri"/>
        </w:rPr>
        <w:t xml:space="preserve">a </w:t>
      </w:r>
      <w:r w:rsidR="007E12C6">
        <w:rPr>
          <w:rFonts w:ascii="Calibri" w:hAnsi="Calibri" w:cs="Calibri"/>
        </w:rPr>
        <w:t>dilated SRV when assessed using conventional RV echocardiographic reference values</w:t>
      </w:r>
      <w:r w:rsidR="007E12C6">
        <w:rPr>
          <w:rFonts w:ascii="Calibri" w:hAnsi="Calibri" w:cs="Calibri"/>
        </w:rPr>
        <w:fldChar w:fldCharType="begin" w:fldLock="1"/>
      </w:r>
      <w:r w:rsidR="00B71BE8">
        <w:rPr>
          <w:rFonts w:ascii="Calibri" w:hAnsi="Calibri" w:cs="Calibri"/>
        </w:rPr>
        <w:instrText>ADDIN CSL_CITATION {"citationItems":[{"id":"ITEM-1","itemData":{"DOI":"10.1016/j.echo.2014.10.003","ISSN":"08947317","author":[{"dropping-particle":"","family":"Lang","given":"Roberto M.","non-dropping-particle":"","parse-names":false,"suffix":""},{"dropping-particle":"","family":"Badano","given":"Luigi P.","non-dropping-particle":"","parse-names":false,"suffix":""},{"dropping-particle":"","family":"Mor-Avi","given":"Victor","non-dropping-particle":"","parse-names":false,"suffix":""},{"dropping-particle":"","family":"Afilalo","given":"Jonathan","non-dropping-particle":"","parse-names":false,"suffix":""},{"dropping-particle":"","family":"Armstrong","given":"Anderson","non-dropping-particle":"","parse-names":false,"suffix":""},{"dropping-particle":"","family":"Ernande","given":"Laura","non-dropping-particle":"","parse-names":false,"suffix":""},{"dropping-particle":"","family":"Flachskampf","given":"Frank a.","non-dropping-particle":"","parse-names":false,"suffix":""},{"dropping-particle":"","family":"Foster","given":"Elyse","non-dropping-particle":"","parse-names":false,"suffix":""},{"dropping-particle":"","family":"Goldstein","given":"Steven a.","non-dropping-particle":"","parse-names":false,"suffix":""},{"dropping-particle":"","family":"Kuznetsova","given":"Tatiana","non-dropping-particle":"","parse-names":false,"suffix":""},{"dropping-particle":"","family":"Lancellotti","given":"Patrizio","non-dropping-particle":"","parse-names":false,"suffix":""},{"dropping-particle":"","family":"Muraru","given":"Denisa","non-dropping-particle":"","parse-names":false,"suffix":""},{"dropping-particle":"","family":"Picard","given":"Michael H.","non-dropping-particle":"","parse-names":false,"suffix":""},{"dropping-particle":"","family":"Rietzschel","given":"Ernst R.","non-dropping-particle":"","parse-names":false,"suffix":""},{"dropping-particle":"","family":"Rudski","given":"Lawrence","non-dropping-particle":"","parse-names":false,"suffix":""},{"dropping-particle":"","family":"Spencer","given":"Kirk T.","non-dropping-particle":"","parse-names":false,"suffix":""},{"dropping-particle":"","family":"Tsang","given":"Wendy","non-dropping-particle":"","parse-names":false,"suffix":""},{"dropping-particle":"","family":"Voigt","given":"Jens-Uwe","non-dropping-particle":"","parse-names":false,"suffix":""}],"container-title":"Journal of the American Society of Echocardiography","id":"ITEM-1","issue":"1","issued":{"date-parts":[["2015"]]},"page":"1-39.e14","publisher":"Elsevier Inc","title":"Recommendations for Cardiac Chamber Quantification by Echocardiography in Adults: An Update from the American Society of Echocardiography and the European Association of Cardiovascular Imaging","type":"article-journal","volume":"28"},"uris":["http://www.mendeley.com/documents/?uuid=b98beebd-9ab8-49f9-9a1d-3ea7488a365a"]}],"mendeley":{"formattedCitation":"&lt;sup&gt;16&lt;/sup&gt;","plainTextFormattedCitation":"16","previouslyFormattedCitation":"&lt;sup&gt;16&lt;/sup&gt;"},"properties":{"noteIndex":0},"schema":"https://github.com/citation-style-language/schema/raw/master/csl-citation.json"}</w:instrText>
      </w:r>
      <w:r w:rsidR="007E12C6">
        <w:rPr>
          <w:rFonts w:ascii="Calibri" w:hAnsi="Calibri" w:cs="Calibri"/>
        </w:rPr>
        <w:fldChar w:fldCharType="separate"/>
      </w:r>
      <w:r w:rsidR="007E12C6" w:rsidRPr="007E12C6">
        <w:rPr>
          <w:rFonts w:ascii="Calibri" w:hAnsi="Calibri" w:cs="Calibri"/>
          <w:noProof/>
          <w:vertAlign w:val="superscript"/>
        </w:rPr>
        <w:t>16</w:t>
      </w:r>
      <w:r w:rsidR="007E12C6">
        <w:rPr>
          <w:rFonts w:ascii="Calibri" w:hAnsi="Calibri" w:cs="Calibri"/>
        </w:rPr>
        <w:fldChar w:fldCharType="end"/>
      </w:r>
      <w:r w:rsidR="007E12C6">
        <w:rPr>
          <w:rFonts w:ascii="Calibri" w:hAnsi="Calibri" w:cs="Calibri"/>
        </w:rPr>
        <w:t>:</w:t>
      </w:r>
      <w:r w:rsidRPr="00326CF9">
        <w:rPr>
          <w:rFonts w:ascii="Calibri" w:hAnsi="Calibri" w:cs="Calibri"/>
        </w:rPr>
        <w:t xml:space="preserve"> </w:t>
      </w:r>
      <w:r w:rsidR="007E12C6" w:rsidRPr="00326CF9">
        <w:rPr>
          <w:rFonts w:ascii="Calibri" w:hAnsi="Calibri" w:cs="Calibri"/>
        </w:rPr>
        <w:t>1</w:t>
      </w:r>
      <w:r w:rsidR="007E12C6">
        <w:rPr>
          <w:rFonts w:ascii="Calibri" w:hAnsi="Calibri" w:cs="Calibri"/>
        </w:rPr>
        <w:t xml:space="preserve">59 </w:t>
      </w:r>
      <w:r w:rsidR="007E12C6" w:rsidRPr="00326CF9">
        <w:rPr>
          <w:rFonts w:ascii="Calibri" w:hAnsi="Calibri" w:cs="Calibri"/>
        </w:rPr>
        <w:t>(</w:t>
      </w:r>
      <w:r w:rsidR="007E12C6">
        <w:rPr>
          <w:rFonts w:ascii="Calibri" w:hAnsi="Calibri" w:cs="Calibri"/>
        </w:rPr>
        <w:t>88.3</w:t>
      </w:r>
      <w:r w:rsidR="007E12C6" w:rsidRPr="00326CF9">
        <w:rPr>
          <w:rFonts w:ascii="Calibri" w:hAnsi="Calibri" w:cs="Calibri"/>
        </w:rPr>
        <w:t>%) patients</w:t>
      </w:r>
      <w:r w:rsidR="007E12C6">
        <w:rPr>
          <w:rFonts w:ascii="Calibri" w:hAnsi="Calibri" w:cs="Calibri"/>
        </w:rPr>
        <w:t xml:space="preserve"> had </w:t>
      </w:r>
      <w:r w:rsidRPr="00326CF9">
        <w:rPr>
          <w:rFonts w:ascii="Calibri" w:hAnsi="Calibri" w:cs="Calibri"/>
        </w:rPr>
        <w:t xml:space="preserve">basal </w:t>
      </w:r>
      <w:r w:rsidR="007E12C6">
        <w:rPr>
          <w:rFonts w:ascii="Calibri" w:hAnsi="Calibri" w:cs="Calibri"/>
        </w:rPr>
        <w:t xml:space="preserve">SRV </w:t>
      </w:r>
      <w:r w:rsidRPr="00326CF9">
        <w:rPr>
          <w:rFonts w:ascii="Calibri" w:hAnsi="Calibri" w:cs="Calibri"/>
        </w:rPr>
        <w:t>diameter &gt;4.</w:t>
      </w:r>
      <w:r w:rsidR="00DC080B">
        <w:rPr>
          <w:rFonts w:ascii="Calibri" w:hAnsi="Calibri" w:cs="Calibri"/>
        </w:rPr>
        <w:t>1</w:t>
      </w:r>
      <w:r w:rsidRPr="00326CF9">
        <w:rPr>
          <w:rFonts w:ascii="Calibri" w:hAnsi="Calibri" w:cs="Calibri"/>
        </w:rPr>
        <w:t xml:space="preserve"> cm</w:t>
      </w:r>
      <w:r w:rsidR="007E12C6">
        <w:rPr>
          <w:rFonts w:ascii="Calibri" w:hAnsi="Calibri" w:cs="Calibri"/>
        </w:rPr>
        <w:t xml:space="preserve"> and 167 (92.8%) had SRV </w:t>
      </w:r>
      <w:r w:rsidR="00170E4A">
        <w:rPr>
          <w:rFonts w:ascii="Calibri" w:hAnsi="Calibri" w:cs="Calibri"/>
        </w:rPr>
        <w:t xml:space="preserve">indexed </w:t>
      </w:r>
      <w:r w:rsidR="007E12C6">
        <w:rPr>
          <w:rFonts w:ascii="Calibri" w:hAnsi="Calibri" w:cs="Calibri"/>
        </w:rPr>
        <w:t>EDA</w:t>
      </w:r>
      <w:r w:rsidR="007E255B">
        <w:rPr>
          <w:rFonts w:ascii="Calibri" w:hAnsi="Calibri" w:cs="Calibri"/>
        </w:rPr>
        <w:t xml:space="preserve"> (</w:t>
      </w:r>
      <w:proofErr w:type="spellStart"/>
      <w:r w:rsidR="007E255B">
        <w:rPr>
          <w:rFonts w:ascii="Calibri" w:hAnsi="Calibri" w:cs="Calibri"/>
        </w:rPr>
        <w:t>EDAi</w:t>
      </w:r>
      <w:proofErr w:type="spellEnd"/>
      <w:r w:rsidR="007E255B">
        <w:rPr>
          <w:rFonts w:ascii="Calibri" w:hAnsi="Calibri" w:cs="Calibri"/>
        </w:rPr>
        <w:t>)</w:t>
      </w:r>
      <w:r w:rsidR="007E12C6">
        <w:rPr>
          <w:rFonts w:ascii="Calibri" w:hAnsi="Calibri" w:cs="Calibri"/>
        </w:rPr>
        <w:t xml:space="preserve"> &gt;12.6</w:t>
      </w:r>
      <w:r w:rsidR="007E255B">
        <w:rPr>
          <w:rFonts w:ascii="Calibri" w:hAnsi="Calibri" w:cs="Calibri"/>
        </w:rPr>
        <w:t xml:space="preserve"> </w:t>
      </w:r>
      <w:r w:rsidR="007E255B" w:rsidRPr="00326CF9">
        <w:rPr>
          <w:rFonts w:ascii="Calibri" w:hAnsi="Calibri" w:cs="Calibri"/>
        </w:rPr>
        <w:t>cm</w:t>
      </w:r>
      <w:r w:rsidR="007E255B" w:rsidRPr="007E255B">
        <w:rPr>
          <w:rFonts w:ascii="Calibri" w:hAnsi="Calibri" w:cs="Calibri"/>
          <w:vertAlign w:val="superscript"/>
        </w:rPr>
        <w:t>2</w:t>
      </w:r>
      <w:r w:rsidR="007E255B" w:rsidRPr="00326CF9">
        <w:rPr>
          <w:rFonts w:ascii="Calibri" w:hAnsi="Calibri" w:cs="Calibri"/>
        </w:rPr>
        <w:t>/m</w:t>
      </w:r>
      <w:r w:rsidR="007E255B" w:rsidRPr="00326CF9">
        <w:rPr>
          <w:rFonts w:ascii="Calibri" w:hAnsi="Calibri" w:cs="Calibri"/>
          <w:vertAlign w:val="superscript"/>
        </w:rPr>
        <w:t>2</w:t>
      </w:r>
      <w:r w:rsidR="007E12C6">
        <w:rPr>
          <w:rFonts w:ascii="Calibri" w:hAnsi="Calibri" w:cs="Calibri"/>
        </w:rPr>
        <w:t xml:space="preserve">. Systolic </w:t>
      </w:r>
      <w:r w:rsidR="007E12C6">
        <w:rPr>
          <w:rFonts w:ascii="Calibri" w:hAnsi="Calibri" w:cs="Calibri"/>
        </w:rPr>
        <w:lastRenderedPageBreak/>
        <w:t xml:space="preserve">function of the SRV was impaired in </w:t>
      </w:r>
      <w:r w:rsidRPr="00326CF9">
        <w:rPr>
          <w:rFonts w:ascii="Calibri" w:hAnsi="Calibri" w:cs="Calibri"/>
        </w:rPr>
        <w:t>148</w:t>
      </w:r>
      <w:r w:rsidR="007E12C6">
        <w:rPr>
          <w:rFonts w:ascii="Calibri" w:hAnsi="Calibri" w:cs="Calibri"/>
        </w:rPr>
        <w:t xml:space="preserve"> (</w:t>
      </w:r>
      <w:r w:rsidRPr="00326CF9">
        <w:rPr>
          <w:rFonts w:ascii="Calibri" w:hAnsi="Calibri" w:cs="Calibri"/>
        </w:rPr>
        <w:t xml:space="preserve">82.2%) </w:t>
      </w:r>
      <w:r w:rsidR="00FB0216">
        <w:rPr>
          <w:rFonts w:ascii="Calibri" w:hAnsi="Calibri" w:cs="Calibri"/>
        </w:rPr>
        <w:t>patients</w:t>
      </w:r>
      <w:r w:rsidR="007E12C6">
        <w:rPr>
          <w:rFonts w:ascii="Calibri" w:hAnsi="Calibri" w:cs="Calibri"/>
        </w:rPr>
        <w:t xml:space="preserve"> </w:t>
      </w:r>
      <w:r w:rsidRPr="00326CF9">
        <w:rPr>
          <w:rFonts w:ascii="Calibri" w:hAnsi="Calibri" w:cs="Calibri"/>
        </w:rPr>
        <w:t>by visual assessment</w:t>
      </w:r>
      <w:r w:rsidR="00751F74">
        <w:rPr>
          <w:rFonts w:ascii="Calibri" w:hAnsi="Calibri" w:cs="Calibri"/>
        </w:rPr>
        <w:t>,</w:t>
      </w:r>
      <w:r w:rsidRPr="00326CF9">
        <w:rPr>
          <w:rFonts w:ascii="Calibri" w:hAnsi="Calibri" w:cs="Calibri"/>
        </w:rPr>
        <w:t xml:space="preserve"> </w:t>
      </w:r>
      <w:r w:rsidR="00751F74" w:rsidRPr="00326CF9">
        <w:rPr>
          <w:rFonts w:ascii="Calibri" w:hAnsi="Calibri" w:cs="Calibri"/>
        </w:rPr>
        <w:t>89</w:t>
      </w:r>
      <w:r w:rsidR="00751F74">
        <w:rPr>
          <w:rFonts w:ascii="Calibri" w:hAnsi="Calibri" w:cs="Calibri"/>
        </w:rPr>
        <w:t xml:space="preserve"> </w:t>
      </w:r>
      <w:r w:rsidR="00751F74" w:rsidRPr="00326CF9">
        <w:rPr>
          <w:rFonts w:ascii="Calibri" w:hAnsi="Calibri" w:cs="Calibri"/>
        </w:rPr>
        <w:t>(49.4%)</w:t>
      </w:r>
      <w:r w:rsidR="00751F74">
        <w:rPr>
          <w:rFonts w:ascii="Calibri" w:hAnsi="Calibri" w:cs="Calibri"/>
        </w:rPr>
        <w:t xml:space="preserve"> had at least </w:t>
      </w:r>
      <w:r w:rsidRPr="00326CF9">
        <w:rPr>
          <w:rFonts w:ascii="Calibri" w:hAnsi="Calibri" w:cs="Calibri"/>
        </w:rPr>
        <w:t xml:space="preserve">moderate </w:t>
      </w:r>
      <w:r w:rsidR="00751F74">
        <w:rPr>
          <w:rFonts w:ascii="Calibri" w:hAnsi="Calibri" w:cs="Calibri"/>
        </w:rPr>
        <w:t>SRV systolic dysfunction. M</w:t>
      </w:r>
      <w:r w:rsidRPr="00326CF9">
        <w:rPr>
          <w:rFonts w:ascii="Calibri" w:hAnsi="Calibri" w:cs="Calibri"/>
        </w:rPr>
        <w:t>edian SRV FAC was 28.0</w:t>
      </w:r>
      <w:r w:rsidR="00751F74">
        <w:rPr>
          <w:rFonts w:ascii="Calibri" w:hAnsi="Calibri" w:cs="Calibri"/>
        </w:rPr>
        <w:t xml:space="preserve"> </w:t>
      </w:r>
      <w:r w:rsidRPr="00326CF9">
        <w:rPr>
          <w:rFonts w:ascii="Calibri" w:hAnsi="Calibri" w:cs="Calibri"/>
        </w:rPr>
        <w:t>[22.0-34.</w:t>
      </w:r>
      <w:proofErr w:type="gramStart"/>
      <w:r w:rsidRPr="00326CF9">
        <w:rPr>
          <w:rFonts w:ascii="Calibri" w:hAnsi="Calibri" w:cs="Calibri"/>
        </w:rPr>
        <w:t>5]%</w:t>
      </w:r>
      <w:proofErr w:type="gramEnd"/>
      <w:r w:rsidRPr="00326CF9">
        <w:rPr>
          <w:rFonts w:ascii="Calibri" w:hAnsi="Calibri" w:cs="Calibri"/>
        </w:rPr>
        <w:t xml:space="preserve"> </w:t>
      </w:r>
      <w:r w:rsidR="00881D15">
        <w:rPr>
          <w:rFonts w:ascii="Calibri" w:hAnsi="Calibri" w:cs="Calibri"/>
        </w:rPr>
        <w:t>(</w:t>
      </w:r>
      <w:r w:rsidR="00881D15" w:rsidRPr="00A5603B">
        <w:rPr>
          <w:rFonts w:ascii="Calibri" w:hAnsi="Calibri" w:cs="Calibri"/>
          <w:b/>
          <w:bCs/>
        </w:rPr>
        <w:t>Table 1</w:t>
      </w:r>
      <w:r w:rsidR="00881D15">
        <w:rPr>
          <w:rFonts w:ascii="Calibri" w:hAnsi="Calibri" w:cs="Calibri"/>
        </w:rPr>
        <w:t>)</w:t>
      </w:r>
      <w:r w:rsidRPr="00326CF9">
        <w:rPr>
          <w:rFonts w:ascii="Calibri" w:hAnsi="Calibri" w:cs="Calibri"/>
        </w:rPr>
        <w:t>.</w:t>
      </w:r>
    </w:p>
    <w:p w14:paraId="26865D4D" w14:textId="5D258FF5" w:rsidR="00E27711" w:rsidRDefault="001602DF" w:rsidP="00895A64">
      <w:pPr>
        <w:pStyle w:val="BodyText"/>
        <w:ind w:firstLine="851"/>
        <w:jc w:val="both"/>
        <w:rPr>
          <w:rFonts w:ascii="Calibri" w:hAnsi="Calibri" w:cs="Calibri"/>
        </w:rPr>
      </w:pPr>
      <w:r>
        <w:rPr>
          <w:rFonts w:ascii="Calibri" w:hAnsi="Calibri" w:cs="Calibri"/>
        </w:rPr>
        <w:t xml:space="preserve">Unlike </w:t>
      </w:r>
      <w:r w:rsidR="00B2164A">
        <w:rPr>
          <w:rFonts w:ascii="Calibri" w:hAnsi="Calibri" w:cs="Calibri"/>
        </w:rPr>
        <w:t xml:space="preserve">the </w:t>
      </w:r>
      <w:r>
        <w:rPr>
          <w:rFonts w:ascii="Calibri" w:hAnsi="Calibri" w:cs="Calibri"/>
        </w:rPr>
        <w:t>SRV, s</w:t>
      </w:r>
      <w:r w:rsidR="00E27711" w:rsidRPr="00326CF9">
        <w:rPr>
          <w:rFonts w:ascii="Calibri" w:hAnsi="Calibri" w:cs="Calibri"/>
        </w:rPr>
        <w:t xml:space="preserve">ubpulmonary LV </w:t>
      </w:r>
      <w:r>
        <w:rPr>
          <w:rFonts w:ascii="Calibri" w:hAnsi="Calibri" w:cs="Calibri"/>
        </w:rPr>
        <w:t xml:space="preserve">systolic </w:t>
      </w:r>
      <w:r w:rsidR="00E27711" w:rsidRPr="00326CF9">
        <w:rPr>
          <w:rFonts w:ascii="Calibri" w:hAnsi="Calibri" w:cs="Calibri"/>
        </w:rPr>
        <w:t>function</w:t>
      </w:r>
      <w:r>
        <w:rPr>
          <w:rFonts w:ascii="Calibri" w:hAnsi="Calibri" w:cs="Calibri"/>
        </w:rPr>
        <w:t xml:space="preserve"> </w:t>
      </w:r>
      <w:r w:rsidR="00E27711" w:rsidRPr="00326CF9">
        <w:rPr>
          <w:rFonts w:ascii="Calibri" w:hAnsi="Calibri" w:cs="Calibri"/>
        </w:rPr>
        <w:t xml:space="preserve">was visually preserved in </w:t>
      </w:r>
      <w:r w:rsidR="00881D15">
        <w:rPr>
          <w:rFonts w:ascii="Calibri" w:hAnsi="Calibri" w:cs="Calibri"/>
        </w:rPr>
        <w:t xml:space="preserve">the </w:t>
      </w:r>
      <w:r>
        <w:rPr>
          <w:rFonts w:ascii="Calibri" w:hAnsi="Calibri" w:cs="Calibri"/>
        </w:rPr>
        <w:t>majority of</w:t>
      </w:r>
      <w:r w:rsidR="00E27711" w:rsidRPr="00326CF9">
        <w:rPr>
          <w:rFonts w:ascii="Calibri" w:hAnsi="Calibri" w:cs="Calibri"/>
        </w:rPr>
        <w:t xml:space="preserve"> patients (155, 86.1%), with a median LV FAC of 48.0</w:t>
      </w:r>
      <w:r>
        <w:rPr>
          <w:rFonts w:ascii="Calibri" w:hAnsi="Calibri" w:cs="Calibri"/>
        </w:rPr>
        <w:t xml:space="preserve"> </w:t>
      </w:r>
      <w:r w:rsidR="00E27711" w:rsidRPr="00326CF9">
        <w:rPr>
          <w:rFonts w:ascii="Calibri" w:hAnsi="Calibri" w:cs="Calibri"/>
        </w:rPr>
        <w:t>[40.0-53.</w:t>
      </w:r>
      <w:proofErr w:type="gramStart"/>
      <w:r w:rsidR="00E27711" w:rsidRPr="00326CF9">
        <w:rPr>
          <w:rFonts w:ascii="Calibri" w:hAnsi="Calibri" w:cs="Calibri"/>
        </w:rPr>
        <w:t>0]%</w:t>
      </w:r>
      <w:proofErr w:type="gramEnd"/>
      <w:r w:rsidR="00E27711" w:rsidRPr="00326CF9">
        <w:rPr>
          <w:rFonts w:ascii="Calibri" w:hAnsi="Calibri" w:cs="Calibri"/>
        </w:rPr>
        <w:t xml:space="preserve">. Compared to their counterparts with a preserved LV function, patients with impaired LV function had a </w:t>
      </w:r>
      <w:r>
        <w:rPr>
          <w:rFonts w:ascii="Calibri" w:hAnsi="Calibri" w:cs="Calibri"/>
        </w:rPr>
        <w:t xml:space="preserve">larger </w:t>
      </w:r>
      <w:r w:rsidR="00E27711" w:rsidRPr="00326CF9">
        <w:rPr>
          <w:rFonts w:ascii="Calibri" w:hAnsi="Calibri" w:cs="Calibri"/>
        </w:rPr>
        <w:t xml:space="preserve">LV </w:t>
      </w:r>
      <w:r>
        <w:rPr>
          <w:rFonts w:ascii="Calibri" w:hAnsi="Calibri" w:cs="Calibri"/>
        </w:rPr>
        <w:t xml:space="preserve">size </w:t>
      </w:r>
      <w:r w:rsidR="00E27711" w:rsidRPr="00326CF9">
        <w:rPr>
          <w:rFonts w:ascii="Calibri" w:hAnsi="Calibri" w:cs="Calibri"/>
        </w:rPr>
        <w:t xml:space="preserve">(LV </w:t>
      </w:r>
      <w:proofErr w:type="spellStart"/>
      <w:r w:rsidR="00E27711" w:rsidRPr="00326CF9">
        <w:rPr>
          <w:rFonts w:ascii="Calibri" w:hAnsi="Calibri" w:cs="Calibri"/>
        </w:rPr>
        <w:t>EDAi</w:t>
      </w:r>
      <w:proofErr w:type="spellEnd"/>
      <w:r>
        <w:rPr>
          <w:rFonts w:ascii="Calibri" w:hAnsi="Calibri" w:cs="Calibri"/>
        </w:rPr>
        <w:t xml:space="preserve"> </w:t>
      </w:r>
      <w:r w:rsidR="00E27711" w:rsidRPr="00326CF9">
        <w:rPr>
          <w:rFonts w:ascii="Calibri" w:hAnsi="Calibri" w:cs="Calibri"/>
        </w:rPr>
        <w:t>16.9</w:t>
      </w:r>
      <w:r>
        <w:rPr>
          <w:rFonts w:ascii="Calibri" w:hAnsi="Calibri" w:cs="Calibri"/>
        </w:rPr>
        <w:t xml:space="preserve"> </w:t>
      </w:r>
      <w:r w:rsidR="00E27711" w:rsidRPr="00326CF9">
        <w:rPr>
          <w:rFonts w:ascii="Calibri" w:hAnsi="Calibri" w:cs="Calibri"/>
        </w:rPr>
        <w:t xml:space="preserve">[14.6-19.6] </w:t>
      </w:r>
      <w:r w:rsidR="007E255B" w:rsidRPr="00326CF9">
        <w:rPr>
          <w:rFonts w:ascii="Calibri" w:hAnsi="Calibri" w:cs="Calibri"/>
        </w:rPr>
        <w:t>cm</w:t>
      </w:r>
      <w:r w:rsidR="007E255B" w:rsidRPr="007E255B">
        <w:rPr>
          <w:rFonts w:ascii="Calibri" w:hAnsi="Calibri" w:cs="Calibri"/>
          <w:vertAlign w:val="superscript"/>
        </w:rPr>
        <w:t>2</w:t>
      </w:r>
      <w:r w:rsidR="007E255B" w:rsidRPr="00326CF9">
        <w:rPr>
          <w:rFonts w:ascii="Calibri" w:hAnsi="Calibri" w:cs="Calibri"/>
        </w:rPr>
        <w:t>/m</w:t>
      </w:r>
      <w:r w:rsidR="007E255B" w:rsidRPr="00326CF9">
        <w:rPr>
          <w:rFonts w:ascii="Calibri" w:hAnsi="Calibri" w:cs="Calibri"/>
          <w:vertAlign w:val="superscript"/>
        </w:rPr>
        <w:t>2</w:t>
      </w:r>
      <w:r w:rsidR="007E255B">
        <w:rPr>
          <w:rFonts w:ascii="Calibri" w:hAnsi="Calibri" w:cs="Calibri"/>
          <w:vertAlign w:val="superscript"/>
        </w:rPr>
        <w:t xml:space="preserve"> </w:t>
      </w:r>
      <w:r w:rsidR="00E27711" w:rsidRPr="00326CF9">
        <w:rPr>
          <w:rFonts w:ascii="Calibri" w:hAnsi="Calibri" w:cs="Calibri"/>
        </w:rPr>
        <w:t>vs. 11.8</w:t>
      </w:r>
      <w:r>
        <w:rPr>
          <w:rFonts w:ascii="Calibri" w:hAnsi="Calibri" w:cs="Calibri"/>
        </w:rPr>
        <w:t xml:space="preserve"> </w:t>
      </w:r>
      <w:r w:rsidR="00E27711" w:rsidRPr="00326CF9">
        <w:rPr>
          <w:rFonts w:ascii="Calibri" w:hAnsi="Calibri" w:cs="Calibri"/>
        </w:rPr>
        <w:t>[10.1-13.5] cm</w:t>
      </w:r>
      <w:r w:rsidR="007E255B" w:rsidRPr="007E255B">
        <w:rPr>
          <w:rFonts w:ascii="Calibri" w:hAnsi="Calibri" w:cs="Calibri"/>
          <w:vertAlign w:val="superscript"/>
        </w:rPr>
        <w:t>2</w:t>
      </w:r>
      <w:r w:rsidR="00E27711" w:rsidRPr="00326CF9">
        <w:rPr>
          <w:rFonts w:ascii="Calibri" w:hAnsi="Calibri" w:cs="Calibri"/>
        </w:rPr>
        <w:t>/m</w:t>
      </w:r>
      <w:r w:rsidR="00E27711" w:rsidRPr="00326CF9">
        <w:rPr>
          <w:rFonts w:ascii="Calibri" w:hAnsi="Calibri" w:cs="Calibri"/>
          <w:vertAlign w:val="superscript"/>
        </w:rPr>
        <w:t>2</w:t>
      </w:r>
      <w:r w:rsidR="00E27711" w:rsidRPr="00326CF9">
        <w:rPr>
          <w:rFonts w:ascii="Calibri" w:hAnsi="Calibri" w:cs="Calibri"/>
        </w:rPr>
        <w:t>, p&lt;0.0001), and were more likely to have</w:t>
      </w:r>
      <w:r w:rsidR="00B2164A">
        <w:rPr>
          <w:rFonts w:ascii="Calibri" w:hAnsi="Calibri" w:cs="Calibri"/>
        </w:rPr>
        <w:t xml:space="preserve"> </w:t>
      </w:r>
      <w:r>
        <w:rPr>
          <w:rFonts w:ascii="Calibri" w:hAnsi="Calibri" w:cs="Calibri"/>
        </w:rPr>
        <w:t xml:space="preserve">at least </w:t>
      </w:r>
      <w:r w:rsidR="00E27711" w:rsidRPr="00326CF9">
        <w:rPr>
          <w:rFonts w:ascii="Calibri" w:hAnsi="Calibri" w:cs="Calibri"/>
        </w:rPr>
        <w:t xml:space="preserve">moderately impaired </w:t>
      </w:r>
      <w:r>
        <w:rPr>
          <w:rFonts w:ascii="Calibri" w:hAnsi="Calibri" w:cs="Calibri"/>
        </w:rPr>
        <w:t>SRV</w:t>
      </w:r>
      <w:r w:rsidR="00E27711" w:rsidRPr="00326CF9">
        <w:rPr>
          <w:rFonts w:ascii="Calibri" w:hAnsi="Calibri" w:cs="Calibri"/>
        </w:rPr>
        <w:t xml:space="preserve"> (68.0% vs. 46.5%, p=0.0</w:t>
      </w:r>
      <w:r w:rsidR="00BA537B">
        <w:rPr>
          <w:rFonts w:ascii="Calibri" w:hAnsi="Calibri" w:cs="Calibri"/>
        </w:rPr>
        <w:t>4</w:t>
      </w:r>
      <w:r w:rsidR="00E27711" w:rsidRPr="00326CF9">
        <w:rPr>
          <w:rFonts w:ascii="Calibri" w:hAnsi="Calibri" w:cs="Calibri"/>
        </w:rPr>
        <w:t xml:space="preserve">), </w:t>
      </w:r>
      <w:r>
        <w:rPr>
          <w:rFonts w:ascii="Calibri" w:hAnsi="Calibri" w:cs="Calibri"/>
        </w:rPr>
        <w:t xml:space="preserve">to be in </w:t>
      </w:r>
      <w:r w:rsidR="00E27711" w:rsidRPr="00326CF9">
        <w:rPr>
          <w:rFonts w:ascii="Calibri" w:hAnsi="Calibri" w:cs="Calibri"/>
        </w:rPr>
        <w:t>NYHA functional class III</w:t>
      </w:r>
      <w:r>
        <w:rPr>
          <w:rFonts w:ascii="Calibri" w:hAnsi="Calibri" w:cs="Calibri"/>
        </w:rPr>
        <w:t xml:space="preserve"> or </w:t>
      </w:r>
      <w:r w:rsidR="00E27711" w:rsidRPr="00326CF9">
        <w:rPr>
          <w:rFonts w:ascii="Calibri" w:hAnsi="Calibri" w:cs="Calibri"/>
        </w:rPr>
        <w:t xml:space="preserve">IV (88.0% vs. 4.5%, p&lt;0.0001), and to be </w:t>
      </w:r>
      <w:r w:rsidR="00EE73FE">
        <w:rPr>
          <w:rFonts w:ascii="Calibri" w:hAnsi="Calibri" w:cs="Calibri"/>
        </w:rPr>
        <w:t>on</w:t>
      </w:r>
      <w:r w:rsidR="00E27711" w:rsidRPr="00326CF9">
        <w:rPr>
          <w:rFonts w:ascii="Calibri" w:hAnsi="Calibri" w:cs="Calibri"/>
        </w:rPr>
        <w:t xml:space="preserve"> </w:t>
      </w:r>
      <w:r w:rsidR="00EE73FE">
        <w:rPr>
          <w:rFonts w:ascii="Calibri" w:hAnsi="Calibri" w:cs="Calibri"/>
        </w:rPr>
        <w:t xml:space="preserve">pulmonary </w:t>
      </w:r>
      <w:r w:rsidR="00B2164A">
        <w:rPr>
          <w:rFonts w:ascii="Calibri" w:hAnsi="Calibri" w:cs="Calibri"/>
        </w:rPr>
        <w:t xml:space="preserve">arterial </w:t>
      </w:r>
      <w:r w:rsidR="00EE73FE">
        <w:rPr>
          <w:rFonts w:ascii="Calibri" w:hAnsi="Calibri" w:cs="Calibri"/>
        </w:rPr>
        <w:t xml:space="preserve">hypertension </w:t>
      </w:r>
      <w:r w:rsidR="00B2164A">
        <w:rPr>
          <w:rFonts w:ascii="Calibri" w:hAnsi="Calibri" w:cs="Calibri"/>
        </w:rPr>
        <w:t>therapies</w:t>
      </w:r>
      <w:r w:rsidR="00B2164A" w:rsidRPr="00326CF9">
        <w:rPr>
          <w:rFonts w:ascii="Calibri" w:hAnsi="Calibri" w:cs="Calibri"/>
        </w:rPr>
        <w:t xml:space="preserve"> </w:t>
      </w:r>
      <w:r w:rsidR="00E27711" w:rsidRPr="00326CF9">
        <w:rPr>
          <w:rFonts w:ascii="Calibri" w:hAnsi="Calibri" w:cs="Calibri"/>
        </w:rPr>
        <w:t>(29.2% vs. 0.6%, p&lt;0.0001).</w:t>
      </w:r>
    </w:p>
    <w:p w14:paraId="05107F0D" w14:textId="4591C9ED" w:rsidR="006B15F1" w:rsidRDefault="006B15F1" w:rsidP="00895A64">
      <w:pPr>
        <w:pStyle w:val="BodyText"/>
        <w:ind w:firstLine="851"/>
        <w:jc w:val="both"/>
        <w:rPr>
          <w:rFonts w:asciiTheme="majorHAnsi" w:hAnsiTheme="majorHAnsi" w:cstheme="majorHAnsi"/>
          <w:color w:val="000000" w:themeColor="text1"/>
        </w:rPr>
      </w:pPr>
      <w:r>
        <w:rPr>
          <w:rFonts w:ascii="Calibri" w:hAnsi="Calibri" w:cs="Calibri"/>
        </w:rPr>
        <w:t>More than mild</w:t>
      </w:r>
      <w:r w:rsidRPr="00326CF9">
        <w:rPr>
          <w:rFonts w:ascii="Calibri" w:hAnsi="Calibri" w:cs="Calibri"/>
        </w:rPr>
        <w:t xml:space="preserve"> systemic tricuspid regurgitation was present in </w:t>
      </w:r>
      <w:r>
        <w:rPr>
          <w:rFonts w:ascii="Calibri" w:hAnsi="Calibri" w:cs="Calibri"/>
        </w:rPr>
        <w:t xml:space="preserve">78 </w:t>
      </w:r>
      <w:r w:rsidRPr="00326CF9">
        <w:rPr>
          <w:rFonts w:ascii="Calibri" w:hAnsi="Calibri" w:cs="Calibri"/>
        </w:rPr>
        <w:t>(</w:t>
      </w:r>
      <w:r>
        <w:rPr>
          <w:rFonts w:ascii="Calibri" w:hAnsi="Calibri" w:cs="Calibri"/>
        </w:rPr>
        <w:t>43</w:t>
      </w:r>
      <w:r w:rsidRPr="00326CF9">
        <w:rPr>
          <w:rFonts w:ascii="Calibri" w:hAnsi="Calibri" w:cs="Calibri"/>
        </w:rPr>
        <w:t>.3%) patients</w:t>
      </w:r>
      <w:r>
        <w:rPr>
          <w:rFonts w:ascii="Times" w:hAnsi="Times" w:cs="Calibri"/>
          <w:color w:val="000000" w:themeColor="text1"/>
        </w:rPr>
        <w:t xml:space="preserve">. </w:t>
      </w:r>
      <w:r w:rsidRPr="006B15F1">
        <w:rPr>
          <w:rFonts w:asciiTheme="majorHAnsi" w:hAnsiTheme="majorHAnsi" w:cstheme="majorHAnsi"/>
          <w:color w:val="000000" w:themeColor="text1"/>
        </w:rPr>
        <w:t>Patients with at least moderate tricuspid regurgitation had more dilated and impaired SRVs: SRV basal diameter 5.7[4.95-6.3] vs. 5.1[4.4-5.7] cm (p=0.0003), SRV FAC 22[19-26.5] vs. 31[25.0-36.</w:t>
      </w:r>
      <w:proofErr w:type="gramStart"/>
      <w:r w:rsidRPr="006B15F1">
        <w:rPr>
          <w:rFonts w:asciiTheme="majorHAnsi" w:hAnsiTheme="majorHAnsi" w:cstheme="majorHAnsi"/>
          <w:color w:val="000000" w:themeColor="text1"/>
        </w:rPr>
        <w:t>3]%</w:t>
      </w:r>
      <w:proofErr w:type="gramEnd"/>
      <w:r w:rsidRPr="006B15F1">
        <w:rPr>
          <w:rFonts w:asciiTheme="majorHAnsi" w:hAnsiTheme="majorHAnsi" w:cstheme="majorHAnsi"/>
          <w:color w:val="000000" w:themeColor="text1"/>
        </w:rPr>
        <w:t xml:space="preserve"> (p&lt;0.0001). The subpulmonary LV was also more dilated and impaired in these patients: LV </w:t>
      </w:r>
      <w:proofErr w:type="spellStart"/>
      <w:r w:rsidRPr="006B15F1">
        <w:rPr>
          <w:rFonts w:asciiTheme="majorHAnsi" w:hAnsiTheme="majorHAnsi" w:cstheme="majorHAnsi"/>
          <w:color w:val="000000" w:themeColor="text1"/>
        </w:rPr>
        <w:t>ESDi</w:t>
      </w:r>
      <w:proofErr w:type="spellEnd"/>
      <w:r w:rsidRPr="006B15F1">
        <w:rPr>
          <w:rFonts w:asciiTheme="majorHAnsi" w:hAnsiTheme="majorHAnsi" w:cstheme="majorHAnsi"/>
          <w:color w:val="000000" w:themeColor="text1"/>
        </w:rPr>
        <w:t xml:space="preserve"> 1.7[1.3-2.1] vs. 1.3[1.2-1.7] cm/m</w:t>
      </w:r>
      <w:r w:rsidRPr="006B15F1">
        <w:rPr>
          <w:rFonts w:asciiTheme="majorHAnsi" w:hAnsiTheme="majorHAnsi" w:cstheme="majorHAnsi"/>
          <w:color w:val="000000" w:themeColor="text1"/>
          <w:vertAlign w:val="superscript"/>
        </w:rPr>
        <w:t>2</w:t>
      </w:r>
      <w:r w:rsidRPr="006B15F1">
        <w:rPr>
          <w:rFonts w:asciiTheme="majorHAnsi" w:hAnsiTheme="majorHAnsi" w:cstheme="majorHAnsi"/>
          <w:color w:val="000000" w:themeColor="text1"/>
        </w:rPr>
        <w:t xml:space="preserve"> (p=0.0001), LV FAC 43[34.8-49.0] vs. 50[42.0-53.</w:t>
      </w:r>
      <w:proofErr w:type="gramStart"/>
      <w:r w:rsidRPr="006B15F1">
        <w:rPr>
          <w:rFonts w:asciiTheme="majorHAnsi" w:hAnsiTheme="majorHAnsi" w:cstheme="majorHAnsi"/>
          <w:color w:val="000000" w:themeColor="text1"/>
        </w:rPr>
        <w:t>5]%</w:t>
      </w:r>
      <w:proofErr w:type="gramEnd"/>
      <w:r w:rsidRPr="006B15F1">
        <w:rPr>
          <w:rFonts w:asciiTheme="majorHAnsi" w:hAnsiTheme="majorHAnsi" w:cstheme="majorHAnsi"/>
          <w:color w:val="000000" w:themeColor="text1"/>
        </w:rPr>
        <w:t xml:space="preserve"> (p=0.0008).”</w:t>
      </w:r>
    </w:p>
    <w:p w14:paraId="04FC6869" w14:textId="57EE5047" w:rsidR="0090754F" w:rsidRDefault="0090754F" w:rsidP="00895A64">
      <w:pPr>
        <w:pStyle w:val="BodyText"/>
        <w:ind w:firstLine="851"/>
        <w:jc w:val="both"/>
        <w:rPr>
          <w:rFonts w:ascii="Calibri" w:hAnsi="Calibri" w:cs="Calibri"/>
        </w:rPr>
      </w:pPr>
      <w:r w:rsidRPr="0090754F">
        <w:rPr>
          <w:rFonts w:ascii="Calibri" w:hAnsi="Calibri" w:cs="Calibri"/>
        </w:rPr>
        <w:t xml:space="preserve">At least moderate obstruction of LV outflow tract (LVOT) was present in 28(15.6%) patients, of which 10(35.7%) had valvar pulmonary stenosis, 13(46.4%) LVOT obstruction due to muscle band or membrane, 2(7.1%) supravalvular stenosis including due to pulmonary artery band, and 3 (10.7%) stenosis of left ventricle to pulmonary artery conduit. The subpulmonary LV was not significantly larger or more impaired in patients with ≥moderate pulmonary stenosis or LVOT obstruction compared to those without: LV </w:t>
      </w:r>
      <w:proofErr w:type="spellStart"/>
      <w:r w:rsidRPr="0090754F">
        <w:rPr>
          <w:rFonts w:ascii="Calibri" w:hAnsi="Calibri" w:cs="Calibri"/>
        </w:rPr>
        <w:t>ESDi</w:t>
      </w:r>
      <w:proofErr w:type="spellEnd"/>
      <w:r w:rsidRPr="0090754F">
        <w:rPr>
          <w:rFonts w:ascii="Calibri" w:hAnsi="Calibri" w:cs="Calibri"/>
        </w:rPr>
        <w:t xml:space="preserve"> 1.7[1.2-1.8] vs. 1.4[1.2-1.8] cm/m2 (p=0.2), LV FAC 45[38.5-50.5] vs. 48[40-53]% (p=0.3)</w:t>
      </w:r>
      <w:r>
        <w:rPr>
          <w:rFonts w:ascii="Calibri" w:hAnsi="Calibri" w:cs="Calibri"/>
        </w:rPr>
        <w:t>.</w:t>
      </w:r>
    </w:p>
    <w:p w14:paraId="6C8A920D" w14:textId="38244E5B" w:rsidR="00867EF3" w:rsidRDefault="00867EF3" w:rsidP="00895A64">
      <w:pPr>
        <w:pStyle w:val="BodyText"/>
        <w:ind w:firstLine="851"/>
        <w:jc w:val="both"/>
        <w:rPr>
          <w:rFonts w:ascii="Calibri" w:hAnsi="Calibri" w:cs="Calibri"/>
        </w:rPr>
      </w:pPr>
      <w:r w:rsidRPr="00867EF3">
        <w:rPr>
          <w:rFonts w:ascii="Calibri" w:hAnsi="Calibri" w:cs="Calibri"/>
        </w:rPr>
        <w:lastRenderedPageBreak/>
        <w:t>Twenty one of 103 patients with previous atrial switch operation had at least mild baffle stenosis. Patients with baffle stenosis did not show significant difference in LV size or systolic function parameters compared with patient</w:t>
      </w:r>
      <w:r w:rsidR="00786735">
        <w:rPr>
          <w:rFonts w:ascii="Calibri" w:hAnsi="Calibri" w:cs="Calibri"/>
        </w:rPr>
        <w:t>s</w:t>
      </w:r>
      <w:r w:rsidRPr="00867EF3">
        <w:rPr>
          <w:rFonts w:ascii="Calibri" w:hAnsi="Calibri" w:cs="Calibri"/>
        </w:rPr>
        <w:t xml:space="preserve"> with no baffle stenosis (LV </w:t>
      </w:r>
      <w:proofErr w:type="spellStart"/>
      <w:r w:rsidRPr="00867EF3">
        <w:rPr>
          <w:rFonts w:ascii="Calibri" w:hAnsi="Calibri" w:cs="Calibri"/>
        </w:rPr>
        <w:t>ESDi</w:t>
      </w:r>
      <w:proofErr w:type="spellEnd"/>
      <w:r w:rsidRPr="00867EF3">
        <w:rPr>
          <w:rFonts w:ascii="Calibri" w:hAnsi="Calibri" w:cs="Calibri"/>
        </w:rPr>
        <w:t xml:space="preserve"> 1.4 [1.2-1.9] cm vs. 1.3 [1.2-1.7] cm and LV FAC 47 [40-53] % vs. 48 [42-53] %, respectively)</w:t>
      </w:r>
      <w:r>
        <w:rPr>
          <w:rFonts w:ascii="Calibri" w:hAnsi="Calibri" w:cs="Calibri"/>
        </w:rPr>
        <w:t>.</w:t>
      </w:r>
    </w:p>
    <w:p w14:paraId="4ECB7F8E" w14:textId="77777777" w:rsidR="0090754F" w:rsidRDefault="0090754F" w:rsidP="00895A64">
      <w:pPr>
        <w:pStyle w:val="BodyText"/>
        <w:ind w:firstLine="851"/>
        <w:jc w:val="both"/>
        <w:rPr>
          <w:rFonts w:ascii="Calibri" w:hAnsi="Calibri" w:cs="Calibri"/>
        </w:rPr>
      </w:pPr>
    </w:p>
    <w:p w14:paraId="1B93F21F" w14:textId="77777777" w:rsidR="00670A51" w:rsidRPr="00326CF9" w:rsidRDefault="00670A51" w:rsidP="00FF19A0">
      <w:pPr>
        <w:pStyle w:val="Heading2"/>
      </w:pPr>
      <w:r w:rsidRPr="00326CF9">
        <w:t>Mortality and predictors of death or transplantation in systemic RV</w:t>
      </w:r>
    </w:p>
    <w:bookmarkEnd w:id="4"/>
    <w:p w14:paraId="4E8C4F4E" w14:textId="75B00F17" w:rsidR="00677056" w:rsidRPr="00AD7065" w:rsidRDefault="00E27711" w:rsidP="00677056">
      <w:pPr>
        <w:pStyle w:val="FirstParagraph"/>
        <w:ind w:firstLine="851"/>
        <w:jc w:val="both"/>
        <w:rPr>
          <w:rFonts w:ascii="Calibri" w:hAnsi="Calibri" w:cs="Calibri"/>
        </w:rPr>
      </w:pPr>
      <w:r w:rsidRPr="00326CF9">
        <w:rPr>
          <w:rFonts w:ascii="Calibri" w:hAnsi="Calibri" w:cs="Calibri"/>
        </w:rPr>
        <w:t>During a median follow-up of 4.9</w:t>
      </w:r>
      <w:r w:rsidR="00746923">
        <w:rPr>
          <w:rFonts w:ascii="Calibri" w:hAnsi="Calibri" w:cs="Calibri"/>
        </w:rPr>
        <w:t xml:space="preserve"> </w:t>
      </w:r>
      <w:r w:rsidRPr="00326CF9">
        <w:rPr>
          <w:rFonts w:ascii="Calibri" w:hAnsi="Calibri" w:cs="Calibri"/>
        </w:rPr>
        <w:t>[3.8-5.7] years (cumulative follow-up time of 828.3 patient-years), 28</w:t>
      </w:r>
      <w:r w:rsidR="00746923">
        <w:rPr>
          <w:rFonts w:ascii="Calibri" w:hAnsi="Calibri" w:cs="Calibri"/>
        </w:rPr>
        <w:t xml:space="preserve"> </w:t>
      </w:r>
      <w:r w:rsidRPr="00326CF9">
        <w:rPr>
          <w:rFonts w:ascii="Calibri" w:hAnsi="Calibri" w:cs="Calibri"/>
        </w:rPr>
        <w:t>(15.6%) patients died and 4</w:t>
      </w:r>
      <w:r w:rsidR="00746923">
        <w:rPr>
          <w:rFonts w:ascii="Calibri" w:hAnsi="Calibri" w:cs="Calibri"/>
        </w:rPr>
        <w:t xml:space="preserve"> </w:t>
      </w:r>
      <w:r w:rsidRPr="00326CF9">
        <w:rPr>
          <w:rFonts w:ascii="Calibri" w:hAnsi="Calibri" w:cs="Calibri"/>
        </w:rPr>
        <w:t xml:space="preserve">(2.2%) underwent heart or heart-lung transplantation. </w:t>
      </w:r>
      <w:r w:rsidR="00677056" w:rsidRPr="00326CF9">
        <w:rPr>
          <w:rFonts w:ascii="Calibri" w:hAnsi="Calibri" w:cs="Calibri"/>
        </w:rPr>
        <w:t xml:space="preserve">On Kaplan-Meier analysis, the 1-, 3- and 5-year transplant-free survival for the overall study </w:t>
      </w:r>
      <w:r w:rsidR="00677056" w:rsidRPr="00AD7065">
        <w:rPr>
          <w:rFonts w:ascii="Calibri" w:hAnsi="Calibri" w:cs="Calibri"/>
        </w:rPr>
        <w:t>population was 92.7% (95%CI: 89.0-96.6%), 88.1% (95%CI: 83.4-93%), and 82.9% (95%CI: 77.4-88.8%), respectively.</w:t>
      </w:r>
    </w:p>
    <w:p w14:paraId="54A7AE73" w14:textId="3FF80904" w:rsidR="00E27711" w:rsidRPr="00326CF9" w:rsidRDefault="002632F3" w:rsidP="001908AB">
      <w:pPr>
        <w:pStyle w:val="BodyText"/>
        <w:ind w:firstLine="851"/>
        <w:jc w:val="both"/>
        <w:rPr>
          <w:rFonts w:ascii="Calibri" w:hAnsi="Calibri" w:cs="Calibri"/>
        </w:rPr>
      </w:pPr>
      <w:r>
        <w:rPr>
          <w:rFonts w:ascii="Calibri" w:hAnsi="Calibri" w:cs="Calibri"/>
        </w:rPr>
        <w:t>U</w:t>
      </w:r>
      <w:r w:rsidR="00E27711" w:rsidRPr="00326CF9">
        <w:rPr>
          <w:rFonts w:ascii="Calibri" w:hAnsi="Calibri" w:cs="Calibri"/>
        </w:rPr>
        <w:t xml:space="preserve">nivariable Cox regression analysis </w:t>
      </w:r>
      <w:r>
        <w:rPr>
          <w:rFonts w:ascii="Calibri" w:hAnsi="Calibri" w:cs="Calibri"/>
        </w:rPr>
        <w:t xml:space="preserve">using </w:t>
      </w:r>
      <w:r w:rsidR="00E27711" w:rsidRPr="00326CF9">
        <w:rPr>
          <w:rFonts w:ascii="Calibri" w:hAnsi="Calibri" w:cs="Calibri"/>
        </w:rPr>
        <w:t xml:space="preserve">echocardiographic variables </w:t>
      </w:r>
      <w:r w:rsidR="00AD7065">
        <w:rPr>
          <w:rFonts w:ascii="Calibri" w:hAnsi="Calibri" w:cs="Calibri"/>
        </w:rPr>
        <w:t xml:space="preserve">demonstrated </w:t>
      </w:r>
      <w:r>
        <w:rPr>
          <w:rFonts w:ascii="Calibri" w:hAnsi="Calibri" w:cs="Calibri"/>
        </w:rPr>
        <w:t xml:space="preserve">a </w:t>
      </w:r>
      <w:r w:rsidR="00AD7065">
        <w:rPr>
          <w:rFonts w:ascii="Calibri" w:hAnsi="Calibri" w:cs="Calibri"/>
        </w:rPr>
        <w:t>significant association</w:t>
      </w:r>
      <w:r>
        <w:rPr>
          <w:rFonts w:ascii="Calibri" w:hAnsi="Calibri" w:cs="Calibri"/>
        </w:rPr>
        <w:t xml:space="preserve"> between </w:t>
      </w:r>
      <w:r w:rsidRPr="00326CF9">
        <w:rPr>
          <w:rFonts w:ascii="Calibri" w:hAnsi="Calibri" w:cs="Calibri"/>
        </w:rPr>
        <w:t>mortality or transplantation</w:t>
      </w:r>
      <w:r>
        <w:rPr>
          <w:rFonts w:ascii="Calibri" w:hAnsi="Calibri" w:cs="Calibri"/>
        </w:rPr>
        <w:t xml:space="preserve"> and the following variables:</w:t>
      </w:r>
      <w:r w:rsidR="00E27711" w:rsidRPr="00326CF9">
        <w:rPr>
          <w:rFonts w:ascii="Calibri" w:hAnsi="Calibri" w:cs="Calibri"/>
        </w:rPr>
        <w:t xml:space="preserve"> SRV size</w:t>
      </w:r>
      <w:r w:rsidR="00AD7065">
        <w:rPr>
          <w:rFonts w:ascii="Calibri" w:hAnsi="Calibri" w:cs="Calibri"/>
        </w:rPr>
        <w:t xml:space="preserve"> and </w:t>
      </w:r>
      <w:r w:rsidR="00E27711" w:rsidRPr="00326CF9">
        <w:rPr>
          <w:rFonts w:ascii="Calibri" w:hAnsi="Calibri" w:cs="Calibri"/>
        </w:rPr>
        <w:t xml:space="preserve">function (basal diameter, </w:t>
      </w:r>
      <w:proofErr w:type="spellStart"/>
      <w:r w:rsidR="00E27711" w:rsidRPr="00326CF9">
        <w:rPr>
          <w:rFonts w:ascii="Calibri" w:hAnsi="Calibri" w:cs="Calibri"/>
        </w:rPr>
        <w:t>EDAi</w:t>
      </w:r>
      <w:proofErr w:type="spellEnd"/>
      <w:r w:rsidR="00E27711" w:rsidRPr="00326CF9">
        <w:rPr>
          <w:rFonts w:ascii="Calibri" w:hAnsi="Calibri" w:cs="Calibri"/>
        </w:rPr>
        <w:t>, S’, FAC, ≥moderate systolic dysfunction</w:t>
      </w:r>
      <w:r w:rsidR="005C6A48">
        <w:rPr>
          <w:rFonts w:ascii="Calibri" w:hAnsi="Calibri" w:cs="Calibri"/>
        </w:rPr>
        <w:t xml:space="preserve"> by qualitative assessment</w:t>
      </w:r>
      <w:r w:rsidR="00E27711" w:rsidRPr="00326CF9">
        <w:rPr>
          <w:rFonts w:ascii="Calibri" w:hAnsi="Calibri" w:cs="Calibri"/>
        </w:rPr>
        <w:t>, ≥moderate tricuspid regurgitation) and subpulmonary LV size</w:t>
      </w:r>
      <w:r w:rsidR="00AD7065">
        <w:rPr>
          <w:rFonts w:ascii="Calibri" w:hAnsi="Calibri" w:cs="Calibri"/>
        </w:rPr>
        <w:t xml:space="preserve"> and </w:t>
      </w:r>
      <w:r w:rsidR="00E27711" w:rsidRPr="00326CF9">
        <w:rPr>
          <w:rFonts w:ascii="Calibri" w:hAnsi="Calibri" w:cs="Calibri"/>
        </w:rPr>
        <w:t>function (</w:t>
      </w:r>
      <w:r w:rsidR="00AD7065">
        <w:rPr>
          <w:rFonts w:ascii="Calibri" w:hAnsi="Calibri" w:cs="Calibri"/>
        </w:rPr>
        <w:t xml:space="preserve">indexed </w:t>
      </w:r>
      <w:r w:rsidR="00E27711" w:rsidRPr="00326CF9">
        <w:rPr>
          <w:rFonts w:ascii="Calibri" w:hAnsi="Calibri" w:cs="Calibri"/>
        </w:rPr>
        <w:t>EDD</w:t>
      </w:r>
      <w:r w:rsidR="00AD7065">
        <w:rPr>
          <w:rFonts w:ascii="Calibri" w:hAnsi="Calibri" w:cs="Calibri"/>
        </w:rPr>
        <w:t xml:space="preserve"> [</w:t>
      </w:r>
      <w:proofErr w:type="spellStart"/>
      <w:r w:rsidR="00AD7065">
        <w:rPr>
          <w:rFonts w:ascii="Calibri" w:hAnsi="Calibri" w:cs="Calibri"/>
        </w:rPr>
        <w:t>EDD</w:t>
      </w:r>
      <w:r w:rsidR="00E27711" w:rsidRPr="00326CF9">
        <w:rPr>
          <w:rFonts w:ascii="Calibri" w:hAnsi="Calibri" w:cs="Calibri"/>
        </w:rPr>
        <w:t>i</w:t>
      </w:r>
      <w:proofErr w:type="spellEnd"/>
      <w:r w:rsidR="00AD7065">
        <w:rPr>
          <w:rFonts w:ascii="Calibri" w:hAnsi="Calibri" w:cs="Calibri"/>
        </w:rPr>
        <w:t>]</w:t>
      </w:r>
      <w:r w:rsidR="00E27711" w:rsidRPr="00326CF9">
        <w:rPr>
          <w:rFonts w:ascii="Calibri" w:hAnsi="Calibri" w:cs="Calibri"/>
        </w:rPr>
        <w:t xml:space="preserve">, </w:t>
      </w:r>
      <w:r w:rsidR="00AD7065">
        <w:rPr>
          <w:rFonts w:ascii="Calibri" w:hAnsi="Calibri" w:cs="Calibri"/>
        </w:rPr>
        <w:t xml:space="preserve">indexed </w:t>
      </w:r>
      <w:r w:rsidR="00E27711" w:rsidRPr="00326CF9">
        <w:rPr>
          <w:rFonts w:ascii="Calibri" w:hAnsi="Calibri" w:cs="Calibri"/>
        </w:rPr>
        <w:t>ESD</w:t>
      </w:r>
      <w:r w:rsidR="00AD7065">
        <w:rPr>
          <w:rFonts w:ascii="Calibri" w:hAnsi="Calibri" w:cs="Calibri"/>
        </w:rPr>
        <w:t xml:space="preserve"> [</w:t>
      </w:r>
      <w:proofErr w:type="spellStart"/>
      <w:r w:rsidR="00AD7065">
        <w:rPr>
          <w:rFonts w:ascii="Calibri" w:hAnsi="Calibri" w:cs="Calibri"/>
        </w:rPr>
        <w:t>ESD</w:t>
      </w:r>
      <w:r w:rsidR="00E27711" w:rsidRPr="00326CF9">
        <w:rPr>
          <w:rFonts w:ascii="Calibri" w:hAnsi="Calibri" w:cs="Calibri"/>
        </w:rPr>
        <w:t>i</w:t>
      </w:r>
      <w:proofErr w:type="spellEnd"/>
      <w:r w:rsidR="00AD7065">
        <w:rPr>
          <w:rFonts w:ascii="Calibri" w:hAnsi="Calibri" w:cs="Calibri"/>
        </w:rPr>
        <w:t>]</w:t>
      </w:r>
      <w:r w:rsidR="00E27711" w:rsidRPr="00326CF9">
        <w:rPr>
          <w:rFonts w:ascii="Calibri" w:hAnsi="Calibri" w:cs="Calibri"/>
        </w:rPr>
        <w:t xml:space="preserve">, </w:t>
      </w:r>
      <w:proofErr w:type="spellStart"/>
      <w:r w:rsidR="00E27711" w:rsidRPr="00326CF9">
        <w:rPr>
          <w:rFonts w:ascii="Calibri" w:hAnsi="Calibri" w:cs="Calibri"/>
        </w:rPr>
        <w:t>EDAi</w:t>
      </w:r>
      <w:proofErr w:type="spellEnd"/>
      <w:r w:rsidR="00E27711" w:rsidRPr="00326CF9">
        <w:rPr>
          <w:rFonts w:ascii="Calibri" w:hAnsi="Calibri" w:cs="Calibri"/>
        </w:rPr>
        <w:t xml:space="preserve">, LV dilatation by </w:t>
      </w:r>
      <w:r w:rsidR="00AD7065">
        <w:rPr>
          <w:rFonts w:ascii="Calibri" w:hAnsi="Calibri" w:cs="Calibri"/>
        </w:rPr>
        <w:t>qualitative</w:t>
      </w:r>
      <w:r w:rsidR="00E27711" w:rsidRPr="00326CF9">
        <w:rPr>
          <w:rFonts w:ascii="Calibri" w:hAnsi="Calibri" w:cs="Calibri"/>
        </w:rPr>
        <w:t xml:space="preserve"> assessment, FAC, MAPSE, systolic dysfunction</w:t>
      </w:r>
      <w:r w:rsidR="005C6A48">
        <w:rPr>
          <w:rFonts w:ascii="Calibri" w:hAnsi="Calibri" w:cs="Calibri"/>
        </w:rPr>
        <w:t xml:space="preserve"> by qualitative assessment</w:t>
      </w:r>
      <w:r w:rsidR="00E27711" w:rsidRPr="00326CF9">
        <w:rPr>
          <w:rFonts w:ascii="Calibri" w:hAnsi="Calibri" w:cs="Calibri"/>
        </w:rPr>
        <w:t>). Several demographic and clinical variables were also identified as predictors of death or transplantation, including older age, NYHA functional class III</w:t>
      </w:r>
      <w:r w:rsidR="001908AB">
        <w:rPr>
          <w:rFonts w:ascii="Calibri" w:hAnsi="Calibri" w:cs="Calibri"/>
        </w:rPr>
        <w:t xml:space="preserve"> or </w:t>
      </w:r>
      <w:r w:rsidR="00E27711" w:rsidRPr="00326CF9">
        <w:rPr>
          <w:rFonts w:ascii="Calibri" w:hAnsi="Calibri" w:cs="Calibri"/>
        </w:rPr>
        <w:t xml:space="preserve">IV, a history of atrial arrhythmias, </w:t>
      </w:r>
      <w:r w:rsidR="00AD7065">
        <w:rPr>
          <w:rFonts w:ascii="Calibri" w:hAnsi="Calibri" w:cs="Calibri"/>
        </w:rPr>
        <w:t xml:space="preserve">presence of </w:t>
      </w:r>
      <w:r w:rsidR="00E27711" w:rsidRPr="00326CF9">
        <w:rPr>
          <w:rFonts w:ascii="Calibri" w:hAnsi="Calibri" w:cs="Calibri"/>
        </w:rPr>
        <w:t xml:space="preserve">pacemaker or </w:t>
      </w:r>
      <w:r w:rsidR="00AD7065">
        <w:rPr>
          <w:rFonts w:ascii="Calibri" w:hAnsi="Calibri" w:cs="Calibri"/>
        </w:rPr>
        <w:t>cardioverter-defibrillator</w:t>
      </w:r>
      <w:r w:rsidR="00E27711" w:rsidRPr="00326CF9">
        <w:rPr>
          <w:rFonts w:ascii="Calibri" w:hAnsi="Calibri" w:cs="Calibri"/>
        </w:rPr>
        <w:t xml:space="preserve"> at baseline, a higher serum BNP level</w:t>
      </w:r>
      <w:r w:rsidR="00AD7065">
        <w:rPr>
          <w:rFonts w:ascii="Calibri" w:hAnsi="Calibri" w:cs="Calibri"/>
        </w:rPr>
        <w:t xml:space="preserve"> (</w:t>
      </w:r>
      <w:r w:rsidR="00AD7065" w:rsidRPr="0021773B">
        <w:rPr>
          <w:rFonts w:ascii="Calibri" w:hAnsi="Calibri" w:cs="Calibri"/>
          <w:b/>
          <w:bCs/>
        </w:rPr>
        <w:t>Figure 1</w:t>
      </w:r>
      <w:r w:rsidR="00AD7065">
        <w:rPr>
          <w:rFonts w:ascii="Calibri" w:hAnsi="Calibri" w:cs="Calibri"/>
        </w:rPr>
        <w:t>)</w:t>
      </w:r>
      <w:r w:rsidR="00E27711" w:rsidRPr="00326CF9">
        <w:rPr>
          <w:rFonts w:ascii="Calibri" w:hAnsi="Calibri" w:cs="Calibri"/>
        </w:rPr>
        <w:t>.</w:t>
      </w:r>
      <w:r w:rsidR="00AA6E56">
        <w:rPr>
          <w:rFonts w:ascii="Calibri" w:hAnsi="Calibri" w:cs="Calibri"/>
        </w:rPr>
        <w:t xml:space="preserve"> </w:t>
      </w:r>
      <w:r w:rsidR="00AA6E56" w:rsidRPr="00AD7065">
        <w:rPr>
          <w:rFonts w:ascii="Calibri" w:hAnsi="Calibri" w:cs="Calibri"/>
        </w:rPr>
        <w:t>There was no significant difference in survival between anatomic subgroups (</w:t>
      </w:r>
      <w:r w:rsidR="00AA6E56">
        <w:rPr>
          <w:rFonts w:ascii="Calibri" w:hAnsi="Calibri" w:cs="Calibri"/>
        </w:rPr>
        <w:t xml:space="preserve">TGA versus ccTGA, </w:t>
      </w:r>
      <w:r w:rsidR="00AA6E56" w:rsidRPr="00AD7065">
        <w:rPr>
          <w:rFonts w:ascii="Calibri" w:hAnsi="Calibri" w:cs="Calibri"/>
        </w:rPr>
        <w:t>Log-rank p=0.9).</w:t>
      </w:r>
    </w:p>
    <w:p w14:paraId="03C38FB1" w14:textId="29FAD0E5" w:rsidR="00670A51" w:rsidRDefault="00E27711" w:rsidP="001908AB">
      <w:pPr>
        <w:pStyle w:val="BodyText"/>
        <w:ind w:firstLine="851"/>
        <w:jc w:val="both"/>
        <w:rPr>
          <w:rFonts w:ascii="Calibri" w:hAnsi="Calibri" w:cs="Calibri"/>
        </w:rPr>
      </w:pPr>
      <w:r w:rsidRPr="00326CF9">
        <w:rPr>
          <w:rFonts w:ascii="Calibri" w:hAnsi="Calibri" w:cs="Calibri"/>
        </w:rPr>
        <w:lastRenderedPageBreak/>
        <w:t xml:space="preserve">On multivariable Cox analysis after multiple imputation, the following echocardiographic parameters remained predictive of mortality or transplantation: LV </w:t>
      </w:r>
      <w:proofErr w:type="spellStart"/>
      <w:r w:rsidRPr="00326CF9">
        <w:rPr>
          <w:rFonts w:ascii="Calibri" w:hAnsi="Calibri" w:cs="Calibri"/>
        </w:rPr>
        <w:t>ESDi</w:t>
      </w:r>
      <w:proofErr w:type="spellEnd"/>
      <w:r w:rsidRPr="00326CF9">
        <w:rPr>
          <w:rFonts w:ascii="Calibri" w:hAnsi="Calibri" w:cs="Calibri"/>
        </w:rPr>
        <w:t xml:space="preserve">, LV FAC, SRV basal diameter, and SRV </w:t>
      </w:r>
      <w:r w:rsidRPr="00AD7065">
        <w:rPr>
          <w:rFonts w:ascii="Calibri" w:hAnsi="Calibri" w:cs="Calibri"/>
        </w:rPr>
        <w:t>FAC (</w:t>
      </w:r>
      <w:r w:rsidRPr="0021773B">
        <w:rPr>
          <w:rFonts w:ascii="Calibri" w:hAnsi="Calibri" w:cs="Calibri"/>
          <w:b/>
          <w:bCs/>
        </w:rPr>
        <w:t xml:space="preserve">Table </w:t>
      </w:r>
      <w:r w:rsidR="00FF19A0" w:rsidRPr="0021773B">
        <w:rPr>
          <w:rFonts w:ascii="Calibri" w:hAnsi="Calibri" w:cs="Calibri"/>
          <w:b/>
          <w:bCs/>
        </w:rPr>
        <w:t>2</w:t>
      </w:r>
      <w:r w:rsidRPr="00AD7065">
        <w:rPr>
          <w:rFonts w:ascii="Calibri" w:hAnsi="Calibri" w:cs="Calibri"/>
        </w:rPr>
        <w:t>).</w:t>
      </w:r>
      <w:r w:rsidR="00AD7065">
        <w:rPr>
          <w:rFonts w:ascii="Calibri" w:hAnsi="Calibri" w:cs="Calibri"/>
        </w:rPr>
        <w:t xml:space="preserve"> </w:t>
      </w:r>
      <w:r w:rsidRPr="00AD7065">
        <w:rPr>
          <w:rFonts w:ascii="Calibri" w:hAnsi="Calibri" w:cs="Calibri"/>
        </w:rPr>
        <w:t xml:space="preserve">When testing the discriminative ability of these variables in the unimputed dataset, </w:t>
      </w:r>
      <w:proofErr w:type="spellStart"/>
      <w:r w:rsidRPr="00AD7065">
        <w:rPr>
          <w:rFonts w:ascii="Calibri" w:hAnsi="Calibri" w:cs="Calibri"/>
        </w:rPr>
        <w:t>subpulmonary</w:t>
      </w:r>
      <w:proofErr w:type="spellEnd"/>
      <w:r w:rsidRPr="00AD7065">
        <w:rPr>
          <w:rFonts w:ascii="Calibri" w:hAnsi="Calibri" w:cs="Calibri"/>
        </w:rPr>
        <w:t xml:space="preserve"> LV </w:t>
      </w:r>
      <w:proofErr w:type="spellStart"/>
      <w:r w:rsidRPr="00AD7065">
        <w:rPr>
          <w:rFonts w:ascii="Calibri" w:hAnsi="Calibri" w:cs="Calibri"/>
        </w:rPr>
        <w:t>ESDi</w:t>
      </w:r>
      <w:proofErr w:type="spellEnd"/>
      <w:r w:rsidRPr="00AD7065">
        <w:rPr>
          <w:rFonts w:ascii="Calibri" w:hAnsi="Calibri" w:cs="Calibri"/>
        </w:rPr>
        <w:t xml:space="preserve"> and FAC had a higher sensitivity and specificity in predicting death or transplantation </w:t>
      </w:r>
      <w:r w:rsidR="00AA6E56">
        <w:rPr>
          <w:rFonts w:ascii="Calibri" w:hAnsi="Calibri" w:cs="Calibri"/>
        </w:rPr>
        <w:t>compared to</w:t>
      </w:r>
      <w:r w:rsidR="00AA6E56" w:rsidRPr="00AD7065">
        <w:rPr>
          <w:rFonts w:ascii="Calibri" w:hAnsi="Calibri" w:cs="Calibri"/>
        </w:rPr>
        <w:t xml:space="preserve"> </w:t>
      </w:r>
      <w:r w:rsidRPr="00AD7065">
        <w:rPr>
          <w:rFonts w:ascii="Calibri" w:hAnsi="Calibri" w:cs="Calibri"/>
        </w:rPr>
        <w:t xml:space="preserve">SRV basal diameter and </w:t>
      </w:r>
      <w:r w:rsidR="005B2F00" w:rsidRPr="00AD7065">
        <w:rPr>
          <w:rFonts w:ascii="Calibri" w:hAnsi="Calibri" w:cs="Calibri"/>
        </w:rPr>
        <w:t xml:space="preserve">SRV </w:t>
      </w:r>
      <w:r w:rsidRPr="00AD7065">
        <w:rPr>
          <w:rFonts w:ascii="Calibri" w:hAnsi="Calibri" w:cs="Calibri"/>
        </w:rPr>
        <w:t xml:space="preserve">FAC </w:t>
      </w:r>
      <w:r w:rsidR="005B2F00" w:rsidRPr="00AD7065">
        <w:rPr>
          <w:rFonts w:ascii="Calibri" w:hAnsi="Calibri" w:cs="Calibri"/>
        </w:rPr>
        <w:t>(</w:t>
      </w:r>
      <w:r w:rsidRPr="0021773B">
        <w:rPr>
          <w:rFonts w:ascii="Calibri" w:hAnsi="Calibri" w:cs="Calibri"/>
          <w:b/>
          <w:bCs/>
        </w:rPr>
        <w:t>Figure 2</w:t>
      </w:r>
      <w:r w:rsidR="005B2F00" w:rsidRPr="00AD7065">
        <w:rPr>
          <w:rFonts w:ascii="Calibri" w:hAnsi="Calibri" w:cs="Calibri"/>
        </w:rPr>
        <w:t>)</w:t>
      </w:r>
      <w:r w:rsidRPr="00AD7065">
        <w:rPr>
          <w:rFonts w:ascii="Calibri" w:hAnsi="Calibri" w:cs="Calibri"/>
        </w:rPr>
        <w:t>. For</w:t>
      </w:r>
      <w:r w:rsidRPr="00326CF9">
        <w:rPr>
          <w:rFonts w:ascii="Calibri" w:hAnsi="Calibri" w:cs="Calibri"/>
        </w:rPr>
        <w:t xml:space="preserve"> death or transplantation at 1 year, LV FAC AUC was </w:t>
      </w:r>
      <w:r w:rsidR="00DD1657">
        <w:rPr>
          <w:rFonts w:ascii="Calibri" w:hAnsi="Calibri" w:cs="Calibri"/>
        </w:rPr>
        <w:t>higher than SRV FAC (</w:t>
      </w:r>
      <w:r w:rsidRPr="00326CF9">
        <w:rPr>
          <w:rFonts w:ascii="Calibri" w:hAnsi="Calibri" w:cs="Calibri"/>
        </w:rPr>
        <w:t>93.</w:t>
      </w:r>
      <w:r w:rsidR="00DD1657">
        <w:rPr>
          <w:rFonts w:ascii="Calibri" w:hAnsi="Calibri" w:cs="Calibri"/>
        </w:rPr>
        <w:t xml:space="preserve">1, </w:t>
      </w:r>
      <w:r w:rsidRPr="00326CF9">
        <w:rPr>
          <w:rFonts w:ascii="Calibri" w:hAnsi="Calibri" w:cs="Calibri"/>
        </w:rPr>
        <w:t>95%CI</w:t>
      </w:r>
      <w:r w:rsidR="00DD1657">
        <w:rPr>
          <w:rFonts w:ascii="Calibri" w:hAnsi="Calibri" w:cs="Calibri"/>
        </w:rPr>
        <w:t>:</w:t>
      </w:r>
      <w:r w:rsidRPr="00326CF9">
        <w:rPr>
          <w:rFonts w:ascii="Calibri" w:hAnsi="Calibri" w:cs="Calibri"/>
        </w:rPr>
        <w:t>87.9-98.</w:t>
      </w:r>
      <w:r w:rsidR="00DD1657">
        <w:rPr>
          <w:rFonts w:ascii="Calibri" w:hAnsi="Calibri" w:cs="Calibri"/>
        </w:rPr>
        <w:t xml:space="preserve">4 vs. </w:t>
      </w:r>
      <w:r w:rsidRPr="00326CF9">
        <w:rPr>
          <w:rFonts w:ascii="Calibri" w:hAnsi="Calibri" w:cs="Calibri"/>
        </w:rPr>
        <w:t>78.3</w:t>
      </w:r>
      <w:r w:rsidR="00DD1657">
        <w:rPr>
          <w:rFonts w:ascii="Calibri" w:hAnsi="Calibri" w:cs="Calibri"/>
        </w:rPr>
        <w:t xml:space="preserve">, </w:t>
      </w:r>
      <w:r w:rsidRPr="00326CF9">
        <w:rPr>
          <w:rFonts w:ascii="Calibri" w:hAnsi="Calibri" w:cs="Calibri"/>
        </w:rPr>
        <w:t>95%CI</w:t>
      </w:r>
      <w:r w:rsidR="00DD1657">
        <w:rPr>
          <w:rFonts w:ascii="Calibri" w:hAnsi="Calibri" w:cs="Calibri"/>
        </w:rPr>
        <w:t>:</w:t>
      </w:r>
      <w:r w:rsidRPr="00326CF9">
        <w:rPr>
          <w:rFonts w:ascii="Calibri" w:hAnsi="Calibri" w:cs="Calibri"/>
        </w:rPr>
        <w:t>64.</w:t>
      </w:r>
      <w:r w:rsidR="00DD1657">
        <w:rPr>
          <w:rFonts w:ascii="Calibri" w:hAnsi="Calibri" w:cs="Calibri"/>
        </w:rPr>
        <w:t>2</w:t>
      </w:r>
      <w:r w:rsidRPr="00326CF9">
        <w:rPr>
          <w:rFonts w:ascii="Calibri" w:hAnsi="Calibri" w:cs="Calibri"/>
        </w:rPr>
        <w:t>-92.3</w:t>
      </w:r>
      <w:r w:rsidR="00DD1657">
        <w:rPr>
          <w:rFonts w:ascii="Calibri" w:hAnsi="Calibri" w:cs="Calibri"/>
        </w:rPr>
        <w:t>, p=0.01</w:t>
      </w:r>
      <w:r w:rsidRPr="00326CF9">
        <w:rPr>
          <w:rFonts w:ascii="Calibri" w:hAnsi="Calibri" w:cs="Calibri"/>
        </w:rPr>
        <w:t>).</w:t>
      </w:r>
      <w:r w:rsidR="003D3518">
        <w:rPr>
          <w:rFonts w:ascii="Calibri" w:hAnsi="Calibri" w:cs="Calibri"/>
        </w:rPr>
        <w:t xml:space="preserve"> </w:t>
      </w:r>
      <w:r w:rsidR="00BA61B5" w:rsidRPr="00BA61B5">
        <w:rPr>
          <w:rFonts w:ascii="Calibri" w:hAnsi="Calibri" w:cs="Calibri"/>
        </w:rPr>
        <w:t xml:space="preserve">Parameters of LV function </w:t>
      </w:r>
      <w:r w:rsidR="009642E8">
        <w:rPr>
          <w:rFonts w:ascii="Calibri" w:hAnsi="Calibri" w:cs="Calibri"/>
        </w:rPr>
        <w:t>remained</w:t>
      </w:r>
      <w:r w:rsidR="00BA61B5" w:rsidRPr="00BA61B5">
        <w:rPr>
          <w:rFonts w:ascii="Calibri" w:hAnsi="Calibri" w:cs="Calibri"/>
        </w:rPr>
        <w:t xml:space="preserve"> independent predictors of outcome even after removing patients on PAH therapies from the analysis cohort (</w:t>
      </w:r>
      <w:r w:rsidR="00BA61B5" w:rsidRPr="00291BE8">
        <w:rPr>
          <w:rFonts w:ascii="Calibri" w:hAnsi="Calibri" w:cs="Calibri"/>
          <w:b/>
          <w:bCs/>
        </w:rPr>
        <w:t>Supplementary Table 1</w:t>
      </w:r>
      <w:r w:rsidR="00BA61B5" w:rsidRPr="00BA61B5">
        <w:rPr>
          <w:rFonts w:ascii="Calibri" w:hAnsi="Calibri" w:cs="Calibri"/>
        </w:rPr>
        <w:t>)</w:t>
      </w:r>
      <w:r w:rsidR="00BA61B5">
        <w:rPr>
          <w:rFonts w:ascii="Calibri" w:hAnsi="Calibri" w:cs="Calibri"/>
        </w:rPr>
        <w:t>.</w:t>
      </w:r>
    </w:p>
    <w:p w14:paraId="4D95F8DF" w14:textId="3BE28E9F" w:rsidR="001833E1" w:rsidRDefault="001833E1" w:rsidP="001908AB">
      <w:pPr>
        <w:pStyle w:val="BodyText"/>
        <w:ind w:firstLine="851"/>
        <w:jc w:val="both"/>
        <w:rPr>
          <w:rFonts w:ascii="Calibri" w:hAnsi="Calibri" w:cs="Calibri"/>
        </w:rPr>
      </w:pPr>
      <w:proofErr w:type="spellStart"/>
      <w:r>
        <w:rPr>
          <w:rFonts w:ascii="Calibri" w:hAnsi="Calibri" w:cs="Calibri"/>
        </w:rPr>
        <w:t>Termplots</w:t>
      </w:r>
      <w:proofErr w:type="spellEnd"/>
      <w:r>
        <w:rPr>
          <w:rFonts w:ascii="Calibri" w:hAnsi="Calibri" w:cs="Calibri"/>
        </w:rPr>
        <w:t xml:space="preserve"> were drawn for ventricular size and function of the SRV and subpulmonary LV to identify cut-offs for each of the parameters </w:t>
      </w:r>
      <w:r w:rsidR="0021773B">
        <w:rPr>
          <w:rFonts w:ascii="Calibri" w:hAnsi="Calibri" w:cs="Calibri"/>
        </w:rPr>
        <w:t xml:space="preserve">as follows: </w:t>
      </w:r>
      <w:r w:rsidR="0021773B" w:rsidRPr="0021773B">
        <w:rPr>
          <w:rFonts w:ascii="Calibri" w:hAnsi="Calibri" w:cs="Calibri"/>
        </w:rPr>
        <w:t xml:space="preserve">LV </w:t>
      </w:r>
      <w:proofErr w:type="spellStart"/>
      <w:r w:rsidR="0021773B" w:rsidRPr="0021773B">
        <w:rPr>
          <w:rFonts w:ascii="Calibri" w:hAnsi="Calibri" w:cs="Calibri"/>
        </w:rPr>
        <w:t>ESD</w:t>
      </w:r>
      <w:r w:rsidR="0021773B">
        <w:rPr>
          <w:rFonts w:ascii="Calibri" w:hAnsi="Calibri" w:cs="Calibri"/>
        </w:rPr>
        <w:t>i</w:t>
      </w:r>
      <w:proofErr w:type="spellEnd"/>
      <w:r w:rsidR="0021773B" w:rsidRPr="0021773B">
        <w:rPr>
          <w:rFonts w:ascii="Calibri" w:hAnsi="Calibri" w:cs="Calibri"/>
        </w:rPr>
        <w:t xml:space="preserve"> &gt;1.5</w:t>
      </w:r>
      <w:r w:rsidR="0021773B">
        <w:rPr>
          <w:rFonts w:ascii="Calibri" w:hAnsi="Calibri" w:cs="Calibri"/>
        </w:rPr>
        <w:t xml:space="preserve"> cm/m</w:t>
      </w:r>
      <w:r w:rsidR="0021773B" w:rsidRPr="0021773B">
        <w:rPr>
          <w:rFonts w:ascii="Calibri" w:hAnsi="Calibri" w:cs="Calibri"/>
          <w:vertAlign w:val="superscript"/>
        </w:rPr>
        <w:t>2</w:t>
      </w:r>
      <w:r w:rsidR="0021773B" w:rsidRPr="0021773B">
        <w:rPr>
          <w:rFonts w:ascii="Calibri" w:hAnsi="Calibri" w:cs="Calibri"/>
        </w:rPr>
        <w:t>, LV FAC</w:t>
      </w:r>
      <w:r w:rsidR="0021773B">
        <w:rPr>
          <w:rFonts w:ascii="Calibri" w:hAnsi="Calibri" w:cs="Calibri"/>
        </w:rPr>
        <w:t xml:space="preserve"> </w:t>
      </w:r>
      <w:r w:rsidR="0021773B" w:rsidRPr="0021773B">
        <w:rPr>
          <w:rFonts w:ascii="Calibri" w:hAnsi="Calibri" w:cs="Calibri"/>
        </w:rPr>
        <w:t>&lt;40%, SRV basal diam</w:t>
      </w:r>
      <w:r w:rsidR="0021773B">
        <w:rPr>
          <w:rFonts w:ascii="Calibri" w:hAnsi="Calibri" w:cs="Calibri"/>
        </w:rPr>
        <w:t>eter</w:t>
      </w:r>
      <w:r w:rsidR="0021773B" w:rsidRPr="0021773B">
        <w:rPr>
          <w:rFonts w:ascii="Calibri" w:hAnsi="Calibri" w:cs="Calibri"/>
        </w:rPr>
        <w:t xml:space="preserve"> &gt;6</w:t>
      </w:r>
      <w:r w:rsidR="0021773B">
        <w:rPr>
          <w:rFonts w:ascii="Calibri" w:hAnsi="Calibri" w:cs="Calibri"/>
        </w:rPr>
        <w:t xml:space="preserve">.0 </w:t>
      </w:r>
      <w:r w:rsidR="0021773B" w:rsidRPr="0021773B">
        <w:rPr>
          <w:rFonts w:ascii="Calibri" w:hAnsi="Calibri" w:cs="Calibri"/>
        </w:rPr>
        <w:t>cm and SRV FAC</w:t>
      </w:r>
      <w:r w:rsidR="0021773B">
        <w:rPr>
          <w:rFonts w:ascii="Calibri" w:hAnsi="Calibri" w:cs="Calibri"/>
        </w:rPr>
        <w:t xml:space="preserve"> </w:t>
      </w:r>
      <w:r w:rsidR="0021773B" w:rsidRPr="0021773B">
        <w:rPr>
          <w:rFonts w:ascii="Calibri" w:hAnsi="Calibri" w:cs="Calibri"/>
        </w:rPr>
        <w:t xml:space="preserve">&lt;25%. </w:t>
      </w:r>
      <w:r w:rsidRPr="0021773B">
        <w:rPr>
          <w:rFonts w:ascii="Calibri" w:hAnsi="Calibri" w:cs="Calibri"/>
        </w:rPr>
        <w:t>(</w:t>
      </w:r>
      <w:r>
        <w:rPr>
          <w:rFonts w:ascii="Calibri" w:hAnsi="Calibri" w:cs="Calibri"/>
          <w:b/>
          <w:bCs/>
        </w:rPr>
        <w:t>Supplementary figure 1</w:t>
      </w:r>
      <w:r w:rsidRPr="0021773B">
        <w:rPr>
          <w:rFonts w:ascii="Calibri" w:hAnsi="Calibri" w:cs="Calibri"/>
        </w:rPr>
        <w:t>)</w:t>
      </w:r>
      <w:r>
        <w:rPr>
          <w:rFonts w:ascii="Calibri" w:hAnsi="Calibri" w:cs="Calibri"/>
        </w:rPr>
        <w:t>.</w:t>
      </w:r>
    </w:p>
    <w:p w14:paraId="52B9F2A0" w14:textId="77777777" w:rsidR="00224CC0" w:rsidRPr="00224CC0" w:rsidRDefault="00224CC0" w:rsidP="00224CC0">
      <w:pPr>
        <w:pStyle w:val="BodyText"/>
        <w:ind w:firstLine="851"/>
        <w:jc w:val="both"/>
        <w:rPr>
          <w:rFonts w:ascii="Calibri" w:hAnsi="Calibri" w:cs="Calibri"/>
          <w:bCs/>
          <w:i/>
          <w:iCs/>
          <w:color w:val="000000" w:themeColor="text1"/>
        </w:rPr>
      </w:pPr>
      <w:r w:rsidRPr="00224CC0">
        <w:rPr>
          <w:rFonts w:ascii="Calibri" w:hAnsi="Calibri" w:cs="Calibri"/>
          <w:bCs/>
          <w:i/>
          <w:iCs/>
          <w:color w:val="000000" w:themeColor="text1"/>
        </w:rPr>
        <w:t xml:space="preserve">Reproducibility analysis </w:t>
      </w:r>
    </w:p>
    <w:p w14:paraId="7D8649BE" w14:textId="5B4F17B6" w:rsidR="00224CC0" w:rsidRPr="00224CC0" w:rsidRDefault="00224CC0" w:rsidP="00224CC0">
      <w:pPr>
        <w:pStyle w:val="BodyText"/>
        <w:ind w:firstLine="851"/>
        <w:jc w:val="both"/>
        <w:rPr>
          <w:rFonts w:ascii="Calibri" w:hAnsi="Calibri" w:cs="Calibri"/>
          <w:bCs/>
          <w:color w:val="000000" w:themeColor="text1"/>
        </w:rPr>
      </w:pPr>
      <w:r w:rsidRPr="00224CC0">
        <w:rPr>
          <w:rFonts w:ascii="Calibri" w:hAnsi="Calibri" w:cs="Calibri"/>
          <w:bCs/>
          <w:color w:val="000000" w:themeColor="text1"/>
        </w:rPr>
        <w:t>Intraclass correlation coefficient and coefficient of variability values suggested acceptable intra- and interobserver variability and reliability for key echocardiographic parameters of the SRV and LV (</w:t>
      </w:r>
      <w:r w:rsidRPr="00224CC0">
        <w:rPr>
          <w:rFonts w:ascii="Calibri" w:hAnsi="Calibri" w:cs="Calibri"/>
          <w:b/>
          <w:color w:val="000000" w:themeColor="text1"/>
        </w:rPr>
        <w:t>Supplementary Table 2</w:t>
      </w:r>
      <w:r w:rsidRPr="00224CC0">
        <w:rPr>
          <w:rFonts w:ascii="Calibri" w:hAnsi="Calibri" w:cs="Calibri"/>
          <w:bCs/>
          <w:color w:val="000000" w:themeColor="text1"/>
        </w:rPr>
        <w:t>). Reproducibility of subpulmonary LV parameters appear</w:t>
      </w:r>
      <w:r w:rsidR="00A5603B">
        <w:rPr>
          <w:rFonts w:ascii="Calibri" w:hAnsi="Calibri" w:cs="Calibri"/>
          <w:bCs/>
          <w:color w:val="000000" w:themeColor="text1"/>
        </w:rPr>
        <w:t>ed</w:t>
      </w:r>
      <w:r w:rsidRPr="00224CC0">
        <w:rPr>
          <w:rFonts w:ascii="Calibri" w:hAnsi="Calibri" w:cs="Calibri"/>
          <w:bCs/>
          <w:color w:val="000000" w:themeColor="text1"/>
        </w:rPr>
        <w:t xml:space="preserve"> better than SRV</w:t>
      </w:r>
      <w:r w:rsidR="00A5603B">
        <w:rPr>
          <w:rFonts w:ascii="Calibri" w:hAnsi="Calibri" w:cs="Calibri"/>
          <w:bCs/>
          <w:color w:val="000000" w:themeColor="text1"/>
        </w:rPr>
        <w:t>.</w:t>
      </w:r>
    </w:p>
    <w:p w14:paraId="159797CC" w14:textId="77777777" w:rsidR="00E95D19" w:rsidRDefault="00E95D19">
      <w:pPr>
        <w:rPr>
          <w:rFonts w:ascii="Calibri" w:eastAsiaTheme="majorEastAsia" w:hAnsi="Calibri" w:cs="Calibri"/>
          <w:b/>
          <w:bCs/>
          <w:sz w:val="28"/>
          <w:szCs w:val="28"/>
          <w:lang w:val="en-US"/>
        </w:rPr>
      </w:pPr>
      <w:r>
        <w:rPr>
          <w:rFonts w:ascii="Calibri" w:hAnsi="Calibri" w:cs="Calibri"/>
        </w:rPr>
        <w:br w:type="page"/>
      </w:r>
    </w:p>
    <w:p w14:paraId="7340777E" w14:textId="1C376E85" w:rsidR="001F4E94" w:rsidRPr="00326CF9" w:rsidRDefault="001F4E94" w:rsidP="00E95D19">
      <w:pPr>
        <w:pStyle w:val="Heading1"/>
      </w:pPr>
      <w:r w:rsidRPr="00326CF9">
        <w:lastRenderedPageBreak/>
        <w:t>Discussion</w:t>
      </w:r>
    </w:p>
    <w:p w14:paraId="6BB99B8C" w14:textId="44D2F62C" w:rsidR="00E3514E" w:rsidRDefault="00E95D19" w:rsidP="00CB4AB5">
      <w:pPr>
        <w:spacing w:line="480" w:lineRule="auto"/>
        <w:jc w:val="both"/>
        <w:rPr>
          <w:rFonts w:ascii="Calibri" w:hAnsi="Calibri" w:cs="Calibri"/>
        </w:rPr>
      </w:pPr>
      <w:r>
        <w:rPr>
          <w:rFonts w:ascii="Calibri" w:hAnsi="Calibri" w:cs="Calibri"/>
        </w:rPr>
        <w:tab/>
      </w:r>
      <w:r w:rsidR="00D84949">
        <w:rPr>
          <w:rFonts w:ascii="Calibri" w:hAnsi="Calibri" w:cs="Calibri"/>
        </w:rPr>
        <w:t>Adults with a SRV</w:t>
      </w:r>
      <w:r w:rsidR="00BC7592">
        <w:rPr>
          <w:rFonts w:ascii="Calibri" w:hAnsi="Calibri" w:cs="Calibri"/>
        </w:rPr>
        <w:t xml:space="preserve"> and</w:t>
      </w:r>
      <w:r w:rsidR="00D84949">
        <w:rPr>
          <w:rFonts w:ascii="Calibri" w:hAnsi="Calibri" w:cs="Calibri"/>
        </w:rPr>
        <w:t xml:space="preserve"> TGA or ccTGA are a high-risk population with a significant mortality at short- to medium-term follow-up. Echocardiography remains an important tool in the non-invasive risk stratification of these patients. </w:t>
      </w:r>
      <w:r w:rsidR="000D000A" w:rsidRPr="006525C9">
        <w:rPr>
          <w:rFonts w:ascii="Calibri" w:hAnsi="Calibri" w:cs="Calibri"/>
        </w:rPr>
        <w:t xml:space="preserve">In </w:t>
      </w:r>
      <w:r w:rsidR="00D84949">
        <w:rPr>
          <w:rFonts w:ascii="Calibri" w:hAnsi="Calibri" w:cs="Calibri"/>
        </w:rPr>
        <w:t xml:space="preserve">our cohort of 180 patients </w:t>
      </w:r>
      <w:r w:rsidR="00DD1657">
        <w:rPr>
          <w:rFonts w:ascii="Calibri" w:hAnsi="Calibri" w:cs="Calibri"/>
        </w:rPr>
        <w:t xml:space="preserve">who underwent </w:t>
      </w:r>
      <w:r w:rsidR="00D84949">
        <w:rPr>
          <w:rFonts w:ascii="Calibri" w:hAnsi="Calibri" w:cs="Calibri"/>
        </w:rPr>
        <w:t>detailed expert echocardiographic assessment</w:t>
      </w:r>
      <w:r w:rsidR="00DD1657">
        <w:rPr>
          <w:rFonts w:ascii="Calibri" w:hAnsi="Calibri" w:cs="Calibri"/>
        </w:rPr>
        <w:t xml:space="preserve"> during routine specialist follow-up</w:t>
      </w:r>
      <w:r w:rsidR="00102C1C">
        <w:rPr>
          <w:rFonts w:ascii="Calibri" w:hAnsi="Calibri" w:cs="Calibri"/>
        </w:rPr>
        <w:t>,</w:t>
      </w:r>
      <w:r w:rsidR="00EB36FB">
        <w:rPr>
          <w:rFonts w:ascii="Calibri" w:hAnsi="Calibri" w:cs="Calibri"/>
        </w:rPr>
        <w:t xml:space="preserve"> </w:t>
      </w:r>
      <w:r w:rsidR="00102C1C">
        <w:rPr>
          <w:rFonts w:ascii="Calibri" w:hAnsi="Calibri" w:cs="Calibri"/>
        </w:rPr>
        <w:t xml:space="preserve">size and systolic function </w:t>
      </w:r>
      <w:r w:rsidR="00D84949">
        <w:rPr>
          <w:rFonts w:ascii="Calibri" w:hAnsi="Calibri" w:cs="Calibri"/>
        </w:rPr>
        <w:t xml:space="preserve">of both the SRV and subpulmonary LV were independent predictors of mortality or transplantation. </w:t>
      </w:r>
      <w:r w:rsidR="006A1B4F">
        <w:rPr>
          <w:rFonts w:ascii="Calibri" w:hAnsi="Calibri" w:cs="Calibri"/>
        </w:rPr>
        <w:t xml:space="preserve">Most importantly, </w:t>
      </w:r>
      <w:r w:rsidR="00D84949">
        <w:rPr>
          <w:rFonts w:ascii="Calibri" w:hAnsi="Calibri" w:cs="Calibri"/>
        </w:rPr>
        <w:t xml:space="preserve">subpulmonary </w:t>
      </w:r>
      <w:r w:rsidR="00E3514E">
        <w:rPr>
          <w:rFonts w:ascii="Calibri" w:hAnsi="Calibri" w:cs="Calibri"/>
        </w:rPr>
        <w:t xml:space="preserve">LV </w:t>
      </w:r>
      <w:r w:rsidR="00D84949">
        <w:rPr>
          <w:rFonts w:ascii="Calibri" w:hAnsi="Calibri" w:cs="Calibri"/>
        </w:rPr>
        <w:t xml:space="preserve">size and function </w:t>
      </w:r>
      <w:r w:rsidR="006A1B4F">
        <w:rPr>
          <w:rFonts w:ascii="Calibri" w:hAnsi="Calibri" w:cs="Calibri"/>
        </w:rPr>
        <w:t xml:space="preserve">emerged as the strongest </w:t>
      </w:r>
      <w:r w:rsidR="00D84949">
        <w:rPr>
          <w:rFonts w:ascii="Calibri" w:hAnsi="Calibri" w:cs="Calibri"/>
        </w:rPr>
        <w:t>predictors of</w:t>
      </w:r>
      <w:r w:rsidR="006A1B4F">
        <w:rPr>
          <w:rFonts w:ascii="Calibri" w:hAnsi="Calibri" w:cs="Calibri"/>
        </w:rPr>
        <w:t xml:space="preserve"> clinical</w:t>
      </w:r>
      <w:r w:rsidR="00D84949">
        <w:rPr>
          <w:rFonts w:ascii="Calibri" w:hAnsi="Calibri" w:cs="Calibri"/>
        </w:rPr>
        <w:t xml:space="preserve"> outcome</w:t>
      </w:r>
      <w:r w:rsidR="006A1B4F">
        <w:rPr>
          <w:rFonts w:ascii="Calibri" w:hAnsi="Calibri" w:cs="Calibri"/>
        </w:rPr>
        <w:t xml:space="preserve"> in this population</w:t>
      </w:r>
      <w:r w:rsidR="00D84949">
        <w:rPr>
          <w:rFonts w:ascii="Calibri" w:hAnsi="Calibri" w:cs="Calibri"/>
        </w:rPr>
        <w:t>. Thorough echocardiographic assessment</w:t>
      </w:r>
      <w:r w:rsidR="00E3514E">
        <w:rPr>
          <w:rFonts w:ascii="Calibri" w:hAnsi="Calibri" w:cs="Calibri"/>
        </w:rPr>
        <w:t>,</w:t>
      </w:r>
      <w:r w:rsidR="00D84949">
        <w:rPr>
          <w:rFonts w:ascii="Calibri" w:hAnsi="Calibri" w:cs="Calibri"/>
        </w:rPr>
        <w:t xml:space="preserve"> </w:t>
      </w:r>
      <w:r w:rsidR="00E3514E">
        <w:rPr>
          <w:rFonts w:ascii="Calibri" w:hAnsi="Calibri" w:cs="Calibri"/>
        </w:rPr>
        <w:t xml:space="preserve">with an emphasis on the </w:t>
      </w:r>
      <w:r w:rsidR="00D84949">
        <w:rPr>
          <w:rFonts w:ascii="Calibri" w:hAnsi="Calibri" w:cs="Calibri"/>
        </w:rPr>
        <w:t>subpulmonary LV</w:t>
      </w:r>
      <w:r w:rsidR="00E3514E">
        <w:rPr>
          <w:rFonts w:ascii="Calibri" w:hAnsi="Calibri" w:cs="Calibri"/>
        </w:rPr>
        <w:t>,</w:t>
      </w:r>
      <w:r w:rsidR="00D84949">
        <w:rPr>
          <w:rFonts w:ascii="Calibri" w:hAnsi="Calibri" w:cs="Calibri"/>
        </w:rPr>
        <w:t xml:space="preserve"> should be an integral part of the </w:t>
      </w:r>
      <w:r w:rsidR="00E3514E">
        <w:rPr>
          <w:rFonts w:ascii="Calibri" w:hAnsi="Calibri" w:cs="Calibri"/>
        </w:rPr>
        <w:t>routine clinical follow-up and risk stratification</w:t>
      </w:r>
      <w:r w:rsidR="00D84949">
        <w:rPr>
          <w:rFonts w:ascii="Calibri" w:hAnsi="Calibri" w:cs="Calibri"/>
        </w:rPr>
        <w:t xml:space="preserve"> </w:t>
      </w:r>
      <w:r w:rsidR="00DD1657">
        <w:rPr>
          <w:rFonts w:ascii="Calibri" w:hAnsi="Calibri" w:cs="Calibri"/>
        </w:rPr>
        <w:t>of</w:t>
      </w:r>
      <w:r w:rsidR="00E3514E">
        <w:rPr>
          <w:rFonts w:ascii="Calibri" w:hAnsi="Calibri" w:cs="Calibri"/>
        </w:rPr>
        <w:t xml:space="preserve"> all </w:t>
      </w:r>
      <w:r w:rsidR="00D84949">
        <w:rPr>
          <w:rFonts w:ascii="Calibri" w:hAnsi="Calibri" w:cs="Calibri"/>
        </w:rPr>
        <w:t xml:space="preserve">patients with </w:t>
      </w:r>
      <w:proofErr w:type="gramStart"/>
      <w:r w:rsidR="00D84949">
        <w:rPr>
          <w:rFonts w:ascii="Calibri" w:hAnsi="Calibri" w:cs="Calibri"/>
        </w:rPr>
        <w:t>a</w:t>
      </w:r>
      <w:proofErr w:type="gramEnd"/>
      <w:r w:rsidR="00D84949">
        <w:rPr>
          <w:rFonts w:ascii="Calibri" w:hAnsi="Calibri" w:cs="Calibri"/>
        </w:rPr>
        <w:t xml:space="preserve"> SRV.</w:t>
      </w:r>
    </w:p>
    <w:p w14:paraId="34369EA1" w14:textId="3FCFBA03" w:rsidR="005C281C" w:rsidRDefault="005C281C" w:rsidP="005C281C">
      <w:pPr>
        <w:autoSpaceDE w:val="0"/>
        <w:autoSpaceDN w:val="0"/>
        <w:adjustRightInd w:val="0"/>
        <w:spacing w:line="480" w:lineRule="auto"/>
        <w:ind w:firstLine="709"/>
        <w:jc w:val="both"/>
        <w:rPr>
          <w:rFonts w:ascii="Calibri" w:hAnsi="Calibri" w:cs="Calibri"/>
          <w:color w:val="000000" w:themeColor="text1"/>
        </w:rPr>
      </w:pPr>
      <w:r>
        <w:rPr>
          <w:rFonts w:ascii="Calibri" w:hAnsi="Calibri" w:cs="Calibri"/>
        </w:rPr>
        <w:t xml:space="preserve">The natural history of </w:t>
      </w:r>
      <w:r w:rsidR="006A1B4F">
        <w:rPr>
          <w:rFonts w:ascii="Calibri" w:hAnsi="Calibri" w:cs="Calibri"/>
        </w:rPr>
        <w:t>pa</w:t>
      </w:r>
      <w:r>
        <w:rPr>
          <w:rFonts w:ascii="Calibri" w:hAnsi="Calibri" w:cs="Calibri"/>
        </w:rPr>
        <w:t>tients with</w:t>
      </w:r>
      <w:r w:rsidR="006A1B4F">
        <w:rPr>
          <w:rFonts w:ascii="Calibri" w:hAnsi="Calibri" w:cs="Calibri"/>
        </w:rPr>
        <w:t xml:space="preserve"> a</w:t>
      </w:r>
      <w:r>
        <w:rPr>
          <w:rFonts w:ascii="Calibri" w:hAnsi="Calibri" w:cs="Calibri"/>
        </w:rPr>
        <w:t xml:space="preserve"> SRV is greatly driven by </w:t>
      </w:r>
      <w:r w:rsidR="006A1B4F">
        <w:rPr>
          <w:rFonts w:ascii="Calibri" w:hAnsi="Calibri" w:cs="Calibri"/>
        </w:rPr>
        <w:t xml:space="preserve">the ability </w:t>
      </w:r>
      <w:r>
        <w:rPr>
          <w:rFonts w:ascii="Calibri" w:hAnsi="Calibri" w:cs="Calibri"/>
        </w:rPr>
        <w:t xml:space="preserve">of the RV </w:t>
      </w:r>
      <w:r w:rsidR="006A1B4F">
        <w:rPr>
          <w:rFonts w:ascii="Calibri" w:hAnsi="Calibri" w:cs="Calibri"/>
        </w:rPr>
        <w:t xml:space="preserve">to adapt </w:t>
      </w:r>
      <w:r>
        <w:rPr>
          <w:rFonts w:ascii="Calibri" w:hAnsi="Calibri" w:cs="Calibri"/>
        </w:rPr>
        <w:t xml:space="preserve">to the systemic position, with a high prevalence of </w:t>
      </w:r>
      <w:r w:rsidR="00F0446F">
        <w:rPr>
          <w:rFonts w:ascii="Calibri" w:hAnsi="Calibri" w:cs="Calibri"/>
        </w:rPr>
        <w:t>S</w:t>
      </w:r>
      <w:r w:rsidR="006A1B4F">
        <w:rPr>
          <w:rFonts w:ascii="Calibri" w:hAnsi="Calibri" w:cs="Calibri"/>
        </w:rPr>
        <w:t xml:space="preserve">RV </w:t>
      </w:r>
      <w:r>
        <w:rPr>
          <w:rFonts w:ascii="Calibri" w:hAnsi="Calibri" w:cs="Calibri"/>
        </w:rPr>
        <w:t xml:space="preserve">dilatation, </w:t>
      </w:r>
      <w:proofErr w:type="gramStart"/>
      <w:r>
        <w:rPr>
          <w:rFonts w:ascii="Calibri" w:hAnsi="Calibri" w:cs="Calibri"/>
        </w:rPr>
        <w:t>hypertrophy</w:t>
      </w:r>
      <w:proofErr w:type="gramEnd"/>
      <w:r>
        <w:rPr>
          <w:rFonts w:ascii="Calibri" w:hAnsi="Calibri" w:cs="Calibri"/>
        </w:rPr>
        <w:t xml:space="preserve"> and </w:t>
      </w:r>
      <w:r w:rsidR="006A1B4F">
        <w:rPr>
          <w:rFonts w:ascii="Calibri" w:hAnsi="Calibri" w:cs="Calibri"/>
        </w:rPr>
        <w:t xml:space="preserve">systolic </w:t>
      </w:r>
      <w:r>
        <w:rPr>
          <w:rFonts w:ascii="Calibri" w:hAnsi="Calibri" w:cs="Calibri"/>
        </w:rPr>
        <w:t xml:space="preserve">dysfunction, which is typically progressive. This is often aggravated by the presence of regurgitation of the systemic tricuspid valve, which poses an extra load to the </w:t>
      </w:r>
      <w:r w:rsidR="00F0446F">
        <w:rPr>
          <w:rFonts w:ascii="Calibri" w:hAnsi="Calibri" w:cs="Calibri"/>
        </w:rPr>
        <w:t>S</w:t>
      </w:r>
      <w:r>
        <w:rPr>
          <w:rFonts w:ascii="Calibri" w:hAnsi="Calibri" w:cs="Calibri"/>
        </w:rPr>
        <w:t>RV</w:t>
      </w:r>
      <w:r w:rsidR="00165EB0">
        <w:rPr>
          <w:rFonts w:ascii="Calibri" w:hAnsi="Calibri" w:cs="Calibri"/>
        </w:rPr>
        <w:t xml:space="preserve"> and is associated with an increased risk of heart failure.</w:t>
      </w:r>
      <w:r>
        <w:rPr>
          <w:rFonts w:ascii="Calibri" w:hAnsi="Calibri" w:cs="Calibri"/>
        </w:rPr>
        <w:t xml:space="preserve"> </w:t>
      </w:r>
      <w:r>
        <w:rPr>
          <w:rFonts w:ascii="Calibri" w:eastAsiaTheme="minorEastAsia" w:hAnsi="Calibri" w:cs="Calibri"/>
          <w:lang w:eastAsia="ru-RU"/>
        </w:rPr>
        <w:t>E</w:t>
      </w:r>
      <w:r w:rsidR="005B6F6A" w:rsidRPr="005B6F6A">
        <w:rPr>
          <w:rFonts w:ascii="Calibri" w:eastAsiaTheme="minorEastAsia" w:hAnsi="Calibri" w:cs="Calibri"/>
          <w:lang w:eastAsia="ru-RU"/>
        </w:rPr>
        <w:t>chocardiography plays a key role in the follow-up of these patients,</w:t>
      </w:r>
      <w:r w:rsidR="00165EB0">
        <w:rPr>
          <w:rFonts w:ascii="Calibri" w:eastAsiaTheme="minorEastAsia" w:hAnsi="Calibri" w:cs="Calibri"/>
          <w:lang w:eastAsia="ru-RU"/>
        </w:rPr>
        <w:t xml:space="preserve"> with an emphasis </w:t>
      </w:r>
      <w:r w:rsidR="006A1B4F">
        <w:rPr>
          <w:rFonts w:ascii="Calibri" w:eastAsiaTheme="minorEastAsia" w:hAnsi="Calibri" w:cs="Calibri"/>
          <w:lang w:eastAsia="ru-RU"/>
        </w:rPr>
        <w:t xml:space="preserve">traditionally </w:t>
      </w:r>
      <w:r w:rsidR="00165EB0">
        <w:rPr>
          <w:rFonts w:ascii="Calibri" w:eastAsiaTheme="minorEastAsia" w:hAnsi="Calibri" w:cs="Calibri"/>
          <w:lang w:eastAsia="ru-RU"/>
        </w:rPr>
        <w:t xml:space="preserve">being placed on the performance of the SRV and status of the tricuspid valve, </w:t>
      </w:r>
      <w:r w:rsidR="006A1B4F">
        <w:rPr>
          <w:rFonts w:ascii="Calibri" w:eastAsiaTheme="minorEastAsia" w:hAnsi="Calibri" w:cs="Calibri"/>
          <w:lang w:eastAsia="ru-RU"/>
        </w:rPr>
        <w:t>but</w:t>
      </w:r>
      <w:r w:rsidR="00165EB0">
        <w:rPr>
          <w:rFonts w:ascii="Calibri" w:eastAsiaTheme="minorEastAsia" w:hAnsi="Calibri" w:cs="Calibri"/>
          <w:lang w:eastAsia="ru-RU"/>
        </w:rPr>
        <w:t xml:space="preserve"> little attention </w:t>
      </w:r>
      <w:r w:rsidR="00BC7592">
        <w:rPr>
          <w:rFonts w:ascii="Calibri" w:eastAsiaTheme="minorEastAsia" w:hAnsi="Calibri" w:cs="Calibri"/>
          <w:lang w:eastAsia="ru-RU"/>
        </w:rPr>
        <w:t xml:space="preserve">paid </w:t>
      </w:r>
      <w:r w:rsidR="00165EB0">
        <w:rPr>
          <w:rFonts w:ascii="Calibri" w:eastAsiaTheme="minorEastAsia" w:hAnsi="Calibri" w:cs="Calibri"/>
          <w:lang w:eastAsia="ru-RU"/>
        </w:rPr>
        <w:t>to the subpulmonary LV.</w:t>
      </w:r>
      <w:r w:rsidR="00395C1E" w:rsidRPr="005B6F6A">
        <w:rPr>
          <w:rFonts w:ascii="Calibri" w:hAnsi="Calibri" w:cs="Calibri"/>
          <w:color w:val="000000" w:themeColor="text1"/>
        </w:rPr>
        <w:fldChar w:fldCharType="begin" w:fldLock="1"/>
      </w:r>
      <w:r w:rsidR="00F0446F">
        <w:rPr>
          <w:rFonts w:ascii="Calibri" w:hAnsi="Calibri" w:cs="Calibri"/>
          <w:color w:val="000000" w:themeColor="text1"/>
        </w:rPr>
        <w:instrText>ADDIN CSL_CITATION {"citationItems":[{"id":"ITEM-1","itemData":{"DOI":"10.1161/CIRCULATIONAHA.114.010770","ISSN":"1524-4539 (Electronic)","PMID":"26185211","abstract":"BACKGROUND: The atrial switch operation, the Mustard or Senning operation, for the transposition of the great arteries (TGA) was introduced in the late 1950s and was the preferred surgery for TGA until the early 1990s. The Mustard and Senning operation involves extensive surgery in the atria and leaves the right ventricle as the systemic ventricle. The Mustard and Senning cohort is now well into adulthood and we begin to see the long-term outcome. METHODS AND RESULTS: All the 6 surgical centers that performed Mustard and Senning operations in Sweden and Denmark identified all operated TGA patients. Information about death was obtained in late 2007 and early 2008 from the Danish and Swedish Centralised Civil Register by using the patients' unique national Civil Registration Numbers. Four hundred sixty-eight patients undergoing the atrial switch operation were identified. Perioperative 30-day mortality was 20%, and 60% were alive after 30 years of follow-up. Perioperative mortality was significantly increased by the presence of a ventricular septal defect, left ventricular outflow obstruction, surgery early in the Mustard and Senning era. However, only pacemaker implantation is predictive of long-term outcome (hazard ratio, 1.90; 95% confidence interval, 1.05-3.46, P=0.04), once the TGA patient has survived the perioperative period. The risk of reoperation was correlated to the presence of associated defects and where the first Mustard/Senning operation was performed. CONCLUSIONS: The long-term survival of patients with Mustard and Senning correction for TGA appears to be primarily determined by factors in the right ventricle and tricuspid valve and not the timing of or the type of surgery in childhood. Cardiac function necessitating the implantation of a pacemaker is associated with an increase in mortality.","author":[{"dropping-particle":"","family":"Vejlstrup","given":"Niels","non-dropping-particle":"","parse-names":false,"suffix":""},{"dropping-particle":"","family":"Sorensen","given":"Keld","non-dropping-particle":"","parse-names":false,"suffix":""},{"dropping-particle":"","family":"Mattsson","given":"Eva","non-dropping-particle":"","parse-names":false,"suffix":""},{"dropping-particle":"","family":"Thilen","given":"Ulf","non-dropping-particle":"","parse-names":false,"suffix":""},{"dropping-particle":"","family":"Kvidal","given":"Per","non-dropping-particle":"","parse-names":false,"suffix":""},{"dropping-particle":"","family":"Johansson","given":"Bengt","non-dropping-particle":"","parse-names":false,"suffix":""},{"dropping-particle":"","family":"Iversen","given":"Kasper","non-dropping-particle":"","parse-names":false,"suffix":""},{"dropping-particle":"","family":"Sondergaard","given":"Lars","non-dropping-particle":"","parse-names":false,"suffix":""},{"dropping-particle":"","family":"Dellborg","given":"Mikael","non-dropping-particle":"","parse-names":false,"suffix":""},{"dropping-particle":"","family":"Eriksson","given":"Peter","non-dropping-particle":"","parse-names":false,"suffix":""}],"container-title":"Circulation","id":"ITEM-1","issue":"8","issued":{"date-parts":[["2015","8"]]},"language":"eng","page":"633-638","publisher-place":"United States","title":"Long-Term Outcome of Mustard/Senning Correction for Transposition of the Great Arteries in Sweden and Denmark.","type":"article-journal","volume":"132"},"uris":["http://www.mendeley.com/documents/?uuid=abecae50-be8d-4783-b3ed-09904ea31dbb"]},{"id":"ITEM-2","itemData":{"DOI":"10.1161/CIRCULATIONAHA.117.031544","ISSN":"1524-4539 (Electronic)","PMID":"29378757","abstract":"The systemic right ventricle (SRV) is commonly encountered in congenital heart disease representing a distinctly different model in terms of its anatomic spectrum, adaptation, clinical phenotype, and variable, but overall guarded prognosis. The most common clinical scenarios where an SRV is encountered are complete transposition of the great arteries with previous atrial switch repair, congenitally corrected transposition of the great arteries, double inlet right ventricle mostly with previous Fontan palliation, and hypoplastic left heart syndrome palliated with the Norwood-Fontan protocol. The reasons for the guarded prognosis of the SRV in comparison with the systemic left ventricle are multifactorial, including distinct fibromuscular architecture, shape and function, coronary artery supply mismatch, intrinsic abnormalities of the tricuspid valve, intrinsic or acquired conduction abnormalities, and varied SRV adaptation to pressure or volume overload. Management of the SRV remains an ongoing challenge because SRV dysfunction has implications on short- and long-term outcomes for all patients irrespective of underlying cardiac morphology. SRV dysfunction can be subclinical, underscoring the need for tertiary follow-up and timely management of target hemodynamic lesions. Catheter interventions and surgery have an established role in selected patients. Cardiac resynchronization therapy is increasingly used, whereas pharmacological therapy is largely empirical. Mechanical assist device and heart transplantation remain options in end-stage heart failure when other management strategies have been exhausted. The present report focuses on the SRV with its pathological subtypes, pathophysiology, clinical features, current management strategies, and long-term sequelae. Although our article touches on issues applicable to neonates and children, its main focus is on adults with SRV.","author":[{"dropping-particle":"","family":"Brida","given":"Margarita","non-dropping-particle":"","parse-names":false,"suffix":""},{"dropping-particle":"","family":"Diller","given":"Gerhard-Paul","non-dropping-particle":"","parse-names":false,"suffix":""},{"dropping-particle":"","family":"Gatzoulis","given":"Michael A","non-dropping-particle":"","parse-names":false,"suffix":""}],"container-title":"Circulation","id":"ITEM-2","issue":"5","issued":{"date-parts":[["2018","1"]]},"language":"eng","page":"508-518","publisher-place":"United States","title":"Systemic Right Ventricle in Adults With Congenital Heart Disease: Anatomic and Phenotypic Spectrum and Current Approach to Management.","type":"article-journal","volume":"137"},"uris":["http://www.mendeley.com/documents/?uuid=384d3753-27c0-4dac-9f38-c0908d90d08e"]}],"mendeley":{"formattedCitation":"&lt;sup&gt;1,17&lt;/sup&gt;","plainTextFormattedCitation":"1,17","previouslyFormattedCitation":"&lt;sup&gt;1,17&lt;/sup&gt;"},"properties":{"noteIndex":0},"schema":"https://github.com/citation-style-language/schema/raw/master/csl-citation.json"}</w:instrText>
      </w:r>
      <w:r w:rsidR="00395C1E" w:rsidRPr="005B6F6A">
        <w:rPr>
          <w:rFonts w:ascii="Calibri" w:hAnsi="Calibri" w:cs="Calibri"/>
          <w:color w:val="000000" w:themeColor="text1"/>
        </w:rPr>
        <w:fldChar w:fldCharType="separate"/>
      </w:r>
      <w:r w:rsidR="00F0446F" w:rsidRPr="00F0446F">
        <w:rPr>
          <w:rFonts w:ascii="Calibri" w:hAnsi="Calibri" w:cs="Calibri"/>
          <w:noProof/>
          <w:color w:val="000000" w:themeColor="text1"/>
          <w:vertAlign w:val="superscript"/>
        </w:rPr>
        <w:t>1,17</w:t>
      </w:r>
      <w:r w:rsidR="00395C1E" w:rsidRPr="005B6F6A">
        <w:rPr>
          <w:rFonts w:ascii="Calibri" w:hAnsi="Calibri" w:cs="Calibri"/>
          <w:color w:val="000000" w:themeColor="text1"/>
        </w:rPr>
        <w:fldChar w:fldCharType="end"/>
      </w:r>
      <w:r w:rsidR="00DD4708" w:rsidRPr="005B6F6A">
        <w:rPr>
          <w:rFonts w:ascii="Calibri" w:hAnsi="Calibri" w:cs="Calibri"/>
          <w:color w:val="000000" w:themeColor="text1"/>
        </w:rPr>
        <w:t xml:space="preserve"> </w:t>
      </w:r>
      <w:r w:rsidR="00DD4708" w:rsidRPr="005B6F6A">
        <w:rPr>
          <w:rFonts w:ascii="Calibri" w:hAnsi="Calibri" w:cs="Calibri"/>
          <w:color w:val="000000" w:themeColor="text1"/>
          <w:lang w:val="en-US"/>
        </w:rPr>
        <w:t>Two recent</w:t>
      </w:r>
      <w:r w:rsidR="006A1B4F">
        <w:rPr>
          <w:rFonts w:ascii="Calibri" w:hAnsi="Calibri" w:cs="Calibri"/>
          <w:color w:val="000000" w:themeColor="text1"/>
          <w:lang w:val="en-US"/>
        </w:rPr>
        <w:t>, large</w:t>
      </w:r>
      <w:r w:rsidR="00DD4708" w:rsidRPr="005B6F6A">
        <w:rPr>
          <w:rFonts w:ascii="Calibri" w:hAnsi="Calibri" w:cs="Calibri"/>
          <w:color w:val="000000" w:themeColor="text1"/>
          <w:lang w:val="en-US"/>
        </w:rPr>
        <w:t xml:space="preserve"> outcome studies including &gt;1000 patients </w:t>
      </w:r>
      <w:r w:rsidR="00165EB0">
        <w:rPr>
          <w:rFonts w:ascii="Calibri" w:hAnsi="Calibri" w:cs="Calibri"/>
          <w:color w:val="000000" w:themeColor="text1"/>
          <w:lang w:val="en-US"/>
        </w:rPr>
        <w:t xml:space="preserve">have </w:t>
      </w:r>
      <w:r w:rsidR="00DD4708" w:rsidRPr="005B6F6A">
        <w:rPr>
          <w:rFonts w:ascii="Calibri" w:hAnsi="Calibri" w:cs="Calibri"/>
          <w:color w:val="000000" w:themeColor="text1"/>
          <w:lang w:val="en-US"/>
        </w:rPr>
        <w:t xml:space="preserve">demonstrated that </w:t>
      </w:r>
      <w:r w:rsidR="00DD4708" w:rsidRPr="005B6F6A">
        <w:rPr>
          <w:rFonts w:ascii="Calibri" w:hAnsi="Calibri" w:cs="Calibri"/>
          <w:color w:val="000000" w:themeColor="text1"/>
        </w:rPr>
        <w:t>severe</w:t>
      </w:r>
      <w:r w:rsidR="00C2612A" w:rsidRPr="005B6F6A">
        <w:rPr>
          <w:rFonts w:ascii="Calibri" w:hAnsi="Calibri" w:cs="Calibri"/>
          <w:color w:val="000000" w:themeColor="text1"/>
        </w:rPr>
        <w:t xml:space="preserve">ly impaired </w:t>
      </w:r>
      <w:r w:rsidR="006A1B4F">
        <w:rPr>
          <w:rFonts w:ascii="Calibri" w:hAnsi="Calibri" w:cs="Calibri"/>
          <w:color w:val="000000" w:themeColor="text1"/>
        </w:rPr>
        <w:t xml:space="preserve">SRV </w:t>
      </w:r>
      <w:r w:rsidR="00C2612A" w:rsidRPr="005B6F6A">
        <w:rPr>
          <w:rFonts w:ascii="Calibri" w:hAnsi="Calibri" w:cs="Calibri"/>
          <w:color w:val="000000" w:themeColor="text1"/>
        </w:rPr>
        <w:t xml:space="preserve">systolic function </w:t>
      </w:r>
      <w:r w:rsidR="00ED5F37">
        <w:rPr>
          <w:rFonts w:ascii="Calibri" w:hAnsi="Calibri" w:cs="Calibri"/>
          <w:color w:val="000000" w:themeColor="text1"/>
        </w:rPr>
        <w:t xml:space="preserve">by qualitative assessment </w:t>
      </w:r>
      <w:r w:rsidR="00DD4708" w:rsidRPr="005B6F6A">
        <w:rPr>
          <w:rFonts w:ascii="Calibri" w:hAnsi="Calibri" w:cs="Calibri"/>
          <w:color w:val="000000" w:themeColor="text1"/>
        </w:rPr>
        <w:t>was a significant predictor of mortality, heart transplant</w:t>
      </w:r>
      <w:r w:rsidR="00370FA0" w:rsidRPr="005B6F6A">
        <w:rPr>
          <w:rFonts w:ascii="Calibri" w:hAnsi="Calibri" w:cs="Calibri"/>
          <w:color w:val="000000" w:themeColor="text1"/>
        </w:rPr>
        <w:t>ation</w:t>
      </w:r>
      <w:r w:rsidR="00DD4708" w:rsidRPr="005B6F6A">
        <w:rPr>
          <w:rFonts w:ascii="Calibri" w:hAnsi="Calibri" w:cs="Calibri"/>
          <w:color w:val="000000" w:themeColor="text1"/>
        </w:rPr>
        <w:t xml:space="preserve"> and mechanical circulatory support</w:t>
      </w:r>
      <w:r w:rsidR="00165EB0">
        <w:rPr>
          <w:rFonts w:ascii="Calibri" w:hAnsi="Calibri" w:cs="Calibri"/>
          <w:color w:val="000000" w:themeColor="text1"/>
        </w:rPr>
        <w:t>, as well as</w:t>
      </w:r>
      <w:r w:rsidR="00DD4708" w:rsidRPr="005B6F6A">
        <w:rPr>
          <w:rFonts w:ascii="Calibri" w:hAnsi="Calibri" w:cs="Calibri"/>
          <w:color w:val="000000" w:themeColor="text1"/>
        </w:rPr>
        <w:t xml:space="preserve"> major arrhythmias</w:t>
      </w:r>
      <w:r w:rsidR="00A62C50">
        <w:rPr>
          <w:rFonts w:ascii="Calibri" w:hAnsi="Calibri" w:cs="Calibri"/>
          <w:color w:val="000000" w:themeColor="text1"/>
        </w:rPr>
        <w:t xml:space="preserve">. </w:t>
      </w:r>
      <w:r w:rsidR="00165EB0" w:rsidRPr="005B6F6A">
        <w:rPr>
          <w:rFonts w:ascii="Calibri" w:hAnsi="Calibri" w:cs="Calibri"/>
          <w:color w:val="000000" w:themeColor="text1"/>
        </w:rPr>
        <w:fldChar w:fldCharType="begin" w:fldLock="1"/>
      </w:r>
      <w:r w:rsidR="00165EB0">
        <w:rPr>
          <w:rFonts w:ascii="Calibri" w:hAnsi="Calibri" w:cs="Calibri"/>
          <w:color w:val="000000" w:themeColor="text1"/>
        </w:rPr>
        <w:instrText>ADDIN CSL_CITATION {"citationItems":[{"id":"ITEM-1","itemData":{"DOI":"10.1016/j.jacc.2022.06.020","ISSN":"15583597","PMID":"36049802","abstract":"Background: For patients with d-loop transposition of the great arteries (d-TGA) with a systemic right ventricle after an atrial switch operation, there is a need to identify risks for end-stage heart failure outcomes. Objectives: The authors aimed to determine factors associated with survival in a large cohort of such individuals. Methods: This multicenter, retrospective cohort study included adults with d-TGA and prior atrial switch surgery seen at a congenital heart center. Clinical data from initial and most recent visits were obtained. The composite primary outcome was death, transplantation, or mechanical circulatory support (MCS). Results: From 1,168 patients (38% female, age at first visit 29 ± 7.2 years) during a median 9.2 years of follow-up, 91 (8.8% per 10 person-years) met the outcome (66 deaths, 19 transplantations, 6 MCS). Patients experiencing sudden/arrhythmic death were younger than those dying of other causes (32.6 ± 6.4 years vs 42.4 ± 6.8 years; P &lt; 0.001). There was a long duration between sentinel clinical events and end-stage heart failure. Age, atrial arrhythmia, pacemaker, biventricular enlargement, systolic dysfunction, and tricuspid regurgitation were all associated with the primary outcome. Independent 5-year predictors of primary outcome were prior ventricular arrhythmia, heart failure admission, complex anatomy, QRS duration &gt;120 ms, and severe right ventricle dysfunction based on echocardiography. Conclusions: For most adults with d-TGA after atrial switch, progress to end-stage heart failure or death is slow. A simplified prediction score for 5-year adverse outcome is derived to help identify those at greatest risk.","author":[{"dropping-particle":"","family":"Broberg","given":"Craig S.","non-dropping-particle":"","parse-names":false,"suffix":""},{"dropping-particle":"","family":"Dissel","given":"Alexandra","non-dropping-particle":"van","parse-names":false,"suffix":""},{"dropping-particle":"","family":"Minnier","given":"Jessica","non-dropping-particle":"","parse-names":false,"suffix":""},{"dropping-particle":"","family":"Aboulhosn","given":"Jamil","non-dropping-particle":"","parse-names":false,"suffix":""},{"dropping-particle":"","family":"Kauling","given":"Robert M.","non-dropping-particle":"","parse-names":false,"suffix":""},{"dropping-particle":"","family":"Ginde","given":"Salil","non-dropping-particle":"","parse-names":false,"suffix":""},{"dropping-particle":"V.","family":"Krieger","given":"Eric","non-dropping-particle":"","parse-names":false,"suffix":""},{"dropping-particle":"","family":"Rodriguez","given":"Fred","non-dropping-particle":"","parse-names":false,"suffix":""},{"dropping-particle":"","family":"Gupta","given":"Tripti","non-dropping-particle":"","parse-names":false,"suffix":""},{"dropping-particle":"","family":"Shah","given":"Sangeeta","non-dropping-particle":"","parse-names":false,"suffix":""},{"dropping-particle":"","family":"John","given":"Anitha S.","non-dropping-particle":"","parse-names":false,"suffix":""},{"dropping-particle":"","family":"Cotts","given":"Timothy","non-dropping-particle":"","parse-names":false,"suffix":""},{"dropping-particle":"","family":"Kay","given":"W. Aaron","non-dropping-particle":"","parse-names":false,"suffix":""},{"dropping-particle":"","family":"Kuo","given":"Marissa","non-dropping-particle":"","parse-names":false,"suffix":""},{"dropping-particle":"","family":"Dwight","given":"Cindy","non-dropping-particle":"","parse-names":false,"suffix":""},{"dropping-particle":"","family":"Woods","given":"Patricia","non-dropping-particle":"","parse-names":false,"suffix":""},{"dropping-particle":"","family":"Nicolarsen","given":"Jeremy","non-dropping-particle":"","parse-names":false,"suffix":""},{"dropping-particle":"","family":"Sarubbi","given":"Berardo","non-dropping-particle":"","parse-names":false,"suffix":""},{"dropping-particle":"","family":"Fusco","given":"Flavia","non-dropping-particle":"","parse-names":false,"suffix":""},{"dropping-particle":"","family":"Antonova","given":"Petra","non-dropping-particle":"","parse-names":false,"suffix":""},{"dropping-particle":"","family":"Fernandes","given":"Susan","non-dropping-particle":"","parse-names":false,"suffix":""},{"dropping-particle":"","family":"Grewal","given":"Jasmine","non-dropping-particle":"","parse-names":false,"suffix":""},{"dropping-particle":"","family":"Cramer","given":"Jonathan","non-dropping-particle":"","parse-names":false,"suffix":""},{"dropping-particle":"","family":"Khairy","given":"Paul","non-dropping-particle":"","parse-names":false,"suffix":""},{"dropping-particle":"","family":"Gallego","given":"Pastora","non-dropping-particle":"","parse-names":false,"suffix":""},{"dropping-particle":"","family":"O'Donnell","given":"Clare","non-dropping-particle":"","parse-names":false,"suffix":""},{"dropping-particle":"","family":"Hannah","given":"Jane","non-dropping-particle":"","parse-names":false,"suffix":""},{"dropping-particle":"","family":"Dellborg","given":"Mikael","non-dropping-particle":"","parse-names":false,"suffix":""},{"dropping-particle":"","family":"Rodriguez-Monserrate","given":"Carla P.","non-dropping-particle":"","parse-names":false,"suffix":""},{"dropping-particle":"","family":"Muhll","given":"Isabelle Vonder","non-dropping-particle":"","parse-names":false,"suffix":""},{"dropping-particle":"","family":"Pylypchuk","given":"Stephen","non-dropping-particle":"","parse-names":false,"suffix":""},{"dropping-particle":"","family":"Magalski","given":"Anthony","non-dropping-particle":"","parse-names":false,"suffix":""},{"dropping-particle":"","family":"Han","given":"Frank","non-dropping-particle":"","parse-names":false,"suffix":""},{"dropping-particle":"","family":"Lubert","given":"Adam M.","non-dropping-particle":"","parse-names":false,"suffix":""},{"dropping-particle":"","family":"Kay","given":"Joseph","non-dropping-particle":"","parse-names":false,"suffix":""},{"dropping-particle":"","family":"Yeung","given":"Elizabeth","non-dropping-particle":"","parse-names":false,"suffix":""},{"dropping-particle":"","family":"Roos-Hesselink","given":"Jolien","non-dropping-particle":"","parse-names":false,"suffix":""},{"dropping-particle":"","family":"Baker","given":"David","non-dropping-particle":"","parse-names":false,"suffix":""},{"dropping-particle":"","family":"Celermajer","given":"David S.","non-dropping-particle":"","parse-names":false,"suffix":""},{"dropping-particle":"","family":"Burchill","given":"Luke J.","non-dropping-particle":"","parse-names":false,"suffix":""},{"dropping-particle":"","family":"Wilson","given":"William M.","non-dropping-particle":"","parse-names":false,"suffix":""},{"dropping-particle":"","family":"Wong","given":"Joshua","non-dropping-particle":"","parse-names":false,"suffix":""},{"dropping-particle":"","family":"Kutty","given":"Shelby","non-dropping-particle":"","parse-names":false,"suffix":""},{"dropping-particle":"","family":"Opotowsky","given":"Alexander R.","non-dropping-particle":"","parse-names":false,"suffix":""}],"container-title":"Journal of the American College of Cardiology","id":"ITEM-1","issue":"10","issued":{"date-parts":[["2022"]]},"page":"951-963","title":"Long-Term Outcomes After Atrial Switch Operation for Transposition of the Great Arteries","type":"article-journal","volume":"80"},"uris":["http://www.mendeley.com/documents/?uuid=3d0264fc-2daf-4b38-a8df-2110eeda7401"]}],"mendeley":{"formattedCitation":"&lt;sup&gt;6&lt;/sup&gt;","plainTextFormattedCitation":"6","previouslyFormattedCitation":"&lt;sup&gt;6&lt;/sup&gt;"},"properties":{"noteIndex":0},"schema":"https://github.com/citation-style-language/schema/raw/master/csl-citation.json"}</w:instrText>
      </w:r>
      <w:r w:rsidR="00165EB0" w:rsidRPr="005B6F6A">
        <w:rPr>
          <w:rFonts w:ascii="Calibri" w:hAnsi="Calibri" w:cs="Calibri"/>
          <w:color w:val="000000" w:themeColor="text1"/>
        </w:rPr>
        <w:fldChar w:fldCharType="separate"/>
      </w:r>
      <w:r w:rsidR="00165EB0" w:rsidRPr="009857C5">
        <w:rPr>
          <w:rFonts w:ascii="Calibri" w:hAnsi="Calibri" w:cs="Calibri"/>
          <w:noProof/>
          <w:color w:val="000000" w:themeColor="text1"/>
          <w:vertAlign w:val="superscript"/>
        </w:rPr>
        <w:t>6</w:t>
      </w:r>
      <w:r w:rsidR="00165EB0" w:rsidRPr="005B6F6A">
        <w:rPr>
          <w:rFonts w:ascii="Calibri" w:hAnsi="Calibri" w:cs="Calibri"/>
          <w:color w:val="000000" w:themeColor="text1"/>
        </w:rPr>
        <w:fldChar w:fldCharType="end"/>
      </w:r>
      <w:r w:rsidR="00A62C50" w:rsidRPr="00A62C50">
        <w:rPr>
          <w:rFonts w:ascii="Calibri" w:hAnsi="Calibri" w:cs="Calibri"/>
          <w:color w:val="000000" w:themeColor="text1"/>
          <w:vertAlign w:val="superscript"/>
        </w:rPr>
        <w:t>,</w:t>
      </w:r>
      <w:r w:rsidR="00DD4708" w:rsidRPr="005B6F6A">
        <w:rPr>
          <w:rFonts w:ascii="Calibri" w:hAnsi="Calibri" w:cs="Calibri"/>
          <w:color w:val="000000" w:themeColor="text1"/>
        </w:rPr>
        <w:fldChar w:fldCharType="begin" w:fldLock="1"/>
      </w:r>
      <w:r w:rsidR="007E12C6">
        <w:rPr>
          <w:rFonts w:ascii="Calibri" w:hAnsi="Calibri" w:cs="Calibri"/>
          <w:color w:val="000000" w:themeColor="text1"/>
        </w:rPr>
        <w:instrText>ADDIN CSL_CITATION {"citationItems":[{"id":"ITEM-1","itemData":{"DOI":"10.1093/eurheartj/ehac288","ISSN":"15229645","PMID":"35673927","abstract":"AIMS: To investigate the incidence of major adverse ventricular arrhythmias and related events (MAREs) and to develop a stratification tool predicting MAREs in adults with a systemic right ventricle (sRV). METHODS AND RESULTS: In a multicentre approach, all adults (≥16 years old) with a sRV undergoing follow-up between 2000 and 2018 were identified. The incidence of MAREs, defined as sudden cardiac death, sustained ventricular tachycardia, and appropriate implantable cardioverter-defibrillator (ICD) therapy, was analysed. The association of MAREs with clinical, electrical, and echocardiographic parameters was evaluated. A total of 1184 patients (median age 27.1 years; interquartile range 19.9-34.9 years; 59% male; 70% with atrial switch repair for D-transposition of the great arteries) were included. The incidence of MAREs was 6.3 per 1000 patient-years. On multivariate analysis, age, history of heart failure, syncope, QRS duration, severe sRV dysfunction and at least moderate left ventricular outflow tract obstruction were retained in the final model with a C-index of 0.78 [95% confidence interval (CI) 0.72-0.83] and a calibration slope of 0.93 (95% CI 0.64-1.21). For every five ICDs implanted in patients with a 5-year MARE risk &gt;10%, one patient may potentially be spared from a MARE. CONCLUSION: Sudden cardiac death remains a devastating cause of death in a contemporary adult cohort with a sRV. A prediction model based on clinical, electrocardiographic, and echocardiographic parameters was devised to estimate MARE risk and to identify high-risk patients who may benefit from primary prevention ICD implantation.","author":[{"dropping-particle":"","family":"Ladouceur","given":"Magalie","non-dropping-particle":"","parse-names":false,"suffix":""},{"dropping-particle":"","family":"Bruaene","given":"Alexander","non-dropping-particle":"Van De","parse-names":false,"suffix":""},{"dropping-particle":"","family":"Kauling","given":"Robert","non-dropping-particle":"","parse-names":false,"suffix":""},{"dropping-particle":"","family":"Budts","given":"Werner","non-dropping-particle":"","parse-names":false,"suffix":""},{"dropping-particle":"","family":"Roos-Hesselink","given":"Jolien","non-dropping-particle":"","parse-names":false,"suffix":""},{"dropping-particle":"","family":"Albert","given":"Sandra Villagrá","non-dropping-particle":"","parse-names":false,"suffix":""},{"dropping-particle":"","family":"Perez","given":"Inmaculada Sanchez","non-dropping-particle":"","parse-names":false,"suffix":""},{"dropping-particle":"","family":"Sarubbi","given":"Berardo","non-dropping-particle":"","parse-names":false,"suffix":""},{"dropping-particle":"","family":"Fusco","given":"Flavia","non-dropping-particle":"","parse-names":false,"suffix":""},{"dropping-particle":"","family":"Gallego","given":"Pastora","non-dropping-particle":"","parse-names":false,"suffix":""},{"dropping-particle":"","family":"Rodriguez-Puras","given":"Maria Jose","non-dropping-particle":"","parse-names":false,"suffix":""},{"dropping-particle":"","family":"Bouchardy","given":"Judith","non-dropping-particle":"","parse-names":false,"suffix":""},{"dropping-particle":"","family":"Blanche","given":"Coralie","non-dropping-particle":"","parse-names":false,"suffix":""},{"dropping-particle":"","family":"Rutz","given":"Tobias","non-dropping-particle":"","parse-names":false,"suffix":""},{"dropping-particle":"","family":"Prokselj","given":"Katja","non-dropping-particle":"","parse-names":false,"suffix":""},{"dropping-particle":"","family":"Labombarda","given":"Fabien","non-dropping-particle":"","parse-names":false,"suffix":""},{"dropping-particle":"","family":"Iserin","given":"Laurence","non-dropping-particle":"","parse-names":false,"suffix":""},{"dropping-particle":"","family":"Wong","given":"Tom","non-dropping-particle":"","parse-names":false,"suffix":""},{"dropping-particle":"","family":"Gatzoulis","given":"Michael A.","non-dropping-particle":"","parse-names":false,"suffix":""}],"container-title":"European heart journal","id":"ITEM-1","issue":"28","issued":{"date-parts":[["2022"]]},"page":"2685-2694","title":"A new score for life-threatening ventricular arrhythmias and sudden cardiac death in adults with transposition of the great arteries and a systemic right ventricle","type":"article-journal","volume":"43"},"uris":["http://www.mendeley.com/documents/?uuid=a4e01ed0-43b3-4f8c-8ced-c5b613f4936c"]}],"mendeley":{"formattedCitation":"&lt;sup&gt;7&lt;/sup&gt;","plainTextFormattedCitation":"7","previouslyFormattedCitation":"&lt;sup&gt;7&lt;/sup&gt;"},"properties":{"noteIndex":0},"schema":"https://github.com/citation-style-language/schema/raw/master/csl-citation.json"}</w:instrText>
      </w:r>
      <w:r w:rsidR="00DD4708" w:rsidRPr="005B6F6A">
        <w:rPr>
          <w:rFonts w:ascii="Calibri" w:hAnsi="Calibri" w:cs="Calibri"/>
          <w:color w:val="000000" w:themeColor="text1"/>
        </w:rPr>
        <w:fldChar w:fldCharType="separate"/>
      </w:r>
      <w:r w:rsidR="009857C5" w:rsidRPr="009857C5">
        <w:rPr>
          <w:rFonts w:ascii="Calibri" w:hAnsi="Calibri" w:cs="Calibri"/>
          <w:noProof/>
          <w:color w:val="000000" w:themeColor="text1"/>
          <w:vertAlign w:val="superscript"/>
        </w:rPr>
        <w:t>7</w:t>
      </w:r>
      <w:r w:rsidR="00DD4708" w:rsidRPr="005B6F6A">
        <w:rPr>
          <w:rFonts w:ascii="Calibri" w:hAnsi="Calibri" w:cs="Calibri"/>
          <w:color w:val="000000" w:themeColor="text1"/>
        </w:rPr>
        <w:fldChar w:fldCharType="end"/>
      </w:r>
      <w:r w:rsidR="00A62C50">
        <w:rPr>
          <w:rFonts w:ascii="Calibri" w:hAnsi="Calibri" w:cs="Calibri"/>
          <w:color w:val="000000" w:themeColor="text1"/>
        </w:rPr>
        <w:t xml:space="preserve"> </w:t>
      </w:r>
      <w:r w:rsidR="00165EB0">
        <w:rPr>
          <w:rFonts w:ascii="Calibri" w:hAnsi="Calibri" w:cs="Calibri"/>
          <w:color w:val="000000" w:themeColor="text1"/>
        </w:rPr>
        <w:t>Q</w:t>
      </w:r>
      <w:r w:rsidR="00370FA0" w:rsidRPr="005B6F6A">
        <w:rPr>
          <w:rFonts w:ascii="Calibri" w:hAnsi="Calibri" w:cs="Calibri"/>
          <w:color w:val="000000" w:themeColor="text1"/>
        </w:rPr>
        <w:t xml:space="preserve">uantitative parameters of SRV systolic function </w:t>
      </w:r>
      <w:r w:rsidR="00165EB0">
        <w:rPr>
          <w:rFonts w:ascii="Calibri" w:hAnsi="Calibri" w:cs="Calibri"/>
          <w:color w:val="000000" w:themeColor="text1"/>
        </w:rPr>
        <w:t>and the function of the subpulmonary LV are</w:t>
      </w:r>
      <w:r w:rsidR="006A1B4F">
        <w:rPr>
          <w:rFonts w:ascii="Calibri" w:hAnsi="Calibri" w:cs="Calibri"/>
          <w:color w:val="000000" w:themeColor="text1"/>
        </w:rPr>
        <w:t>, however,</w:t>
      </w:r>
      <w:r w:rsidR="00165EB0" w:rsidRPr="005B6F6A">
        <w:rPr>
          <w:rFonts w:ascii="Calibri" w:hAnsi="Calibri" w:cs="Calibri"/>
          <w:color w:val="000000" w:themeColor="text1"/>
        </w:rPr>
        <w:t xml:space="preserve"> </w:t>
      </w:r>
      <w:r w:rsidR="00370FA0" w:rsidRPr="005B6F6A">
        <w:rPr>
          <w:rFonts w:ascii="Calibri" w:hAnsi="Calibri" w:cs="Calibri"/>
          <w:color w:val="000000" w:themeColor="text1"/>
        </w:rPr>
        <w:t xml:space="preserve">rarely reported </w:t>
      </w:r>
      <w:r w:rsidR="001E6E72">
        <w:rPr>
          <w:rFonts w:ascii="Calibri" w:hAnsi="Calibri" w:cs="Calibri"/>
          <w:color w:val="000000" w:themeColor="text1"/>
        </w:rPr>
        <w:t>and were therefore the focus of our study</w:t>
      </w:r>
      <w:r w:rsidR="00370FA0" w:rsidRPr="005B6F6A">
        <w:rPr>
          <w:rFonts w:ascii="Calibri" w:hAnsi="Calibri" w:cs="Calibri"/>
          <w:color w:val="000000" w:themeColor="text1"/>
        </w:rPr>
        <w:t xml:space="preserve">. </w:t>
      </w:r>
    </w:p>
    <w:p w14:paraId="15076E8F" w14:textId="13CD1F34" w:rsidR="00B42FA2" w:rsidRDefault="006A1B4F" w:rsidP="00B42FA2">
      <w:pPr>
        <w:widowControl w:val="0"/>
        <w:tabs>
          <w:tab w:val="left" w:pos="90"/>
        </w:tabs>
        <w:autoSpaceDE w:val="0"/>
        <w:autoSpaceDN w:val="0"/>
        <w:adjustRightInd w:val="0"/>
        <w:spacing w:line="480" w:lineRule="auto"/>
        <w:ind w:firstLine="720"/>
        <w:jc w:val="both"/>
        <w:rPr>
          <w:rFonts w:ascii="Calibri" w:hAnsi="Calibri" w:cs="Calibri"/>
          <w:color w:val="000000" w:themeColor="text1"/>
        </w:rPr>
      </w:pPr>
      <w:r>
        <w:rPr>
          <w:rFonts w:ascii="Calibri" w:hAnsi="Calibri" w:cs="Calibri"/>
          <w:color w:val="000000" w:themeColor="text1"/>
        </w:rPr>
        <w:t>W</w:t>
      </w:r>
      <w:r w:rsidR="005F2985">
        <w:rPr>
          <w:rFonts w:ascii="Calibri" w:hAnsi="Calibri" w:cs="Calibri"/>
          <w:color w:val="000000" w:themeColor="text1"/>
        </w:rPr>
        <w:t>e have</w:t>
      </w:r>
      <w:r w:rsidR="00D76915" w:rsidRPr="002629A7">
        <w:rPr>
          <w:rFonts w:ascii="Calibri" w:hAnsi="Calibri" w:cs="Calibri"/>
          <w:color w:val="000000" w:themeColor="text1"/>
        </w:rPr>
        <w:t xml:space="preserve"> </w:t>
      </w:r>
      <w:r>
        <w:rPr>
          <w:rFonts w:ascii="Calibri" w:hAnsi="Calibri" w:cs="Calibri"/>
          <w:color w:val="000000" w:themeColor="text1"/>
        </w:rPr>
        <w:t xml:space="preserve">previously </w:t>
      </w:r>
      <w:r w:rsidR="00D76915" w:rsidRPr="002629A7">
        <w:rPr>
          <w:rFonts w:ascii="Calibri" w:hAnsi="Calibri" w:cs="Calibri"/>
          <w:color w:val="000000" w:themeColor="text1"/>
        </w:rPr>
        <w:t>demonstrated</w:t>
      </w:r>
      <w:r>
        <w:rPr>
          <w:rFonts w:ascii="Calibri" w:hAnsi="Calibri" w:cs="Calibri"/>
          <w:color w:val="000000" w:themeColor="text1"/>
        </w:rPr>
        <w:t xml:space="preserve"> a</w:t>
      </w:r>
      <w:r w:rsidR="00D76915" w:rsidRPr="002629A7">
        <w:rPr>
          <w:rFonts w:ascii="Calibri" w:hAnsi="Calibri" w:cs="Calibri"/>
          <w:color w:val="000000" w:themeColor="text1"/>
        </w:rPr>
        <w:t xml:space="preserve"> </w:t>
      </w:r>
      <w:r w:rsidR="00BB2365" w:rsidRPr="002629A7">
        <w:rPr>
          <w:rFonts w:ascii="Calibri" w:hAnsi="Calibri" w:cs="Calibri"/>
          <w:color w:val="000000" w:themeColor="text1"/>
        </w:rPr>
        <w:t xml:space="preserve">significant </w:t>
      </w:r>
      <w:r w:rsidR="00D76915" w:rsidRPr="002629A7">
        <w:rPr>
          <w:rFonts w:ascii="Calibri" w:hAnsi="Calibri" w:cs="Calibri"/>
          <w:color w:val="000000" w:themeColor="text1"/>
        </w:rPr>
        <w:t xml:space="preserve">association </w:t>
      </w:r>
      <w:r>
        <w:rPr>
          <w:rFonts w:ascii="Calibri" w:hAnsi="Calibri" w:cs="Calibri"/>
          <w:color w:val="000000" w:themeColor="text1"/>
        </w:rPr>
        <w:t>between</w:t>
      </w:r>
      <w:r w:rsidR="00D76915" w:rsidRPr="002629A7">
        <w:rPr>
          <w:rFonts w:ascii="Calibri" w:hAnsi="Calibri" w:cs="Calibri"/>
          <w:color w:val="000000" w:themeColor="text1"/>
        </w:rPr>
        <w:t xml:space="preserve"> subpulmonary LV </w:t>
      </w:r>
      <w:r w:rsidR="00D76915" w:rsidRPr="002629A7">
        <w:rPr>
          <w:rFonts w:ascii="Calibri" w:hAnsi="Calibri" w:cs="Calibri"/>
          <w:color w:val="000000" w:themeColor="text1"/>
        </w:rPr>
        <w:lastRenderedPageBreak/>
        <w:t xml:space="preserve">systolic </w:t>
      </w:r>
      <w:r w:rsidR="00D030A5">
        <w:rPr>
          <w:rFonts w:ascii="Calibri" w:hAnsi="Calibri" w:cs="Calibri"/>
          <w:color w:val="000000" w:themeColor="text1"/>
        </w:rPr>
        <w:t>dys</w:t>
      </w:r>
      <w:r w:rsidR="00D76915" w:rsidRPr="002629A7">
        <w:rPr>
          <w:rFonts w:ascii="Calibri" w:hAnsi="Calibri" w:cs="Calibri"/>
          <w:color w:val="000000" w:themeColor="text1"/>
        </w:rPr>
        <w:t xml:space="preserve">function assessed by FAC and </w:t>
      </w:r>
      <w:r>
        <w:rPr>
          <w:rFonts w:ascii="Calibri" w:hAnsi="Calibri" w:cs="Calibri"/>
          <w:color w:val="000000" w:themeColor="text1"/>
        </w:rPr>
        <w:t xml:space="preserve">symptoms of </w:t>
      </w:r>
      <w:r w:rsidR="00D76915" w:rsidRPr="002629A7">
        <w:rPr>
          <w:rFonts w:ascii="Calibri" w:hAnsi="Calibri" w:cs="Calibri"/>
          <w:color w:val="000000" w:themeColor="text1"/>
        </w:rPr>
        <w:t>heart failure (NYHA functional class 3-4)</w:t>
      </w:r>
      <w:r w:rsidR="00BB2365" w:rsidRPr="002629A7">
        <w:rPr>
          <w:rFonts w:ascii="Calibri" w:hAnsi="Calibri" w:cs="Calibri"/>
          <w:color w:val="000000" w:themeColor="text1"/>
        </w:rPr>
        <w:t>,</w:t>
      </w:r>
      <w:r w:rsidR="00D76915" w:rsidRPr="002629A7">
        <w:rPr>
          <w:rFonts w:ascii="Calibri" w:hAnsi="Calibri" w:cs="Calibri"/>
          <w:color w:val="000000" w:themeColor="text1"/>
        </w:rPr>
        <w:t xml:space="preserve"> which was independent </w:t>
      </w:r>
      <w:r w:rsidR="002F0DA0" w:rsidRPr="002629A7">
        <w:rPr>
          <w:rFonts w:ascii="Calibri" w:hAnsi="Calibri" w:cs="Calibri"/>
          <w:color w:val="000000" w:themeColor="text1"/>
        </w:rPr>
        <w:t>o</w:t>
      </w:r>
      <w:r w:rsidR="002F0DA0">
        <w:rPr>
          <w:rFonts w:ascii="Calibri" w:hAnsi="Calibri" w:cs="Calibri"/>
          <w:color w:val="000000" w:themeColor="text1"/>
        </w:rPr>
        <w:t>f</w:t>
      </w:r>
      <w:r w:rsidR="00BC7592">
        <w:rPr>
          <w:rFonts w:ascii="Calibri" w:hAnsi="Calibri" w:cs="Calibri"/>
          <w:color w:val="000000" w:themeColor="text1"/>
        </w:rPr>
        <w:t>,</w:t>
      </w:r>
      <w:r w:rsidR="00D76915" w:rsidRPr="002629A7">
        <w:rPr>
          <w:rFonts w:ascii="Calibri" w:hAnsi="Calibri" w:cs="Calibri"/>
          <w:color w:val="000000" w:themeColor="text1"/>
        </w:rPr>
        <w:t xml:space="preserve"> </w:t>
      </w:r>
      <w:r w:rsidR="002F0DA0">
        <w:rPr>
          <w:rFonts w:ascii="Calibri" w:hAnsi="Calibri" w:cs="Calibri"/>
          <w:color w:val="000000" w:themeColor="text1"/>
        </w:rPr>
        <w:t xml:space="preserve">and stronger than </w:t>
      </w:r>
      <w:r w:rsidR="00D76915" w:rsidRPr="002629A7">
        <w:rPr>
          <w:rFonts w:ascii="Calibri" w:hAnsi="Calibri" w:cs="Calibri"/>
          <w:color w:val="000000" w:themeColor="text1"/>
        </w:rPr>
        <w:t xml:space="preserve">SRV </w:t>
      </w:r>
      <w:r w:rsidR="00D030A5">
        <w:rPr>
          <w:rFonts w:ascii="Calibri" w:hAnsi="Calibri" w:cs="Calibri"/>
          <w:color w:val="000000" w:themeColor="text1"/>
        </w:rPr>
        <w:t xml:space="preserve">systolic </w:t>
      </w:r>
      <w:r w:rsidR="00D76915" w:rsidRPr="002629A7">
        <w:rPr>
          <w:rFonts w:ascii="Calibri" w:hAnsi="Calibri" w:cs="Calibri"/>
          <w:color w:val="000000" w:themeColor="text1"/>
        </w:rPr>
        <w:t>function.</w:t>
      </w:r>
      <w:r w:rsidR="00D76915" w:rsidRPr="002629A7">
        <w:rPr>
          <w:rFonts w:ascii="Calibri" w:hAnsi="Calibri" w:cs="Calibri"/>
          <w:color w:val="000000" w:themeColor="text1"/>
        </w:rPr>
        <w:fldChar w:fldCharType="begin" w:fldLock="1"/>
      </w:r>
      <w:r w:rsidR="007E12C6">
        <w:rPr>
          <w:rFonts w:ascii="Calibri" w:hAnsi="Calibri" w:cs="Calibri"/>
          <w:color w:val="000000" w:themeColor="text1"/>
        </w:rPr>
        <w:instrText>ADDIN CSL_CITATION {"citationItems":[{"id":"ITEM-1","itemData":{"DOI":"10.1016/j.ijcard.2020.09.051","ISSN":"1874-1754 (Electronic)","PMID":"32987051","abstract":"BACKGROUND: The study aimed to assess the relation between echocardiographic  parameters of subpulmonary left ventricular (LV) size and function, and the severity of heart failure in patients with a systemic right ventricle (SRV). METHODS AND RESULTS: A total of 157 patients (89 post Mustard/Senning operations, 68 with congenitally corrected transposition of great arteries [ccTGA]) were included. The size and function of the SRV and subpulmonary LV were assessed on the most recent echocardiographic exam. Clinical data were collected from the electronic records. The majority (133, 84.7%) were in NYHA functional class 1-2. Median BNP concentration was 79.5[38.3-173.3] ng/l, and 100 (63.7%) patients were receiving heart failure therapy. Both LV and SRV fractional area change (FAC) differed significantly between patients with NYHA class 1-2 vs 3-4 (48[41.5-52.8]% vs 34[28.6-38.6]%, p &lt; 0.0001 and 29.5[23-35]% vs 22[20-27]%, p &lt; 0.0001, respectively), but LV FAC had a higher discriminative power for functional class &gt;2 than SRV FAC (AUC 0.90, p &lt; 0.0001 vs 0.79; p &lt; 0.0001, respectively). A LV FAC cut-off value &lt;39.2% had the highest accuracy in identifying patients with NYHA class 3-4 (sensitivity 83% and specificity 88%). In multivariable logistic regression analysis, LV FAC and SRV FAC independently associated to NYHA class 3-4 (OR 0.80 [95%CI 0.72-0.88], p &lt; 0.0001 and OR 0.85 [95%CI 0.76-0.96], p = 0.007, respectively). CONCLUSIONS: Subpulmonary LV systolic dysfunction is associated with NYHA functional class 3-4 in patients with ccTGA or after Mustard or Senning operation. Careful evaluation of the subpulmonary LV should be a part of the routine assessment of patients with a SRV.","author":[{"dropping-particle":"","family":"Surkova","given":"Elena","non-dropping-particle":"","parse-names":false,"suffix":""},{"dropping-particle":"","family":"Segura","given":"Teresa","non-dropping-particle":"","parse-names":false,"suffix":""},{"dropping-particle":"","family":"Dimopoulos","given":"Konstantinos","non-dropping-particle":"","parse-names":false,"suffix":""},{"dropping-particle":"","family":"Bispo","given":"Daniela","non-dropping-particle":"","parse-names":false,"suffix":""},{"dropping-particle":"","family":"Flick","given":"Caroline","non-dropping-particle":"","parse-names":false,"suffix":""},{"dropping-particle":"","family":"West","given":"Cathy","non-dropping-particle":"","parse-names":false,"suffix":""},{"dropping-particle":"V","family":"Babu-Narayan","given":"Sonya","non-dropping-particle":"","parse-names":false,"suffix":""},{"dropping-particle":"","family":"Senior","given":"Roxy","non-dropping-particle":"","parse-names":false,"suffix":""},{"dropping-particle":"","family":"Gatzoulis","given":"Michael A","non-dropping-particle":"","parse-names":false,"suffix":""},{"dropping-particle":"","family":"Li","given":"Wei","non-dropping-particle":"","parse-names":false,"suffix":""}],"container-title":"International journal of cardiology","id":"ITEM-1","issued":{"date-parts":[["2021","2"]]},"language":"eng","page":"66-71","publisher-place":"Netherlands","title":"Systolic dysfunction of the subpulmonary left ventricle is associated with the  severity of heart failure in patients with a systemic right ventricle.","type":"article-journal","volume":"324"},"uris":["http://www.mendeley.com/documents/?uuid=4f068205-b10f-4a76-8f07-d27dade0982b"]}],"mendeley":{"formattedCitation":"&lt;sup&gt;13&lt;/sup&gt;","plainTextFormattedCitation":"13","previouslyFormattedCitation":"&lt;sup&gt;13&lt;/sup&gt;"},"properties":{"noteIndex":0},"schema":"https://github.com/citation-style-language/schema/raw/master/csl-citation.json"}</w:instrText>
      </w:r>
      <w:r w:rsidR="00D76915" w:rsidRPr="002629A7">
        <w:rPr>
          <w:rFonts w:ascii="Calibri" w:hAnsi="Calibri" w:cs="Calibri"/>
          <w:color w:val="000000" w:themeColor="text1"/>
        </w:rPr>
        <w:fldChar w:fldCharType="separate"/>
      </w:r>
      <w:r w:rsidR="009857C5" w:rsidRPr="009857C5">
        <w:rPr>
          <w:rFonts w:ascii="Calibri" w:hAnsi="Calibri" w:cs="Calibri"/>
          <w:noProof/>
          <w:color w:val="000000" w:themeColor="text1"/>
          <w:vertAlign w:val="superscript"/>
        </w:rPr>
        <w:t>13</w:t>
      </w:r>
      <w:r w:rsidR="00D76915" w:rsidRPr="002629A7">
        <w:rPr>
          <w:rFonts w:ascii="Calibri" w:hAnsi="Calibri" w:cs="Calibri"/>
          <w:color w:val="000000" w:themeColor="text1"/>
        </w:rPr>
        <w:fldChar w:fldCharType="end"/>
      </w:r>
      <w:r w:rsidR="00D76915" w:rsidRPr="002629A7">
        <w:rPr>
          <w:rFonts w:ascii="Calibri" w:hAnsi="Calibri" w:cs="Calibri"/>
          <w:color w:val="000000" w:themeColor="text1"/>
        </w:rPr>
        <w:t xml:space="preserve"> </w:t>
      </w:r>
      <w:r w:rsidR="002F0DA0">
        <w:rPr>
          <w:rFonts w:ascii="Calibri" w:hAnsi="Calibri" w:cs="Calibri"/>
          <w:color w:val="000000" w:themeColor="text1"/>
        </w:rPr>
        <w:t>These observations are supported by other investigators</w:t>
      </w:r>
      <w:r w:rsidR="00B42FA2">
        <w:rPr>
          <w:rFonts w:ascii="Calibri" w:hAnsi="Calibri" w:cs="Calibri"/>
          <w:color w:val="000000" w:themeColor="text1"/>
        </w:rPr>
        <w:t>, who</w:t>
      </w:r>
      <w:r w:rsidR="00B42FA2" w:rsidRPr="00B42FA2" w:rsidDel="002F0DA0">
        <w:rPr>
          <w:rFonts w:ascii="Calibri" w:hAnsi="Calibri" w:cs="Calibri"/>
          <w:color w:val="000000" w:themeColor="text1"/>
        </w:rPr>
        <w:t xml:space="preserve"> </w:t>
      </w:r>
      <w:r w:rsidR="00B42FA2" w:rsidRPr="005A770C">
        <w:rPr>
          <w:rFonts w:ascii="Calibri" w:hAnsi="Calibri" w:cs="Calibri"/>
          <w:color w:val="000000" w:themeColor="text1"/>
        </w:rPr>
        <w:t>demonstrated that qualitative</w:t>
      </w:r>
      <w:r w:rsidR="00B42FA2">
        <w:rPr>
          <w:rFonts w:ascii="Calibri" w:hAnsi="Calibri" w:cs="Calibri"/>
          <w:color w:val="000000" w:themeColor="text1"/>
        </w:rPr>
        <w:t xml:space="preserve"> </w:t>
      </w:r>
      <w:r w:rsidR="00B42FA2" w:rsidRPr="005A770C">
        <w:rPr>
          <w:rFonts w:ascii="Calibri" w:hAnsi="Calibri" w:cs="Calibri"/>
          <w:color w:val="000000" w:themeColor="text1"/>
        </w:rPr>
        <w:t>assessment of LV function</w:t>
      </w:r>
      <w:r w:rsidR="00B42FA2">
        <w:rPr>
          <w:rFonts w:ascii="Calibri" w:hAnsi="Calibri" w:cs="Calibri"/>
          <w:color w:val="000000" w:themeColor="text1"/>
        </w:rPr>
        <w:t xml:space="preserve"> (but not MAPSE of S’) </w:t>
      </w:r>
      <w:r w:rsidR="00B42FA2" w:rsidRPr="005A770C">
        <w:rPr>
          <w:rFonts w:ascii="Calibri" w:hAnsi="Calibri" w:cs="Calibri"/>
          <w:color w:val="000000" w:themeColor="text1"/>
        </w:rPr>
        <w:t xml:space="preserve"> was associated </w:t>
      </w:r>
      <w:r w:rsidR="00BC30AA" w:rsidRPr="005A770C">
        <w:rPr>
          <w:rFonts w:ascii="Calibri" w:hAnsi="Calibri" w:cs="Calibri"/>
          <w:color w:val="000000" w:themeColor="text1"/>
        </w:rPr>
        <w:t>with NYHA class</w:t>
      </w:r>
      <w:r w:rsidR="00D03907" w:rsidRPr="005A770C">
        <w:rPr>
          <w:rFonts w:ascii="Calibri" w:hAnsi="Calibri" w:cs="Calibri"/>
          <w:color w:val="000000" w:themeColor="text1"/>
        </w:rPr>
        <w:t>, maximal exercise capacity and NT-</w:t>
      </w:r>
      <w:proofErr w:type="spellStart"/>
      <w:r w:rsidR="00D03907" w:rsidRPr="005A770C">
        <w:rPr>
          <w:rFonts w:ascii="Calibri" w:hAnsi="Calibri" w:cs="Calibri"/>
          <w:color w:val="000000" w:themeColor="text1"/>
        </w:rPr>
        <w:t>proBNP</w:t>
      </w:r>
      <w:proofErr w:type="spellEnd"/>
      <w:r w:rsidR="00D03907" w:rsidRPr="005A770C">
        <w:rPr>
          <w:rFonts w:ascii="Calibri" w:hAnsi="Calibri" w:cs="Calibri"/>
          <w:color w:val="000000" w:themeColor="text1"/>
        </w:rPr>
        <w:t xml:space="preserve"> level</w:t>
      </w:r>
      <w:r w:rsidR="00B42FA2">
        <w:rPr>
          <w:rFonts w:ascii="Calibri" w:hAnsi="Calibri" w:cs="Calibri"/>
          <w:color w:val="000000" w:themeColor="text1"/>
        </w:rPr>
        <w:t>.</w:t>
      </w:r>
      <w:r w:rsidR="00D03907" w:rsidRPr="005A770C">
        <w:rPr>
          <w:rFonts w:ascii="Calibri" w:hAnsi="Calibri" w:cs="Calibri"/>
          <w:color w:val="000000" w:themeColor="text1"/>
        </w:rPr>
        <w:fldChar w:fldCharType="begin" w:fldLock="1"/>
      </w:r>
      <w:r w:rsidR="00F0446F">
        <w:rPr>
          <w:rFonts w:ascii="Calibri" w:hAnsi="Calibri" w:cs="Calibri"/>
          <w:color w:val="000000" w:themeColor="text1"/>
        </w:rPr>
        <w:instrText>ADDIN CSL_CITATION {"citationItems":[{"id":"ITEM-1","itemData":{"DOI":"10.1111/j.1540-8175.2010.01233.x","ISSN":"1540-8175 (Electronic)","PMID":"20584069","abstract":"BACKGROUND: Ventricular systolic and diastolic function, as measured by echocardiography, are diminished in patients with a systemic right ventricle (RV). As the clinical implications of these finding remained unknown, we aimed to identify echocardiographic parameters of systolic and diastolic ventricular function that are independent determinants of the clinical condition in these patients. METHODS: Forty-six adult patients (61% male; mean age 33 [range 18-69] years) with a systemic RV underwent echocardiography to assess qualitative and quantitative systolic and diastolic function of the systemic RV and the subpulmonary left ventricle (LV). Uni- and multivariate linear regression analyses were performed to identify independent echocardiographic determinants for NYHA class, maximal exercise capacity (V'O(2peak)) and NT-proBNP levels. RESULTS: We found qualitative assessment of RV and LV function to be significantly associated with NYHA class (RV: beta= 0.26; P = 0.05 and LV: beta= 0.82; P &lt; 0.01), V'O(2peak) (RV: beta=-10.4; P &lt; 0.05 and LV: beta=-18.4; P &lt; 0.05) and NT-proBNP levels (RV: beta= 0.58; P &lt; 0.01 and LV: beta= 1.40; P &lt; 0.001). Tricuspid annulus plane systolic excursion (TAPSE) was significantly associated with NYHA class (beta=-0.92; P = 0.001), V'O(2peak) (beta= 18.5; P = 0.05), and serum NT-proBNP levels (beta=-1.00; P &lt; 0.05). Associations between quantitative parameters of systolic subpulmonary LV function and clinical parameters were less distinct. We found no associations between RV and LV diastolic function and clinical parameters. CONCLUSIONS: Qualitative function of the systemic RV and the subpulmonary LV, and TAPSE, are determinants of clinical condition in patients with a systemic RV. These patients' clinical condition could not be determined by echocardiographically measured diastolic RV function, and systolic and diastolic LV function.","author":[{"dropping-particle":"","family":"Winter","given":"Michiel M","non-dropping-particle":"","parse-names":false,"suffix":""},{"dropping-particle":"","family":"Bouma","given":"Berto J","non-dropping-particle":"","parse-names":false,"suffix":""},{"dropping-particle":"","family":"Hardziyenka","given":"Maxim","non-dropping-particle":"","parse-names":false,"suffix":""},{"dropping-particle":"","family":"Bruin-Bon","given":"Rianne H A C M","non-dropping-particle":"De","parse-names":false,"suffix":""},{"dropping-particle":"","family":"Tan","given":"Hanno L","non-dropping-particle":"","parse-names":false,"suffix":""},{"dropping-particle":"","family":"Konings","given":"Thelma C","non-dropping-particle":"","parse-names":false,"suffix":""},{"dropping-particle":"","family":"Dijk","given":"Arie P J","non-dropping-particle":"Van","parse-names":false,"suffix":""},{"dropping-particle":"","family":"Mulder","given":"Barbara J M","non-dropping-particle":"","parse-names":false,"suffix":""}],"container-title":"Echocardiography (Mount Kisco, N.Y.)","id":"ITEM-1","issue":"10","issued":{"date-parts":[["2010","11"]]},"language":"eng","page":"1247-1255","publisher-place":"United States","title":"Echocardiographic determinants of the clinical condition in patients with a systemic right ventricle.","type":"article-journal","volume":"27"},"uris":["http://www.mendeley.com/documents/?uuid=34c61eff-617b-40d1-96e2-69e4ca3590b9"]}],"mendeley":{"formattedCitation":"&lt;sup&gt;18&lt;/sup&gt;","plainTextFormattedCitation":"18","previouslyFormattedCitation":"&lt;sup&gt;18&lt;/sup&gt;"},"properties":{"noteIndex":0},"schema":"https://github.com/citation-style-language/schema/raw/master/csl-citation.json"}</w:instrText>
      </w:r>
      <w:r w:rsidR="00D03907" w:rsidRPr="005A770C">
        <w:rPr>
          <w:rFonts w:ascii="Calibri" w:hAnsi="Calibri" w:cs="Calibri"/>
          <w:color w:val="000000" w:themeColor="text1"/>
        </w:rPr>
        <w:fldChar w:fldCharType="separate"/>
      </w:r>
      <w:r w:rsidR="00F0446F" w:rsidRPr="00F0446F">
        <w:rPr>
          <w:rFonts w:ascii="Calibri" w:hAnsi="Calibri" w:cs="Calibri"/>
          <w:noProof/>
          <w:color w:val="000000" w:themeColor="text1"/>
          <w:vertAlign w:val="superscript"/>
        </w:rPr>
        <w:t>18</w:t>
      </w:r>
      <w:r w:rsidR="00D03907" w:rsidRPr="005A770C">
        <w:rPr>
          <w:rFonts w:ascii="Calibri" w:hAnsi="Calibri" w:cs="Calibri"/>
          <w:color w:val="000000" w:themeColor="text1"/>
        </w:rPr>
        <w:fldChar w:fldCharType="end"/>
      </w:r>
      <w:r w:rsidR="00D03907" w:rsidRPr="005A770C">
        <w:rPr>
          <w:rFonts w:ascii="Calibri" w:hAnsi="Calibri" w:cs="Calibri"/>
          <w:color w:val="000000" w:themeColor="text1"/>
        </w:rPr>
        <w:t xml:space="preserve"> </w:t>
      </w:r>
      <w:r w:rsidR="00B42FA2">
        <w:rPr>
          <w:rFonts w:ascii="Calibri" w:hAnsi="Calibri" w:cs="Calibri"/>
          <w:color w:val="000000" w:themeColor="text1"/>
        </w:rPr>
        <w:t>Two r</w:t>
      </w:r>
      <w:r w:rsidR="00751060">
        <w:rPr>
          <w:rFonts w:ascii="Calibri" w:hAnsi="Calibri" w:cs="Calibri"/>
          <w:color w:val="000000" w:themeColor="text1"/>
        </w:rPr>
        <w:t>ecent small studies have reported an association between</w:t>
      </w:r>
      <w:r w:rsidR="00476CE1" w:rsidRPr="00A63F87">
        <w:rPr>
          <w:rFonts w:ascii="Calibri" w:hAnsi="Calibri" w:cs="Calibri"/>
          <w:color w:val="000000" w:themeColor="text1"/>
        </w:rPr>
        <w:t xml:space="preserve"> </w:t>
      </w:r>
      <w:proofErr w:type="spellStart"/>
      <w:r w:rsidR="00476CE1" w:rsidRPr="00A63F87">
        <w:rPr>
          <w:rFonts w:ascii="Calibri" w:hAnsi="Calibri" w:cs="Calibri"/>
          <w:color w:val="000000" w:themeColor="text1"/>
        </w:rPr>
        <w:t>subpulmonary</w:t>
      </w:r>
      <w:proofErr w:type="spellEnd"/>
      <w:r w:rsidR="00476CE1" w:rsidRPr="00A63F87">
        <w:rPr>
          <w:rFonts w:ascii="Calibri" w:hAnsi="Calibri" w:cs="Calibri"/>
          <w:color w:val="000000" w:themeColor="text1"/>
        </w:rPr>
        <w:t xml:space="preserve"> </w:t>
      </w:r>
      <w:r w:rsidR="00D76915" w:rsidRPr="00A63F87">
        <w:rPr>
          <w:rFonts w:ascii="Calibri" w:hAnsi="Calibri" w:cs="Calibri"/>
          <w:color w:val="000000" w:themeColor="text1"/>
        </w:rPr>
        <w:t>LV</w:t>
      </w:r>
      <w:r w:rsidR="00476CE1" w:rsidRPr="00A63F87">
        <w:rPr>
          <w:rFonts w:ascii="Calibri" w:hAnsi="Calibri" w:cs="Calibri"/>
          <w:color w:val="000000" w:themeColor="text1"/>
        </w:rPr>
        <w:t xml:space="preserve"> </w:t>
      </w:r>
      <w:proofErr w:type="spellStart"/>
      <w:r w:rsidR="00751060">
        <w:rPr>
          <w:rFonts w:ascii="Calibri" w:hAnsi="Calibri" w:cs="Calibri"/>
          <w:color w:val="000000" w:themeColor="text1"/>
        </w:rPr>
        <w:t>parmeters</w:t>
      </w:r>
      <w:proofErr w:type="spellEnd"/>
      <w:r w:rsidR="00BC7592">
        <w:rPr>
          <w:rFonts w:ascii="Calibri" w:hAnsi="Calibri" w:cs="Calibri"/>
          <w:color w:val="000000" w:themeColor="text1"/>
        </w:rPr>
        <w:t xml:space="preserve"> </w:t>
      </w:r>
      <w:r w:rsidR="00751060">
        <w:rPr>
          <w:rFonts w:ascii="Calibri" w:hAnsi="Calibri" w:cs="Calibri"/>
          <w:color w:val="000000" w:themeColor="text1"/>
        </w:rPr>
        <w:t xml:space="preserve">and </w:t>
      </w:r>
      <w:r w:rsidR="00FB0216">
        <w:rPr>
          <w:rFonts w:ascii="Calibri" w:hAnsi="Calibri" w:cs="Calibri"/>
          <w:color w:val="000000" w:themeColor="text1"/>
        </w:rPr>
        <w:t>adverse</w:t>
      </w:r>
      <w:r w:rsidR="004A5CA8">
        <w:rPr>
          <w:rFonts w:ascii="Calibri" w:hAnsi="Calibri" w:cs="Calibri"/>
          <w:color w:val="000000" w:themeColor="text1"/>
        </w:rPr>
        <w:t xml:space="preserve"> events</w:t>
      </w:r>
      <w:r w:rsidR="00751060">
        <w:rPr>
          <w:rFonts w:ascii="Calibri" w:hAnsi="Calibri" w:cs="Calibri"/>
          <w:color w:val="000000" w:themeColor="text1"/>
        </w:rPr>
        <w:t>.</w:t>
      </w:r>
      <w:r w:rsidR="00F0446F">
        <w:rPr>
          <w:rFonts w:ascii="Calibri" w:hAnsi="Calibri" w:cs="Calibri"/>
          <w:color w:val="000000" w:themeColor="text1"/>
        </w:rPr>
        <w:fldChar w:fldCharType="begin" w:fldLock="1"/>
      </w:r>
      <w:r w:rsidR="00A85D18">
        <w:rPr>
          <w:rFonts w:ascii="Calibri" w:hAnsi="Calibri" w:cs="Calibri"/>
          <w:color w:val="000000" w:themeColor="text1"/>
        </w:rPr>
        <w:instrText>ADDIN CSL_CITATION {"citationItems":[{"id":"ITEM-1","itemData":{"DOI":"10.1161/JAHA.119.013745","ISSN":"2047-9980 (Electronic)","PMID":"31431113","abstract":"Background Adults with a systemic right ventricle (sRV) have a high risk of  cardiac complications. This study aimed to identify prognostic markers in adults with sRV based on clinical evaluation, echocardiography, and blood biomarkers. Methods and Results In this prospective cohort study, consecutive clinically stable adults with sRV caused by Mustard- or congenitally corrected transposition of the great arteries were included (2011-2013). Eighty-six patients were included (age 37±9 years, 65% male, 83% New York Heart Association functional class I, 76% Mustard transposition of the great arteries, 24% congenitally corrected transposition of the great arteries). Venous blood sampling was performed including N-terminal pro B-type natriuretic peptide, high-sensitive-troponin-T, high-sensitivity C-reactive protein, growth differentiation factor-15, galectin-3, red cell distribution width, estimated glomerular filtration rate, and hemoglobin. Besides conventional echocardiographic measurements, longitudinal, circumferential, and radial strain were assessed using strain analysis. During a median follow-up of 5.9 (interquartile range 5.3-6.3) years, 19 (22%) patients died or had heart failure (primary end point) and 29 (34%) patients died or had arrhythmia (secondary end point). Univariable Cox regression analysis was performed using dichotomous or standardized continuous variables. New York Heart Association functional class &gt;I, systolic blood pressure, and most blood biomarkers were associated with the primary and secondary end point (galectin-3 not for primary, N-terminal pro B-type natriuretic peptide and high-sensitivity C-reactive protein not for secondary end point). Growth differentiation factor-15 showed the strongest association with both end points (hazard ratios; 2.44 [95% CI 1.67-3.57, P&lt;0.001], 2.00 [95% CI 1.46-2.73, P&lt;0.001], respectively). End-diastolic basal dimension of the subpulmonary ventricle was associated with both end points (hazard ratio: 1.95 [95% CI 1.34-2.85], P&lt;0.001, 1.70 [95% CI 1.21-2.38, P=0.002], respectively). Concerning strain analysis, only sRV septal strain was associated with the secondary end point (hazard ratio 0.58 [95% CI 0.39-0.86], P=0.006). Conclusions Clinical, conventional echocardiographic, and blood measurements are important markers for risk stratification in adults with a sRV. The value of novel echocardiographic strain analysis seems limited.","author":[{"dropping-particle":"","family":"Geenen","given":"Laurie W","non-dropping-particle":"","parse-names":false,"suffix":""},{"dropping-particle":"","family":"Grootel","given":"Roderick W J","non-dropping-particle":"van","parse-names":false,"suffix":""},{"dropping-particle":"","family":"Akman","given":"Korhan","non-dropping-particle":"","parse-names":false,"suffix":""},{"dropping-particle":"","family":"Baggen","given":"Vivan J M","non-dropping-particle":"","parse-names":false,"suffix":""},{"dropping-particle":"","family":"Menting","given":"Myrthe E","non-dropping-particle":"","parse-names":false,"suffix":""},{"dropping-particle":"","family":"Eindhoven","given":"Jannet A","non-dropping-particle":"","parse-names":false,"suffix":""},{"dropping-particle":"","family":"Cuypers","given":"Judith A A E","non-dropping-particle":"","parse-names":false,"suffix":""},{"dropping-particle":"","family":"Boersma","given":"Eric","non-dropping-particle":"","parse-names":false,"suffix":""},{"dropping-particle":"","family":"Bosch","given":"Annemien E","non-dropping-particle":"van den","parse-names":false,"suffix":""},{"dropping-particle":"","family":"Roos-Hesselink","given":"Jolien W","non-dropping-particle":"","parse-names":false,"suffix":""}],"container-title":"Journal of the American Heart Association","id":"ITEM-1","issue":"17","issued":{"date-parts":[["2019","9"]]},"language":"eng","page":"e013745","title":"Exploring the Prognostic Value of Novel Markers in Adults With a Systemic Right  Ventricle.","type":"article-journal","volume":"8"},"uris":["http://www.mendeley.com/documents/?uuid=d22793f2-3cf5-42b0-8528-7eecc48cf7fd"]},{"id":"ITEM-2","itemData":{"DOI":"10.1093/ehjci/jeab086","ISSN":"2047-2412 (Electronic)","PMID":"34059878","abstract":"AIMS: Early recognition of adverse remodelling is important since outcome is  unfavorable once patients with a systemic right ventricle (sRV) become symptomatic. We aimed assessing prognostic markers linked to short-term clinical evolution in this population. METHODS AND RESULTS: Thirty-three patients (76% male) with sRV (atrial switch repair for D-transposition of the great arteries and congenitally corrected transposition of the great arteries) underwent detailed phenotyping including exercise cardiac magnetic resonance and were followed over mean follow-up time of 3 years. Mean age was 40 ± 8 (range 26-57) years at latest follow-up. Adverse outcome was a composite of heart failure (HF) and tachyarrhythmia. Descriptive statistics and univariate cox regression analyses were performed. When compared with baseline: (i) most patients remained in New York Heart Association functional class I (76%), (ii) the degree of severity of the systemic atrioventricular valve regurgitation rose, and (iii) more electrical instability was documented at latest follow-up. Six (18%) of a total of 9 events were counted as first cardiovascular events (9% HF and 9% arrhythmia). NT-proBNP, oxygen pulse, left ventricle end-diastolic volume index (LVEDVi), and stroke volume index (SVi) of the subpulmonary left ventricle (LV) both in rest and at peak exercise were significantly associated with the first cardiovascular event. CONCLUSION: NT-proBNP was by far the best prognostic marker for clinical outcome. Adverse remodelling with increase of LVEDVi and SVi of the subpulmonary LV at rest and during exercise were associated with worse clinical outcome. We theorize that remodelling of the subpulmonary ventricle might be an early sign of a failing sRV circulation.","author":[{"dropping-particle":"","family":"Santens","given":"Béatrice","non-dropping-particle":"","parse-names":false,"suffix":""},{"dropping-particle":"","family":"Helsen","given":"Frederik","non-dropping-particle":"","parse-names":false,"suffix":""},{"dropping-particle":"","family":"Bruaene","given":"Alexander","non-dropping-particle":"Van De","parse-names":false,"suffix":""},{"dropping-particle":"","family":"Meester","given":"Pieter","non-dropping-particle":"De","parse-names":false,"suffix":""},{"dropping-particle":"","family":"Budts","given":"Anne-Laure","non-dropping-particle":"","parse-names":false,"suffix":""},{"dropping-particle":"","family":"Troost","given":"Els","non-dropping-particle":"","parse-names":false,"suffix":""},{"dropping-particle":"","family":"Moons","given":"Philip","non-dropping-particle":"","parse-names":false,"suffix":""},{"dropping-particle":"","family":"Claus","given":"Piet","non-dropping-particle":"","parse-names":false,"suffix":""},{"dropping-particle":"","family":"Rega","given":"Filip","non-dropping-particle":"","parse-names":false,"suffix":""},{"dropping-particle":"","family":"Bogaert","given":"Jan","non-dropping-particle":"","parse-names":false,"suffix":""},{"dropping-particle":"","family":"Budts","given":"Werner","non-dropping-particle":"","parse-names":false,"suffix":""}],"container-title":"European heart journal. Cardiovascular Imaging","id":"ITEM-2","issue":"5","issued":{"date-parts":[["2022","4"]]},"language":"eng","page":"680-688","publisher-place":"England","title":"Adverse functional remodelling of the subpulmonary left ventricle in patients  with a systemic right ventricle is associated with clinical outcome.","type":"article-journal","volume":"23"},"uris":["http://www.mendeley.com/documents/?uuid=331ad16d-597c-4c15-b20b-137352b44dd1"]}],"mendeley":{"formattedCitation":"&lt;sup&gt;19,20&lt;/sup&gt;","plainTextFormattedCitation":"19,20","previouslyFormattedCitation":"&lt;sup&gt;19,20&lt;/sup&gt;"},"properties":{"noteIndex":0},"schema":"https://github.com/citation-style-language/schema/raw/master/csl-citation.json"}</w:instrText>
      </w:r>
      <w:r w:rsidR="00F0446F">
        <w:rPr>
          <w:rFonts w:ascii="Calibri" w:hAnsi="Calibri" w:cs="Calibri"/>
          <w:color w:val="000000" w:themeColor="text1"/>
        </w:rPr>
        <w:fldChar w:fldCharType="separate"/>
      </w:r>
      <w:r w:rsidR="00F0446F" w:rsidRPr="00F0446F">
        <w:rPr>
          <w:rFonts w:ascii="Calibri" w:hAnsi="Calibri" w:cs="Calibri"/>
          <w:noProof/>
          <w:color w:val="000000" w:themeColor="text1"/>
          <w:vertAlign w:val="superscript"/>
        </w:rPr>
        <w:t>19,20</w:t>
      </w:r>
      <w:r w:rsidR="00F0446F">
        <w:rPr>
          <w:rFonts w:ascii="Calibri" w:hAnsi="Calibri" w:cs="Calibri"/>
          <w:color w:val="000000" w:themeColor="text1"/>
        </w:rPr>
        <w:fldChar w:fldCharType="end"/>
      </w:r>
      <w:r w:rsidR="00B42FA2">
        <w:rPr>
          <w:rFonts w:ascii="Calibri" w:hAnsi="Calibri" w:cs="Calibri"/>
          <w:color w:val="000000" w:themeColor="text1"/>
        </w:rPr>
        <w:t xml:space="preserve"> Thus, in a</w:t>
      </w:r>
      <w:r w:rsidR="00B42FA2" w:rsidRPr="00A63F87">
        <w:rPr>
          <w:rFonts w:ascii="Calibri" w:hAnsi="Calibri" w:cs="Calibri"/>
          <w:color w:val="000000" w:themeColor="text1"/>
        </w:rPr>
        <w:t xml:space="preserve"> prospective study including 86 patients with TGA post Mustard repair or ccTGA, authors demonstrated that </w:t>
      </w:r>
      <w:r w:rsidR="00B42FA2">
        <w:rPr>
          <w:rFonts w:ascii="Calibri" w:hAnsi="Calibri" w:cs="Calibri"/>
          <w:color w:val="000000" w:themeColor="text1"/>
        </w:rPr>
        <w:t>end-diastolic diameter</w:t>
      </w:r>
      <w:r w:rsidR="00B42FA2" w:rsidRPr="00A63F87">
        <w:rPr>
          <w:rFonts w:ascii="Calibri" w:hAnsi="Calibri" w:cs="Calibri"/>
          <w:color w:val="000000" w:themeColor="text1"/>
        </w:rPr>
        <w:t xml:space="preserve"> of the subpulmonary LV was associated with both primary (all-cause mortality or heart failure) and secondary (all-</w:t>
      </w:r>
      <w:r w:rsidR="00B42FA2" w:rsidRPr="00C62775">
        <w:rPr>
          <w:rFonts w:ascii="Calibri" w:hAnsi="Calibri" w:cs="Calibri"/>
          <w:color w:val="000000" w:themeColor="text1"/>
        </w:rPr>
        <w:t>cause mortality or arrhythmia) study end points.</w:t>
      </w:r>
      <w:r w:rsidR="00B42FA2" w:rsidRPr="00C62775">
        <w:rPr>
          <w:rFonts w:ascii="Calibri" w:hAnsi="Calibri" w:cs="Calibri"/>
          <w:color w:val="000000" w:themeColor="text1"/>
        </w:rPr>
        <w:fldChar w:fldCharType="begin" w:fldLock="1"/>
      </w:r>
      <w:r w:rsidR="00F0446F">
        <w:rPr>
          <w:rFonts w:ascii="Calibri" w:hAnsi="Calibri" w:cs="Calibri"/>
          <w:color w:val="000000" w:themeColor="text1"/>
        </w:rPr>
        <w:instrText>ADDIN CSL_CITATION {"citationItems":[{"id":"ITEM-1","itemData":{"DOI":"10.1161/JAHA.119.013745","ISSN":"2047-9980 (Electronic)","PMID":"31431113","abstract":"Background Adults with a systemic right ventricle (sRV) have a high risk of  cardiac complications. This study aimed to identify prognostic markers in adults with sRV based on clinical evaluation, echocardiography, and blood biomarkers. Methods and Results In this prospective cohort study, consecutive clinically stable adults with sRV caused by Mustard- or congenitally corrected transposition of the great arteries were included (2011-2013). Eighty-six patients were included (age 37±9 years, 65% male, 83% New York Heart Association functional class I, 76% Mustard transposition of the great arteries, 24% congenitally corrected transposition of the great arteries). Venous blood sampling was performed including N-terminal pro B-type natriuretic peptide, high-sensitive-troponin-T, high-sensitivity C-reactive protein, growth differentiation factor-15, galectin-3, red cell distribution width, estimated glomerular filtration rate, and hemoglobin. Besides conventional echocardiographic measurements, longitudinal, circumferential, and radial strain were assessed using strain analysis. During a median follow-up of 5.9 (interquartile range 5.3-6.3) years, 19 (22%) patients died or had heart failure (primary end point) and 29 (34%) patients died or had arrhythmia (secondary end point). Univariable Cox regression analysis was performed using dichotomous or standardized continuous variables. New York Heart Association functional class &gt;I, systolic blood pressure, and most blood biomarkers were associated with the primary and secondary end point (galectin-3 not for primary, N-terminal pro B-type natriuretic peptide and high-sensitivity C-reactive protein not for secondary end point). Growth differentiation factor-15 showed the strongest association with both end points (hazard ratios; 2.44 [95% CI 1.67-3.57, P&lt;0.001], 2.00 [95% CI 1.46-2.73, P&lt;0.001], respectively). End-diastolic basal dimension of the subpulmonary ventricle was associated with both end points (hazard ratio: 1.95 [95% CI 1.34-2.85], P&lt;0.001, 1.70 [95% CI 1.21-2.38, P=0.002], respectively). Concerning strain analysis, only sRV septal strain was associated with the secondary end point (hazard ratio 0.58 [95% CI 0.39-0.86], P=0.006). Conclusions Clinical, conventional echocardiographic, and blood measurements are important markers for risk stratification in adults with a sRV. The value of novel echocardiographic strain analysis seems limited.","author":[{"dropping-particle":"","family":"Geenen","given":"Laurie W","non-dropping-particle":"","parse-names":false,"suffix":""},{"dropping-particle":"","family":"Grootel","given":"Roderick W J","non-dropping-particle":"van","parse-names":false,"suffix":""},{"dropping-particle":"","family":"Akman","given":"Korhan","non-dropping-particle":"","parse-names":false,"suffix":""},{"dropping-particle":"","family":"Baggen","given":"Vivan J M","non-dropping-particle":"","parse-names":false,"suffix":""},{"dropping-particle":"","family":"Menting","given":"Myrthe E","non-dropping-particle":"","parse-names":false,"suffix":""},{"dropping-particle":"","family":"Eindhoven","given":"Jannet A","non-dropping-particle":"","parse-names":false,"suffix":""},{"dropping-particle":"","family":"Cuypers","given":"Judith A A E","non-dropping-particle":"","parse-names":false,"suffix":""},{"dropping-particle":"","family":"Boersma","given":"Eric","non-dropping-particle":"","parse-names":false,"suffix":""},{"dropping-particle":"","family":"Bosch","given":"Annemien E","non-dropping-particle":"van den","parse-names":false,"suffix":""},{"dropping-particle":"","family":"Roos-Hesselink","given":"Jolien W","non-dropping-particle":"","parse-names":false,"suffix":""}],"container-title":"Journal of the American Heart Association","id":"ITEM-1","issue":"17","issued":{"date-parts":[["2019","9"]]},"language":"eng","page":"e013745","title":"Exploring the Prognostic Value of Novel Markers in Adults With a Systemic Right  Ventricle.","type":"article-journal","volume":"8"},"uris":["http://www.mendeley.com/documents/?uuid=6aec5324-561b-4674-9f78-259402eacf17"]}],"mendeley":{"formattedCitation":"&lt;sup&gt;19&lt;/sup&gt;","plainTextFormattedCitation":"19","previouslyFormattedCitation":"&lt;sup&gt;19&lt;/sup&gt;"},"properties":{"noteIndex":0},"schema":"https://github.com/citation-style-language/schema/raw/master/csl-citation.json"}</w:instrText>
      </w:r>
      <w:r w:rsidR="00B42FA2" w:rsidRPr="00C62775">
        <w:rPr>
          <w:rFonts w:ascii="Calibri" w:hAnsi="Calibri" w:cs="Calibri"/>
          <w:color w:val="000000" w:themeColor="text1"/>
        </w:rPr>
        <w:fldChar w:fldCharType="separate"/>
      </w:r>
      <w:r w:rsidR="00F0446F" w:rsidRPr="00F0446F">
        <w:rPr>
          <w:rFonts w:ascii="Calibri" w:hAnsi="Calibri" w:cs="Calibri"/>
          <w:noProof/>
          <w:color w:val="000000" w:themeColor="text1"/>
          <w:vertAlign w:val="superscript"/>
        </w:rPr>
        <w:t>19</w:t>
      </w:r>
      <w:r w:rsidR="00B42FA2" w:rsidRPr="00C62775">
        <w:rPr>
          <w:rFonts w:ascii="Calibri" w:hAnsi="Calibri" w:cs="Calibri"/>
          <w:color w:val="000000" w:themeColor="text1"/>
        </w:rPr>
        <w:fldChar w:fldCharType="end"/>
      </w:r>
      <w:r w:rsidR="00B42FA2" w:rsidRPr="00C62775">
        <w:rPr>
          <w:rFonts w:ascii="Calibri" w:hAnsi="Calibri" w:cs="Calibri"/>
          <w:color w:val="000000" w:themeColor="text1"/>
        </w:rPr>
        <w:t xml:space="preserve"> In a smaller CMR study including 33 patients with the SRV, increase of LV end-diastolic volume and stroke v</w:t>
      </w:r>
      <w:r w:rsidR="00B42FA2">
        <w:rPr>
          <w:rFonts w:ascii="Calibri" w:hAnsi="Calibri" w:cs="Calibri"/>
          <w:color w:val="000000" w:themeColor="text1"/>
        </w:rPr>
        <w:t>o</w:t>
      </w:r>
      <w:r w:rsidR="00B42FA2" w:rsidRPr="00C62775">
        <w:rPr>
          <w:rFonts w:ascii="Calibri" w:hAnsi="Calibri" w:cs="Calibri"/>
          <w:color w:val="000000" w:themeColor="text1"/>
        </w:rPr>
        <w:t xml:space="preserve">lume at rest and during CMR-exercise test were associated with heart failure, arrhythmias and sudden cardiac death. </w:t>
      </w:r>
      <w:r w:rsidR="00B42FA2" w:rsidRPr="00C62775">
        <w:rPr>
          <w:rFonts w:ascii="Calibri" w:hAnsi="Calibri" w:cs="Calibri"/>
          <w:color w:val="000000" w:themeColor="text1"/>
        </w:rPr>
        <w:fldChar w:fldCharType="begin" w:fldLock="1"/>
      </w:r>
      <w:r w:rsidR="00B42FA2">
        <w:rPr>
          <w:rFonts w:ascii="Calibri" w:hAnsi="Calibri" w:cs="Calibri"/>
          <w:color w:val="000000" w:themeColor="text1"/>
        </w:rPr>
        <w:instrText>ADDIN CSL_CITATION {"citationItems":[{"id":"ITEM-1","itemData":{"DOI":"10.1093/ehjci/jeab086","ISSN":"2047-2412 (Electronic)","PMID":"34059878","abstract":"AIMS: Early recognition of adverse remodelling is important since outcome is  unfavorable once patients with a systemic right ventricle (sRV) become symptomatic. We aimed assessing prognostic markers linked to short-term clinical evolution in this population. METHODS AND RESULTS: Thirty-three patients (76% male) with sRV (atrial switch repair for D-transposition of the great arteries and congenitally corrected transposition of the great arteries) underwent detailed phenotyping including exercise cardiac magnetic resonance and were followed over mean follow-up time of 3 years. Mean age was 40 ± 8 (range 26-57) years at latest follow-up. Adverse outcome was a composite of heart failure (HF) and tachyarrhythmia. Descriptive statistics and univariate cox regression analyses were performed. When compared with baseline: (i) most patients remained in New York Heart Association functional class I (76%), (ii) the degree of severity of the systemic atrioventricular valve regurgitation rose, and (iii) more electrical instability was documented at latest follow-up. Six (18%) of a total of 9 events were counted as first cardiovascular events (9% HF and 9% arrhythmia). NT-proBNP, oxygen pulse, left ventricle end-diastolic volume index (LVEDVi), and stroke volume index (SVi) of the subpulmonary left ventricle (LV) both in rest and at peak exercise were significantly associated with the first cardiovascular event. CONCLUSION: NT-proBNP was by far the best prognostic marker for clinical outcome. Adverse remodelling with increase of LVEDVi and SVi of the subpulmonary LV at rest and during exercise were associated with worse clinical outcome. We theorize that remodelling of the subpulmonary ventricle might be an early sign of a failing sRV circulation.","author":[{"dropping-particle":"","family":"Santens","given":"Béatrice","non-dropping-particle":"","parse-names":false,"suffix":""},{"dropping-particle":"","family":"Helsen","given":"Frederik","non-dropping-particle":"","parse-names":false,"suffix":""},{"dropping-particle":"","family":"Bruaene","given":"Alexander","non-dropping-particle":"Van De","parse-names":false,"suffix":""},{"dropping-particle":"","family":"Meester","given":"Pieter","non-dropping-particle":"De","parse-names":false,"suffix":""},{"dropping-particle":"","family":"Budts","given":"Anne-Laure","non-dropping-particle":"","parse-names":false,"suffix":""},{"dropping-particle":"","family":"Troost","given":"Els","non-dropping-particle":"","parse-names":false,"suffix":""},{"dropping-particle":"","family":"Moons","given":"Philip","non-dropping-particle":"","parse-names":false,"suffix":""},{"dropping-particle":"","family":"Claus","given":"Piet","non-dropping-particle":"","parse-names":false,"suffix":""},{"dropping-particle":"","family":"Rega","given":"Filip","non-dropping-particle":"","parse-names":false,"suffix":""},{"dropping-particle":"","family":"Bogaert","given":"Jan","non-dropping-particle":"","parse-names":false,"suffix":""},{"dropping-particle":"","family":"Budts","given":"Werner","non-dropping-particle":"","parse-names":false,"suffix":""}],"container-title":"European heart journal. Cardiovascular Imaging","id":"ITEM-1","issue":"5","issued":{"date-parts":[["2022","4"]]},"language":"eng","page":"680-688","publisher-place":"England","title":"Adverse functional remodelling of the subpulmonary left ventricle in patients  with a systemic right ventricle is associated with clinical outcome.","type":"article-journal","volume":"23"},"uris":["http://www.mendeley.com/documents/?uuid=331ad16d-597c-4c15-b20b-137352b44dd1"]}],"mendeley":{"formattedCitation":"&lt;sup&gt;20&lt;/sup&gt;","plainTextFormattedCitation":"20","previouslyFormattedCitation":"&lt;sup&gt;20&lt;/sup&gt;"},"properties":{"noteIndex":0},"schema":"https://github.com/citation-style-language/schema/raw/master/csl-citation.json"}</w:instrText>
      </w:r>
      <w:r w:rsidR="00B42FA2" w:rsidRPr="00C62775">
        <w:rPr>
          <w:rFonts w:ascii="Calibri" w:hAnsi="Calibri" w:cs="Calibri"/>
          <w:color w:val="000000" w:themeColor="text1"/>
        </w:rPr>
        <w:fldChar w:fldCharType="separate"/>
      </w:r>
      <w:r w:rsidR="00B42FA2" w:rsidRPr="007E12C6">
        <w:rPr>
          <w:rFonts w:ascii="Calibri" w:hAnsi="Calibri" w:cs="Calibri"/>
          <w:noProof/>
          <w:color w:val="000000" w:themeColor="text1"/>
          <w:vertAlign w:val="superscript"/>
        </w:rPr>
        <w:t>20</w:t>
      </w:r>
      <w:r w:rsidR="00B42FA2" w:rsidRPr="00C62775">
        <w:rPr>
          <w:rFonts w:ascii="Calibri" w:hAnsi="Calibri" w:cs="Calibri"/>
          <w:color w:val="000000" w:themeColor="text1"/>
        </w:rPr>
        <w:fldChar w:fldCharType="end"/>
      </w:r>
    </w:p>
    <w:p w14:paraId="19F57990" w14:textId="126BF49A" w:rsidR="00A85D18" w:rsidRDefault="00751060" w:rsidP="00EE5006">
      <w:pPr>
        <w:widowControl w:val="0"/>
        <w:tabs>
          <w:tab w:val="left" w:pos="90"/>
        </w:tabs>
        <w:autoSpaceDE w:val="0"/>
        <w:autoSpaceDN w:val="0"/>
        <w:adjustRightInd w:val="0"/>
        <w:spacing w:line="480" w:lineRule="auto"/>
        <w:jc w:val="both"/>
        <w:rPr>
          <w:rFonts w:ascii="Calibri" w:hAnsi="Calibri" w:cs="Calibri"/>
          <w:color w:val="000000" w:themeColor="text1"/>
        </w:rPr>
      </w:pPr>
      <w:r>
        <w:rPr>
          <w:rFonts w:ascii="Calibri" w:hAnsi="Calibri" w:cs="Calibri"/>
          <w:color w:val="000000" w:themeColor="text1"/>
        </w:rPr>
        <w:t xml:space="preserve"> Our study on a much larger population, using quantitative assessment of LV size and function, confirmed the prognostic implications of subpulmonary LV </w:t>
      </w:r>
      <w:r w:rsidR="00A85D18">
        <w:rPr>
          <w:rFonts w:ascii="Calibri" w:hAnsi="Calibri" w:cs="Calibri"/>
          <w:color w:val="000000" w:themeColor="text1"/>
        </w:rPr>
        <w:t>parameter</w:t>
      </w:r>
      <w:r>
        <w:rPr>
          <w:rFonts w:ascii="Calibri" w:hAnsi="Calibri" w:cs="Calibri"/>
          <w:color w:val="000000" w:themeColor="text1"/>
        </w:rPr>
        <w:t xml:space="preserve">s in patients with </w:t>
      </w:r>
      <w:proofErr w:type="gramStart"/>
      <w:r>
        <w:rPr>
          <w:rFonts w:ascii="Calibri" w:hAnsi="Calibri" w:cs="Calibri"/>
          <w:color w:val="000000" w:themeColor="text1"/>
        </w:rPr>
        <w:t>a</w:t>
      </w:r>
      <w:proofErr w:type="gramEnd"/>
      <w:r>
        <w:rPr>
          <w:rFonts w:ascii="Calibri" w:hAnsi="Calibri" w:cs="Calibri"/>
          <w:color w:val="000000" w:themeColor="text1"/>
        </w:rPr>
        <w:t xml:space="preserve"> SRV.</w:t>
      </w:r>
      <w:r w:rsidR="00476CE1" w:rsidRPr="00A63F87">
        <w:rPr>
          <w:rFonts w:ascii="Calibri" w:hAnsi="Calibri" w:cs="Calibri"/>
          <w:color w:val="000000" w:themeColor="text1"/>
        </w:rPr>
        <w:t xml:space="preserve"> </w:t>
      </w:r>
      <w:r w:rsidR="000B62ED">
        <w:rPr>
          <w:rFonts w:ascii="Calibri" w:hAnsi="Calibri" w:cs="Calibri"/>
          <w:color w:val="000000" w:themeColor="text1"/>
        </w:rPr>
        <w:t>It also</w:t>
      </w:r>
      <w:r w:rsidR="000B62ED" w:rsidRPr="000B62ED">
        <w:rPr>
          <w:rFonts w:ascii="Calibri" w:hAnsi="Calibri" w:cs="Calibri"/>
          <w:color w:val="000000" w:themeColor="text1"/>
        </w:rPr>
        <w:t xml:space="preserve"> clearly demonstrate</w:t>
      </w:r>
      <w:r w:rsidR="000B62ED">
        <w:rPr>
          <w:rFonts w:ascii="Calibri" w:hAnsi="Calibri" w:cs="Calibri"/>
          <w:color w:val="000000" w:themeColor="text1"/>
        </w:rPr>
        <w:t>d</w:t>
      </w:r>
      <w:r w:rsidR="000B62ED" w:rsidRPr="000B62ED">
        <w:rPr>
          <w:rFonts w:ascii="Calibri" w:hAnsi="Calibri" w:cs="Calibri"/>
          <w:color w:val="000000" w:themeColor="text1"/>
        </w:rPr>
        <w:t xml:space="preserve"> that subpulmonary LV characteristics are strongly associated with mortality or transplantation, independent of SRV status or the presence of PAH</w:t>
      </w:r>
      <w:r w:rsidR="000B62ED">
        <w:rPr>
          <w:rFonts w:ascii="Calibri" w:hAnsi="Calibri" w:cs="Calibri"/>
          <w:color w:val="000000" w:themeColor="text1"/>
        </w:rPr>
        <w:t>.</w:t>
      </w:r>
      <w:r w:rsidR="000B62ED" w:rsidRPr="000B62ED">
        <w:rPr>
          <w:rFonts w:ascii="Calibri" w:hAnsi="Calibri" w:cs="Calibri"/>
          <w:color w:val="000000" w:themeColor="text1"/>
        </w:rPr>
        <w:t xml:space="preserve"> </w:t>
      </w:r>
      <w:r>
        <w:rPr>
          <w:rFonts w:ascii="Calibri" w:hAnsi="Calibri" w:cs="Calibri"/>
          <w:color w:val="000000" w:themeColor="text1"/>
        </w:rPr>
        <w:t>The mechanisms by which the subpulmonary LV is affected in this condition are not well established.</w:t>
      </w:r>
      <w:r w:rsidRPr="00DD7089">
        <w:rPr>
          <w:rFonts w:ascii="Calibri" w:hAnsi="Calibri" w:cs="Calibri"/>
          <w:color w:val="000000" w:themeColor="text1"/>
        </w:rPr>
        <w:t xml:space="preserve"> </w:t>
      </w:r>
      <w:r w:rsidR="00DF5F73">
        <w:rPr>
          <w:rFonts w:ascii="Calibri" w:hAnsi="Calibri" w:cs="Calibri"/>
          <w:color w:val="000000" w:themeColor="text1"/>
        </w:rPr>
        <w:t xml:space="preserve">Ventricular-ventricular interaction in the presence of a dilated and hypertrophied </w:t>
      </w:r>
      <w:r w:rsidR="00A85D18">
        <w:rPr>
          <w:rFonts w:ascii="Calibri" w:hAnsi="Calibri" w:cs="Calibri"/>
          <w:color w:val="000000" w:themeColor="text1"/>
        </w:rPr>
        <w:t>S</w:t>
      </w:r>
      <w:r w:rsidR="00DF5F73">
        <w:rPr>
          <w:rFonts w:ascii="Calibri" w:hAnsi="Calibri" w:cs="Calibri"/>
          <w:color w:val="000000" w:themeColor="text1"/>
        </w:rPr>
        <w:t xml:space="preserve">RV, and significant deviation of the ventricular septum is likely to affect the systolic and diastolic characteristics of the </w:t>
      </w:r>
      <w:r w:rsidRPr="00DD7089">
        <w:rPr>
          <w:rFonts w:ascii="Calibri" w:hAnsi="Calibri" w:cs="Calibri"/>
          <w:color w:val="000000" w:themeColor="text1"/>
        </w:rPr>
        <w:t>subpulmonary LV</w:t>
      </w:r>
      <w:r w:rsidR="00DF5F73">
        <w:rPr>
          <w:rFonts w:ascii="Calibri" w:hAnsi="Calibri" w:cs="Calibri"/>
          <w:color w:val="000000" w:themeColor="text1"/>
        </w:rPr>
        <w:t>.</w:t>
      </w:r>
      <w:r w:rsidR="00A85D18">
        <w:rPr>
          <w:rFonts w:ascii="Calibri" w:hAnsi="Calibri" w:cs="Calibri"/>
          <w:color w:val="000000" w:themeColor="text1"/>
        </w:rPr>
        <w:fldChar w:fldCharType="begin" w:fldLock="1"/>
      </w:r>
      <w:r w:rsidR="00A85D18">
        <w:rPr>
          <w:rFonts w:ascii="Calibri" w:hAnsi="Calibri" w:cs="Calibri"/>
          <w:color w:val="000000" w:themeColor="text1"/>
        </w:rPr>
        <w:instrText>ADDIN CSL_CITATION {"citationItems":[{"id":"ITEM-1","itemData":{"DOI":"10.1152/japplphysiol.00255.2018","ISSN":"1522-1601 (Electronic)","PMID":"30188795","abstract":"Atrial switch operation in patients with transposition of the great arteries (TGA) leads to leftward shift and changes the geometry of the interventricular septum. By including the implications of regional work and septal curvature, this study investigates if changes in septal function and geometry contribute to reduced function of the systemic right ventricle (RV) in adult TGA patients. Regional myocardial work estimation has been possible by applying a recently developed method for noninvasive work calculation based on echocardiography. In 14 TGA patients (32 +/- 6 yr, means +/- SD) and 14 healthy controls, systemic ventricular systolic strains were measured by speckle tracking echocardiography and regional work was calculated by pressure-strain analysis. In TGA patients, septal longitudinal strain was reduced to -14 +/- 2 vs. -20 +/- 2% in controls ( P &lt; 0.01) and septal work was reduced from 2,046 +/- 318 to 1,146 +/- 260 mmHg.% ( P &lt; 0.01). Septal circumferential strain measured in a subgroup of patients was reduced to -11 +/- 3 vs. -27 +/- 3% in controls ( P &lt; 0.01), and a reduction of septal work (540 +/- 273 vs. 2,663 +/- 459 mmHg.%) was seen ( P &lt; 0.01). These reductions were in part attributed to elevated afterload due to increased radius of curvature of the leftward shifted septum. To conclude, in this mechanistic study we demonstrate that septal dysfunction contributes to failure of the systemic RV after atrial switch in TGA patients. This is potentially a long-term response to increased afterload due to a flatter septum and suggests that medical therapy that counteracts septal flattening may improve function of the systemic RV. NEW &amp; NOTEWORTHY We have demonstrated that transposition of the great arteries patients with systemic right ventricles (RVs) have reduced function of the interventricular septum (IVS). Since the IVS is constructed to eject into the systemic circulation, it may seem unexpected that it does not maintain function when being part of the systemic RV. By applying the principles of regional work, wall tension, and geometry, we have identified unfavorable working conditions for the IVS when the RV adapts to systemic pressures.","author":[{"dropping-particle":"","family":"Storsten","given":"Petter","non-dropping-particle":"","parse-names":false,"suffix":""},{"dropping-particle":"","family":"Eriksen","given":"Morten","non-dropping-particle":"","parse-names":false,"suffix":""},{"dropping-particle":"","family":"Remme","given":"Espen W","non-dropping-particle":"","parse-names":false,"suffix":""},{"dropping-particle":"","family":"Boe","given":"Espen","non-dropping-particle":"","parse-names":false,"suffix":""},{"dropping-particle":"","family":"Erikssen","given":"Gunnar","non-dropping-particle":"","parse-names":false,"suffix":""},{"dropping-particle":"","family":"Smiseth","given":"Otto A","non-dropping-particle":"","parse-names":false,"suffix":""},{"dropping-particle":"","family":"Skulstad","given":"Helge","non-dropping-particle":"","parse-names":false,"suffix":""}],"container-title":"Journal of applied physiology (Bethesda, Md. : 1985)","id":"ITEM-1","issue":"5","issued":{"date-parts":[["2018","11"]]},"language":"eng","page":"1482-1489","publisher-place":"United States","title":"Dysfunction of the systemic right ventricle after atrial switch: physiological implications of altered septal geometry and load.","type":"article-journal","volume":"125"},"uris":["http://www.mendeley.com/documents/?uuid=2b0b5d11-f900-46d7-927a-41c1c6995059"]},{"id":"ITEM-2","itemData":{"DOI":"10.1016/j.ijcard.2010.05.078","ISSN":"0167-5273","author":[{"dropping-particle":"","family":"Chow","given":"Pak-cheong","non-dropping-particle":"","parse-names":false,"suffix":""},{"dropping-particle":"","family":"Liang","given":"Xue-cun","non-dropping-particle":"","parse-names":false,"suffix":""},{"dropping-particle":"","family":"Cheung","given":"Yiu-fai","non-dropping-particle":"","parse-names":false,"suffix":""}],"container-title":"International Journal of Cardiology","id":"ITEM-2","issue":"1","issued":{"date-parts":[["2011","10","6"]]},"note":"doi: 10.1016/j.ijcard.2010.05.078","page":"28-34","publisher":"Elsevier","title":"Diastolic ventricular interaction in patients after atrial switch for transposition of the great arteries: A speckle tracking echocardiographic study","type":"article-journal","volume":"152"},"uris":["http://www.mendeley.com/documents/?uuid=0d0eda8e-6bfb-44d5-8086-968e69940bfd"]}],"mendeley":{"formattedCitation":"&lt;sup&gt;21,22&lt;/sup&gt;","plainTextFormattedCitation":"21,22","previouslyFormattedCitation":"&lt;sup&gt;21,22&lt;/sup&gt;"},"properties":{"noteIndex":0},"schema":"https://github.com/citation-style-language/schema/raw/master/csl-citation.json"}</w:instrText>
      </w:r>
      <w:r w:rsidR="00A85D18">
        <w:rPr>
          <w:rFonts w:ascii="Calibri" w:hAnsi="Calibri" w:cs="Calibri"/>
          <w:color w:val="000000" w:themeColor="text1"/>
        </w:rPr>
        <w:fldChar w:fldCharType="separate"/>
      </w:r>
      <w:r w:rsidR="00A85D18" w:rsidRPr="00A85D18">
        <w:rPr>
          <w:rFonts w:ascii="Calibri" w:hAnsi="Calibri" w:cs="Calibri"/>
          <w:noProof/>
          <w:color w:val="000000" w:themeColor="text1"/>
          <w:vertAlign w:val="superscript"/>
        </w:rPr>
        <w:t>21,22</w:t>
      </w:r>
      <w:r w:rsidR="00A85D18">
        <w:rPr>
          <w:rFonts w:ascii="Calibri" w:hAnsi="Calibri" w:cs="Calibri"/>
          <w:color w:val="000000" w:themeColor="text1"/>
        </w:rPr>
        <w:fldChar w:fldCharType="end"/>
      </w:r>
      <w:r w:rsidR="00DF5F73">
        <w:rPr>
          <w:rFonts w:ascii="Calibri" w:hAnsi="Calibri" w:cs="Calibri"/>
          <w:color w:val="000000" w:themeColor="text1"/>
        </w:rPr>
        <w:t xml:space="preserve"> </w:t>
      </w:r>
      <w:r w:rsidR="00DF5F73" w:rsidRPr="00DD7089">
        <w:rPr>
          <w:rFonts w:ascii="Calibri" w:hAnsi="Calibri" w:cs="Calibri"/>
          <w:color w:val="000000" w:themeColor="text1"/>
        </w:rPr>
        <w:t>This is supported by studies demonstrating correlation of echocardiographic parameters of SRV and subpulmonary LV systolic function.</w:t>
      </w:r>
      <w:r w:rsidR="00DF5F73" w:rsidRPr="00DD7089">
        <w:rPr>
          <w:rFonts w:ascii="Calibri" w:hAnsi="Calibri" w:cs="Calibri"/>
          <w:color w:val="000000" w:themeColor="text1"/>
        </w:rPr>
        <w:fldChar w:fldCharType="begin" w:fldLock="1"/>
      </w:r>
      <w:r w:rsidR="00A85D18">
        <w:rPr>
          <w:rFonts w:ascii="Calibri" w:hAnsi="Calibri" w:cs="Calibri"/>
          <w:color w:val="000000" w:themeColor="text1"/>
        </w:rPr>
        <w:instrText>ADDIN CSL_CITATION {"citationItems":[{"id":"ITEM-1","itemData":{"DOI":"10.1016/j.ahj.2012.01.038","ISSN":"1097-6744 (Electronic)","PMID":"22607865","abstract":"BACKGROUND: Transposition of the great arteries (TGA) after atrial switch operation and congenitally corrected TGA (ccTGA) are commonly associated with impaired systemic right ventricular (RV) function and impaired prognosis. We aimed to investigate the value of indices of myocardial deformation on speckle-tracking echocardiography for quantifying ventricular function and their potential role in assessing ventricular-ventricular interaction and outcome in patients with a systemic RV. METHODS AND RESULTS: A total of 129 patients (87 with TGA and atrial switch and 42 with ccTGA, 71 men, age 35 +/- 12 years) were investigated, and biventricular myocardial deformation was compared with findings in healthy subjects (n = 38, age 36 +/- 10 years). Systemic ventricular longitudinal 2-dimensional (2D) peak systolic strain (RV 2D-LS) was significantly reduced compared with controls (-12.9 +/- 3.6 and -15.4 +/- 5.1 vs -21.0 +/- 5.5 in TGAs, ccTGAs, and controls, P &lt; .0001). Systemic and pulmonary 2D-LS were correlated in patients with TGA (r = 0.46, P &lt; .0001) and ccTGA (r = 0.64, P &lt; .0001), suggesting interventricular interaction, and this was confirmed when ejection fraction on magnetic resonance imaging was assessed (r = 0.53, P &lt; .0001). More importantly, systemic 2D-LS (hazard ratio 1.31, P = .01) was related to adverse clinical outcome (symptomatic progression to New York Heart Association class &gt;/=3, clinically relevant cardiac arrhythmia, or death) in patients with TGA and atrial switch independently of ejection fraction on cardiac magnetic resonance imaging, history of clinically relevant arrhythmia, or functional class. CONCLUSIONS: Global longitudinal systolic strain is significantly reduced in patients with a systemic RV, is related to subpulmonary ventricular function, and predicts adverse clinical outcome in adults with atrial switch TGA.","author":[{"dropping-particle":"","family":"Diller","given":"Gerhard-Paul","non-dropping-particle":"","parse-names":false,"suffix":""},{"dropping-particle":"","family":"Radojevic","given":"Jelena","non-dropping-particle":"","parse-names":false,"suffix":""},{"dropping-particle":"","family":"Kempny","given":"Aleksander","non-dropping-particle":"","parse-names":false,"suffix":""},{"dropping-particle":"","family":"Alonso-Gonzalez","given":"Rafael","non-dropping-particle":"","parse-names":false,"suffix":""},{"dropping-particle":"","family":"Emmanouil","given":"Liodakis","non-dropping-particle":"","parse-names":false,"suffix":""},{"dropping-particle":"","family":"Orwat","given":"Stefan","non-dropping-particle":"","parse-names":false,"suffix":""},{"dropping-particle":"","family":"Swan","given":"Lorna","non-dropping-particle":"","parse-names":false,"suffix":""},{"dropping-particle":"","family":"Uebing","given":"Anselm","non-dropping-particle":"","parse-names":false,"suffix":""},{"dropping-particle":"","family":"Li","given":"Wei","non-dropping-particle":"","parse-names":false,"suffix":""},{"dropping-particle":"","family":"Dimopoulos","given":"Konstantinos","non-dropping-particle":"","parse-names":false,"suffix":""},{"dropping-particle":"","family":"Gatzoulis","given":"Michael A","non-dropping-particle":"","parse-names":false,"suffix":""},{"dropping-particle":"","family":"Baumgartner","given":"Helmut","non-dropping-particle":"","parse-names":false,"suffix":""}],"container-title":"American heart journal","id":"ITEM-1","issue":"5","issued":{"date-parts":[["2012","5"]]},"language":"eng","page":"859-866","publisher-place":"United States","title":"Systemic right ventricular longitudinal strain is reduced in adults with transposition of the great arteries, relates to subpulmonary ventricular function, and predicts adverse clinical outcome.","type":"article-journal","volume":"163"},"uris":["http://www.mendeley.com/documents/?uuid=b6e0fbc1-c1af-424b-85e9-8ed0e2d952f0"]},{"id":"ITEM-2","itemData":{"DOI":"10.1016/j.ijcard.2017.06.050","ISSN":"1874-1754 (Electronic)","PMID":"28629628","abstract":"BACKGROUND: In biventricular hearts the filling and contractility of one ventricle affects the performance of the other. In this study, we compared right ventricular systolic function and exercise capacity in patients with a subaortic right ventricle (RV) in relation to the presence of a left ventricular outflow tract obstruction (LVOTO). METHODS: Retrospective chart review of adults with congenitally corrected transposition of the great arteries (ccTGA) or with a previous atrial switch procedure for complete TGA (D-TGA). A LVOTO was defined by a peak instantaneous systolic gradient&gt;20mmHg. Right and left ventricular ejection fraction (EF) were measured by cardiac magnetic resonance imaging (CMR), and exercise capacity as the predicted peak oxygen consumption (peak VO2) on a cycle ergometer. RESULTS: We identified 79 clinically stable adults (age 33+/-10years, 70% male). Nine patients (11%) had cc-TGA and 70 patients had (89%) D-TGA. Thirteen patients (16%) had a LVOTO with a mean peak instantaneous systolic gradient of 43+/-22mmHg. Patients with a LVOTO had higher left (68+/-7% vs. 60+/-9%, p=0.01) and right ventricular EF (52+/-8 vs. 46+/-9%, p=0.05) by CMR compared to patients without LVOTO. In a multivariate regression analysis with left ventricular EF and LVOTO as predictors, only left ventricular EF was independently associated with right ventricular EF (correlation coefficient 0.41, p&lt;0.01). The presence of a LVOTO was not associated with improved exercise capacity. CONCLUSIONS: In adults with a subaortic RV, a pressure loaded subpulmonary left ventricle has a beneficial effect on systemic right ventricular EF.","author":[{"dropping-particle":"","family":"Stauber","given":"Annina","non-dropping-particle":"","parse-names":false,"suffix":""},{"dropping-particle":"","family":"Wey","given":"Celine","non-dropping-particle":"","parse-names":false,"suffix":""},{"dropping-particle":"","family":"Greutmann","given":"Matthias","non-dropping-particle":"","parse-names":false,"suffix":""},{"dropping-particle":"","family":"Tobler","given":"Daniel","non-dropping-particle":"","parse-names":false,"suffix":""},{"dropping-particle":"","family":"Wustmann","given":"Kerstin","non-dropping-particle":"","parse-names":false,"suffix":""},{"dropping-particle":"","family":"Wahl","given":"Andreas","non-dropping-particle":"","parse-names":false,"suffix":""},{"dropping-particle":"","family":"Valsangiacomo Buechel","given":"Emanuela R","non-dropping-particle":"","parse-names":false,"suffix":""},{"dropping-particle":"","family":"Wilhelm","given":"Matthias","non-dropping-particle":"","parse-names":false,"suffix":""},{"dropping-particle":"","family":"Schwerzmann","given":"Markus","non-dropping-particle":"","parse-names":false,"suffix":""}],"container-title":"International journal of cardiology","id":"ITEM-2","issued":{"date-parts":[["2017","10"]]},"language":"eng","page":"139-142","publisher-place":"Netherlands","title":"Left ventricular outflow tract obstruction and its impact on systolic ventricular function and exercise capacity in adults with a subaortic right ventricle.","type":"article-journal","volume":"244"},"uris":["http://www.mendeley.com/documents/?uuid=77ffb274-aea4-4c96-aaa8-f61aa88bf563"]},{"id":"ITEM-3","itemData":{"DOI":"10.1016/j.ijcard.2020.09.051","ISSN":"1874-1754 (Electronic)","PMID":"32987051","abstract":"BACKGROUND: The study aimed to assess the relation between echocardiographic  parameters of subpulmonary left ventricular (LV) size and function, and the severity of heart failure in patients with a systemic right ventricle (SRV). METHODS AND RESULTS: A total of 157 patients (89 post Mustard/Senning operations, 68 with congenitally corrected transposition of great arteries [ccTGA]) were included. The size and function of the SRV and subpulmonary LV were assessed on the most recent echocardiographic exam. Clinical data were collected from the electronic records. The majority (133, 84.7%) were in NYHA functional class 1-2. Median BNP concentration was 79.5[38.3-173.3] ng/l, and 100 (63.7%) patients were receiving heart failure therapy. Both LV and SRV fractional area change (FAC) differed significantly between patients with NYHA class 1-2 vs 3-4 (48[41.5-52.8]% vs 34[28.6-38.6]%, p &lt; 0.0001 and 29.5[23-35]% vs 22[20-27]%, p &lt; 0.0001, respectively), but LV FAC had a higher discriminative power for functional class &gt;2 than SRV FAC (AUC 0.90, p &lt; 0.0001 vs 0.79; p &lt; 0.0001, respectively). A LV FAC cut-off value &lt;39.2% had the highest accuracy in identifying patients with NYHA class 3-4 (sensitivity 83% and specificity 88%). In multivariable logistic regression analysis, LV FAC and SRV FAC independently associated to NYHA class 3-4 (OR 0.80 [95%CI 0.72-0.88], p &lt; 0.0001 and OR 0.85 [95%CI 0.76-0.96], p = 0.007, respectively). CONCLUSIONS: Subpulmonary LV systolic dysfunction is associated with NYHA functional class 3-4 in patients with ccTGA or after Mustard or Senning operation. Careful evaluation of the subpulmonary LV should be a part of the routine assessment of patients with a SRV.","author":[{"dropping-particle":"","family":"Surkova","given":"Elena","non-dropping-particle":"","parse-names":false,"suffix":""},{"dropping-particle":"","family":"Segura","given":"Teresa","non-dropping-particle":"","parse-names":false,"suffix":""},{"dropping-particle":"","family":"Dimopoulos","given":"Konstantinos","non-dropping-particle":"","parse-names":false,"suffix":""},{"dropping-particle":"","family":"Bispo","given":"Daniela","non-dropping-particle":"","parse-names":false,"suffix":""},{"dropping-particle":"","family":"Flick","given":"Caroline","non-dropping-particle":"","parse-names":false,"suffix":""},{"dropping-particle":"","family":"West","given":"Cathy","non-dropping-particle":"","parse-names":false,"suffix":""},{"dropping-particle":"V","family":"Babu-Narayan","given":"Sonya","non-dropping-particle":"","parse-names":false,"suffix":""},{"dropping-particle":"","family":"Senior","given":"Roxy","non-dropping-particle":"","parse-names":false,"suffix":""},{"dropping-particle":"","family":"Gatzoulis","given":"Michael A","non-dropping-particle":"","parse-names":false,"suffix":""},{"dropping-particle":"","family":"Li","given":"Wei","non-dropping-particle":"","parse-names":false,"suffix":""}],"container-title":"International journal of cardiology","id":"ITEM-3","issued":{"date-parts":[["2021","2"]]},"language":"eng","page":"66-71","publisher-place":"Netherlands","title":"Systolic dysfunction of the subpulmonary left ventricle is associated with the  severity of heart failure in patients with a systemic right ventricle.","type":"article-journal","volume":"324"},"uris":["http://www.mendeley.com/documents/?uuid=4f068205-b10f-4a76-8f07-d27dade0982b"]}],"mendeley":{"formattedCitation":"&lt;sup&gt;4,13,23&lt;/sup&gt;","plainTextFormattedCitation":"4,13,23","previouslyFormattedCitation":"&lt;sup&gt;4,13,23&lt;/sup&gt;"},"properties":{"noteIndex":0},"schema":"https://github.com/citation-style-language/schema/raw/master/csl-citation.json"}</w:instrText>
      </w:r>
      <w:r w:rsidR="00DF5F73" w:rsidRPr="00DD7089">
        <w:rPr>
          <w:rFonts w:ascii="Calibri" w:hAnsi="Calibri" w:cs="Calibri"/>
          <w:color w:val="000000" w:themeColor="text1"/>
        </w:rPr>
        <w:fldChar w:fldCharType="separate"/>
      </w:r>
      <w:r w:rsidR="00F0446F" w:rsidRPr="00F0446F">
        <w:rPr>
          <w:rFonts w:ascii="Calibri" w:hAnsi="Calibri" w:cs="Calibri"/>
          <w:noProof/>
          <w:color w:val="000000" w:themeColor="text1"/>
          <w:vertAlign w:val="superscript"/>
        </w:rPr>
        <w:t>4,13,23</w:t>
      </w:r>
      <w:r w:rsidR="00DF5F73" w:rsidRPr="00DD7089">
        <w:rPr>
          <w:rFonts w:ascii="Calibri" w:hAnsi="Calibri" w:cs="Calibri"/>
          <w:color w:val="000000" w:themeColor="text1"/>
        </w:rPr>
        <w:fldChar w:fldCharType="end"/>
      </w:r>
      <w:r w:rsidR="00DF5F73">
        <w:rPr>
          <w:rFonts w:ascii="Calibri" w:hAnsi="Calibri" w:cs="Calibri"/>
          <w:color w:val="000000" w:themeColor="text1"/>
        </w:rPr>
        <w:t xml:space="preserve"> An LV in the subpulmonary position, over time, typically loses its ability to function against a high afterload. Systemic RV dysfunction, tricuspid regurgitation, or stenosis of the pulmonary venous pathways </w:t>
      </w:r>
      <w:r w:rsidR="00DF5F73">
        <w:rPr>
          <w:rFonts w:ascii="Calibri" w:hAnsi="Calibri" w:cs="Calibri"/>
          <w:color w:val="000000" w:themeColor="text1"/>
        </w:rPr>
        <w:lastRenderedPageBreak/>
        <w:t>in patients after the atrial switch operation, can cause an increase in pulmonary artery pressures (post-capillary pulmonary hypertension) and can cause dilatation and/or dysfunction of the LV.</w:t>
      </w:r>
      <w:r w:rsidR="006314B5" w:rsidRPr="00483ADB">
        <w:rPr>
          <w:rFonts w:ascii="Calibri" w:hAnsi="Calibri" w:cs="Calibri"/>
          <w:color w:val="000000" w:themeColor="text1"/>
        </w:rPr>
        <w:fldChar w:fldCharType="begin" w:fldLock="1"/>
      </w:r>
      <w:r w:rsidR="00F0446F">
        <w:rPr>
          <w:rFonts w:ascii="Calibri" w:hAnsi="Calibri" w:cs="Calibri"/>
          <w:color w:val="000000" w:themeColor="text1"/>
        </w:rPr>
        <w:instrText>ADDIN CSL_CITATION {"citationItems":[{"id":"ITEM-1","itemData":{"DOI":"10.1016/j.ijcard.2021.03.064","ISSN":"1874-1754 (Electronic)","PMID":"33785393","author":[{"dropping-particle":"","family":"Surkova","given":"Elena","non-dropping-particle":"","parse-names":false,"suffix":""},{"dropping-particle":"","family":"Dimopoulos","given":"Konstantinos","non-dropping-particle":"","parse-names":false,"suffix":""},{"dropping-particle":"","family":"Li","given":"Wei","non-dropping-particle":"","parse-names":false,"suffix":""}],"container-title":"International journal of cardiology","id":"ITEM-1","issued":{"date-parts":[["2021","6"]]},"language":"eng","page":"69","publisher-place":"Netherlands","title":"Reply to: \"Systolic dysfunction of the subpulmonary left ventricle in the  systemic right ventricle: late manifestation or subclinical predictor of heart failure?\".","type":"article","volume":"332"},"uris":["http://www.mendeley.com/documents/?uuid=d9155f40-5312-4ea6-beee-5366fa1c89d3"]},{"id":"ITEM-2","itemData":{"DOI":"10.1136/heartjnl-2019-314756","ISSN":"1468-201X (Electronic)","PMID":"31053610","abstract":"OBJECTIVE: This study sought to determine the prevalence, predictors, prognostic  relevance and evolution of pulmonary hypertension (PH) (mean pulmonary artery pressure ≥25 mm Hg) in adult patients with a subaortic right ventricle (RV) in a biventricular circulation (2V-RV). METHODS: We analysed retrospective data from patients with 2V-RV undergoing cardiac catheterisation in our centre between 2000 and 2018. Echocardiographic assessment of subpulmonary ventricular pressures (left ventricular systolic pressure (LVSP)), age and B-type natriuretic peptide (BNP) were assessed as PH screening tools. Kaplan-Meier curves examined time to a composite outcome of death, transplant or ventricular assist device (VAD). Data from repeat catheterisations were analysed to evaluate PH changes over time, including the effects of therapy. RESULTS: A total of 141 patients (median age 39 (IQR 33-45) years, 68% men) underwent 191 cardiac catheterisations. At baseline, 55% had PH (isolated postcapillary 24%, combined precapillary and postcapillary 26% and precapillary 5%). BNP (area under the curve 0.80; 95% CI 0.72 to 0.88; p&lt;0.0001), but not age at catheterisation or echocardiographic estimates of LVSP were associated with the presence of PH. The absence of PH and BNP &lt;100 pg/mL discriminated a subgroup at very low risk during short-term (2.5 (1.3-3.9) years) follow-up (p&lt;0.0001). Diuretics, milrinone and VAD improved haemodynamics over time. CONCLUSION: PH is prevalent in patients with 2V-RV even when asymptomatic. It is difficult to identify by echocardiography and most importantly, is strongly associated with adverse outcomes. PH affects prognosis and transplant options for this patient group and yet is often amenable to treatment. Awareness of these results ought to lower the threshold for invasive haemodynamic assessment and may change the management of failing patients with 2V-RV.","author":[{"dropping-particle":"","family":"Bruaene","given":"Alexander","non-dropping-particle":"Van De","parse-names":false,"suffix":""},{"dropping-particle":"","family":"Toh","given":"Norihisa","non-dropping-particle":"","parse-names":false,"suffix":""},{"dropping-particle":"","family":"Hickey","given":"Edward J","non-dropping-particle":"","parse-names":false,"suffix":""},{"dropping-particle":"","family":"Benson","given":"Lee","non-dropping-particle":"","parse-names":false,"suffix":""},{"dropping-particle":"","family":"Horlick","given":"Eric","non-dropping-particle":"","parse-names":false,"suffix":""},{"dropping-particle":"","family":"Granton","given":"John T","non-dropping-particle":"","parse-names":false,"suffix":""},{"dropping-particle":"","family":"Williams","given":"William G","non-dropping-particle":"","parse-names":false,"suffix":""},{"dropping-particle":"","family":"Roche","given":"S Lucy","non-dropping-particle":"","parse-names":false,"suffix":""}],"container-title":"Heart (British Cardiac Society)","id":"ITEM-2","issue":"19","issued":{"date-parts":[["2019","10"]]},"language":"eng","page":"1471-1478","publisher-place":"England","title":"Pulmonary hypertension in patients with a subaortic right ventricle: prevalence,  impact and management.","type":"article-journal","volume":"105"},"uris":["http://www.mendeley.com/documents/?uuid=8cf99bc6-96e6-4542-a32b-3c6a0b943153"]}],"mendeley":{"formattedCitation":"&lt;sup&gt;24,25&lt;/sup&gt;","plainTextFormattedCitation":"24,25","previouslyFormattedCitation":"&lt;sup&gt;24,25&lt;/sup&gt;"},"properties":{"noteIndex":0},"schema":"https://github.com/citation-style-language/schema/raw/master/csl-citation.json"}</w:instrText>
      </w:r>
      <w:r w:rsidR="006314B5" w:rsidRPr="00483ADB">
        <w:rPr>
          <w:rFonts w:ascii="Calibri" w:hAnsi="Calibri" w:cs="Calibri"/>
          <w:color w:val="000000" w:themeColor="text1"/>
        </w:rPr>
        <w:fldChar w:fldCharType="separate"/>
      </w:r>
      <w:r w:rsidR="00F0446F" w:rsidRPr="00F0446F">
        <w:rPr>
          <w:rFonts w:ascii="Calibri" w:hAnsi="Calibri" w:cs="Calibri"/>
          <w:noProof/>
          <w:color w:val="000000" w:themeColor="text1"/>
          <w:vertAlign w:val="superscript"/>
        </w:rPr>
        <w:t>24,25</w:t>
      </w:r>
      <w:r w:rsidR="006314B5" w:rsidRPr="00483ADB">
        <w:rPr>
          <w:rFonts w:ascii="Calibri" w:hAnsi="Calibri" w:cs="Calibri"/>
          <w:color w:val="000000" w:themeColor="text1"/>
        </w:rPr>
        <w:fldChar w:fldCharType="end"/>
      </w:r>
      <w:r w:rsidR="00DF5F73">
        <w:rPr>
          <w:rFonts w:ascii="Calibri" w:hAnsi="Calibri" w:cs="Calibri"/>
          <w:color w:val="000000" w:themeColor="text1"/>
        </w:rPr>
        <w:t xml:space="preserve"> More rarely, patients with TGA develop pulmonary vascular disease, which also presents as combined pre- and post-capillary pulmonary hypertension and poses a significant load to the subpulmonary LV.</w:t>
      </w:r>
      <w:r w:rsidRPr="00DD7089">
        <w:rPr>
          <w:rFonts w:ascii="Calibri" w:hAnsi="Calibri" w:cs="Calibri"/>
          <w:color w:val="000000" w:themeColor="text1"/>
        </w:rPr>
        <w:t xml:space="preserve"> </w:t>
      </w:r>
      <w:r w:rsidR="006314B5">
        <w:rPr>
          <w:rFonts w:ascii="Calibri" w:hAnsi="Calibri" w:cs="Calibri"/>
          <w:color w:val="000000" w:themeColor="text1"/>
        </w:rPr>
        <w:t>S</w:t>
      </w:r>
      <w:r w:rsidRPr="00DD7089">
        <w:rPr>
          <w:rFonts w:ascii="Calibri" w:hAnsi="Calibri" w:cs="Calibri"/>
          <w:color w:val="000000" w:themeColor="text1"/>
        </w:rPr>
        <w:t>ignificant LV myocardial fibrosis</w:t>
      </w:r>
      <w:r w:rsidR="006314B5">
        <w:rPr>
          <w:rFonts w:ascii="Calibri" w:hAnsi="Calibri" w:cs="Calibri"/>
          <w:color w:val="000000" w:themeColor="text1"/>
        </w:rPr>
        <w:t xml:space="preserve"> has been described on</w:t>
      </w:r>
      <w:r w:rsidRPr="00DD7089">
        <w:rPr>
          <w:rFonts w:ascii="Calibri" w:hAnsi="Calibri" w:cs="Calibri"/>
          <w:color w:val="000000" w:themeColor="text1"/>
        </w:rPr>
        <w:t xml:space="preserve"> </w:t>
      </w:r>
      <w:r w:rsidR="006314B5">
        <w:rPr>
          <w:rFonts w:ascii="Calibri" w:hAnsi="Calibri" w:cs="Calibri"/>
          <w:color w:val="000000" w:themeColor="text1"/>
        </w:rPr>
        <w:t>cardiac magnetic resonance studies of patients after atrial switch repair of TGA.</w:t>
      </w:r>
      <w:r w:rsidR="00A85D18">
        <w:rPr>
          <w:rFonts w:ascii="Calibri" w:hAnsi="Calibri" w:cs="Calibri"/>
          <w:color w:val="000000" w:themeColor="text1"/>
        </w:rPr>
        <w:fldChar w:fldCharType="begin" w:fldLock="1"/>
      </w:r>
      <w:r w:rsidR="00A85D18">
        <w:rPr>
          <w:rFonts w:ascii="Calibri" w:hAnsi="Calibri" w:cs="Calibri"/>
          <w:color w:val="000000" w:themeColor="text1"/>
        </w:rPr>
        <w:instrText>ADDIN CSL_CITATION {"citationItems":[{"id":"ITEM-1","itemData":{"DOI":"10.1007/s10554-018-1338-9","ISSN":"1875-8312 (Electronic)","PMID":"29600485","abstract":"In adult patients with transposition of the great arteries (TGA) late after atrial switch operation (AtSO), each of the ventricles is faced with a profoundly different pressure regimen from the one they are meant to support in normal conditions. The extent of diffuse fibrosis of the right ventricle (RV) and left ventricle (LV) in these patients remains incompletely investigated. Aim of this study was to quantify the degree of fibrosis of the unloaded LV and of the overloaded RV by determining the myocardial extracellular volume (ECV) with non-invasive techniques as T1 mapping. We determined ECV by cardiac magnetic resonance (CMR) in 10 patients (36.8 +/- 5.3 years old) with TGA late after AtSO, without relevant pulmonary stenosis, by acquiring T1-maps of the myocardium before and 10 min after injection of Gadolinium-based contrast agent. ECV of the inferior wall (36% (33-41%)) and of the lateral wall (37% (35-39%)) of the LV was significantly increased compared to the ECV of the RV (27% (25-29%)), in both comparisons P &lt; 0.0001. Long-time LV unloading following atrial switch procedures leads to severe myocardial fibrosis of the subpulmonary LV. T1 mapping CMR might be useful for selection of patients with atrial switch operation, in whom reestablishment of the LV as a systemic ventricle by staged arterial switch operation is planned. However larger studies and newer higher resolution methods for T1-mapping are needed to determine the role of ECV in the decision of a surgical intervention in this kind of population.","author":[{"dropping-particle":"","family":"Shehu","given":"Nerejda","non-dropping-particle":"","parse-names":false,"suffix":""},{"dropping-particle":"","family":"Meierhofer","given":"Christian","non-dropping-particle":"","parse-names":false,"suffix":""},{"dropping-particle":"","family":"Messroghli","given":"Daniel","non-dropping-particle":"","parse-names":false,"suffix":""},{"dropping-particle":"","family":"Mkrtchyan","given":"Naira","non-dropping-particle":"","parse-names":false,"suffix":""},{"dropping-particle":"","family":"Martinoff","given":"Stefan","non-dropping-particle":"","parse-names":false,"suffix":""},{"dropping-particle":"","family":"Ewert","given":"Peter","non-dropping-particle":"","parse-names":false,"suffix":""},{"dropping-particle":"","family":"Stern","given":"Heiko","non-dropping-particle":"","parse-names":false,"suffix":""}],"container-title":"The international journal of cardiovascular imaging","id":"ITEM-1","issue":"8","issued":{"date-parts":[["2018","8"]]},"language":"eng","page":"1241-1248","publisher-place":"United States","title":"Diffuse fibrosis is common in the left, but not in the right ventricle in patients with transposition of the great arteries late after atrial switch operation.","type":"article-journal","volume":"34"},"uris":["http://www.mendeley.com/documents/?uuid=000b14eb-5951-4282-9447-c589264dc204"]},{"id":"ITEM-2","itemData":{"DOI":"10.1016/j.ijcha.2020.100612","ISSN":"2352-9067 (Print)","PMID":"32817881","abstract":"BACKGROUND: This study aimed to assess diffuse myocardial fibrosis of the  systemic right ventricle and subpulmonary left ventricle in patients after Senning or Mustard operation for complete transposition of the great artery (TGA) using cardiac magnetic resonance (CMR) T1 mapping. METHODS: Thirty-one adult TGA patients after Senning (n = 24) or Mustard (n = 7) operation were studied at the age of 33.3 ± 4.0 years. Systemic right ventricular (RV) and subpulmonary left ventricular (LV) volumes, ejection fraction, and myocardial T1 values and extracellular volume fraction (ECV) were determined using CMR. RESULTS: The RV and LV ejection fractions were 47.0 ± 10.9% and 61.3 ± 7.4%, respectively. Compared to published normative values, patients had significantly greater RV and LV native T1 and ECV values (all p &lt; 0.001). For each of the basal, mid, and apical segments, the LV native T1 and ECV values were significantly greater in the left than the right ventricle (all p &lt; 0.05). There is a significant trend on progressive increase in ECV value from the basal towards the apical segments in both the right (p = 0.002) and the left (p &lt; 0.001) ventricle. Modestly strong correlations were found between RV and LV native T1 (r = 0.60, p &lt; 0.001) and ECV (r = 0.49, p = 0.005) values but not with ejection fractions of the respective ventricles. CONCLUSIONS: Differential myocardial fibrosis, with greater involvement of the subpulmonary left ventricle than the systemic right ventricle, is present in patients with TGA after atrial switch operation. Associations between the magnitude of RV and LV fibrosis suggests adverse ventricular-ventricular interaction at the cardiac extracellular matrix level.","author":[{"dropping-particle":"","family":"Cheung","given":"Yiu-Fai","non-dropping-particle":"","parse-names":false,"suffix":""},{"dropping-particle":"","family":"Lam","given":"Wendy W M","non-dropping-particle":"","parse-names":false,"suffix":""},{"dropping-particle":"","family":"So","given":"Edwina K F","non-dropping-particle":"","parse-names":false,"suffix":""},{"dropping-particle":"","family":"Chow","given":"Pak-Cheong","non-dropping-particle":"","parse-names":false,"suffix":""}],"container-title":"International journal of cardiology. Heart &amp; vasculature","id":"ITEM-2","issued":{"date-parts":[["2020","10"]]},"language":"eng","page":"100612","title":"Differential myocardial fibrosis of the systemic right ventricle and subpulmonary  left ventricle after atrial switch operation for complete transposition of the great arteries.","type":"article-journal","volume":"30"},"uris":["http://www.mendeley.com/documents/?uuid=6a2139d1-ec14-4fd5-be52-5bb24d94ce69"]}],"mendeley":{"formattedCitation":"&lt;sup&gt;26,27&lt;/sup&gt;","plainTextFormattedCitation":"26,27","previouslyFormattedCitation":"&lt;sup&gt;26,27&lt;/sup&gt;"},"properties":{"noteIndex":0},"schema":"https://github.com/citation-style-language/schema/raw/master/csl-citation.json"}</w:instrText>
      </w:r>
      <w:r w:rsidR="00A85D18">
        <w:rPr>
          <w:rFonts w:ascii="Calibri" w:hAnsi="Calibri" w:cs="Calibri"/>
          <w:color w:val="000000" w:themeColor="text1"/>
        </w:rPr>
        <w:fldChar w:fldCharType="separate"/>
      </w:r>
      <w:r w:rsidR="00A85D18" w:rsidRPr="00A85D18">
        <w:rPr>
          <w:rFonts w:ascii="Calibri" w:hAnsi="Calibri" w:cs="Calibri"/>
          <w:noProof/>
          <w:color w:val="000000" w:themeColor="text1"/>
          <w:vertAlign w:val="superscript"/>
        </w:rPr>
        <w:t>26,27</w:t>
      </w:r>
      <w:r w:rsidR="00A85D18">
        <w:rPr>
          <w:rFonts w:ascii="Calibri" w:hAnsi="Calibri" w:cs="Calibri"/>
          <w:color w:val="000000" w:themeColor="text1"/>
        </w:rPr>
        <w:fldChar w:fldCharType="end"/>
      </w:r>
      <w:r w:rsidR="006314B5">
        <w:rPr>
          <w:rFonts w:ascii="Calibri" w:hAnsi="Calibri" w:cs="Calibri"/>
          <w:color w:val="000000" w:themeColor="text1"/>
        </w:rPr>
        <w:t xml:space="preserve"> </w:t>
      </w:r>
      <w:r w:rsidR="00E22A6D">
        <w:rPr>
          <w:rFonts w:ascii="Calibri" w:hAnsi="Calibri" w:cs="Calibri"/>
          <w:color w:val="000000" w:themeColor="text1"/>
        </w:rPr>
        <w:t>O</w:t>
      </w:r>
      <w:r w:rsidR="006314B5">
        <w:rPr>
          <w:rFonts w:ascii="Calibri" w:hAnsi="Calibri" w:cs="Calibri"/>
          <w:color w:val="000000" w:themeColor="text1"/>
        </w:rPr>
        <w:t>ur study</w:t>
      </w:r>
      <w:r w:rsidR="00E22A6D">
        <w:rPr>
          <w:rFonts w:ascii="Calibri" w:hAnsi="Calibri" w:cs="Calibri"/>
          <w:color w:val="000000" w:themeColor="text1"/>
        </w:rPr>
        <w:t xml:space="preserve"> clearly demonstrates that </w:t>
      </w:r>
      <w:r w:rsidR="006314B5">
        <w:rPr>
          <w:rFonts w:ascii="Calibri" w:hAnsi="Calibri" w:cs="Calibri"/>
          <w:color w:val="000000" w:themeColor="text1"/>
        </w:rPr>
        <w:t xml:space="preserve">subpulmonary LV characteristics </w:t>
      </w:r>
      <w:r w:rsidR="00E22A6D">
        <w:rPr>
          <w:rFonts w:ascii="Calibri" w:hAnsi="Calibri" w:cs="Calibri"/>
          <w:color w:val="000000" w:themeColor="text1"/>
        </w:rPr>
        <w:t>are</w:t>
      </w:r>
      <w:r w:rsidR="006314B5">
        <w:rPr>
          <w:rFonts w:ascii="Calibri" w:hAnsi="Calibri" w:cs="Calibri"/>
          <w:color w:val="000000" w:themeColor="text1"/>
        </w:rPr>
        <w:t xml:space="preserve"> strongly associated with mortality or transplantation, independent </w:t>
      </w:r>
      <w:r w:rsidR="00E22A6D">
        <w:rPr>
          <w:rFonts w:ascii="Calibri" w:hAnsi="Calibri" w:cs="Calibri"/>
          <w:color w:val="000000" w:themeColor="text1"/>
        </w:rPr>
        <w:t xml:space="preserve">of </w:t>
      </w:r>
      <w:r w:rsidR="006314B5">
        <w:rPr>
          <w:rFonts w:ascii="Calibri" w:hAnsi="Calibri" w:cs="Calibri"/>
          <w:color w:val="000000" w:themeColor="text1"/>
        </w:rPr>
        <w:t>SRV</w:t>
      </w:r>
      <w:r w:rsidR="00E22A6D">
        <w:rPr>
          <w:rFonts w:ascii="Calibri" w:hAnsi="Calibri" w:cs="Calibri"/>
          <w:color w:val="000000" w:themeColor="text1"/>
        </w:rPr>
        <w:t xml:space="preserve"> status</w:t>
      </w:r>
      <w:r w:rsidR="006314B5">
        <w:rPr>
          <w:rFonts w:ascii="Calibri" w:hAnsi="Calibri" w:cs="Calibri"/>
          <w:color w:val="000000" w:themeColor="text1"/>
        </w:rPr>
        <w:t>. Whether the subpulmonary LV is a contributor to the adverse prognosis or a surrogate marker of impaired haemodynamics remains to be established.</w:t>
      </w:r>
    </w:p>
    <w:p w14:paraId="034E0C5E" w14:textId="21FBE6A6" w:rsidR="00EB3A0B" w:rsidRPr="00326CF9" w:rsidRDefault="00E22A6D" w:rsidP="00EE5006">
      <w:pPr>
        <w:widowControl w:val="0"/>
        <w:tabs>
          <w:tab w:val="left" w:pos="90"/>
        </w:tabs>
        <w:autoSpaceDE w:val="0"/>
        <w:autoSpaceDN w:val="0"/>
        <w:adjustRightInd w:val="0"/>
        <w:spacing w:line="480" w:lineRule="auto"/>
        <w:jc w:val="both"/>
        <w:rPr>
          <w:rFonts w:ascii="Calibri" w:hAnsi="Calibri" w:cs="Calibri"/>
          <w:color w:val="FF0000"/>
        </w:rPr>
      </w:pPr>
      <w:r>
        <w:rPr>
          <w:rFonts w:ascii="Calibri" w:hAnsi="Calibri" w:cs="Calibri"/>
          <w:color w:val="000000" w:themeColor="text1"/>
        </w:rPr>
        <w:t>Current practice in most expert centres relies on qualitative or semi-</w:t>
      </w:r>
      <w:proofErr w:type="spellStart"/>
      <w:r>
        <w:rPr>
          <w:rFonts w:ascii="Calibri" w:hAnsi="Calibri" w:cs="Calibri"/>
          <w:color w:val="000000" w:themeColor="text1"/>
        </w:rPr>
        <w:t>quantatitive</w:t>
      </w:r>
      <w:proofErr w:type="spellEnd"/>
      <w:r>
        <w:rPr>
          <w:rFonts w:ascii="Calibri" w:hAnsi="Calibri" w:cs="Calibri"/>
          <w:color w:val="000000" w:themeColor="text1"/>
        </w:rPr>
        <w:t xml:space="preserve"> assessment of ventricular function focusing on the SRV. </w:t>
      </w:r>
      <w:r w:rsidR="001E6E72" w:rsidRPr="005B6F6A">
        <w:rPr>
          <w:rFonts w:ascii="Calibri" w:hAnsi="Calibri" w:cs="Calibri"/>
          <w:color w:val="000000" w:themeColor="text1"/>
        </w:rPr>
        <w:t>Our</w:t>
      </w:r>
      <w:r>
        <w:rPr>
          <w:rFonts w:ascii="Calibri" w:hAnsi="Calibri" w:cs="Calibri"/>
          <w:color w:val="000000" w:themeColor="text1"/>
        </w:rPr>
        <w:t xml:space="preserve"> findings support the use of a detailed </w:t>
      </w:r>
      <w:r w:rsidR="00CB4AB5">
        <w:rPr>
          <w:rFonts w:ascii="Calibri" w:hAnsi="Calibri" w:cs="Calibri"/>
          <w:color w:val="000000" w:themeColor="text1"/>
        </w:rPr>
        <w:t>evaluation</w:t>
      </w:r>
      <w:r>
        <w:rPr>
          <w:rFonts w:ascii="Calibri" w:hAnsi="Calibri" w:cs="Calibri"/>
          <w:color w:val="000000" w:themeColor="text1"/>
        </w:rPr>
        <w:t xml:space="preserve"> of both SRV and subpulmonary LV, incorporating quantitative assessment of ventricular size and function. Despite anatomical caveats, our data support the use of FAC of both ventricles in this population. This is a </w:t>
      </w:r>
      <w:r w:rsidR="00A85D18">
        <w:rPr>
          <w:rFonts w:ascii="Calibri" w:hAnsi="Calibri" w:cs="Calibri"/>
          <w:color w:val="000000" w:themeColor="text1"/>
        </w:rPr>
        <w:t>two</w:t>
      </w:r>
      <w:r>
        <w:rPr>
          <w:rFonts w:ascii="Calibri" w:hAnsi="Calibri" w:cs="Calibri"/>
          <w:color w:val="000000" w:themeColor="text1"/>
        </w:rPr>
        <w:t xml:space="preserve">-dimensional parameter </w:t>
      </w:r>
      <w:r w:rsidR="000C22CF">
        <w:rPr>
          <w:rFonts w:ascii="Calibri" w:hAnsi="Calibri" w:cs="Calibri"/>
          <w:color w:val="000000" w:themeColor="text1"/>
        </w:rPr>
        <w:t xml:space="preserve">that does not accurately reflect the anatomical complexities and </w:t>
      </w:r>
      <w:r w:rsidR="00A85D18">
        <w:rPr>
          <w:rFonts w:ascii="Calibri" w:hAnsi="Calibri" w:cs="Calibri"/>
          <w:color w:val="000000" w:themeColor="text1"/>
        </w:rPr>
        <w:t>three</w:t>
      </w:r>
      <w:r w:rsidR="000C22CF">
        <w:rPr>
          <w:rFonts w:ascii="Calibri" w:hAnsi="Calibri" w:cs="Calibri"/>
          <w:color w:val="000000" w:themeColor="text1"/>
        </w:rPr>
        <w:t xml:space="preserve">-dimensional structure of the </w:t>
      </w:r>
      <w:proofErr w:type="gramStart"/>
      <w:r w:rsidR="000C22CF">
        <w:rPr>
          <w:rFonts w:ascii="Calibri" w:hAnsi="Calibri" w:cs="Calibri"/>
          <w:color w:val="000000" w:themeColor="text1"/>
        </w:rPr>
        <w:t>SRV, but</w:t>
      </w:r>
      <w:proofErr w:type="gramEnd"/>
      <w:r w:rsidR="000C22CF">
        <w:rPr>
          <w:rFonts w:ascii="Calibri" w:hAnsi="Calibri" w:cs="Calibri"/>
          <w:color w:val="000000" w:themeColor="text1"/>
        </w:rPr>
        <w:t xml:space="preserve"> is widely available</w:t>
      </w:r>
      <w:r w:rsidR="00CB4AB5">
        <w:rPr>
          <w:rFonts w:ascii="Calibri" w:hAnsi="Calibri" w:cs="Calibri"/>
          <w:color w:val="000000" w:themeColor="text1"/>
        </w:rPr>
        <w:t xml:space="preserve"> and</w:t>
      </w:r>
      <w:r w:rsidR="000C22CF">
        <w:rPr>
          <w:rFonts w:ascii="Calibri" w:hAnsi="Calibri" w:cs="Calibri"/>
          <w:color w:val="000000" w:themeColor="text1"/>
        </w:rPr>
        <w:t xml:space="preserve"> simple</w:t>
      </w:r>
      <w:r w:rsidR="00CB4AB5">
        <w:rPr>
          <w:rFonts w:ascii="Calibri" w:hAnsi="Calibri" w:cs="Calibri"/>
          <w:color w:val="000000" w:themeColor="text1"/>
        </w:rPr>
        <w:t xml:space="preserve"> </w:t>
      </w:r>
      <w:r w:rsidR="000C22CF">
        <w:rPr>
          <w:rFonts w:ascii="Calibri" w:hAnsi="Calibri" w:cs="Calibri"/>
          <w:color w:val="000000" w:themeColor="text1"/>
        </w:rPr>
        <w:t xml:space="preserve">quantitative measure </w:t>
      </w:r>
      <w:r w:rsidR="00CB4AB5">
        <w:rPr>
          <w:rFonts w:ascii="Calibri" w:hAnsi="Calibri" w:cs="Calibri"/>
          <w:color w:val="000000" w:themeColor="text1"/>
        </w:rPr>
        <w:t>incorporating both longitudinal and radial components of global ventricular function</w:t>
      </w:r>
      <w:r w:rsidR="000C22CF">
        <w:rPr>
          <w:rFonts w:ascii="Calibri" w:hAnsi="Calibri" w:cs="Calibri"/>
          <w:color w:val="000000" w:themeColor="text1"/>
        </w:rPr>
        <w:t xml:space="preserve">. While cardiac magnetic resonance </w:t>
      </w:r>
      <w:r w:rsidR="00CB4AB5">
        <w:rPr>
          <w:rFonts w:ascii="Calibri" w:hAnsi="Calibri" w:cs="Calibri"/>
          <w:color w:val="000000" w:themeColor="text1"/>
        </w:rPr>
        <w:t>remains a gold standard technique for</w:t>
      </w:r>
      <w:r w:rsidR="000C22CF">
        <w:rPr>
          <w:rFonts w:ascii="Calibri" w:hAnsi="Calibri" w:cs="Calibri"/>
          <w:color w:val="000000" w:themeColor="text1"/>
        </w:rPr>
        <w:t xml:space="preserve"> assessment of ventricular function in this population, a high level of expertise is required to scan patients with a SRV and is not widely available. </w:t>
      </w:r>
      <w:r w:rsidR="00A85D18">
        <w:rPr>
          <w:rFonts w:ascii="Calibri" w:hAnsi="Calibri" w:cs="Calibri"/>
          <w:color w:val="000000" w:themeColor="text1"/>
        </w:rPr>
        <w:t>We have previously demonstrated good correlation of both SRV and LV FAC with CMR-derived ejection fractions in</w:t>
      </w:r>
      <w:r w:rsidR="00072D01">
        <w:rPr>
          <w:rFonts w:ascii="Calibri" w:hAnsi="Calibri" w:cs="Calibri"/>
          <w:color w:val="000000" w:themeColor="text1"/>
        </w:rPr>
        <w:t xml:space="preserve"> our centre</w:t>
      </w:r>
      <w:r w:rsidR="00A85D18">
        <w:rPr>
          <w:rFonts w:ascii="Calibri" w:hAnsi="Calibri" w:cs="Calibri"/>
          <w:color w:val="000000" w:themeColor="text1"/>
        </w:rPr>
        <w:t>.</w:t>
      </w:r>
      <w:r w:rsidR="00A85D18">
        <w:rPr>
          <w:rFonts w:ascii="Calibri" w:hAnsi="Calibri" w:cs="Calibri"/>
          <w:color w:val="000000" w:themeColor="text1"/>
        </w:rPr>
        <w:fldChar w:fldCharType="begin" w:fldLock="1"/>
      </w:r>
      <w:r w:rsidR="00A85D18">
        <w:rPr>
          <w:rFonts w:ascii="Calibri" w:hAnsi="Calibri" w:cs="Calibri"/>
          <w:color w:val="000000" w:themeColor="text1"/>
        </w:rPr>
        <w:instrText>ADDIN CSL_CITATION {"citationItems":[{"id":"ITEM-1","itemData":{"DOI":"10.1016/j.ijcard.2020.09.051","ISSN":"1874-1754 (Electronic)","PMID":"32987051","abstract":"BACKGROUND: The study aimed to assess the relation between echocardiographic  parameters of subpulmonary left ventricular (LV) size and function, and the severity of heart failure in patients with a systemic right ventricle (SRV). METHODS AND RESULTS: A total of 157 patients (89 post Mustard/Senning operations, 68 with congenitally corrected transposition of great arteries [ccTGA]) were included. The size and function of the SRV and subpulmonary LV were assessed on the most recent echocardiographic exam. Clinical data were collected from the electronic records. The majority (133, 84.7%) were in NYHA functional class 1-2. Median BNP concentration was 79.5[38.3-173.3] ng/l, and 100 (63.7%) patients were receiving heart failure therapy. Both LV and SRV fractional area change (FAC) differed significantly between patients with NYHA class 1-2 vs 3-4 (48[41.5-52.8]% vs 34[28.6-38.6]%, p &lt; 0.0001 and 29.5[23-35]% vs 22[20-27]%, p &lt; 0.0001, respectively), but LV FAC had a higher discriminative power for functional class &gt;2 than SRV FAC (AUC 0.90, p &lt; 0.0001 vs 0.79; p &lt; 0.0001, respectively). A LV FAC cut-off value &lt;39.2% had the highest accuracy in identifying patients with NYHA class 3-4 (sensitivity 83% and specificity 88%). In multivariable logistic regression analysis, LV FAC and SRV FAC independently associated to NYHA class 3-4 (OR 0.80 [95%CI 0.72-0.88], p &lt; 0.0001 and OR 0.85 [95%CI 0.76-0.96], p = 0.007, respectively). CONCLUSIONS: Subpulmonary LV systolic dysfunction is associated with NYHA functional class 3-4 in patients with ccTGA or after Mustard or Senning operation. Careful evaluation of the subpulmonary LV should be a part of the routine assessment of patients with a SRV.","author":[{"dropping-particle":"","family":"Surkova","given":"Elena","non-dropping-particle":"","parse-names":false,"suffix":""},{"dropping-particle":"","family":"Segura","given":"Teresa","non-dropping-particle":"","parse-names":false,"suffix":""},{"dropping-particle":"","family":"Dimopoulos","given":"Konstantinos","non-dropping-particle":"","parse-names":false,"suffix":""},{"dropping-particle":"","family":"Bispo","given":"Daniela","non-dropping-particle":"","parse-names":false,"suffix":""},{"dropping-particle":"","family":"Flick","given":"Caroline","non-dropping-particle":"","parse-names":false,"suffix":""},{"dropping-particle":"","family":"West","given":"Cathy","non-dropping-particle":"","parse-names":false,"suffix":""},{"dropping-particle":"V","family":"Babu-Narayan","given":"Sonya","non-dropping-particle":"","parse-names":false,"suffix":""},{"dropping-particle":"","family":"Senior","given":"Roxy","non-dropping-particle":"","parse-names":false,"suffix":""},{"dropping-particle":"","family":"Gatzoulis","given":"Michael A","non-dropping-particle":"","parse-names":false,"suffix":""},{"dropping-particle":"","family":"Li","given":"Wei","non-dropping-particle":"","parse-names":false,"suffix":""}],"container-title":"International journal of cardiology","id":"ITEM-1","issued":{"date-parts":[["2021","2"]]},"language":"eng","page":"66-71","publisher-place":"Netherlands","title":"Systolic dysfunction of the subpulmonary left ventricle is associated with the  severity of heart failure in patients with a systemic right ventricle.","type":"article-journal","volume":"324"},"uris":["http://www.mendeley.com/documents/?uuid=4f068205-b10f-4a76-8f07-d27dade0982b"]}],"mendeley":{"formattedCitation":"&lt;sup&gt;13&lt;/sup&gt;","plainTextFormattedCitation":"13"},"properties":{"noteIndex":0},"schema":"https://github.com/citation-style-language/schema/raw/master/csl-citation.json"}</w:instrText>
      </w:r>
      <w:r w:rsidR="00A85D18">
        <w:rPr>
          <w:rFonts w:ascii="Calibri" w:hAnsi="Calibri" w:cs="Calibri"/>
          <w:color w:val="000000" w:themeColor="text1"/>
        </w:rPr>
        <w:fldChar w:fldCharType="separate"/>
      </w:r>
      <w:r w:rsidR="00A85D18" w:rsidRPr="00A85D18">
        <w:rPr>
          <w:rFonts w:ascii="Calibri" w:hAnsi="Calibri" w:cs="Calibri"/>
          <w:noProof/>
          <w:color w:val="000000" w:themeColor="text1"/>
          <w:vertAlign w:val="superscript"/>
        </w:rPr>
        <w:t>13</w:t>
      </w:r>
      <w:r w:rsidR="00A85D18">
        <w:rPr>
          <w:rFonts w:ascii="Calibri" w:hAnsi="Calibri" w:cs="Calibri"/>
          <w:color w:val="000000" w:themeColor="text1"/>
        </w:rPr>
        <w:fldChar w:fldCharType="end"/>
      </w:r>
      <w:r w:rsidR="00A85D18">
        <w:rPr>
          <w:rFonts w:ascii="Calibri" w:hAnsi="Calibri" w:cs="Calibri"/>
          <w:color w:val="000000" w:themeColor="text1"/>
        </w:rPr>
        <w:t xml:space="preserve"> </w:t>
      </w:r>
      <w:r w:rsidR="000C22CF">
        <w:rPr>
          <w:rFonts w:ascii="Calibri" w:hAnsi="Calibri" w:cs="Calibri"/>
          <w:color w:val="000000" w:themeColor="text1"/>
        </w:rPr>
        <w:t xml:space="preserve">A simple protocolised approach to the routine echocardiographic assessment of patients with SRV is fundamental for achieving lifelong surveillance and risk stratification of this complex, high-risk population. </w:t>
      </w:r>
    </w:p>
    <w:p w14:paraId="79E1D1AC" w14:textId="411D2017" w:rsidR="00B109B7" w:rsidRPr="00326CF9" w:rsidRDefault="00B109B7" w:rsidP="00E95D19">
      <w:pPr>
        <w:pStyle w:val="Heading1"/>
      </w:pPr>
      <w:r w:rsidRPr="00326CF9">
        <w:lastRenderedPageBreak/>
        <w:t>Study limitations</w:t>
      </w:r>
    </w:p>
    <w:p w14:paraId="457EDB33" w14:textId="277AA871" w:rsidR="004651F3" w:rsidRPr="00AE76C0" w:rsidRDefault="00C06941" w:rsidP="00F36010">
      <w:pPr>
        <w:widowControl w:val="0"/>
        <w:tabs>
          <w:tab w:val="left" w:pos="90"/>
        </w:tabs>
        <w:autoSpaceDE w:val="0"/>
        <w:autoSpaceDN w:val="0"/>
        <w:adjustRightInd w:val="0"/>
        <w:spacing w:line="480" w:lineRule="auto"/>
        <w:ind w:firstLine="709"/>
        <w:jc w:val="both"/>
        <w:rPr>
          <w:rFonts w:ascii="Calibri" w:hAnsi="Calibri" w:cs="Calibri"/>
          <w:color w:val="000000" w:themeColor="text1"/>
          <w:lang w:val="en-US"/>
        </w:rPr>
      </w:pPr>
      <w:r w:rsidRPr="00C06941">
        <w:rPr>
          <w:rFonts w:ascii="Calibri" w:hAnsi="Calibri" w:cs="Calibri"/>
          <w:color w:val="000000" w:themeColor="text1"/>
          <w:lang w:val="en-US"/>
        </w:rPr>
        <w:t xml:space="preserve">This is a single </w:t>
      </w:r>
      <w:r w:rsidR="00FB0216" w:rsidRPr="00C06941">
        <w:rPr>
          <w:rFonts w:ascii="Calibri" w:hAnsi="Calibri" w:cs="Calibri"/>
          <w:color w:val="000000" w:themeColor="text1"/>
          <w:lang w:val="en-US"/>
        </w:rPr>
        <w:t>centr</w:t>
      </w:r>
      <w:r w:rsidR="007F4B5F">
        <w:rPr>
          <w:rFonts w:ascii="Calibri" w:hAnsi="Calibri" w:cs="Calibri"/>
          <w:color w:val="000000" w:themeColor="text1"/>
          <w:lang w:val="en-US"/>
        </w:rPr>
        <w:t>e</w:t>
      </w:r>
      <w:r w:rsidRPr="00C06941">
        <w:rPr>
          <w:rFonts w:ascii="Calibri" w:hAnsi="Calibri" w:cs="Calibri"/>
          <w:color w:val="000000" w:themeColor="text1"/>
          <w:lang w:val="en-US"/>
        </w:rPr>
        <w:t xml:space="preserve"> study </w:t>
      </w:r>
      <w:r w:rsidR="000C22CF">
        <w:rPr>
          <w:rFonts w:ascii="Calibri" w:hAnsi="Calibri" w:cs="Calibri"/>
          <w:color w:val="000000" w:themeColor="text1"/>
          <w:lang w:val="en-US"/>
        </w:rPr>
        <w:t xml:space="preserve">on a large population of </w:t>
      </w:r>
      <w:r w:rsidR="00F36010">
        <w:rPr>
          <w:rFonts w:ascii="Calibri" w:hAnsi="Calibri" w:cs="Calibri"/>
          <w:color w:val="000000" w:themeColor="text1"/>
          <w:lang w:val="en-US"/>
        </w:rPr>
        <w:t xml:space="preserve">SRV </w:t>
      </w:r>
      <w:r w:rsidR="000C22CF">
        <w:rPr>
          <w:rFonts w:ascii="Calibri" w:hAnsi="Calibri" w:cs="Calibri"/>
          <w:color w:val="000000" w:themeColor="text1"/>
          <w:lang w:val="en-US"/>
        </w:rPr>
        <w:t>patients</w:t>
      </w:r>
      <w:r w:rsidR="00F36010">
        <w:rPr>
          <w:rFonts w:ascii="Calibri" w:hAnsi="Calibri" w:cs="Calibri"/>
          <w:color w:val="000000" w:themeColor="text1"/>
          <w:lang w:val="en-US"/>
        </w:rPr>
        <w:t>, who represent a minority of adults with CHD.  This was a retrospective analysis of echocardiograms performed using a strict clinical protocol, with low levels of missingness that were addressed using multiple imputation for multivariable regression analysis.</w:t>
      </w:r>
      <w:r w:rsidR="000C22CF">
        <w:rPr>
          <w:rFonts w:ascii="Calibri" w:hAnsi="Calibri" w:cs="Calibri"/>
          <w:color w:val="000000" w:themeColor="text1"/>
          <w:lang w:val="en-US"/>
        </w:rPr>
        <w:t xml:space="preserve"> </w:t>
      </w:r>
      <w:r w:rsidR="00F36010">
        <w:rPr>
          <w:rFonts w:ascii="Calibri" w:hAnsi="Calibri" w:cs="Calibri"/>
          <w:color w:val="000000" w:themeColor="text1"/>
          <w:lang w:val="en-US"/>
        </w:rPr>
        <w:t xml:space="preserve">Our multivariable analysis focused on echocardiographic parameters alone; larger multi-centre studies with a higher event rate are needed to integrate imaging and other clinical parameters in a single prognostic model. Finally, the accuracy of </w:t>
      </w:r>
      <w:r w:rsidR="00ED20C1">
        <w:rPr>
          <w:rFonts w:ascii="Calibri" w:hAnsi="Calibri" w:cs="Calibri"/>
          <w:color w:val="000000" w:themeColor="text1"/>
          <w:lang w:val="en-US"/>
        </w:rPr>
        <w:t xml:space="preserve">echocardiographic parameters of </w:t>
      </w:r>
      <w:r w:rsidR="00F36010">
        <w:rPr>
          <w:rFonts w:ascii="Calibri" w:hAnsi="Calibri" w:cs="Calibri"/>
          <w:color w:val="000000" w:themeColor="text1"/>
          <w:lang w:val="en-US"/>
        </w:rPr>
        <w:t xml:space="preserve">ventricular </w:t>
      </w:r>
      <w:r w:rsidR="00ED20C1">
        <w:rPr>
          <w:rFonts w:ascii="Calibri" w:hAnsi="Calibri" w:cs="Calibri"/>
          <w:color w:val="000000" w:themeColor="text1"/>
          <w:lang w:val="en-US"/>
        </w:rPr>
        <w:t xml:space="preserve">size and function </w:t>
      </w:r>
      <w:r w:rsidR="00F36010">
        <w:rPr>
          <w:rFonts w:ascii="Calibri" w:hAnsi="Calibri" w:cs="Calibri"/>
          <w:color w:val="000000" w:themeColor="text1"/>
          <w:lang w:val="en-US"/>
        </w:rPr>
        <w:t xml:space="preserve">in the setting of SRV against the </w:t>
      </w:r>
      <w:r w:rsidR="00ED20C1">
        <w:rPr>
          <w:rFonts w:ascii="Calibri" w:hAnsi="Calibri" w:cs="Calibri"/>
          <w:color w:val="000000" w:themeColor="text1"/>
          <w:lang w:val="en-US"/>
        </w:rPr>
        <w:t xml:space="preserve">gold-standard </w:t>
      </w:r>
      <w:r w:rsidR="00F36010">
        <w:rPr>
          <w:rFonts w:ascii="Calibri" w:hAnsi="Calibri" w:cs="Calibri"/>
          <w:color w:val="000000" w:themeColor="text1"/>
          <w:lang w:val="en-US"/>
        </w:rPr>
        <w:t>of cardiac magnetic resonance was not assessed</w:t>
      </w:r>
      <w:r w:rsidR="00ED20C1">
        <w:rPr>
          <w:rFonts w:ascii="Calibri" w:hAnsi="Calibri" w:cs="Calibri"/>
          <w:color w:val="000000" w:themeColor="text1"/>
          <w:lang w:val="en-US"/>
        </w:rPr>
        <w:t xml:space="preserve">. </w:t>
      </w:r>
      <w:r w:rsidR="00F36010">
        <w:rPr>
          <w:rFonts w:ascii="Calibri" w:hAnsi="Calibri" w:cs="Calibri"/>
          <w:color w:val="000000" w:themeColor="text1"/>
          <w:lang w:val="en-US"/>
        </w:rPr>
        <w:t>This has been assessed in previous studies, however</w:t>
      </w:r>
      <w:r w:rsidR="00ED20C1">
        <w:rPr>
          <w:rFonts w:ascii="Calibri" w:hAnsi="Calibri" w:cs="Calibri"/>
          <w:color w:val="000000" w:themeColor="text1"/>
          <w:lang w:val="en-US"/>
        </w:rPr>
        <w:t>,</w:t>
      </w:r>
      <w:r w:rsidR="00F36010">
        <w:rPr>
          <w:rFonts w:ascii="Calibri" w:hAnsi="Calibri" w:cs="Calibri"/>
          <w:color w:val="000000" w:themeColor="text1"/>
          <w:lang w:val="en-US"/>
        </w:rPr>
        <w:t xml:space="preserve"> and the strong relation between echocardiographic parameters and </w:t>
      </w:r>
      <w:proofErr w:type="spellStart"/>
      <w:r w:rsidR="00F36010">
        <w:rPr>
          <w:rFonts w:ascii="Calibri" w:hAnsi="Calibri" w:cs="Calibri"/>
          <w:color w:val="000000" w:themeColor="text1"/>
          <w:lang w:val="en-US"/>
        </w:rPr>
        <w:t>advers</w:t>
      </w:r>
      <w:proofErr w:type="spellEnd"/>
      <w:r w:rsidR="00F36010">
        <w:rPr>
          <w:rFonts w:ascii="Calibri" w:hAnsi="Calibri" w:cs="Calibri"/>
          <w:color w:val="000000" w:themeColor="text1"/>
          <w:lang w:val="en-US"/>
        </w:rPr>
        <w:t xml:space="preserve"> outcome in our study, supports their use in clinical practice. </w:t>
      </w:r>
      <w:r w:rsidR="00ED20C1">
        <w:rPr>
          <w:rFonts w:ascii="Calibri" w:hAnsi="Calibri" w:cs="Calibri"/>
          <w:color w:val="000000" w:themeColor="text1"/>
          <w:lang w:val="en-US"/>
        </w:rPr>
        <w:t xml:space="preserve"> </w:t>
      </w:r>
    </w:p>
    <w:p w14:paraId="41BAF3CD" w14:textId="3E83356E" w:rsidR="001F4E94" w:rsidRPr="00326CF9" w:rsidRDefault="001F4E94" w:rsidP="00E95D19">
      <w:pPr>
        <w:pStyle w:val="Heading1"/>
      </w:pPr>
      <w:r w:rsidRPr="00326CF9">
        <w:t>Conclusion</w:t>
      </w:r>
      <w:r w:rsidR="009C5CBA" w:rsidRPr="00326CF9">
        <w:t>s</w:t>
      </w:r>
    </w:p>
    <w:p w14:paraId="05D24CCD" w14:textId="23CF0852" w:rsidR="008B6337" w:rsidRDefault="001903CA" w:rsidP="00CC736C">
      <w:pPr>
        <w:spacing w:line="480" w:lineRule="auto"/>
        <w:ind w:firstLine="709"/>
        <w:jc w:val="both"/>
        <w:rPr>
          <w:rFonts w:ascii="Calibri" w:hAnsi="Calibri" w:cs="Calibri"/>
          <w:color w:val="000000" w:themeColor="text1"/>
        </w:rPr>
      </w:pPr>
      <w:r>
        <w:rPr>
          <w:rFonts w:ascii="Calibri" w:hAnsi="Calibri" w:cs="Calibri"/>
        </w:rPr>
        <w:t xml:space="preserve">SRV </w:t>
      </w:r>
      <w:r w:rsidRPr="00326CF9">
        <w:rPr>
          <w:rFonts w:ascii="Calibri" w:hAnsi="Calibri" w:cs="Calibri"/>
        </w:rPr>
        <w:t>basal diameter</w:t>
      </w:r>
      <w:r>
        <w:rPr>
          <w:rFonts w:ascii="Calibri" w:hAnsi="Calibri" w:cs="Calibri"/>
        </w:rPr>
        <w:t>,</w:t>
      </w:r>
      <w:r w:rsidRPr="00326CF9">
        <w:rPr>
          <w:rFonts w:ascii="Calibri" w:hAnsi="Calibri" w:cs="Calibri"/>
        </w:rPr>
        <w:t xml:space="preserve"> SRV </w:t>
      </w:r>
      <w:r w:rsidRPr="00AD7065">
        <w:rPr>
          <w:rFonts w:ascii="Calibri" w:hAnsi="Calibri" w:cs="Calibri"/>
        </w:rPr>
        <w:t>FAC</w:t>
      </w:r>
      <w:r>
        <w:rPr>
          <w:rFonts w:ascii="Calibri" w:hAnsi="Calibri" w:cs="Calibri"/>
        </w:rPr>
        <w:t xml:space="preserve">, </w:t>
      </w:r>
      <w:proofErr w:type="spellStart"/>
      <w:r>
        <w:rPr>
          <w:rFonts w:ascii="Calibri" w:hAnsi="Calibri" w:cs="Calibri"/>
        </w:rPr>
        <w:t>subpulmonary</w:t>
      </w:r>
      <w:proofErr w:type="spellEnd"/>
      <w:r w:rsidRPr="00326CF9">
        <w:rPr>
          <w:rFonts w:ascii="Calibri" w:hAnsi="Calibri" w:cs="Calibri"/>
        </w:rPr>
        <w:t xml:space="preserve"> LV </w:t>
      </w:r>
      <w:proofErr w:type="spellStart"/>
      <w:r w:rsidRPr="00326CF9">
        <w:rPr>
          <w:rFonts w:ascii="Calibri" w:hAnsi="Calibri" w:cs="Calibri"/>
        </w:rPr>
        <w:t>ESDi</w:t>
      </w:r>
      <w:proofErr w:type="spellEnd"/>
      <w:r w:rsidRPr="00326CF9">
        <w:rPr>
          <w:rFonts w:ascii="Calibri" w:hAnsi="Calibri" w:cs="Calibri"/>
        </w:rPr>
        <w:t xml:space="preserve">, </w:t>
      </w:r>
      <w:r>
        <w:rPr>
          <w:rFonts w:ascii="Calibri" w:hAnsi="Calibri" w:cs="Calibri"/>
        </w:rPr>
        <w:t>and</w:t>
      </w:r>
      <w:r w:rsidRPr="00326CF9">
        <w:rPr>
          <w:rFonts w:ascii="Calibri" w:hAnsi="Calibri" w:cs="Calibri"/>
        </w:rPr>
        <w:t xml:space="preserve"> FAC</w:t>
      </w:r>
      <w:r>
        <w:rPr>
          <w:rFonts w:ascii="Calibri" w:hAnsi="Calibri" w:cs="Calibri"/>
        </w:rPr>
        <w:t xml:space="preserve"> are significantly and independently associated with all-cause mortality and heart or heart-lung transplantation in adult </w:t>
      </w:r>
      <w:r w:rsidR="00FB0216">
        <w:rPr>
          <w:rFonts w:ascii="Calibri" w:hAnsi="Calibri" w:cs="Calibri"/>
        </w:rPr>
        <w:t>patients</w:t>
      </w:r>
      <w:r>
        <w:rPr>
          <w:rFonts w:ascii="Calibri" w:hAnsi="Calibri" w:cs="Calibri"/>
        </w:rPr>
        <w:t xml:space="preserve"> with TGA post atrial switch re</w:t>
      </w:r>
      <w:r w:rsidR="004651F3">
        <w:rPr>
          <w:rFonts w:ascii="Calibri" w:hAnsi="Calibri" w:cs="Calibri"/>
        </w:rPr>
        <w:t>pa</w:t>
      </w:r>
      <w:r>
        <w:rPr>
          <w:rFonts w:ascii="Calibri" w:hAnsi="Calibri" w:cs="Calibri"/>
        </w:rPr>
        <w:t>ir or with ccTGA</w:t>
      </w:r>
      <w:r w:rsidRPr="005B6F6A">
        <w:rPr>
          <w:rFonts w:ascii="Calibri" w:hAnsi="Calibri" w:cs="Calibri"/>
          <w:color w:val="000000" w:themeColor="text1"/>
        </w:rPr>
        <w:t xml:space="preserve">. </w:t>
      </w:r>
      <w:r w:rsidR="001833E1">
        <w:rPr>
          <w:rFonts w:ascii="Calibri" w:hAnsi="Calibri" w:cs="Calibri"/>
          <w:color w:val="000000" w:themeColor="text1"/>
        </w:rPr>
        <w:t xml:space="preserve">This supports the role of a protocolised echocardiographic assessment of patients with SRV </w:t>
      </w:r>
      <w:r w:rsidR="00072D01">
        <w:rPr>
          <w:rFonts w:ascii="Calibri" w:hAnsi="Calibri" w:cs="Calibri"/>
          <w:color w:val="000000" w:themeColor="text1"/>
        </w:rPr>
        <w:t>including</w:t>
      </w:r>
      <w:r w:rsidR="00CC736C">
        <w:rPr>
          <w:rFonts w:ascii="Calibri" w:hAnsi="Calibri" w:cs="Calibri"/>
          <w:color w:val="000000" w:themeColor="text1"/>
        </w:rPr>
        <w:t xml:space="preserve"> accurate evaluation of both ventricles </w:t>
      </w:r>
      <w:r w:rsidR="001833E1">
        <w:rPr>
          <w:rFonts w:ascii="Calibri" w:hAnsi="Calibri" w:cs="Calibri"/>
          <w:color w:val="000000" w:themeColor="text1"/>
        </w:rPr>
        <w:t xml:space="preserve">as a means of </w:t>
      </w:r>
      <w:proofErr w:type="spellStart"/>
      <w:r w:rsidR="001833E1">
        <w:rPr>
          <w:rFonts w:ascii="Calibri" w:hAnsi="Calibri" w:cs="Calibri"/>
          <w:color w:val="000000" w:themeColor="text1"/>
        </w:rPr>
        <w:t>identifiying</w:t>
      </w:r>
      <w:proofErr w:type="spellEnd"/>
      <w:r w:rsidR="001833E1">
        <w:rPr>
          <w:rFonts w:ascii="Calibri" w:hAnsi="Calibri" w:cs="Calibri"/>
          <w:color w:val="000000" w:themeColor="text1"/>
        </w:rPr>
        <w:t xml:space="preserve"> individuals at increased risk of adverse outcomes. </w:t>
      </w:r>
    </w:p>
    <w:p w14:paraId="587EFFCA" w14:textId="1B27C599" w:rsidR="009C4727" w:rsidRPr="009C4727" w:rsidRDefault="009C4727" w:rsidP="00CC736C">
      <w:pPr>
        <w:spacing w:line="480" w:lineRule="auto"/>
        <w:ind w:firstLine="709"/>
        <w:jc w:val="both"/>
        <w:rPr>
          <w:rFonts w:ascii="Calibri" w:hAnsi="Calibri" w:cs="Calibri"/>
          <w:color w:val="000000" w:themeColor="text1"/>
        </w:rPr>
      </w:pPr>
    </w:p>
    <w:p w14:paraId="07BC8C7A" w14:textId="77777777" w:rsidR="009C4727" w:rsidRPr="009C4727" w:rsidRDefault="009C4727" w:rsidP="009C4727">
      <w:pPr>
        <w:spacing w:line="480" w:lineRule="auto"/>
        <w:jc w:val="both"/>
        <w:rPr>
          <w:rFonts w:ascii="Calibri" w:hAnsi="Calibri" w:cs="Calibri"/>
          <w:b/>
          <w:bCs/>
          <w:color w:val="000000" w:themeColor="text1"/>
        </w:rPr>
      </w:pPr>
      <w:r w:rsidRPr="009C4727">
        <w:rPr>
          <w:rFonts w:ascii="Calibri" w:hAnsi="Calibri" w:cs="Calibri"/>
          <w:b/>
          <w:bCs/>
          <w:color w:val="000000" w:themeColor="text1"/>
        </w:rPr>
        <w:t>Data availability statement</w:t>
      </w:r>
    </w:p>
    <w:p w14:paraId="5FD4308F" w14:textId="6765E415" w:rsidR="009C4727" w:rsidRPr="009C4727" w:rsidRDefault="009C4727" w:rsidP="009C4727">
      <w:pPr>
        <w:spacing w:line="480" w:lineRule="auto"/>
        <w:ind w:firstLine="709"/>
        <w:jc w:val="both"/>
        <w:rPr>
          <w:rFonts w:ascii="Calibri" w:hAnsi="Calibri" w:cs="Calibri"/>
          <w:color w:val="000000" w:themeColor="text1"/>
        </w:rPr>
      </w:pPr>
      <w:r w:rsidRPr="009C4727">
        <w:rPr>
          <w:rFonts w:ascii="Calibri" w:hAnsi="Calibri" w:cs="Calibri"/>
          <w:color w:val="000000" w:themeColor="text1"/>
        </w:rPr>
        <w:t>The data underlying this article will be shared on reasonable request to the corresponding author.</w:t>
      </w:r>
    </w:p>
    <w:p w14:paraId="73608EF7" w14:textId="57AA428E" w:rsidR="008B6337" w:rsidRPr="00326CF9" w:rsidRDefault="008B6337" w:rsidP="00326CF9">
      <w:pPr>
        <w:spacing w:line="480" w:lineRule="auto"/>
        <w:rPr>
          <w:rFonts w:ascii="Calibri" w:hAnsi="Calibri" w:cs="Calibri"/>
          <w:color w:val="FF0000"/>
          <w:lang w:val="en-US"/>
        </w:rPr>
      </w:pPr>
      <w:r w:rsidRPr="00326CF9">
        <w:rPr>
          <w:rFonts w:ascii="Calibri" w:hAnsi="Calibri" w:cs="Calibri"/>
          <w:color w:val="FF0000"/>
          <w:lang w:val="en-US"/>
        </w:rPr>
        <w:br w:type="page"/>
      </w:r>
    </w:p>
    <w:p w14:paraId="5E7F4C2E" w14:textId="167A0C20" w:rsidR="003D1541" w:rsidRPr="00326CF9" w:rsidRDefault="003D1541" w:rsidP="00E95D19">
      <w:pPr>
        <w:pStyle w:val="Heading1"/>
      </w:pPr>
      <w:r w:rsidRPr="00326CF9">
        <w:lastRenderedPageBreak/>
        <w:t>References</w:t>
      </w:r>
    </w:p>
    <w:p w14:paraId="1EB0C389" w14:textId="56A9E522" w:rsidR="00A85D18" w:rsidRPr="00A85D18" w:rsidRDefault="00135DFE" w:rsidP="00A85D18">
      <w:pPr>
        <w:widowControl w:val="0"/>
        <w:autoSpaceDE w:val="0"/>
        <w:autoSpaceDN w:val="0"/>
        <w:adjustRightInd w:val="0"/>
        <w:spacing w:line="480" w:lineRule="auto"/>
        <w:ind w:left="640" w:hanging="640"/>
        <w:rPr>
          <w:rFonts w:ascii="Calibri" w:hAnsi="Calibri" w:cs="Calibri"/>
          <w:noProof/>
        </w:rPr>
      </w:pPr>
      <w:r w:rsidRPr="00326CF9">
        <w:rPr>
          <w:rFonts w:ascii="Calibri" w:hAnsi="Calibri" w:cs="Calibri"/>
          <w:b/>
          <w:color w:val="FF0000"/>
          <w:lang w:val="en-US"/>
        </w:rPr>
        <w:fldChar w:fldCharType="begin" w:fldLock="1"/>
      </w:r>
      <w:r w:rsidRPr="00326CF9">
        <w:rPr>
          <w:rFonts w:ascii="Calibri" w:hAnsi="Calibri" w:cs="Calibri"/>
          <w:b/>
          <w:color w:val="FF0000"/>
          <w:lang w:val="en-US"/>
        </w:rPr>
        <w:instrText xml:space="preserve">ADDIN Mendeley Bibliography CSL_BIBLIOGRAPHY </w:instrText>
      </w:r>
      <w:r w:rsidRPr="00326CF9">
        <w:rPr>
          <w:rFonts w:ascii="Calibri" w:hAnsi="Calibri" w:cs="Calibri"/>
          <w:b/>
          <w:color w:val="FF0000"/>
          <w:lang w:val="en-US"/>
        </w:rPr>
        <w:fldChar w:fldCharType="separate"/>
      </w:r>
      <w:r w:rsidR="00A85D18" w:rsidRPr="00A85D18">
        <w:rPr>
          <w:rFonts w:ascii="Calibri" w:hAnsi="Calibri" w:cs="Calibri"/>
          <w:noProof/>
        </w:rPr>
        <w:t xml:space="preserve">1. </w:t>
      </w:r>
      <w:r w:rsidR="00A85D18" w:rsidRPr="00A85D18">
        <w:rPr>
          <w:rFonts w:ascii="Calibri" w:hAnsi="Calibri" w:cs="Calibri"/>
          <w:noProof/>
        </w:rPr>
        <w:tab/>
        <w:t xml:space="preserve">Brida M, Diller G-P, Gatzoulis MA. Systemic Right Ventricle in Adults With Congenital Heart Disease: Anatomic and Phenotypic Spectrum and Current Approach to Management. Circulation. 2018 Jan;137(5):508–18. </w:t>
      </w:r>
    </w:p>
    <w:p w14:paraId="7E4A2785" w14:textId="750B6827" w:rsidR="00A85D18" w:rsidRPr="00A85D18" w:rsidRDefault="00A85D18" w:rsidP="00A85D18">
      <w:pPr>
        <w:widowControl w:val="0"/>
        <w:autoSpaceDE w:val="0"/>
        <w:autoSpaceDN w:val="0"/>
        <w:adjustRightInd w:val="0"/>
        <w:spacing w:line="480" w:lineRule="auto"/>
        <w:ind w:left="640" w:hanging="640"/>
        <w:rPr>
          <w:rFonts w:ascii="Calibri" w:hAnsi="Calibri" w:cs="Calibri"/>
          <w:noProof/>
        </w:rPr>
      </w:pPr>
      <w:r w:rsidRPr="00A85D18">
        <w:rPr>
          <w:rFonts w:ascii="Calibri" w:hAnsi="Calibri" w:cs="Calibri"/>
          <w:noProof/>
        </w:rPr>
        <w:t xml:space="preserve">2. </w:t>
      </w:r>
      <w:r w:rsidRPr="00A85D18">
        <w:rPr>
          <w:rFonts w:ascii="Calibri" w:hAnsi="Calibri" w:cs="Calibri"/>
          <w:noProof/>
        </w:rPr>
        <w:tab/>
        <w:t>Budts W, Roos-Hesselink J, Rädle-Hurst T, Eicken A, McDonagh TA, Lambrinou E, et al. Treatment of heart failure in adult congenital heart disease: a position paper of the Working Group of Grown-Up Congenital Heart Disease and the Heart Failure Association of the European Society of Cardiology. Eur Heart J. 2016 May 7;37(18):1419–27. Available from: https://doi.org/10.1093/eurheartj/ehv741</w:t>
      </w:r>
    </w:p>
    <w:p w14:paraId="7DDB27D4" w14:textId="51A7A17E" w:rsidR="00A85D18" w:rsidRPr="00A85D18" w:rsidRDefault="00A85D18" w:rsidP="00A85D18">
      <w:pPr>
        <w:widowControl w:val="0"/>
        <w:autoSpaceDE w:val="0"/>
        <w:autoSpaceDN w:val="0"/>
        <w:adjustRightInd w:val="0"/>
        <w:spacing w:line="480" w:lineRule="auto"/>
        <w:ind w:left="640" w:hanging="640"/>
        <w:rPr>
          <w:rFonts w:ascii="Calibri" w:hAnsi="Calibri" w:cs="Calibri"/>
          <w:noProof/>
        </w:rPr>
      </w:pPr>
      <w:r w:rsidRPr="006B5C45">
        <w:rPr>
          <w:rFonts w:ascii="Calibri" w:hAnsi="Calibri" w:cs="Calibri"/>
          <w:noProof/>
          <w:lang w:val="de-DE"/>
        </w:rPr>
        <w:t xml:space="preserve">3. </w:t>
      </w:r>
      <w:r w:rsidRPr="006B5C45">
        <w:rPr>
          <w:rFonts w:ascii="Calibri" w:hAnsi="Calibri" w:cs="Calibri"/>
          <w:noProof/>
          <w:lang w:val="de-DE"/>
        </w:rPr>
        <w:tab/>
        <w:t xml:space="preserve">Menachem JN, Schlendorf KH, Mazurek JA, Bichell DP, Brinkley DM, Frischhertz BP, et al. </w:t>
      </w:r>
      <w:r w:rsidRPr="00A85D18">
        <w:rPr>
          <w:rFonts w:ascii="Calibri" w:hAnsi="Calibri" w:cs="Calibri"/>
          <w:noProof/>
        </w:rPr>
        <w:t>Advanced Heart Failure in Adults With Congenital Heart Disease. JACC Hear Fail. 2020;8(2):87–99. Available from: https://www.sciencedirect.com/science/article/pii/S2213177919307292</w:t>
      </w:r>
    </w:p>
    <w:p w14:paraId="5B93DC6F" w14:textId="77777777" w:rsidR="00A85D18" w:rsidRPr="00A85D18" w:rsidRDefault="00A85D18" w:rsidP="00A85D18">
      <w:pPr>
        <w:widowControl w:val="0"/>
        <w:autoSpaceDE w:val="0"/>
        <w:autoSpaceDN w:val="0"/>
        <w:adjustRightInd w:val="0"/>
        <w:spacing w:line="480" w:lineRule="auto"/>
        <w:ind w:left="640" w:hanging="640"/>
        <w:rPr>
          <w:rFonts w:ascii="Calibri" w:hAnsi="Calibri" w:cs="Calibri"/>
          <w:noProof/>
        </w:rPr>
      </w:pPr>
      <w:r w:rsidRPr="00A85D18">
        <w:rPr>
          <w:rFonts w:ascii="Calibri" w:hAnsi="Calibri" w:cs="Calibri"/>
          <w:noProof/>
        </w:rPr>
        <w:t xml:space="preserve">4. </w:t>
      </w:r>
      <w:r w:rsidRPr="00A85D18">
        <w:rPr>
          <w:rFonts w:ascii="Calibri" w:hAnsi="Calibri" w:cs="Calibri"/>
          <w:noProof/>
        </w:rPr>
        <w:tab/>
        <w:t xml:space="preserve">Diller G-P, Radojevic J, Kempny A, Alonso-Gonzalez R, Emmanouil L, Orwat S, et al. Systemic right ventricular longitudinal strain is reduced in adults with transposition of the great arteries, relates to subpulmonary ventricular function, and predicts adverse clinical outcome. Am Heart J. 2012 May;163(5):859–66. </w:t>
      </w:r>
    </w:p>
    <w:p w14:paraId="527C883B" w14:textId="77777777" w:rsidR="00A85D18" w:rsidRPr="00A85D18" w:rsidRDefault="00A85D18" w:rsidP="00A85D18">
      <w:pPr>
        <w:widowControl w:val="0"/>
        <w:autoSpaceDE w:val="0"/>
        <w:autoSpaceDN w:val="0"/>
        <w:adjustRightInd w:val="0"/>
        <w:spacing w:line="480" w:lineRule="auto"/>
        <w:ind w:left="640" w:hanging="640"/>
        <w:rPr>
          <w:rFonts w:ascii="Calibri" w:hAnsi="Calibri" w:cs="Calibri"/>
          <w:noProof/>
        </w:rPr>
      </w:pPr>
      <w:r w:rsidRPr="00A85D18">
        <w:rPr>
          <w:rFonts w:ascii="Calibri" w:hAnsi="Calibri" w:cs="Calibri"/>
          <w:noProof/>
        </w:rPr>
        <w:t xml:space="preserve">5. </w:t>
      </w:r>
      <w:r w:rsidRPr="00A85D18">
        <w:rPr>
          <w:rFonts w:ascii="Calibri" w:hAnsi="Calibri" w:cs="Calibri"/>
          <w:noProof/>
        </w:rPr>
        <w:tab/>
        <w:t xml:space="preserve">Kalogeropoulos AP, Deka A, Border W, Pernetz MA, Georgiopoulou V V, Kiani J, et al. Right ventricular function with standard and speckle-tracking echocardiography and clinical events in adults with D-transposition of the great arteries post atrial switch. J Am Soc Echocardiogr. 2012 Mar;25(3):304–12. </w:t>
      </w:r>
    </w:p>
    <w:p w14:paraId="0E832D95" w14:textId="77777777" w:rsidR="00A85D18" w:rsidRPr="00A85D18" w:rsidRDefault="00A85D18" w:rsidP="00A85D18">
      <w:pPr>
        <w:widowControl w:val="0"/>
        <w:autoSpaceDE w:val="0"/>
        <w:autoSpaceDN w:val="0"/>
        <w:adjustRightInd w:val="0"/>
        <w:spacing w:line="480" w:lineRule="auto"/>
        <w:ind w:left="640" w:hanging="640"/>
        <w:rPr>
          <w:rFonts w:ascii="Calibri" w:hAnsi="Calibri" w:cs="Calibri"/>
          <w:noProof/>
        </w:rPr>
      </w:pPr>
      <w:r w:rsidRPr="00A85D18">
        <w:rPr>
          <w:rFonts w:ascii="Calibri" w:hAnsi="Calibri" w:cs="Calibri"/>
          <w:noProof/>
        </w:rPr>
        <w:t xml:space="preserve">6. </w:t>
      </w:r>
      <w:r w:rsidRPr="00A85D18">
        <w:rPr>
          <w:rFonts w:ascii="Calibri" w:hAnsi="Calibri" w:cs="Calibri"/>
          <w:noProof/>
        </w:rPr>
        <w:tab/>
        <w:t xml:space="preserve">Broberg CS, van Dissel A, Minnier J, Aboulhosn J, Kauling RM, Ginde S, et al. Long-Term Outcomes After Atrial Switch Operation for Transposition of the Great Arteries. J Am Coll </w:t>
      </w:r>
      <w:r w:rsidRPr="00A85D18">
        <w:rPr>
          <w:rFonts w:ascii="Calibri" w:hAnsi="Calibri" w:cs="Calibri"/>
          <w:noProof/>
        </w:rPr>
        <w:lastRenderedPageBreak/>
        <w:t xml:space="preserve">Cardiol. 2022;80(10):951–63. </w:t>
      </w:r>
    </w:p>
    <w:p w14:paraId="5978610E" w14:textId="77777777" w:rsidR="00A85D18" w:rsidRPr="006B5C45" w:rsidRDefault="00A85D18" w:rsidP="00A85D18">
      <w:pPr>
        <w:widowControl w:val="0"/>
        <w:autoSpaceDE w:val="0"/>
        <w:autoSpaceDN w:val="0"/>
        <w:adjustRightInd w:val="0"/>
        <w:spacing w:line="480" w:lineRule="auto"/>
        <w:ind w:left="640" w:hanging="640"/>
        <w:rPr>
          <w:rFonts w:ascii="Calibri" w:hAnsi="Calibri" w:cs="Calibri"/>
          <w:noProof/>
          <w:lang w:val="de-DE"/>
        </w:rPr>
      </w:pPr>
      <w:r w:rsidRPr="00A85D18">
        <w:rPr>
          <w:rFonts w:ascii="Calibri" w:hAnsi="Calibri" w:cs="Calibri"/>
          <w:noProof/>
        </w:rPr>
        <w:t xml:space="preserve">7. </w:t>
      </w:r>
      <w:r w:rsidRPr="00A85D18">
        <w:rPr>
          <w:rFonts w:ascii="Calibri" w:hAnsi="Calibri" w:cs="Calibri"/>
          <w:noProof/>
        </w:rPr>
        <w:tab/>
        <w:t xml:space="preserve">Ladouceur M, Van De Bruaene A, Kauling R, Budts W, Roos-Hesselink J, Albert SV, et al. A new score for life-threatening ventricular arrhythmias and sudden cardiac death in adults with transposition of the great arteries and a systemic right ventricle. </w:t>
      </w:r>
      <w:r w:rsidRPr="006B5C45">
        <w:rPr>
          <w:rFonts w:ascii="Calibri" w:hAnsi="Calibri" w:cs="Calibri"/>
          <w:noProof/>
          <w:lang w:val="de-DE"/>
        </w:rPr>
        <w:t xml:space="preserve">Eur Heart J. 2022;43(28):2685–94. </w:t>
      </w:r>
    </w:p>
    <w:p w14:paraId="7A302B34" w14:textId="77777777" w:rsidR="00A85D18" w:rsidRPr="00A85D18" w:rsidRDefault="00A85D18" w:rsidP="00A85D18">
      <w:pPr>
        <w:widowControl w:val="0"/>
        <w:autoSpaceDE w:val="0"/>
        <w:autoSpaceDN w:val="0"/>
        <w:adjustRightInd w:val="0"/>
        <w:spacing w:line="480" w:lineRule="auto"/>
        <w:ind w:left="640" w:hanging="640"/>
        <w:rPr>
          <w:rFonts w:ascii="Calibri" w:hAnsi="Calibri" w:cs="Calibri"/>
          <w:noProof/>
        </w:rPr>
      </w:pPr>
      <w:r w:rsidRPr="006B5C45">
        <w:rPr>
          <w:rFonts w:ascii="Calibri" w:hAnsi="Calibri" w:cs="Calibri"/>
          <w:noProof/>
          <w:lang w:val="de-DE"/>
        </w:rPr>
        <w:t xml:space="preserve">8. </w:t>
      </w:r>
      <w:r w:rsidRPr="006B5C45">
        <w:rPr>
          <w:rFonts w:ascii="Calibri" w:hAnsi="Calibri" w:cs="Calibri"/>
          <w:noProof/>
          <w:lang w:val="de-DE"/>
        </w:rPr>
        <w:tab/>
        <w:t xml:space="preserve">Shafer KM, Mann N, Hehn R, Ubeda Tikkanen A, Valente AM, Geva T, et al. </w:t>
      </w:r>
      <w:r w:rsidRPr="00A85D18">
        <w:rPr>
          <w:rFonts w:ascii="Calibri" w:hAnsi="Calibri" w:cs="Calibri"/>
          <w:noProof/>
        </w:rPr>
        <w:t xml:space="preserve">Relationship between Exercise Parameters and Noninvasive Indices of Right Ventricular Function in Patients with Biventricular Circulation and Systemic Right Ventricle. Congenit Heart Dis. 2015;10(5):457–65. </w:t>
      </w:r>
    </w:p>
    <w:p w14:paraId="24F650EB" w14:textId="77777777" w:rsidR="00A85D18" w:rsidRPr="006B5C45" w:rsidRDefault="00A85D18" w:rsidP="00A85D18">
      <w:pPr>
        <w:widowControl w:val="0"/>
        <w:autoSpaceDE w:val="0"/>
        <w:autoSpaceDN w:val="0"/>
        <w:adjustRightInd w:val="0"/>
        <w:spacing w:line="480" w:lineRule="auto"/>
        <w:ind w:left="640" w:hanging="640"/>
        <w:rPr>
          <w:rFonts w:ascii="Calibri" w:hAnsi="Calibri" w:cs="Calibri"/>
          <w:noProof/>
          <w:lang w:val="it-IT"/>
        </w:rPr>
      </w:pPr>
      <w:r w:rsidRPr="00A85D18">
        <w:rPr>
          <w:rFonts w:ascii="Calibri" w:hAnsi="Calibri" w:cs="Calibri"/>
          <w:noProof/>
        </w:rPr>
        <w:t xml:space="preserve">9. </w:t>
      </w:r>
      <w:r w:rsidRPr="00A85D18">
        <w:rPr>
          <w:rFonts w:ascii="Calibri" w:hAnsi="Calibri" w:cs="Calibri"/>
          <w:noProof/>
        </w:rPr>
        <w:tab/>
        <w:t xml:space="preserve">Norozi K, Buchhorn R, Alpers V, Arnhold JO, Schoof S, Zoege M, et al. Relation of systemic ventricular function quantified by myocardial performance index (Tei) to cardiopulmonary exercise capacity in adults after Mustard procedure for transposition of the great arteries. </w:t>
      </w:r>
      <w:r w:rsidRPr="006B5C45">
        <w:rPr>
          <w:rFonts w:ascii="Calibri" w:hAnsi="Calibri" w:cs="Calibri"/>
          <w:noProof/>
          <w:lang w:val="it-IT"/>
        </w:rPr>
        <w:t xml:space="preserve">Am J Cardiol. 2005 Dec;96(12):1721–5. </w:t>
      </w:r>
    </w:p>
    <w:p w14:paraId="188B17EC" w14:textId="77777777" w:rsidR="00A85D18" w:rsidRPr="00A85D18" w:rsidRDefault="00A85D18" w:rsidP="00A85D18">
      <w:pPr>
        <w:widowControl w:val="0"/>
        <w:autoSpaceDE w:val="0"/>
        <w:autoSpaceDN w:val="0"/>
        <w:adjustRightInd w:val="0"/>
        <w:spacing w:line="480" w:lineRule="auto"/>
        <w:ind w:left="640" w:hanging="640"/>
        <w:rPr>
          <w:rFonts w:ascii="Calibri" w:hAnsi="Calibri" w:cs="Calibri"/>
          <w:noProof/>
        </w:rPr>
      </w:pPr>
      <w:r w:rsidRPr="006B5C45">
        <w:rPr>
          <w:rFonts w:ascii="Calibri" w:hAnsi="Calibri" w:cs="Calibri"/>
          <w:noProof/>
          <w:lang w:val="it-IT"/>
        </w:rPr>
        <w:t xml:space="preserve">10. </w:t>
      </w:r>
      <w:r w:rsidRPr="006B5C45">
        <w:rPr>
          <w:rFonts w:ascii="Calibri" w:hAnsi="Calibri" w:cs="Calibri"/>
          <w:noProof/>
          <w:lang w:val="it-IT"/>
        </w:rPr>
        <w:tab/>
        <w:t xml:space="preserve">Gavotto A, Abassi H, Rola M, Serrand C, Picot M-C, Iriart X, et al. </w:t>
      </w:r>
      <w:r w:rsidRPr="00A85D18">
        <w:rPr>
          <w:rFonts w:ascii="Calibri" w:hAnsi="Calibri" w:cs="Calibri"/>
          <w:noProof/>
        </w:rPr>
        <w:t xml:space="preserve">Factors associated with exercise capacity in patients with a systemic right ventricle. Int J Cardiol. 2019 Oct;292:230–5. </w:t>
      </w:r>
    </w:p>
    <w:p w14:paraId="2B217654" w14:textId="77777777" w:rsidR="00A85D18" w:rsidRPr="00A85D18" w:rsidRDefault="00A85D18" w:rsidP="00A85D18">
      <w:pPr>
        <w:widowControl w:val="0"/>
        <w:autoSpaceDE w:val="0"/>
        <w:autoSpaceDN w:val="0"/>
        <w:adjustRightInd w:val="0"/>
        <w:spacing w:line="480" w:lineRule="auto"/>
        <w:ind w:left="640" w:hanging="640"/>
        <w:rPr>
          <w:rFonts w:ascii="Calibri" w:hAnsi="Calibri" w:cs="Calibri"/>
          <w:noProof/>
        </w:rPr>
      </w:pPr>
      <w:r w:rsidRPr="00A85D18">
        <w:rPr>
          <w:rFonts w:ascii="Calibri" w:hAnsi="Calibri" w:cs="Calibri"/>
          <w:noProof/>
        </w:rPr>
        <w:t xml:space="preserve">11. </w:t>
      </w:r>
      <w:r w:rsidRPr="00A85D18">
        <w:rPr>
          <w:rFonts w:ascii="Calibri" w:hAnsi="Calibri" w:cs="Calibri"/>
          <w:noProof/>
        </w:rPr>
        <w:tab/>
        <w:t xml:space="preserve">Rog B, Salapa K, Okolska M, Dluzniewska N, Werynski P, Podolec P, et al. Clinical Evaluation of Exercise Capacity in Adults with Systemic Right Ventricle. Texas Hear Inst J. 2019 Feb;46(1):14–20. </w:t>
      </w:r>
    </w:p>
    <w:p w14:paraId="3DC533D5" w14:textId="77777777" w:rsidR="00A85D18" w:rsidRPr="00A85D18" w:rsidRDefault="00A85D18" w:rsidP="00A85D18">
      <w:pPr>
        <w:widowControl w:val="0"/>
        <w:autoSpaceDE w:val="0"/>
        <w:autoSpaceDN w:val="0"/>
        <w:adjustRightInd w:val="0"/>
        <w:spacing w:line="480" w:lineRule="auto"/>
        <w:ind w:left="640" w:hanging="640"/>
        <w:rPr>
          <w:rFonts w:ascii="Calibri" w:hAnsi="Calibri" w:cs="Calibri"/>
          <w:noProof/>
        </w:rPr>
      </w:pPr>
      <w:r w:rsidRPr="00A85D18">
        <w:rPr>
          <w:rFonts w:ascii="Calibri" w:hAnsi="Calibri" w:cs="Calibri"/>
          <w:noProof/>
        </w:rPr>
        <w:t xml:space="preserve">12. </w:t>
      </w:r>
      <w:r w:rsidRPr="00A85D18">
        <w:rPr>
          <w:rFonts w:ascii="Calibri" w:hAnsi="Calibri" w:cs="Calibri"/>
          <w:noProof/>
        </w:rPr>
        <w:tab/>
        <w:t xml:space="preserve">Pettersen E, Lindberg H, Smith H-J, Smevik B, Edvardsen T, Smiseth OA, et al. Left ventricular function in patients with transposition of the great arteries operated with atrial switch. Pediatr Cardiol. 2008 May;29(3):597–603. </w:t>
      </w:r>
    </w:p>
    <w:p w14:paraId="51623883" w14:textId="77777777" w:rsidR="00A85D18" w:rsidRPr="00A85D18" w:rsidRDefault="00A85D18" w:rsidP="00A85D18">
      <w:pPr>
        <w:widowControl w:val="0"/>
        <w:autoSpaceDE w:val="0"/>
        <w:autoSpaceDN w:val="0"/>
        <w:adjustRightInd w:val="0"/>
        <w:spacing w:line="480" w:lineRule="auto"/>
        <w:ind w:left="640" w:hanging="640"/>
        <w:rPr>
          <w:rFonts w:ascii="Calibri" w:hAnsi="Calibri" w:cs="Calibri"/>
          <w:noProof/>
        </w:rPr>
      </w:pPr>
      <w:r w:rsidRPr="00A85D18">
        <w:rPr>
          <w:rFonts w:ascii="Calibri" w:hAnsi="Calibri" w:cs="Calibri"/>
          <w:noProof/>
        </w:rPr>
        <w:t xml:space="preserve">13. </w:t>
      </w:r>
      <w:r w:rsidRPr="00A85D18">
        <w:rPr>
          <w:rFonts w:ascii="Calibri" w:hAnsi="Calibri" w:cs="Calibri"/>
          <w:noProof/>
        </w:rPr>
        <w:tab/>
        <w:t xml:space="preserve">Surkova E, Segura T, Dimopoulos K, Bispo D, Flick C, West C, et al. Systolic dysfunction of </w:t>
      </w:r>
      <w:r w:rsidRPr="00A85D18">
        <w:rPr>
          <w:rFonts w:ascii="Calibri" w:hAnsi="Calibri" w:cs="Calibri"/>
          <w:noProof/>
        </w:rPr>
        <w:lastRenderedPageBreak/>
        <w:t xml:space="preserve">the subpulmonary left ventricle is associated with the  severity of heart failure in patients with a systemic right ventricle. Int J Cardiol. 2021 Feb;324:66–71. </w:t>
      </w:r>
    </w:p>
    <w:p w14:paraId="401ED407" w14:textId="26EB4C65" w:rsidR="00A85D18" w:rsidRPr="00A85D18" w:rsidRDefault="00A85D18" w:rsidP="00A85D18">
      <w:pPr>
        <w:widowControl w:val="0"/>
        <w:autoSpaceDE w:val="0"/>
        <w:autoSpaceDN w:val="0"/>
        <w:adjustRightInd w:val="0"/>
        <w:spacing w:line="480" w:lineRule="auto"/>
        <w:ind w:left="640" w:hanging="640"/>
        <w:rPr>
          <w:rFonts w:ascii="Calibri" w:hAnsi="Calibri" w:cs="Calibri"/>
          <w:noProof/>
        </w:rPr>
      </w:pPr>
      <w:r w:rsidRPr="00A85D18">
        <w:rPr>
          <w:rFonts w:ascii="Calibri" w:hAnsi="Calibri" w:cs="Calibri"/>
          <w:noProof/>
        </w:rPr>
        <w:t xml:space="preserve">14. </w:t>
      </w:r>
      <w:r w:rsidRPr="00A85D18">
        <w:rPr>
          <w:rFonts w:ascii="Calibri" w:hAnsi="Calibri" w:cs="Calibri"/>
          <w:noProof/>
        </w:rPr>
        <w:tab/>
        <w:t>Li W, West C, Mcghie J, Bosch AE Van Den, Babu-narayan S V, Meijboom F, et al. Consensus recommendations for echocardiography in adults with congenital heart defects from the International Society of Adult Congenital Heart Disease ( ISACHD ). Int J Cardiol. 2018;272:77–83. Available from: https://doi.org/10.1016/j.ijcard.2018.07.058</w:t>
      </w:r>
    </w:p>
    <w:p w14:paraId="79B8F398" w14:textId="77777777" w:rsidR="00A85D18" w:rsidRPr="00A85D18" w:rsidRDefault="00A85D18" w:rsidP="00A85D18">
      <w:pPr>
        <w:widowControl w:val="0"/>
        <w:autoSpaceDE w:val="0"/>
        <w:autoSpaceDN w:val="0"/>
        <w:adjustRightInd w:val="0"/>
        <w:spacing w:line="480" w:lineRule="auto"/>
        <w:ind w:left="640" w:hanging="640"/>
        <w:rPr>
          <w:rFonts w:ascii="Calibri" w:hAnsi="Calibri" w:cs="Calibri"/>
          <w:noProof/>
        </w:rPr>
      </w:pPr>
      <w:r w:rsidRPr="00A85D18">
        <w:rPr>
          <w:rFonts w:ascii="Calibri" w:hAnsi="Calibri" w:cs="Calibri"/>
          <w:noProof/>
        </w:rPr>
        <w:t xml:space="preserve">15. </w:t>
      </w:r>
      <w:r w:rsidRPr="00A85D18">
        <w:rPr>
          <w:rFonts w:ascii="Calibri" w:hAnsi="Calibri" w:cs="Calibri"/>
          <w:noProof/>
        </w:rPr>
        <w:tab/>
        <w:t xml:space="preserve">Blanche P, Dartigues J-F, Jacqmin-Gadda H. Estimating and comparing time-dependent areas under receiver operating  characteristic curves for censored event times with competing risks. Stat Med. 2013 Dec;32(30):5381–97. </w:t>
      </w:r>
    </w:p>
    <w:p w14:paraId="4766135E" w14:textId="4919B432" w:rsidR="00A85D18" w:rsidRPr="00A85D18" w:rsidRDefault="00A85D18" w:rsidP="00A85D18">
      <w:pPr>
        <w:widowControl w:val="0"/>
        <w:autoSpaceDE w:val="0"/>
        <w:autoSpaceDN w:val="0"/>
        <w:adjustRightInd w:val="0"/>
        <w:spacing w:line="480" w:lineRule="auto"/>
        <w:ind w:left="640" w:hanging="640"/>
        <w:rPr>
          <w:rFonts w:ascii="Calibri" w:hAnsi="Calibri" w:cs="Calibri"/>
          <w:noProof/>
        </w:rPr>
      </w:pPr>
      <w:r w:rsidRPr="00A85D18">
        <w:rPr>
          <w:rFonts w:ascii="Calibri" w:hAnsi="Calibri" w:cs="Calibri"/>
          <w:noProof/>
        </w:rPr>
        <w:t xml:space="preserve">16. </w:t>
      </w:r>
      <w:r w:rsidRPr="00A85D18">
        <w:rPr>
          <w:rFonts w:ascii="Calibri" w:hAnsi="Calibri" w:cs="Calibri"/>
          <w:noProof/>
        </w:rPr>
        <w:tab/>
        <w:t>Lang RM, Badano LP, Mor-Avi V, Afilalo J, Armstrong A, Ernande L, et al. Recommendations for Cardiac Chamber Quantification by Echocardiography in Adults: An Update from the American Society of Echocardiography and the European Association of Cardiovascular Imaging. J Am Soc Echocardiogr</w:t>
      </w:r>
      <w:r w:rsidR="002B41FB">
        <w:rPr>
          <w:rFonts w:ascii="Calibri" w:hAnsi="Calibri" w:cs="Calibri"/>
          <w:noProof/>
        </w:rPr>
        <w:t>.</w:t>
      </w:r>
      <w:r w:rsidRPr="00A85D18">
        <w:rPr>
          <w:rFonts w:ascii="Calibri" w:hAnsi="Calibri" w:cs="Calibri"/>
          <w:noProof/>
        </w:rPr>
        <w:t xml:space="preserve"> 2015;28(1):1-39.e14. Available from: http://dx.doi.org/10.1016/j.echo.2014.10.003</w:t>
      </w:r>
    </w:p>
    <w:p w14:paraId="3201CE72" w14:textId="77777777" w:rsidR="00A85D18" w:rsidRPr="00A85D18" w:rsidRDefault="00A85D18" w:rsidP="00A85D18">
      <w:pPr>
        <w:widowControl w:val="0"/>
        <w:autoSpaceDE w:val="0"/>
        <w:autoSpaceDN w:val="0"/>
        <w:adjustRightInd w:val="0"/>
        <w:spacing w:line="480" w:lineRule="auto"/>
        <w:ind w:left="640" w:hanging="640"/>
        <w:rPr>
          <w:rFonts w:ascii="Calibri" w:hAnsi="Calibri" w:cs="Calibri"/>
          <w:noProof/>
        </w:rPr>
      </w:pPr>
      <w:r w:rsidRPr="00A85D18">
        <w:rPr>
          <w:rFonts w:ascii="Calibri" w:hAnsi="Calibri" w:cs="Calibri"/>
          <w:noProof/>
        </w:rPr>
        <w:t xml:space="preserve">17. </w:t>
      </w:r>
      <w:r w:rsidRPr="00A85D18">
        <w:rPr>
          <w:rFonts w:ascii="Calibri" w:hAnsi="Calibri" w:cs="Calibri"/>
          <w:noProof/>
        </w:rPr>
        <w:tab/>
        <w:t xml:space="preserve">Vejlstrup N, Sorensen K, Mattsson E, Thilen U, Kvidal P, Johansson B, et al. Long-Term Outcome of Mustard/Senning Correction for Transposition of the Great Arteries in Sweden and Denmark. Circulation. 2015 Aug;132(8):633–8. </w:t>
      </w:r>
    </w:p>
    <w:p w14:paraId="0A59C854" w14:textId="77777777" w:rsidR="00A85D18" w:rsidRPr="00A85D18" w:rsidRDefault="00A85D18" w:rsidP="00A85D18">
      <w:pPr>
        <w:widowControl w:val="0"/>
        <w:autoSpaceDE w:val="0"/>
        <w:autoSpaceDN w:val="0"/>
        <w:adjustRightInd w:val="0"/>
        <w:spacing w:line="480" w:lineRule="auto"/>
        <w:ind w:left="640" w:hanging="640"/>
        <w:rPr>
          <w:rFonts w:ascii="Calibri" w:hAnsi="Calibri" w:cs="Calibri"/>
          <w:noProof/>
        </w:rPr>
      </w:pPr>
      <w:r w:rsidRPr="00A85D18">
        <w:rPr>
          <w:rFonts w:ascii="Calibri" w:hAnsi="Calibri" w:cs="Calibri"/>
          <w:noProof/>
        </w:rPr>
        <w:t xml:space="preserve">18. </w:t>
      </w:r>
      <w:r w:rsidRPr="00A85D18">
        <w:rPr>
          <w:rFonts w:ascii="Calibri" w:hAnsi="Calibri" w:cs="Calibri"/>
          <w:noProof/>
        </w:rPr>
        <w:tab/>
        <w:t xml:space="preserve">Winter MM, Bouma BJ, Hardziyenka M, De Bruin-Bon RHACM, Tan HL, Konings TC, et al. Echocardiographic determinants of the clinical condition in patients with a systemic right ventricle. Echocardiography. 2010 Nov;27(10):1247–55. </w:t>
      </w:r>
    </w:p>
    <w:p w14:paraId="3166FAFC" w14:textId="77777777" w:rsidR="00A85D18" w:rsidRPr="00A85D18" w:rsidRDefault="00A85D18" w:rsidP="00A85D18">
      <w:pPr>
        <w:widowControl w:val="0"/>
        <w:autoSpaceDE w:val="0"/>
        <w:autoSpaceDN w:val="0"/>
        <w:adjustRightInd w:val="0"/>
        <w:spacing w:line="480" w:lineRule="auto"/>
        <w:ind w:left="640" w:hanging="640"/>
        <w:rPr>
          <w:rFonts w:ascii="Calibri" w:hAnsi="Calibri" w:cs="Calibri"/>
          <w:noProof/>
        </w:rPr>
      </w:pPr>
      <w:r w:rsidRPr="00A85D18">
        <w:rPr>
          <w:rFonts w:ascii="Calibri" w:hAnsi="Calibri" w:cs="Calibri"/>
          <w:noProof/>
        </w:rPr>
        <w:t xml:space="preserve">19. </w:t>
      </w:r>
      <w:r w:rsidRPr="00A85D18">
        <w:rPr>
          <w:rFonts w:ascii="Calibri" w:hAnsi="Calibri" w:cs="Calibri"/>
          <w:noProof/>
        </w:rPr>
        <w:tab/>
        <w:t xml:space="preserve">Geenen LW, van Grootel RWJ, Akman K, Baggen VJM, Menting ME, Eindhoven JA, et al. Exploring the Prognostic Value of Novel Markers in Adults With a Systemic Right  Ventricle. J Am Heart Assoc. 2019 Sep;8(17):e013745. </w:t>
      </w:r>
    </w:p>
    <w:p w14:paraId="56B75F6D" w14:textId="77777777" w:rsidR="00A85D18" w:rsidRPr="00A85D18" w:rsidRDefault="00A85D18" w:rsidP="00A85D18">
      <w:pPr>
        <w:widowControl w:val="0"/>
        <w:autoSpaceDE w:val="0"/>
        <w:autoSpaceDN w:val="0"/>
        <w:adjustRightInd w:val="0"/>
        <w:spacing w:line="480" w:lineRule="auto"/>
        <w:ind w:left="640" w:hanging="640"/>
        <w:rPr>
          <w:rFonts w:ascii="Calibri" w:hAnsi="Calibri" w:cs="Calibri"/>
          <w:noProof/>
        </w:rPr>
      </w:pPr>
      <w:r w:rsidRPr="00A85D18">
        <w:rPr>
          <w:rFonts w:ascii="Calibri" w:hAnsi="Calibri" w:cs="Calibri"/>
          <w:noProof/>
        </w:rPr>
        <w:lastRenderedPageBreak/>
        <w:t xml:space="preserve">20. </w:t>
      </w:r>
      <w:r w:rsidRPr="00A85D18">
        <w:rPr>
          <w:rFonts w:ascii="Calibri" w:hAnsi="Calibri" w:cs="Calibri"/>
          <w:noProof/>
        </w:rPr>
        <w:tab/>
        <w:t xml:space="preserve">Santens B, Helsen F, Van De Bruaene A, De Meester P, Budts A-L, Troost E, et al. Adverse functional remodelling of the subpulmonary left ventricle in patients  with a systemic right ventricle is associated with clinical outcome. Eur Hear journal Cardiovasc Imaging. 2022 Apr;23(5):680–8. </w:t>
      </w:r>
    </w:p>
    <w:p w14:paraId="53D4B62F" w14:textId="77777777" w:rsidR="00A85D18" w:rsidRPr="00A85D18" w:rsidRDefault="00A85D18" w:rsidP="00A85D18">
      <w:pPr>
        <w:widowControl w:val="0"/>
        <w:autoSpaceDE w:val="0"/>
        <w:autoSpaceDN w:val="0"/>
        <w:adjustRightInd w:val="0"/>
        <w:spacing w:line="480" w:lineRule="auto"/>
        <w:ind w:left="640" w:hanging="640"/>
        <w:rPr>
          <w:rFonts w:ascii="Calibri" w:hAnsi="Calibri" w:cs="Calibri"/>
          <w:noProof/>
        </w:rPr>
      </w:pPr>
      <w:r w:rsidRPr="00A85D18">
        <w:rPr>
          <w:rFonts w:ascii="Calibri" w:hAnsi="Calibri" w:cs="Calibri"/>
          <w:noProof/>
        </w:rPr>
        <w:t xml:space="preserve">21. </w:t>
      </w:r>
      <w:r w:rsidRPr="00A85D18">
        <w:rPr>
          <w:rFonts w:ascii="Calibri" w:hAnsi="Calibri" w:cs="Calibri"/>
          <w:noProof/>
        </w:rPr>
        <w:tab/>
        <w:t xml:space="preserve">Storsten P, Eriksen M, Remme EW, Boe E, Erikssen G, Smiseth OA, et al. Dysfunction of the systemic right ventricle after atrial switch: physiological implications of altered septal geometry and load. J Appl Physiol. 2018 Nov;125(5):1482–9. </w:t>
      </w:r>
    </w:p>
    <w:p w14:paraId="225DFDE5" w14:textId="7A22CB49" w:rsidR="00A85D18" w:rsidRPr="00A85D18" w:rsidRDefault="00A85D18" w:rsidP="00A85D18">
      <w:pPr>
        <w:widowControl w:val="0"/>
        <w:autoSpaceDE w:val="0"/>
        <w:autoSpaceDN w:val="0"/>
        <w:adjustRightInd w:val="0"/>
        <w:spacing w:line="480" w:lineRule="auto"/>
        <w:ind w:left="640" w:hanging="640"/>
        <w:rPr>
          <w:rFonts w:ascii="Calibri" w:hAnsi="Calibri" w:cs="Calibri"/>
          <w:noProof/>
        </w:rPr>
      </w:pPr>
      <w:r w:rsidRPr="00A85D18">
        <w:rPr>
          <w:rFonts w:ascii="Calibri" w:hAnsi="Calibri" w:cs="Calibri"/>
          <w:noProof/>
        </w:rPr>
        <w:t xml:space="preserve">22. </w:t>
      </w:r>
      <w:r w:rsidRPr="00A85D18">
        <w:rPr>
          <w:rFonts w:ascii="Calibri" w:hAnsi="Calibri" w:cs="Calibri"/>
          <w:noProof/>
        </w:rPr>
        <w:tab/>
        <w:t>Chow P, Liang X, Cheung Y. Diastolic ventricular interaction in patients after atrial switch for transposition of the great arteries: A speckle tracking echocardiographic study. Int J Cardiol. 2011 Oct 6;152(1):28–34. Available from: https://doi.org/10.1016/j.ijcard.2010.05.078</w:t>
      </w:r>
    </w:p>
    <w:p w14:paraId="0AE20559" w14:textId="77777777" w:rsidR="00A85D18" w:rsidRPr="00A85D18" w:rsidRDefault="00A85D18" w:rsidP="00A85D18">
      <w:pPr>
        <w:widowControl w:val="0"/>
        <w:autoSpaceDE w:val="0"/>
        <w:autoSpaceDN w:val="0"/>
        <w:adjustRightInd w:val="0"/>
        <w:spacing w:line="480" w:lineRule="auto"/>
        <w:ind w:left="640" w:hanging="640"/>
        <w:rPr>
          <w:rFonts w:ascii="Calibri" w:hAnsi="Calibri" w:cs="Calibri"/>
          <w:noProof/>
        </w:rPr>
      </w:pPr>
      <w:r w:rsidRPr="006B5C45">
        <w:rPr>
          <w:rFonts w:ascii="Calibri" w:hAnsi="Calibri" w:cs="Calibri"/>
          <w:noProof/>
          <w:lang w:val="de-DE"/>
        </w:rPr>
        <w:t xml:space="preserve">23. </w:t>
      </w:r>
      <w:r w:rsidRPr="006B5C45">
        <w:rPr>
          <w:rFonts w:ascii="Calibri" w:hAnsi="Calibri" w:cs="Calibri"/>
          <w:noProof/>
          <w:lang w:val="de-DE"/>
        </w:rPr>
        <w:tab/>
        <w:t xml:space="preserve">Stauber A, Wey C, Greutmann M, Tobler D, Wustmann K, Wahl A, et al. </w:t>
      </w:r>
      <w:r w:rsidRPr="00A85D18">
        <w:rPr>
          <w:rFonts w:ascii="Calibri" w:hAnsi="Calibri" w:cs="Calibri"/>
          <w:noProof/>
        </w:rPr>
        <w:t xml:space="preserve">Left ventricular outflow tract obstruction and its impact on systolic ventricular function and exercise capacity in adults with a subaortic right ventricle. Int J Cardiol. 2017 Oct;244:139–42. </w:t>
      </w:r>
    </w:p>
    <w:p w14:paraId="1BF3E1EE" w14:textId="7532F317" w:rsidR="00A85D18" w:rsidRPr="00A85D18" w:rsidRDefault="00A85D18" w:rsidP="00A85D18">
      <w:pPr>
        <w:widowControl w:val="0"/>
        <w:autoSpaceDE w:val="0"/>
        <w:autoSpaceDN w:val="0"/>
        <w:adjustRightInd w:val="0"/>
        <w:spacing w:line="480" w:lineRule="auto"/>
        <w:ind w:left="640" w:hanging="640"/>
        <w:rPr>
          <w:rFonts w:ascii="Calibri" w:hAnsi="Calibri" w:cs="Calibri"/>
          <w:noProof/>
        </w:rPr>
      </w:pPr>
      <w:r w:rsidRPr="00A85D18">
        <w:rPr>
          <w:rFonts w:ascii="Calibri" w:hAnsi="Calibri" w:cs="Calibri"/>
          <w:noProof/>
        </w:rPr>
        <w:t xml:space="preserve">24. </w:t>
      </w:r>
      <w:r w:rsidRPr="00A85D18">
        <w:rPr>
          <w:rFonts w:ascii="Calibri" w:hAnsi="Calibri" w:cs="Calibri"/>
          <w:noProof/>
        </w:rPr>
        <w:tab/>
        <w:t xml:space="preserve">Surkova E, Dimopoulos K, Li W. Reply to: “Systolic dysfunction of the subpulmonary left ventricle in the  systemic right ventricle: late manifestation or subclinical predictor of heart failure?”. International journal of cardiology. </w:t>
      </w:r>
      <w:r w:rsidR="001620FF" w:rsidRPr="001620FF">
        <w:rPr>
          <w:rFonts w:ascii="Calibri" w:hAnsi="Calibri" w:cs="Calibri"/>
          <w:noProof/>
        </w:rPr>
        <w:t>2021 Jun 15;333:97</w:t>
      </w:r>
      <w:r w:rsidRPr="00A85D18">
        <w:rPr>
          <w:rFonts w:ascii="Calibri" w:hAnsi="Calibri" w:cs="Calibri"/>
          <w:noProof/>
        </w:rPr>
        <w:t xml:space="preserve">. </w:t>
      </w:r>
    </w:p>
    <w:p w14:paraId="762F1C95" w14:textId="77777777" w:rsidR="00A85D18" w:rsidRPr="00A85D18" w:rsidRDefault="00A85D18" w:rsidP="00A85D18">
      <w:pPr>
        <w:widowControl w:val="0"/>
        <w:autoSpaceDE w:val="0"/>
        <w:autoSpaceDN w:val="0"/>
        <w:adjustRightInd w:val="0"/>
        <w:spacing w:line="480" w:lineRule="auto"/>
        <w:ind w:left="640" w:hanging="640"/>
        <w:rPr>
          <w:rFonts w:ascii="Calibri" w:hAnsi="Calibri" w:cs="Calibri"/>
          <w:noProof/>
        </w:rPr>
      </w:pPr>
      <w:r w:rsidRPr="00A85D18">
        <w:rPr>
          <w:rFonts w:ascii="Calibri" w:hAnsi="Calibri" w:cs="Calibri"/>
          <w:noProof/>
        </w:rPr>
        <w:t xml:space="preserve">25. </w:t>
      </w:r>
      <w:r w:rsidRPr="00A85D18">
        <w:rPr>
          <w:rFonts w:ascii="Calibri" w:hAnsi="Calibri" w:cs="Calibri"/>
          <w:noProof/>
        </w:rPr>
        <w:tab/>
        <w:t xml:space="preserve">Van De Bruaene A, Toh N, Hickey EJ, Benson L, Horlick E, Granton JT, et al. Pulmonary hypertension in patients with a subaortic right ventricle: prevalence,  impact and management. Heart. 2019 Oct;105(19):1471–8. </w:t>
      </w:r>
    </w:p>
    <w:p w14:paraId="08687805" w14:textId="77777777" w:rsidR="00A85D18" w:rsidRPr="00A85D18" w:rsidRDefault="00A85D18" w:rsidP="00A85D18">
      <w:pPr>
        <w:widowControl w:val="0"/>
        <w:autoSpaceDE w:val="0"/>
        <w:autoSpaceDN w:val="0"/>
        <w:adjustRightInd w:val="0"/>
        <w:spacing w:line="480" w:lineRule="auto"/>
        <w:ind w:left="640" w:hanging="640"/>
        <w:rPr>
          <w:rFonts w:ascii="Calibri" w:hAnsi="Calibri" w:cs="Calibri"/>
          <w:noProof/>
        </w:rPr>
      </w:pPr>
      <w:r w:rsidRPr="00A85D18">
        <w:rPr>
          <w:rFonts w:ascii="Calibri" w:hAnsi="Calibri" w:cs="Calibri"/>
          <w:noProof/>
        </w:rPr>
        <w:t xml:space="preserve">26. </w:t>
      </w:r>
      <w:r w:rsidRPr="00A85D18">
        <w:rPr>
          <w:rFonts w:ascii="Calibri" w:hAnsi="Calibri" w:cs="Calibri"/>
          <w:noProof/>
        </w:rPr>
        <w:tab/>
        <w:t xml:space="preserve">Shehu N, Meierhofer C, Messroghli D, Mkrtchyan N, Martinoff S, Ewert P, et al. Diffuse fibrosis is common in the left, but not in the right ventricle in patients with transposition of the great arteries late after atrial switch operation. Int J Cardiovasc Imaging. 2018 </w:t>
      </w:r>
      <w:r w:rsidRPr="00A85D18">
        <w:rPr>
          <w:rFonts w:ascii="Calibri" w:hAnsi="Calibri" w:cs="Calibri"/>
          <w:noProof/>
        </w:rPr>
        <w:lastRenderedPageBreak/>
        <w:t xml:space="preserve">Aug;34(8):1241–8. </w:t>
      </w:r>
    </w:p>
    <w:p w14:paraId="2AD0FCE8" w14:textId="2788071A" w:rsidR="00A85D18" w:rsidRPr="00A85D18" w:rsidRDefault="00A85D18" w:rsidP="00A85D18">
      <w:pPr>
        <w:widowControl w:val="0"/>
        <w:autoSpaceDE w:val="0"/>
        <w:autoSpaceDN w:val="0"/>
        <w:adjustRightInd w:val="0"/>
        <w:spacing w:line="480" w:lineRule="auto"/>
        <w:ind w:left="640" w:hanging="640"/>
        <w:rPr>
          <w:rFonts w:ascii="Calibri" w:hAnsi="Calibri" w:cs="Calibri"/>
          <w:noProof/>
        </w:rPr>
      </w:pPr>
      <w:r w:rsidRPr="00A85D18">
        <w:rPr>
          <w:rFonts w:ascii="Calibri" w:hAnsi="Calibri" w:cs="Calibri"/>
          <w:noProof/>
        </w:rPr>
        <w:t xml:space="preserve">27. </w:t>
      </w:r>
      <w:r w:rsidRPr="00A85D18">
        <w:rPr>
          <w:rFonts w:ascii="Calibri" w:hAnsi="Calibri" w:cs="Calibri"/>
          <w:noProof/>
        </w:rPr>
        <w:tab/>
        <w:t xml:space="preserve">Cheung Y-F, Lam WWM, So EKF, Chow P-C. Differential myocardial fibrosis of the systemic right ventricle and subpulmonary  left ventricle after atrial switch operation for complete transposition of the great arteries. Int J Cardiol Hear Vasc. 2020 </w:t>
      </w:r>
      <w:r w:rsidR="001620FF" w:rsidRPr="001620FF">
        <w:rPr>
          <w:rFonts w:ascii="Calibri" w:hAnsi="Calibri" w:cs="Calibri"/>
          <w:noProof/>
        </w:rPr>
        <w:t>Aug 11;30:100612.</w:t>
      </w:r>
      <w:r w:rsidRPr="00A85D18">
        <w:rPr>
          <w:rFonts w:ascii="Calibri" w:hAnsi="Calibri" w:cs="Calibri"/>
          <w:noProof/>
        </w:rPr>
        <w:t xml:space="preserve"> </w:t>
      </w:r>
    </w:p>
    <w:p w14:paraId="632FE7E9" w14:textId="2E8326C0" w:rsidR="00135DFE" w:rsidRPr="00326CF9" w:rsidRDefault="00135DFE" w:rsidP="00A85D18">
      <w:pPr>
        <w:widowControl w:val="0"/>
        <w:autoSpaceDE w:val="0"/>
        <w:autoSpaceDN w:val="0"/>
        <w:adjustRightInd w:val="0"/>
        <w:spacing w:line="480" w:lineRule="auto"/>
        <w:ind w:left="640" w:hanging="640"/>
        <w:rPr>
          <w:rFonts w:ascii="Calibri" w:hAnsi="Calibri" w:cs="Calibri"/>
          <w:b/>
          <w:color w:val="FF0000"/>
          <w:lang w:val="en-US"/>
        </w:rPr>
      </w:pPr>
      <w:r w:rsidRPr="00326CF9">
        <w:rPr>
          <w:rFonts w:ascii="Calibri" w:hAnsi="Calibri" w:cs="Calibri"/>
          <w:b/>
          <w:color w:val="FF0000"/>
          <w:lang w:val="en-US"/>
        </w:rPr>
        <w:fldChar w:fldCharType="end"/>
      </w:r>
    </w:p>
    <w:p w14:paraId="21D65E03" w14:textId="131F2F89" w:rsidR="008A4D34" w:rsidRPr="00326CF9" w:rsidRDefault="008A4D34" w:rsidP="00326CF9">
      <w:pPr>
        <w:spacing w:line="480" w:lineRule="auto"/>
        <w:rPr>
          <w:rFonts w:ascii="Calibri" w:hAnsi="Calibri" w:cs="Calibri"/>
          <w:b/>
          <w:color w:val="FF0000"/>
          <w:lang w:val="en-US"/>
        </w:rPr>
      </w:pPr>
      <w:r w:rsidRPr="00326CF9">
        <w:rPr>
          <w:rFonts w:ascii="Calibri" w:hAnsi="Calibri" w:cs="Calibri"/>
          <w:b/>
          <w:color w:val="FF0000"/>
          <w:lang w:val="en-US"/>
        </w:rPr>
        <w:br w:type="page"/>
      </w:r>
    </w:p>
    <w:p w14:paraId="3D97CC3A" w14:textId="6909BE87" w:rsidR="009B7AE9" w:rsidRPr="00326CF9" w:rsidRDefault="009B7AE9" w:rsidP="00E95D19">
      <w:pPr>
        <w:pStyle w:val="Heading1"/>
      </w:pPr>
      <w:r w:rsidRPr="00326CF9">
        <w:lastRenderedPageBreak/>
        <w:t>Figure legends</w:t>
      </w:r>
    </w:p>
    <w:p w14:paraId="3A06A965" w14:textId="0652877C" w:rsidR="009B7AE9" w:rsidRPr="00326CF9" w:rsidRDefault="009B7AE9" w:rsidP="00FF19A0">
      <w:pPr>
        <w:pStyle w:val="Heading2"/>
      </w:pPr>
      <w:r w:rsidRPr="00326CF9">
        <w:t>Figure 1</w:t>
      </w:r>
    </w:p>
    <w:p w14:paraId="272461E9" w14:textId="1CF1EADC" w:rsidR="00E8743A" w:rsidRPr="00326CF9" w:rsidRDefault="00E8743A" w:rsidP="00326CF9">
      <w:pPr>
        <w:spacing w:line="480" w:lineRule="auto"/>
        <w:jc w:val="both"/>
        <w:rPr>
          <w:rFonts w:ascii="Calibri" w:hAnsi="Calibri" w:cs="Calibri"/>
        </w:rPr>
      </w:pPr>
      <w:r w:rsidRPr="00326CF9">
        <w:rPr>
          <w:rFonts w:ascii="Calibri" w:hAnsi="Calibri" w:cs="Calibri"/>
        </w:rPr>
        <w:t xml:space="preserve">Results of univariable Cox proportional hazards regression analysis for mortality or heart/heart-lung transplantation. BNP, b-type natriuretic peptide; </w:t>
      </w:r>
      <w:proofErr w:type="spellStart"/>
      <w:r w:rsidRPr="00326CF9">
        <w:rPr>
          <w:rFonts w:ascii="Calibri" w:hAnsi="Calibri" w:cs="Calibri"/>
        </w:rPr>
        <w:t>EDAi</w:t>
      </w:r>
      <w:proofErr w:type="spellEnd"/>
      <w:r w:rsidRPr="00326CF9">
        <w:rPr>
          <w:rFonts w:ascii="Calibri" w:hAnsi="Calibri" w:cs="Calibri"/>
        </w:rPr>
        <w:t xml:space="preserve">, end-diastolic area index; </w:t>
      </w:r>
      <w:proofErr w:type="spellStart"/>
      <w:r w:rsidRPr="00326CF9">
        <w:rPr>
          <w:rFonts w:ascii="Calibri" w:hAnsi="Calibri" w:cs="Calibri"/>
        </w:rPr>
        <w:t>EDDi</w:t>
      </w:r>
      <w:proofErr w:type="spellEnd"/>
      <w:r w:rsidRPr="00326CF9">
        <w:rPr>
          <w:rFonts w:ascii="Calibri" w:hAnsi="Calibri" w:cs="Calibri"/>
        </w:rPr>
        <w:t>, end-</w:t>
      </w:r>
      <w:r w:rsidR="00FB0216" w:rsidRPr="00326CF9">
        <w:rPr>
          <w:rFonts w:ascii="Calibri" w:hAnsi="Calibri" w:cs="Calibri"/>
        </w:rPr>
        <w:t>diastolic</w:t>
      </w:r>
      <w:r w:rsidRPr="00326CF9">
        <w:rPr>
          <w:rFonts w:ascii="Calibri" w:hAnsi="Calibri" w:cs="Calibri"/>
        </w:rPr>
        <w:t xml:space="preserve"> dimension index; </w:t>
      </w:r>
      <w:proofErr w:type="spellStart"/>
      <w:r w:rsidRPr="00326CF9">
        <w:rPr>
          <w:rFonts w:ascii="Calibri" w:hAnsi="Calibri" w:cs="Calibri"/>
        </w:rPr>
        <w:t>ESDi</w:t>
      </w:r>
      <w:proofErr w:type="spellEnd"/>
      <w:r w:rsidRPr="00326CF9">
        <w:rPr>
          <w:rFonts w:ascii="Calibri" w:hAnsi="Calibri" w:cs="Calibri"/>
        </w:rPr>
        <w:t xml:space="preserve">, end-systolic dimension index; FAC, fractional area change; ICD, implantable cardioverter defibrillator; LV, (subpulmonary) left ventricle; </w:t>
      </w:r>
      <w:r w:rsidR="00D36B4F" w:rsidRPr="00326CF9">
        <w:rPr>
          <w:rFonts w:ascii="Calibri" w:hAnsi="Calibri" w:cs="Calibri"/>
        </w:rPr>
        <w:t xml:space="preserve">MAPSE, mitral annular plane systolic excursion; </w:t>
      </w:r>
      <w:r w:rsidRPr="00326CF9">
        <w:rPr>
          <w:rFonts w:ascii="Calibri" w:hAnsi="Calibri" w:cs="Calibri"/>
        </w:rPr>
        <w:t>NYHA, Hew York Heart Association; S’, DTI-derived lateral annular systolic velocity wave; SRV, systemic right ventricle</w:t>
      </w:r>
      <w:r w:rsidR="00D36B4F" w:rsidRPr="00326CF9">
        <w:rPr>
          <w:rFonts w:ascii="Calibri" w:hAnsi="Calibri" w:cs="Calibri"/>
        </w:rPr>
        <w:t>.</w:t>
      </w:r>
      <w:r w:rsidRPr="00326CF9">
        <w:rPr>
          <w:rFonts w:ascii="Calibri" w:hAnsi="Calibri" w:cs="Calibri"/>
        </w:rPr>
        <w:t xml:space="preserve"> </w:t>
      </w:r>
    </w:p>
    <w:p w14:paraId="1B034DB6" w14:textId="298FD73D" w:rsidR="009B7AE9" w:rsidRPr="00326CF9" w:rsidRDefault="009B7AE9" w:rsidP="00FF19A0">
      <w:pPr>
        <w:pStyle w:val="Heading2"/>
      </w:pPr>
      <w:r w:rsidRPr="00326CF9">
        <w:t>Figure 2</w:t>
      </w:r>
    </w:p>
    <w:p w14:paraId="2271640F" w14:textId="43E5936B" w:rsidR="00E8743A" w:rsidRPr="00326CF9" w:rsidRDefault="00E8743A" w:rsidP="00326CF9">
      <w:pPr>
        <w:pStyle w:val="FirstParagraph"/>
        <w:jc w:val="both"/>
        <w:rPr>
          <w:rFonts w:ascii="Calibri" w:hAnsi="Calibri" w:cs="Calibri"/>
        </w:rPr>
      </w:pPr>
      <w:r w:rsidRPr="00326CF9">
        <w:rPr>
          <w:rFonts w:ascii="Calibri" w:hAnsi="Calibri" w:cs="Calibri"/>
        </w:rPr>
        <w:t xml:space="preserve">Time-dependent ROC curves used to evaluate the predictive ability of echocardiographic variables on 1-, 3-, and 5-year transplant-free survival. </w:t>
      </w:r>
      <w:proofErr w:type="spellStart"/>
      <w:r w:rsidRPr="00326CF9">
        <w:rPr>
          <w:rFonts w:ascii="Calibri" w:hAnsi="Calibri" w:cs="Calibri"/>
        </w:rPr>
        <w:t>ESDi</w:t>
      </w:r>
      <w:proofErr w:type="spellEnd"/>
      <w:r w:rsidRPr="00326CF9">
        <w:rPr>
          <w:rFonts w:ascii="Calibri" w:hAnsi="Calibri" w:cs="Calibri"/>
        </w:rPr>
        <w:t>, end-systolic dimension index; FAC, fractional area change; LV, (pulmonary) left ventricle; S’, DTI-derived lateral annular systolic velocity wave; SRV, systemic right ventricle.</w:t>
      </w:r>
    </w:p>
    <w:p w14:paraId="46066232" w14:textId="285100E4" w:rsidR="009B7AE9" w:rsidRPr="00CC736C" w:rsidRDefault="00CC736C" w:rsidP="00C63897">
      <w:pPr>
        <w:pStyle w:val="Heading2"/>
      </w:pPr>
      <w:r w:rsidRPr="00CC736C">
        <w:t>Supplementary Figure 1</w:t>
      </w:r>
    </w:p>
    <w:p w14:paraId="7912410B" w14:textId="5098704A" w:rsidR="00C63897" w:rsidRPr="00326CF9" w:rsidRDefault="006B5C45" w:rsidP="00C63897">
      <w:pPr>
        <w:pStyle w:val="FirstParagraph"/>
        <w:jc w:val="both"/>
        <w:rPr>
          <w:rFonts w:ascii="Calibri" w:hAnsi="Calibri" w:cs="Calibri"/>
        </w:rPr>
      </w:pPr>
      <w:r w:rsidRPr="006B5C45">
        <w:rPr>
          <w:rFonts w:ascii="Calibri" w:hAnsi="Calibri" w:cs="Calibri"/>
        </w:rPr>
        <w:t>Threshold analysis for echocardiographic variables presented as a functional form of the unadjusted relationship between each variable and the hazard of death or transplantation, and 95% confidence intervals using smoothing splines. Variable density is also plotted (grey)</w:t>
      </w:r>
      <w:r w:rsidR="00C63897">
        <w:rPr>
          <w:rFonts w:ascii="Calibri" w:hAnsi="Calibri" w:cs="Calibri"/>
        </w:rPr>
        <w:t xml:space="preserve">. </w:t>
      </w:r>
      <w:r w:rsidR="00C63897" w:rsidRPr="00326CF9">
        <w:rPr>
          <w:rFonts w:ascii="Calibri" w:hAnsi="Calibri" w:cs="Calibri"/>
        </w:rPr>
        <w:t>ESDi, end-systolic dimension index; FAC, fractional area change; LV, (pulmonary) left ventricle; SRV, systemic right ventricle.</w:t>
      </w:r>
    </w:p>
    <w:p w14:paraId="469BE559" w14:textId="4C563EB4" w:rsidR="00CC736C" w:rsidRPr="00C63897" w:rsidRDefault="00CC736C" w:rsidP="00326CF9">
      <w:pPr>
        <w:spacing w:line="480" w:lineRule="auto"/>
        <w:rPr>
          <w:rFonts w:ascii="Calibri" w:hAnsi="Calibri" w:cs="Calibri"/>
          <w:lang w:val="en-US"/>
        </w:rPr>
      </w:pPr>
    </w:p>
    <w:p w14:paraId="5393656A" w14:textId="70424965" w:rsidR="009B7AE9" w:rsidRPr="00326CF9" w:rsidRDefault="009B7AE9" w:rsidP="00326CF9">
      <w:pPr>
        <w:spacing w:line="480" w:lineRule="auto"/>
        <w:rPr>
          <w:rFonts w:ascii="Calibri" w:eastAsiaTheme="majorEastAsia" w:hAnsi="Calibri" w:cs="Calibri"/>
          <w:b/>
          <w:bCs/>
          <w:sz w:val="28"/>
          <w:szCs w:val="28"/>
          <w:lang w:val="en-US"/>
        </w:rPr>
      </w:pPr>
      <w:r w:rsidRPr="00326CF9">
        <w:rPr>
          <w:rFonts w:ascii="Calibri" w:hAnsi="Calibri" w:cs="Calibri"/>
        </w:rPr>
        <w:br w:type="page"/>
      </w:r>
    </w:p>
    <w:p w14:paraId="3F8FB070" w14:textId="22F04CD8" w:rsidR="00326CF9" w:rsidRPr="00326CF9" w:rsidRDefault="00326CF9" w:rsidP="000C62B0">
      <w:pPr>
        <w:pStyle w:val="Heading1"/>
      </w:pPr>
      <w:r w:rsidRPr="00326CF9">
        <w:lastRenderedPageBreak/>
        <w:t>Table 1</w:t>
      </w:r>
    </w:p>
    <w:p w14:paraId="17FD56E6" w14:textId="3994C353" w:rsidR="008A4D34" w:rsidRPr="00326CF9" w:rsidRDefault="008A4D34" w:rsidP="00326CF9">
      <w:pPr>
        <w:spacing w:line="480" w:lineRule="auto"/>
        <w:rPr>
          <w:rFonts w:ascii="Calibri" w:hAnsi="Calibri" w:cs="Calibri"/>
          <w:bCs/>
          <w:lang w:val="en-US"/>
        </w:rPr>
      </w:pPr>
      <w:r w:rsidRPr="00326CF9">
        <w:rPr>
          <w:rFonts w:ascii="Calibri" w:hAnsi="Calibri" w:cs="Calibri"/>
          <w:bCs/>
          <w:lang w:val="en-US"/>
        </w:rPr>
        <w:t xml:space="preserve">Baseline demographic and clinical characteristics overall and according to </w:t>
      </w:r>
      <w:r w:rsidR="00E95D19">
        <w:rPr>
          <w:rFonts w:ascii="Calibri" w:hAnsi="Calibri" w:cs="Calibri"/>
          <w:bCs/>
          <w:lang w:val="en-US"/>
        </w:rPr>
        <w:t>presence of subpulmonary LV dysfunction (FAC</w:t>
      </w:r>
      <w:r w:rsidR="006C3058">
        <w:rPr>
          <w:rFonts w:ascii="Calibri" w:hAnsi="Calibri" w:cs="Calibri"/>
          <w:bCs/>
          <w:lang w:val="en-US"/>
        </w:rPr>
        <w:t xml:space="preserve"> &lt;40%)</w:t>
      </w:r>
      <w:r w:rsidRPr="00326CF9">
        <w:rPr>
          <w:rFonts w:ascii="Calibri" w:hAnsi="Calibri" w:cs="Calibri"/>
          <w:bCs/>
          <w:lang w:val="en-US"/>
        </w:rPr>
        <w:t>.</w:t>
      </w:r>
    </w:p>
    <w:p w14:paraId="5FD536F3" w14:textId="78A6C530" w:rsidR="008A4D34" w:rsidRPr="00326CF9" w:rsidRDefault="008A4D34" w:rsidP="00326CF9">
      <w:pPr>
        <w:spacing w:line="480" w:lineRule="auto"/>
        <w:rPr>
          <w:rFonts w:ascii="Calibri" w:hAnsi="Calibri" w:cs="Calibri"/>
          <w:bCs/>
          <w:lang w:val="en-US"/>
        </w:rPr>
      </w:pPr>
    </w:p>
    <w:tbl>
      <w:tblPr>
        <w:tblStyle w:val="TableGrid"/>
        <w:tblW w:w="9440" w:type="dxa"/>
        <w:tblLayout w:type="fixed"/>
        <w:tblLook w:val="04A0" w:firstRow="1" w:lastRow="0" w:firstColumn="1" w:lastColumn="0" w:noHBand="0" w:noVBand="1"/>
      </w:tblPr>
      <w:tblGrid>
        <w:gridCol w:w="2689"/>
        <w:gridCol w:w="1718"/>
        <w:gridCol w:w="1718"/>
        <w:gridCol w:w="1808"/>
        <w:gridCol w:w="1507"/>
      </w:tblGrid>
      <w:tr w:rsidR="00700816" w:rsidRPr="00326CF9" w14:paraId="7532F659" w14:textId="7AD83893" w:rsidTr="000C62B0">
        <w:tc>
          <w:tcPr>
            <w:tcW w:w="2689" w:type="dxa"/>
            <w:shd w:val="clear" w:color="auto" w:fill="D9D9D9" w:themeFill="background1" w:themeFillShade="D9"/>
          </w:tcPr>
          <w:p w14:paraId="4B46F0FE" w14:textId="4E36BE40" w:rsidR="008A4D34" w:rsidRPr="00326CF9" w:rsidRDefault="008A4D34" w:rsidP="00326CF9">
            <w:pPr>
              <w:spacing w:line="480" w:lineRule="auto"/>
              <w:jc w:val="center"/>
              <w:rPr>
                <w:rFonts w:ascii="Calibri" w:hAnsi="Calibri" w:cs="Calibri"/>
                <w:b/>
                <w:lang w:val="en-US"/>
              </w:rPr>
            </w:pPr>
            <w:r w:rsidRPr="00326CF9">
              <w:rPr>
                <w:rFonts w:ascii="Calibri" w:hAnsi="Calibri" w:cs="Calibri"/>
                <w:b/>
                <w:lang w:val="en-US"/>
              </w:rPr>
              <w:t>Variable</w:t>
            </w:r>
          </w:p>
        </w:tc>
        <w:tc>
          <w:tcPr>
            <w:tcW w:w="1718" w:type="dxa"/>
            <w:shd w:val="clear" w:color="auto" w:fill="D9D9D9" w:themeFill="background1" w:themeFillShade="D9"/>
          </w:tcPr>
          <w:p w14:paraId="2C834026" w14:textId="7CACDD8C" w:rsidR="008A4D34" w:rsidRPr="00326CF9" w:rsidRDefault="008A4D34" w:rsidP="00326CF9">
            <w:pPr>
              <w:spacing w:line="480" w:lineRule="auto"/>
              <w:jc w:val="center"/>
              <w:rPr>
                <w:rFonts w:ascii="Calibri" w:hAnsi="Calibri" w:cs="Calibri"/>
                <w:b/>
                <w:lang w:val="en-US"/>
              </w:rPr>
            </w:pPr>
            <w:r w:rsidRPr="00326CF9">
              <w:rPr>
                <w:rFonts w:ascii="Calibri" w:hAnsi="Calibri" w:cs="Calibri"/>
                <w:b/>
                <w:lang w:val="en-US"/>
              </w:rPr>
              <w:t>Overall</w:t>
            </w:r>
          </w:p>
          <w:p w14:paraId="7B981444" w14:textId="27F63CB2" w:rsidR="008A4D34" w:rsidRPr="00326CF9" w:rsidRDefault="008A4D34" w:rsidP="00326CF9">
            <w:pPr>
              <w:spacing w:line="480" w:lineRule="auto"/>
              <w:jc w:val="center"/>
              <w:rPr>
                <w:rFonts w:ascii="Calibri" w:hAnsi="Calibri" w:cs="Calibri"/>
                <w:b/>
                <w:lang w:val="en-US"/>
              </w:rPr>
            </w:pPr>
            <w:r w:rsidRPr="00326CF9">
              <w:rPr>
                <w:rFonts w:ascii="Calibri" w:hAnsi="Calibri" w:cs="Calibri"/>
                <w:b/>
                <w:lang w:val="en-US"/>
              </w:rPr>
              <w:t>(n=180)</w:t>
            </w:r>
          </w:p>
        </w:tc>
        <w:tc>
          <w:tcPr>
            <w:tcW w:w="1718" w:type="dxa"/>
            <w:shd w:val="clear" w:color="auto" w:fill="D9D9D9" w:themeFill="background1" w:themeFillShade="D9"/>
          </w:tcPr>
          <w:p w14:paraId="40CD3BBC" w14:textId="3B2D5FBF" w:rsidR="008A4D34" w:rsidRPr="00326CF9" w:rsidRDefault="00E95D19" w:rsidP="00326CF9">
            <w:pPr>
              <w:spacing w:line="480" w:lineRule="auto"/>
              <w:jc w:val="center"/>
              <w:rPr>
                <w:rFonts w:ascii="Calibri" w:hAnsi="Calibri" w:cs="Calibri"/>
                <w:b/>
                <w:lang w:val="en-US"/>
              </w:rPr>
            </w:pPr>
            <w:r>
              <w:rPr>
                <w:rFonts w:ascii="Calibri" w:hAnsi="Calibri" w:cs="Calibri"/>
                <w:b/>
                <w:lang w:val="en-US"/>
              </w:rPr>
              <w:t>Preserved LV function</w:t>
            </w:r>
          </w:p>
          <w:p w14:paraId="144E664C" w14:textId="56BF0272" w:rsidR="008A4D34" w:rsidRPr="00326CF9" w:rsidRDefault="008A4D34" w:rsidP="00326CF9">
            <w:pPr>
              <w:spacing w:line="480" w:lineRule="auto"/>
              <w:jc w:val="center"/>
              <w:rPr>
                <w:rFonts w:ascii="Calibri" w:hAnsi="Calibri" w:cs="Calibri"/>
                <w:b/>
                <w:lang w:val="en-US"/>
              </w:rPr>
            </w:pPr>
            <w:r w:rsidRPr="00326CF9">
              <w:rPr>
                <w:rFonts w:ascii="Calibri" w:hAnsi="Calibri" w:cs="Calibri"/>
                <w:b/>
                <w:lang w:val="en-US"/>
              </w:rPr>
              <w:t>(n=</w:t>
            </w:r>
            <w:r w:rsidR="00700816">
              <w:rPr>
                <w:rFonts w:ascii="Calibri" w:hAnsi="Calibri" w:cs="Calibri"/>
                <w:b/>
                <w:lang w:val="en-US"/>
              </w:rPr>
              <w:t>147</w:t>
            </w:r>
            <w:r w:rsidRPr="00326CF9">
              <w:rPr>
                <w:rFonts w:ascii="Calibri" w:hAnsi="Calibri" w:cs="Calibri"/>
                <w:b/>
                <w:lang w:val="en-US"/>
              </w:rPr>
              <w:t>)</w:t>
            </w:r>
          </w:p>
        </w:tc>
        <w:tc>
          <w:tcPr>
            <w:tcW w:w="1808" w:type="dxa"/>
            <w:shd w:val="clear" w:color="auto" w:fill="D9D9D9" w:themeFill="background1" w:themeFillShade="D9"/>
          </w:tcPr>
          <w:p w14:paraId="79C21A61" w14:textId="78CDA401" w:rsidR="008A4D34" w:rsidRPr="00326CF9" w:rsidRDefault="00E95D19" w:rsidP="00326CF9">
            <w:pPr>
              <w:spacing w:line="480" w:lineRule="auto"/>
              <w:jc w:val="center"/>
              <w:rPr>
                <w:rFonts w:ascii="Calibri" w:hAnsi="Calibri" w:cs="Calibri"/>
                <w:b/>
                <w:lang w:val="en-US"/>
              </w:rPr>
            </w:pPr>
            <w:r>
              <w:rPr>
                <w:rFonts w:ascii="Calibri" w:hAnsi="Calibri" w:cs="Calibri"/>
                <w:b/>
                <w:lang w:val="en-US"/>
              </w:rPr>
              <w:t>LV dysfunction</w:t>
            </w:r>
          </w:p>
          <w:p w14:paraId="1EB7332D" w14:textId="0419BD58" w:rsidR="008A4D34" w:rsidRPr="00326CF9" w:rsidRDefault="008A4D34" w:rsidP="00326CF9">
            <w:pPr>
              <w:spacing w:line="480" w:lineRule="auto"/>
              <w:jc w:val="center"/>
              <w:rPr>
                <w:rFonts w:ascii="Calibri" w:hAnsi="Calibri" w:cs="Calibri"/>
                <w:b/>
                <w:lang w:val="en-US"/>
              </w:rPr>
            </w:pPr>
            <w:r w:rsidRPr="00326CF9">
              <w:rPr>
                <w:rFonts w:ascii="Calibri" w:hAnsi="Calibri" w:cs="Calibri"/>
                <w:b/>
                <w:lang w:val="en-US"/>
              </w:rPr>
              <w:t>(n=</w:t>
            </w:r>
            <w:r w:rsidR="00700816">
              <w:rPr>
                <w:rFonts w:ascii="Calibri" w:hAnsi="Calibri" w:cs="Calibri"/>
                <w:b/>
                <w:lang w:val="en-US"/>
              </w:rPr>
              <w:t>33</w:t>
            </w:r>
            <w:r w:rsidRPr="00326CF9">
              <w:rPr>
                <w:rFonts w:ascii="Calibri" w:hAnsi="Calibri" w:cs="Calibri"/>
                <w:b/>
                <w:lang w:val="en-US"/>
              </w:rPr>
              <w:t>)</w:t>
            </w:r>
          </w:p>
        </w:tc>
        <w:tc>
          <w:tcPr>
            <w:tcW w:w="1507" w:type="dxa"/>
            <w:shd w:val="clear" w:color="auto" w:fill="D9D9D9" w:themeFill="background1" w:themeFillShade="D9"/>
          </w:tcPr>
          <w:p w14:paraId="53FF4EE5" w14:textId="7D6666A2" w:rsidR="008A4D34" w:rsidRPr="00326CF9" w:rsidRDefault="008A4D34" w:rsidP="00326CF9">
            <w:pPr>
              <w:spacing w:line="480" w:lineRule="auto"/>
              <w:jc w:val="center"/>
              <w:rPr>
                <w:rFonts w:ascii="Calibri" w:hAnsi="Calibri" w:cs="Calibri"/>
                <w:b/>
                <w:lang w:val="en-US"/>
              </w:rPr>
            </w:pPr>
            <w:r w:rsidRPr="00326CF9">
              <w:rPr>
                <w:rFonts w:ascii="Calibri" w:hAnsi="Calibri" w:cs="Calibri"/>
                <w:b/>
                <w:lang w:val="en-US"/>
              </w:rPr>
              <w:t>P value</w:t>
            </w:r>
          </w:p>
        </w:tc>
      </w:tr>
      <w:tr w:rsidR="00700816" w:rsidRPr="00326CF9" w14:paraId="2CCEF4B6" w14:textId="04828BD3" w:rsidTr="000C62B0">
        <w:tc>
          <w:tcPr>
            <w:tcW w:w="2689" w:type="dxa"/>
          </w:tcPr>
          <w:p w14:paraId="3F21AC98" w14:textId="6383C55C" w:rsidR="00704BFB" w:rsidRPr="00326CF9" w:rsidRDefault="00704BFB" w:rsidP="00326CF9">
            <w:pPr>
              <w:spacing w:line="480" w:lineRule="auto"/>
              <w:rPr>
                <w:rFonts w:ascii="Calibri" w:hAnsi="Calibri" w:cs="Calibri"/>
                <w:bCs/>
                <w:lang w:val="en-US"/>
              </w:rPr>
            </w:pPr>
            <w:r w:rsidRPr="00326CF9">
              <w:rPr>
                <w:rFonts w:ascii="Calibri" w:hAnsi="Calibri" w:cs="Calibri"/>
                <w:bCs/>
                <w:lang w:val="en-US"/>
              </w:rPr>
              <w:t>Age, years</w:t>
            </w:r>
          </w:p>
        </w:tc>
        <w:tc>
          <w:tcPr>
            <w:tcW w:w="1718" w:type="dxa"/>
            <w:vAlign w:val="bottom"/>
          </w:tcPr>
          <w:p w14:paraId="09E70B3A" w14:textId="37B4F90B" w:rsidR="00704BFB" w:rsidRPr="00F84CD9" w:rsidRDefault="00704BFB" w:rsidP="00326CF9">
            <w:pPr>
              <w:spacing w:line="480" w:lineRule="auto"/>
              <w:jc w:val="center"/>
              <w:rPr>
                <w:rFonts w:ascii="Calibri" w:hAnsi="Calibri" w:cs="Calibri"/>
                <w:bCs/>
                <w:lang w:val="en-US"/>
              </w:rPr>
            </w:pPr>
            <w:r w:rsidRPr="00F84CD9">
              <w:rPr>
                <w:rFonts w:ascii="Calibri" w:hAnsi="Calibri" w:cs="Calibri"/>
              </w:rPr>
              <w:t>42.4±12.3</w:t>
            </w:r>
          </w:p>
        </w:tc>
        <w:tc>
          <w:tcPr>
            <w:tcW w:w="1718" w:type="dxa"/>
            <w:vAlign w:val="bottom"/>
          </w:tcPr>
          <w:p w14:paraId="7FA678E6" w14:textId="042163AE" w:rsidR="00704BFB" w:rsidRPr="00F84CD9" w:rsidRDefault="00F84CD9" w:rsidP="00326CF9">
            <w:pPr>
              <w:spacing w:line="480" w:lineRule="auto"/>
              <w:jc w:val="center"/>
              <w:rPr>
                <w:rFonts w:ascii="Calibri" w:hAnsi="Calibri" w:cs="Calibri"/>
                <w:bCs/>
                <w:lang w:val="en-US"/>
              </w:rPr>
            </w:pPr>
            <w:r w:rsidRPr="000C62B0">
              <w:rPr>
                <w:rFonts w:ascii="Calibri" w:hAnsi="Calibri" w:cs="Calibri"/>
              </w:rPr>
              <w:t>41.3</w:t>
            </w:r>
            <w:r w:rsidR="00704BFB" w:rsidRPr="00F84CD9">
              <w:rPr>
                <w:rFonts w:ascii="Calibri" w:hAnsi="Calibri" w:cs="Calibri"/>
              </w:rPr>
              <w:t>±</w:t>
            </w:r>
            <w:r w:rsidRPr="000C62B0">
              <w:rPr>
                <w:rFonts w:ascii="Calibri" w:hAnsi="Calibri" w:cs="Calibri"/>
              </w:rPr>
              <w:t>11.7</w:t>
            </w:r>
          </w:p>
        </w:tc>
        <w:tc>
          <w:tcPr>
            <w:tcW w:w="1808" w:type="dxa"/>
            <w:vAlign w:val="bottom"/>
          </w:tcPr>
          <w:p w14:paraId="3078FEAD" w14:textId="7B4516BA" w:rsidR="00704BFB" w:rsidRPr="00F84CD9" w:rsidRDefault="00704BFB" w:rsidP="00326CF9">
            <w:pPr>
              <w:spacing w:line="480" w:lineRule="auto"/>
              <w:jc w:val="center"/>
              <w:rPr>
                <w:rFonts w:ascii="Calibri" w:hAnsi="Calibri" w:cs="Calibri"/>
                <w:bCs/>
                <w:lang w:val="en-US"/>
              </w:rPr>
            </w:pPr>
            <w:r w:rsidRPr="00F84CD9">
              <w:rPr>
                <w:rFonts w:ascii="Calibri" w:hAnsi="Calibri" w:cs="Calibri"/>
              </w:rPr>
              <w:t>4</w:t>
            </w:r>
            <w:r w:rsidR="00F84CD9" w:rsidRPr="000C62B0">
              <w:rPr>
                <w:rFonts w:ascii="Calibri" w:hAnsi="Calibri" w:cs="Calibri"/>
              </w:rPr>
              <w:t>6.1</w:t>
            </w:r>
            <w:r w:rsidRPr="00F84CD9">
              <w:rPr>
                <w:rFonts w:ascii="Calibri" w:hAnsi="Calibri" w:cs="Calibri"/>
              </w:rPr>
              <w:t>±1</w:t>
            </w:r>
            <w:r w:rsidR="00F84CD9" w:rsidRPr="000C62B0">
              <w:rPr>
                <w:rFonts w:ascii="Calibri" w:hAnsi="Calibri" w:cs="Calibri"/>
              </w:rPr>
              <w:t>3.2</w:t>
            </w:r>
          </w:p>
        </w:tc>
        <w:tc>
          <w:tcPr>
            <w:tcW w:w="1507" w:type="dxa"/>
            <w:vAlign w:val="bottom"/>
          </w:tcPr>
          <w:p w14:paraId="1F3ACEF5" w14:textId="2485D4C9" w:rsidR="00704BFB" w:rsidRPr="00F84CD9" w:rsidRDefault="00704BFB" w:rsidP="00326CF9">
            <w:pPr>
              <w:spacing w:line="480" w:lineRule="auto"/>
              <w:jc w:val="center"/>
              <w:rPr>
                <w:rFonts w:ascii="Calibri" w:hAnsi="Calibri" w:cs="Calibri"/>
                <w:b/>
                <w:bCs/>
                <w:lang w:val="en-US"/>
              </w:rPr>
            </w:pPr>
            <w:r w:rsidRPr="00F84CD9">
              <w:rPr>
                <w:rFonts w:ascii="Calibri" w:hAnsi="Calibri" w:cs="Calibri"/>
                <w:b/>
                <w:bCs/>
              </w:rPr>
              <w:t>0.0</w:t>
            </w:r>
            <w:r w:rsidR="00F84CD9" w:rsidRPr="000C62B0">
              <w:rPr>
                <w:rFonts w:ascii="Calibri" w:hAnsi="Calibri" w:cs="Calibri"/>
                <w:b/>
                <w:bCs/>
              </w:rPr>
              <w:t>3</w:t>
            </w:r>
          </w:p>
        </w:tc>
      </w:tr>
      <w:tr w:rsidR="00700816" w:rsidRPr="00326CF9" w14:paraId="362851E2" w14:textId="2E225469" w:rsidTr="000C62B0">
        <w:tc>
          <w:tcPr>
            <w:tcW w:w="2689" w:type="dxa"/>
          </w:tcPr>
          <w:p w14:paraId="1A8EB6FF" w14:textId="7BBAC4B5" w:rsidR="00704BFB" w:rsidRPr="00326CF9" w:rsidRDefault="00704BFB" w:rsidP="00326CF9">
            <w:pPr>
              <w:spacing w:line="480" w:lineRule="auto"/>
              <w:rPr>
                <w:rFonts w:ascii="Calibri" w:hAnsi="Calibri" w:cs="Calibri"/>
                <w:bCs/>
                <w:lang w:val="en-US"/>
              </w:rPr>
            </w:pPr>
            <w:r w:rsidRPr="00326CF9">
              <w:rPr>
                <w:rFonts w:ascii="Calibri" w:hAnsi="Calibri" w:cs="Calibri"/>
                <w:bCs/>
                <w:lang w:val="en-US"/>
              </w:rPr>
              <w:t>Male sex</w:t>
            </w:r>
          </w:p>
        </w:tc>
        <w:tc>
          <w:tcPr>
            <w:tcW w:w="1718" w:type="dxa"/>
            <w:vAlign w:val="bottom"/>
          </w:tcPr>
          <w:p w14:paraId="700F160C" w14:textId="03A1F5C2" w:rsidR="00704BFB" w:rsidRPr="00F84CD9" w:rsidRDefault="00704BFB" w:rsidP="00326CF9">
            <w:pPr>
              <w:spacing w:line="480" w:lineRule="auto"/>
              <w:jc w:val="center"/>
              <w:rPr>
                <w:rFonts w:ascii="Calibri" w:hAnsi="Calibri" w:cs="Calibri"/>
                <w:bCs/>
                <w:lang w:val="en-US"/>
              </w:rPr>
            </w:pPr>
            <w:r w:rsidRPr="00F84CD9">
              <w:rPr>
                <w:rFonts w:ascii="Calibri" w:hAnsi="Calibri" w:cs="Calibri"/>
              </w:rPr>
              <w:t>100 (55.6)</w:t>
            </w:r>
          </w:p>
        </w:tc>
        <w:tc>
          <w:tcPr>
            <w:tcW w:w="1718" w:type="dxa"/>
            <w:vAlign w:val="bottom"/>
          </w:tcPr>
          <w:p w14:paraId="0DCDBA28" w14:textId="7B661853" w:rsidR="00704BFB" w:rsidRPr="00F84CD9" w:rsidRDefault="00F84CD9" w:rsidP="00326CF9">
            <w:pPr>
              <w:spacing w:line="480" w:lineRule="auto"/>
              <w:jc w:val="center"/>
              <w:rPr>
                <w:rFonts w:ascii="Calibri" w:hAnsi="Calibri" w:cs="Calibri"/>
                <w:bCs/>
                <w:lang w:val="en-US"/>
              </w:rPr>
            </w:pPr>
            <w:r w:rsidRPr="000C62B0">
              <w:rPr>
                <w:rFonts w:ascii="Calibri" w:hAnsi="Calibri" w:cs="Calibri"/>
              </w:rPr>
              <w:t>73 (56.6)</w:t>
            </w:r>
          </w:p>
        </w:tc>
        <w:tc>
          <w:tcPr>
            <w:tcW w:w="1808" w:type="dxa"/>
            <w:vAlign w:val="bottom"/>
          </w:tcPr>
          <w:p w14:paraId="286B444F" w14:textId="16C01207" w:rsidR="00704BFB" w:rsidRPr="00F84CD9" w:rsidRDefault="00F84CD9" w:rsidP="00326CF9">
            <w:pPr>
              <w:spacing w:line="480" w:lineRule="auto"/>
              <w:jc w:val="center"/>
              <w:rPr>
                <w:rFonts w:ascii="Calibri" w:hAnsi="Calibri" w:cs="Calibri"/>
                <w:bCs/>
                <w:lang w:val="en-US"/>
              </w:rPr>
            </w:pPr>
            <w:r w:rsidRPr="000C62B0">
              <w:rPr>
                <w:rFonts w:ascii="Calibri" w:hAnsi="Calibri" w:cs="Calibri"/>
              </w:rPr>
              <w:t>19 (57.6)</w:t>
            </w:r>
          </w:p>
        </w:tc>
        <w:tc>
          <w:tcPr>
            <w:tcW w:w="1507" w:type="dxa"/>
          </w:tcPr>
          <w:p w14:paraId="760D1DF4" w14:textId="1B327C5F" w:rsidR="00704BFB" w:rsidRPr="00F84CD9" w:rsidRDefault="00704BFB" w:rsidP="00326CF9">
            <w:pPr>
              <w:spacing w:line="480" w:lineRule="auto"/>
              <w:jc w:val="center"/>
              <w:rPr>
                <w:rFonts w:ascii="Calibri" w:hAnsi="Calibri" w:cs="Calibri"/>
                <w:bCs/>
                <w:lang w:val="en-US"/>
              </w:rPr>
            </w:pPr>
            <w:r w:rsidRPr="00F84CD9">
              <w:rPr>
                <w:rFonts w:ascii="Calibri" w:hAnsi="Calibri" w:cs="Calibri"/>
                <w:bCs/>
                <w:lang w:val="en-US"/>
              </w:rPr>
              <w:t>0.99</w:t>
            </w:r>
          </w:p>
        </w:tc>
      </w:tr>
      <w:tr w:rsidR="00700816" w:rsidRPr="00326CF9" w14:paraId="1EEB4D10" w14:textId="7043035D" w:rsidTr="000C62B0">
        <w:tc>
          <w:tcPr>
            <w:tcW w:w="2689" w:type="dxa"/>
          </w:tcPr>
          <w:p w14:paraId="466B8BEE" w14:textId="77777777" w:rsidR="005F0962" w:rsidRPr="00326CF9" w:rsidRDefault="008A4D34" w:rsidP="00326CF9">
            <w:pPr>
              <w:spacing w:line="480" w:lineRule="auto"/>
              <w:rPr>
                <w:rFonts w:ascii="Calibri" w:hAnsi="Calibri" w:cs="Calibri"/>
                <w:bCs/>
                <w:lang w:val="en-US"/>
              </w:rPr>
            </w:pPr>
            <w:r w:rsidRPr="00326CF9">
              <w:rPr>
                <w:rFonts w:ascii="Calibri" w:hAnsi="Calibri" w:cs="Calibri"/>
                <w:bCs/>
                <w:lang w:val="en-US"/>
              </w:rPr>
              <w:t>NYHA class</w:t>
            </w:r>
          </w:p>
          <w:p w14:paraId="1CCF5F46" w14:textId="6999A569" w:rsidR="008A4D34" w:rsidRPr="00326CF9" w:rsidRDefault="008A4D34" w:rsidP="00326CF9">
            <w:pPr>
              <w:spacing w:line="480" w:lineRule="auto"/>
              <w:rPr>
                <w:rFonts w:ascii="Calibri" w:hAnsi="Calibri" w:cs="Calibri"/>
                <w:bCs/>
                <w:lang w:val="en-US"/>
              </w:rPr>
            </w:pPr>
            <w:r w:rsidRPr="00326CF9">
              <w:rPr>
                <w:rFonts w:ascii="Calibri" w:hAnsi="Calibri" w:cs="Calibri"/>
                <w:bCs/>
                <w:lang w:val="en-US"/>
              </w:rPr>
              <w:t xml:space="preserve">  I</w:t>
            </w:r>
          </w:p>
          <w:p w14:paraId="0181076C" w14:textId="77777777" w:rsidR="008A4D34" w:rsidRPr="00326CF9" w:rsidRDefault="008A4D34" w:rsidP="00326CF9">
            <w:pPr>
              <w:spacing w:line="480" w:lineRule="auto"/>
              <w:rPr>
                <w:rFonts w:ascii="Calibri" w:hAnsi="Calibri" w:cs="Calibri"/>
                <w:bCs/>
                <w:lang w:val="en-US"/>
              </w:rPr>
            </w:pPr>
            <w:r w:rsidRPr="00326CF9">
              <w:rPr>
                <w:rFonts w:ascii="Calibri" w:hAnsi="Calibri" w:cs="Calibri"/>
                <w:bCs/>
                <w:lang w:val="en-US"/>
              </w:rPr>
              <w:t xml:space="preserve">  II</w:t>
            </w:r>
          </w:p>
          <w:p w14:paraId="00D3264A" w14:textId="77777777" w:rsidR="008A4D34" w:rsidRPr="00326CF9" w:rsidRDefault="008A4D34" w:rsidP="00326CF9">
            <w:pPr>
              <w:spacing w:line="480" w:lineRule="auto"/>
              <w:rPr>
                <w:rFonts w:ascii="Calibri" w:hAnsi="Calibri" w:cs="Calibri"/>
                <w:bCs/>
                <w:lang w:val="en-US"/>
              </w:rPr>
            </w:pPr>
            <w:r w:rsidRPr="00326CF9">
              <w:rPr>
                <w:rFonts w:ascii="Calibri" w:hAnsi="Calibri" w:cs="Calibri"/>
                <w:bCs/>
                <w:lang w:val="en-US"/>
              </w:rPr>
              <w:t xml:space="preserve">  III</w:t>
            </w:r>
          </w:p>
          <w:p w14:paraId="43DA1402" w14:textId="636927C3" w:rsidR="008A4D34" w:rsidRPr="00326CF9" w:rsidRDefault="008A4D34" w:rsidP="00326CF9">
            <w:pPr>
              <w:spacing w:line="480" w:lineRule="auto"/>
              <w:rPr>
                <w:rFonts w:ascii="Calibri" w:hAnsi="Calibri" w:cs="Calibri"/>
                <w:bCs/>
                <w:lang w:val="en-US"/>
              </w:rPr>
            </w:pPr>
            <w:r w:rsidRPr="00326CF9">
              <w:rPr>
                <w:rFonts w:ascii="Calibri" w:hAnsi="Calibri" w:cs="Calibri"/>
                <w:bCs/>
                <w:lang w:val="en-US"/>
              </w:rPr>
              <w:t xml:space="preserve">  IV</w:t>
            </w:r>
          </w:p>
        </w:tc>
        <w:tc>
          <w:tcPr>
            <w:tcW w:w="1718" w:type="dxa"/>
          </w:tcPr>
          <w:p w14:paraId="76518A2C" w14:textId="77777777" w:rsidR="005F0962" w:rsidRPr="00F84CD9" w:rsidRDefault="005F0962" w:rsidP="00326CF9">
            <w:pPr>
              <w:spacing w:line="480" w:lineRule="auto"/>
              <w:jc w:val="center"/>
              <w:rPr>
                <w:rFonts w:ascii="Calibri" w:hAnsi="Calibri" w:cs="Calibri"/>
              </w:rPr>
            </w:pPr>
          </w:p>
          <w:p w14:paraId="669E4229" w14:textId="70332CFB" w:rsidR="005F0962" w:rsidRPr="00F84CD9" w:rsidRDefault="005F0962" w:rsidP="00326CF9">
            <w:pPr>
              <w:spacing w:line="480" w:lineRule="auto"/>
              <w:jc w:val="center"/>
              <w:rPr>
                <w:rFonts w:ascii="Calibri" w:hAnsi="Calibri" w:cs="Calibri"/>
              </w:rPr>
            </w:pPr>
            <w:r w:rsidRPr="00F84CD9">
              <w:rPr>
                <w:rFonts w:ascii="Calibri" w:hAnsi="Calibri" w:cs="Calibri"/>
              </w:rPr>
              <w:t>89 (49.7)</w:t>
            </w:r>
          </w:p>
          <w:p w14:paraId="605D1308" w14:textId="77777777" w:rsidR="005F0962" w:rsidRPr="00F84CD9" w:rsidRDefault="005F0962" w:rsidP="00326CF9">
            <w:pPr>
              <w:spacing w:line="480" w:lineRule="auto"/>
              <w:jc w:val="center"/>
              <w:rPr>
                <w:rFonts w:ascii="Calibri" w:hAnsi="Calibri" w:cs="Calibri"/>
              </w:rPr>
            </w:pPr>
            <w:r w:rsidRPr="00F84CD9">
              <w:rPr>
                <w:rFonts w:ascii="Calibri" w:hAnsi="Calibri" w:cs="Calibri"/>
              </w:rPr>
              <w:t>61 (34.1)</w:t>
            </w:r>
          </w:p>
          <w:p w14:paraId="6DB00893" w14:textId="77777777" w:rsidR="005F0962" w:rsidRPr="00F84CD9" w:rsidRDefault="005F0962" w:rsidP="00326CF9">
            <w:pPr>
              <w:spacing w:line="480" w:lineRule="auto"/>
              <w:jc w:val="center"/>
              <w:rPr>
                <w:rFonts w:ascii="Calibri" w:hAnsi="Calibri" w:cs="Calibri"/>
              </w:rPr>
            </w:pPr>
            <w:r w:rsidRPr="00F84CD9">
              <w:rPr>
                <w:rFonts w:ascii="Calibri" w:hAnsi="Calibri" w:cs="Calibri"/>
              </w:rPr>
              <w:t>22 (12.3)</w:t>
            </w:r>
          </w:p>
          <w:p w14:paraId="203E6074" w14:textId="60564EB3" w:rsidR="008A4D34" w:rsidRPr="00F84CD9" w:rsidRDefault="005F0962" w:rsidP="00326CF9">
            <w:pPr>
              <w:spacing w:line="480" w:lineRule="auto"/>
              <w:jc w:val="center"/>
              <w:rPr>
                <w:rFonts w:ascii="Calibri" w:hAnsi="Calibri" w:cs="Calibri"/>
                <w:bCs/>
                <w:lang w:val="en-US"/>
              </w:rPr>
            </w:pPr>
            <w:r w:rsidRPr="00F84CD9">
              <w:rPr>
                <w:rFonts w:ascii="Calibri" w:hAnsi="Calibri" w:cs="Calibri"/>
              </w:rPr>
              <w:t>7 (3.9)</w:t>
            </w:r>
          </w:p>
        </w:tc>
        <w:tc>
          <w:tcPr>
            <w:tcW w:w="1718" w:type="dxa"/>
          </w:tcPr>
          <w:p w14:paraId="5347867A" w14:textId="77777777" w:rsidR="005F0962" w:rsidRPr="00F84CD9" w:rsidRDefault="005F0962" w:rsidP="00326CF9">
            <w:pPr>
              <w:spacing w:line="480" w:lineRule="auto"/>
              <w:jc w:val="center"/>
              <w:rPr>
                <w:rFonts w:ascii="Calibri" w:hAnsi="Calibri" w:cs="Calibri"/>
              </w:rPr>
            </w:pPr>
          </w:p>
          <w:p w14:paraId="193D68EB" w14:textId="10637A3C" w:rsidR="00704BFB" w:rsidRPr="000C62B0" w:rsidRDefault="00F84CD9" w:rsidP="00326CF9">
            <w:pPr>
              <w:spacing w:line="480" w:lineRule="auto"/>
              <w:jc w:val="center"/>
              <w:rPr>
                <w:rFonts w:ascii="Calibri" w:hAnsi="Calibri" w:cs="Calibri"/>
              </w:rPr>
            </w:pPr>
            <w:r w:rsidRPr="000C62B0">
              <w:rPr>
                <w:rFonts w:ascii="Calibri" w:hAnsi="Calibri" w:cs="Calibri"/>
              </w:rPr>
              <w:t>73 (57)</w:t>
            </w:r>
          </w:p>
          <w:p w14:paraId="3ABD24A8" w14:textId="77777777" w:rsidR="00F84CD9" w:rsidRPr="000C62B0" w:rsidRDefault="00F84CD9" w:rsidP="00326CF9">
            <w:pPr>
              <w:spacing w:line="480" w:lineRule="auto"/>
              <w:jc w:val="center"/>
              <w:rPr>
                <w:rFonts w:ascii="Calibri" w:hAnsi="Calibri" w:cs="Calibri"/>
              </w:rPr>
            </w:pPr>
            <w:r w:rsidRPr="000C62B0">
              <w:rPr>
                <w:rFonts w:ascii="Calibri" w:hAnsi="Calibri" w:cs="Calibri"/>
              </w:rPr>
              <w:t>50 (39.1)</w:t>
            </w:r>
          </w:p>
          <w:p w14:paraId="7DE62B6E" w14:textId="77777777" w:rsidR="00F84CD9" w:rsidRPr="000C62B0" w:rsidRDefault="00F84CD9" w:rsidP="00326CF9">
            <w:pPr>
              <w:spacing w:line="480" w:lineRule="auto"/>
              <w:jc w:val="center"/>
              <w:rPr>
                <w:rFonts w:ascii="Calibri" w:hAnsi="Calibri" w:cs="Calibri"/>
              </w:rPr>
            </w:pPr>
            <w:r w:rsidRPr="000C62B0">
              <w:rPr>
                <w:rFonts w:ascii="Calibri" w:hAnsi="Calibri" w:cs="Calibri"/>
              </w:rPr>
              <w:t>5 (3.9)</w:t>
            </w:r>
          </w:p>
          <w:p w14:paraId="1406FFCF" w14:textId="4212385F" w:rsidR="00F84CD9" w:rsidRPr="00F84CD9" w:rsidRDefault="00F84CD9" w:rsidP="00326CF9">
            <w:pPr>
              <w:spacing w:line="480" w:lineRule="auto"/>
              <w:jc w:val="center"/>
              <w:rPr>
                <w:rFonts w:ascii="Calibri" w:hAnsi="Calibri" w:cs="Calibri"/>
                <w:bCs/>
                <w:lang w:val="en-US"/>
              </w:rPr>
            </w:pPr>
            <w:r w:rsidRPr="000C62B0">
              <w:rPr>
                <w:rFonts w:ascii="Calibri" w:hAnsi="Calibri" w:cs="Calibri"/>
                <w:bCs/>
              </w:rPr>
              <w:t>0</w:t>
            </w:r>
          </w:p>
        </w:tc>
        <w:tc>
          <w:tcPr>
            <w:tcW w:w="1808" w:type="dxa"/>
          </w:tcPr>
          <w:p w14:paraId="32A05D2F" w14:textId="77777777" w:rsidR="005F0962" w:rsidRPr="00F84CD9" w:rsidRDefault="005F0962" w:rsidP="00326CF9">
            <w:pPr>
              <w:spacing w:line="480" w:lineRule="auto"/>
              <w:jc w:val="center"/>
              <w:rPr>
                <w:rFonts w:ascii="Calibri" w:hAnsi="Calibri" w:cs="Calibri"/>
              </w:rPr>
            </w:pPr>
          </w:p>
          <w:p w14:paraId="132BD845" w14:textId="02E67E04" w:rsidR="00F84CD9" w:rsidRPr="000C62B0" w:rsidRDefault="00F84CD9" w:rsidP="00326CF9">
            <w:pPr>
              <w:spacing w:line="480" w:lineRule="auto"/>
              <w:jc w:val="center"/>
              <w:rPr>
                <w:rFonts w:ascii="Calibri" w:hAnsi="Calibri" w:cs="Calibri"/>
              </w:rPr>
            </w:pPr>
            <w:r w:rsidRPr="000C62B0">
              <w:rPr>
                <w:rFonts w:ascii="Calibri" w:hAnsi="Calibri" w:cs="Calibri"/>
              </w:rPr>
              <w:t>9 (21.2)</w:t>
            </w:r>
          </w:p>
          <w:p w14:paraId="61D6FE2E" w14:textId="22A23524" w:rsidR="00F84CD9" w:rsidRPr="000C62B0" w:rsidRDefault="00F84CD9" w:rsidP="00326CF9">
            <w:pPr>
              <w:spacing w:line="480" w:lineRule="auto"/>
              <w:jc w:val="center"/>
              <w:rPr>
                <w:rFonts w:ascii="Calibri" w:hAnsi="Calibri" w:cs="Calibri"/>
              </w:rPr>
            </w:pPr>
            <w:r w:rsidRPr="000C62B0">
              <w:rPr>
                <w:rFonts w:ascii="Calibri" w:hAnsi="Calibri" w:cs="Calibri"/>
              </w:rPr>
              <w:t>4 (12.1)</w:t>
            </w:r>
          </w:p>
          <w:p w14:paraId="43DD7C8C" w14:textId="055C7C53" w:rsidR="00F84CD9" w:rsidRPr="000C62B0" w:rsidRDefault="00F84CD9" w:rsidP="00326CF9">
            <w:pPr>
              <w:spacing w:line="480" w:lineRule="auto"/>
              <w:jc w:val="center"/>
              <w:rPr>
                <w:rFonts w:ascii="Calibri" w:hAnsi="Calibri" w:cs="Calibri"/>
              </w:rPr>
            </w:pPr>
            <w:r w:rsidRPr="000C62B0">
              <w:rPr>
                <w:rFonts w:ascii="Calibri" w:hAnsi="Calibri" w:cs="Calibri"/>
              </w:rPr>
              <w:t>15 (45.5)</w:t>
            </w:r>
          </w:p>
          <w:p w14:paraId="6B906E7B" w14:textId="26B8E679" w:rsidR="00704BFB" w:rsidRPr="00F84CD9" w:rsidRDefault="00F84CD9" w:rsidP="00F84CD9">
            <w:pPr>
              <w:spacing w:line="480" w:lineRule="auto"/>
              <w:jc w:val="center"/>
              <w:rPr>
                <w:rFonts w:ascii="Calibri" w:hAnsi="Calibri" w:cs="Calibri"/>
                <w:bCs/>
                <w:lang w:val="en-US"/>
              </w:rPr>
            </w:pPr>
            <w:r w:rsidRPr="000C62B0">
              <w:rPr>
                <w:rFonts w:ascii="Calibri" w:hAnsi="Calibri" w:cs="Calibri"/>
              </w:rPr>
              <w:t>7 (21.2)</w:t>
            </w:r>
          </w:p>
        </w:tc>
        <w:tc>
          <w:tcPr>
            <w:tcW w:w="1507" w:type="dxa"/>
          </w:tcPr>
          <w:p w14:paraId="55E4EC03" w14:textId="1E6E806F" w:rsidR="008A4D34" w:rsidRPr="00F84CD9" w:rsidRDefault="00F84CD9" w:rsidP="00326CF9">
            <w:pPr>
              <w:spacing w:line="480" w:lineRule="auto"/>
              <w:jc w:val="center"/>
              <w:rPr>
                <w:rFonts w:ascii="Calibri" w:hAnsi="Calibri" w:cs="Calibri"/>
                <w:bCs/>
                <w:vertAlign w:val="superscript"/>
                <w:lang w:val="en-US"/>
              </w:rPr>
            </w:pPr>
            <w:r w:rsidRPr="000C62B0">
              <w:rPr>
                <w:rFonts w:ascii="Calibri" w:hAnsi="Calibri" w:cs="Calibri"/>
                <w:bCs/>
                <w:lang w:val="en-US"/>
              </w:rPr>
              <w:t>&lt;0.0001</w:t>
            </w:r>
            <w:r w:rsidR="00EB7D67" w:rsidRPr="00F84CD9">
              <w:rPr>
                <w:rFonts w:ascii="Calibri" w:hAnsi="Calibri" w:cs="Calibri"/>
                <w:bCs/>
                <w:vertAlign w:val="superscript"/>
                <w:lang w:val="en-US"/>
              </w:rPr>
              <w:t>a</w:t>
            </w:r>
          </w:p>
        </w:tc>
      </w:tr>
      <w:tr w:rsidR="00700816" w:rsidRPr="00326CF9" w14:paraId="2842CA6E" w14:textId="4A3F1837" w:rsidTr="000C62B0">
        <w:tc>
          <w:tcPr>
            <w:tcW w:w="2689" w:type="dxa"/>
          </w:tcPr>
          <w:p w14:paraId="43F81356" w14:textId="2BFB781A" w:rsidR="00F84CD9" w:rsidRPr="00326CF9" w:rsidRDefault="00F84CD9" w:rsidP="00F84CD9">
            <w:pPr>
              <w:spacing w:line="480" w:lineRule="auto"/>
              <w:rPr>
                <w:rFonts w:ascii="Calibri" w:hAnsi="Calibri" w:cs="Calibri"/>
                <w:bCs/>
                <w:lang w:val="en-US"/>
              </w:rPr>
            </w:pPr>
            <w:r w:rsidRPr="00326CF9">
              <w:rPr>
                <w:rFonts w:ascii="Calibri" w:hAnsi="Calibri" w:cs="Calibri"/>
                <w:bCs/>
                <w:lang w:val="en-US"/>
              </w:rPr>
              <w:t>Sinus rhythm</w:t>
            </w:r>
          </w:p>
        </w:tc>
        <w:tc>
          <w:tcPr>
            <w:tcW w:w="1718" w:type="dxa"/>
            <w:vAlign w:val="bottom"/>
          </w:tcPr>
          <w:p w14:paraId="1F0AB0BF" w14:textId="056411A8" w:rsidR="00F84CD9" w:rsidRPr="00F84CD9" w:rsidRDefault="00F84CD9" w:rsidP="00F84CD9">
            <w:pPr>
              <w:spacing w:line="480" w:lineRule="auto"/>
              <w:jc w:val="center"/>
              <w:rPr>
                <w:rFonts w:ascii="Calibri" w:hAnsi="Calibri" w:cs="Calibri"/>
                <w:bCs/>
                <w:lang w:val="en-US"/>
              </w:rPr>
            </w:pPr>
            <w:r w:rsidRPr="00F84CD9">
              <w:rPr>
                <w:rFonts w:ascii="Calibri" w:hAnsi="Calibri" w:cs="Calibri"/>
              </w:rPr>
              <w:t>125 (71)</w:t>
            </w:r>
          </w:p>
        </w:tc>
        <w:tc>
          <w:tcPr>
            <w:tcW w:w="1718" w:type="dxa"/>
            <w:vAlign w:val="bottom"/>
          </w:tcPr>
          <w:p w14:paraId="782B5571" w14:textId="1041D8F3" w:rsidR="00F84CD9" w:rsidRPr="000C62B0" w:rsidRDefault="00F84CD9" w:rsidP="00F84CD9">
            <w:pPr>
              <w:spacing w:line="480" w:lineRule="auto"/>
              <w:jc w:val="center"/>
              <w:rPr>
                <w:rFonts w:ascii="Calibri" w:hAnsi="Calibri" w:cs="Calibri"/>
                <w:bCs/>
                <w:highlight w:val="yellow"/>
                <w:lang w:val="en-US"/>
              </w:rPr>
            </w:pPr>
            <w:r>
              <w:rPr>
                <w:rFonts w:ascii="Calibri" w:hAnsi="Calibri" w:cs="Calibri"/>
                <w:color w:val="000000"/>
              </w:rPr>
              <w:t>94 (74.6)</w:t>
            </w:r>
          </w:p>
        </w:tc>
        <w:tc>
          <w:tcPr>
            <w:tcW w:w="1808" w:type="dxa"/>
            <w:vAlign w:val="bottom"/>
          </w:tcPr>
          <w:p w14:paraId="3179C9E3" w14:textId="492CA5B6" w:rsidR="00F84CD9" w:rsidRPr="000C62B0" w:rsidRDefault="00F84CD9" w:rsidP="00F84CD9">
            <w:pPr>
              <w:spacing w:line="480" w:lineRule="auto"/>
              <w:jc w:val="center"/>
              <w:rPr>
                <w:rFonts w:ascii="Calibri" w:hAnsi="Calibri" w:cs="Calibri"/>
                <w:bCs/>
                <w:highlight w:val="yellow"/>
                <w:lang w:val="en-US"/>
              </w:rPr>
            </w:pPr>
            <w:r>
              <w:rPr>
                <w:rFonts w:ascii="Calibri" w:hAnsi="Calibri" w:cs="Calibri"/>
                <w:color w:val="000000"/>
              </w:rPr>
              <w:t>19 (59.4)</w:t>
            </w:r>
          </w:p>
        </w:tc>
        <w:tc>
          <w:tcPr>
            <w:tcW w:w="1507" w:type="dxa"/>
            <w:vAlign w:val="bottom"/>
          </w:tcPr>
          <w:p w14:paraId="7190C9BF" w14:textId="50DE233D" w:rsidR="00F84CD9" w:rsidRPr="000C62B0" w:rsidRDefault="00F84CD9" w:rsidP="00F84CD9">
            <w:pPr>
              <w:spacing w:line="480" w:lineRule="auto"/>
              <w:jc w:val="center"/>
              <w:rPr>
                <w:rFonts w:ascii="Calibri" w:hAnsi="Calibri" w:cs="Calibri"/>
                <w:bCs/>
                <w:highlight w:val="yellow"/>
                <w:lang w:val="en-US"/>
              </w:rPr>
            </w:pPr>
            <w:r>
              <w:rPr>
                <w:rFonts w:ascii="Calibri" w:hAnsi="Calibri" w:cs="Calibri"/>
                <w:color w:val="000000"/>
              </w:rPr>
              <w:t>0.14</w:t>
            </w:r>
          </w:p>
        </w:tc>
      </w:tr>
      <w:tr w:rsidR="00700816" w:rsidRPr="00326CF9" w14:paraId="2A9AE747" w14:textId="5A98A76F" w:rsidTr="000C62B0">
        <w:tc>
          <w:tcPr>
            <w:tcW w:w="2689" w:type="dxa"/>
          </w:tcPr>
          <w:p w14:paraId="255CA3F2" w14:textId="1CF428CA" w:rsidR="00F84CD9" w:rsidRPr="00326CF9" w:rsidRDefault="00F84CD9" w:rsidP="00F84CD9">
            <w:pPr>
              <w:spacing w:line="480" w:lineRule="auto"/>
              <w:rPr>
                <w:rFonts w:ascii="Calibri" w:hAnsi="Calibri" w:cs="Calibri"/>
                <w:bCs/>
                <w:lang w:val="en-US"/>
              </w:rPr>
            </w:pPr>
            <w:r w:rsidRPr="00326CF9">
              <w:rPr>
                <w:rFonts w:ascii="Calibri" w:hAnsi="Calibri" w:cs="Calibri"/>
                <w:bCs/>
                <w:lang w:val="en-US"/>
              </w:rPr>
              <w:t>History of atrial arrhythmias</w:t>
            </w:r>
          </w:p>
        </w:tc>
        <w:tc>
          <w:tcPr>
            <w:tcW w:w="1718" w:type="dxa"/>
            <w:vAlign w:val="bottom"/>
          </w:tcPr>
          <w:p w14:paraId="6E0A476A" w14:textId="4C7B6C64" w:rsidR="00F84CD9" w:rsidRPr="00F84CD9" w:rsidRDefault="00F84CD9" w:rsidP="00F84CD9">
            <w:pPr>
              <w:spacing w:line="480" w:lineRule="auto"/>
              <w:jc w:val="center"/>
              <w:rPr>
                <w:rFonts w:ascii="Calibri" w:hAnsi="Calibri" w:cs="Calibri"/>
                <w:bCs/>
                <w:lang w:val="en-US"/>
              </w:rPr>
            </w:pPr>
            <w:r w:rsidRPr="00F84CD9">
              <w:rPr>
                <w:rFonts w:ascii="Calibri" w:hAnsi="Calibri" w:cs="Calibri"/>
              </w:rPr>
              <w:t>84 (47.2)</w:t>
            </w:r>
          </w:p>
        </w:tc>
        <w:tc>
          <w:tcPr>
            <w:tcW w:w="1718" w:type="dxa"/>
            <w:vAlign w:val="bottom"/>
          </w:tcPr>
          <w:p w14:paraId="1B6298CF" w14:textId="74FAB91E" w:rsidR="00F84CD9" w:rsidRPr="000C62B0" w:rsidRDefault="00F84CD9" w:rsidP="00F84CD9">
            <w:pPr>
              <w:spacing w:line="480" w:lineRule="auto"/>
              <w:jc w:val="center"/>
              <w:rPr>
                <w:rFonts w:ascii="Calibri" w:hAnsi="Calibri" w:cs="Calibri"/>
                <w:bCs/>
                <w:highlight w:val="yellow"/>
                <w:lang w:val="en-US"/>
              </w:rPr>
            </w:pPr>
            <w:r>
              <w:rPr>
                <w:rFonts w:ascii="Calibri" w:hAnsi="Calibri" w:cs="Calibri"/>
                <w:color w:val="000000"/>
              </w:rPr>
              <w:t>52 (40.6)</w:t>
            </w:r>
          </w:p>
        </w:tc>
        <w:tc>
          <w:tcPr>
            <w:tcW w:w="1808" w:type="dxa"/>
            <w:vAlign w:val="bottom"/>
          </w:tcPr>
          <w:p w14:paraId="308CF4DF" w14:textId="519CAB8F" w:rsidR="00F84CD9" w:rsidRPr="000C62B0" w:rsidRDefault="00F84CD9" w:rsidP="00F84CD9">
            <w:pPr>
              <w:spacing w:line="480" w:lineRule="auto"/>
              <w:jc w:val="center"/>
              <w:rPr>
                <w:rFonts w:ascii="Calibri" w:hAnsi="Calibri" w:cs="Calibri"/>
                <w:bCs/>
                <w:highlight w:val="yellow"/>
                <w:lang w:val="en-US"/>
              </w:rPr>
            </w:pPr>
            <w:r>
              <w:rPr>
                <w:rFonts w:ascii="Calibri" w:hAnsi="Calibri" w:cs="Calibri"/>
                <w:color w:val="000000"/>
              </w:rPr>
              <w:t>25 (78.1)</w:t>
            </w:r>
          </w:p>
        </w:tc>
        <w:tc>
          <w:tcPr>
            <w:tcW w:w="1507" w:type="dxa"/>
            <w:vAlign w:val="bottom"/>
          </w:tcPr>
          <w:p w14:paraId="2D5C41B0" w14:textId="026E69F0" w:rsidR="00F84CD9" w:rsidRPr="000C62B0" w:rsidRDefault="00F84CD9" w:rsidP="00F84CD9">
            <w:pPr>
              <w:spacing w:line="480" w:lineRule="auto"/>
              <w:jc w:val="center"/>
              <w:rPr>
                <w:rFonts w:ascii="Calibri" w:hAnsi="Calibri" w:cs="Calibri"/>
                <w:b/>
                <w:bCs/>
                <w:highlight w:val="yellow"/>
                <w:lang w:val="en-US"/>
              </w:rPr>
            </w:pPr>
            <w:r w:rsidRPr="000C62B0">
              <w:rPr>
                <w:rFonts w:ascii="Calibri" w:hAnsi="Calibri" w:cs="Calibri"/>
                <w:b/>
                <w:bCs/>
                <w:color w:val="000000"/>
              </w:rPr>
              <w:t>0.0003</w:t>
            </w:r>
          </w:p>
        </w:tc>
      </w:tr>
      <w:tr w:rsidR="00700816" w:rsidRPr="00326CF9" w14:paraId="416DB3B9" w14:textId="4750DA26" w:rsidTr="000C62B0">
        <w:tc>
          <w:tcPr>
            <w:tcW w:w="2689" w:type="dxa"/>
          </w:tcPr>
          <w:p w14:paraId="52882E97" w14:textId="6F3E8702" w:rsidR="00F84CD9" w:rsidRPr="00326CF9" w:rsidRDefault="00F84CD9" w:rsidP="00F84CD9">
            <w:pPr>
              <w:spacing w:line="480" w:lineRule="auto"/>
              <w:rPr>
                <w:rFonts w:ascii="Calibri" w:hAnsi="Calibri" w:cs="Calibri"/>
                <w:bCs/>
                <w:lang w:val="en-US"/>
              </w:rPr>
            </w:pPr>
            <w:r w:rsidRPr="00326CF9">
              <w:rPr>
                <w:rFonts w:ascii="Calibri" w:hAnsi="Calibri" w:cs="Calibri"/>
                <w:bCs/>
                <w:lang w:val="en-US"/>
              </w:rPr>
              <w:t>Pacemaker</w:t>
            </w:r>
          </w:p>
        </w:tc>
        <w:tc>
          <w:tcPr>
            <w:tcW w:w="1718" w:type="dxa"/>
            <w:vAlign w:val="bottom"/>
          </w:tcPr>
          <w:p w14:paraId="4D702C7F" w14:textId="7E83CCB7" w:rsidR="00F84CD9" w:rsidRPr="00F84CD9" w:rsidRDefault="00F84CD9" w:rsidP="00F84CD9">
            <w:pPr>
              <w:spacing w:line="480" w:lineRule="auto"/>
              <w:jc w:val="center"/>
              <w:rPr>
                <w:rFonts w:ascii="Calibri" w:hAnsi="Calibri" w:cs="Calibri"/>
                <w:bCs/>
                <w:lang w:val="en-US"/>
              </w:rPr>
            </w:pPr>
            <w:r w:rsidRPr="00F84CD9">
              <w:rPr>
                <w:rFonts w:ascii="Calibri" w:hAnsi="Calibri" w:cs="Calibri"/>
              </w:rPr>
              <w:t>69 (38.3)</w:t>
            </w:r>
          </w:p>
        </w:tc>
        <w:tc>
          <w:tcPr>
            <w:tcW w:w="1718" w:type="dxa"/>
            <w:vAlign w:val="bottom"/>
          </w:tcPr>
          <w:p w14:paraId="6367F594" w14:textId="60E2DF9F" w:rsidR="00F84CD9" w:rsidRPr="000C62B0" w:rsidRDefault="00F84CD9" w:rsidP="00F84CD9">
            <w:pPr>
              <w:spacing w:line="480" w:lineRule="auto"/>
              <w:jc w:val="center"/>
              <w:rPr>
                <w:rFonts w:ascii="Calibri" w:hAnsi="Calibri" w:cs="Calibri"/>
                <w:bCs/>
                <w:highlight w:val="yellow"/>
                <w:lang w:val="en-US"/>
              </w:rPr>
            </w:pPr>
            <w:r>
              <w:rPr>
                <w:rFonts w:ascii="Calibri" w:hAnsi="Calibri" w:cs="Calibri"/>
                <w:color w:val="000000"/>
              </w:rPr>
              <w:t>49 (38)</w:t>
            </w:r>
          </w:p>
        </w:tc>
        <w:tc>
          <w:tcPr>
            <w:tcW w:w="1808" w:type="dxa"/>
            <w:vAlign w:val="bottom"/>
          </w:tcPr>
          <w:p w14:paraId="264508C2" w14:textId="7AA9C2E2" w:rsidR="00F84CD9" w:rsidRPr="000C62B0" w:rsidRDefault="00F84CD9" w:rsidP="00F84CD9">
            <w:pPr>
              <w:spacing w:line="480" w:lineRule="auto"/>
              <w:jc w:val="center"/>
              <w:rPr>
                <w:rFonts w:ascii="Calibri" w:hAnsi="Calibri" w:cs="Calibri"/>
                <w:bCs/>
                <w:highlight w:val="yellow"/>
                <w:lang w:val="en-US"/>
              </w:rPr>
            </w:pPr>
            <w:r>
              <w:rPr>
                <w:rFonts w:ascii="Calibri" w:hAnsi="Calibri" w:cs="Calibri"/>
                <w:color w:val="000000"/>
              </w:rPr>
              <w:t>12 (36.4)</w:t>
            </w:r>
          </w:p>
        </w:tc>
        <w:tc>
          <w:tcPr>
            <w:tcW w:w="1507" w:type="dxa"/>
            <w:vAlign w:val="bottom"/>
          </w:tcPr>
          <w:p w14:paraId="03CDBC26" w14:textId="5DA64D10" w:rsidR="00F84CD9" w:rsidRPr="000C62B0" w:rsidRDefault="00F84CD9" w:rsidP="00F84CD9">
            <w:pPr>
              <w:spacing w:line="480" w:lineRule="auto"/>
              <w:jc w:val="center"/>
              <w:rPr>
                <w:rFonts w:ascii="Calibri" w:hAnsi="Calibri" w:cs="Calibri"/>
                <w:highlight w:val="yellow"/>
                <w:lang w:val="en-US"/>
              </w:rPr>
            </w:pPr>
            <w:r w:rsidRPr="000C62B0">
              <w:rPr>
                <w:rFonts w:ascii="Calibri" w:hAnsi="Calibri" w:cs="Calibri"/>
              </w:rPr>
              <w:t>0.99</w:t>
            </w:r>
          </w:p>
        </w:tc>
      </w:tr>
      <w:tr w:rsidR="00700816" w:rsidRPr="00326CF9" w14:paraId="0EC5CA59" w14:textId="06B7B734" w:rsidTr="000C62B0">
        <w:tc>
          <w:tcPr>
            <w:tcW w:w="2689" w:type="dxa"/>
          </w:tcPr>
          <w:p w14:paraId="333C83FE" w14:textId="416C8E5D" w:rsidR="00F84CD9" w:rsidRPr="00326CF9" w:rsidRDefault="00F84CD9" w:rsidP="00F84CD9">
            <w:pPr>
              <w:spacing w:line="480" w:lineRule="auto"/>
              <w:rPr>
                <w:rFonts w:ascii="Calibri" w:hAnsi="Calibri" w:cs="Calibri"/>
                <w:bCs/>
                <w:lang w:val="en-US"/>
              </w:rPr>
            </w:pPr>
            <w:r w:rsidRPr="00326CF9">
              <w:rPr>
                <w:rFonts w:ascii="Calibri" w:hAnsi="Calibri" w:cs="Calibri"/>
                <w:bCs/>
                <w:lang w:val="en-US"/>
              </w:rPr>
              <w:t>ICD</w:t>
            </w:r>
          </w:p>
        </w:tc>
        <w:tc>
          <w:tcPr>
            <w:tcW w:w="1718" w:type="dxa"/>
            <w:vAlign w:val="bottom"/>
          </w:tcPr>
          <w:p w14:paraId="33A075B9" w14:textId="3084DBB4" w:rsidR="00F84CD9" w:rsidRPr="00F84CD9" w:rsidRDefault="00F84CD9" w:rsidP="00F84CD9">
            <w:pPr>
              <w:spacing w:line="480" w:lineRule="auto"/>
              <w:jc w:val="center"/>
              <w:rPr>
                <w:rFonts w:ascii="Calibri" w:hAnsi="Calibri" w:cs="Calibri"/>
                <w:bCs/>
                <w:lang w:val="en-US"/>
              </w:rPr>
            </w:pPr>
            <w:r w:rsidRPr="00F84CD9">
              <w:rPr>
                <w:rFonts w:ascii="Calibri" w:hAnsi="Calibri" w:cs="Calibri"/>
              </w:rPr>
              <w:t>39 (21.7)</w:t>
            </w:r>
          </w:p>
        </w:tc>
        <w:tc>
          <w:tcPr>
            <w:tcW w:w="1718" w:type="dxa"/>
            <w:vAlign w:val="bottom"/>
          </w:tcPr>
          <w:p w14:paraId="2DD11ADE" w14:textId="4FE74D7B" w:rsidR="00F84CD9" w:rsidRPr="000C62B0" w:rsidRDefault="00F84CD9" w:rsidP="00F84CD9">
            <w:pPr>
              <w:spacing w:line="480" w:lineRule="auto"/>
              <w:jc w:val="center"/>
              <w:rPr>
                <w:rFonts w:ascii="Calibri" w:hAnsi="Calibri" w:cs="Calibri"/>
                <w:bCs/>
                <w:highlight w:val="yellow"/>
                <w:lang w:val="en-US"/>
              </w:rPr>
            </w:pPr>
            <w:r>
              <w:rPr>
                <w:rFonts w:ascii="Calibri" w:hAnsi="Calibri" w:cs="Calibri"/>
                <w:color w:val="000000"/>
              </w:rPr>
              <w:t>18 (14)</w:t>
            </w:r>
          </w:p>
        </w:tc>
        <w:tc>
          <w:tcPr>
            <w:tcW w:w="1808" w:type="dxa"/>
            <w:vAlign w:val="bottom"/>
          </w:tcPr>
          <w:p w14:paraId="4A007643" w14:textId="0F43509A" w:rsidR="00F84CD9" w:rsidRPr="000C62B0" w:rsidRDefault="00F84CD9" w:rsidP="00F84CD9">
            <w:pPr>
              <w:spacing w:line="480" w:lineRule="auto"/>
              <w:jc w:val="center"/>
              <w:rPr>
                <w:rFonts w:ascii="Calibri" w:hAnsi="Calibri" w:cs="Calibri"/>
                <w:bCs/>
                <w:highlight w:val="yellow"/>
                <w:lang w:val="en-US"/>
              </w:rPr>
            </w:pPr>
            <w:r>
              <w:rPr>
                <w:rFonts w:ascii="Calibri" w:hAnsi="Calibri" w:cs="Calibri"/>
                <w:color w:val="000000"/>
              </w:rPr>
              <w:t>16 (48.5)</w:t>
            </w:r>
          </w:p>
        </w:tc>
        <w:tc>
          <w:tcPr>
            <w:tcW w:w="1507" w:type="dxa"/>
            <w:vAlign w:val="bottom"/>
          </w:tcPr>
          <w:p w14:paraId="50FBFE9C" w14:textId="2477E74F" w:rsidR="00F84CD9" w:rsidRPr="000C62B0" w:rsidRDefault="00F84CD9" w:rsidP="00F84CD9">
            <w:pPr>
              <w:spacing w:line="480" w:lineRule="auto"/>
              <w:jc w:val="center"/>
              <w:rPr>
                <w:rFonts w:ascii="Calibri" w:hAnsi="Calibri" w:cs="Calibri"/>
                <w:b/>
                <w:bCs/>
                <w:highlight w:val="yellow"/>
                <w:lang w:val="en-US"/>
              </w:rPr>
            </w:pPr>
            <w:r w:rsidRPr="000C62B0">
              <w:rPr>
                <w:rFonts w:ascii="Calibri" w:hAnsi="Calibri" w:cs="Calibri"/>
                <w:b/>
                <w:bCs/>
                <w:color w:val="000000"/>
              </w:rPr>
              <w:t>&lt;0.0001</w:t>
            </w:r>
          </w:p>
        </w:tc>
      </w:tr>
      <w:tr w:rsidR="00700816" w:rsidRPr="00326CF9" w14:paraId="2336BBFB" w14:textId="6E6393C4" w:rsidTr="000C62B0">
        <w:tc>
          <w:tcPr>
            <w:tcW w:w="2689" w:type="dxa"/>
          </w:tcPr>
          <w:p w14:paraId="36F32E62" w14:textId="0BDB7DF7" w:rsidR="00F84CD9" w:rsidRPr="00326CF9" w:rsidRDefault="00F84CD9" w:rsidP="00F84CD9">
            <w:pPr>
              <w:spacing w:line="480" w:lineRule="auto"/>
              <w:rPr>
                <w:rFonts w:ascii="Calibri" w:hAnsi="Calibri" w:cs="Calibri"/>
                <w:bCs/>
                <w:lang w:val="en-US"/>
              </w:rPr>
            </w:pPr>
            <w:r w:rsidRPr="00326CF9">
              <w:rPr>
                <w:rFonts w:ascii="Calibri" w:hAnsi="Calibri" w:cs="Calibri"/>
                <w:bCs/>
                <w:lang w:val="en-US"/>
              </w:rPr>
              <w:t>Prosthetic valve in systemic position</w:t>
            </w:r>
          </w:p>
        </w:tc>
        <w:tc>
          <w:tcPr>
            <w:tcW w:w="1718" w:type="dxa"/>
            <w:vAlign w:val="bottom"/>
          </w:tcPr>
          <w:p w14:paraId="2A47497C" w14:textId="39DDF3B5" w:rsidR="00F84CD9" w:rsidRPr="00F84CD9" w:rsidRDefault="00F84CD9" w:rsidP="00F84CD9">
            <w:pPr>
              <w:spacing w:line="480" w:lineRule="auto"/>
              <w:jc w:val="center"/>
              <w:rPr>
                <w:rFonts w:ascii="Calibri" w:hAnsi="Calibri" w:cs="Calibri"/>
                <w:bCs/>
                <w:lang w:val="en-US"/>
              </w:rPr>
            </w:pPr>
            <w:r w:rsidRPr="00F84CD9">
              <w:rPr>
                <w:rFonts w:ascii="Calibri" w:hAnsi="Calibri" w:cs="Calibri"/>
              </w:rPr>
              <w:t>18 (10)</w:t>
            </w:r>
          </w:p>
        </w:tc>
        <w:tc>
          <w:tcPr>
            <w:tcW w:w="1718" w:type="dxa"/>
            <w:vAlign w:val="bottom"/>
          </w:tcPr>
          <w:p w14:paraId="0BDAD265" w14:textId="26F1807E" w:rsidR="00F84CD9" w:rsidRPr="000C62B0" w:rsidRDefault="00F84CD9" w:rsidP="00F84CD9">
            <w:pPr>
              <w:spacing w:line="480" w:lineRule="auto"/>
              <w:jc w:val="center"/>
              <w:rPr>
                <w:rFonts w:ascii="Calibri" w:hAnsi="Calibri" w:cs="Calibri"/>
                <w:bCs/>
                <w:highlight w:val="yellow"/>
                <w:lang w:val="en-US"/>
              </w:rPr>
            </w:pPr>
            <w:r>
              <w:rPr>
                <w:rFonts w:ascii="Calibri" w:hAnsi="Calibri" w:cs="Calibri"/>
                <w:color w:val="000000"/>
              </w:rPr>
              <w:t>12 (9.3)</w:t>
            </w:r>
          </w:p>
        </w:tc>
        <w:tc>
          <w:tcPr>
            <w:tcW w:w="1808" w:type="dxa"/>
            <w:vAlign w:val="bottom"/>
          </w:tcPr>
          <w:p w14:paraId="64C636F2" w14:textId="19DB1D7E" w:rsidR="00F84CD9" w:rsidRPr="000C62B0" w:rsidRDefault="00F84CD9" w:rsidP="00F84CD9">
            <w:pPr>
              <w:spacing w:line="480" w:lineRule="auto"/>
              <w:jc w:val="center"/>
              <w:rPr>
                <w:rFonts w:ascii="Calibri" w:hAnsi="Calibri" w:cs="Calibri"/>
                <w:bCs/>
                <w:highlight w:val="yellow"/>
                <w:lang w:val="en-US"/>
              </w:rPr>
            </w:pPr>
            <w:r>
              <w:rPr>
                <w:rFonts w:ascii="Calibri" w:hAnsi="Calibri" w:cs="Calibri"/>
                <w:color w:val="000000"/>
              </w:rPr>
              <w:t>4 (12.1)</w:t>
            </w:r>
          </w:p>
        </w:tc>
        <w:tc>
          <w:tcPr>
            <w:tcW w:w="1507" w:type="dxa"/>
            <w:vAlign w:val="bottom"/>
          </w:tcPr>
          <w:p w14:paraId="7D28B206" w14:textId="06073BB3" w:rsidR="00F84CD9" w:rsidRPr="000C62B0" w:rsidRDefault="00F84CD9" w:rsidP="00F84CD9">
            <w:pPr>
              <w:spacing w:line="480" w:lineRule="auto"/>
              <w:jc w:val="center"/>
              <w:rPr>
                <w:rFonts w:ascii="Calibri" w:hAnsi="Calibri" w:cs="Calibri"/>
                <w:b/>
                <w:bCs/>
                <w:highlight w:val="yellow"/>
                <w:lang w:val="en-US"/>
              </w:rPr>
            </w:pPr>
            <w:r>
              <w:rPr>
                <w:rFonts w:ascii="Calibri" w:hAnsi="Calibri" w:cs="Calibri"/>
                <w:color w:val="000000"/>
              </w:rPr>
              <w:t>0.87</w:t>
            </w:r>
          </w:p>
        </w:tc>
      </w:tr>
      <w:tr w:rsidR="00700816" w:rsidRPr="00326CF9" w14:paraId="37E9068D" w14:textId="1D4278B5" w:rsidTr="000C62B0">
        <w:tc>
          <w:tcPr>
            <w:tcW w:w="2689" w:type="dxa"/>
          </w:tcPr>
          <w:p w14:paraId="719F2EAB" w14:textId="7823131D" w:rsidR="00F84CD9" w:rsidRPr="00326CF9" w:rsidRDefault="00F84CD9" w:rsidP="00F84CD9">
            <w:pPr>
              <w:spacing w:line="480" w:lineRule="auto"/>
              <w:rPr>
                <w:rFonts w:ascii="Calibri" w:hAnsi="Calibri" w:cs="Calibri"/>
                <w:bCs/>
                <w:lang w:val="en-US"/>
              </w:rPr>
            </w:pPr>
            <w:r w:rsidRPr="00326CF9">
              <w:rPr>
                <w:rFonts w:ascii="Calibri" w:hAnsi="Calibri" w:cs="Calibri"/>
                <w:bCs/>
                <w:lang w:val="en-US"/>
              </w:rPr>
              <w:lastRenderedPageBreak/>
              <w:t xml:space="preserve">Ebstein-like tricuspid valve </w:t>
            </w:r>
          </w:p>
        </w:tc>
        <w:tc>
          <w:tcPr>
            <w:tcW w:w="1718" w:type="dxa"/>
            <w:vAlign w:val="bottom"/>
          </w:tcPr>
          <w:p w14:paraId="02CE573A" w14:textId="109669DE" w:rsidR="00F84CD9" w:rsidRPr="00F84CD9" w:rsidRDefault="00F84CD9" w:rsidP="00F84CD9">
            <w:pPr>
              <w:spacing w:line="480" w:lineRule="auto"/>
              <w:jc w:val="center"/>
              <w:rPr>
                <w:rFonts w:ascii="Calibri" w:hAnsi="Calibri" w:cs="Calibri"/>
                <w:bCs/>
                <w:lang w:val="en-US"/>
              </w:rPr>
            </w:pPr>
            <w:r w:rsidRPr="00F84CD9">
              <w:rPr>
                <w:rFonts w:ascii="Calibri" w:hAnsi="Calibri" w:cs="Calibri"/>
              </w:rPr>
              <w:t>8 (4.4)</w:t>
            </w:r>
          </w:p>
        </w:tc>
        <w:tc>
          <w:tcPr>
            <w:tcW w:w="1718" w:type="dxa"/>
            <w:vAlign w:val="bottom"/>
          </w:tcPr>
          <w:p w14:paraId="40F4FE59" w14:textId="5E89FC18" w:rsidR="00F84CD9" w:rsidRPr="000C62B0" w:rsidRDefault="00F84CD9" w:rsidP="00F84CD9">
            <w:pPr>
              <w:spacing w:line="480" w:lineRule="auto"/>
              <w:jc w:val="center"/>
              <w:rPr>
                <w:rFonts w:ascii="Calibri" w:hAnsi="Calibri" w:cs="Calibri"/>
                <w:bCs/>
                <w:highlight w:val="yellow"/>
                <w:lang w:val="en-US"/>
              </w:rPr>
            </w:pPr>
            <w:r>
              <w:rPr>
                <w:rFonts w:ascii="Calibri" w:hAnsi="Calibri" w:cs="Calibri"/>
                <w:color w:val="000000"/>
              </w:rPr>
              <w:t>7 (5.4)</w:t>
            </w:r>
          </w:p>
        </w:tc>
        <w:tc>
          <w:tcPr>
            <w:tcW w:w="1808" w:type="dxa"/>
            <w:vAlign w:val="bottom"/>
          </w:tcPr>
          <w:p w14:paraId="11CE719B" w14:textId="6E991C27" w:rsidR="00F84CD9" w:rsidRPr="000C62B0" w:rsidRDefault="00F84CD9" w:rsidP="00F84CD9">
            <w:pPr>
              <w:spacing w:line="480" w:lineRule="auto"/>
              <w:jc w:val="center"/>
              <w:rPr>
                <w:rFonts w:ascii="Calibri" w:hAnsi="Calibri" w:cs="Calibri"/>
                <w:bCs/>
                <w:highlight w:val="yellow"/>
                <w:lang w:val="en-US"/>
              </w:rPr>
            </w:pPr>
            <w:r>
              <w:rPr>
                <w:rFonts w:ascii="Calibri" w:hAnsi="Calibri" w:cs="Calibri"/>
                <w:color w:val="000000"/>
              </w:rPr>
              <w:t>1 (3)</w:t>
            </w:r>
          </w:p>
        </w:tc>
        <w:tc>
          <w:tcPr>
            <w:tcW w:w="1507" w:type="dxa"/>
            <w:vAlign w:val="bottom"/>
          </w:tcPr>
          <w:p w14:paraId="1A1D7A38" w14:textId="02D9F28B" w:rsidR="00F84CD9" w:rsidRPr="000C62B0" w:rsidRDefault="00F84CD9" w:rsidP="00F84CD9">
            <w:pPr>
              <w:spacing w:line="480" w:lineRule="auto"/>
              <w:jc w:val="center"/>
              <w:rPr>
                <w:rFonts w:ascii="Calibri" w:hAnsi="Calibri" w:cs="Calibri"/>
                <w:b/>
                <w:bCs/>
                <w:highlight w:val="yellow"/>
                <w:lang w:val="en-US"/>
              </w:rPr>
            </w:pPr>
            <w:r>
              <w:rPr>
                <w:rFonts w:ascii="Calibri" w:hAnsi="Calibri" w:cs="Calibri"/>
                <w:color w:val="000000"/>
              </w:rPr>
              <w:t>0.91</w:t>
            </w:r>
          </w:p>
        </w:tc>
      </w:tr>
      <w:tr w:rsidR="00700816" w:rsidRPr="00326CF9" w14:paraId="77824A39" w14:textId="77E66E3D" w:rsidTr="000C62B0">
        <w:tc>
          <w:tcPr>
            <w:tcW w:w="2689" w:type="dxa"/>
          </w:tcPr>
          <w:p w14:paraId="5CDDBA0F" w14:textId="6B0FA6EB" w:rsidR="00F84CD9" w:rsidRPr="00326CF9" w:rsidRDefault="00F84CD9" w:rsidP="00F84CD9">
            <w:pPr>
              <w:spacing w:line="480" w:lineRule="auto"/>
              <w:rPr>
                <w:rFonts w:ascii="Calibri" w:hAnsi="Calibri" w:cs="Calibri"/>
                <w:bCs/>
                <w:lang w:val="en-US"/>
              </w:rPr>
            </w:pPr>
            <w:r w:rsidRPr="00326CF9">
              <w:rPr>
                <w:rFonts w:ascii="Calibri" w:hAnsi="Calibri" w:cs="Calibri"/>
                <w:bCs/>
                <w:lang w:val="en-US"/>
              </w:rPr>
              <w:t>Heart failure therapy</w:t>
            </w:r>
          </w:p>
        </w:tc>
        <w:tc>
          <w:tcPr>
            <w:tcW w:w="1718" w:type="dxa"/>
            <w:vAlign w:val="bottom"/>
          </w:tcPr>
          <w:p w14:paraId="4137A688" w14:textId="6D6A8989" w:rsidR="00F84CD9" w:rsidRPr="00F84CD9" w:rsidRDefault="00F84CD9" w:rsidP="00F84CD9">
            <w:pPr>
              <w:spacing w:line="480" w:lineRule="auto"/>
              <w:jc w:val="center"/>
              <w:rPr>
                <w:rFonts w:ascii="Calibri" w:hAnsi="Calibri" w:cs="Calibri"/>
                <w:bCs/>
                <w:lang w:val="en-US"/>
              </w:rPr>
            </w:pPr>
            <w:r w:rsidRPr="00F84CD9">
              <w:rPr>
                <w:rFonts w:ascii="Calibri" w:hAnsi="Calibri" w:cs="Calibri"/>
              </w:rPr>
              <w:t>113 (63.5)</w:t>
            </w:r>
          </w:p>
        </w:tc>
        <w:tc>
          <w:tcPr>
            <w:tcW w:w="1718" w:type="dxa"/>
            <w:vAlign w:val="bottom"/>
          </w:tcPr>
          <w:p w14:paraId="0EFC7FBC" w14:textId="7E3A6109" w:rsidR="00F84CD9" w:rsidRPr="000C62B0" w:rsidRDefault="00F84CD9" w:rsidP="00F84CD9">
            <w:pPr>
              <w:spacing w:line="480" w:lineRule="auto"/>
              <w:jc w:val="center"/>
              <w:rPr>
                <w:rFonts w:ascii="Calibri" w:hAnsi="Calibri" w:cs="Calibri"/>
                <w:bCs/>
                <w:highlight w:val="yellow"/>
                <w:lang w:val="en-US"/>
              </w:rPr>
            </w:pPr>
            <w:r>
              <w:rPr>
                <w:rFonts w:ascii="Calibri" w:hAnsi="Calibri" w:cs="Calibri"/>
                <w:color w:val="000000"/>
              </w:rPr>
              <w:t>78 (60.9)</w:t>
            </w:r>
          </w:p>
        </w:tc>
        <w:tc>
          <w:tcPr>
            <w:tcW w:w="1808" w:type="dxa"/>
            <w:vAlign w:val="bottom"/>
          </w:tcPr>
          <w:p w14:paraId="07BCF7FD" w14:textId="237A7A2B" w:rsidR="00F84CD9" w:rsidRPr="000C62B0" w:rsidRDefault="00F84CD9" w:rsidP="00F84CD9">
            <w:pPr>
              <w:spacing w:line="480" w:lineRule="auto"/>
              <w:jc w:val="center"/>
              <w:rPr>
                <w:rFonts w:ascii="Calibri" w:hAnsi="Calibri" w:cs="Calibri"/>
                <w:bCs/>
                <w:highlight w:val="yellow"/>
                <w:lang w:val="en-US"/>
              </w:rPr>
            </w:pPr>
            <w:r>
              <w:rPr>
                <w:rFonts w:ascii="Calibri" w:hAnsi="Calibri" w:cs="Calibri"/>
                <w:color w:val="000000"/>
              </w:rPr>
              <w:t>25 (78.1)</w:t>
            </w:r>
          </w:p>
        </w:tc>
        <w:tc>
          <w:tcPr>
            <w:tcW w:w="1507" w:type="dxa"/>
            <w:vAlign w:val="bottom"/>
          </w:tcPr>
          <w:p w14:paraId="5E200754" w14:textId="2CAD87CF" w:rsidR="00F84CD9" w:rsidRPr="000C62B0" w:rsidRDefault="00F84CD9" w:rsidP="00F84CD9">
            <w:pPr>
              <w:spacing w:line="480" w:lineRule="auto"/>
              <w:jc w:val="center"/>
              <w:rPr>
                <w:rFonts w:ascii="Calibri" w:hAnsi="Calibri" w:cs="Calibri"/>
                <w:bCs/>
                <w:highlight w:val="yellow"/>
                <w:lang w:val="en-US"/>
              </w:rPr>
            </w:pPr>
            <w:r>
              <w:rPr>
                <w:rFonts w:ascii="Calibri" w:hAnsi="Calibri" w:cs="Calibri"/>
                <w:color w:val="000000"/>
              </w:rPr>
              <w:t>0.11</w:t>
            </w:r>
          </w:p>
        </w:tc>
      </w:tr>
      <w:tr w:rsidR="00700816" w:rsidRPr="00326CF9" w14:paraId="46B80AF3" w14:textId="0DC61462" w:rsidTr="000C62B0">
        <w:tc>
          <w:tcPr>
            <w:tcW w:w="2689" w:type="dxa"/>
          </w:tcPr>
          <w:p w14:paraId="491B4F76" w14:textId="058F235B" w:rsidR="00F84CD9" w:rsidRPr="00326CF9" w:rsidRDefault="00F84CD9" w:rsidP="00F84CD9">
            <w:pPr>
              <w:spacing w:line="480" w:lineRule="auto"/>
              <w:rPr>
                <w:rFonts w:ascii="Calibri" w:hAnsi="Calibri" w:cs="Calibri"/>
                <w:bCs/>
                <w:lang w:val="en-US"/>
              </w:rPr>
            </w:pPr>
            <w:r w:rsidRPr="00326CF9">
              <w:rPr>
                <w:rFonts w:ascii="Calibri" w:hAnsi="Calibri" w:cs="Calibri"/>
                <w:bCs/>
                <w:lang w:val="en-US"/>
              </w:rPr>
              <w:t>P</w:t>
            </w:r>
            <w:r>
              <w:rPr>
                <w:rFonts w:ascii="Calibri" w:hAnsi="Calibri" w:cs="Calibri"/>
                <w:bCs/>
                <w:lang w:val="en-US"/>
              </w:rPr>
              <w:t>A</w:t>
            </w:r>
            <w:r w:rsidRPr="00326CF9">
              <w:rPr>
                <w:rFonts w:ascii="Calibri" w:hAnsi="Calibri" w:cs="Calibri"/>
                <w:bCs/>
                <w:lang w:val="en-US"/>
              </w:rPr>
              <w:t>H therapy</w:t>
            </w:r>
          </w:p>
        </w:tc>
        <w:tc>
          <w:tcPr>
            <w:tcW w:w="1718" w:type="dxa"/>
            <w:vAlign w:val="bottom"/>
          </w:tcPr>
          <w:p w14:paraId="37C44C44" w14:textId="019BE941" w:rsidR="00F84CD9" w:rsidRPr="00F84CD9" w:rsidRDefault="00F84CD9" w:rsidP="00F84CD9">
            <w:pPr>
              <w:spacing w:line="480" w:lineRule="auto"/>
              <w:jc w:val="center"/>
              <w:rPr>
                <w:rFonts w:ascii="Calibri" w:hAnsi="Calibri" w:cs="Calibri"/>
                <w:bCs/>
                <w:lang w:val="en-US"/>
              </w:rPr>
            </w:pPr>
            <w:r w:rsidRPr="00F84CD9">
              <w:rPr>
                <w:rFonts w:ascii="Calibri" w:hAnsi="Calibri" w:cs="Calibri"/>
              </w:rPr>
              <w:t>8 (4.5)</w:t>
            </w:r>
          </w:p>
        </w:tc>
        <w:tc>
          <w:tcPr>
            <w:tcW w:w="1718" w:type="dxa"/>
            <w:vAlign w:val="bottom"/>
          </w:tcPr>
          <w:p w14:paraId="00AEA3D9" w14:textId="183FCEEB" w:rsidR="00F84CD9" w:rsidRPr="000C62B0" w:rsidRDefault="00F84CD9" w:rsidP="00F84CD9">
            <w:pPr>
              <w:spacing w:line="480" w:lineRule="auto"/>
              <w:jc w:val="center"/>
              <w:rPr>
                <w:rFonts w:ascii="Calibri" w:hAnsi="Calibri" w:cs="Calibri"/>
                <w:bCs/>
                <w:highlight w:val="yellow"/>
                <w:lang w:val="en-US"/>
              </w:rPr>
            </w:pPr>
            <w:r>
              <w:rPr>
                <w:rFonts w:ascii="Calibri" w:hAnsi="Calibri" w:cs="Calibri"/>
                <w:color w:val="000000"/>
              </w:rPr>
              <w:t>1 (0.8)</w:t>
            </w:r>
          </w:p>
        </w:tc>
        <w:tc>
          <w:tcPr>
            <w:tcW w:w="1808" w:type="dxa"/>
            <w:vAlign w:val="bottom"/>
          </w:tcPr>
          <w:p w14:paraId="46D078D3" w14:textId="62F1C21E" w:rsidR="00F84CD9" w:rsidRPr="000C62B0" w:rsidRDefault="00F84CD9" w:rsidP="00F84CD9">
            <w:pPr>
              <w:spacing w:line="480" w:lineRule="auto"/>
              <w:jc w:val="center"/>
              <w:rPr>
                <w:rFonts w:ascii="Calibri" w:hAnsi="Calibri" w:cs="Calibri"/>
                <w:bCs/>
                <w:highlight w:val="yellow"/>
                <w:lang w:val="en-US"/>
              </w:rPr>
            </w:pPr>
            <w:r>
              <w:rPr>
                <w:rFonts w:ascii="Calibri" w:hAnsi="Calibri" w:cs="Calibri"/>
                <w:color w:val="000000"/>
              </w:rPr>
              <w:t>7 (21.9)</w:t>
            </w:r>
          </w:p>
        </w:tc>
        <w:tc>
          <w:tcPr>
            <w:tcW w:w="1507" w:type="dxa"/>
            <w:vAlign w:val="bottom"/>
          </w:tcPr>
          <w:p w14:paraId="0308B88A" w14:textId="6FB0F44E" w:rsidR="00F84CD9" w:rsidRPr="000C62B0" w:rsidRDefault="00F84CD9" w:rsidP="00F84CD9">
            <w:pPr>
              <w:spacing w:line="480" w:lineRule="auto"/>
              <w:jc w:val="center"/>
              <w:rPr>
                <w:rFonts w:ascii="Calibri" w:hAnsi="Calibri" w:cs="Calibri"/>
                <w:b/>
                <w:bCs/>
                <w:highlight w:val="yellow"/>
                <w:lang w:val="en-US"/>
              </w:rPr>
            </w:pPr>
            <w:r w:rsidRPr="000C62B0">
              <w:rPr>
                <w:rFonts w:ascii="Calibri" w:hAnsi="Calibri" w:cs="Calibri"/>
                <w:b/>
                <w:bCs/>
                <w:color w:val="000000"/>
              </w:rPr>
              <w:t>&lt;0.0001</w:t>
            </w:r>
          </w:p>
        </w:tc>
      </w:tr>
      <w:tr w:rsidR="00700816" w:rsidRPr="00326CF9" w14:paraId="2AF7655A" w14:textId="009C3DCF" w:rsidTr="000C62B0">
        <w:tc>
          <w:tcPr>
            <w:tcW w:w="2689" w:type="dxa"/>
          </w:tcPr>
          <w:p w14:paraId="04F204DF" w14:textId="49364FC6" w:rsidR="00704BFB" w:rsidRPr="00326CF9" w:rsidRDefault="00704BFB" w:rsidP="00326CF9">
            <w:pPr>
              <w:spacing w:line="480" w:lineRule="auto"/>
              <w:rPr>
                <w:rFonts w:ascii="Calibri" w:hAnsi="Calibri" w:cs="Calibri"/>
                <w:bCs/>
                <w:lang w:val="en-US"/>
              </w:rPr>
            </w:pPr>
            <w:r w:rsidRPr="00326CF9">
              <w:rPr>
                <w:rFonts w:ascii="Calibri" w:hAnsi="Calibri" w:cs="Calibri"/>
                <w:bCs/>
                <w:lang w:val="en-US"/>
              </w:rPr>
              <w:t>SRV basal diameter, cm</w:t>
            </w:r>
          </w:p>
        </w:tc>
        <w:tc>
          <w:tcPr>
            <w:tcW w:w="1718" w:type="dxa"/>
            <w:vAlign w:val="bottom"/>
          </w:tcPr>
          <w:p w14:paraId="53B1A046" w14:textId="0FEC469A" w:rsidR="00704BFB" w:rsidRPr="00F84CD9" w:rsidRDefault="00704BFB" w:rsidP="00326CF9">
            <w:pPr>
              <w:spacing w:line="480" w:lineRule="auto"/>
              <w:jc w:val="center"/>
              <w:rPr>
                <w:rFonts w:ascii="Calibri" w:hAnsi="Calibri" w:cs="Calibri"/>
                <w:bCs/>
                <w:lang w:val="en-US"/>
              </w:rPr>
            </w:pPr>
            <w:r w:rsidRPr="00F84CD9">
              <w:rPr>
                <w:rFonts w:ascii="Calibri" w:hAnsi="Calibri" w:cs="Calibri"/>
              </w:rPr>
              <w:t>5.3[4.6-5.8]</w:t>
            </w:r>
          </w:p>
        </w:tc>
        <w:tc>
          <w:tcPr>
            <w:tcW w:w="1718" w:type="dxa"/>
            <w:vAlign w:val="bottom"/>
          </w:tcPr>
          <w:p w14:paraId="605E7F49" w14:textId="72993464" w:rsidR="00704BFB" w:rsidRPr="000C62B0" w:rsidRDefault="00F84CD9" w:rsidP="00326CF9">
            <w:pPr>
              <w:spacing w:line="480" w:lineRule="auto"/>
              <w:jc w:val="center"/>
              <w:rPr>
                <w:rFonts w:ascii="Calibri" w:hAnsi="Calibri" w:cs="Calibri"/>
                <w:bCs/>
                <w:highlight w:val="yellow"/>
                <w:lang w:val="en-US"/>
              </w:rPr>
            </w:pPr>
            <w:r w:rsidRPr="00F84CD9">
              <w:rPr>
                <w:rFonts w:ascii="Calibri" w:hAnsi="Calibri" w:cs="Calibri"/>
              </w:rPr>
              <w:t>5.3[4.7-5.8]</w:t>
            </w:r>
          </w:p>
        </w:tc>
        <w:tc>
          <w:tcPr>
            <w:tcW w:w="1808" w:type="dxa"/>
            <w:vAlign w:val="bottom"/>
          </w:tcPr>
          <w:p w14:paraId="2445F5E7" w14:textId="3AA9BA9A" w:rsidR="00704BFB" w:rsidRPr="000C62B0" w:rsidRDefault="00F84CD9" w:rsidP="00326CF9">
            <w:pPr>
              <w:spacing w:line="480" w:lineRule="auto"/>
              <w:jc w:val="center"/>
              <w:rPr>
                <w:rFonts w:ascii="Calibri" w:hAnsi="Calibri" w:cs="Calibri"/>
                <w:bCs/>
                <w:highlight w:val="yellow"/>
                <w:lang w:val="en-US"/>
              </w:rPr>
            </w:pPr>
            <w:r w:rsidRPr="00F84CD9">
              <w:rPr>
                <w:rFonts w:ascii="Calibri" w:hAnsi="Calibri" w:cs="Calibri"/>
              </w:rPr>
              <w:t>5.3[4.8-6]</w:t>
            </w:r>
          </w:p>
        </w:tc>
        <w:tc>
          <w:tcPr>
            <w:tcW w:w="1507" w:type="dxa"/>
            <w:vAlign w:val="bottom"/>
          </w:tcPr>
          <w:p w14:paraId="04FBE01C" w14:textId="1C687EBD" w:rsidR="00704BFB" w:rsidRPr="000C62B0" w:rsidRDefault="00704BFB" w:rsidP="00326CF9">
            <w:pPr>
              <w:spacing w:line="480" w:lineRule="auto"/>
              <w:jc w:val="center"/>
              <w:rPr>
                <w:rFonts w:ascii="Calibri" w:hAnsi="Calibri" w:cs="Calibri"/>
                <w:bCs/>
                <w:highlight w:val="yellow"/>
                <w:lang w:val="en-US"/>
              </w:rPr>
            </w:pPr>
            <w:r w:rsidRPr="00F84CD9">
              <w:rPr>
                <w:rFonts w:ascii="Calibri" w:hAnsi="Calibri" w:cs="Calibri"/>
              </w:rPr>
              <w:t>0.</w:t>
            </w:r>
            <w:r w:rsidR="00F84CD9" w:rsidRPr="000C62B0">
              <w:rPr>
                <w:rFonts w:ascii="Calibri" w:hAnsi="Calibri" w:cs="Calibri"/>
              </w:rPr>
              <w:t>58</w:t>
            </w:r>
          </w:p>
        </w:tc>
      </w:tr>
      <w:tr w:rsidR="00700816" w:rsidRPr="00326CF9" w14:paraId="59E73DF4" w14:textId="4DD1353B" w:rsidTr="000C62B0">
        <w:tc>
          <w:tcPr>
            <w:tcW w:w="2689" w:type="dxa"/>
          </w:tcPr>
          <w:p w14:paraId="29C8ECF2" w14:textId="5B57C8D9" w:rsidR="00704BFB" w:rsidRPr="00326CF9" w:rsidRDefault="00704BFB" w:rsidP="00326CF9">
            <w:pPr>
              <w:spacing w:line="480" w:lineRule="auto"/>
              <w:rPr>
                <w:rFonts w:ascii="Calibri" w:hAnsi="Calibri" w:cs="Calibri"/>
                <w:bCs/>
                <w:lang w:val="en-US"/>
              </w:rPr>
            </w:pPr>
            <w:r w:rsidRPr="00326CF9">
              <w:rPr>
                <w:rFonts w:ascii="Calibri" w:hAnsi="Calibri" w:cs="Calibri"/>
                <w:bCs/>
                <w:lang w:val="en-US"/>
              </w:rPr>
              <w:t>SRV EDAi, cm</w:t>
            </w:r>
            <w:r w:rsidRPr="00326CF9">
              <w:rPr>
                <w:rFonts w:ascii="Calibri" w:hAnsi="Calibri" w:cs="Calibri"/>
                <w:bCs/>
                <w:vertAlign w:val="superscript"/>
                <w:lang w:val="en-US"/>
              </w:rPr>
              <w:t>2</w:t>
            </w:r>
            <w:r w:rsidRPr="00326CF9">
              <w:rPr>
                <w:rFonts w:ascii="Calibri" w:hAnsi="Calibri" w:cs="Calibri"/>
                <w:bCs/>
                <w:lang w:val="en-US"/>
              </w:rPr>
              <w:t>/m</w:t>
            </w:r>
            <w:r w:rsidRPr="00326CF9">
              <w:rPr>
                <w:rFonts w:ascii="Calibri" w:hAnsi="Calibri" w:cs="Calibri"/>
                <w:bCs/>
                <w:vertAlign w:val="superscript"/>
                <w:lang w:val="en-US"/>
              </w:rPr>
              <w:t>2</w:t>
            </w:r>
          </w:p>
        </w:tc>
        <w:tc>
          <w:tcPr>
            <w:tcW w:w="1718" w:type="dxa"/>
            <w:vAlign w:val="bottom"/>
          </w:tcPr>
          <w:p w14:paraId="1C36D75C" w14:textId="29818483" w:rsidR="00704BFB" w:rsidRPr="00F84CD9" w:rsidRDefault="00704BFB" w:rsidP="00326CF9">
            <w:pPr>
              <w:spacing w:line="480" w:lineRule="auto"/>
              <w:jc w:val="center"/>
              <w:rPr>
                <w:rFonts w:ascii="Calibri" w:hAnsi="Calibri" w:cs="Calibri"/>
                <w:bCs/>
                <w:lang w:val="en-US"/>
              </w:rPr>
            </w:pPr>
            <w:r w:rsidRPr="00F84CD9">
              <w:rPr>
                <w:rFonts w:ascii="Calibri" w:hAnsi="Calibri" w:cs="Calibri"/>
              </w:rPr>
              <w:t>17.6[15.5-20.5]</w:t>
            </w:r>
          </w:p>
        </w:tc>
        <w:tc>
          <w:tcPr>
            <w:tcW w:w="1718" w:type="dxa"/>
            <w:vAlign w:val="bottom"/>
          </w:tcPr>
          <w:p w14:paraId="7EF096EC" w14:textId="3CE02623" w:rsidR="00704BFB" w:rsidRPr="000C62B0" w:rsidRDefault="00F84CD9" w:rsidP="00326CF9">
            <w:pPr>
              <w:spacing w:line="480" w:lineRule="auto"/>
              <w:jc w:val="center"/>
              <w:rPr>
                <w:rFonts w:ascii="Calibri" w:hAnsi="Calibri" w:cs="Calibri"/>
                <w:bCs/>
                <w:highlight w:val="yellow"/>
                <w:lang w:val="en-US"/>
              </w:rPr>
            </w:pPr>
            <w:r w:rsidRPr="00F84CD9">
              <w:rPr>
                <w:rFonts w:ascii="Calibri" w:hAnsi="Calibri" w:cs="Calibri"/>
              </w:rPr>
              <w:t>17.4[15.</w:t>
            </w:r>
            <w:r>
              <w:rPr>
                <w:rFonts w:ascii="Calibri" w:hAnsi="Calibri" w:cs="Calibri"/>
              </w:rPr>
              <w:t>6</w:t>
            </w:r>
            <w:r w:rsidRPr="00F84CD9">
              <w:rPr>
                <w:rFonts w:ascii="Calibri" w:hAnsi="Calibri" w:cs="Calibri"/>
              </w:rPr>
              <w:t>-20.</w:t>
            </w:r>
            <w:r>
              <w:rPr>
                <w:rFonts w:ascii="Calibri" w:hAnsi="Calibri" w:cs="Calibri"/>
              </w:rPr>
              <w:t>2</w:t>
            </w:r>
            <w:r w:rsidRPr="00F84CD9">
              <w:rPr>
                <w:rFonts w:ascii="Calibri" w:hAnsi="Calibri" w:cs="Calibri"/>
              </w:rPr>
              <w:t>]</w:t>
            </w:r>
          </w:p>
        </w:tc>
        <w:tc>
          <w:tcPr>
            <w:tcW w:w="1808" w:type="dxa"/>
            <w:vAlign w:val="bottom"/>
          </w:tcPr>
          <w:p w14:paraId="6EDAC5E8" w14:textId="3EC72FFF" w:rsidR="00704BFB" w:rsidRPr="000C62B0" w:rsidRDefault="00700816" w:rsidP="00326CF9">
            <w:pPr>
              <w:spacing w:line="480" w:lineRule="auto"/>
              <w:jc w:val="center"/>
              <w:rPr>
                <w:rFonts w:ascii="Calibri" w:hAnsi="Calibri" w:cs="Calibri"/>
                <w:bCs/>
                <w:highlight w:val="yellow"/>
                <w:lang w:val="en-US"/>
              </w:rPr>
            </w:pPr>
            <w:r w:rsidRPr="00700816">
              <w:rPr>
                <w:rFonts w:ascii="Calibri" w:hAnsi="Calibri" w:cs="Calibri"/>
              </w:rPr>
              <w:t>19.4[17.</w:t>
            </w:r>
            <w:r>
              <w:rPr>
                <w:rFonts w:ascii="Calibri" w:hAnsi="Calibri" w:cs="Calibri"/>
              </w:rPr>
              <w:t>2</w:t>
            </w:r>
            <w:r w:rsidRPr="00700816">
              <w:rPr>
                <w:rFonts w:ascii="Calibri" w:hAnsi="Calibri" w:cs="Calibri"/>
              </w:rPr>
              <w:t>-2</w:t>
            </w:r>
            <w:r>
              <w:rPr>
                <w:rFonts w:ascii="Calibri" w:hAnsi="Calibri" w:cs="Calibri"/>
              </w:rPr>
              <w:t>4.0</w:t>
            </w:r>
            <w:r w:rsidRPr="00700816">
              <w:rPr>
                <w:rFonts w:ascii="Calibri" w:hAnsi="Calibri" w:cs="Calibri"/>
              </w:rPr>
              <w:t>]</w:t>
            </w:r>
          </w:p>
        </w:tc>
        <w:tc>
          <w:tcPr>
            <w:tcW w:w="1507" w:type="dxa"/>
            <w:vAlign w:val="bottom"/>
          </w:tcPr>
          <w:p w14:paraId="6DF405CF" w14:textId="7A891CE1" w:rsidR="00704BFB" w:rsidRPr="000C62B0" w:rsidRDefault="00704BFB" w:rsidP="00326CF9">
            <w:pPr>
              <w:spacing w:line="480" w:lineRule="auto"/>
              <w:jc w:val="center"/>
              <w:rPr>
                <w:rFonts w:ascii="Calibri" w:hAnsi="Calibri" w:cs="Calibri"/>
                <w:b/>
                <w:bCs/>
                <w:highlight w:val="yellow"/>
                <w:lang w:val="en-US"/>
              </w:rPr>
            </w:pPr>
            <w:r w:rsidRPr="00700816">
              <w:rPr>
                <w:rFonts w:ascii="Calibri" w:hAnsi="Calibri" w:cs="Calibri"/>
                <w:b/>
                <w:bCs/>
              </w:rPr>
              <w:t>0.0</w:t>
            </w:r>
            <w:r w:rsidR="00700816" w:rsidRPr="000C62B0">
              <w:rPr>
                <w:rFonts w:ascii="Calibri" w:hAnsi="Calibri" w:cs="Calibri"/>
                <w:b/>
                <w:bCs/>
              </w:rPr>
              <w:t>2</w:t>
            </w:r>
          </w:p>
        </w:tc>
      </w:tr>
      <w:tr w:rsidR="00700816" w:rsidRPr="00326CF9" w14:paraId="3F8E21CA" w14:textId="458FBF66" w:rsidTr="000C62B0">
        <w:tc>
          <w:tcPr>
            <w:tcW w:w="2689" w:type="dxa"/>
          </w:tcPr>
          <w:p w14:paraId="13A76796" w14:textId="23AA1927" w:rsidR="00704BFB" w:rsidRPr="00326CF9" w:rsidRDefault="00704BFB" w:rsidP="00326CF9">
            <w:pPr>
              <w:spacing w:line="480" w:lineRule="auto"/>
              <w:rPr>
                <w:rFonts w:ascii="Calibri" w:hAnsi="Calibri" w:cs="Calibri"/>
                <w:bCs/>
                <w:lang w:val="en-US"/>
              </w:rPr>
            </w:pPr>
            <w:r w:rsidRPr="00326CF9">
              <w:rPr>
                <w:rFonts w:ascii="Calibri" w:hAnsi="Calibri" w:cs="Calibri"/>
                <w:bCs/>
                <w:lang w:val="en-US"/>
              </w:rPr>
              <w:t>TAPSE, mm</w:t>
            </w:r>
          </w:p>
        </w:tc>
        <w:tc>
          <w:tcPr>
            <w:tcW w:w="1718" w:type="dxa"/>
            <w:vAlign w:val="bottom"/>
          </w:tcPr>
          <w:p w14:paraId="183DA256" w14:textId="7747A0EE" w:rsidR="00704BFB" w:rsidRPr="00F84CD9" w:rsidRDefault="00704BFB" w:rsidP="00326CF9">
            <w:pPr>
              <w:spacing w:line="480" w:lineRule="auto"/>
              <w:jc w:val="center"/>
              <w:rPr>
                <w:rFonts w:ascii="Calibri" w:hAnsi="Calibri" w:cs="Calibri"/>
                <w:bCs/>
                <w:lang w:val="en-US"/>
              </w:rPr>
            </w:pPr>
            <w:r w:rsidRPr="00F84CD9">
              <w:rPr>
                <w:rFonts w:ascii="Calibri" w:hAnsi="Calibri" w:cs="Calibri"/>
              </w:rPr>
              <w:t>12[9-14]</w:t>
            </w:r>
          </w:p>
        </w:tc>
        <w:tc>
          <w:tcPr>
            <w:tcW w:w="1718" w:type="dxa"/>
            <w:vAlign w:val="bottom"/>
          </w:tcPr>
          <w:p w14:paraId="0F89839A" w14:textId="7925DC5F" w:rsidR="00704BFB" w:rsidRPr="000C62B0" w:rsidRDefault="00700816" w:rsidP="00326CF9">
            <w:pPr>
              <w:spacing w:line="480" w:lineRule="auto"/>
              <w:jc w:val="center"/>
              <w:rPr>
                <w:rFonts w:ascii="Calibri" w:hAnsi="Calibri" w:cs="Calibri"/>
                <w:bCs/>
                <w:highlight w:val="yellow"/>
                <w:lang w:val="en-US"/>
              </w:rPr>
            </w:pPr>
            <w:r w:rsidRPr="00700816">
              <w:rPr>
                <w:rFonts w:ascii="Calibri" w:hAnsi="Calibri" w:cs="Calibri"/>
              </w:rPr>
              <w:t>12[9-15]</w:t>
            </w:r>
          </w:p>
        </w:tc>
        <w:tc>
          <w:tcPr>
            <w:tcW w:w="1808" w:type="dxa"/>
            <w:vAlign w:val="bottom"/>
          </w:tcPr>
          <w:p w14:paraId="298A73ED" w14:textId="3C84136F" w:rsidR="00704BFB" w:rsidRPr="000C62B0" w:rsidRDefault="00700816" w:rsidP="00326CF9">
            <w:pPr>
              <w:spacing w:line="480" w:lineRule="auto"/>
              <w:jc w:val="center"/>
              <w:rPr>
                <w:rFonts w:ascii="Calibri" w:hAnsi="Calibri" w:cs="Calibri"/>
                <w:bCs/>
                <w:highlight w:val="yellow"/>
                <w:lang w:val="en-US"/>
              </w:rPr>
            </w:pPr>
            <w:r w:rsidRPr="00700816">
              <w:rPr>
                <w:rFonts w:ascii="Calibri" w:hAnsi="Calibri" w:cs="Calibri"/>
              </w:rPr>
              <w:t>10[9-12.5]</w:t>
            </w:r>
          </w:p>
        </w:tc>
        <w:tc>
          <w:tcPr>
            <w:tcW w:w="1507" w:type="dxa"/>
            <w:vAlign w:val="bottom"/>
          </w:tcPr>
          <w:p w14:paraId="36AE86CB" w14:textId="31EA6AF5" w:rsidR="00704BFB" w:rsidRPr="000C62B0" w:rsidRDefault="00700816" w:rsidP="00326CF9">
            <w:pPr>
              <w:spacing w:line="480" w:lineRule="auto"/>
              <w:jc w:val="center"/>
              <w:rPr>
                <w:rFonts w:ascii="Calibri" w:hAnsi="Calibri" w:cs="Calibri"/>
                <w:highlight w:val="yellow"/>
                <w:lang w:val="en-US"/>
              </w:rPr>
            </w:pPr>
            <w:r w:rsidRPr="000C62B0">
              <w:rPr>
                <w:rFonts w:ascii="Calibri" w:hAnsi="Calibri" w:cs="Calibri"/>
              </w:rPr>
              <w:t>0.26</w:t>
            </w:r>
          </w:p>
        </w:tc>
      </w:tr>
      <w:tr w:rsidR="00700816" w:rsidRPr="00326CF9" w14:paraId="58FA5320" w14:textId="6075F24F" w:rsidTr="000C62B0">
        <w:tc>
          <w:tcPr>
            <w:tcW w:w="2689" w:type="dxa"/>
          </w:tcPr>
          <w:p w14:paraId="7BABDCF0" w14:textId="5E79FCC2" w:rsidR="00704BFB" w:rsidRPr="00326CF9" w:rsidRDefault="00704BFB" w:rsidP="00326CF9">
            <w:pPr>
              <w:spacing w:line="480" w:lineRule="auto"/>
              <w:rPr>
                <w:rFonts w:ascii="Calibri" w:hAnsi="Calibri" w:cs="Calibri"/>
                <w:bCs/>
                <w:lang w:val="en-US"/>
              </w:rPr>
            </w:pPr>
            <w:r w:rsidRPr="00326CF9">
              <w:rPr>
                <w:rFonts w:ascii="Calibri" w:hAnsi="Calibri" w:cs="Calibri"/>
                <w:bCs/>
                <w:lang w:val="en-US"/>
              </w:rPr>
              <w:t>SRV S’, cm/s</w:t>
            </w:r>
          </w:p>
        </w:tc>
        <w:tc>
          <w:tcPr>
            <w:tcW w:w="1718" w:type="dxa"/>
            <w:vAlign w:val="bottom"/>
          </w:tcPr>
          <w:p w14:paraId="0B47D8D4" w14:textId="17813A15" w:rsidR="00704BFB" w:rsidRPr="00F84CD9" w:rsidRDefault="00704BFB" w:rsidP="00326CF9">
            <w:pPr>
              <w:spacing w:line="480" w:lineRule="auto"/>
              <w:jc w:val="center"/>
              <w:rPr>
                <w:rFonts w:ascii="Calibri" w:hAnsi="Calibri" w:cs="Calibri"/>
                <w:bCs/>
                <w:lang w:val="en-US"/>
              </w:rPr>
            </w:pPr>
            <w:r w:rsidRPr="00F84CD9">
              <w:rPr>
                <w:rFonts w:ascii="Calibri" w:hAnsi="Calibri" w:cs="Calibri"/>
              </w:rPr>
              <w:t>7[5.5-8]</w:t>
            </w:r>
          </w:p>
        </w:tc>
        <w:tc>
          <w:tcPr>
            <w:tcW w:w="1718" w:type="dxa"/>
            <w:vAlign w:val="bottom"/>
          </w:tcPr>
          <w:p w14:paraId="5E5602C6" w14:textId="77D89081" w:rsidR="00704BFB" w:rsidRPr="000C62B0" w:rsidRDefault="00700816" w:rsidP="00326CF9">
            <w:pPr>
              <w:spacing w:line="480" w:lineRule="auto"/>
              <w:jc w:val="center"/>
              <w:rPr>
                <w:rFonts w:ascii="Calibri" w:hAnsi="Calibri" w:cs="Calibri"/>
                <w:bCs/>
                <w:highlight w:val="yellow"/>
                <w:lang w:val="en-US"/>
              </w:rPr>
            </w:pPr>
            <w:r w:rsidRPr="00700816">
              <w:rPr>
                <w:rFonts w:ascii="Calibri" w:hAnsi="Calibri" w:cs="Calibri"/>
              </w:rPr>
              <w:t>7[5.6-8.5]</w:t>
            </w:r>
          </w:p>
        </w:tc>
        <w:tc>
          <w:tcPr>
            <w:tcW w:w="1808" w:type="dxa"/>
            <w:vAlign w:val="bottom"/>
          </w:tcPr>
          <w:p w14:paraId="24B543E4" w14:textId="4A2CA85D" w:rsidR="00704BFB" w:rsidRPr="000C62B0" w:rsidRDefault="00700816" w:rsidP="00326CF9">
            <w:pPr>
              <w:spacing w:line="480" w:lineRule="auto"/>
              <w:jc w:val="center"/>
              <w:rPr>
                <w:rFonts w:ascii="Calibri" w:hAnsi="Calibri" w:cs="Calibri"/>
                <w:bCs/>
                <w:highlight w:val="yellow"/>
                <w:lang w:val="en-US"/>
              </w:rPr>
            </w:pPr>
            <w:r w:rsidRPr="00700816">
              <w:rPr>
                <w:rFonts w:ascii="Calibri" w:hAnsi="Calibri" w:cs="Calibri"/>
              </w:rPr>
              <w:t>6[4.</w:t>
            </w:r>
            <w:r>
              <w:rPr>
                <w:rFonts w:ascii="Calibri" w:hAnsi="Calibri" w:cs="Calibri"/>
              </w:rPr>
              <w:t>3</w:t>
            </w:r>
            <w:r w:rsidRPr="00700816">
              <w:rPr>
                <w:rFonts w:ascii="Calibri" w:hAnsi="Calibri" w:cs="Calibri"/>
              </w:rPr>
              <w:t>-7.9]</w:t>
            </w:r>
          </w:p>
        </w:tc>
        <w:tc>
          <w:tcPr>
            <w:tcW w:w="1507" w:type="dxa"/>
            <w:vAlign w:val="bottom"/>
          </w:tcPr>
          <w:p w14:paraId="27DDB55D" w14:textId="2E43C93C" w:rsidR="00704BFB" w:rsidRPr="000C62B0" w:rsidRDefault="00700816" w:rsidP="00326CF9">
            <w:pPr>
              <w:spacing w:line="480" w:lineRule="auto"/>
              <w:jc w:val="center"/>
              <w:rPr>
                <w:rFonts w:ascii="Calibri" w:hAnsi="Calibri" w:cs="Calibri"/>
                <w:highlight w:val="yellow"/>
                <w:lang w:val="en-US"/>
              </w:rPr>
            </w:pPr>
            <w:r w:rsidRPr="000C62B0">
              <w:rPr>
                <w:rFonts w:ascii="Calibri" w:hAnsi="Calibri" w:cs="Calibri"/>
              </w:rPr>
              <w:t>0.12</w:t>
            </w:r>
          </w:p>
        </w:tc>
      </w:tr>
      <w:tr w:rsidR="00700816" w:rsidRPr="00326CF9" w14:paraId="6C354076" w14:textId="7F838381" w:rsidTr="000C62B0">
        <w:tc>
          <w:tcPr>
            <w:tcW w:w="2689" w:type="dxa"/>
          </w:tcPr>
          <w:p w14:paraId="486A013F" w14:textId="2C0C1CF9" w:rsidR="00700816" w:rsidRPr="00326CF9" w:rsidRDefault="00700816" w:rsidP="00700816">
            <w:pPr>
              <w:spacing w:line="480" w:lineRule="auto"/>
              <w:rPr>
                <w:rFonts w:ascii="Calibri" w:hAnsi="Calibri" w:cs="Calibri"/>
                <w:bCs/>
                <w:lang w:val="en-US"/>
              </w:rPr>
            </w:pPr>
            <w:r w:rsidRPr="00326CF9">
              <w:rPr>
                <w:rFonts w:ascii="Calibri" w:hAnsi="Calibri" w:cs="Calibri"/>
                <w:bCs/>
                <w:lang w:val="en-US"/>
              </w:rPr>
              <w:t>SRV FAC, %</w:t>
            </w:r>
          </w:p>
        </w:tc>
        <w:tc>
          <w:tcPr>
            <w:tcW w:w="1718" w:type="dxa"/>
            <w:vAlign w:val="bottom"/>
          </w:tcPr>
          <w:p w14:paraId="25BEB8D0" w14:textId="653ACE46" w:rsidR="00700816" w:rsidRPr="00F84CD9" w:rsidRDefault="00700816" w:rsidP="00700816">
            <w:pPr>
              <w:spacing w:line="480" w:lineRule="auto"/>
              <w:jc w:val="center"/>
              <w:rPr>
                <w:rFonts w:ascii="Calibri" w:hAnsi="Calibri" w:cs="Calibri"/>
                <w:bCs/>
                <w:lang w:val="en-US"/>
              </w:rPr>
            </w:pPr>
            <w:r w:rsidRPr="00F84CD9">
              <w:rPr>
                <w:rFonts w:ascii="Calibri" w:hAnsi="Calibri" w:cs="Calibri"/>
              </w:rPr>
              <w:t>28[22-34.5]</w:t>
            </w:r>
          </w:p>
        </w:tc>
        <w:tc>
          <w:tcPr>
            <w:tcW w:w="1718" w:type="dxa"/>
            <w:vAlign w:val="bottom"/>
          </w:tcPr>
          <w:p w14:paraId="20C4BEC2" w14:textId="798BC747" w:rsidR="00700816" w:rsidRPr="000C62B0" w:rsidRDefault="00700816" w:rsidP="00700816">
            <w:pPr>
              <w:spacing w:line="480" w:lineRule="auto"/>
              <w:jc w:val="center"/>
              <w:rPr>
                <w:rFonts w:ascii="Calibri" w:hAnsi="Calibri" w:cs="Calibri"/>
                <w:bCs/>
                <w:highlight w:val="yellow"/>
                <w:lang w:val="en-US"/>
              </w:rPr>
            </w:pPr>
            <w:r>
              <w:rPr>
                <w:rFonts w:ascii="Calibri" w:hAnsi="Calibri" w:cs="Calibri"/>
                <w:color w:val="000000"/>
              </w:rPr>
              <w:t>29[23-35]</w:t>
            </w:r>
          </w:p>
        </w:tc>
        <w:tc>
          <w:tcPr>
            <w:tcW w:w="1808" w:type="dxa"/>
            <w:vAlign w:val="bottom"/>
          </w:tcPr>
          <w:p w14:paraId="36D6DEFC" w14:textId="0268EFC0" w:rsidR="00700816" w:rsidRPr="000C62B0" w:rsidRDefault="00700816" w:rsidP="00700816">
            <w:pPr>
              <w:spacing w:line="480" w:lineRule="auto"/>
              <w:jc w:val="center"/>
              <w:rPr>
                <w:rFonts w:ascii="Calibri" w:hAnsi="Calibri" w:cs="Calibri"/>
                <w:bCs/>
                <w:highlight w:val="yellow"/>
                <w:lang w:val="en-US"/>
              </w:rPr>
            </w:pPr>
            <w:r>
              <w:rPr>
                <w:rFonts w:ascii="Calibri" w:hAnsi="Calibri" w:cs="Calibri"/>
                <w:color w:val="000000"/>
              </w:rPr>
              <w:t>22[18.5-27]</w:t>
            </w:r>
          </w:p>
        </w:tc>
        <w:tc>
          <w:tcPr>
            <w:tcW w:w="1507" w:type="dxa"/>
            <w:vAlign w:val="bottom"/>
          </w:tcPr>
          <w:p w14:paraId="7358DA14" w14:textId="0EC23D18" w:rsidR="00700816" w:rsidRPr="000C62B0" w:rsidRDefault="00700816" w:rsidP="00700816">
            <w:pPr>
              <w:spacing w:line="480" w:lineRule="auto"/>
              <w:jc w:val="center"/>
              <w:rPr>
                <w:rFonts w:ascii="Calibri" w:hAnsi="Calibri" w:cs="Calibri"/>
                <w:b/>
                <w:bCs/>
                <w:highlight w:val="yellow"/>
                <w:lang w:val="en-US"/>
              </w:rPr>
            </w:pPr>
            <w:r w:rsidRPr="000C62B0">
              <w:rPr>
                <w:rFonts w:ascii="Calibri" w:hAnsi="Calibri" w:cs="Calibri"/>
                <w:b/>
                <w:bCs/>
                <w:color w:val="000000"/>
              </w:rPr>
              <w:t>0.0001</w:t>
            </w:r>
          </w:p>
        </w:tc>
      </w:tr>
      <w:tr w:rsidR="00700816" w:rsidRPr="00326CF9" w14:paraId="60837F3F" w14:textId="32B338F6" w:rsidTr="000C62B0">
        <w:tc>
          <w:tcPr>
            <w:tcW w:w="2689" w:type="dxa"/>
          </w:tcPr>
          <w:p w14:paraId="0FB59037" w14:textId="5877D48F" w:rsidR="00775402" w:rsidRPr="00326CF9" w:rsidRDefault="00775402" w:rsidP="00326CF9">
            <w:pPr>
              <w:spacing w:line="480" w:lineRule="auto"/>
              <w:rPr>
                <w:rFonts w:ascii="Calibri" w:hAnsi="Calibri" w:cs="Calibri"/>
                <w:bCs/>
                <w:lang w:val="en-US"/>
              </w:rPr>
            </w:pPr>
            <w:r w:rsidRPr="00326CF9">
              <w:rPr>
                <w:rFonts w:ascii="Calibri" w:hAnsi="Calibri" w:cs="Calibri"/>
                <w:bCs/>
                <w:lang w:val="en-US"/>
              </w:rPr>
              <w:t xml:space="preserve">SRV systolic </w:t>
            </w:r>
            <w:r w:rsidR="00525742" w:rsidRPr="00326CF9">
              <w:rPr>
                <w:rFonts w:ascii="Calibri" w:hAnsi="Calibri" w:cs="Calibri"/>
                <w:bCs/>
                <w:lang w:val="en-US"/>
              </w:rPr>
              <w:t>dys</w:t>
            </w:r>
            <w:r w:rsidRPr="00326CF9">
              <w:rPr>
                <w:rFonts w:ascii="Calibri" w:hAnsi="Calibri" w:cs="Calibri"/>
                <w:bCs/>
                <w:lang w:val="en-US"/>
              </w:rPr>
              <w:t>function</w:t>
            </w:r>
          </w:p>
          <w:p w14:paraId="25F7975D" w14:textId="77777777" w:rsidR="00775402" w:rsidRPr="00326CF9" w:rsidRDefault="00775402" w:rsidP="00326CF9">
            <w:pPr>
              <w:spacing w:line="480" w:lineRule="auto"/>
              <w:rPr>
                <w:rFonts w:ascii="Calibri" w:hAnsi="Calibri" w:cs="Calibri"/>
                <w:bCs/>
                <w:lang w:val="en-US"/>
              </w:rPr>
            </w:pPr>
            <w:r w:rsidRPr="00326CF9">
              <w:rPr>
                <w:rFonts w:ascii="Calibri" w:hAnsi="Calibri" w:cs="Calibri"/>
                <w:bCs/>
                <w:lang w:val="en-US"/>
              </w:rPr>
              <w:t>by visual assessment</w:t>
            </w:r>
          </w:p>
          <w:p w14:paraId="5B322AA2" w14:textId="614B283C" w:rsidR="00775402" w:rsidRPr="00326CF9" w:rsidRDefault="00775402" w:rsidP="00326CF9">
            <w:pPr>
              <w:spacing w:line="480" w:lineRule="auto"/>
              <w:rPr>
                <w:rFonts w:ascii="Calibri" w:hAnsi="Calibri" w:cs="Calibri"/>
                <w:bCs/>
                <w:lang w:val="en-US"/>
              </w:rPr>
            </w:pPr>
            <w:r w:rsidRPr="00326CF9">
              <w:rPr>
                <w:rFonts w:ascii="Calibri" w:hAnsi="Calibri" w:cs="Calibri"/>
                <w:bCs/>
                <w:lang w:val="en-US"/>
              </w:rPr>
              <w:t xml:space="preserve">  </w:t>
            </w:r>
            <w:r w:rsidR="00525742" w:rsidRPr="00326CF9">
              <w:rPr>
                <w:rFonts w:ascii="Calibri" w:hAnsi="Calibri" w:cs="Calibri"/>
                <w:bCs/>
                <w:lang w:val="en-US"/>
              </w:rPr>
              <w:t>None</w:t>
            </w:r>
          </w:p>
          <w:p w14:paraId="5520E928" w14:textId="25652FA3" w:rsidR="00775402" w:rsidRPr="00326CF9" w:rsidRDefault="00775402" w:rsidP="00326CF9">
            <w:pPr>
              <w:spacing w:line="480" w:lineRule="auto"/>
              <w:rPr>
                <w:rFonts w:ascii="Calibri" w:hAnsi="Calibri" w:cs="Calibri"/>
                <w:bCs/>
                <w:lang w:val="en-US"/>
              </w:rPr>
            </w:pPr>
            <w:r w:rsidRPr="00326CF9">
              <w:rPr>
                <w:rFonts w:ascii="Calibri" w:hAnsi="Calibri" w:cs="Calibri"/>
                <w:bCs/>
                <w:lang w:val="en-US"/>
              </w:rPr>
              <w:t xml:space="preserve">  Mild</w:t>
            </w:r>
          </w:p>
          <w:p w14:paraId="471C5043" w14:textId="4BAC16EA" w:rsidR="00775402" w:rsidRPr="00326CF9" w:rsidRDefault="00775402" w:rsidP="00326CF9">
            <w:pPr>
              <w:spacing w:line="480" w:lineRule="auto"/>
              <w:rPr>
                <w:rFonts w:ascii="Calibri" w:hAnsi="Calibri" w:cs="Calibri"/>
                <w:bCs/>
                <w:lang w:val="en-US"/>
              </w:rPr>
            </w:pPr>
            <w:r w:rsidRPr="00326CF9">
              <w:rPr>
                <w:rFonts w:ascii="Calibri" w:hAnsi="Calibri" w:cs="Calibri"/>
                <w:bCs/>
                <w:lang w:val="en-US"/>
              </w:rPr>
              <w:t xml:space="preserve">  Moderat</w:t>
            </w:r>
            <w:r w:rsidR="00525742" w:rsidRPr="00326CF9">
              <w:rPr>
                <w:rFonts w:ascii="Calibri" w:hAnsi="Calibri" w:cs="Calibri"/>
                <w:bCs/>
                <w:lang w:val="en-US"/>
              </w:rPr>
              <w:t>e</w:t>
            </w:r>
          </w:p>
          <w:p w14:paraId="7C893C12" w14:textId="3F17B211" w:rsidR="00775402" w:rsidRPr="00326CF9" w:rsidRDefault="00775402" w:rsidP="00326CF9">
            <w:pPr>
              <w:spacing w:line="480" w:lineRule="auto"/>
              <w:rPr>
                <w:rFonts w:ascii="Calibri" w:hAnsi="Calibri" w:cs="Calibri"/>
                <w:bCs/>
                <w:lang w:val="en-US"/>
              </w:rPr>
            </w:pPr>
            <w:r w:rsidRPr="00326CF9">
              <w:rPr>
                <w:rFonts w:ascii="Calibri" w:hAnsi="Calibri" w:cs="Calibri"/>
                <w:bCs/>
                <w:lang w:val="en-US"/>
              </w:rPr>
              <w:t xml:space="preserve">  Severe</w:t>
            </w:r>
          </w:p>
        </w:tc>
        <w:tc>
          <w:tcPr>
            <w:tcW w:w="1718" w:type="dxa"/>
          </w:tcPr>
          <w:p w14:paraId="595D4978" w14:textId="77777777" w:rsidR="000C04BD" w:rsidRPr="00F84CD9" w:rsidRDefault="000C04BD" w:rsidP="00326CF9">
            <w:pPr>
              <w:spacing w:line="480" w:lineRule="auto"/>
              <w:jc w:val="center"/>
              <w:rPr>
                <w:rFonts w:ascii="Calibri" w:hAnsi="Calibri" w:cs="Calibri"/>
                <w:bCs/>
                <w:lang w:val="en-US"/>
              </w:rPr>
            </w:pPr>
          </w:p>
          <w:p w14:paraId="0A3A4425" w14:textId="77777777" w:rsidR="000C04BD" w:rsidRPr="00F84CD9" w:rsidRDefault="000C04BD" w:rsidP="00326CF9">
            <w:pPr>
              <w:spacing w:line="480" w:lineRule="auto"/>
              <w:jc w:val="center"/>
              <w:rPr>
                <w:rFonts w:ascii="Calibri" w:hAnsi="Calibri" w:cs="Calibri"/>
                <w:bCs/>
                <w:lang w:val="en-US"/>
              </w:rPr>
            </w:pPr>
          </w:p>
          <w:p w14:paraId="62C38D5B" w14:textId="4207F2F3" w:rsidR="000C04BD" w:rsidRPr="00F84CD9" w:rsidRDefault="000C04BD" w:rsidP="00326CF9">
            <w:pPr>
              <w:spacing w:line="480" w:lineRule="auto"/>
              <w:jc w:val="center"/>
              <w:rPr>
                <w:rFonts w:ascii="Calibri" w:hAnsi="Calibri" w:cs="Calibri"/>
                <w:bCs/>
                <w:lang w:val="en-US"/>
              </w:rPr>
            </w:pPr>
            <w:r w:rsidRPr="00F84CD9">
              <w:rPr>
                <w:rFonts w:ascii="Calibri" w:hAnsi="Calibri" w:cs="Calibri"/>
                <w:bCs/>
                <w:lang w:val="en-US"/>
              </w:rPr>
              <w:t>32 (17.8)</w:t>
            </w:r>
          </w:p>
          <w:p w14:paraId="0312CC74" w14:textId="46003DB4" w:rsidR="000C04BD" w:rsidRPr="00F84CD9" w:rsidRDefault="000C04BD" w:rsidP="00326CF9">
            <w:pPr>
              <w:spacing w:line="480" w:lineRule="auto"/>
              <w:jc w:val="center"/>
              <w:rPr>
                <w:rFonts w:ascii="Calibri" w:hAnsi="Calibri" w:cs="Calibri"/>
                <w:bCs/>
                <w:lang w:val="en-US"/>
              </w:rPr>
            </w:pPr>
            <w:r w:rsidRPr="00F84CD9">
              <w:rPr>
                <w:rFonts w:ascii="Calibri" w:hAnsi="Calibri" w:cs="Calibri"/>
                <w:bCs/>
                <w:lang w:val="en-US"/>
              </w:rPr>
              <w:t>59 (32.8)</w:t>
            </w:r>
          </w:p>
          <w:p w14:paraId="033A434E" w14:textId="124BEBAC" w:rsidR="000C04BD" w:rsidRPr="00F84CD9" w:rsidRDefault="000C04BD" w:rsidP="00326CF9">
            <w:pPr>
              <w:spacing w:line="480" w:lineRule="auto"/>
              <w:jc w:val="center"/>
              <w:rPr>
                <w:rFonts w:ascii="Calibri" w:hAnsi="Calibri" w:cs="Calibri"/>
                <w:bCs/>
                <w:lang w:val="en-US"/>
              </w:rPr>
            </w:pPr>
            <w:r w:rsidRPr="00F84CD9">
              <w:rPr>
                <w:rFonts w:ascii="Calibri" w:hAnsi="Calibri" w:cs="Calibri"/>
                <w:bCs/>
                <w:lang w:val="en-US"/>
              </w:rPr>
              <w:t>49 (27.2)</w:t>
            </w:r>
          </w:p>
          <w:p w14:paraId="37D2826A" w14:textId="059CF1B1" w:rsidR="008A4D34" w:rsidRPr="00F84CD9" w:rsidRDefault="000C04BD" w:rsidP="00326CF9">
            <w:pPr>
              <w:spacing w:line="480" w:lineRule="auto"/>
              <w:jc w:val="center"/>
              <w:rPr>
                <w:rFonts w:ascii="Calibri" w:hAnsi="Calibri" w:cs="Calibri"/>
                <w:bCs/>
                <w:lang w:val="en-US"/>
              </w:rPr>
            </w:pPr>
            <w:r w:rsidRPr="00F84CD9">
              <w:rPr>
                <w:rFonts w:ascii="Calibri" w:hAnsi="Calibri" w:cs="Calibri"/>
                <w:bCs/>
                <w:lang w:val="en-US"/>
              </w:rPr>
              <w:t>40 (22.2)</w:t>
            </w:r>
          </w:p>
        </w:tc>
        <w:tc>
          <w:tcPr>
            <w:tcW w:w="1718" w:type="dxa"/>
          </w:tcPr>
          <w:p w14:paraId="6C5A05AA" w14:textId="77777777" w:rsidR="000C04BD" w:rsidRPr="000C62B0" w:rsidRDefault="000C04BD" w:rsidP="00326CF9">
            <w:pPr>
              <w:spacing w:line="480" w:lineRule="auto"/>
              <w:jc w:val="center"/>
              <w:rPr>
                <w:rFonts w:ascii="Calibri" w:hAnsi="Calibri" w:cs="Calibri"/>
                <w:bCs/>
                <w:highlight w:val="yellow"/>
                <w:lang w:val="en-US"/>
              </w:rPr>
            </w:pPr>
          </w:p>
          <w:p w14:paraId="6E6734CE" w14:textId="77777777" w:rsidR="000C04BD" w:rsidRPr="000C62B0" w:rsidRDefault="000C04BD" w:rsidP="00326CF9">
            <w:pPr>
              <w:spacing w:line="480" w:lineRule="auto"/>
              <w:jc w:val="center"/>
              <w:rPr>
                <w:rFonts w:ascii="Calibri" w:hAnsi="Calibri" w:cs="Calibri"/>
                <w:bCs/>
                <w:highlight w:val="yellow"/>
                <w:lang w:val="en-US"/>
              </w:rPr>
            </w:pPr>
          </w:p>
          <w:p w14:paraId="64C71BEB" w14:textId="7166EBF1" w:rsidR="008A4D34" w:rsidRPr="000C62B0" w:rsidRDefault="00700816" w:rsidP="00326CF9">
            <w:pPr>
              <w:spacing w:line="480" w:lineRule="auto"/>
              <w:jc w:val="center"/>
              <w:rPr>
                <w:rFonts w:ascii="Calibri" w:hAnsi="Calibri" w:cs="Calibri"/>
                <w:bCs/>
                <w:lang w:val="en-US"/>
              </w:rPr>
            </w:pPr>
            <w:r w:rsidRPr="000C62B0">
              <w:rPr>
                <w:rFonts w:ascii="Calibri" w:hAnsi="Calibri" w:cs="Calibri"/>
                <w:bCs/>
                <w:lang w:val="en-US"/>
              </w:rPr>
              <w:t>23 (17.8)</w:t>
            </w:r>
          </w:p>
          <w:p w14:paraId="5AF285F4" w14:textId="77777777" w:rsidR="00700816" w:rsidRPr="000C62B0" w:rsidRDefault="00700816" w:rsidP="00326CF9">
            <w:pPr>
              <w:spacing w:line="480" w:lineRule="auto"/>
              <w:jc w:val="center"/>
              <w:rPr>
                <w:rFonts w:ascii="Calibri" w:hAnsi="Calibri" w:cs="Calibri"/>
                <w:bCs/>
                <w:lang w:val="en-US"/>
              </w:rPr>
            </w:pPr>
            <w:r w:rsidRPr="000C62B0">
              <w:rPr>
                <w:rFonts w:ascii="Calibri" w:hAnsi="Calibri" w:cs="Calibri"/>
                <w:bCs/>
                <w:lang w:val="en-US"/>
              </w:rPr>
              <w:t>47 (36.4)</w:t>
            </w:r>
          </w:p>
          <w:p w14:paraId="229ECB54" w14:textId="77777777" w:rsidR="00700816" w:rsidRPr="000C62B0" w:rsidRDefault="00700816" w:rsidP="00326CF9">
            <w:pPr>
              <w:spacing w:line="480" w:lineRule="auto"/>
              <w:jc w:val="center"/>
              <w:rPr>
                <w:rFonts w:ascii="Calibri" w:hAnsi="Calibri" w:cs="Calibri"/>
                <w:bCs/>
                <w:lang w:val="en-US"/>
              </w:rPr>
            </w:pPr>
            <w:r w:rsidRPr="000C62B0">
              <w:rPr>
                <w:rFonts w:ascii="Calibri" w:hAnsi="Calibri" w:cs="Calibri"/>
                <w:bCs/>
                <w:lang w:val="en-US"/>
              </w:rPr>
              <w:t>36 (27.9)</w:t>
            </w:r>
          </w:p>
          <w:p w14:paraId="21E1EA5C" w14:textId="78185BA8" w:rsidR="00700816" w:rsidRPr="000C62B0" w:rsidRDefault="00700816" w:rsidP="00326CF9">
            <w:pPr>
              <w:spacing w:line="480" w:lineRule="auto"/>
              <w:jc w:val="center"/>
              <w:rPr>
                <w:rFonts w:ascii="Calibri" w:hAnsi="Calibri" w:cs="Calibri"/>
                <w:bCs/>
                <w:highlight w:val="yellow"/>
                <w:lang w:val="en-US"/>
              </w:rPr>
            </w:pPr>
            <w:r w:rsidRPr="000C62B0">
              <w:rPr>
                <w:rFonts w:ascii="Calibri" w:hAnsi="Calibri" w:cs="Calibri"/>
                <w:bCs/>
                <w:lang w:val="en-US"/>
              </w:rPr>
              <w:t>23 (17.8)</w:t>
            </w:r>
          </w:p>
        </w:tc>
        <w:tc>
          <w:tcPr>
            <w:tcW w:w="1808" w:type="dxa"/>
          </w:tcPr>
          <w:p w14:paraId="2878D47C" w14:textId="77777777" w:rsidR="000C04BD" w:rsidRPr="00700816" w:rsidRDefault="000C04BD" w:rsidP="00326CF9">
            <w:pPr>
              <w:spacing w:line="480" w:lineRule="auto"/>
              <w:jc w:val="center"/>
              <w:rPr>
                <w:rFonts w:ascii="Calibri" w:hAnsi="Calibri" w:cs="Calibri"/>
                <w:bCs/>
                <w:lang w:val="en-US"/>
              </w:rPr>
            </w:pPr>
          </w:p>
          <w:p w14:paraId="43878BB8" w14:textId="77777777" w:rsidR="000C04BD" w:rsidRPr="00700816" w:rsidRDefault="000C04BD" w:rsidP="00326CF9">
            <w:pPr>
              <w:spacing w:line="480" w:lineRule="auto"/>
              <w:jc w:val="center"/>
              <w:rPr>
                <w:rFonts w:ascii="Calibri" w:hAnsi="Calibri" w:cs="Calibri"/>
                <w:bCs/>
                <w:lang w:val="en-US"/>
              </w:rPr>
            </w:pPr>
          </w:p>
          <w:p w14:paraId="218F0CF7" w14:textId="147681DA" w:rsidR="000C04BD" w:rsidRPr="00700816" w:rsidRDefault="00700816" w:rsidP="00326CF9">
            <w:pPr>
              <w:spacing w:line="480" w:lineRule="auto"/>
              <w:jc w:val="center"/>
              <w:rPr>
                <w:rFonts w:ascii="Calibri" w:hAnsi="Calibri" w:cs="Calibri"/>
                <w:bCs/>
                <w:lang w:val="en-US"/>
              </w:rPr>
            </w:pPr>
            <w:r w:rsidRPr="000C62B0">
              <w:rPr>
                <w:rFonts w:ascii="Calibri" w:hAnsi="Calibri" w:cs="Calibri"/>
                <w:bCs/>
                <w:lang w:val="en-US"/>
              </w:rPr>
              <w:t>2 (6.1)</w:t>
            </w:r>
          </w:p>
          <w:p w14:paraId="07F13261" w14:textId="21604111" w:rsidR="000C04BD" w:rsidRPr="00700816" w:rsidRDefault="00700816" w:rsidP="00326CF9">
            <w:pPr>
              <w:spacing w:line="480" w:lineRule="auto"/>
              <w:jc w:val="center"/>
              <w:rPr>
                <w:rFonts w:ascii="Calibri" w:hAnsi="Calibri" w:cs="Calibri"/>
                <w:bCs/>
                <w:lang w:val="en-US"/>
              </w:rPr>
            </w:pPr>
            <w:r w:rsidRPr="000C62B0">
              <w:rPr>
                <w:rFonts w:ascii="Calibri" w:hAnsi="Calibri" w:cs="Calibri"/>
                <w:bCs/>
                <w:lang w:val="en-US"/>
              </w:rPr>
              <w:t>9 (27.3)</w:t>
            </w:r>
          </w:p>
          <w:p w14:paraId="5858E79D" w14:textId="57E7548F" w:rsidR="00700816" w:rsidRPr="000C62B0" w:rsidRDefault="00700816" w:rsidP="00326CF9">
            <w:pPr>
              <w:spacing w:line="480" w:lineRule="auto"/>
              <w:jc w:val="center"/>
              <w:rPr>
                <w:rFonts w:ascii="Calibri" w:hAnsi="Calibri" w:cs="Calibri"/>
                <w:bCs/>
                <w:lang w:val="en-US"/>
              </w:rPr>
            </w:pPr>
            <w:r w:rsidRPr="000C62B0">
              <w:rPr>
                <w:rFonts w:ascii="Calibri" w:hAnsi="Calibri" w:cs="Calibri"/>
                <w:bCs/>
                <w:lang w:val="en-US"/>
              </w:rPr>
              <w:t>8 (24.2)</w:t>
            </w:r>
          </w:p>
          <w:p w14:paraId="72E89AB1" w14:textId="06F05482" w:rsidR="008A4D34" w:rsidRPr="00700816" w:rsidRDefault="00700816" w:rsidP="00700816">
            <w:pPr>
              <w:spacing w:line="480" w:lineRule="auto"/>
              <w:jc w:val="center"/>
              <w:rPr>
                <w:rFonts w:ascii="Calibri" w:hAnsi="Calibri" w:cs="Calibri"/>
                <w:bCs/>
                <w:lang w:val="en-US"/>
              </w:rPr>
            </w:pPr>
            <w:r w:rsidRPr="000C62B0">
              <w:rPr>
                <w:rFonts w:ascii="Calibri" w:hAnsi="Calibri" w:cs="Calibri"/>
                <w:bCs/>
                <w:lang w:val="en-US"/>
              </w:rPr>
              <w:t>14 (42.4)</w:t>
            </w:r>
          </w:p>
        </w:tc>
        <w:tc>
          <w:tcPr>
            <w:tcW w:w="1507" w:type="dxa"/>
          </w:tcPr>
          <w:p w14:paraId="26E8DC23" w14:textId="4CE6A72A" w:rsidR="000C04BD" w:rsidRPr="00700816" w:rsidRDefault="000C04BD" w:rsidP="00326CF9">
            <w:pPr>
              <w:spacing w:line="480" w:lineRule="auto"/>
              <w:jc w:val="center"/>
              <w:rPr>
                <w:rFonts w:ascii="Calibri" w:hAnsi="Calibri" w:cs="Calibri"/>
                <w:b/>
                <w:bCs/>
              </w:rPr>
            </w:pPr>
            <w:r w:rsidRPr="00700816">
              <w:rPr>
                <w:rFonts w:ascii="Calibri" w:hAnsi="Calibri" w:cs="Calibri"/>
                <w:b/>
                <w:bCs/>
              </w:rPr>
              <w:t>0.</w:t>
            </w:r>
            <w:r w:rsidR="00700816" w:rsidRPr="000C62B0">
              <w:rPr>
                <w:rFonts w:ascii="Calibri" w:hAnsi="Calibri" w:cs="Calibri"/>
                <w:b/>
                <w:bCs/>
              </w:rPr>
              <w:t>02</w:t>
            </w:r>
            <w:r w:rsidRPr="00700816">
              <w:rPr>
                <w:rFonts w:ascii="Calibri" w:hAnsi="Calibri" w:cs="Calibri"/>
                <w:vertAlign w:val="superscript"/>
              </w:rPr>
              <w:t>a</w:t>
            </w:r>
          </w:p>
          <w:p w14:paraId="209D0D69" w14:textId="77777777" w:rsidR="008A4D34" w:rsidRPr="00700816" w:rsidRDefault="008A4D34" w:rsidP="00326CF9">
            <w:pPr>
              <w:spacing w:line="480" w:lineRule="auto"/>
              <w:jc w:val="center"/>
              <w:rPr>
                <w:rFonts w:ascii="Calibri" w:hAnsi="Calibri" w:cs="Calibri"/>
                <w:bCs/>
                <w:lang w:val="en-US"/>
              </w:rPr>
            </w:pPr>
          </w:p>
        </w:tc>
      </w:tr>
      <w:tr w:rsidR="00700816" w:rsidRPr="00326CF9" w14:paraId="6F5C349C" w14:textId="77777777" w:rsidTr="000C62B0">
        <w:tc>
          <w:tcPr>
            <w:tcW w:w="2689" w:type="dxa"/>
          </w:tcPr>
          <w:p w14:paraId="1DDB20D4" w14:textId="3BF737AD" w:rsidR="00700816" w:rsidRPr="00326CF9" w:rsidRDefault="00700816" w:rsidP="00700816">
            <w:pPr>
              <w:spacing w:line="480" w:lineRule="auto"/>
              <w:rPr>
                <w:rFonts w:ascii="Calibri" w:hAnsi="Calibri" w:cs="Calibri"/>
                <w:bCs/>
                <w:lang w:val="en-US"/>
              </w:rPr>
            </w:pPr>
            <w:r w:rsidRPr="00326CF9">
              <w:rPr>
                <w:rFonts w:ascii="Calibri" w:hAnsi="Calibri" w:cs="Calibri"/>
                <w:bCs/>
                <w:lang w:val="en-US"/>
              </w:rPr>
              <w:t>Tricuspid regurgitation, at least moderate</w:t>
            </w:r>
          </w:p>
        </w:tc>
        <w:tc>
          <w:tcPr>
            <w:tcW w:w="1718" w:type="dxa"/>
            <w:vAlign w:val="bottom"/>
          </w:tcPr>
          <w:p w14:paraId="7A87181D" w14:textId="19AE45E1" w:rsidR="00700816" w:rsidRPr="00F84CD9" w:rsidRDefault="00700816" w:rsidP="00700816">
            <w:pPr>
              <w:spacing w:line="480" w:lineRule="auto"/>
              <w:jc w:val="center"/>
              <w:rPr>
                <w:rFonts w:ascii="Calibri" w:hAnsi="Calibri" w:cs="Calibri"/>
                <w:bCs/>
                <w:lang w:val="en-US"/>
              </w:rPr>
            </w:pPr>
            <w:r w:rsidRPr="00F84CD9">
              <w:rPr>
                <w:rFonts w:ascii="Calibri" w:hAnsi="Calibri" w:cs="Calibri"/>
              </w:rPr>
              <w:t>51 (28.3)</w:t>
            </w:r>
          </w:p>
        </w:tc>
        <w:tc>
          <w:tcPr>
            <w:tcW w:w="1718" w:type="dxa"/>
            <w:vAlign w:val="bottom"/>
          </w:tcPr>
          <w:p w14:paraId="2BB50C18" w14:textId="47A7C8FA" w:rsidR="00700816" w:rsidRPr="000C62B0" w:rsidRDefault="00700816" w:rsidP="00700816">
            <w:pPr>
              <w:spacing w:line="480" w:lineRule="auto"/>
              <w:jc w:val="center"/>
              <w:rPr>
                <w:rFonts w:ascii="Calibri" w:hAnsi="Calibri" w:cs="Calibri"/>
                <w:bCs/>
                <w:highlight w:val="yellow"/>
                <w:lang w:val="en-US"/>
              </w:rPr>
            </w:pPr>
            <w:r>
              <w:rPr>
                <w:rFonts w:ascii="Calibri" w:hAnsi="Calibri" w:cs="Calibri"/>
                <w:color w:val="000000"/>
              </w:rPr>
              <w:t>32 (24.8)</w:t>
            </w:r>
          </w:p>
        </w:tc>
        <w:tc>
          <w:tcPr>
            <w:tcW w:w="1808" w:type="dxa"/>
            <w:vAlign w:val="bottom"/>
          </w:tcPr>
          <w:p w14:paraId="5B9DBC6C" w14:textId="0AD60D0B" w:rsidR="00700816" w:rsidRPr="000C62B0" w:rsidRDefault="00700816" w:rsidP="00700816">
            <w:pPr>
              <w:spacing w:line="480" w:lineRule="auto"/>
              <w:jc w:val="center"/>
              <w:rPr>
                <w:rFonts w:ascii="Calibri" w:hAnsi="Calibri" w:cs="Calibri"/>
                <w:bCs/>
                <w:highlight w:val="yellow"/>
                <w:lang w:val="en-US"/>
              </w:rPr>
            </w:pPr>
            <w:r>
              <w:rPr>
                <w:rFonts w:ascii="Calibri" w:hAnsi="Calibri" w:cs="Calibri"/>
                <w:color w:val="000000"/>
              </w:rPr>
              <w:t>16 (48.5)</w:t>
            </w:r>
          </w:p>
        </w:tc>
        <w:tc>
          <w:tcPr>
            <w:tcW w:w="1507" w:type="dxa"/>
            <w:vAlign w:val="bottom"/>
          </w:tcPr>
          <w:p w14:paraId="4D5274EB" w14:textId="50BF19E4" w:rsidR="00700816" w:rsidRPr="000C62B0" w:rsidRDefault="00700816" w:rsidP="00700816">
            <w:pPr>
              <w:spacing w:line="480" w:lineRule="auto"/>
              <w:jc w:val="center"/>
              <w:rPr>
                <w:rFonts w:ascii="Calibri" w:hAnsi="Calibri" w:cs="Calibri"/>
                <w:b/>
                <w:bCs/>
                <w:highlight w:val="yellow"/>
                <w:lang w:val="en-US"/>
              </w:rPr>
            </w:pPr>
            <w:r w:rsidRPr="000C62B0">
              <w:rPr>
                <w:rFonts w:ascii="Calibri" w:hAnsi="Calibri" w:cs="Calibri"/>
                <w:b/>
                <w:bCs/>
                <w:color w:val="000000"/>
              </w:rPr>
              <w:t>0.01</w:t>
            </w:r>
          </w:p>
        </w:tc>
      </w:tr>
      <w:tr w:rsidR="00700816" w:rsidRPr="00326CF9" w14:paraId="240A5C3D" w14:textId="77777777" w:rsidTr="000C62B0">
        <w:tc>
          <w:tcPr>
            <w:tcW w:w="2689" w:type="dxa"/>
          </w:tcPr>
          <w:p w14:paraId="11651F6D" w14:textId="1617EC86" w:rsidR="00700816" w:rsidRPr="00326CF9" w:rsidRDefault="00700816" w:rsidP="00700816">
            <w:pPr>
              <w:spacing w:line="480" w:lineRule="auto"/>
              <w:rPr>
                <w:rFonts w:ascii="Calibri" w:hAnsi="Calibri" w:cs="Calibri"/>
                <w:bCs/>
                <w:vertAlign w:val="superscript"/>
                <w:lang w:val="en-US"/>
              </w:rPr>
            </w:pPr>
            <w:r w:rsidRPr="00326CF9">
              <w:rPr>
                <w:rFonts w:ascii="Calibri" w:hAnsi="Calibri" w:cs="Calibri"/>
                <w:bCs/>
                <w:lang w:val="en-US"/>
              </w:rPr>
              <w:t>LV EDDi, cm/m</w:t>
            </w:r>
            <w:r w:rsidRPr="00326CF9">
              <w:rPr>
                <w:rFonts w:ascii="Calibri" w:hAnsi="Calibri" w:cs="Calibri"/>
                <w:bCs/>
                <w:vertAlign w:val="superscript"/>
                <w:lang w:val="en-US"/>
              </w:rPr>
              <w:t>2</w:t>
            </w:r>
          </w:p>
        </w:tc>
        <w:tc>
          <w:tcPr>
            <w:tcW w:w="1718" w:type="dxa"/>
            <w:vAlign w:val="bottom"/>
          </w:tcPr>
          <w:p w14:paraId="6F7348A0" w14:textId="2CB6F05B" w:rsidR="00700816" w:rsidRPr="00F84CD9" w:rsidRDefault="00700816" w:rsidP="00700816">
            <w:pPr>
              <w:spacing w:line="480" w:lineRule="auto"/>
              <w:jc w:val="center"/>
              <w:rPr>
                <w:rFonts w:ascii="Calibri" w:hAnsi="Calibri" w:cs="Calibri"/>
                <w:bCs/>
                <w:lang w:val="en-US"/>
              </w:rPr>
            </w:pPr>
            <w:r w:rsidRPr="00F84CD9">
              <w:rPr>
                <w:rFonts w:ascii="Calibri" w:hAnsi="Calibri" w:cs="Calibri"/>
              </w:rPr>
              <w:t>2.2[1.9-2.5]</w:t>
            </w:r>
          </w:p>
        </w:tc>
        <w:tc>
          <w:tcPr>
            <w:tcW w:w="1718" w:type="dxa"/>
            <w:vAlign w:val="bottom"/>
          </w:tcPr>
          <w:p w14:paraId="34B60C86" w14:textId="4E5110D3" w:rsidR="00700816" w:rsidRPr="000C62B0" w:rsidRDefault="00700816" w:rsidP="00700816">
            <w:pPr>
              <w:spacing w:line="480" w:lineRule="auto"/>
              <w:jc w:val="center"/>
              <w:rPr>
                <w:rFonts w:ascii="Calibri" w:hAnsi="Calibri" w:cs="Calibri"/>
                <w:bCs/>
                <w:highlight w:val="yellow"/>
                <w:lang w:val="en-US"/>
              </w:rPr>
            </w:pPr>
            <w:r>
              <w:rPr>
                <w:rFonts w:ascii="Calibri" w:hAnsi="Calibri" w:cs="Calibri"/>
                <w:color w:val="000000"/>
              </w:rPr>
              <w:t>2.1[1.9-2.4]</w:t>
            </w:r>
          </w:p>
        </w:tc>
        <w:tc>
          <w:tcPr>
            <w:tcW w:w="1808" w:type="dxa"/>
            <w:vAlign w:val="bottom"/>
          </w:tcPr>
          <w:p w14:paraId="470B47D2" w14:textId="16FF560E" w:rsidR="00700816" w:rsidRPr="000C62B0" w:rsidRDefault="00700816" w:rsidP="00700816">
            <w:pPr>
              <w:spacing w:line="480" w:lineRule="auto"/>
              <w:jc w:val="center"/>
              <w:rPr>
                <w:rFonts w:ascii="Calibri" w:hAnsi="Calibri" w:cs="Calibri"/>
                <w:bCs/>
                <w:highlight w:val="yellow"/>
                <w:lang w:val="en-US"/>
              </w:rPr>
            </w:pPr>
            <w:r>
              <w:rPr>
                <w:rFonts w:ascii="Calibri" w:hAnsi="Calibri" w:cs="Calibri"/>
                <w:color w:val="000000"/>
              </w:rPr>
              <w:t>2.</w:t>
            </w:r>
            <w:r w:rsidR="008C6067">
              <w:rPr>
                <w:rFonts w:ascii="Calibri" w:hAnsi="Calibri" w:cs="Calibri"/>
                <w:color w:val="000000"/>
              </w:rPr>
              <w:t>7</w:t>
            </w:r>
            <w:r>
              <w:rPr>
                <w:rFonts w:ascii="Calibri" w:hAnsi="Calibri" w:cs="Calibri"/>
                <w:color w:val="000000"/>
              </w:rPr>
              <w:t>[2.3-3.0]</w:t>
            </w:r>
          </w:p>
        </w:tc>
        <w:tc>
          <w:tcPr>
            <w:tcW w:w="1507" w:type="dxa"/>
            <w:vAlign w:val="bottom"/>
          </w:tcPr>
          <w:p w14:paraId="16CF26A6" w14:textId="5C952409" w:rsidR="00700816" w:rsidRPr="000C62B0" w:rsidRDefault="008C6067" w:rsidP="00700816">
            <w:pPr>
              <w:spacing w:line="480" w:lineRule="auto"/>
              <w:jc w:val="center"/>
              <w:rPr>
                <w:rFonts w:ascii="Calibri" w:hAnsi="Calibri" w:cs="Calibri"/>
                <w:b/>
                <w:bCs/>
                <w:highlight w:val="yellow"/>
                <w:lang w:val="en-US"/>
              </w:rPr>
            </w:pPr>
            <w:r>
              <w:rPr>
                <w:rFonts w:ascii="Calibri" w:hAnsi="Calibri" w:cs="Calibri"/>
                <w:b/>
                <w:bCs/>
                <w:color w:val="000000"/>
              </w:rPr>
              <w:t>&lt;</w:t>
            </w:r>
            <w:r w:rsidR="00700816" w:rsidRPr="000C62B0">
              <w:rPr>
                <w:rFonts w:ascii="Calibri" w:hAnsi="Calibri" w:cs="Calibri"/>
                <w:b/>
                <w:bCs/>
                <w:color w:val="000000"/>
              </w:rPr>
              <w:t>0.0001</w:t>
            </w:r>
          </w:p>
        </w:tc>
      </w:tr>
      <w:tr w:rsidR="00700816" w:rsidRPr="00326CF9" w14:paraId="422F1B41" w14:textId="77777777" w:rsidTr="000C62B0">
        <w:tc>
          <w:tcPr>
            <w:tcW w:w="2689" w:type="dxa"/>
          </w:tcPr>
          <w:p w14:paraId="2EFDCEFC" w14:textId="3D4173F7" w:rsidR="00700816" w:rsidRPr="00326CF9" w:rsidRDefault="00700816" w:rsidP="00700816">
            <w:pPr>
              <w:spacing w:line="480" w:lineRule="auto"/>
              <w:rPr>
                <w:rFonts w:ascii="Calibri" w:hAnsi="Calibri" w:cs="Calibri"/>
                <w:bCs/>
                <w:lang w:val="en-US"/>
              </w:rPr>
            </w:pPr>
            <w:r w:rsidRPr="00326CF9">
              <w:rPr>
                <w:rFonts w:ascii="Calibri" w:hAnsi="Calibri" w:cs="Calibri"/>
                <w:bCs/>
                <w:lang w:val="en-US"/>
              </w:rPr>
              <w:t>LV ESDi, cm/m</w:t>
            </w:r>
            <w:r w:rsidRPr="00326CF9">
              <w:rPr>
                <w:rFonts w:ascii="Calibri" w:hAnsi="Calibri" w:cs="Calibri"/>
                <w:bCs/>
                <w:vertAlign w:val="superscript"/>
                <w:lang w:val="en-US"/>
              </w:rPr>
              <w:t>2</w:t>
            </w:r>
          </w:p>
        </w:tc>
        <w:tc>
          <w:tcPr>
            <w:tcW w:w="1718" w:type="dxa"/>
            <w:vAlign w:val="bottom"/>
          </w:tcPr>
          <w:p w14:paraId="59FA71F6" w14:textId="2D28CFEA" w:rsidR="00700816" w:rsidRPr="00F84CD9" w:rsidRDefault="00700816" w:rsidP="00700816">
            <w:pPr>
              <w:spacing w:line="480" w:lineRule="auto"/>
              <w:jc w:val="center"/>
              <w:rPr>
                <w:rFonts w:ascii="Calibri" w:hAnsi="Calibri" w:cs="Calibri"/>
                <w:bCs/>
                <w:lang w:val="en-US"/>
              </w:rPr>
            </w:pPr>
            <w:r w:rsidRPr="00F84CD9">
              <w:rPr>
                <w:rFonts w:ascii="Calibri" w:hAnsi="Calibri" w:cs="Calibri"/>
              </w:rPr>
              <w:t>1.4[1.2-1.8]</w:t>
            </w:r>
          </w:p>
        </w:tc>
        <w:tc>
          <w:tcPr>
            <w:tcW w:w="1718" w:type="dxa"/>
            <w:vAlign w:val="bottom"/>
          </w:tcPr>
          <w:p w14:paraId="77F2D117" w14:textId="369ACAC3" w:rsidR="00700816" w:rsidRPr="000C62B0" w:rsidRDefault="00700816" w:rsidP="00700816">
            <w:pPr>
              <w:spacing w:line="480" w:lineRule="auto"/>
              <w:jc w:val="center"/>
              <w:rPr>
                <w:rFonts w:ascii="Calibri" w:hAnsi="Calibri" w:cs="Calibri"/>
                <w:bCs/>
                <w:highlight w:val="yellow"/>
                <w:lang w:val="en-US"/>
              </w:rPr>
            </w:pPr>
            <w:r>
              <w:rPr>
                <w:rFonts w:ascii="Calibri" w:hAnsi="Calibri" w:cs="Calibri"/>
                <w:color w:val="000000"/>
              </w:rPr>
              <w:t>1.3[1.</w:t>
            </w:r>
            <w:r w:rsidR="008C6067">
              <w:rPr>
                <w:rFonts w:ascii="Calibri" w:hAnsi="Calibri" w:cs="Calibri"/>
                <w:color w:val="000000"/>
              </w:rPr>
              <w:t>2</w:t>
            </w:r>
            <w:r>
              <w:rPr>
                <w:rFonts w:ascii="Calibri" w:hAnsi="Calibri" w:cs="Calibri"/>
                <w:color w:val="000000"/>
              </w:rPr>
              <w:t>-1.</w:t>
            </w:r>
            <w:r w:rsidR="008C6067">
              <w:rPr>
                <w:rFonts w:ascii="Calibri" w:hAnsi="Calibri" w:cs="Calibri"/>
                <w:color w:val="000000"/>
              </w:rPr>
              <w:t>6]</w:t>
            </w:r>
          </w:p>
        </w:tc>
        <w:tc>
          <w:tcPr>
            <w:tcW w:w="1808" w:type="dxa"/>
            <w:vAlign w:val="bottom"/>
          </w:tcPr>
          <w:p w14:paraId="394C60AF" w14:textId="6B61755A" w:rsidR="00700816" w:rsidRPr="000C62B0" w:rsidRDefault="00700816" w:rsidP="00700816">
            <w:pPr>
              <w:spacing w:line="480" w:lineRule="auto"/>
              <w:jc w:val="center"/>
              <w:rPr>
                <w:rFonts w:ascii="Calibri" w:hAnsi="Calibri" w:cs="Calibri"/>
                <w:bCs/>
                <w:highlight w:val="yellow"/>
                <w:lang w:val="en-US"/>
              </w:rPr>
            </w:pPr>
            <w:r>
              <w:rPr>
                <w:rFonts w:ascii="Calibri" w:hAnsi="Calibri" w:cs="Calibri"/>
                <w:color w:val="000000"/>
              </w:rPr>
              <w:t>2.0[1.</w:t>
            </w:r>
            <w:r w:rsidR="008C6067">
              <w:rPr>
                <w:rFonts w:ascii="Calibri" w:hAnsi="Calibri" w:cs="Calibri"/>
                <w:color w:val="000000"/>
              </w:rPr>
              <w:t>7</w:t>
            </w:r>
            <w:r>
              <w:rPr>
                <w:rFonts w:ascii="Calibri" w:hAnsi="Calibri" w:cs="Calibri"/>
                <w:color w:val="000000"/>
              </w:rPr>
              <w:t>-2.2]</w:t>
            </w:r>
          </w:p>
        </w:tc>
        <w:tc>
          <w:tcPr>
            <w:tcW w:w="1507" w:type="dxa"/>
            <w:vAlign w:val="bottom"/>
          </w:tcPr>
          <w:p w14:paraId="4225E0D5" w14:textId="14DFE7B9" w:rsidR="00700816" w:rsidRPr="000C62B0" w:rsidRDefault="00700816" w:rsidP="00700816">
            <w:pPr>
              <w:spacing w:line="480" w:lineRule="auto"/>
              <w:jc w:val="center"/>
              <w:rPr>
                <w:rFonts w:ascii="Calibri" w:hAnsi="Calibri" w:cs="Calibri"/>
                <w:b/>
                <w:bCs/>
                <w:highlight w:val="yellow"/>
                <w:lang w:val="en-US"/>
              </w:rPr>
            </w:pPr>
            <w:r w:rsidRPr="000C62B0">
              <w:rPr>
                <w:rFonts w:ascii="Calibri" w:hAnsi="Calibri" w:cs="Calibri"/>
                <w:b/>
                <w:bCs/>
                <w:color w:val="000000"/>
              </w:rPr>
              <w:t>&lt;0.0001</w:t>
            </w:r>
          </w:p>
        </w:tc>
      </w:tr>
      <w:tr w:rsidR="00700816" w:rsidRPr="00326CF9" w14:paraId="18125C32" w14:textId="77777777" w:rsidTr="000C62B0">
        <w:tc>
          <w:tcPr>
            <w:tcW w:w="2689" w:type="dxa"/>
          </w:tcPr>
          <w:p w14:paraId="426B2C57" w14:textId="7BDA6099" w:rsidR="00700816" w:rsidRPr="00326CF9" w:rsidRDefault="00700816" w:rsidP="00700816">
            <w:pPr>
              <w:spacing w:line="480" w:lineRule="auto"/>
              <w:rPr>
                <w:rFonts w:ascii="Calibri" w:hAnsi="Calibri" w:cs="Calibri"/>
                <w:bCs/>
                <w:lang w:val="en-US"/>
              </w:rPr>
            </w:pPr>
            <w:r w:rsidRPr="00326CF9">
              <w:rPr>
                <w:rFonts w:ascii="Calibri" w:hAnsi="Calibri" w:cs="Calibri"/>
                <w:bCs/>
                <w:lang w:val="en-US"/>
              </w:rPr>
              <w:t>LV EDAi, cm</w:t>
            </w:r>
            <w:r w:rsidRPr="00326CF9">
              <w:rPr>
                <w:rFonts w:ascii="Calibri" w:hAnsi="Calibri" w:cs="Calibri"/>
                <w:bCs/>
                <w:vertAlign w:val="superscript"/>
                <w:lang w:val="en-US"/>
              </w:rPr>
              <w:t>2</w:t>
            </w:r>
            <w:r w:rsidRPr="00326CF9">
              <w:rPr>
                <w:rFonts w:ascii="Calibri" w:hAnsi="Calibri" w:cs="Calibri"/>
                <w:bCs/>
                <w:lang w:val="en-US"/>
              </w:rPr>
              <w:t>/m</w:t>
            </w:r>
            <w:r w:rsidRPr="00326CF9">
              <w:rPr>
                <w:rFonts w:ascii="Calibri" w:hAnsi="Calibri" w:cs="Calibri"/>
                <w:bCs/>
                <w:vertAlign w:val="superscript"/>
                <w:lang w:val="en-US"/>
              </w:rPr>
              <w:t>2</w:t>
            </w:r>
          </w:p>
        </w:tc>
        <w:tc>
          <w:tcPr>
            <w:tcW w:w="1718" w:type="dxa"/>
            <w:vAlign w:val="bottom"/>
          </w:tcPr>
          <w:p w14:paraId="2490E6A4" w14:textId="29363DF3" w:rsidR="00700816" w:rsidRPr="00F84CD9" w:rsidRDefault="00700816" w:rsidP="00700816">
            <w:pPr>
              <w:spacing w:line="480" w:lineRule="auto"/>
              <w:jc w:val="center"/>
              <w:rPr>
                <w:rFonts w:ascii="Calibri" w:hAnsi="Calibri" w:cs="Calibri"/>
                <w:bCs/>
                <w:lang w:val="en-US"/>
              </w:rPr>
            </w:pPr>
            <w:r w:rsidRPr="00F84CD9">
              <w:rPr>
                <w:rFonts w:ascii="Calibri" w:hAnsi="Calibri" w:cs="Calibri"/>
              </w:rPr>
              <w:t>12.1[10.2-14.6]</w:t>
            </w:r>
          </w:p>
        </w:tc>
        <w:tc>
          <w:tcPr>
            <w:tcW w:w="1718" w:type="dxa"/>
            <w:vAlign w:val="bottom"/>
          </w:tcPr>
          <w:p w14:paraId="65ECDDAB" w14:textId="6CC95894" w:rsidR="00700816" w:rsidRPr="000C62B0" w:rsidRDefault="00700816" w:rsidP="00700816">
            <w:pPr>
              <w:spacing w:line="480" w:lineRule="auto"/>
              <w:jc w:val="center"/>
              <w:rPr>
                <w:rFonts w:ascii="Calibri" w:hAnsi="Calibri" w:cs="Calibri"/>
                <w:bCs/>
                <w:highlight w:val="yellow"/>
                <w:lang w:val="en-US"/>
              </w:rPr>
            </w:pPr>
            <w:r>
              <w:rPr>
                <w:rFonts w:ascii="Calibri" w:hAnsi="Calibri" w:cs="Calibri"/>
                <w:color w:val="000000"/>
              </w:rPr>
              <w:t>11.8[10.</w:t>
            </w:r>
            <w:r w:rsidR="008C6067">
              <w:rPr>
                <w:rFonts w:ascii="Calibri" w:hAnsi="Calibri" w:cs="Calibri"/>
                <w:color w:val="000000"/>
              </w:rPr>
              <w:t>2</w:t>
            </w:r>
            <w:r>
              <w:rPr>
                <w:rFonts w:ascii="Calibri" w:hAnsi="Calibri" w:cs="Calibri"/>
                <w:color w:val="000000"/>
              </w:rPr>
              <w:t>-13.5]</w:t>
            </w:r>
          </w:p>
        </w:tc>
        <w:tc>
          <w:tcPr>
            <w:tcW w:w="1808" w:type="dxa"/>
            <w:vAlign w:val="bottom"/>
          </w:tcPr>
          <w:p w14:paraId="4B00DCE3" w14:textId="035824B3" w:rsidR="00700816" w:rsidRPr="000C62B0" w:rsidRDefault="00700816" w:rsidP="00700816">
            <w:pPr>
              <w:spacing w:line="480" w:lineRule="auto"/>
              <w:jc w:val="center"/>
              <w:rPr>
                <w:rFonts w:ascii="Calibri" w:hAnsi="Calibri" w:cs="Calibri"/>
                <w:bCs/>
                <w:highlight w:val="yellow"/>
                <w:lang w:val="en-US"/>
              </w:rPr>
            </w:pPr>
            <w:r>
              <w:rPr>
                <w:rFonts w:ascii="Calibri" w:hAnsi="Calibri" w:cs="Calibri"/>
                <w:color w:val="000000"/>
              </w:rPr>
              <w:t>16.1[11.</w:t>
            </w:r>
            <w:r w:rsidR="008C6067">
              <w:rPr>
                <w:rFonts w:ascii="Calibri" w:hAnsi="Calibri" w:cs="Calibri"/>
                <w:color w:val="000000"/>
              </w:rPr>
              <w:t>8</w:t>
            </w:r>
            <w:r>
              <w:rPr>
                <w:rFonts w:ascii="Calibri" w:hAnsi="Calibri" w:cs="Calibri"/>
                <w:color w:val="000000"/>
              </w:rPr>
              <w:t>-18.8]</w:t>
            </w:r>
          </w:p>
        </w:tc>
        <w:tc>
          <w:tcPr>
            <w:tcW w:w="1507" w:type="dxa"/>
            <w:vAlign w:val="bottom"/>
          </w:tcPr>
          <w:p w14:paraId="7B26BC4A" w14:textId="67848F1D" w:rsidR="00700816" w:rsidRPr="000C62B0" w:rsidRDefault="00700816" w:rsidP="00700816">
            <w:pPr>
              <w:spacing w:line="480" w:lineRule="auto"/>
              <w:jc w:val="center"/>
              <w:rPr>
                <w:rFonts w:ascii="Calibri" w:hAnsi="Calibri" w:cs="Calibri"/>
                <w:b/>
                <w:bCs/>
                <w:highlight w:val="yellow"/>
                <w:lang w:val="en-US"/>
              </w:rPr>
            </w:pPr>
            <w:r w:rsidRPr="000C62B0">
              <w:rPr>
                <w:rFonts w:ascii="Calibri" w:hAnsi="Calibri" w:cs="Calibri"/>
                <w:b/>
                <w:bCs/>
                <w:color w:val="000000"/>
              </w:rPr>
              <w:t>0.0003</w:t>
            </w:r>
          </w:p>
        </w:tc>
      </w:tr>
      <w:tr w:rsidR="00700816" w:rsidRPr="00326CF9" w14:paraId="500CD096" w14:textId="77777777" w:rsidTr="000C62B0">
        <w:tc>
          <w:tcPr>
            <w:tcW w:w="2689" w:type="dxa"/>
          </w:tcPr>
          <w:p w14:paraId="29C820A5" w14:textId="478FEA50" w:rsidR="00700816" w:rsidRPr="00326CF9" w:rsidRDefault="00700816" w:rsidP="00700816">
            <w:pPr>
              <w:spacing w:line="480" w:lineRule="auto"/>
              <w:rPr>
                <w:rFonts w:ascii="Calibri" w:hAnsi="Calibri" w:cs="Calibri"/>
                <w:bCs/>
                <w:lang w:val="en-US"/>
              </w:rPr>
            </w:pPr>
            <w:r w:rsidRPr="00326CF9">
              <w:rPr>
                <w:rFonts w:ascii="Calibri" w:hAnsi="Calibri" w:cs="Calibri"/>
                <w:bCs/>
                <w:lang w:val="en-US"/>
              </w:rPr>
              <w:t>LV FAC, %</w:t>
            </w:r>
          </w:p>
        </w:tc>
        <w:tc>
          <w:tcPr>
            <w:tcW w:w="1718" w:type="dxa"/>
            <w:vAlign w:val="bottom"/>
          </w:tcPr>
          <w:p w14:paraId="7D992E15" w14:textId="14EFE4E5" w:rsidR="00700816" w:rsidRPr="00F84CD9" w:rsidRDefault="00700816" w:rsidP="00700816">
            <w:pPr>
              <w:spacing w:line="480" w:lineRule="auto"/>
              <w:jc w:val="center"/>
              <w:rPr>
                <w:rFonts w:ascii="Calibri" w:hAnsi="Calibri" w:cs="Calibri"/>
                <w:bCs/>
                <w:lang w:val="en-US"/>
              </w:rPr>
            </w:pPr>
            <w:r w:rsidRPr="00F84CD9">
              <w:rPr>
                <w:rFonts w:ascii="Calibri" w:hAnsi="Calibri" w:cs="Calibri"/>
              </w:rPr>
              <w:t>48[40-53]</w:t>
            </w:r>
          </w:p>
        </w:tc>
        <w:tc>
          <w:tcPr>
            <w:tcW w:w="1718" w:type="dxa"/>
            <w:vAlign w:val="bottom"/>
          </w:tcPr>
          <w:p w14:paraId="7889DB27" w14:textId="63732C31" w:rsidR="00700816" w:rsidRPr="000C62B0" w:rsidRDefault="00700816" w:rsidP="00700816">
            <w:pPr>
              <w:spacing w:line="480" w:lineRule="auto"/>
              <w:jc w:val="center"/>
              <w:rPr>
                <w:rFonts w:ascii="Calibri" w:hAnsi="Calibri" w:cs="Calibri"/>
                <w:bCs/>
                <w:highlight w:val="yellow"/>
                <w:lang w:val="en-US"/>
              </w:rPr>
            </w:pPr>
            <w:r>
              <w:rPr>
                <w:rFonts w:ascii="Calibri" w:hAnsi="Calibri" w:cs="Calibri"/>
                <w:color w:val="000000"/>
              </w:rPr>
              <w:t>50[45.7-53.9]</w:t>
            </w:r>
          </w:p>
        </w:tc>
        <w:tc>
          <w:tcPr>
            <w:tcW w:w="1808" w:type="dxa"/>
            <w:vAlign w:val="bottom"/>
          </w:tcPr>
          <w:p w14:paraId="5BA96D5D" w14:textId="547339C7" w:rsidR="00700816" w:rsidRPr="000C62B0" w:rsidRDefault="00700816" w:rsidP="00700816">
            <w:pPr>
              <w:spacing w:line="480" w:lineRule="auto"/>
              <w:jc w:val="center"/>
              <w:rPr>
                <w:rFonts w:ascii="Calibri" w:hAnsi="Calibri" w:cs="Calibri"/>
                <w:bCs/>
                <w:highlight w:val="yellow"/>
                <w:lang w:val="en-US"/>
              </w:rPr>
            </w:pPr>
            <w:r>
              <w:rPr>
                <w:rFonts w:ascii="Calibri" w:hAnsi="Calibri" w:cs="Calibri"/>
                <w:color w:val="000000"/>
              </w:rPr>
              <w:t>33[28-37]</w:t>
            </w:r>
          </w:p>
        </w:tc>
        <w:tc>
          <w:tcPr>
            <w:tcW w:w="1507" w:type="dxa"/>
            <w:vAlign w:val="bottom"/>
          </w:tcPr>
          <w:p w14:paraId="0DD56EEA" w14:textId="637C694C" w:rsidR="00700816" w:rsidRPr="000C62B0" w:rsidRDefault="00700816" w:rsidP="00700816">
            <w:pPr>
              <w:spacing w:line="480" w:lineRule="auto"/>
              <w:jc w:val="center"/>
              <w:rPr>
                <w:rFonts w:ascii="Calibri" w:hAnsi="Calibri" w:cs="Calibri"/>
                <w:b/>
                <w:bCs/>
                <w:highlight w:val="yellow"/>
                <w:lang w:val="en-US"/>
              </w:rPr>
            </w:pPr>
            <w:r w:rsidRPr="000C62B0">
              <w:rPr>
                <w:rFonts w:ascii="Calibri" w:hAnsi="Calibri" w:cs="Calibri"/>
                <w:b/>
                <w:bCs/>
                <w:color w:val="000000"/>
              </w:rPr>
              <w:t>&lt;0.0001</w:t>
            </w:r>
          </w:p>
        </w:tc>
      </w:tr>
      <w:tr w:rsidR="00594EB5" w:rsidRPr="0060124F" w14:paraId="02828E03" w14:textId="77777777" w:rsidTr="000C62B0">
        <w:tc>
          <w:tcPr>
            <w:tcW w:w="2689" w:type="dxa"/>
          </w:tcPr>
          <w:p w14:paraId="65F8F085" w14:textId="573BAD9D" w:rsidR="00594EB5" w:rsidRPr="00594EB5" w:rsidRDefault="00594EB5" w:rsidP="00594EB5">
            <w:pPr>
              <w:spacing w:line="480" w:lineRule="auto"/>
              <w:rPr>
                <w:rFonts w:ascii="Calibri" w:hAnsi="Calibri" w:cs="Calibri"/>
                <w:bCs/>
                <w:lang w:val="en-US"/>
              </w:rPr>
            </w:pPr>
            <w:r w:rsidRPr="00AB5513">
              <w:rPr>
                <w:rFonts w:ascii="Calibri" w:hAnsi="Calibri" w:cs="Calibri"/>
                <w:bCs/>
                <w:lang w:val="en-US"/>
              </w:rPr>
              <w:lastRenderedPageBreak/>
              <w:t>LV outflow tract obstruction, at least moderate</w:t>
            </w:r>
          </w:p>
        </w:tc>
        <w:tc>
          <w:tcPr>
            <w:tcW w:w="1718" w:type="dxa"/>
            <w:vAlign w:val="bottom"/>
          </w:tcPr>
          <w:p w14:paraId="1A2FFEFA" w14:textId="675E291F" w:rsidR="00594EB5" w:rsidRPr="00594EB5" w:rsidRDefault="00594EB5" w:rsidP="00594EB5">
            <w:pPr>
              <w:spacing w:line="480" w:lineRule="auto"/>
              <w:jc w:val="center"/>
              <w:rPr>
                <w:rFonts w:ascii="Calibri" w:hAnsi="Calibri" w:cs="Calibri"/>
              </w:rPr>
            </w:pPr>
            <w:r w:rsidRPr="00AB5513">
              <w:rPr>
                <w:rFonts w:ascii="Calibri" w:hAnsi="Calibri" w:cs="Calibri"/>
                <w:color w:val="000000"/>
              </w:rPr>
              <w:t>28(15.6)</w:t>
            </w:r>
          </w:p>
        </w:tc>
        <w:tc>
          <w:tcPr>
            <w:tcW w:w="1718" w:type="dxa"/>
            <w:vAlign w:val="bottom"/>
          </w:tcPr>
          <w:p w14:paraId="3E557C6F" w14:textId="225C690C" w:rsidR="00594EB5" w:rsidRPr="00594EB5" w:rsidRDefault="00594EB5" w:rsidP="00594EB5">
            <w:pPr>
              <w:spacing w:line="480" w:lineRule="auto"/>
              <w:jc w:val="center"/>
              <w:rPr>
                <w:rFonts w:ascii="Calibri" w:hAnsi="Calibri" w:cs="Calibri"/>
                <w:color w:val="000000"/>
              </w:rPr>
            </w:pPr>
            <w:r w:rsidRPr="00AB5513">
              <w:rPr>
                <w:rFonts w:ascii="Calibri" w:hAnsi="Calibri" w:cs="Calibri"/>
                <w:color w:val="000000"/>
              </w:rPr>
              <w:t>14(10.9)</w:t>
            </w:r>
          </w:p>
        </w:tc>
        <w:tc>
          <w:tcPr>
            <w:tcW w:w="1808" w:type="dxa"/>
            <w:vAlign w:val="bottom"/>
          </w:tcPr>
          <w:p w14:paraId="70939054" w14:textId="4E36C295" w:rsidR="00594EB5" w:rsidRPr="00594EB5" w:rsidRDefault="00594EB5" w:rsidP="00594EB5">
            <w:pPr>
              <w:spacing w:line="480" w:lineRule="auto"/>
              <w:jc w:val="center"/>
              <w:rPr>
                <w:rFonts w:ascii="Calibri" w:hAnsi="Calibri" w:cs="Calibri"/>
                <w:color w:val="000000"/>
              </w:rPr>
            </w:pPr>
            <w:r w:rsidRPr="00AB5513">
              <w:rPr>
                <w:rFonts w:ascii="Calibri" w:hAnsi="Calibri" w:cs="Calibri"/>
                <w:color w:val="000000"/>
              </w:rPr>
              <w:t>6(18.2)</w:t>
            </w:r>
          </w:p>
        </w:tc>
        <w:tc>
          <w:tcPr>
            <w:tcW w:w="1507" w:type="dxa"/>
            <w:vAlign w:val="bottom"/>
          </w:tcPr>
          <w:p w14:paraId="6814D6D5" w14:textId="25D3A413" w:rsidR="00594EB5" w:rsidRPr="00594EB5" w:rsidRDefault="00594EB5" w:rsidP="00594EB5">
            <w:pPr>
              <w:spacing w:line="480" w:lineRule="auto"/>
              <w:jc w:val="center"/>
              <w:rPr>
                <w:rFonts w:ascii="Calibri" w:hAnsi="Calibri" w:cs="Calibri"/>
                <w:b/>
                <w:bCs/>
                <w:color w:val="000000"/>
              </w:rPr>
            </w:pPr>
            <w:r w:rsidRPr="00AB5513">
              <w:rPr>
                <w:rFonts w:ascii="Calibri" w:hAnsi="Calibri" w:cs="Calibri"/>
                <w:color w:val="000000"/>
              </w:rPr>
              <w:t>0.4</w:t>
            </w:r>
          </w:p>
        </w:tc>
      </w:tr>
      <w:tr w:rsidR="00594EB5" w:rsidRPr="00326CF9" w14:paraId="4A0F83BF" w14:textId="77777777" w:rsidTr="000C62B0">
        <w:tc>
          <w:tcPr>
            <w:tcW w:w="2689" w:type="dxa"/>
          </w:tcPr>
          <w:p w14:paraId="22C03E4F" w14:textId="09043BDB" w:rsidR="00594EB5" w:rsidRPr="00326CF9" w:rsidRDefault="00594EB5" w:rsidP="00594EB5">
            <w:pPr>
              <w:spacing w:line="480" w:lineRule="auto"/>
              <w:rPr>
                <w:rFonts w:ascii="Calibri" w:hAnsi="Calibri" w:cs="Calibri"/>
                <w:bCs/>
                <w:lang w:val="en-US"/>
              </w:rPr>
            </w:pPr>
            <w:r w:rsidRPr="00326CF9">
              <w:rPr>
                <w:rFonts w:ascii="Calibri" w:hAnsi="Calibri" w:cs="Calibri"/>
                <w:bCs/>
                <w:lang w:val="en-US"/>
              </w:rPr>
              <w:t>Dilated LV size by visual assessment</w:t>
            </w:r>
          </w:p>
        </w:tc>
        <w:tc>
          <w:tcPr>
            <w:tcW w:w="1718" w:type="dxa"/>
            <w:vAlign w:val="bottom"/>
          </w:tcPr>
          <w:p w14:paraId="442331BE" w14:textId="47FF085A" w:rsidR="00594EB5" w:rsidRPr="00F84CD9" w:rsidRDefault="00594EB5" w:rsidP="00594EB5">
            <w:pPr>
              <w:spacing w:line="480" w:lineRule="auto"/>
              <w:jc w:val="center"/>
              <w:rPr>
                <w:rFonts w:ascii="Calibri" w:hAnsi="Calibri" w:cs="Calibri"/>
                <w:bCs/>
                <w:lang w:val="en-US"/>
              </w:rPr>
            </w:pPr>
            <w:r w:rsidRPr="00F84CD9">
              <w:rPr>
                <w:rFonts w:ascii="Calibri" w:hAnsi="Calibri" w:cs="Calibri"/>
              </w:rPr>
              <w:t>40 (22.2)</w:t>
            </w:r>
          </w:p>
        </w:tc>
        <w:tc>
          <w:tcPr>
            <w:tcW w:w="1718" w:type="dxa"/>
            <w:vAlign w:val="bottom"/>
          </w:tcPr>
          <w:p w14:paraId="15382616" w14:textId="36E078EE" w:rsidR="00594EB5" w:rsidRPr="000C62B0" w:rsidRDefault="00594EB5" w:rsidP="00594EB5">
            <w:pPr>
              <w:spacing w:line="480" w:lineRule="auto"/>
              <w:jc w:val="center"/>
              <w:rPr>
                <w:rFonts w:ascii="Calibri" w:hAnsi="Calibri" w:cs="Calibri"/>
                <w:bCs/>
                <w:highlight w:val="yellow"/>
                <w:lang w:val="en-US"/>
              </w:rPr>
            </w:pPr>
            <w:r>
              <w:rPr>
                <w:rFonts w:ascii="Calibri" w:hAnsi="Calibri" w:cs="Calibri"/>
                <w:color w:val="000000"/>
              </w:rPr>
              <w:t>15 (11.6)</w:t>
            </w:r>
          </w:p>
        </w:tc>
        <w:tc>
          <w:tcPr>
            <w:tcW w:w="1808" w:type="dxa"/>
            <w:vAlign w:val="bottom"/>
          </w:tcPr>
          <w:p w14:paraId="2619C83A" w14:textId="5C8C00A6" w:rsidR="00594EB5" w:rsidRPr="000C62B0" w:rsidRDefault="00594EB5" w:rsidP="00594EB5">
            <w:pPr>
              <w:spacing w:line="480" w:lineRule="auto"/>
              <w:jc w:val="center"/>
              <w:rPr>
                <w:rFonts w:ascii="Calibri" w:hAnsi="Calibri" w:cs="Calibri"/>
                <w:bCs/>
                <w:highlight w:val="yellow"/>
                <w:lang w:val="en-US"/>
              </w:rPr>
            </w:pPr>
            <w:r>
              <w:rPr>
                <w:rFonts w:ascii="Calibri" w:hAnsi="Calibri" w:cs="Calibri"/>
                <w:color w:val="000000"/>
              </w:rPr>
              <w:t>21 (63.6)</w:t>
            </w:r>
          </w:p>
        </w:tc>
        <w:tc>
          <w:tcPr>
            <w:tcW w:w="1507" w:type="dxa"/>
            <w:vAlign w:val="bottom"/>
          </w:tcPr>
          <w:p w14:paraId="46230F51" w14:textId="0201D75F" w:rsidR="00594EB5" w:rsidRPr="000C62B0" w:rsidRDefault="00594EB5" w:rsidP="00594EB5">
            <w:pPr>
              <w:spacing w:line="480" w:lineRule="auto"/>
              <w:jc w:val="center"/>
              <w:rPr>
                <w:rFonts w:ascii="Calibri" w:hAnsi="Calibri" w:cs="Calibri"/>
                <w:b/>
                <w:bCs/>
                <w:highlight w:val="yellow"/>
                <w:lang w:val="en-US"/>
              </w:rPr>
            </w:pPr>
            <w:r w:rsidRPr="000C62B0">
              <w:rPr>
                <w:rFonts w:ascii="Calibri" w:hAnsi="Calibri" w:cs="Calibri"/>
                <w:b/>
                <w:bCs/>
                <w:color w:val="000000"/>
              </w:rPr>
              <w:t>&lt;0.0001</w:t>
            </w:r>
          </w:p>
        </w:tc>
      </w:tr>
      <w:tr w:rsidR="00594EB5" w:rsidRPr="00326CF9" w14:paraId="1CCFE005" w14:textId="77777777" w:rsidTr="000C62B0">
        <w:tc>
          <w:tcPr>
            <w:tcW w:w="2689" w:type="dxa"/>
          </w:tcPr>
          <w:p w14:paraId="59B54D6D" w14:textId="6FDBD831" w:rsidR="00594EB5" w:rsidRPr="00326CF9" w:rsidRDefault="00594EB5" w:rsidP="00594EB5">
            <w:pPr>
              <w:spacing w:line="480" w:lineRule="auto"/>
              <w:rPr>
                <w:rFonts w:ascii="Calibri" w:hAnsi="Calibri" w:cs="Calibri"/>
                <w:bCs/>
                <w:lang w:val="en-US"/>
              </w:rPr>
            </w:pPr>
            <w:r w:rsidRPr="00326CF9">
              <w:rPr>
                <w:rFonts w:ascii="Calibri" w:hAnsi="Calibri" w:cs="Calibri"/>
                <w:bCs/>
                <w:lang w:val="en-US"/>
              </w:rPr>
              <w:t>LV systolic dysfunction by visual assessment</w:t>
            </w:r>
          </w:p>
        </w:tc>
        <w:tc>
          <w:tcPr>
            <w:tcW w:w="1718" w:type="dxa"/>
            <w:vAlign w:val="bottom"/>
          </w:tcPr>
          <w:p w14:paraId="1B6826CA" w14:textId="0192FF73" w:rsidR="00594EB5" w:rsidRPr="00F84CD9" w:rsidRDefault="00594EB5" w:rsidP="00594EB5">
            <w:pPr>
              <w:spacing w:line="480" w:lineRule="auto"/>
              <w:jc w:val="center"/>
              <w:rPr>
                <w:rFonts w:ascii="Calibri" w:hAnsi="Calibri" w:cs="Calibri"/>
                <w:bCs/>
                <w:lang w:val="en-US"/>
              </w:rPr>
            </w:pPr>
            <w:r w:rsidRPr="00F84CD9">
              <w:rPr>
                <w:rFonts w:ascii="Calibri" w:hAnsi="Calibri" w:cs="Calibri"/>
              </w:rPr>
              <w:t>25 (13.9)</w:t>
            </w:r>
          </w:p>
        </w:tc>
        <w:tc>
          <w:tcPr>
            <w:tcW w:w="1718" w:type="dxa"/>
            <w:vAlign w:val="bottom"/>
          </w:tcPr>
          <w:p w14:paraId="05A4E535" w14:textId="1BAFFCAE" w:rsidR="00594EB5" w:rsidRPr="000C62B0" w:rsidRDefault="00594EB5" w:rsidP="00594EB5">
            <w:pPr>
              <w:spacing w:line="480" w:lineRule="auto"/>
              <w:jc w:val="center"/>
              <w:rPr>
                <w:rFonts w:ascii="Calibri" w:hAnsi="Calibri" w:cs="Calibri"/>
                <w:bCs/>
                <w:highlight w:val="yellow"/>
                <w:lang w:val="en-US"/>
              </w:rPr>
            </w:pPr>
            <w:r>
              <w:rPr>
                <w:rFonts w:ascii="Calibri" w:hAnsi="Calibri" w:cs="Calibri"/>
                <w:color w:val="000000"/>
              </w:rPr>
              <w:t>1 (0.8)</w:t>
            </w:r>
          </w:p>
        </w:tc>
        <w:tc>
          <w:tcPr>
            <w:tcW w:w="1808" w:type="dxa"/>
            <w:vAlign w:val="bottom"/>
          </w:tcPr>
          <w:p w14:paraId="21F9E338" w14:textId="68640C67" w:rsidR="00594EB5" w:rsidRPr="000C62B0" w:rsidRDefault="00594EB5" w:rsidP="00594EB5">
            <w:pPr>
              <w:spacing w:line="480" w:lineRule="auto"/>
              <w:jc w:val="center"/>
              <w:rPr>
                <w:rFonts w:ascii="Calibri" w:hAnsi="Calibri" w:cs="Calibri"/>
                <w:bCs/>
                <w:highlight w:val="yellow"/>
                <w:lang w:val="en-US"/>
              </w:rPr>
            </w:pPr>
            <w:r>
              <w:rPr>
                <w:rFonts w:ascii="Calibri" w:hAnsi="Calibri" w:cs="Calibri"/>
                <w:color w:val="000000"/>
              </w:rPr>
              <w:t>23 (69.7)</w:t>
            </w:r>
          </w:p>
        </w:tc>
        <w:tc>
          <w:tcPr>
            <w:tcW w:w="1507" w:type="dxa"/>
            <w:vAlign w:val="bottom"/>
          </w:tcPr>
          <w:p w14:paraId="0A8EA155" w14:textId="613CBC1C" w:rsidR="00594EB5" w:rsidRPr="000C62B0" w:rsidRDefault="00594EB5" w:rsidP="00594EB5">
            <w:pPr>
              <w:spacing w:line="480" w:lineRule="auto"/>
              <w:jc w:val="center"/>
              <w:rPr>
                <w:rFonts w:ascii="Calibri" w:hAnsi="Calibri" w:cs="Calibri"/>
                <w:b/>
                <w:bCs/>
                <w:highlight w:val="yellow"/>
                <w:lang w:val="en-US"/>
              </w:rPr>
            </w:pPr>
            <w:r w:rsidRPr="000C62B0">
              <w:rPr>
                <w:rFonts w:ascii="Calibri" w:hAnsi="Calibri" w:cs="Calibri"/>
                <w:b/>
                <w:bCs/>
                <w:color w:val="000000"/>
              </w:rPr>
              <w:t>&lt;0.0001</w:t>
            </w:r>
          </w:p>
        </w:tc>
      </w:tr>
      <w:tr w:rsidR="00594EB5" w:rsidRPr="00326CF9" w14:paraId="416D6D1F" w14:textId="44183908" w:rsidTr="000C62B0">
        <w:tc>
          <w:tcPr>
            <w:tcW w:w="2689" w:type="dxa"/>
          </w:tcPr>
          <w:p w14:paraId="4AB3224A" w14:textId="6032D021" w:rsidR="00594EB5" w:rsidRPr="00326CF9" w:rsidRDefault="00594EB5" w:rsidP="00594EB5">
            <w:pPr>
              <w:spacing w:line="480" w:lineRule="auto"/>
              <w:rPr>
                <w:rFonts w:ascii="Calibri" w:hAnsi="Calibri" w:cs="Calibri"/>
                <w:bCs/>
                <w:lang w:val="en-US"/>
              </w:rPr>
            </w:pPr>
            <w:r w:rsidRPr="00326CF9">
              <w:rPr>
                <w:rFonts w:ascii="Calibri" w:hAnsi="Calibri" w:cs="Calibri"/>
                <w:bCs/>
                <w:lang w:val="en-US"/>
              </w:rPr>
              <w:t>BNP, ng/L</w:t>
            </w:r>
          </w:p>
        </w:tc>
        <w:tc>
          <w:tcPr>
            <w:tcW w:w="1718" w:type="dxa"/>
            <w:vAlign w:val="bottom"/>
          </w:tcPr>
          <w:p w14:paraId="55375DE7" w14:textId="585B653F" w:rsidR="00594EB5" w:rsidRPr="00F84CD9" w:rsidRDefault="00594EB5" w:rsidP="00594EB5">
            <w:pPr>
              <w:spacing w:line="480" w:lineRule="auto"/>
              <w:jc w:val="center"/>
              <w:rPr>
                <w:rFonts w:ascii="Calibri" w:hAnsi="Calibri" w:cs="Calibri"/>
                <w:bCs/>
                <w:lang w:val="en-US"/>
              </w:rPr>
            </w:pPr>
            <w:r w:rsidRPr="00F84CD9">
              <w:rPr>
                <w:rFonts w:ascii="Calibri" w:hAnsi="Calibri" w:cs="Calibri"/>
              </w:rPr>
              <w:t>82.5[39.8-176]</w:t>
            </w:r>
          </w:p>
        </w:tc>
        <w:tc>
          <w:tcPr>
            <w:tcW w:w="1718" w:type="dxa"/>
            <w:vAlign w:val="bottom"/>
          </w:tcPr>
          <w:p w14:paraId="481A4BC5" w14:textId="72095F34" w:rsidR="00594EB5" w:rsidRPr="000C62B0" w:rsidRDefault="00594EB5" w:rsidP="00594EB5">
            <w:pPr>
              <w:spacing w:line="480" w:lineRule="auto"/>
              <w:jc w:val="center"/>
              <w:rPr>
                <w:rFonts w:ascii="Calibri" w:hAnsi="Calibri" w:cs="Calibri"/>
                <w:bCs/>
                <w:highlight w:val="yellow"/>
                <w:lang w:val="en-US"/>
              </w:rPr>
            </w:pPr>
            <w:r>
              <w:rPr>
                <w:rFonts w:ascii="Calibri" w:hAnsi="Calibri" w:cs="Calibri"/>
                <w:color w:val="000000"/>
              </w:rPr>
              <w:t>69[35.8-110.3]</w:t>
            </w:r>
          </w:p>
        </w:tc>
        <w:tc>
          <w:tcPr>
            <w:tcW w:w="1808" w:type="dxa"/>
            <w:vAlign w:val="bottom"/>
          </w:tcPr>
          <w:p w14:paraId="33D9B123" w14:textId="6C963058" w:rsidR="00594EB5" w:rsidRPr="000C62B0" w:rsidRDefault="00594EB5" w:rsidP="00594EB5">
            <w:pPr>
              <w:spacing w:line="480" w:lineRule="auto"/>
              <w:jc w:val="center"/>
              <w:rPr>
                <w:rFonts w:ascii="Calibri" w:hAnsi="Calibri" w:cs="Calibri"/>
                <w:bCs/>
                <w:highlight w:val="yellow"/>
                <w:lang w:val="en-US"/>
              </w:rPr>
            </w:pPr>
            <w:r>
              <w:rPr>
                <w:rFonts w:ascii="Calibri" w:hAnsi="Calibri" w:cs="Calibri"/>
                <w:color w:val="000000"/>
              </w:rPr>
              <w:t>285.5[111.5-498.8]</w:t>
            </w:r>
          </w:p>
        </w:tc>
        <w:tc>
          <w:tcPr>
            <w:tcW w:w="1507" w:type="dxa"/>
            <w:vAlign w:val="bottom"/>
          </w:tcPr>
          <w:p w14:paraId="7050B11C" w14:textId="58C993E2" w:rsidR="00594EB5" w:rsidRPr="000C62B0" w:rsidRDefault="00594EB5" w:rsidP="00594EB5">
            <w:pPr>
              <w:spacing w:line="480" w:lineRule="auto"/>
              <w:jc w:val="center"/>
              <w:rPr>
                <w:rFonts w:ascii="Calibri" w:hAnsi="Calibri" w:cs="Calibri"/>
                <w:b/>
                <w:bCs/>
                <w:highlight w:val="yellow"/>
                <w:lang w:val="en-US"/>
              </w:rPr>
            </w:pPr>
            <w:r w:rsidRPr="000C62B0">
              <w:rPr>
                <w:rFonts w:ascii="Calibri" w:hAnsi="Calibri" w:cs="Calibri"/>
                <w:b/>
                <w:bCs/>
                <w:color w:val="000000"/>
              </w:rPr>
              <w:t>&lt;0.0001</w:t>
            </w:r>
          </w:p>
        </w:tc>
      </w:tr>
    </w:tbl>
    <w:p w14:paraId="30E7ADBC" w14:textId="1C3F10B3" w:rsidR="008A4D34" w:rsidRPr="00326CF9" w:rsidRDefault="008A4D34" w:rsidP="00326CF9">
      <w:pPr>
        <w:spacing w:line="480" w:lineRule="auto"/>
        <w:rPr>
          <w:rFonts w:ascii="Calibri" w:hAnsi="Calibri" w:cs="Calibri"/>
          <w:bCs/>
          <w:lang w:val="en-US"/>
        </w:rPr>
      </w:pPr>
    </w:p>
    <w:p w14:paraId="3A707620" w14:textId="1E46D671" w:rsidR="008A4D34" w:rsidRPr="00326CF9" w:rsidRDefault="008A4D34" w:rsidP="00326CF9">
      <w:pPr>
        <w:spacing w:line="480" w:lineRule="auto"/>
        <w:rPr>
          <w:rFonts w:ascii="Calibri" w:hAnsi="Calibri" w:cs="Calibri"/>
          <w:bCs/>
          <w:lang w:val="en-US"/>
        </w:rPr>
      </w:pPr>
      <w:r w:rsidRPr="00326CF9">
        <w:rPr>
          <w:rFonts w:ascii="Calibri" w:hAnsi="Calibri" w:cs="Calibri"/>
          <w:bCs/>
          <w:lang w:val="en-US"/>
        </w:rPr>
        <w:t xml:space="preserve">Values are mean±SD, n (%), and median (interquartile range). </w:t>
      </w:r>
    </w:p>
    <w:p w14:paraId="1E9D72D0" w14:textId="5C6876D8" w:rsidR="008A4D34" w:rsidRPr="00326CF9" w:rsidRDefault="008A4D34" w:rsidP="00326CF9">
      <w:pPr>
        <w:spacing w:line="480" w:lineRule="auto"/>
        <w:jc w:val="both"/>
        <w:rPr>
          <w:rFonts w:ascii="Calibri" w:hAnsi="Calibri" w:cs="Calibri"/>
          <w:bCs/>
          <w:lang w:val="en-US"/>
        </w:rPr>
      </w:pPr>
      <w:r w:rsidRPr="00326CF9">
        <w:rPr>
          <w:rFonts w:ascii="Calibri" w:hAnsi="Calibri" w:cs="Calibri"/>
          <w:bCs/>
          <w:vertAlign w:val="superscript"/>
          <w:lang w:val="en-US"/>
        </w:rPr>
        <w:t>a</w:t>
      </w:r>
      <w:r w:rsidRPr="00326CF9">
        <w:rPr>
          <w:rFonts w:ascii="Calibri" w:hAnsi="Calibri" w:cs="Calibri"/>
          <w:bCs/>
          <w:lang w:val="en-US"/>
        </w:rPr>
        <w:t>P value derived fr</w:t>
      </w:r>
      <w:r w:rsidR="00775402" w:rsidRPr="00326CF9">
        <w:rPr>
          <w:rFonts w:ascii="Calibri" w:hAnsi="Calibri" w:cs="Calibri"/>
          <w:bCs/>
          <w:lang w:val="en-US"/>
        </w:rPr>
        <w:t>om</w:t>
      </w:r>
      <w:r w:rsidRPr="00326CF9">
        <w:rPr>
          <w:rFonts w:ascii="Calibri" w:hAnsi="Calibri" w:cs="Calibri"/>
          <w:bCs/>
          <w:lang w:val="en-US"/>
        </w:rPr>
        <w:t xml:space="preserve"> chi-square test using 2 by </w:t>
      </w:r>
      <w:r w:rsidRPr="00326CF9">
        <w:rPr>
          <w:rFonts w:ascii="Calibri" w:hAnsi="Calibri" w:cs="Calibri"/>
          <w:bCs/>
          <w:i/>
          <w:iCs/>
          <w:lang w:val="en-US"/>
        </w:rPr>
        <w:t>n</w:t>
      </w:r>
      <w:r w:rsidRPr="00326CF9">
        <w:rPr>
          <w:rFonts w:ascii="Calibri" w:hAnsi="Calibri" w:cs="Calibri"/>
          <w:bCs/>
          <w:lang w:val="en-US"/>
        </w:rPr>
        <w:t xml:space="preserve"> contingency table. P values are derived from comparison between groups</w:t>
      </w:r>
      <w:r w:rsidR="00775402" w:rsidRPr="00326CF9">
        <w:rPr>
          <w:rFonts w:ascii="Calibri" w:hAnsi="Calibri" w:cs="Calibri"/>
          <w:bCs/>
          <w:lang w:val="en-US"/>
        </w:rPr>
        <w:t>, using Wilcoxon rank sum test for continuous or chi-square test for categorical variables. A P value of &lt;0.05 was indicative of statistical significance (</w:t>
      </w:r>
      <w:r w:rsidR="00EB7D67" w:rsidRPr="00326CF9">
        <w:rPr>
          <w:rFonts w:ascii="Calibri" w:hAnsi="Calibri" w:cs="Calibri"/>
          <w:bCs/>
          <w:lang w:val="en-US"/>
        </w:rPr>
        <w:t xml:space="preserve">significant values </w:t>
      </w:r>
      <w:r w:rsidR="00775402" w:rsidRPr="00326CF9">
        <w:rPr>
          <w:rFonts w:ascii="Calibri" w:hAnsi="Calibri" w:cs="Calibri"/>
          <w:bCs/>
          <w:lang w:val="en-US"/>
        </w:rPr>
        <w:t>shown in bold).</w:t>
      </w:r>
    </w:p>
    <w:p w14:paraId="71C6C9BD" w14:textId="647BA22E" w:rsidR="00775402" w:rsidRPr="00326CF9" w:rsidRDefault="005F0962" w:rsidP="00326CF9">
      <w:pPr>
        <w:spacing w:line="480" w:lineRule="auto"/>
        <w:jc w:val="both"/>
        <w:rPr>
          <w:rFonts w:ascii="Calibri" w:hAnsi="Calibri" w:cs="Calibri"/>
          <w:bCs/>
          <w:lang w:val="en-US"/>
        </w:rPr>
      </w:pPr>
      <w:r w:rsidRPr="00326CF9">
        <w:rPr>
          <w:rFonts w:ascii="Calibri" w:hAnsi="Calibri" w:cs="Calibri"/>
          <w:bCs/>
          <w:lang w:val="en-US"/>
        </w:rPr>
        <w:t xml:space="preserve">BNP = b-type natriuretic peptide; </w:t>
      </w:r>
      <w:r w:rsidR="00EB7D67" w:rsidRPr="00326CF9">
        <w:rPr>
          <w:rFonts w:ascii="Calibri" w:hAnsi="Calibri" w:cs="Calibri"/>
          <w:bCs/>
          <w:lang w:val="en-US"/>
        </w:rPr>
        <w:t xml:space="preserve">ccTGA = congenitally corrected transposition of great arteries; EDAi = end-diastolic area index; EDDi – end-diastolic diameter index; ESDi – end-systolic diameter index; FAC = fractional area shortening; </w:t>
      </w:r>
      <w:r w:rsidRPr="00326CF9">
        <w:rPr>
          <w:rFonts w:ascii="Calibri" w:hAnsi="Calibri" w:cs="Calibri"/>
          <w:bCs/>
          <w:lang w:val="en-US"/>
        </w:rPr>
        <w:t xml:space="preserve">ICD = implantable cardioverter defibrillator; LV = left ventricle; MAPSE = </w:t>
      </w:r>
      <w:r w:rsidR="00EB7D67" w:rsidRPr="00326CF9">
        <w:rPr>
          <w:rFonts w:ascii="Calibri" w:hAnsi="Calibri" w:cs="Calibri"/>
          <w:bCs/>
          <w:lang w:val="en-US"/>
        </w:rPr>
        <w:t>mitral annular plane systolic excursion</w:t>
      </w:r>
      <w:r w:rsidRPr="00326CF9">
        <w:rPr>
          <w:rFonts w:ascii="Calibri" w:hAnsi="Calibri" w:cs="Calibri"/>
          <w:bCs/>
          <w:lang w:val="en-US"/>
        </w:rPr>
        <w:t xml:space="preserve">; </w:t>
      </w:r>
      <w:r w:rsidR="00775402" w:rsidRPr="00326CF9">
        <w:rPr>
          <w:rFonts w:ascii="Calibri" w:hAnsi="Calibri" w:cs="Calibri"/>
          <w:bCs/>
          <w:lang w:val="en-US"/>
        </w:rPr>
        <w:t>NYHA = New York Heart Association;</w:t>
      </w:r>
      <w:r w:rsidRPr="00326CF9">
        <w:rPr>
          <w:rFonts w:ascii="Calibri" w:hAnsi="Calibri" w:cs="Calibri"/>
          <w:bCs/>
          <w:lang w:val="en-US"/>
        </w:rPr>
        <w:t xml:space="preserve"> SRV = systemic right ventricle</w:t>
      </w:r>
      <w:r w:rsidR="00EB7D67" w:rsidRPr="00326CF9">
        <w:rPr>
          <w:rFonts w:ascii="Calibri" w:hAnsi="Calibri" w:cs="Calibri"/>
          <w:bCs/>
          <w:lang w:val="en-US"/>
        </w:rPr>
        <w:t>; TAPSE = tricuspid annular plane systolic excursion</w:t>
      </w:r>
      <w:r w:rsidRPr="00326CF9">
        <w:rPr>
          <w:rFonts w:ascii="Calibri" w:hAnsi="Calibri" w:cs="Calibri"/>
          <w:bCs/>
          <w:lang w:val="en-US"/>
        </w:rPr>
        <w:t>.</w:t>
      </w:r>
    </w:p>
    <w:p w14:paraId="48B23F5D" w14:textId="4C529D7A" w:rsidR="00EB7D67" w:rsidRPr="00326CF9" w:rsidRDefault="00EB7D67" w:rsidP="00326CF9">
      <w:pPr>
        <w:spacing w:line="480" w:lineRule="auto"/>
        <w:jc w:val="both"/>
        <w:rPr>
          <w:rFonts w:ascii="Calibri" w:hAnsi="Calibri" w:cs="Calibri"/>
          <w:bCs/>
          <w:lang w:val="en-US"/>
        </w:rPr>
      </w:pPr>
    </w:p>
    <w:p w14:paraId="18703FD8" w14:textId="7E3B130D" w:rsidR="009B7AE9" w:rsidRPr="00326CF9" w:rsidRDefault="009B7AE9" w:rsidP="00326CF9">
      <w:pPr>
        <w:spacing w:line="480" w:lineRule="auto"/>
        <w:rPr>
          <w:rFonts w:ascii="Calibri" w:hAnsi="Calibri" w:cs="Calibri"/>
          <w:bCs/>
          <w:lang w:val="en-US"/>
        </w:rPr>
      </w:pPr>
      <w:r w:rsidRPr="00326CF9">
        <w:rPr>
          <w:rFonts w:ascii="Calibri" w:hAnsi="Calibri" w:cs="Calibri"/>
          <w:bCs/>
          <w:lang w:val="en-US"/>
        </w:rPr>
        <w:br w:type="page"/>
      </w:r>
    </w:p>
    <w:p w14:paraId="1B9519E6" w14:textId="50AB8873" w:rsidR="00F53A8D" w:rsidRPr="00326CF9" w:rsidRDefault="00F53A8D" w:rsidP="000C62B0">
      <w:pPr>
        <w:pStyle w:val="Heading1"/>
      </w:pPr>
      <w:r w:rsidRPr="00326CF9">
        <w:lastRenderedPageBreak/>
        <w:t xml:space="preserve">Table </w:t>
      </w:r>
      <w:r w:rsidR="00E95D19">
        <w:t>2</w:t>
      </w:r>
    </w:p>
    <w:p w14:paraId="5DD347B5" w14:textId="0A0656C8" w:rsidR="00E94673" w:rsidRPr="00326CF9" w:rsidRDefault="00F070B6" w:rsidP="00326CF9">
      <w:pPr>
        <w:spacing w:line="480" w:lineRule="auto"/>
        <w:rPr>
          <w:rFonts w:ascii="Calibri" w:hAnsi="Calibri" w:cs="Calibri"/>
          <w:lang w:val="en-US"/>
        </w:rPr>
      </w:pPr>
      <w:r w:rsidRPr="00326CF9">
        <w:rPr>
          <w:rFonts w:ascii="Calibri" w:hAnsi="Calibri" w:cs="Calibri"/>
          <w:lang w:val="en-US"/>
        </w:rPr>
        <w:t>Pooled multivariable</w:t>
      </w:r>
      <w:r w:rsidR="00E94673" w:rsidRPr="00326CF9">
        <w:rPr>
          <w:rFonts w:ascii="Calibri" w:hAnsi="Calibri" w:cs="Calibri"/>
          <w:lang w:val="en-US"/>
        </w:rPr>
        <w:t xml:space="preserve"> Cox regression analysis of echocardiographic parameters.</w:t>
      </w:r>
    </w:p>
    <w:tbl>
      <w:tblPr>
        <w:tblStyle w:val="TableGrid"/>
        <w:tblW w:w="0" w:type="auto"/>
        <w:tblLook w:val="04A0" w:firstRow="1" w:lastRow="0" w:firstColumn="1" w:lastColumn="0" w:noHBand="0" w:noVBand="1"/>
      </w:tblPr>
      <w:tblGrid>
        <w:gridCol w:w="2263"/>
        <w:gridCol w:w="1477"/>
        <w:gridCol w:w="1870"/>
        <w:gridCol w:w="1870"/>
        <w:gridCol w:w="1870"/>
      </w:tblGrid>
      <w:tr w:rsidR="00E94673" w:rsidRPr="00326CF9" w14:paraId="42CE17F6" w14:textId="77777777" w:rsidTr="00353D56">
        <w:tc>
          <w:tcPr>
            <w:tcW w:w="2263" w:type="dxa"/>
            <w:shd w:val="clear" w:color="auto" w:fill="D9D9D9" w:themeFill="background1" w:themeFillShade="D9"/>
          </w:tcPr>
          <w:p w14:paraId="4229B7CD" w14:textId="51B084B5" w:rsidR="00E94673" w:rsidRPr="00326CF9" w:rsidRDefault="00E94673" w:rsidP="00326CF9">
            <w:pPr>
              <w:spacing w:line="480" w:lineRule="auto"/>
              <w:rPr>
                <w:rFonts w:ascii="Calibri" w:hAnsi="Calibri" w:cs="Calibri"/>
                <w:b/>
                <w:bCs/>
                <w:lang w:val="en-US"/>
              </w:rPr>
            </w:pPr>
            <w:r w:rsidRPr="00326CF9">
              <w:rPr>
                <w:rFonts w:ascii="Calibri" w:hAnsi="Calibri" w:cs="Calibri"/>
                <w:b/>
                <w:bCs/>
                <w:lang w:val="en-US"/>
              </w:rPr>
              <w:t>Parameter</w:t>
            </w:r>
          </w:p>
        </w:tc>
        <w:tc>
          <w:tcPr>
            <w:tcW w:w="1477" w:type="dxa"/>
            <w:shd w:val="clear" w:color="auto" w:fill="D9D9D9" w:themeFill="background1" w:themeFillShade="D9"/>
          </w:tcPr>
          <w:p w14:paraId="557D0DE9" w14:textId="2CA2CCDB" w:rsidR="00E94673" w:rsidRPr="00326CF9" w:rsidRDefault="00E94673" w:rsidP="00326CF9">
            <w:pPr>
              <w:spacing w:line="480" w:lineRule="auto"/>
              <w:jc w:val="center"/>
              <w:rPr>
                <w:rFonts w:ascii="Calibri" w:hAnsi="Calibri" w:cs="Calibri"/>
                <w:b/>
                <w:bCs/>
                <w:lang w:val="en-US"/>
              </w:rPr>
            </w:pPr>
            <w:r w:rsidRPr="00326CF9">
              <w:rPr>
                <w:rFonts w:ascii="Calibri" w:hAnsi="Calibri" w:cs="Calibri"/>
                <w:b/>
                <w:bCs/>
                <w:lang w:val="en-US"/>
              </w:rPr>
              <w:t>Unit</w:t>
            </w:r>
          </w:p>
        </w:tc>
        <w:tc>
          <w:tcPr>
            <w:tcW w:w="1870" w:type="dxa"/>
            <w:shd w:val="clear" w:color="auto" w:fill="D9D9D9" w:themeFill="background1" w:themeFillShade="D9"/>
          </w:tcPr>
          <w:p w14:paraId="398B86B3" w14:textId="327DA5FD" w:rsidR="00E94673" w:rsidRPr="00326CF9" w:rsidRDefault="00E94673" w:rsidP="00326CF9">
            <w:pPr>
              <w:spacing w:line="480" w:lineRule="auto"/>
              <w:jc w:val="center"/>
              <w:rPr>
                <w:rFonts w:ascii="Calibri" w:hAnsi="Calibri" w:cs="Calibri"/>
                <w:b/>
                <w:bCs/>
                <w:lang w:val="en-US"/>
              </w:rPr>
            </w:pPr>
            <w:r w:rsidRPr="00326CF9">
              <w:rPr>
                <w:rFonts w:ascii="Calibri" w:hAnsi="Calibri" w:cs="Calibri"/>
                <w:b/>
                <w:bCs/>
                <w:lang w:val="en-US"/>
              </w:rPr>
              <w:t>HR</w:t>
            </w:r>
          </w:p>
        </w:tc>
        <w:tc>
          <w:tcPr>
            <w:tcW w:w="1870" w:type="dxa"/>
            <w:shd w:val="clear" w:color="auto" w:fill="D9D9D9" w:themeFill="background1" w:themeFillShade="D9"/>
          </w:tcPr>
          <w:p w14:paraId="38BB5FD0" w14:textId="633620D3" w:rsidR="00E94673" w:rsidRPr="00326CF9" w:rsidRDefault="00E94673" w:rsidP="00326CF9">
            <w:pPr>
              <w:spacing w:line="480" w:lineRule="auto"/>
              <w:jc w:val="center"/>
              <w:rPr>
                <w:rFonts w:ascii="Calibri" w:hAnsi="Calibri" w:cs="Calibri"/>
                <w:b/>
                <w:bCs/>
                <w:lang w:val="en-US"/>
              </w:rPr>
            </w:pPr>
            <w:r w:rsidRPr="00326CF9">
              <w:rPr>
                <w:rFonts w:ascii="Calibri" w:hAnsi="Calibri" w:cs="Calibri"/>
                <w:b/>
                <w:bCs/>
                <w:lang w:val="en-US"/>
              </w:rPr>
              <w:t>95% CI</w:t>
            </w:r>
          </w:p>
        </w:tc>
        <w:tc>
          <w:tcPr>
            <w:tcW w:w="1870" w:type="dxa"/>
            <w:shd w:val="clear" w:color="auto" w:fill="D9D9D9" w:themeFill="background1" w:themeFillShade="D9"/>
          </w:tcPr>
          <w:p w14:paraId="07577FCA" w14:textId="5FCCC77D" w:rsidR="00E94673" w:rsidRPr="00326CF9" w:rsidRDefault="00E94673" w:rsidP="00326CF9">
            <w:pPr>
              <w:spacing w:line="480" w:lineRule="auto"/>
              <w:jc w:val="center"/>
              <w:rPr>
                <w:rFonts w:ascii="Calibri" w:hAnsi="Calibri" w:cs="Calibri"/>
                <w:b/>
                <w:bCs/>
                <w:lang w:val="en-US"/>
              </w:rPr>
            </w:pPr>
            <w:r w:rsidRPr="00326CF9">
              <w:rPr>
                <w:rFonts w:ascii="Calibri" w:hAnsi="Calibri" w:cs="Calibri"/>
                <w:b/>
                <w:bCs/>
                <w:lang w:val="en-US"/>
              </w:rPr>
              <w:t>P value</w:t>
            </w:r>
          </w:p>
        </w:tc>
      </w:tr>
      <w:tr w:rsidR="00E94673" w:rsidRPr="00326CF9" w14:paraId="74F7C8E6" w14:textId="77777777" w:rsidTr="00E94673">
        <w:tc>
          <w:tcPr>
            <w:tcW w:w="2263" w:type="dxa"/>
          </w:tcPr>
          <w:p w14:paraId="777A1F51" w14:textId="6B5981B8" w:rsidR="00E94673" w:rsidRPr="00326CF9" w:rsidRDefault="00E94673" w:rsidP="00326CF9">
            <w:pPr>
              <w:spacing w:line="480" w:lineRule="auto"/>
              <w:rPr>
                <w:rFonts w:ascii="Calibri" w:hAnsi="Calibri" w:cs="Calibri"/>
                <w:lang w:val="en-US"/>
              </w:rPr>
            </w:pPr>
            <w:r w:rsidRPr="00326CF9">
              <w:rPr>
                <w:rFonts w:ascii="Calibri" w:hAnsi="Calibri" w:cs="Calibri"/>
                <w:lang w:val="en-US"/>
              </w:rPr>
              <w:t>SRV basal diameter</w:t>
            </w:r>
          </w:p>
        </w:tc>
        <w:tc>
          <w:tcPr>
            <w:tcW w:w="1477" w:type="dxa"/>
          </w:tcPr>
          <w:p w14:paraId="2310564C" w14:textId="6C8C8827" w:rsidR="00E94673" w:rsidRPr="00326CF9" w:rsidRDefault="00E94673" w:rsidP="00326CF9">
            <w:pPr>
              <w:spacing w:line="480" w:lineRule="auto"/>
              <w:jc w:val="center"/>
              <w:rPr>
                <w:rFonts w:ascii="Calibri" w:hAnsi="Calibri" w:cs="Calibri"/>
                <w:lang w:val="en-US"/>
              </w:rPr>
            </w:pPr>
            <w:r w:rsidRPr="00326CF9">
              <w:rPr>
                <w:rFonts w:ascii="Calibri" w:hAnsi="Calibri" w:cs="Calibri"/>
                <w:lang w:val="en-US"/>
              </w:rPr>
              <w:t>cm</w:t>
            </w:r>
          </w:p>
        </w:tc>
        <w:tc>
          <w:tcPr>
            <w:tcW w:w="1870" w:type="dxa"/>
          </w:tcPr>
          <w:p w14:paraId="44CB5C6E" w14:textId="3C9C82BB" w:rsidR="00E94673" w:rsidRPr="00326CF9" w:rsidRDefault="00E94673" w:rsidP="00326CF9">
            <w:pPr>
              <w:spacing w:line="480" w:lineRule="auto"/>
              <w:jc w:val="center"/>
              <w:rPr>
                <w:rFonts w:ascii="Calibri" w:hAnsi="Calibri" w:cs="Calibri"/>
                <w:lang w:val="en-US"/>
              </w:rPr>
            </w:pPr>
            <w:r w:rsidRPr="00326CF9">
              <w:rPr>
                <w:rFonts w:ascii="Calibri" w:hAnsi="Calibri" w:cs="Calibri"/>
                <w:lang w:val="en-US"/>
              </w:rPr>
              <w:t>1.66</w:t>
            </w:r>
          </w:p>
        </w:tc>
        <w:tc>
          <w:tcPr>
            <w:tcW w:w="1870" w:type="dxa"/>
          </w:tcPr>
          <w:p w14:paraId="48A5B1FD" w14:textId="15F5B594" w:rsidR="00E94673" w:rsidRPr="00326CF9" w:rsidRDefault="00E94673" w:rsidP="00326CF9">
            <w:pPr>
              <w:spacing w:line="480" w:lineRule="auto"/>
              <w:jc w:val="center"/>
              <w:rPr>
                <w:rFonts w:ascii="Calibri" w:hAnsi="Calibri" w:cs="Calibri"/>
                <w:lang w:val="en-US"/>
              </w:rPr>
            </w:pPr>
            <w:r w:rsidRPr="00326CF9">
              <w:rPr>
                <w:rFonts w:ascii="Calibri" w:hAnsi="Calibri" w:cs="Calibri"/>
                <w:lang w:val="en-US"/>
              </w:rPr>
              <w:t>1.21-2.29</w:t>
            </w:r>
          </w:p>
        </w:tc>
        <w:tc>
          <w:tcPr>
            <w:tcW w:w="1870" w:type="dxa"/>
          </w:tcPr>
          <w:p w14:paraId="17AA226F" w14:textId="5BABF89B" w:rsidR="00E94673" w:rsidRPr="00326CF9" w:rsidRDefault="00E94673" w:rsidP="00326CF9">
            <w:pPr>
              <w:spacing w:line="480" w:lineRule="auto"/>
              <w:jc w:val="center"/>
              <w:rPr>
                <w:rFonts w:ascii="Calibri" w:hAnsi="Calibri" w:cs="Calibri"/>
                <w:lang w:val="en-US"/>
              </w:rPr>
            </w:pPr>
            <w:r w:rsidRPr="00326CF9">
              <w:rPr>
                <w:rFonts w:ascii="Calibri" w:hAnsi="Calibri" w:cs="Calibri"/>
                <w:lang w:val="en-US"/>
              </w:rPr>
              <w:t>0.005</w:t>
            </w:r>
          </w:p>
        </w:tc>
      </w:tr>
      <w:tr w:rsidR="00E94673" w:rsidRPr="00326CF9" w14:paraId="229586C0" w14:textId="77777777" w:rsidTr="00E94673">
        <w:tc>
          <w:tcPr>
            <w:tcW w:w="2263" w:type="dxa"/>
          </w:tcPr>
          <w:p w14:paraId="60E311D2" w14:textId="3A3A53D4" w:rsidR="00E94673" w:rsidRPr="00326CF9" w:rsidRDefault="00E94673" w:rsidP="00326CF9">
            <w:pPr>
              <w:spacing w:line="480" w:lineRule="auto"/>
              <w:rPr>
                <w:rFonts w:ascii="Calibri" w:hAnsi="Calibri" w:cs="Calibri"/>
                <w:lang w:val="en-US"/>
              </w:rPr>
            </w:pPr>
            <w:r w:rsidRPr="00326CF9">
              <w:rPr>
                <w:rFonts w:ascii="Calibri" w:hAnsi="Calibri" w:cs="Calibri"/>
                <w:lang w:val="en-US"/>
              </w:rPr>
              <w:t>SRV FAC</w:t>
            </w:r>
          </w:p>
        </w:tc>
        <w:tc>
          <w:tcPr>
            <w:tcW w:w="1477" w:type="dxa"/>
          </w:tcPr>
          <w:p w14:paraId="022F7F48" w14:textId="6AAEAD5A" w:rsidR="00E94673" w:rsidRPr="00326CF9" w:rsidRDefault="00E94673" w:rsidP="00326CF9">
            <w:pPr>
              <w:spacing w:line="480" w:lineRule="auto"/>
              <w:jc w:val="center"/>
              <w:rPr>
                <w:rFonts w:ascii="Calibri" w:hAnsi="Calibri" w:cs="Calibri"/>
                <w:lang w:val="en-US"/>
              </w:rPr>
            </w:pPr>
            <w:r w:rsidRPr="00326CF9">
              <w:rPr>
                <w:rFonts w:ascii="Calibri" w:hAnsi="Calibri" w:cs="Calibri"/>
                <w:lang w:val="en-US"/>
              </w:rPr>
              <w:t>5%</w:t>
            </w:r>
          </w:p>
        </w:tc>
        <w:tc>
          <w:tcPr>
            <w:tcW w:w="1870" w:type="dxa"/>
          </w:tcPr>
          <w:p w14:paraId="7332A666" w14:textId="78EAF277" w:rsidR="00E94673" w:rsidRPr="00326CF9" w:rsidRDefault="00E94673" w:rsidP="00326CF9">
            <w:pPr>
              <w:spacing w:line="480" w:lineRule="auto"/>
              <w:jc w:val="center"/>
              <w:rPr>
                <w:rFonts w:ascii="Calibri" w:hAnsi="Calibri" w:cs="Calibri"/>
                <w:lang w:val="en-US"/>
              </w:rPr>
            </w:pPr>
            <w:r w:rsidRPr="00326CF9">
              <w:rPr>
                <w:rFonts w:ascii="Calibri" w:hAnsi="Calibri" w:cs="Calibri"/>
                <w:lang w:val="en-US"/>
              </w:rPr>
              <w:t>0.65</w:t>
            </w:r>
          </w:p>
        </w:tc>
        <w:tc>
          <w:tcPr>
            <w:tcW w:w="1870" w:type="dxa"/>
          </w:tcPr>
          <w:p w14:paraId="79268E91" w14:textId="50A708FD" w:rsidR="00E94673" w:rsidRPr="00326CF9" w:rsidRDefault="00E94673" w:rsidP="00326CF9">
            <w:pPr>
              <w:spacing w:line="480" w:lineRule="auto"/>
              <w:jc w:val="center"/>
              <w:rPr>
                <w:rFonts w:ascii="Calibri" w:hAnsi="Calibri" w:cs="Calibri"/>
                <w:lang w:val="en-US"/>
              </w:rPr>
            </w:pPr>
            <w:r w:rsidRPr="00326CF9">
              <w:rPr>
                <w:rFonts w:ascii="Calibri" w:hAnsi="Calibri" w:cs="Calibri"/>
                <w:lang w:val="en-US"/>
              </w:rPr>
              <w:t>0.49-0.87</w:t>
            </w:r>
          </w:p>
        </w:tc>
        <w:tc>
          <w:tcPr>
            <w:tcW w:w="1870" w:type="dxa"/>
          </w:tcPr>
          <w:p w14:paraId="573836A7" w14:textId="06152E77" w:rsidR="00E94673" w:rsidRPr="00326CF9" w:rsidRDefault="00E94673" w:rsidP="00326CF9">
            <w:pPr>
              <w:spacing w:line="480" w:lineRule="auto"/>
              <w:jc w:val="center"/>
              <w:rPr>
                <w:rFonts w:ascii="Calibri" w:hAnsi="Calibri" w:cs="Calibri"/>
                <w:lang w:val="en-US"/>
              </w:rPr>
            </w:pPr>
            <w:r w:rsidRPr="00326CF9">
              <w:rPr>
                <w:rFonts w:ascii="Calibri" w:hAnsi="Calibri" w:cs="Calibri"/>
                <w:lang w:val="en-US"/>
              </w:rPr>
              <w:t>0.008</w:t>
            </w:r>
          </w:p>
        </w:tc>
      </w:tr>
      <w:tr w:rsidR="00E94673" w:rsidRPr="00326CF9" w14:paraId="37AA93EF" w14:textId="77777777" w:rsidTr="00E94673">
        <w:tc>
          <w:tcPr>
            <w:tcW w:w="2263" w:type="dxa"/>
          </w:tcPr>
          <w:p w14:paraId="5D5F44AC" w14:textId="295B96E0" w:rsidR="00E94673" w:rsidRPr="00326CF9" w:rsidRDefault="00E94673" w:rsidP="00326CF9">
            <w:pPr>
              <w:spacing w:line="480" w:lineRule="auto"/>
              <w:rPr>
                <w:rFonts w:ascii="Calibri" w:hAnsi="Calibri" w:cs="Calibri"/>
                <w:lang w:val="en-US"/>
              </w:rPr>
            </w:pPr>
            <w:r w:rsidRPr="00326CF9">
              <w:rPr>
                <w:rFonts w:ascii="Calibri" w:hAnsi="Calibri" w:cs="Calibri"/>
                <w:lang w:val="en-US"/>
              </w:rPr>
              <w:t>LV ESDi</w:t>
            </w:r>
          </w:p>
        </w:tc>
        <w:tc>
          <w:tcPr>
            <w:tcW w:w="1477" w:type="dxa"/>
          </w:tcPr>
          <w:p w14:paraId="2ADA5AEB" w14:textId="4057E0C9" w:rsidR="00E94673" w:rsidRPr="00326CF9" w:rsidRDefault="00E94673" w:rsidP="00326CF9">
            <w:pPr>
              <w:spacing w:line="480" w:lineRule="auto"/>
              <w:jc w:val="center"/>
              <w:rPr>
                <w:rFonts w:ascii="Calibri" w:hAnsi="Calibri" w:cs="Calibri"/>
                <w:vertAlign w:val="superscript"/>
                <w:lang w:val="en-US"/>
              </w:rPr>
            </w:pPr>
            <w:r w:rsidRPr="00326CF9">
              <w:rPr>
                <w:rFonts w:ascii="Calibri" w:hAnsi="Calibri" w:cs="Calibri"/>
                <w:lang w:val="en-US"/>
              </w:rPr>
              <w:t>cm/m</w:t>
            </w:r>
            <w:r w:rsidRPr="00326CF9">
              <w:rPr>
                <w:rFonts w:ascii="Calibri" w:hAnsi="Calibri" w:cs="Calibri"/>
                <w:vertAlign w:val="superscript"/>
                <w:lang w:val="en-US"/>
              </w:rPr>
              <w:t>2</w:t>
            </w:r>
          </w:p>
        </w:tc>
        <w:tc>
          <w:tcPr>
            <w:tcW w:w="1870" w:type="dxa"/>
          </w:tcPr>
          <w:p w14:paraId="15DEBA72" w14:textId="32DD6FF9" w:rsidR="00E94673" w:rsidRPr="00326CF9" w:rsidRDefault="00E94673" w:rsidP="00326CF9">
            <w:pPr>
              <w:spacing w:line="480" w:lineRule="auto"/>
              <w:jc w:val="center"/>
              <w:rPr>
                <w:rFonts w:ascii="Calibri" w:hAnsi="Calibri" w:cs="Calibri"/>
                <w:lang w:val="en-US"/>
              </w:rPr>
            </w:pPr>
            <w:r w:rsidRPr="00326CF9">
              <w:rPr>
                <w:rFonts w:ascii="Calibri" w:hAnsi="Calibri" w:cs="Calibri"/>
                <w:lang w:val="en-US"/>
              </w:rPr>
              <w:t>2.77</w:t>
            </w:r>
          </w:p>
        </w:tc>
        <w:tc>
          <w:tcPr>
            <w:tcW w:w="1870" w:type="dxa"/>
          </w:tcPr>
          <w:p w14:paraId="1CA36F6C" w14:textId="7FBEDBC7" w:rsidR="00E94673" w:rsidRPr="00326CF9" w:rsidRDefault="00E94673" w:rsidP="00326CF9">
            <w:pPr>
              <w:spacing w:line="480" w:lineRule="auto"/>
              <w:jc w:val="center"/>
              <w:rPr>
                <w:rFonts w:ascii="Calibri" w:hAnsi="Calibri" w:cs="Calibri"/>
                <w:lang w:val="en-US"/>
              </w:rPr>
            </w:pPr>
            <w:r w:rsidRPr="00326CF9">
              <w:rPr>
                <w:rFonts w:ascii="Calibri" w:hAnsi="Calibri" w:cs="Calibri"/>
                <w:lang w:val="en-US"/>
              </w:rPr>
              <w:t>1.35-5.68</w:t>
            </w:r>
          </w:p>
        </w:tc>
        <w:tc>
          <w:tcPr>
            <w:tcW w:w="1870" w:type="dxa"/>
          </w:tcPr>
          <w:p w14:paraId="44F64B11" w14:textId="37EF587D" w:rsidR="00E94673" w:rsidRPr="00326CF9" w:rsidRDefault="00E94673" w:rsidP="00326CF9">
            <w:pPr>
              <w:spacing w:line="480" w:lineRule="auto"/>
              <w:jc w:val="center"/>
              <w:rPr>
                <w:rFonts w:ascii="Calibri" w:hAnsi="Calibri" w:cs="Calibri"/>
                <w:lang w:val="en-US"/>
              </w:rPr>
            </w:pPr>
            <w:r w:rsidRPr="00326CF9">
              <w:rPr>
                <w:rFonts w:ascii="Calibri" w:hAnsi="Calibri" w:cs="Calibri"/>
                <w:lang w:val="en-US"/>
              </w:rPr>
              <w:t>0.01</w:t>
            </w:r>
          </w:p>
        </w:tc>
      </w:tr>
      <w:tr w:rsidR="00E94673" w:rsidRPr="00326CF9" w14:paraId="119BBAB8" w14:textId="77777777" w:rsidTr="00E94673">
        <w:tc>
          <w:tcPr>
            <w:tcW w:w="2263" w:type="dxa"/>
          </w:tcPr>
          <w:p w14:paraId="25F9F99D" w14:textId="106C6496" w:rsidR="00E94673" w:rsidRPr="00326CF9" w:rsidRDefault="00E94673" w:rsidP="00326CF9">
            <w:pPr>
              <w:spacing w:line="480" w:lineRule="auto"/>
              <w:rPr>
                <w:rFonts w:ascii="Calibri" w:hAnsi="Calibri" w:cs="Calibri"/>
                <w:lang w:val="en-US"/>
              </w:rPr>
            </w:pPr>
            <w:r w:rsidRPr="00326CF9">
              <w:rPr>
                <w:rFonts w:ascii="Calibri" w:hAnsi="Calibri" w:cs="Calibri"/>
                <w:lang w:val="en-US"/>
              </w:rPr>
              <w:t>LV FAC</w:t>
            </w:r>
          </w:p>
        </w:tc>
        <w:tc>
          <w:tcPr>
            <w:tcW w:w="1477" w:type="dxa"/>
          </w:tcPr>
          <w:p w14:paraId="01E9C1F3" w14:textId="699EEA1D" w:rsidR="00E94673" w:rsidRPr="00326CF9" w:rsidRDefault="00E94673" w:rsidP="00326CF9">
            <w:pPr>
              <w:spacing w:line="480" w:lineRule="auto"/>
              <w:jc w:val="center"/>
              <w:rPr>
                <w:rFonts w:ascii="Calibri" w:hAnsi="Calibri" w:cs="Calibri"/>
                <w:lang w:val="en-US"/>
              </w:rPr>
            </w:pPr>
            <w:r w:rsidRPr="00326CF9">
              <w:rPr>
                <w:rFonts w:ascii="Calibri" w:hAnsi="Calibri" w:cs="Calibri"/>
                <w:lang w:val="en-US"/>
              </w:rPr>
              <w:t>5%</w:t>
            </w:r>
          </w:p>
        </w:tc>
        <w:tc>
          <w:tcPr>
            <w:tcW w:w="1870" w:type="dxa"/>
          </w:tcPr>
          <w:p w14:paraId="7FC22672" w14:textId="4FF97BB9" w:rsidR="00E94673" w:rsidRPr="00326CF9" w:rsidRDefault="00E94673" w:rsidP="00326CF9">
            <w:pPr>
              <w:spacing w:line="480" w:lineRule="auto"/>
              <w:jc w:val="center"/>
              <w:rPr>
                <w:rFonts w:ascii="Calibri" w:hAnsi="Calibri" w:cs="Calibri"/>
                <w:lang w:val="en-US"/>
              </w:rPr>
            </w:pPr>
            <w:r w:rsidRPr="00326CF9">
              <w:rPr>
                <w:rFonts w:ascii="Calibri" w:hAnsi="Calibri" w:cs="Calibri"/>
                <w:lang w:val="en-US"/>
              </w:rPr>
              <w:t>0.70</w:t>
            </w:r>
          </w:p>
        </w:tc>
        <w:tc>
          <w:tcPr>
            <w:tcW w:w="1870" w:type="dxa"/>
          </w:tcPr>
          <w:p w14:paraId="5649D2D5" w14:textId="3BB9C579" w:rsidR="00E94673" w:rsidRPr="00326CF9" w:rsidRDefault="00E94673" w:rsidP="00326CF9">
            <w:pPr>
              <w:spacing w:line="480" w:lineRule="auto"/>
              <w:jc w:val="center"/>
              <w:rPr>
                <w:rFonts w:ascii="Calibri" w:hAnsi="Calibri" w:cs="Calibri"/>
                <w:lang w:val="en-US"/>
              </w:rPr>
            </w:pPr>
            <w:r w:rsidRPr="00326CF9">
              <w:rPr>
                <w:rFonts w:ascii="Calibri" w:hAnsi="Calibri" w:cs="Calibri"/>
                <w:lang w:val="en-US"/>
              </w:rPr>
              <w:t>0.57-0.85</w:t>
            </w:r>
          </w:p>
        </w:tc>
        <w:tc>
          <w:tcPr>
            <w:tcW w:w="1870" w:type="dxa"/>
          </w:tcPr>
          <w:p w14:paraId="692A2A0A" w14:textId="4DA04E83" w:rsidR="00E94673" w:rsidRPr="00326CF9" w:rsidRDefault="00E94673" w:rsidP="00326CF9">
            <w:pPr>
              <w:spacing w:line="480" w:lineRule="auto"/>
              <w:jc w:val="center"/>
              <w:rPr>
                <w:rFonts w:ascii="Calibri" w:hAnsi="Calibri" w:cs="Calibri"/>
                <w:lang w:val="en-US"/>
              </w:rPr>
            </w:pPr>
            <w:r w:rsidRPr="00326CF9">
              <w:rPr>
                <w:rFonts w:ascii="Calibri" w:hAnsi="Calibri" w:cs="Calibri"/>
                <w:lang w:val="en-US"/>
              </w:rPr>
              <w:t>0.002</w:t>
            </w:r>
          </w:p>
        </w:tc>
      </w:tr>
    </w:tbl>
    <w:p w14:paraId="239F1F25" w14:textId="77777777" w:rsidR="00E94673" w:rsidRPr="00326CF9" w:rsidRDefault="00E94673" w:rsidP="00326CF9">
      <w:pPr>
        <w:spacing w:line="480" w:lineRule="auto"/>
        <w:rPr>
          <w:rFonts w:ascii="Calibri" w:hAnsi="Calibri" w:cs="Calibri"/>
          <w:lang w:val="en-US"/>
        </w:rPr>
      </w:pPr>
    </w:p>
    <w:p w14:paraId="74CB1631" w14:textId="3EBABF5E" w:rsidR="00D27EA0" w:rsidRDefault="00E94673" w:rsidP="00326CF9">
      <w:pPr>
        <w:spacing w:line="480" w:lineRule="auto"/>
        <w:rPr>
          <w:rFonts w:ascii="Calibri" w:hAnsi="Calibri" w:cs="Calibri"/>
          <w:lang w:val="en-US"/>
        </w:rPr>
      </w:pPr>
      <w:r w:rsidRPr="00326CF9">
        <w:rPr>
          <w:rFonts w:ascii="Calibri" w:hAnsi="Calibri" w:cs="Calibri"/>
          <w:lang w:val="en-US"/>
        </w:rPr>
        <w:t>CI indicates confidence interval; ESDi</w:t>
      </w:r>
      <w:r w:rsidR="006776BB" w:rsidRPr="00326CF9">
        <w:rPr>
          <w:rFonts w:ascii="Calibri" w:hAnsi="Calibri" w:cs="Calibri"/>
          <w:lang w:val="en-US"/>
        </w:rPr>
        <w:t xml:space="preserve"> =</w:t>
      </w:r>
      <w:r w:rsidRPr="00326CF9">
        <w:rPr>
          <w:rFonts w:ascii="Calibri" w:hAnsi="Calibri" w:cs="Calibri"/>
          <w:lang w:val="en-US"/>
        </w:rPr>
        <w:t xml:space="preserve"> end-systolic dimension index; FAC</w:t>
      </w:r>
      <w:r w:rsidR="006776BB" w:rsidRPr="00326CF9">
        <w:rPr>
          <w:rFonts w:ascii="Calibri" w:hAnsi="Calibri" w:cs="Calibri"/>
          <w:lang w:val="en-US"/>
        </w:rPr>
        <w:t xml:space="preserve"> =</w:t>
      </w:r>
      <w:r w:rsidRPr="00326CF9">
        <w:rPr>
          <w:rFonts w:ascii="Calibri" w:hAnsi="Calibri" w:cs="Calibri"/>
          <w:lang w:val="en-US"/>
        </w:rPr>
        <w:t xml:space="preserve"> fractional ar</w:t>
      </w:r>
      <w:r w:rsidR="00DE06B4">
        <w:rPr>
          <w:rFonts w:ascii="Calibri" w:hAnsi="Calibri" w:cs="Calibri"/>
          <w:lang w:val="en-US"/>
        </w:rPr>
        <w:t>ea.</w:t>
      </w:r>
    </w:p>
    <w:p w14:paraId="1D4C4F18" w14:textId="77777777" w:rsidR="00D27EA0" w:rsidRDefault="00D27EA0">
      <w:pPr>
        <w:rPr>
          <w:rFonts w:ascii="Calibri" w:hAnsi="Calibri" w:cs="Calibri"/>
          <w:lang w:val="en-US"/>
        </w:rPr>
      </w:pPr>
      <w:r>
        <w:rPr>
          <w:rFonts w:ascii="Calibri" w:hAnsi="Calibri" w:cs="Calibri"/>
          <w:lang w:val="en-US"/>
        </w:rPr>
        <w:br w:type="page"/>
      </w:r>
    </w:p>
    <w:p w14:paraId="7A26FE17" w14:textId="2B134460" w:rsidR="00D27EA0" w:rsidRPr="00326CF9" w:rsidRDefault="00D27EA0" w:rsidP="00D27EA0">
      <w:pPr>
        <w:pStyle w:val="Heading1"/>
      </w:pPr>
      <w:r>
        <w:lastRenderedPageBreak/>
        <w:t>Figure 1</w:t>
      </w:r>
    </w:p>
    <w:p w14:paraId="198FDA69" w14:textId="00D63A57" w:rsidR="00D27EA0" w:rsidRDefault="00D27EA0">
      <w:pPr>
        <w:rPr>
          <w:rFonts w:ascii="Calibri" w:hAnsi="Calibri" w:cs="Calibri"/>
          <w:lang w:val="en-US"/>
        </w:rPr>
      </w:pPr>
      <w:r>
        <w:rPr>
          <w:rFonts w:ascii="Calibri" w:hAnsi="Calibri" w:cs="Calibri"/>
          <w:noProof/>
          <w:lang w:val="en-US"/>
        </w:rPr>
        <w:drawing>
          <wp:inline distT="0" distB="0" distL="0" distR="0" wp14:anchorId="3588BD40" wp14:editId="0403E14C">
            <wp:extent cx="5943600" cy="2764155"/>
            <wp:effectExtent l="0" t="0" r="0" b="4445"/>
            <wp:docPr id="1894770577" name="Picture 1"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770577" name="Picture 1" descr="A graph with numbers and lines&#10;&#10;Description automatically generated"/>
                    <pic:cNvPicPr/>
                  </pic:nvPicPr>
                  <pic:blipFill>
                    <a:blip r:embed="rId11"/>
                    <a:stretch>
                      <a:fillRect/>
                    </a:stretch>
                  </pic:blipFill>
                  <pic:spPr>
                    <a:xfrm>
                      <a:off x="0" y="0"/>
                      <a:ext cx="5943600" cy="2764155"/>
                    </a:xfrm>
                    <a:prstGeom prst="rect">
                      <a:avLst/>
                    </a:prstGeom>
                  </pic:spPr>
                </pic:pic>
              </a:graphicData>
            </a:graphic>
          </wp:inline>
        </w:drawing>
      </w:r>
      <w:r>
        <w:rPr>
          <w:rFonts w:ascii="Calibri" w:hAnsi="Calibri" w:cs="Calibri"/>
          <w:lang w:val="en-US"/>
        </w:rPr>
        <w:br w:type="page"/>
      </w:r>
    </w:p>
    <w:p w14:paraId="20873800" w14:textId="77777777" w:rsidR="00DE06B4" w:rsidRPr="00DE06B4" w:rsidRDefault="00DE06B4" w:rsidP="00326CF9">
      <w:pPr>
        <w:spacing w:line="480" w:lineRule="auto"/>
        <w:rPr>
          <w:rFonts w:ascii="Calibri" w:hAnsi="Calibri" w:cs="Calibri"/>
          <w:lang w:val="en-US"/>
        </w:rPr>
        <w:sectPr w:rsidR="00DE06B4" w:rsidRPr="00DE06B4" w:rsidSect="00393EB1">
          <w:headerReference w:type="even" r:id="rId12"/>
          <w:headerReference w:type="default" r:id="rId13"/>
          <w:footerReference w:type="even" r:id="rId14"/>
          <w:footerReference w:type="default" r:id="rId15"/>
          <w:pgSz w:w="12240" w:h="15840"/>
          <w:pgMar w:top="1146" w:right="1440" w:bottom="1040" w:left="1440" w:header="720" w:footer="720" w:gutter="0"/>
          <w:cols w:space="720"/>
          <w:docGrid w:linePitch="360"/>
        </w:sectPr>
      </w:pPr>
    </w:p>
    <w:p w14:paraId="5B8687E1" w14:textId="5317AB90" w:rsidR="00D27EA0" w:rsidRDefault="00D27EA0" w:rsidP="00D27EA0">
      <w:pPr>
        <w:pStyle w:val="Heading1"/>
      </w:pPr>
      <w:r>
        <w:lastRenderedPageBreak/>
        <w:t>Figure 2</w:t>
      </w:r>
    </w:p>
    <w:p w14:paraId="43864DF7" w14:textId="661C0206" w:rsidR="00D27EA0" w:rsidRPr="00326CF9" w:rsidRDefault="00D27EA0" w:rsidP="00D27EA0">
      <w:pPr>
        <w:pStyle w:val="Heading1"/>
      </w:pPr>
      <w:r>
        <w:rPr>
          <w:noProof/>
        </w:rPr>
        <w:drawing>
          <wp:inline distT="0" distB="0" distL="0" distR="0" wp14:anchorId="758D2A04" wp14:editId="3F817E5B">
            <wp:extent cx="5943600" cy="5894070"/>
            <wp:effectExtent l="0" t="0" r="0" b="0"/>
            <wp:docPr id="421995743" name="Picture 2" descr="A group of graphs showing different types of resul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995743" name="Picture 2" descr="A group of graphs showing different types of results&#10;&#10;Description automatically generated"/>
                    <pic:cNvPicPr/>
                  </pic:nvPicPr>
                  <pic:blipFill>
                    <a:blip r:embed="rId16"/>
                    <a:stretch>
                      <a:fillRect/>
                    </a:stretch>
                  </pic:blipFill>
                  <pic:spPr>
                    <a:xfrm>
                      <a:off x="0" y="0"/>
                      <a:ext cx="5943600" cy="5894070"/>
                    </a:xfrm>
                    <a:prstGeom prst="rect">
                      <a:avLst/>
                    </a:prstGeom>
                  </pic:spPr>
                </pic:pic>
              </a:graphicData>
            </a:graphic>
          </wp:inline>
        </w:drawing>
      </w:r>
    </w:p>
    <w:p w14:paraId="776C6E3C" w14:textId="63312F2C" w:rsidR="00D27EA0" w:rsidRDefault="00D27EA0"/>
    <w:sectPr w:rsidR="00D27EA0" w:rsidSect="000C62B0">
      <w:pgSz w:w="12240" w:h="15840"/>
      <w:pgMar w:top="1146" w:right="1440" w:bottom="10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BB9EE" w14:textId="77777777" w:rsidR="00A8236B" w:rsidRDefault="00A8236B" w:rsidP="00853029">
      <w:r>
        <w:separator/>
      </w:r>
    </w:p>
  </w:endnote>
  <w:endnote w:type="continuationSeparator" w:id="0">
    <w:p w14:paraId="44D5F461" w14:textId="77777777" w:rsidR="00A8236B" w:rsidRDefault="00A8236B" w:rsidP="00853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0000500000000020000"/>
    <w:charset w:val="00"/>
    <w:family w:val="auto"/>
    <w:pitch w:val="variable"/>
    <w:sig w:usb0="00000003" w:usb1="00000000" w:usb2="00000000"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BACB5" w14:textId="77777777" w:rsidR="00A85D18" w:rsidRDefault="00A85D18" w:rsidP="005C4DC4">
    <w:pPr>
      <w:pStyle w:val="Footer"/>
      <w:framePr w:wrap="around" w:vAnchor="text" w:hAnchor="margin" w:xAlign="right" w:y="1"/>
      <w:rPr>
        <w:rStyle w:val="PageNumber"/>
      </w:rPr>
    </w:pPr>
    <w:r>
      <w:rPr>
        <w:rStyle w:val="PageNumber"/>
        <w:rFonts w:hint="eastAsia"/>
      </w:rPr>
      <w:fldChar w:fldCharType="begin"/>
    </w:r>
    <w:r>
      <w:rPr>
        <w:rStyle w:val="PageNumber"/>
        <w:rFonts w:hint="eastAsia"/>
      </w:rPr>
      <w:instrText xml:space="preserve">PAGE  </w:instrText>
    </w:r>
    <w:r>
      <w:rPr>
        <w:rStyle w:val="PageNumber"/>
        <w:rFonts w:hint="eastAsia"/>
      </w:rPr>
      <w:fldChar w:fldCharType="end"/>
    </w:r>
  </w:p>
  <w:p w14:paraId="73CCD1DB" w14:textId="77777777" w:rsidR="00A85D18" w:rsidRDefault="00A85D18" w:rsidP="0085302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EA054" w14:textId="65520E9E" w:rsidR="00A85D18" w:rsidRDefault="00A85D18" w:rsidP="005C4DC4">
    <w:pPr>
      <w:pStyle w:val="Footer"/>
      <w:framePr w:wrap="around" w:vAnchor="text" w:hAnchor="margin" w:xAlign="right" w:y="1"/>
      <w:rPr>
        <w:rStyle w:val="PageNumber"/>
      </w:rPr>
    </w:pPr>
    <w:r>
      <w:rPr>
        <w:rStyle w:val="PageNumber"/>
        <w:rFonts w:hint="eastAsia"/>
      </w:rPr>
      <w:fldChar w:fldCharType="begin"/>
    </w:r>
    <w:r>
      <w:rPr>
        <w:rStyle w:val="PageNumber"/>
        <w:rFonts w:hint="eastAsia"/>
      </w:rPr>
      <w:instrText xml:space="preserve">PAGE  </w:instrText>
    </w:r>
    <w:r>
      <w:rPr>
        <w:rStyle w:val="PageNumber"/>
        <w:rFonts w:hint="eastAsia"/>
      </w:rPr>
      <w:fldChar w:fldCharType="separate"/>
    </w:r>
    <w:r>
      <w:rPr>
        <w:rStyle w:val="PageNumber"/>
        <w:noProof/>
      </w:rPr>
      <w:t>14</w:t>
    </w:r>
    <w:r>
      <w:rPr>
        <w:rStyle w:val="PageNumber"/>
        <w:rFonts w:hint="eastAsia"/>
      </w:rPr>
      <w:fldChar w:fldCharType="end"/>
    </w:r>
  </w:p>
  <w:p w14:paraId="092C5B13" w14:textId="77777777" w:rsidR="00A85D18" w:rsidRDefault="00A85D18" w:rsidP="0085302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35B41" w14:textId="77777777" w:rsidR="00A8236B" w:rsidRDefault="00A8236B" w:rsidP="00853029">
      <w:r>
        <w:separator/>
      </w:r>
    </w:p>
  </w:footnote>
  <w:footnote w:type="continuationSeparator" w:id="0">
    <w:p w14:paraId="6C513005" w14:textId="77777777" w:rsidR="00A8236B" w:rsidRDefault="00A8236B" w:rsidP="008530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A5342" w14:textId="77777777" w:rsidR="00A85D18" w:rsidRDefault="00A85D18" w:rsidP="003521BB">
    <w:pPr>
      <w:pStyle w:val="Header"/>
      <w:framePr w:wrap="around" w:vAnchor="text" w:hAnchor="margin" w:xAlign="right" w:y="1"/>
      <w:rPr>
        <w:rStyle w:val="PageNumber"/>
      </w:rPr>
    </w:pPr>
    <w:r>
      <w:rPr>
        <w:rStyle w:val="PageNumber"/>
        <w:rFonts w:hint="eastAsia"/>
      </w:rPr>
      <w:fldChar w:fldCharType="begin"/>
    </w:r>
    <w:r>
      <w:rPr>
        <w:rStyle w:val="PageNumber"/>
        <w:rFonts w:hint="eastAsia"/>
      </w:rPr>
      <w:instrText xml:space="preserve">PAGE  </w:instrText>
    </w:r>
    <w:r>
      <w:rPr>
        <w:rStyle w:val="PageNumber"/>
        <w:rFonts w:hint="eastAsia"/>
      </w:rPr>
      <w:fldChar w:fldCharType="end"/>
    </w:r>
  </w:p>
  <w:p w14:paraId="04AD57B4" w14:textId="77777777" w:rsidR="00A85D18" w:rsidRDefault="00A85D18" w:rsidP="003521B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6BF8E" w14:textId="77777777" w:rsidR="00A85D18" w:rsidRDefault="00A85D18" w:rsidP="003521B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7D4A5F"/>
    <w:multiLevelType w:val="hybridMultilevel"/>
    <w:tmpl w:val="C0446C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D414C"/>
    <w:multiLevelType w:val="hybridMultilevel"/>
    <w:tmpl w:val="5EC07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D949A4"/>
    <w:multiLevelType w:val="multilevel"/>
    <w:tmpl w:val="A8962F04"/>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F92AB3"/>
    <w:multiLevelType w:val="hybridMultilevel"/>
    <w:tmpl w:val="9F48FDF8"/>
    <w:lvl w:ilvl="0" w:tplc="B2AAD750">
      <w:start w:val="1"/>
      <w:numFmt w:val="bullet"/>
      <w:lvlText w:val="•"/>
      <w:lvlJc w:val="left"/>
      <w:pPr>
        <w:tabs>
          <w:tab w:val="num" w:pos="720"/>
        </w:tabs>
        <w:ind w:left="720" w:hanging="360"/>
      </w:pPr>
      <w:rPr>
        <w:rFonts w:ascii="Arial" w:hAnsi="Arial" w:hint="default"/>
      </w:rPr>
    </w:lvl>
    <w:lvl w:ilvl="1" w:tplc="D2CA3FF6" w:tentative="1">
      <w:start w:val="1"/>
      <w:numFmt w:val="bullet"/>
      <w:lvlText w:val="•"/>
      <w:lvlJc w:val="left"/>
      <w:pPr>
        <w:tabs>
          <w:tab w:val="num" w:pos="1440"/>
        </w:tabs>
        <w:ind w:left="1440" w:hanging="360"/>
      </w:pPr>
      <w:rPr>
        <w:rFonts w:ascii="Arial" w:hAnsi="Arial" w:hint="default"/>
      </w:rPr>
    </w:lvl>
    <w:lvl w:ilvl="2" w:tplc="422AC6A6" w:tentative="1">
      <w:start w:val="1"/>
      <w:numFmt w:val="bullet"/>
      <w:lvlText w:val="•"/>
      <w:lvlJc w:val="left"/>
      <w:pPr>
        <w:tabs>
          <w:tab w:val="num" w:pos="2160"/>
        </w:tabs>
        <w:ind w:left="2160" w:hanging="360"/>
      </w:pPr>
      <w:rPr>
        <w:rFonts w:ascii="Arial" w:hAnsi="Arial" w:hint="default"/>
      </w:rPr>
    </w:lvl>
    <w:lvl w:ilvl="3" w:tplc="479229E0" w:tentative="1">
      <w:start w:val="1"/>
      <w:numFmt w:val="bullet"/>
      <w:lvlText w:val="•"/>
      <w:lvlJc w:val="left"/>
      <w:pPr>
        <w:tabs>
          <w:tab w:val="num" w:pos="2880"/>
        </w:tabs>
        <w:ind w:left="2880" w:hanging="360"/>
      </w:pPr>
      <w:rPr>
        <w:rFonts w:ascii="Arial" w:hAnsi="Arial" w:hint="default"/>
      </w:rPr>
    </w:lvl>
    <w:lvl w:ilvl="4" w:tplc="D23E4B10" w:tentative="1">
      <w:start w:val="1"/>
      <w:numFmt w:val="bullet"/>
      <w:lvlText w:val="•"/>
      <w:lvlJc w:val="left"/>
      <w:pPr>
        <w:tabs>
          <w:tab w:val="num" w:pos="3600"/>
        </w:tabs>
        <w:ind w:left="3600" w:hanging="360"/>
      </w:pPr>
      <w:rPr>
        <w:rFonts w:ascii="Arial" w:hAnsi="Arial" w:hint="default"/>
      </w:rPr>
    </w:lvl>
    <w:lvl w:ilvl="5" w:tplc="1EFAB6E0" w:tentative="1">
      <w:start w:val="1"/>
      <w:numFmt w:val="bullet"/>
      <w:lvlText w:val="•"/>
      <w:lvlJc w:val="left"/>
      <w:pPr>
        <w:tabs>
          <w:tab w:val="num" w:pos="4320"/>
        </w:tabs>
        <w:ind w:left="4320" w:hanging="360"/>
      </w:pPr>
      <w:rPr>
        <w:rFonts w:ascii="Arial" w:hAnsi="Arial" w:hint="default"/>
      </w:rPr>
    </w:lvl>
    <w:lvl w:ilvl="6" w:tplc="49CED942" w:tentative="1">
      <w:start w:val="1"/>
      <w:numFmt w:val="bullet"/>
      <w:lvlText w:val="•"/>
      <w:lvlJc w:val="left"/>
      <w:pPr>
        <w:tabs>
          <w:tab w:val="num" w:pos="5040"/>
        </w:tabs>
        <w:ind w:left="5040" w:hanging="360"/>
      </w:pPr>
      <w:rPr>
        <w:rFonts w:ascii="Arial" w:hAnsi="Arial" w:hint="default"/>
      </w:rPr>
    </w:lvl>
    <w:lvl w:ilvl="7" w:tplc="420C3A2A" w:tentative="1">
      <w:start w:val="1"/>
      <w:numFmt w:val="bullet"/>
      <w:lvlText w:val="•"/>
      <w:lvlJc w:val="left"/>
      <w:pPr>
        <w:tabs>
          <w:tab w:val="num" w:pos="5760"/>
        </w:tabs>
        <w:ind w:left="5760" w:hanging="360"/>
      </w:pPr>
      <w:rPr>
        <w:rFonts w:ascii="Arial" w:hAnsi="Arial" w:hint="default"/>
      </w:rPr>
    </w:lvl>
    <w:lvl w:ilvl="8" w:tplc="E2567A5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D250F5D"/>
    <w:multiLevelType w:val="hybridMultilevel"/>
    <w:tmpl w:val="AAC01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131AA0"/>
    <w:multiLevelType w:val="hybridMultilevel"/>
    <w:tmpl w:val="1E7CEE26"/>
    <w:lvl w:ilvl="0" w:tplc="E8C68D2E">
      <w:start w:val="1"/>
      <w:numFmt w:val="bullet"/>
      <w:lvlText w:val="•"/>
      <w:lvlJc w:val="left"/>
      <w:pPr>
        <w:tabs>
          <w:tab w:val="num" w:pos="720"/>
        </w:tabs>
        <w:ind w:left="720" w:hanging="360"/>
      </w:pPr>
      <w:rPr>
        <w:rFonts w:ascii="Arial" w:hAnsi="Arial" w:hint="default"/>
      </w:rPr>
    </w:lvl>
    <w:lvl w:ilvl="1" w:tplc="B8C4A5BA" w:tentative="1">
      <w:start w:val="1"/>
      <w:numFmt w:val="bullet"/>
      <w:lvlText w:val="•"/>
      <w:lvlJc w:val="left"/>
      <w:pPr>
        <w:tabs>
          <w:tab w:val="num" w:pos="1440"/>
        </w:tabs>
        <w:ind w:left="1440" w:hanging="360"/>
      </w:pPr>
      <w:rPr>
        <w:rFonts w:ascii="Arial" w:hAnsi="Arial" w:hint="default"/>
      </w:rPr>
    </w:lvl>
    <w:lvl w:ilvl="2" w:tplc="7C345650" w:tentative="1">
      <w:start w:val="1"/>
      <w:numFmt w:val="bullet"/>
      <w:lvlText w:val="•"/>
      <w:lvlJc w:val="left"/>
      <w:pPr>
        <w:tabs>
          <w:tab w:val="num" w:pos="2160"/>
        </w:tabs>
        <w:ind w:left="2160" w:hanging="360"/>
      </w:pPr>
      <w:rPr>
        <w:rFonts w:ascii="Arial" w:hAnsi="Arial" w:hint="default"/>
      </w:rPr>
    </w:lvl>
    <w:lvl w:ilvl="3" w:tplc="8B3C2102" w:tentative="1">
      <w:start w:val="1"/>
      <w:numFmt w:val="bullet"/>
      <w:lvlText w:val="•"/>
      <w:lvlJc w:val="left"/>
      <w:pPr>
        <w:tabs>
          <w:tab w:val="num" w:pos="2880"/>
        </w:tabs>
        <w:ind w:left="2880" w:hanging="360"/>
      </w:pPr>
      <w:rPr>
        <w:rFonts w:ascii="Arial" w:hAnsi="Arial" w:hint="default"/>
      </w:rPr>
    </w:lvl>
    <w:lvl w:ilvl="4" w:tplc="A560E732" w:tentative="1">
      <w:start w:val="1"/>
      <w:numFmt w:val="bullet"/>
      <w:lvlText w:val="•"/>
      <w:lvlJc w:val="left"/>
      <w:pPr>
        <w:tabs>
          <w:tab w:val="num" w:pos="3600"/>
        </w:tabs>
        <w:ind w:left="3600" w:hanging="360"/>
      </w:pPr>
      <w:rPr>
        <w:rFonts w:ascii="Arial" w:hAnsi="Arial" w:hint="default"/>
      </w:rPr>
    </w:lvl>
    <w:lvl w:ilvl="5" w:tplc="F620CF8E" w:tentative="1">
      <w:start w:val="1"/>
      <w:numFmt w:val="bullet"/>
      <w:lvlText w:val="•"/>
      <w:lvlJc w:val="left"/>
      <w:pPr>
        <w:tabs>
          <w:tab w:val="num" w:pos="4320"/>
        </w:tabs>
        <w:ind w:left="4320" w:hanging="360"/>
      </w:pPr>
      <w:rPr>
        <w:rFonts w:ascii="Arial" w:hAnsi="Arial" w:hint="default"/>
      </w:rPr>
    </w:lvl>
    <w:lvl w:ilvl="6" w:tplc="FBFC7712" w:tentative="1">
      <w:start w:val="1"/>
      <w:numFmt w:val="bullet"/>
      <w:lvlText w:val="•"/>
      <w:lvlJc w:val="left"/>
      <w:pPr>
        <w:tabs>
          <w:tab w:val="num" w:pos="5040"/>
        </w:tabs>
        <w:ind w:left="5040" w:hanging="360"/>
      </w:pPr>
      <w:rPr>
        <w:rFonts w:ascii="Arial" w:hAnsi="Arial" w:hint="default"/>
      </w:rPr>
    </w:lvl>
    <w:lvl w:ilvl="7" w:tplc="802470D6" w:tentative="1">
      <w:start w:val="1"/>
      <w:numFmt w:val="bullet"/>
      <w:lvlText w:val="•"/>
      <w:lvlJc w:val="left"/>
      <w:pPr>
        <w:tabs>
          <w:tab w:val="num" w:pos="5760"/>
        </w:tabs>
        <w:ind w:left="5760" w:hanging="360"/>
      </w:pPr>
      <w:rPr>
        <w:rFonts w:ascii="Arial" w:hAnsi="Arial" w:hint="default"/>
      </w:rPr>
    </w:lvl>
    <w:lvl w:ilvl="8" w:tplc="3CFE551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DE21D19"/>
    <w:multiLevelType w:val="hybridMultilevel"/>
    <w:tmpl w:val="816A49FA"/>
    <w:lvl w:ilvl="0" w:tplc="B1D4C4C0">
      <w:start w:val="1"/>
      <w:numFmt w:val="decimal"/>
      <w:lvlText w:val="%1."/>
      <w:lvlJc w:val="left"/>
      <w:pPr>
        <w:ind w:left="1000" w:hanging="6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0B722F"/>
    <w:multiLevelType w:val="hybridMultilevel"/>
    <w:tmpl w:val="9560108A"/>
    <w:lvl w:ilvl="0" w:tplc="C608CD4C">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750585448">
    <w:abstractNumId w:val="6"/>
  </w:num>
  <w:num w:numId="2" w16cid:durableId="1418136139">
    <w:abstractNumId w:val="4"/>
  </w:num>
  <w:num w:numId="3" w16cid:durableId="599875664">
    <w:abstractNumId w:val="2"/>
  </w:num>
  <w:num w:numId="4" w16cid:durableId="1265721584">
    <w:abstractNumId w:val="7"/>
  </w:num>
  <w:num w:numId="5" w16cid:durableId="413666445">
    <w:abstractNumId w:val="8"/>
  </w:num>
  <w:num w:numId="6" w16cid:durableId="747263529">
    <w:abstractNumId w:val="1"/>
  </w:num>
  <w:num w:numId="7" w16cid:durableId="1603873089">
    <w:abstractNumId w:val="0"/>
  </w:num>
  <w:num w:numId="8" w16cid:durableId="1094209891">
    <w:abstractNumId w:val="3"/>
  </w:num>
  <w:num w:numId="9" w16cid:durableId="926318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oNotDisplayPageBoundaries/>
  <w:hideSpellingErrors/>
  <w:hideGrammaticalErrors/>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4E94"/>
    <w:rsid w:val="00002F2E"/>
    <w:rsid w:val="000068CC"/>
    <w:rsid w:val="000070EE"/>
    <w:rsid w:val="000104E2"/>
    <w:rsid w:val="00010F58"/>
    <w:rsid w:val="00011EE9"/>
    <w:rsid w:val="000150FE"/>
    <w:rsid w:val="00015310"/>
    <w:rsid w:val="00015450"/>
    <w:rsid w:val="000156B3"/>
    <w:rsid w:val="000204FA"/>
    <w:rsid w:val="00020AE3"/>
    <w:rsid w:val="00020E58"/>
    <w:rsid w:val="00025207"/>
    <w:rsid w:val="0002555F"/>
    <w:rsid w:val="00025AD0"/>
    <w:rsid w:val="000272EC"/>
    <w:rsid w:val="000304B2"/>
    <w:rsid w:val="00033D01"/>
    <w:rsid w:val="00036019"/>
    <w:rsid w:val="00036C8B"/>
    <w:rsid w:val="00037A95"/>
    <w:rsid w:val="00037B6A"/>
    <w:rsid w:val="00041729"/>
    <w:rsid w:val="000423E6"/>
    <w:rsid w:val="000440C8"/>
    <w:rsid w:val="00045BF9"/>
    <w:rsid w:val="00046991"/>
    <w:rsid w:val="00047D58"/>
    <w:rsid w:val="00050610"/>
    <w:rsid w:val="00052B5B"/>
    <w:rsid w:val="00053965"/>
    <w:rsid w:val="00053A27"/>
    <w:rsid w:val="00053BBA"/>
    <w:rsid w:val="00053FBC"/>
    <w:rsid w:val="00054906"/>
    <w:rsid w:val="000574BF"/>
    <w:rsid w:val="0006046D"/>
    <w:rsid w:val="00061792"/>
    <w:rsid w:val="00064E5A"/>
    <w:rsid w:val="000650AF"/>
    <w:rsid w:val="00067024"/>
    <w:rsid w:val="00067646"/>
    <w:rsid w:val="00072D01"/>
    <w:rsid w:val="00075171"/>
    <w:rsid w:val="0008224E"/>
    <w:rsid w:val="000828F2"/>
    <w:rsid w:val="000831DA"/>
    <w:rsid w:val="000857C5"/>
    <w:rsid w:val="0008611D"/>
    <w:rsid w:val="00090A6A"/>
    <w:rsid w:val="00090B11"/>
    <w:rsid w:val="00092E24"/>
    <w:rsid w:val="00096D2A"/>
    <w:rsid w:val="00097098"/>
    <w:rsid w:val="000A0A3B"/>
    <w:rsid w:val="000A6288"/>
    <w:rsid w:val="000A63ED"/>
    <w:rsid w:val="000A71A9"/>
    <w:rsid w:val="000A7979"/>
    <w:rsid w:val="000B275B"/>
    <w:rsid w:val="000B373A"/>
    <w:rsid w:val="000B62ED"/>
    <w:rsid w:val="000C04BD"/>
    <w:rsid w:val="000C05F2"/>
    <w:rsid w:val="000C0F07"/>
    <w:rsid w:val="000C19BA"/>
    <w:rsid w:val="000C22CF"/>
    <w:rsid w:val="000C3669"/>
    <w:rsid w:val="000C4F98"/>
    <w:rsid w:val="000C557C"/>
    <w:rsid w:val="000C62B0"/>
    <w:rsid w:val="000C6FC6"/>
    <w:rsid w:val="000D000A"/>
    <w:rsid w:val="000D0574"/>
    <w:rsid w:val="000D05C6"/>
    <w:rsid w:val="000D1621"/>
    <w:rsid w:val="000D23F5"/>
    <w:rsid w:val="000D2572"/>
    <w:rsid w:val="000D3CCE"/>
    <w:rsid w:val="000D5A4B"/>
    <w:rsid w:val="000D5D3A"/>
    <w:rsid w:val="000D67C3"/>
    <w:rsid w:val="000E029F"/>
    <w:rsid w:val="000E23D0"/>
    <w:rsid w:val="000E3D6A"/>
    <w:rsid w:val="000E4781"/>
    <w:rsid w:val="000E4CE4"/>
    <w:rsid w:val="000E508C"/>
    <w:rsid w:val="000E51F9"/>
    <w:rsid w:val="000E59FF"/>
    <w:rsid w:val="000E69EE"/>
    <w:rsid w:val="000F02BD"/>
    <w:rsid w:val="000F141A"/>
    <w:rsid w:val="000F2047"/>
    <w:rsid w:val="000F2D80"/>
    <w:rsid w:val="000F5557"/>
    <w:rsid w:val="000F564D"/>
    <w:rsid w:val="000F660E"/>
    <w:rsid w:val="000F6663"/>
    <w:rsid w:val="000F6C17"/>
    <w:rsid w:val="00102B77"/>
    <w:rsid w:val="00102C1C"/>
    <w:rsid w:val="001066AF"/>
    <w:rsid w:val="001121EB"/>
    <w:rsid w:val="00113895"/>
    <w:rsid w:val="00116BBB"/>
    <w:rsid w:val="00116F92"/>
    <w:rsid w:val="00121156"/>
    <w:rsid w:val="0012118F"/>
    <w:rsid w:val="0012176E"/>
    <w:rsid w:val="00122BD4"/>
    <w:rsid w:val="00124E74"/>
    <w:rsid w:val="00125326"/>
    <w:rsid w:val="001266C5"/>
    <w:rsid w:val="001301DC"/>
    <w:rsid w:val="001302CF"/>
    <w:rsid w:val="00131C59"/>
    <w:rsid w:val="001329A4"/>
    <w:rsid w:val="00132D09"/>
    <w:rsid w:val="0013506A"/>
    <w:rsid w:val="00135510"/>
    <w:rsid w:val="00135DFE"/>
    <w:rsid w:val="0013615A"/>
    <w:rsid w:val="00136E16"/>
    <w:rsid w:val="00142535"/>
    <w:rsid w:val="00143398"/>
    <w:rsid w:val="00143EC4"/>
    <w:rsid w:val="001441EF"/>
    <w:rsid w:val="001457AB"/>
    <w:rsid w:val="001459A3"/>
    <w:rsid w:val="001472F6"/>
    <w:rsid w:val="001501F8"/>
    <w:rsid w:val="001549FD"/>
    <w:rsid w:val="00155947"/>
    <w:rsid w:val="0016011A"/>
    <w:rsid w:val="0016025E"/>
    <w:rsid w:val="001602DF"/>
    <w:rsid w:val="00160C0D"/>
    <w:rsid w:val="00161104"/>
    <w:rsid w:val="00161A83"/>
    <w:rsid w:val="001620FF"/>
    <w:rsid w:val="001627FB"/>
    <w:rsid w:val="00163133"/>
    <w:rsid w:val="00165228"/>
    <w:rsid w:val="00165EB0"/>
    <w:rsid w:val="00170E4A"/>
    <w:rsid w:val="001711FB"/>
    <w:rsid w:val="00172CBD"/>
    <w:rsid w:val="0017551C"/>
    <w:rsid w:val="00176237"/>
    <w:rsid w:val="00177593"/>
    <w:rsid w:val="00180895"/>
    <w:rsid w:val="0018266A"/>
    <w:rsid w:val="0018310C"/>
    <w:rsid w:val="001833E1"/>
    <w:rsid w:val="00185CFE"/>
    <w:rsid w:val="00186A01"/>
    <w:rsid w:val="00187379"/>
    <w:rsid w:val="001903CA"/>
    <w:rsid w:val="001908AB"/>
    <w:rsid w:val="00191D86"/>
    <w:rsid w:val="001929E4"/>
    <w:rsid w:val="00192BE2"/>
    <w:rsid w:val="00193B13"/>
    <w:rsid w:val="0019439C"/>
    <w:rsid w:val="001946A4"/>
    <w:rsid w:val="001961AD"/>
    <w:rsid w:val="0019707D"/>
    <w:rsid w:val="001971B2"/>
    <w:rsid w:val="001A1B86"/>
    <w:rsid w:val="001A5008"/>
    <w:rsid w:val="001A5E67"/>
    <w:rsid w:val="001A6CB9"/>
    <w:rsid w:val="001B20B8"/>
    <w:rsid w:val="001B2A15"/>
    <w:rsid w:val="001B7F48"/>
    <w:rsid w:val="001C15CA"/>
    <w:rsid w:val="001C39A0"/>
    <w:rsid w:val="001C3AF8"/>
    <w:rsid w:val="001D04B9"/>
    <w:rsid w:val="001D467A"/>
    <w:rsid w:val="001D4A19"/>
    <w:rsid w:val="001D53CA"/>
    <w:rsid w:val="001D6281"/>
    <w:rsid w:val="001E1BFC"/>
    <w:rsid w:val="001E3AE1"/>
    <w:rsid w:val="001E6E72"/>
    <w:rsid w:val="001F2C24"/>
    <w:rsid w:val="001F366E"/>
    <w:rsid w:val="001F4E94"/>
    <w:rsid w:val="002040B8"/>
    <w:rsid w:val="002070AF"/>
    <w:rsid w:val="0021203D"/>
    <w:rsid w:val="002122C7"/>
    <w:rsid w:val="002133D7"/>
    <w:rsid w:val="0021773B"/>
    <w:rsid w:val="00223E7B"/>
    <w:rsid w:val="002245D0"/>
    <w:rsid w:val="00224A76"/>
    <w:rsid w:val="00224CC0"/>
    <w:rsid w:val="00225E9F"/>
    <w:rsid w:val="00226FBC"/>
    <w:rsid w:val="00227F1C"/>
    <w:rsid w:val="00230B90"/>
    <w:rsid w:val="00234565"/>
    <w:rsid w:val="00234962"/>
    <w:rsid w:val="00236BA6"/>
    <w:rsid w:val="00236FDC"/>
    <w:rsid w:val="0023795D"/>
    <w:rsid w:val="00237BBD"/>
    <w:rsid w:val="00241551"/>
    <w:rsid w:val="002460BD"/>
    <w:rsid w:val="002478F7"/>
    <w:rsid w:val="002518FA"/>
    <w:rsid w:val="00253C34"/>
    <w:rsid w:val="00255D1B"/>
    <w:rsid w:val="00256BCF"/>
    <w:rsid w:val="0026023F"/>
    <w:rsid w:val="0026287F"/>
    <w:rsid w:val="002629A7"/>
    <w:rsid w:val="002632F3"/>
    <w:rsid w:val="0026352B"/>
    <w:rsid w:val="0026682C"/>
    <w:rsid w:val="002679AB"/>
    <w:rsid w:val="002731D4"/>
    <w:rsid w:val="0028036D"/>
    <w:rsid w:val="00280D62"/>
    <w:rsid w:val="002819E0"/>
    <w:rsid w:val="002848F6"/>
    <w:rsid w:val="00285455"/>
    <w:rsid w:val="00287FDF"/>
    <w:rsid w:val="00290C9A"/>
    <w:rsid w:val="00291AEE"/>
    <w:rsid w:val="00291BE8"/>
    <w:rsid w:val="00291E20"/>
    <w:rsid w:val="00294659"/>
    <w:rsid w:val="00296B26"/>
    <w:rsid w:val="0029736B"/>
    <w:rsid w:val="002A3879"/>
    <w:rsid w:val="002A425D"/>
    <w:rsid w:val="002A5FB5"/>
    <w:rsid w:val="002A7C4A"/>
    <w:rsid w:val="002B1FC3"/>
    <w:rsid w:val="002B41FB"/>
    <w:rsid w:val="002B59B2"/>
    <w:rsid w:val="002B6DEF"/>
    <w:rsid w:val="002B7769"/>
    <w:rsid w:val="002C0FF4"/>
    <w:rsid w:val="002C310B"/>
    <w:rsid w:val="002C5A3E"/>
    <w:rsid w:val="002C727E"/>
    <w:rsid w:val="002C7523"/>
    <w:rsid w:val="002D007A"/>
    <w:rsid w:val="002D2FA8"/>
    <w:rsid w:val="002D5E93"/>
    <w:rsid w:val="002D6373"/>
    <w:rsid w:val="002E43D4"/>
    <w:rsid w:val="002E51F2"/>
    <w:rsid w:val="002E54C4"/>
    <w:rsid w:val="002E66F9"/>
    <w:rsid w:val="002E67A2"/>
    <w:rsid w:val="002E7746"/>
    <w:rsid w:val="002F0DA0"/>
    <w:rsid w:val="002F129E"/>
    <w:rsid w:val="002F1993"/>
    <w:rsid w:val="002F5857"/>
    <w:rsid w:val="002F6139"/>
    <w:rsid w:val="003003F0"/>
    <w:rsid w:val="00301345"/>
    <w:rsid w:val="0030283C"/>
    <w:rsid w:val="00306996"/>
    <w:rsid w:val="003078A1"/>
    <w:rsid w:val="00307B7E"/>
    <w:rsid w:val="0031077D"/>
    <w:rsid w:val="00310A56"/>
    <w:rsid w:val="00311274"/>
    <w:rsid w:val="0031176F"/>
    <w:rsid w:val="003140EA"/>
    <w:rsid w:val="003163B9"/>
    <w:rsid w:val="0031656E"/>
    <w:rsid w:val="0032131D"/>
    <w:rsid w:val="00322A80"/>
    <w:rsid w:val="00325B96"/>
    <w:rsid w:val="00326827"/>
    <w:rsid w:val="00326CF9"/>
    <w:rsid w:val="00330A78"/>
    <w:rsid w:val="00332CF5"/>
    <w:rsid w:val="00333A7E"/>
    <w:rsid w:val="0033430F"/>
    <w:rsid w:val="00334CD4"/>
    <w:rsid w:val="003418BD"/>
    <w:rsid w:val="00344EE2"/>
    <w:rsid w:val="00347262"/>
    <w:rsid w:val="003521BB"/>
    <w:rsid w:val="00353702"/>
    <w:rsid w:val="00353D56"/>
    <w:rsid w:val="003565DE"/>
    <w:rsid w:val="00357D8F"/>
    <w:rsid w:val="003621FC"/>
    <w:rsid w:val="00362D31"/>
    <w:rsid w:val="00364803"/>
    <w:rsid w:val="00364BBC"/>
    <w:rsid w:val="003678BA"/>
    <w:rsid w:val="00370D1B"/>
    <w:rsid w:val="00370EDE"/>
    <w:rsid w:val="00370FA0"/>
    <w:rsid w:val="0037112D"/>
    <w:rsid w:val="003713BF"/>
    <w:rsid w:val="003742AE"/>
    <w:rsid w:val="0038097D"/>
    <w:rsid w:val="00381C77"/>
    <w:rsid w:val="00381D6A"/>
    <w:rsid w:val="0038791A"/>
    <w:rsid w:val="00387A82"/>
    <w:rsid w:val="00392230"/>
    <w:rsid w:val="00392E79"/>
    <w:rsid w:val="00393EB1"/>
    <w:rsid w:val="0039423F"/>
    <w:rsid w:val="00395A6D"/>
    <w:rsid w:val="00395C1E"/>
    <w:rsid w:val="00397B79"/>
    <w:rsid w:val="003A14E0"/>
    <w:rsid w:val="003A1CC0"/>
    <w:rsid w:val="003A26B3"/>
    <w:rsid w:val="003A3566"/>
    <w:rsid w:val="003A3F6B"/>
    <w:rsid w:val="003A46CD"/>
    <w:rsid w:val="003A4F88"/>
    <w:rsid w:val="003A6214"/>
    <w:rsid w:val="003B3520"/>
    <w:rsid w:val="003B5C50"/>
    <w:rsid w:val="003B7375"/>
    <w:rsid w:val="003C06C4"/>
    <w:rsid w:val="003C5976"/>
    <w:rsid w:val="003C6A8A"/>
    <w:rsid w:val="003D1541"/>
    <w:rsid w:val="003D22FC"/>
    <w:rsid w:val="003D3518"/>
    <w:rsid w:val="003D7292"/>
    <w:rsid w:val="003D79EC"/>
    <w:rsid w:val="003E3BC6"/>
    <w:rsid w:val="003E3CBB"/>
    <w:rsid w:val="003E5BAA"/>
    <w:rsid w:val="003E67E2"/>
    <w:rsid w:val="003F174C"/>
    <w:rsid w:val="003F495F"/>
    <w:rsid w:val="003F5289"/>
    <w:rsid w:val="003F61C0"/>
    <w:rsid w:val="003F6CB3"/>
    <w:rsid w:val="0040120A"/>
    <w:rsid w:val="00403423"/>
    <w:rsid w:val="004037FD"/>
    <w:rsid w:val="00405A4E"/>
    <w:rsid w:val="00407A1E"/>
    <w:rsid w:val="00407A3F"/>
    <w:rsid w:val="00410370"/>
    <w:rsid w:val="0041663E"/>
    <w:rsid w:val="00416756"/>
    <w:rsid w:val="00421795"/>
    <w:rsid w:val="00425856"/>
    <w:rsid w:val="0042595E"/>
    <w:rsid w:val="004259A0"/>
    <w:rsid w:val="00425B73"/>
    <w:rsid w:val="00427281"/>
    <w:rsid w:val="00427CF6"/>
    <w:rsid w:val="004316A3"/>
    <w:rsid w:val="0043209A"/>
    <w:rsid w:val="00433806"/>
    <w:rsid w:val="00433D45"/>
    <w:rsid w:val="00434F3E"/>
    <w:rsid w:val="00440537"/>
    <w:rsid w:val="00446CEE"/>
    <w:rsid w:val="0045072D"/>
    <w:rsid w:val="00451328"/>
    <w:rsid w:val="0045325B"/>
    <w:rsid w:val="00454294"/>
    <w:rsid w:val="00457182"/>
    <w:rsid w:val="0046181E"/>
    <w:rsid w:val="00462B8A"/>
    <w:rsid w:val="00464A14"/>
    <w:rsid w:val="004651F3"/>
    <w:rsid w:val="004675DB"/>
    <w:rsid w:val="00472F40"/>
    <w:rsid w:val="00476CE1"/>
    <w:rsid w:val="00482AC4"/>
    <w:rsid w:val="00483A57"/>
    <w:rsid w:val="00483ADB"/>
    <w:rsid w:val="00483B14"/>
    <w:rsid w:val="004854A5"/>
    <w:rsid w:val="0048595F"/>
    <w:rsid w:val="00485CBF"/>
    <w:rsid w:val="004868E1"/>
    <w:rsid w:val="004878B9"/>
    <w:rsid w:val="00491896"/>
    <w:rsid w:val="004918D6"/>
    <w:rsid w:val="00492F18"/>
    <w:rsid w:val="00494A00"/>
    <w:rsid w:val="004952B4"/>
    <w:rsid w:val="00495D74"/>
    <w:rsid w:val="004972E5"/>
    <w:rsid w:val="00497761"/>
    <w:rsid w:val="004A0795"/>
    <w:rsid w:val="004A4D3A"/>
    <w:rsid w:val="004A5CA8"/>
    <w:rsid w:val="004A6351"/>
    <w:rsid w:val="004A6512"/>
    <w:rsid w:val="004A6B4B"/>
    <w:rsid w:val="004B168F"/>
    <w:rsid w:val="004B4447"/>
    <w:rsid w:val="004B48DC"/>
    <w:rsid w:val="004B533E"/>
    <w:rsid w:val="004B78EC"/>
    <w:rsid w:val="004C07E9"/>
    <w:rsid w:val="004C09D5"/>
    <w:rsid w:val="004C160B"/>
    <w:rsid w:val="004C1F51"/>
    <w:rsid w:val="004C7820"/>
    <w:rsid w:val="004D086C"/>
    <w:rsid w:val="004D1785"/>
    <w:rsid w:val="004D3BAF"/>
    <w:rsid w:val="004D4C94"/>
    <w:rsid w:val="004D4E33"/>
    <w:rsid w:val="004D6A8D"/>
    <w:rsid w:val="004D7D5F"/>
    <w:rsid w:val="004E5AAD"/>
    <w:rsid w:val="004F6F03"/>
    <w:rsid w:val="004F71DD"/>
    <w:rsid w:val="00501815"/>
    <w:rsid w:val="00502401"/>
    <w:rsid w:val="0050369A"/>
    <w:rsid w:val="00506092"/>
    <w:rsid w:val="00512E52"/>
    <w:rsid w:val="00513FF7"/>
    <w:rsid w:val="00515269"/>
    <w:rsid w:val="00516202"/>
    <w:rsid w:val="00516356"/>
    <w:rsid w:val="005234ED"/>
    <w:rsid w:val="00523E3F"/>
    <w:rsid w:val="005240A0"/>
    <w:rsid w:val="00525742"/>
    <w:rsid w:val="00525DC8"/>
    <w:rsid w:val="0052683A"/>
    <w:rsid w:val="005275DB"/>
    <w:rsid w:val="00532449"/>
    <w:rsid w:val="00532682"/>
    <w:rsid w:val="0053327C"/>
    <w:rsid w:val="00533AC7"/>
    <w:rsid w:val="00534453"/>
    <w:rsid w:val="005363CF"/>
    <w:rsid w:val="0054134B"/>
    <w:rsid w:val="00544805"/>
    <w:rsid w:val="00546337"/>
    <w:rsid w:val="005524AA"/>
    <w:rsid w:val="00552E87"/>
    <w:rsid w:val="00554341"/>
    <w:rsid w:val="00554D0C"/>
    <w:rsid w:val="0056108F"/>
    <w:rsid w:val="005630D0"/>
    <w:rsid w:val="00564ED3"/>
    <w:rsid w:val="005669DC"/>
    <w:rsid w:val="005701E2"/>
    <w:rsid w:val="00570A78"/>
    <w:rsid w:val="00571727"/>
    <w:rsid w:val="005743D0"/>
    <w:rsid w:val="005745EC"/>
    <w:rsid w:val="00575766"/>
    <w:rsid w:val="00577914"/>
    <w:rsid w:val="00580A25"/>
    <w:rsid w:val="00582090"/>
    <w:rsid w:val="00584427"/>
    <w:rsid w:val="0058527E"/>
    <w:rsid w:val="0058545B"/>
    <w:rsid w:val="00585CE5"/>
    <w:rsid w:val="00590B80"/>
    <w:rsid w:val="0059138B"/>
    <w:rsid w:val="0059315C"/>
    <w:rsid w:val="00593919"/>
    <w:rsid w:val="00594EB5"/>
    <w:rsid w:val="00595EEC"/>
    <w:rsid w:val="00597380"/>
    <w:rsid w:val="00597A84"/>
    <w:rsid w:val="005A29E9"/>
    <w:rsid w:val="005A67E0"/>
    <w:rsid w:val="005A770C"/>
    <w:rsid w:val="005A7D5A"/>
    <w:rsid w:val="005A7E8A"/>
    <w:rsid w:val="005B0566"/>
    <w:rsid w:val="005B2F00"/>
    <w:rsid w:val="005B3748"/>
    <w:rsid w:val="005B47DB"/>
    <w:rsid w:val="005B61BA"/>
    <w:rsid w:val="005B6F6A"/>
    <w:rsid w:val="005B7563"/>
    <w:rsid w:val="005B77D5"/>
    <w:rsid w:val="005C1C8A"/>
    <w:rsid w:val="005C281C"/>
    <w:rsid w:val="005C4DC4"/>
    <w:rsid w:val="005C52D8"/>
    <w:rsid w:val="005C673B"/>
    <w:rsid w:val="005C6A48"/>
    <w:rsid w:val="005D30CD"/>
    <w:rsid w:val="005D42E8"/>
    <w:rsid w:val="005D4729"/>
    <w:rsid w:val="005D4AAE"/>
    <w:rsid w:val="005D4D0C"/>
    <w:rsid w:val="005D6725"/>
    <w:rsid w:val="005D70D5"/>
    <w:rsid w:val="005D73C3"/>
    <w:rsid w:val="005E1C1B"/>
    <w:rsid w:val="005E534F"/>
    <w:rsid w:val="005E77B9"/>
    <w:rsid w:val="005F0962"/>
    <w:rsid w:val="005F127D"/>
    <w:rsid w:val="005F1929"/>
    <w:rsid w:val="005F2985"/>
    <w:rsid w:val="005F47EE"/>
    <w:rsid w:val="005F7FD0"/>
    <w:rsid w:val="00600BAA"/>
    <w:rsid w:val="0060124F"/>
    <w:rsid w:val="00601B04"/>
    <w:rsid w:val="00603434"/>
    <w:rsid w:val="006035A9"/>
    <w:rsid w:val="006045FC"/>
    <w:rsid w:val="00606874"/>
    <w:rsid w:val="006109C2"/>
    <w:rsid w:val="0061340E"/>
    <w:rsid w:val="0061543E"/>
    <w:rsid w:val="0061663E"/>
    <w:rsid w:val="00617B2A"/>
    <w:rsid w:val="00617E38"/>
    <w:rsid w:val="0062071F"/>
    <w:rsid w:val="00620F9B"/>
    <w:rsid w:val="00621884"/>
    <w:rsid w:val="0062285F"/>
    <w:rsid w:val="00624A16"/>
    <w:rsid w:val="00626435"/>
    <w:rsid w:val="006314B5"/>
    <w:rsid w:val="00631A84"/>
    <w:rsid w:val="0063240F"/>
    <w:rsid w:val="0063246B"/>
    <w:rsid w:val="00640860"/>
    <w:rsid w:val="0064106E"/>
    <w:rsid w:val="00642C28"/>
    <w:rsid w:val="006438BE"/>
    <w:rsid w:val="0064536F"/>
    <w:rsid w:val="006457DF"/>
    <w:rsid w:val="00645E18"/>
    <w:rsid w:val="0064654E"/>
    <w:rsid w:val="00650179"/>
    <w:rsid w:val="006525C9"/>
    <w:rsid w:val="00654129"/>
    <w:rsid w:val="006560BA"/>
    <w:rsid w:val="0065642B"/>
    <w:rsid w:val="00664024"/>
    <w:rsid w:val="00664636"/>
    <w:rsid w:val="00664D75"/>
    <w:rsid w:val="00665AA1"/>
    <w:rsid w:val="00670A51"/>
    <w:rsid w:val="00672AF8"/>
    <w:rsid w:val="006731B3"/>
    <w:rsid w:val="00673AE8"/>
    <w:rsid w:val="00675F6E"/>
    <w:rsid w:val="00677056"/>
    <w:rsid w:val="00677315"/>
    <w:rsid w:val="00677519"/>
    <w:rsid w:val="006776BB"/>
    <w:rsid w:val="00681179"/>
    <w:rsid w:val="00681D04"/>
    <w:rsid w:val="00682D72"/>
    <w:rsid w:val="00682E0E"/>
    <w:rsid w:val="006858CC"/>
    <w:rsid w:val="00686146"/>
    <w:rsid w:val="00686F0B"/>
    <w:rsid w:val="00694AE3"/>
    <w:rsid w:val="00697356"/>
    <w:rsid w:val="006A1B4F"/>
    <w:rsid w:val="006B105F"/>
    <w:rsid w:val="006B15F1"/>
    <w:rsid w:val="006B1E84"/>
    <w:rsid w:val="006B3260"/>
    <w:rsid w:val="006B42AB"/>
    <w:rsid w:val="006B4A83"/>
    <w:rsid w:val="006B5C45"/>
    <w:rsid w:val="006C0044"/>
    <w:rsid w:val="006C0D15"/>
    <w:rsid w:val="006C3058"/>
    <w:rsid w:val="006C3833"/>
    <w:rsid w:val="006C42C3"/>
    <w:rsid w:val="006C450A"/>
    <w:rsid w:val="006C55F4"/>
    <w:rsid w:val="006D2955"/>
    <w:rsid w:val="006D37B8"/>
    <w:rsid w:val="006D5FC1"/>
    <w:rsid w:val="006D609D"/>
    <w:rsid w:val="006D79BB"/>
    <w:rsid w:val="006E04D7"/>
    <w:rsid w:val="006E25A2"/>
    <w:rsid w:val="006E4CE3"/>
    <w:rsid w:val="006F10C6"/>
    <w:rsid w:val="006F3866"/>
    <w:rsid w:val="006F38EB"/>
    <w:rsid w:val="006F3E7C"/>
    <w:rsid w:val="006F4D88"/>
    <w:rsid w:val="006F7B01"/>
    <w:rsid w:val="00700816"/>
    <w:rsid w:val="00700ABF"/>
    <w:rsid w:val="007018D1"/>
    <w:rsid w:val="007019C1"/>
    <w:rsid w:val="00703774"/>
    <w:rsid w:val="00703E35"/>
    <w:rsid w:val="00704BFB"/>
    <w:rsid w:val="00707008"/>
    <w:rsid w:val="007108E6"/>
    <w:rsid w:val="0071283A"/>
    <w:rsid w:val="007140D4"/>
    <w:rsid w:val="00721407"/>
    <w:rsid w:val="007229EE"/>
    <w:rsid w:val="00724B16"/>
    <w:rsid w:val="00724ECA"/>
    <w:rsid w:val="007272A2"/>
    <w:rsid w:val="00727F43"/>
    <w:rsid w:val="00736AEC"/>
    <w:rsid w:val="00736C57"/>
    <w:rsid w:val="00737293"/>
    <w:rsid w:val="0074252A"/>
    <w:rsid w:val="007429B5"/>
    <w:rsid w:val="0074690A"/>
    <w:rsid w:val="00746923"/>
    <w:rsid w:val="00751060"/>
    <w:rsid w:val="00751F74"/>
    <w:rsid w:val="00752FEF"/>
    <w:rsid w:val="007568AA"/>
    <w:rsid w:val="00757EB5"/>
    <w:rsid w:val="00760AD3"/>
    <w:rsid w:val="00766393"/>
    <w:rsid w:val="00770983"/>
    <w:rsid w:val="00770B78"/>
    <w:rsid w:val="00771880"/>
    <w:rsid w:val="00773CA4"/>
    <w:rsid w:val="00775402"/>
    <w:rsid w:val="00776FC3"/>
    <w:rsid w:val="00784757"/>
    <w:rsid w:val="007851B0"/>
    <w:rsid w:val="00786735"/>
    <w:rsid w:val="00787A91"/>
    <w:rsid w:val="00787FC8"/>
    <w:rsid w:val="00793202"/>
    <w:rsid w:val="00795FF2"/>
    <w:rsid w:val="0079637C"/>
    <w:rsid w:val="007979B7"/>
    <w:rsid w:val="00797AAA"/>
    <w:rsid w:val="007A03DF"/>
    <w:rsid w:val="007A1E89"/>
    <w:rsid w:val="007A5548"/>
    <w:rsid w:val="007A66E1"/>
    <w:rsid w:val="007B0E1B"/>
    <w:rsid w:val="007B1862"/>
    <w:rsid w:val="007B51C2"/>
    <w:rsid w:val="007B5322"/>
    <w:rsid w:val="007B7794"/>
    <w:rsid w:val="007B7979"/>
    <w:rsid w:val="007C0CAD"/>
    <w:rsid w:val="007C1791"/>
    <w:rsid w:val="007C222A"/>
    <w:rsid w:val="007C4B80"/>
    <w:rsid w:val="007C4CA5"/>
    <w:rsid w:val="007C5003"/>
    <w:rsid w:val="007D2EA2"/>
    <w:rsid w:val="007D4500"/>
    <w:rsid w:val="007D5D0A"/>
    <w:rsid w:val="007D6912"/>
    <w:rsid w:val="007D700B"/>
    <w:rsid w:val="007E0C04"/>
    <w:rsid w:val="007E12C6"/>
    <w:rsid w:val="007E255B"/>
    <w:rsid w:val="007E2D7C"/>
    <w:rsid w:val="007E395E"/>
    <w:rsid w:val="007E3F74"/>
    <w:rsid w:val="007E44C5"/>
    <w:rsid w:val="007E503D"/>
    <w:rsid w:val="007E6F55"/>
    <w:rsid w:val="007F1D1B"/>
    <w:rsid w:val="007F47F6"/>
    <w:rsid w:val="007F4A80"/>
    <w:rsid w:val="007F4B5F"/>
    <w:rsid w:val="007F634F"/>
    <w:rsid w:val="00812F75"/>
    <w:rsid w:val="00815828"/>
    <w:rsid w:val="00816FCD"/>
    <w:rsid w:val="00820081"/>
    <w:rsid w:val="008218A5"/>
    <w:rsid w:val="00821BCC"/>
    <w:rsid w:val="008229C4"/>
    <w:rsid w:val="008238A0"/>
    <w:rsid w:val="008306B3"/>
    <w:rsid w:val="00830715"/>
    <w:rsid w:val="00831320"/>
    <w:rsid w:val="00831539"/>
    <w:rsid w:val="00833F7B"/>
    <w:rsid w:val="00834454"/>
    <w:rsid w:val="008345C3"/>
    <w:rsid w:val="00834A79"/>
    <w:rsid w:val="00840287"/>
    <w:rsid w:val="008405F5"/>
    <w:rsid w:val="00842383"/>
    <w:rsid w:val="00842D77"/>
    <w:rsid w:val="008455F4"/>
    <w:rsid w:val="00845751"/>
    <w:rsid w:val="0085130D"/>
    <w:rsid w:val="00853029"/>
    <w:rsid w:val="00853735"/>
    <w:rsid w:val="00855471"/>
    <w:rsid w:val="00855759"/>
    <w:rsid w:val="00855905"/>
    <w:rsid w:val="00856296"/>
    <w:rsid w:val="00861100"/>
    <w:rsid w:val="00861A6E"/>
    <w:rsid w:val="0086324E"/>
    <w:rsid w:val="008640A4"/>
    <w:rsid w:val="008676EE"/>
    <w:rsid w:val="008676FC"/>
    <w:rsid w:val="00867EF3"/>
    <w:rsid w:val="00871505"/>
    <w:rsid w:val="00872C45"/>
    <w:rsid w:val="00872D07"/>
    <w:rsid w:val="0087329F"/>
    <w:rsid w:val="008756A4"/>
    <w:rsid w:val="00876DAF"/>
    <w:rsid w:val="00877C0E"/>
    <w:rsid w:val="00877D25"/>
    <w:rsid w:val="00881B6D"/>
    <w:rsid w:val="00881D15"/>
    <w:rsid w:val="008901ED"/>
    <w:rsid w:val="00891EA7"/>
    <w:rsid w:val="0089337C"/>
    <w:rsid w:val="008934D0"/>
    <w:rsid w:val="00895A64"/>
    <w:rsid w:val="0089646F"/>
    <w:rsid w:val="00896A18"/>
    <w:rsid w:val="008A273C"/>
    <w:rsid w:val="008A29CB"/>
    <w:rsid w:val="008A3C0A"/>
    <w:rsid w:val="008A3F32"/>
    <w:rsid w:val="008A47E7"/>
    <w:rsid w:val="008A4D34"/>
    <w:rsid w:val="008A5B84"/>
    <w:rsid w:val="008A6DCF"/>
    <w:rsid w:val="008A7396"/>
    <w:rsid w:val="008A7B0D"/>
    <w:rsid w:val="008B0BD9"/>
    <w:rsid w:val="008B1BE4"/>
    <w:rsid w:val="008B2DEC"/>
    <w:rsid w:val="008B4868"/>
    <w:rsid w:val="008B6337"/>
    <w:rsid w:val="008C0F35"/>
    <w:rsid w:val="008C2819"/>
    <w:rsid w:val="008C346D"/>
    <w:rsid w:val="008C3F58"/>
    <w:rsid w:val="008C4050"/>
    <w:rsid w:val="008C4614"/>
    <w:rsid w:val="008C54BE"/>
    <w:rsid w:val="008C6067"/>
    <w:rsid w:val="008C6B91"/>
    <w:rsid w:val="008C70B5"/>
    <w:rsid w:val="008C7C57"/>
    <w:rsid w:val="008D372C"/>
    <w:rsid w:val="008D3F3E"/>
    <w:rsid w:val="008D618C"/>
    <w:rsid w:val="008D7208"/>
    <w:rsid w:val="008E04C6"/>
    <w:rsid w:val="008E227D"/>
    <w:rsid w:val="008E22B5"/>
    <w:rsid w:val="008E39FF"/>
    <w:rsid w:val="008E4F1C"/>
    <w:rsid w:val="008E68D6"/>
    <w:rsid w:val="008E766A"/>
    <w:rsid w:val="008F4AAA"/>
    <w:rsid w:val="00900797"/>
    <w:rsid w:val="0090173B"/>
    <w:rsid w:val="00903AC1"/>
    <w:rsid w:val="00903F02"/>
    <w:rsid w:val="00905FBF"/>
    <w:rsid w:val="0090754F"/>
    <w:rsid w:val="00913BD2"/>
    <w:rsid w:val="009153A5"/>
    <w:rsid w:val="009210CD"/>
    <w:rsid w:val="00923CF3"/>
    <w:rsid w:val="00925FF0"/>
    <w:rsid w:val="0092619C"/>
    <w:rsid w:val="00926E2B"/>
    <w:rsid w:val="00927EEB"/>
    <w:rsid w:val="009301CB"/>
    <w:rsid w:val="00931B1B"/>
    <w:rsid w:val="00933D07"/>
    <w:rsid w:val="00934EF2"/>
    <w:rsid w:val="0093516E"/>
    <w:rsid w:val="0093553C"/>
    <w:rsid w:val="00935834"/>
    <w:rsid w:val="00936A15"/>
    <w:rsid w:val="009377FB"/>
    <w:rsid w:val="00945FE2"/>
    <w:rsid w:val="00947C5F"/>
    <w:rsid w:val="00951347"/>
    <w:rsid w:val="00953019"/>
    <w:rsid w:val="0095360E"/>
    <w:rsid w:val="00956954"/>
    <w:rsid w:val="00956D7E"/>
    <w:rsid w:val="00960CF3"/>
    <w:rsid w:val="00962DCC"/>
    <w:rsid w:val="00962FF5"/>
    <w:rsid w:val="009633FE"/>
    <w:rsid w:val="009642E8"/>
    <w:rsid w:val="009648DE"/>
    <w:rsid w:val="00970276"/>
    <w:rsid w:val="009755E1"/>
    <w:rsid w:val="00980A1C"/>
    <w:rsid w:val="009818A7"/>
    <w:rsid w:val="009831BA"/>
    <w:rsid w:val="00985434"/>
    <w:rsid w:val="009856D4"/>
    <w:rsid w:val="009857C5"/>
    <w:rsid w:val="00985927"/>
    <w:rsid w:val="009864BE"/>
    <w:rsid w:val="00990221"/>
    <w:rsid w:val="00993BD6"/>
    <w:rsid w:val="00996E7B"/>
    <w:rsid w:val="00997324"/>
    <w:rsid w:val="009A0EAC"/>
    <w:rsid w:val="009A1957"/>
    <w:rsid w:val="009A3157"/>
    <w:rsid w:val="009A400D"/>
    <w:rsid w:val="009A6351"/>
    <w:rsid w:val="009A6C48"/>
    <w:rsid w:val="009B0A9B"/>
    <w:rsid w:val="009B1098"/>
    <w:rsid w:val="009B381A"/>
    <w:rsid w:val="009B405F"/>
    <w:rsid w:val="009B41C4"/>
    <w:rsid w:val="009B6535"/>
    <w:rsid w:val="009B65CB"/>
    <w:rsid w:val="009B7AE9"/>
    <w:rsid w:val="009C2424"/>
    <w:rsid w:val="009C2E5C"/>
    <w:rsid w:val="009C3C51"/>
    <w:rsid w:val="009C4727"/>
    <w:rsid w:val="009C49C0"/>
    <w:rsid w:val="009C5CBA"/>
    <w:rsid w:val="009D0A31"/>
    <w:rsid w:val="009D447D"/>
    <w:rsid w:val="009D46A9"/>
    <w:rsid w:val="009D5E59"/>
    <w:rsid w:val="009D7D02"/>
    <w:rsid w:val="009E0ABA"/>
    <w:rsid w:val="009E403F"/>
    <w:rsid w:val="009E4F00"/>
    <w:rsid w:val="009E6614"/>
    <w:rsid w:val="009F1122"/>
    <w:rsid w:val="009F12CD"/>
    <w:rsid w:val="009F325B"/>
    <w:rsid w:val="009F4374"/>
    <w:rsid w:val="009F574C"/>
    <w:rsid w:val="009F6FDA"/>
    <w:rsid w:val="009F7540"/>
    <w:rsid w:val="009F7EC5"/>
    <w:rsid w:val="00A00A65"/>
    <w:rsid w:val="00A00E11"/>
    <w:rsid w:val="00A03AD3"/>
    <w:rsid w:val="00A0466C"/>
    <w:rsid w:val="00A04E06"/>
    <w:rsid w:val="00A05B63"/>
    <w:rsid w:val="00A07315"/>
    <w:rsid w:val="00A07682"/>
    <w:rsid w:val="00A107D8"/>
    <w:rsid w:val="00A142AE"/>
    <w:rsid w:val="00A15AAF"/>
    <w:rsid w:val="00A20CB6"/>
    <w:rsid w:val="00A2130A"/>
    <w:rsid w:val="00A2256B"/>
    <w:rsid w:val="00A233D9"/>
    <w:rsid w:val="00A24FC7"/>
    <w:rsid w:val="00A26245"/>
    <w:rsid w:val="00A3623B"/>
    <w:rsid w:val="00A40C7E"/>
    <w:rsid w:val="00A42D34"/>
    <w:rsid w:val="00A43904"/>
    <w:rsid w:val="00A43BE0"/>
    <w:rsid w:val="00A448A5"/>
    <w:rsid w:val="00A457AE"/>
    <w:rsid w:val="00A47569"/>
    <w:rsid w:val="00A50135"/>
    <w:rsid w:val="00A54BFE"/>
    <w:rsid w:val="00A5603B"/>
    <w:rsid w:val="00A567EC"/>
    <w:rsid w:val="00A62788"/>
    <w:rsid w:val="00A62C50"/>
    <w:rsid w:val="00A63F87"/>
    <w:rsid w:val="00A64EF2"/>
    <w:rsid w:val="00A65E2B"/>
    <w:rsid w:val="00A669FC"/>
    <w:rsid w:val="00A67984"/>
    <w:rsid w:val="00A67D45"/>
    <w:rsid w:val="00A709E1"/>
    <w:rsid w:val="00A71070"/>
    <w:rsid w:val="00A71AD3"/>
    <w:rsid w:val="00A7678D"/>
    <w:rsid w:val="00A80261"/>
    <w:rsid w:val="00A80D3F"/>
    <w:rsid w:val="00A810A7"/>
    <w:rsid w:val="00A8236B"/>
    <w:rsid w:val="00A82702"/>
    <w:rsid w:val="00A82DB2"/>
    <w:rsid w:val="00A84877"/>
    <w:rsid w:val="00A85D18"/>
    <w:rsid w:val="00A866C9"/>
    <w:rsid w:val="00A878E3"/>
    <w:rsid w:val="00A90087"/>
    <w:rsid w:val="00A92725"/>
    <w:rsid w:val="00A97531"/>
    <w:rsid w:val="00AA1170"/>
    <w:rsid w:val="00AA600C"/>
    <w:rsid w:val="00AA6E56"/>
    <w:rsid w:val="00AB3082"/>
    <w:rsid w:val="00AB5F7D"/>
    <w:rsid w:val="00AB78A9"/>
    <w:rsid w:val="00AB7E2A"/>
    <w:rsid w:val="00AC192F"/>
    <w:rsid w:val="00AC23C2"/>
    <w:rsid w:val="00AC3242"/>
    <w:rsid w:val="00AD27F9"/>
    <w:rsid w:val="00AD4B2F"/>
    <w:rsid w:val="00AD6988"/>
    <w:rsid w:val="00AD7065"/>
    <w:rsid w:val="00AE0E81"/>
    <w:rsid w:val="00AE1560"/>
    <w:rsid w:val="00AE3083"/>
    <w:rsid w:val="00AE408E"/>
    <w:rsid w:val="00AE44F8"/>
    <w:rsid w:val="00AE56C6"/>
    <w:rsid w:val="00AE67F7"/>
    <w:rsid w:val="00AE76C0"/>
    <w:rsid w:val="00AF08C0"/>
    <w:rsid w:val="00AF110F"/>
    <w:rsid w:val="00AF141D"/>
    <w:rsid w:val="00AF67E7"/>
    <w:rsid w:val="00B00C77"/>
    <w:rsid w:val="00B01B7F"/>
    <w:rsid w:val="00B01E56"/>
    <w:rsid w:val="00B01F40"/>
    <w:rsid w:val="00B023C4"/>
    <w:rsid w:val="00B024EC"/>
    <w:rsid w:val="00B04A77"/>
    <w:rsid w:val="00B062D4"/>
    <w:rsid w:val="00B06922"/>
    <w:rsid w:val="00B07DC8"/>
    <w:rsid w:val="00B109B7"/>
    <w:rsid w:val="00B11EF8"/>
    <w:rsid w:val="00B120E7"/>
    <w:rsid w:val="00B1519B"/>
    <w:rsid w:val="00B2164A"/>
    <w:rsid w:val="00B244F9"/>
    <w:rsid w:val="00B2621F"/>
    <w:rsid w:val="00B267B0"/>
    <w:rsid w:val="00B302E6"/>
    <w:rsid w:val="00B305DB"/>
    <w:rsid w:val="00B31E35"/>
    <w:rsid w:val="00B332F3"/>
    <w:rsid w:val="00B343D6"/>
    <w:rsid w:val="00B34793"/>
    <w:rsid w:val="00B37625"/>
    <w:rsid w:val="00B405F4"/>
    <w:rsid w:val="00B40830"/>
    <w:rsid w:val="00B41991"/>
    <w:rsid w:val="00B42FA2"/>
    <w:rsid w:val="00B43F10"/>
    <w:rsid w:val="00B44492"/>
    <w:rsid w:val="00B4518C"/>
    <w:rsid w:val="00B45A32"/>
    <w:rsid w:val="00B50B6E"/>
    <w:rsid w:val="00B5267E"/>
    <w:rsid w:val="00B543DE"/>
    <w:rsid w:val="00B55736"/>
    <w:rsid w:val="00B568EC"/>
    <w:rsid w:val="00B56971"/>
    <w:rsid w:val="00B667D1"/>
    <w:rsid w:val="00B71BE8"/>
    <w:rsid w:val="00B7211D"/>
    <w:rsid w:val="00B74384"/>
    <w:rsid w:val="00B746C7"/>
    <w:rsid w:val="00B747BA"/>
    <w:rsid w:val="00B76163"/>
    <w:rsid w:val="00B7784B"/>
    <w:rsid w:val="00B77EAA"/>
    <w:rsid w:val="00B80055"/>
    <w:rsid w:val="00B80C2A"/>
    <w:rsid w:val="00B908E4"/>
    <w:rsid w:val="00B91A25"/>
    <w:rsid w:val="00B93BBB"/>
    <w:rsid w:val="00B96282"/>
    <w:rsid w:val="00BA0A89"/>
    <w:rsid w:val="00BA2E1E"/>
    <w:rsid w:val="00BA33E2"/>
    <w:rsid w:val="00BA40DB"/>
    <w:rsid w:val="00BA4BAA"/>
    <w:rsid w:val="00BA537B"/>
    <w:rsid w:val="00BA5EB0"/>
    <w:rsid w:val="00BA61B5"/>
    <w:rsid w:val="00BA6349"/>
    <w:rsid w:val="00BB2365"/>
    <w:rsid w:val="00BB57C4"/>
    <w:rsid w:val="00BB6195"/>
    <w:rsid w:val="00BB6942"/>
    <w:rsid w:val="00BC098D"/>
    <w:rsid w:val="00BC0D5F"/>
    <w:rsid w:val="00BC1BD3"/>
    <w:rsid w:val="00BC205D"/>
    <w:rsid w:val="00BC21CF"/>
    <w:rsid w:val="00BC30AA"/>
    <w:rsid w:val="00BC407E"/>
    <w:rsid w:val="00BC7592"/>
    <w:rsid w:val="00BD09A5"/>
    <w:rsid w:val="00BD0C40"/>
    <w:rsid w:val="00BD7248"/>
    <w:rsid w:val="00BE3AB6"/>
    <w:rsid w:val="00BE526B"/>
    <w:rsid w:val="00BE7202"/>
    <w:rsid w:val="00BF4655"/>
    <w:rsid w:val="00C06247"/>
    <w:rsid w:val="00C06941"/>
    <w:rsid w:val="00C11CAE"/>
    <w:rsid w:val="00C15205"/>
    <w:rsid w:val="00C157E4"/>
    <w:rsid w:val="00C157F4"/>
    <w:rsid w:val="00C15912"/>
    <w:rsid w:val="00C1666B"/>
    <w:rsid w:val="00C200D3"/>
    <w:rsid w:val="00C22410"/>
    <w:rsid w:val="00C243C1"/>
    <w:rsid w:val="00C260DC"/>
    <w:rsid w:val="00C2612A"/>
    <w:rsid w:val="00C315F6"/>
    <w:rsid w:val="00C3218C"/>
    <w:rsid w:val="00C34C28"/>
    <w:rsid w:val="00C35499"/>
    <w:rsid w:val="00C35DCA"/>
    <w:rsid w:val="00C36FAE"/>
    <w:rsid w:val="00C41534"/>
    <w:rsid w:val="00C42E92"/>
    <w:rsid w:val="00C462EA"/>
    <w:rsid w:val="00C50362"/>
    <w:rsid w:val="00C51BF5"/>
    <w:rsid w:val="00C55735"/>
    <w:rsid w:val="00C565D2"/>
    <w:rsid w:val="00C56B60"/>
    <w:rsid w:val="00C57847"/>
    <w:rsid w:val="00C612FA"/>
    <w:rsid w:val="00C61FDA"/>
    <w:rsid w:val="00C62775"/>
    <w:rsid w:val="00C62A4D"/>
    <w:rsid w:val="00C63021"/>
    <w:rsid w:val="00C63897"/>
    <w:rsid w:val="00C65127"/>
    <w:rsid w:val="00C72D12"/>
    <w:rsid w:val="00C73B63"/>
    <w:rsid w:val="00C756AE"/>
    <w:rsid w:val="00C81656"/>
    <w:rsid w:val="00C8373B"/>
    <w:rsid w:val="00C83B26"/>
    <w:rsid w:val="00C84335"/>
    <w:rsid w:val="00C92730"/>
    <w:rsid w:val="00C92D51"/>
    <w:rsid w:val="00C9408F"/>
    <w:rsid w:val="00C96CC3"/>
    <w:rsid w:val="00CA43E7"/>
    <w:rsid w:val="00CA72B6"/>
    <w:rsid w:val="00CA746C"/>
    <w:rsid w:val="00CA7B0D"/>
    <w:rsid w:val="00CB4AB5"/>
    <w:rsid w:val="00CB4DF6"/>
    <w:rsid w:val="00CB5E4A"/>
    <w:rsid w:val="00CB602E"/>
    <w:rsid w:val="00CB640F"/>
    <w:rsid w:val="00CB6CA8"/>
    <w:rsid w:val="00CB7F8C"/>
    <w:rsid w:val="00CC2593"/>
    <w:rsid w:val="00CC26BE"/>
    <w:rsid w:val="00CC4007"/>
    <w:rsid w:val="00CC6780"/>
    <w:rsid w:val="00CC736C"/>
    <w:rsid w:val="00CC7453"/>
    <w:rsid w:val="00CD0FDA"/>
    <w:rsid w:val="00CD4663"/>
    <w:rsid w:val="00CD4AFC"/>
    <w:rsid w:val="00CD60DC"/>
    <w:rsid w:val="00CD74E9"/>
    <w:rsid w:val="00CD7632"/>
    <w:rsid w:val="00CE1ADE"/>
    <w:rsid w:val="00CE5810"/>
    <w:rsid w:val="00CE61D2"/>
    <w:rsid w:val="00CE76FB"/>
    <w:rsid w:val="00CF06B2"/>
    <w:rsid w:val="00CF2C28"/>
    <w:rsid w:val="00CF35AA"/>
    <w:rsid w:val="00CF4C8B"/>
    <w:rsid w:val="00CF5378"/>
    <w:rsid w:val="00CF56C7"/>
    <w:rsid w:val="00CF75F6"/>
    <w:rsid w:val="00CF790E"/>
    <w:rsid w:val="00D030A5"/>
    <w:rsid w:val="00D03907"/>
    <w:rsid w:val="00D0460B"/>
    <w:rsid w:val="00D06BF3"/>
    <w:rsid w:val="00D1274D"/>
    <w:rsid w:val="00D12BF6"/>
    <w:rsid w:val="00D17C6B"/>
    <w:rsid w:val="00D21436"/>
    <w:rsid w:val="00D21CFB"/>
    <w:rsid w:val="00D22B9D"/>
    <w:rsid w:val="00D22E15"/>
    <w:rsid w:val="00D252E0"/>
    <w:rsid w:val="00D26C8F"/>
    <w:rsid w:val="00D26F3C"/>
    <w:rsid w:val="00D27EA0"/>
    <w:rsid w:val="00D30B59"/>
    <w:rsid w:val="00D33852"/>
    <w:rsid w:val="00D36121"/>
    <w:rsid w:val="00D36B4F"/>
    <w:rsid w:val="00D403B6"/>
    <w:rsid w:val="00D419CC"/>
    <w:rsid w:val="00D42BAB"/>
    <w:rsid w:val="00D436D5"/>
    <w:rsid w:val="00D45EB0"/>
    <w:rsid w:val="00D47A9A"/>
    <w:rsid w:val="00D5208A"/>
    <w:rsid w:val="00D54A53"/>
    <w:rsid w:val="00D551F6"/>
    <w:rsid w:val="00D55BDF"/>
    <w:rsid w:val="00D6014F"/>
    <w:rsid w:val="00D60187"/>
    <w:rsid w:val="00D61653"/>
    <w:rsid w:val="00D616E3"/>
    <w:rsid w:val="00D64CF9"/>
    <w:rsid w:val="00D669F5"/>
    <w:rsid w:val="00D729DF"/>
    <w:rsid w:val="00D7615A"/>
    <w:rsid w:val="00D76915"/>
    <w:rsid w:val="00D811FD"/>
    <w:rsid w:val="00D84949"/>
    <w:rsid w:val="00D84CE1"/>
    <w:rsid w:val="00D851A0"/>
    <w:rsid w:val="00D85863"/>
    <w:rsid w:val="00D86CBD"/>
    <w:rsid w:val="00D877ED"/>
    <w:rsid w:val="00D921F3"/>
    <w:rsid w:val="00D92557"/>
    <w:rsid w:val="00D92E4E"/>
    <w:rsid w:val="00D95BCB"/>
    <w:rsid w:val="00D96E1E"/>
    <w:rsid w:val="00D97366"/>
    <w:rsid w:val="00D9737A"/>
    <w:rsid w:val="00DA1072"/>
    <w:rsid w:val="00DA2774"/>
    <w:rsid w:val="00DA32D3"/>
    <w:rsid w:val="00DA3A61"/>
    <w:rsid w:val="00DA4153"/>
    <w:rsid w:val="00DA54DB"/>
    <w:rsid w:val="00DA6A91"/>
    <w:rsid w:val="00DB1A16"/>
    <w:rsid w:val="00DB334B"/>
    <w:rsid w:val="00DB3A1C"/>
    <w:rsid w:val="00DB4030"/>
    <w:rsid w:val="00DB672B"/>
    <w:rsid w:val="00DB6A1B"/>
    <w:rsid w:val="00DC01D9"/>
    <w:rsid w:val="00DC080B"/>
    <w:rsid w:val="00DC13AA"/>
    <w:rsid w:val="00DC32ED"/>
    <w:rsid w:val="00DD1657"/>
    <w:rsid w:val="00DD230D"/>
    <w:rsid w:val="00DD4708"/>
    <w:rsid w:val="00DD5978"/>
    <w:rsid w:val="00DD5A66"/>
    <w:rsid w:val="00DD6AE1"/>
    <w:rsid w:val="00DD7089"/>
    <w:rsid w:val="00DE06B4"/>
    <w:rsid w:val="00DE31CC"/>
    <w:rsid w:val="00DE3835"/>
    <w:rsid w:val="00DE40D8"/>
    <w:rsid w:val="00DE677F"/>
    <w:rsid w:val="00DE67F7"/>
    <w:rsid w:val="00DF1523"/>
    <w:rsid w:val="00DF4029"/>
    <w:rsid w:val="00DF5F73"/>
    <w:rsid w:val="00DF6330"/>
    <w:rsid w:val="00DF64C8"/>
    <w:rsid w:val="00DF7216"/>
    <w:rsid w:val="00DF76F4"/>
    <w:rsid w:val="00E02819"/>
    <w:rsid w:val="00E031A2"/>
    <w:rsid w:val="00E066CD"/>
    <w:rsid w:val="00E06BE2"/>
    <w:rsid w:val="00E119D7"/>
    <w:rsid w:val="00E11F57"/>
    <w:rsid w:val="00E12CAA"/>
    <w:rsid w:val="00E1436B"/>
    <w:rsid w:val="00E15D1F"/>
    <w:rsid w:val="00E20C35"/>
    <w:rsid w:val="00E22A6D"/>
    <w:rsid w:val="00E237C5"/>
    <w:rsid w:val="00E27711"/>
    <w:rsid w:val="00E32F47"/>
    <w:rsid w:val="00E33E54"/>
    <w:rsid w:val="00E340D0"/>
    <w:rsid w:val="00E3514E"/>
    <w:rsid w:val="00E35B4C"/>
    <w:rsid w:val="00E37301"/>
    <w:rsid w:val="00E4193C"/>
    <w:rsid w:val="00E41E2D"/>
    <w:rsid w:val="00E444FE"/>
    <w:rsid w:val="00E45E24"/>
    <w:rsid w:val="00E46167"/>
    <w:rsid w:val="00E469E4"/>
    <w:rsid w:val="00E5076C"/>
    <w:rsid w:val="00E510D6"/>
    <w:rsid w:val="00E529B6"/>
    <w:rsid w:val="00E54C4D"/>
    <w:rsid w:val="00E57B59"/>
    <w:rsid w:val="00E608B4"/>
    <w:rsid w:val="00E61EF6"/>
    <w:rsid w:val="00E63C22"/>
    <w:rsid w:val="00E654D6"/>
    <w:rsid w:val="00E659C4"/>
    <w:rsid w:val="00E66866"/>
    <w:rsid w:val="00E71CAC"/>
    <w:rsid w:val="00E73D99"/>
    <w:rsid w:val="00E75225"/>
    <w:rsid w:val="00E82FDF"/>
    <w:rsid w:val="00E845A3"/>
    <w:rsid w:val="00E848F9"/>
    <w:rsid w:val="00E85E3B"/>
    <w:rsid w:val="00E869FF"/>
    <w:rsid w:val="00E8743A"/>
    <w:rsid w:val="00E90DC1"/>
    <w:rsid w:val="00E92362"/>
    <w:rsid w:val="00E93F43"/>
    <w:rsid w:val="00E945EC"/>
    <w:rsid w:val="00E94673"/>
    <w:rsid w:val="00E95067"/>
    <w:rsid w:val="00E95D19"/>
    <w:rsid w:val="00E963AC"/>
    <w:rsid w:val="00E96DC5"/>
    <w:rsid w:val="00E973B5"/>
    <w:rsid w:val="00EA0E77"/>
    <w:rsid w:val="00EA1132"/>
    <w:rsid w:val="00EA1811"/>
    <w:rsid w:val="00EA3AF7"/>
    <w:rsid w:val="00EA4C74"/>
    <w:rsid w:val="00EA5943"/>
    <w:rsid w:val="00EB36FB"/>
    <w:rsid w:val="00EB3A0B"/>
    <w:rsid w:val="00EB6F36"/>
    <w:rsid w:val="00EB7D66"/>
    <w:rsid w:val="00EB7D67"/>
    <w:rsid w:val="00EC1393"/>
    <w:rsid w:val="00EC1D0C"/>
    <w:rsid w:val="00EC2A30"/>
    <w:rsid w:val="00EC542C"/>
    <w:rsid w:val="00EC6091"/>
    <w:rsid w:val="00ED1218"/>
    <w:rsid w:val="00ED1A47"/>
    <w:rsid w:val="00ED20C1"/>
    <w:rsid w:val="00ED5AFD"/>
    <w:rsid w:val="00ED5F37"/>
    <w:rsid w:val="00EE0B44"/>
    <w:rsid w:val="00EE0F0F"/>
    <w:rsid w:val="00EE4ED3"/>
    <w:rsid w:val="00EE5006"/>
    <w:rsid w:val="00EE73FE"/>
    <w:rsid w:val="00EF1C3C"/>
    <w:rsid w:val="00EF1CD1"/>
    <w:rsid w:val="00EF3188"/>
    <w:rsid w:val="00EF4E87"/>
    <w:rsid w:val="00EF5078"/>
    <w:rsid w:val="00EF56AC"/>
    <w:rsid w:val="00EF69D8"/>
    <w:rsid w:val="00F00304"/>
    <w:rsid w:val="00F00A09"/>
    <w:rsid w:val="00F00B8E"/>
    <w:rsid w:val="00F01AF4"/>
    <w:rsid w:val="00F0446F"/>
    <w:rsid w:val="00F070B6"/>
    <w:rsid w:val="00F073D6"/>
    <w:rsid w:val="00F07F56"/>
    <w:rsid w:val="00F10E8B"/>
    <w:rsid w:val="00F13D02"/>
    <w:rsid w:val="00F1409A"/>
    <w:rsid w:val="00F16AB4"/>
    <w:rsid w:val="00F20065"/>
    <w:rsid w:val="00F2414B"/>
    <w:rsid w:val="00F24B08"/>
    <w:rsid w:val="00F26B77"/>
    <w:rsid w:val="00F27573"/>
    <w:rsid w:val="00F311B5"/>
    <w:rsid w:val="00F3314C"/>
    <w:rsid w:val="00F333F6"/>
    <w:rsid w:val="00F36010"/>
    <w:rsid w:val="00F41EB2"/>
    <w:rsid w:val="00F43C9E"/>
    <w:rsid w:val="00F446E4"/>
    <w:rsid w:val="00F465F5"/>
    <w:rsid w:val="00F47106"/>
    <w:rsid w:val="00F5389B"/>
    <w:rsid w:val="00F53A8D"/>
    <w:rsid w:val="00F56428"/>
    <w:rsid w:val="00F5722B"/>
    <w:rsid w:val="00F60428"/>
    <w:rsid w:val="00F61FB9"/>
    <w:rsid w:val="00F63D16"/>
    <w:rsid w:val="00F64191"/>
    <w:rsid w:val="00F65775"/>
    <w:rsid w:val="00F716A3"/>
    <w:rsid w:val="00F73E9F"/>
    <w:rsid w:val="00F824B9"/>
    <w:rsid w:val="00F8370B"/>
    <w:rsid w:val="00F84CD9"/>
    <w:rsid w:val="00F85EE4"/>
    <w:rsid w:val="00F86D53"/>
    <w:rsid w:val="00F97392"/>
    <w:rsid w:val="00FA277C"/>
    <w:rsid w:val="00FA323E"/>
    <w:rsid w:val="00FA6304"/>
    <w:rsid w:val="00FB0216"/>
    <w:rsid w:val="00FB0868"/>
    <w:rsid w:val="00FB086B"/>
    <w:rsid w:val="00FB38DD"/>
    <w:rsid w:val="00FB52BD"/>
    <w:rsid w:val="00FB530D"/>
    <w:rsid w:val="00FB63CC"/>
    <w:rsid w:val="00FB6CD7"/>
    <w:rsid w:val="00FB6FF0"/>
    <w:rsid w:val="00FC018F"/>
    <w:rsid w:val="00FC0878"/>
    <w:rsid w:val="00FC6C88"/>
    <w:rsid w:val="00FC7E05"/>
    <w:rsid w:val="00FD03E1"/>
    <w:rsid w:val="00FD2D52"/>
    <w:rsid w:val="00FD3240"/>
    <w:rsid w:val="00FD5831"/>
    <w:rsid w:val="00FD7109"/>
    <w:rsid w:val="00FD7B5D"/>
    <w:rsid w:val="00FE3E9A"/>
    <w:rsid w:val="00FE4C73"/>
    <w:rsid w:val="00FE4F14"/>
    <w:rsid w:val="00FE5BDF"/>
    <w:rsid w:val="00FF0F27"/>
    <w:rsid w:val="00FF19A0"/>
    <w:rsid w:val="00FF4D0A"/>
    <w:rsid w:val="00FF6727"/>
    <w:rsid w:val="00FF6A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5DC387C"/>
  <w14:defaultImageDpi w14:val="300"/>
  <w15:docId w15:val="{74007F44-B125-2D4B-8A96-25E821AE6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Link" w:semiHidden="1" w:unhideWhenUsed="1"/>
  </w:latentStyles>
  <w:style w:type="paragraph" w:default="1" w:styleId="Normal">
    <w:name w:val="Normal"/>
    <w:qFormat/>
    <w:rsid w:val="00704BFB"/>
    <w:rPr>
      <w:rFonts w:ascii="Times New Roman" w:eastAsia="Times New Roman" w:hAnsi="Times New Roman" w:cs="Times New Roman"/>
      <w:lang w:val="en-GB" w:eastAsia="en-GB"/>
    </w:rPr>
  </w:style>
  <w:style w:type="paragraph" w:styleId="Heading1">
    <w:name w:val="heading 1"/>
    <w:basedOn w:val="Normal"/>
    <w:next w:val="Normal"/>
    <w:link w:val="Heading1Char"/>
    <w:uiPriority w:val="9"/>
    <w:qFormat/>
    <w:rsid w:val="00E95D19"/>
    <w:pPr>
      <w:keepNext/>
      <w:keepLines/>
      <w:spacing w:before="240" w:line="480" w:lineRule="auto"/>
      <w:outlineLvl w:val="0"/>
    </w:pPr>
    <w:rPr>
      <w:rFonts w:ascii="Calibri" w:eastAsiaTheme="majorEastAsia" w:hAnsi="Calibri" w:cs="Calibri"/>
      <w:b/>
      <w:bCs/>
      <w:sz w:val="28"/>
      <w:szCs w:val="28"/>
      <w:lang w:val="en-US"/>
    </w:rPr>
  </w:style>
  <w:style w:type="paragraph" w:styleId="Heading2">
    <w:name w:val="heading 2"/>
    <w:basedOn w:val="Normal"/>
    <w:next w:val="Normal"/>
    <w:link w:val="Heading2Char"/>
    <w:uiPriority w:val="9"/>
    <w:unhideWhenUsed/>
    <w:qFormat/>
    <w:rsid w:val="00FF19A0"/>
    <w:pPr>
      <w:keepNext/>
      <w:keepLines/>
      <w:spacing w:before="40" w:line="480" w:lineRule="auto"/>
      <w:outlineLvl w:val="1"/>
    </w:pPr>
    <w:rPr>
      <w:rFonts w:ascii="Calibri" w:eastAsiaTheme="majorEastAsia" w:hAnsi="Calibri" w:cs="Calibri"/>
      <w:i/>
      <w:iCs/>
      <w:color w:val="000000" w:themeColor="text1"/>
      <w:sz w:val="26"/>
      <w:szCs w:val="26"/>
      <w:lang w:val="en-US"/>
    </w:rPr>
  </w:style>
  <w:style w:type="paragraph" w:styleId="Heading4">
    <w:name w:val="heading 4"/>
    <w:basedOn w:val="Normal"/>
    <w:next w:val="Normal"/>
    <w:link w:val="Heading4Char"/>
    <w:uiPriority w:val="9"/>
    <w:semiHidden/>
    <w:unhideWhenUsed/>
    <w:qFormat/>
    <w:rsid w:val="00670A5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1037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10370"/>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A63ED"/>
    <w:rPr>
      <w:sz w:val="18"/>
      <w:szCs w:val="18"/>
    </w:rPr>
  </w:style>
  <w:style w:type="paragraph" w:styleId="CommentText">
    <w:name w:val="annotation text"/>
    <w:basedOn w:val="Normal"/>
    <w:link w:val="CommentTextChar"/>
    <w:uiPriority w:val="99"/>
    <w:semiHidden/>
    <w:unhideWhenUsed/>
    <w:rsid w:val="000A63ED"/>
    <w:rPr>
      <w:rFonts w:asciiTheme="minorHAnsi" w:eastAsiaTheme="minorEastAsia" w:hAnsiTheme="minorHAnsi" w:cstheme="minorBidi"/>
      <w:lang w:eastAsia="ru-RU"/>
    </w:rPr>
  </w:style>
  <w:style w:type="character" w:customStyle="1" w:styleId="CommentTextChar">
    <w:name w:val="Comment Text Char"/>
    <w:basedOn w:val="DefaultParagraphFont"/>
    <w:link w:val="CommentText"/>
    <w:uiPriority w:val="99"/>
    <w:semiHidden/>
    <w:rsid w:val="000A63ED"/>
    <w:rPr>
      <w:lang w:val="en-GB"/>
    </w:rPr>
  </w:style>
  <w:style w:type="paragraph" w:styleId="CommentSubject">
    <w:name w:val="annotation subject"/>
    <w:basedOn w:val="CommentText"/>
    <w:next w:val="CommentText"/>
    <w:link w:val="CommentSubjectChar"/>
    <w:uiPriority w:val="99"/>
    <w:semiHidden/>
    <w:unhideWhenUsed/>
    <w:rsid w:val="000A63ED"/>
    <w:rPr>
      <w:b/>
      <w:bCs/>
      <w:sz w:val="20"/>
      <w:szCs w:val="20"/>
    </w:rPr>
  </w:style>
  <w:style w:type="character" w:customStyle="1" w:styleId="CommentSubjectChar">
    <w:name w:val="Comment Subject Char"/>
    <w:basedOn w:val="CommentTextChar"/>
    <w:link w:val="CommentSubject"/>
    <w:uiPriority w:val="99"/>
    <w:semiHidden/>
    <w:rsid w:val="000A63ED"/>
    <w:rPr>
      <w:b/>
      <w:bCs/>
      <w:sz w:val="20"/>
      <w:szCs w:val="20"/>
      <w:lang w:val="en-GB"/>
    </w:rPr>
  </w:style>
  <w:style w:type="paragraph" w:styleId="BalloonText">
    <w:name w:val="Balloon Text"/>
    <w:basedOn w:val="Normal"/>
    <w:link w:val="BalloonTextChar"/>
    <w:uiPriority w:val="99"/>
    <w:semiHidden/>
    <w:unhideWhenUsed/>
    <w:rsid w:val="000A63ED"/>
    <w:rPr>
      <w:rFonts w:ascii="Lucida Grande" w:hAnsi="Lucida Grande" w:cs="Lucida Grande"/>
      <w:sz w:val="18"/>
      <w:szCs w:val="18"/>
      <w:lang w:eastAsia="en-US"/>
    </w:rPr>
  </w:style>
  <w:style w:type="character" w:customStyle="1" w:styleId="BalloonTextChar">
    <w:name w:val="Balloon Text Char"/>
    <w:basedOn w:val="DefaultParagraphFont"/>
    <w:link w:val="BalloonText"/>
    <w:uiPriority w:val="99"/>
    <w:semiHidden/>
    <w:rsid w:val="000A63ED"/>
    <w:rPr>
      <w:rFonts w:ascii="Lucida Grande" w:hAnsi="Lucida Grande" w:cs="Lucida Grande"/>
      <w:sz w:val="18"/>
      <w:szCs w:val="18"/>
      <w:lang w:val="en-GB"/>
    </w:rPr>
  </w:style>
  <w:style w:type="paragraph" w:styleId="ListParagraph">
    <w:name w:val="List Paragraph"/>
    <w:basedOn w:val="Normal"/>
    <w:uiPriority w:val="34"/>
    <w:qFormat/>
    <w:rsid w:val="00B01B7F"/>
    <w:pPr>
      <w:ind w:left="720"/>
      <w:contextualSpacing/>
    </w:pPr>
    <w:rPr>
      <w:rFonts w:asciiTheme="minorHAnsi" w:eastAsiaTheme="minorEastAsia" w:hAnsiTheme="minorHAnsi" w:cstheme="minorBidi"/>
      <w:lang w:eastAsia="ru-RU"/>
    </w:rPr>
  </w:style>
  <w:style w:type="paragraph" w:styleId="Revision">
    <w:name w:val="Revision"/>
    <w:hidden/>
    <w:uiPriority w:val="99"/>
    <w:semiHidden/>
    <w:rsid w:val="001266C5"/>
    <w:rPr>
      <w:lang w:val="en-GB"/>
    </w:rPr>
  </w:style>
  <w:style w:type="table" w:styleId="TableGrid">
    <w:name w:val="Table Grid"/>
    <w:basedOn w:val="TableNormal"/>
    <w:uiPriority w:val="39"/>
    <w:rsid w:val="003D1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D1541"/>
    <w:pPr>
      <w:spacing w:before="100" w:beforeAutospacing="1" w:after="100" w:afterAutospacing="1"/>
    </w:pPr>
    <w:rPr>
      <w:rFonts w:ascii="Times" w:eastAsiaTheme="minorEastAsia" w:hAnsi="Times"/>
      <w:sz w:val="20"/>
      <w:szCs w:val="20"/>
      <w:lang w:val="en-US" w:eastAsia="ru-RU"/>
    </w:rPr>
  </w:style>
  <w:style w:type="paragraph" w:customStyle="1" w:styleId="Titolo1">
    <w:name w:val="Titolo1"/>
    <w:basedOn w:val="Normal"/>
    <w:rsid w:val="002B6DEF"/>
    <w:pPr>
      <w:spacing w:before="100" w:beforeAutospacing="1" w:after="100" w:afterAutospacing="1"/>
    </w:pPr>
    <w:rPr>
      <w:rFonts w:ascii="Times" w:eastAsiaTheme="minorEastAsia" w:hAnsi="Times" w:cstheme="minorBidi"/>
      <w:sz w:val="20"/>
      <w:szCs w:val="20"/>
      <w:lang w:val="it-IT" w:eastAsia="it-IT"/>
    </w:rPr>
  </w:style>
  <w:style w:type="character" w:styleId="Hyperlink">
    <w:name w:val="Hyperlink"/>
    <w:basedOn w:val="DefaultParagraphFont"/>
    <w:uiPriority w:val="99"/>
    <w:unhideWhenUsed/>
    <w:rsid w:val="002B6DEF"/>
    <w:rPr>
      <w:color w:val="0000FF"/>
      <w:u w:val="single"/>
    </w:rPr>
  </w:style>
  <w:style w:type="paragraph" w:customStyle="1" w:styleId="desc">
    <w:name w:val="desc"/>
    <w:basedOn w:val="Normal"/>
    <w:rsid w:val="002B6DEF"/>
    <w:pPr>
      <w:spacing w:before="100" w:beforeAutospacing="1" w:after="100" w:afterAutospacing="1"/>
    </w:pPr>
    <w:rPr>
      <w:rFonts w:ascii="Times" w:eastAsiaTheme="minorEastAsia" w:hAnsi="Times" w:cstheme="minorBidi"/>
      <w:sz w:val="20"/>
      <w:szCs w:val="20"/>
      <w:lang w:val="it-IT" w:eastAsia="it-IT"/>
    </w:rPr>
  </w:style>
  <w:style w:type="character" w:customStyle="1" w:styleId="apple-converted-space">
    <w:name w:val="apple-converted-space"/>
    <w:basedOn w:val="DefaultParagraphFont"/>
    <w:rsid w:val="002B6DEF"/>
  </w:style>
  <w:style w:type="paragraph" w:customStyle="1" w:styleId="details">
    <w:name w:val="details"/>
    <w:basedOn w:val="Normal"/>
    <w:rsid w:val="002B6DEF"/>
    <w:pPr>
      <w:spacing w:before="100" w:beforeAutospacing="1" w:after="100" w:afterAutospacing="1"/>
    </w:pPr>
    <w:rPr>
      <w:rFonts w:ascii="Times" w:eastAsiaTheme="minorEastAsia" w:hAnsi="Times" w:cstheme="minorBidi"/>
      <w:sz w:val="20"/>
      <w:szCs w:val="20"/>
      <w:lang w:val="it-IT" w:eastAsia="it-IT"/>
    </w:rPr>
  </w:style>
  <w:style w:type="character" w:customStyle="1" w:styleId="jrnl">
    <w:name w:val="jrnl"/>
    <w:basedOn w:val="DefaultParagraphFont"/>
    <w:rsid w:val="002B6DEF"/>
  </w:style>
  <w:style w:type="paragraph" w:styleId="Footer">
    <w:name w:val="footer"/>
    <w:basedOn w:val="Normal"/>
    <w:link w:val="FooterChar"/>
    <w:uiPriority w:val="99"/>
    <w:unhideWhenUsed/>
    <w:rsid w:val="00853029"/>
    <w:pPr>
      <w:tabs>
        <w:tab w:val="center" w:pos="4844"/>
        <w:tab w:val="right" w:pos="9689"/>
      </w:tabs>
    </w:pPr>
    <w:rPr>
      <w:rFonts w:asciiTheme="minorHAnsi" w:eastAsiaTheme="minorEastAsia" w:hAnsiTheme="minorHAnsi" w:cstheme="minorBidi"/>
      <w:lang w:eastAsia="ru-RU"/>
    </w:rPr>
  </w:style>
  <w:style w:type="character" w:customStyle="1" w:styleId="FooterChar">
    <w:name w:val="Footer Char"/>
    <w:basedOn w:val="DefaultParagraphFont"/>
    <w:link w:val="Footer"/>
    <w:uiPriority w:val="99"/>
    <w:rsid w:val="00853029"/>
    <w:rPr>
      <w:lang w:val="en-GB"/>
    </w:rPr>
  </w:style>
  <w:style w:type="character" w:styleId="PageNumber">
    <w:name w:val="page number"/>
    <w:basedOn w:val="DefaultParagraphFont"/>
    <w:uiPriority w:val="99"/>
    <w:semiHidden/>
    <w:unhideWhenUsed/>
    <w:rsid w:val="00853029"/>
  </w:style>
  <w:style w:type="paragraph" w:styleId="Header">
    <w:name w:val="header"/>
    <w:basedOn w:val="Normal"/>
    <w:link w:val="HeaderChar"/>
    <w:uiPriority w:val="99"/>
    <w:unhideWhenUsed/>
    <w:rsid w:val="00067646"/>
    <w:pPr>
      <w:tabs>
        <w:tab w:val="center" w:pos="4844"/>
        <w:tab w:val="right" w:pos="9689"/>
      </w:tabs>
    </w:pPr>
    <w:rPr>
      <w:rFonts w:asciiTheme="minorHAnsi" w:eastAsiaTheme="minorEastAsia" w:hAnsiTheme="minorHAnsi" w:cstheme="minorBidi"/>
      <w:lang w:eastAsia="ru-RU"/>
    </w:rPr>
  </w:style>
  <w:style w:type="character" w:customStyle="1" w:styleId="HeaderChar">
    <w:name w:val="Header Char"/>
    <w:basedOn w:val="DefaultParagraphFont"/>
    <w:link w:val="Header"/>
    <w:uiPriority w:val="99"/>
    <w:rsid w:val="00067646"/>
    <w:rPr>
      <w:lang w:val="en-GB"/>
    </w:rPr>
  </w:style>
  <w:style w:type="character" w:customStyle="1" w:styleId="highlight">
    <w:name w:val="highlight"/>
    <w:basedOn w:val="DefaultParagraphFont"/>
    <w:rsid w:val="007C4CA5"/>
  </w:style>
  <w:style w:type="character" w:styleId="SubtleEmphasis">
    <w:name w:val="Subtle Emphasis"/>
    <w:basedOn w:val="DefaultParagraphFont"/>
    <w:uiPriority w:val="19"/>
    <w:qFormat/>
    <w:rsid w:val="002040B8"/>
    <w:rPr>
      <w:i/>
      <w:iCs/>
      <w:color w:val="404040" w:themeColor="text1" w:themeTint="BF"/>
    </w:rPr>
  </w:style>
  <w:style w:type="character" w:customStyle="1" w:styleId="UnresolvedMention1">
    <w:name w:val="Unresolved Mention1"/>
    <w:basedOn w:val="DefaultParagraphFont"/>
    <w:uiPriority w:val="99"/>
    <w:rsid w:val="004259A0"/>
    <w:rPr>
      <w:color w:val="605E5C"/>
      <w:shd w:val="clear" w:color="auto" w:fill="E1DFDD"/>
    </w:rPr>
  </w:style>
  <w:style w:type="character" w:customStyle="1" w:styleId="Heading1Char">
    <w:name w:val="Heading 1 Char"/>
    <w:basedOn w:val="DefaultParagraphFont"/>
    <w:link w:val="Heading1"/>
    <w:uiPriority w:val="9"/>
    <w:rsid w:val="00E95D19"/>
    <w:rPr>
      <w:rFonts w:ascii="Calibri" w:eastAsiaTheme="majorEastAsia" w:hAnsi="Calibri" w:cs="Calibri"/>
      <w:b/>
      <w:bCs/>
      <w:sz w:val="28"/>
      <w:szCs w:val="28"/>
      <w:lang w:eastAsia="en-GB"/>
    </w:rPr>
  </w:style>
  <w:style w:type="character" w:customStyle="1" w:styleId="Heading4Char">
    <w:name w:val="Heading 4 Char"/>
    <w:basedOn w:val="DefaultParagraphFont"/>
    <w:link w:val="Heading4"/>
    <w:uiPriority w:val="9"/>
    <w:semiHidden/>
    <w:rsid w:val="00670A51"/>
    <w:rPr>
      <w:rFonts w:asciiTheme="majorHAnsi" w:eastAsiaTheme="majorEastAsia" w:hAnsiTheme="majorHAnsi" w:cstheme="majorBidi"/>
      <w:i/>
      <w:iCs/>
      <w:color w:val="365F91" w:themeColor="accent1" w:themeShade="BF"/>
      <w:lang w:val="en-GB" w:eastAsia="en-GB"/>
    </w:rPr>
  </w:style>
  <w:style w:type="paragraph" w:styleId="BodyText">
    <w:name w:val="Body Text"/>
    <w:basedOn w:val="Normal"/>
    <w:link w:val="BodyTextChar"/>
    <w:qFormat/>
    <w:rsid w:val="00670A51"/>
    <w:pPr>
      <w:spacing w:before="120" w:after="120" w:line="480" w:lineRule="auto"/>
    </w:pPr>
    <w:rPr>
      <w:rFonts w:eastAsiaTheme="minorHAnsi"/>
      <w:lang w:val="en-US" w:eastAsia="en-US"/>
    </w:rPr>
  </w:style>
  <w:style w:type="character" w:customStyle="1" w:styleId="BodyTextChar">
    <w:name w:val="Body Text Char"/>
    <w:basedOn w:val="DefaultParagraphFont"/>
    <w:link w:val="BodyText"/>
    <w:rsid w:val="00670A51"/>
    <w:rPr>
      <w:rFonts w:ascii="Times New Roman" w:eastAsiaTheme="minorHAnsi" w:hAnsi="Times New Roman" w:cs="Times New Roman"/>
      <w:lang w:eastAsia="en-US"/>
    </w:rPr>
  </w:style>
  <w:style w:type="paragraph" w:customStyle="1" w:styleId="FirstParagraph">
    <w:name w:val="First Paragraph"/>
    <w:basedOn w:val="BodyText"/>
    <w:next w:val="BodyText"/>
    <w:qFormat/>
    <w:rsid w:val="00670A51"/>
  </w:style>
  <w:style w:type="paragraph" w:styleId="Title">
    <w:name w:val="Title"/>
    <w:basedOn w:val="Normal"/>
    <w:next w:val="Normal"/>
    <w:link w:val="TitleChar"/>
    <w:uiPriority w:val="10"/>
    <w:qFormat/>
    <w:rsid w:val="007E6F5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6F55"/>
    <w:rPr>
      <w:rFonts w:asciiTheme="majorHAnsi" w:eastAsiaTheme="majorEastAsia" w:hAnsiTheme="majorHAnsi" w:cstheme="majorBidi"/>
      <w:spacing w:val="-10"/>
      <w:kern w:val="28"/>
      <w:sz w:val="56"/>
      <w:szCs w:val="56"/>
      <w:lang w:val="en-GB" w:eastAsia="en-GB"/>
    </w:rPr>
  </w:style>
  <w:style w:type="character" w:customStyle="1" w:styleId="Heading2Char">
    <w:name w:val="Heading 2 Char"/>
    <w:basedOn w:val="DefaultParagraphFont"/>
    <w:link w:val="Heading2"/>
    <w:uiPriority w:val="9"/>
    <w:rsid w:val="00FF19A0"/>
    <w:rPr>
      <w:rFonts w:ascii="Calibri" w:eastAsiaTheme="majorEastAsia" w:hAnsi="Calibri" w:cs="Calibri"/>
      <w:i/>
      <w:iCs/>
      <w:color w:val="000000" w:themeColor="text1"/>
      <w:sz w:val="26"/>
      <w:szCs w:val="26"/>
      <w:lang w:eastAsia="en-GB"/>
    </w:rPr>
  </w:style>
  <w:style w:type="character" w:customStyle="1" w:styleId="Heading6Char">
    <w:name w:val="Heading 6 Char"/>
    <w:basedOn w:val="DefaultParagraphFont"/>
    <w:link w:val="Heading6"/>
    <w:uiPriority w:val="9"/>
    <w:semiHidden/>
    <w:rsid w:val="00410370"/>
    <w:rPr>
      <w:rFonts w:asciiTheme="majorHAnsi" w:eastAsiaTheme="majorEastAsia" w:hAnsiTheme="majorHAnsi" w:cstheme="majorBidi"/>
      <w:color w:val="243F60" w:themeColor="accent1" w:themeShade="7F"/>
      <w:lang w:val="en-GB" w:eastAsia="en-GB"/>
    </w:rPr>
  </w:style>
  <w:style w:type="character" w:customStyle="1" w:styleId="Heading5Char">
    <w:name w:val="Heading 5 Char"/>
    <w:basedOn w:val="DefaultParagraphFont"/>
    <w:link w:val="Heading5"/>
    <w:uiPriority w:val="9"/>
    <w:semiHidden/>
    <w:rsid w:val="00410370"/>
    <w:rPr>
      <w:rFonts w:asciiTheme="majorHAnsi" w:eastAsiaTheme="majorEastAsia" w:hAnsiTheme="majorHAnsi" w:cstheme="majorBidi"/>
      <w:color w:val="365F91" w:themeColor="accent1" w:themeShade="BF"/>
      <w:lang w:val="en-GB" w:eastAsia="en-GB"/>
    </w:rPr>
  </w:style>
  <w:style w:type="character" w:customStyle="1" w:styleId="s9">
    <w:name w:val="s9"/>
    <w:basedOn w:val="DefaultParagraphFont"/>
    <w:rsid w:val="00410370"/>
  </w:style>
  <w:style w:type="paragraph" w:customStyle="1" w:styleId="Titlepageabstracttext">
    <w:name w:val="Title page &amp; abstract text"/>
    <w:basedOn w:val="Normal"/>
    <w:qFormat/>
    <w:rsid w:val="00410370"/>
    <w:pPr>
      <w:spacing w:before="120" w:after="120"/>
    </w:pPr>
    <w:rPr>
      <w:rFonts w:eastAsiaTheme="minorHAnsi" w:cs="Arial"/>
      <w:szCs w:val="22"/>
      <w:lang w:eastAsia="en-US"/>
    </w:rPr>
  </w:style>
  <w:style w:type="paragraph" w:customStyle="1" w:styleId="Titlepageabstractsubheadings">
    <w:name w:val="Title page &amp; abstract subheadings"/>
    <w:basedOn w:val="Titlepageabstracttext"/>
    <w:qFormat/>
    <w:rsid w:val="00410370"/>
    <w:rPr>
      <w:b/>
      <w:bCs/>
    </w:rPr>
  </w:style>
  <w:style w:type="paragraph" w:styleId="NoSpacing">
    <w:name w:val="No Spacing"/>
    <w:uiPriority w:val="1"/>
    <w:qFormat/>
    <w:rsid w:val="00CC7453"/>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11764">
      <w:bodyDiv w:val="1"/>
      <w:marLeft w:val="0"/>
      <w:marRight w:val="0"/>
      <w:marTop w:val="0"/>
      <w:marBottom w:val="0"/>
      <w:divBdr>
        <w:top w:val="none" w:sz="0" w:space="0" w:color="auto"/>
        <w:left w:val="none" w:sz="0" w:space="0" w:color="auto"/>
        <w:bottom w:val="none" w:sz="0" w:space="0" w:color="auto"/>
        <w:right w:val="none" w:sz="0" w:space="0" w:color="auto"/>
      </w:divBdr>
    </w:div>
    <w:div w:id="25496463">
      <w:bodyDiv w:val="1"/>
      <w:marLeft w:val="0"/>
      <w:marRight w:val="0"/>
      <w:marTop w:val="0"/>
      <w:marBottom w:val="0"/>
      <w:divBdr>
        <w:top w:val="none" w:sz="0" w:space="0" w:color="auto"/>
        <w:left w:val="none" w:sz="0" w:space="0" w:color="auto"/>
        <w:bottom w:val="none" w:sz="0" w:space="0" w:color="auto"/>
        <w:right w:val="none" w:sz="0" w:space="0" w:color="auto"/>
      </w:divBdr>
    </w:div>
    <w:div w:id="41953399">
      <w:bodyDiv w:val="1"/>
      <w:marLeft w:val="0"/>
      <w:marRight w:val="0"/>
      <w:marTop w:val="0"/>
      <w:marBottom w:val="0"/>
      <w:divBdr>
        <w:top w:val="none" w:sz="0" w:space="0" w:color="auto"/>
        <w:left w:val="none" w:sz="0" w:space="0" w:color="auto"/>
        <w:bottom w:val="none" w:sz="0" w:space="0" w:color="auto"/>
        <w:right w:val="none" w:sz="0" w:space="0" w:color="auto"/>
      </w:divBdr>
    </w:div>
    <w:div w:id="169372606">
      <w:bodyDiv w:val="1"/>
      <w:marLeft w:val="0"/>
      <w:marRight w:val="0"/>
      <w:marTop w:val="0"/>
      <w:marBottom w:val="0"/>
      <w:divBdr>
        <w:top w:val="none" w:sz="0" w:space="0" w:color="auto"/>
        <w:left w:val="none" w:sz="0" w:space="0" w:color="auto"/>
        <w:bottom w:val="none" w:sz="0" w:space="0" w:color="auto"/>
        <w:right w:val="none" w:sz="0" w:space="0" w:color="auto"/>
      </w:divBdr>
    </w:div>
    <w:div w:id="171795803">
      <w:bodyDiv w:val="1"/>
      <w:marLeft w:val="0"/>
      <w:marRight w:val="0"/>
      <w:marTop w:val="0"/>
      <w:marBottom w:val="0"/>
      <w:divBdr>
        <w:top w:val="none" w:sz="0" w:space="0" w:color="auto"/>
        <w:left w:val="none" w:sz="0" w:space="0" w:color="auto"/>
        <w:bottom w:val="none" w:sz="0" w:space="0" w:color="auto"/>
        <w:right w:val="none" w:sz="0" w:space="0" w:color="auto"/>
      </w:divBdr>
    </w:div>
    <w:div w:id="202981943">
      <w:bodyDiv w:val="1"/>
      <w:marLeft w:val="0"/>
      <w:marRight w:val="0"/>
      <w:marTop w:val="0"/>
      <w:marBottom w:val="0"/>
      <w:divBdr>
        <w:top w:val="none" w:sz="0" w:space="0" w:color="auto"/>
        <w:left w:val="none" w:sz="0" w:space="0" w:color="auto"/>
        <w:bottom w:val="none" w:sz="0" w:space="0" w:color="auto"/>
        <w:right w:val="none" w:sz="0" w:space="0" w:color="auto"/>
      </w:divBdr>
    </w:div>
    <w:div w:id="255866570">
      <w:bodyDiv w:val="1"/>
      <w:marLeft w:val="0"/>
      <w:marRight w:val="0"/>
      <w:marTop w:val="0"/>
      <w:marBottom w:val="0"/>
      <w:divBdr>
        <w:top w:val="none" w:sz="0" w:space="0" w:color="auto"/>
        <w:left w:val="none" w:sz="0" w:space="0" w:color="auto"/>
        <w:bottom w:val="none" w:sz="0" w:space="0" w:color="auto"/>
        <w:right w:val="none" w:sz="0" w:space="0" w:color="auto"/>
      </w:divBdr>
    </w:div>
    <w:div w:id="310601751">
      <w:bodyDiv w:val="1"/>
      <w:marLeft w:val="0"/>
      <w:marRight w:val="0"/>
      <w:marTop w:val="0"/>
      <w:marBottom w:val="0"/>
      <w:divBdr>
        <w:top w:val="none" w:sz="0" w:space="0" w:color="auto"/>
        <w:left w:val="none" w:sz="0" w:space="0" w:color="auto"/>
        <w:bottom w:val="none" w:sz="0" w:space="0" w:color="auto"/>
        <w:right w:val="none" w:sz="0" w:space="0" w:color="auto"/>
      </w:divBdr>
    </w:div>
    <w:div w:id="368451682">
      <w:bodyDiv w:val="1"/>
      <w:marLeft w:val="0"/>
      <w:marRight w:val="0"/>
      <w:marTop w:val="0"/>
      <w:marBottom w:val="0"/>
      <w:divBdr>
        <w:top w:val="none" w:sz="0" w:space="0" w:color="auto"/>
        <w:left w:val="none" w:sz="0" w:space="0" w:color="auto"/>
        <w:bottom w:val="none" w:sz="0" w:space="0" w:color="auto"/>
        <w:right w:val="none" w:sz="0" w:space="0" w:color="auto"/>
      </w:divBdr>
    </w:div>
    <w:div w:id="383410282">
      <w:bodyDiv w:val="1"/>
      <w:marLeft w:val="0"/>
      <w:marRight w:val="0"/>
      <w:marTop w:val="0"/>
      <w:marBottom w:val="0"/>
      <w:divBdr>
        <w:top w:val="none" w:sz="0" w:space="0" w:color="auto"/>
        <w:left w:val="none" w:sz="0" w:space="0" w:color="auto"/>
        <w:bottom w:val="none" w:sz="0" w:space="0" w:color="auto"/>
        <w:right w:val="none" w:sz="0" w:space="0" w:color="auto"/>
      </w:divBdr>
    </w:div>
    <w:div w:id="464126282">
      <w:bodyDiv w:val="1"/>
      <w:marLeft w:val="0"/>
      <w:marRight w:val="0"/>
      <w:marTop w:val="0"/>
      <w:marBottom w:val="0"/>
      <w:divBdr>
        <w:top w:val="none" w:sz="0" w:space="0" w:color="auto"/>
        <w:left w:val="none" w:sz="0" w:space="0" w:color="auto"/>
        <w:bottom w:val="none" w:sz="0" w:space="0" w:color="auto"/>
        <w:right w:val="none" w:sz="0" w:space="0" w:color="auto"/>
      </w:divBdr>
    </w:div>
    <w:div w:id="491027027">
      <w:bodyDiv w:val="1"/>
      <w:marLeft w:val="0"/>
      <w:marRight w:val="0"/>
      <w:marTop w:val="0"/>
      <w:marBottom w:val="0"/>
      <w:divBdr>
        <w:top w:val="none" w:sz="0" w:space="0" w:color="auto"/>
        <w:left w:val="none" w:sz="0" w:space="0" w:color="auto"/>
        <w:bottom w:val="none" w:sz="0" w:space="0" w:color="auto"/>
        <w:right w:val="none" w:sz="0" w:space="0" w:color="auto"/>
      </w:divBdr>
    </w:div>
    <w:div w:id="553584129">
      <w:bodyDiv w:val="1"/>
      <w:marLeft w:val="0"/>
      <w:marRight w:val="0"/>
      <w:marTop w:val="0"/>
      <w:marBottom w:val="0"/>
      <w:divBdr>
        <w:top w:val="none" w:sz="0" w:space="0" w:color="auto"/>
        <w:left w:val="none" w:sz="0" w:space="0" w:color="auto"/>
        <w:bottom w:val="none" w:sz="0" w:space="0" w:color="auto"/>
        <w:right w:val="none" w:sz="0" w:space="0" w:color="auto"/>
      </w:divBdr>
    </w:div>
    <w:div w:id="633295853">
      <w:bodyDiv w:val="1"/>
      <w:marLeft w:val="0"/>
      <w:marRight w:val="0"/>
      <w:marTop w:val="0"/>
      <w:marBottom w:val="0"/>
      <w:divBdr>
        <w:top w:val="none" w:sz="0" w:space="0" w:color="auto"/>
        <w:left w:val="none" w:sz="0" w:space="0" w:color="auto"/>
        <w:bottom w:val="none" w:sz="0" w:space="0" w:color="auto"/>
        <w:right w:val="none" w:sz="0" w:space="0" w:color="auto"/>
      </w:divBdr>
    </w:div>
    <w:div w:id="636033171">
      <w:bodyDiv w:val="1"/>
      <w:marLeft w:val="0"/>
      <w:marRight w:val="0"/>
      <w:marTop w:val="0"/>
      <w:marBottom w:val="0"/>
      <w:divBdr>
        <w:top w:val="none" w:sz="0" w:space="0" w:color="auto"/>
        <w:left w:val="none" w:sz="0" w:space="0" w:color="auto"/>
        <w:bottom w:val="none" w:sz="0" w:space="0" w:color="auto"/>
        <w:right w:val="none" w:sz="0" w:space="0" w:color="auto"/>
      </w:divBdr>
    </w:div>
    <w:div w:id="715590559">
      <w:bodyDiv w:val="1"/>
      <w:marLeft w:val="0"/>
      <w:marRight w:val="0"/>
      <w:marTop w:val="0"/>
      <w:marBottom w:val="0"/>
      <w:divBdr>
        <w:top w:val="none" w:sz="0" w:space="0" w:color="auto"/>
        <w:left w:val="none" w:sz="0" w:space="0" w:color="auto"/>
        <w:bottom w:val="none" w:sz="0" w:space="0" w:color="auto"/>
        <w:right w:val="none" w:sz="0" w:space="0" w:color="auto"/>
      </w:divBdr>
    </w:div>
    <w:div w:id="758254908">
      <w:bodyDiv w:val="1"/>
      <w:marLeft w:val="0"/>
      <w:marRight w:val="0"/>
      <w:marTop w:val="0"/>
      <w:marBottom w:val="0"/>
      <w:divBdr>
        <w:top w:val="none" w:sz="0" w:space="0" w:color="auto"/>
        <w:left w:val="none" w:sz="0" w:space="0" w:color="auto"/>
        <w:bottom w:val="none" w:sz="0" w:space="0" w:color="auto"/>
        <w:right w:val="none" w:sz="0" w:space="0" w:color="auto"/>
      </w:divBdr>
    </w:div>
    <w:div w:id="887302883">
      <w:bodyDiv w:val="1"/>
      <w:marLeft w:val="0"/>
      <w:marRight w:val="0"/>
      <w:marTop w:val="0"/>
      <w:marBottom w:val="0"/>
      <w:divBdr>
        <w:top w:val="none" w:sz="0" w:space="0" w:color="auto"/>
        <w:left w:val="none" w:sz="0" w:space="0" w:color="auto"/>
        <w:bottom w:val="none" w:sz="0" w:space="0" w:color="auto"/>
        <w:right w:val="none" w:sz="0" w:space="0" w:color="auto"/>
      </w:divBdr>
    </w:div>
    <w:div w:id="903486757">
      <w:bodyDiv w:val="1"/>
      <w:marLeft w:val="0"/>
      <w:marRight w:val="0"/>
      <w:marTop w:val="0"/>
      <w:marBottom w:val="0"/>
      <w:divBdr>
        <w:top w:val="none" w:sz="0" w:space="0" w:color="auto"/>
        <w:left w:val="none" w:sz="0" w:space="0" w:color="auto"/>
        <w:bottom w:val="none" w:sz="0" w:space="0" w:color="auto"/>
        <w:right w:val="none" w:sz="0" w:space="0" w:color="auto"/>
      </w:divBdr>
    </w:div>
    <w:div w:id="920800174">
      <w:bodyDiv w:val="1"/>
      <w:marLeft w:val="0"/>
      <w:marRight w:val="0"/>
      <w:marTop w:val="0"/>
      <w:marBottom w:val="0"/>
      <w:divBdr>
        <w:top w:val="none" w:sz="0" w:space="0" w:color="auto"/>
        <w:left w:val="none" w:sz="0" w:space="0" w:color="auto"/>
        <w:bottom w:val="none" w:sz="0" w:space="0" w:color="auto"/>
        <w:right w:val="none" w:sz="0" w:space="0" w:color="auto"/>
      </w:divBdr>
    </w:div>
    <w:div w:id="1120076540">
      <w:bodyDiv w:val="1"/>
      <w:marLeft w:val="0"/>
      <w:marRight w:val="0"/>
      <w:marTop w:val="0"/>
      <w:marBottom w:val="0"/>
      <w:divBdr>
        <w:top w:val="none" w:sz="0" w:space="0" w:color="auto"/>
        <w:left w:val="none" w:sz="0" w:space="0" w:color="auto"/>
        <w:bottom w:val="none" w:sz="0" w:space="0" w:color="auto"/>
        <w:right w:val="none" w:sz="0" w:space="0" w:color="auto"/>
      </w:divBdr>
      <w:divsChild>
        <w:div w:id="2110737652">
          <w:marLeft w:val="0"/>
          <w:marRight w:val="0"/>
          <w:marTop w:val="0"/>
          <w:marBottom w:val="0"/>
          <w:divBdr>
            <w:top w:val="none" w:sz="0" w:space="0" w:color="auto"/>
            <w:left w:val="none" w:sz="0" w:space="0" w:color="auto"/>
            <w:bottom w:val="none" w:sz="0" w:space="0" w:color="auto"/>
            <w:right w:val="none" w:sz="0" w:space="0" w:color="auto"/>
          </w:divBdr>
          <w:divsChild>
            <w:div w:id="1327052910">
              <w:marLeft w:val="0"/>
              <w:marRight w:val="0"/>
              <w:marTop w:val="0"/>
              <w:marBottom w:val="0"/>
              <w:divBdr>
                <w:top w:val="none" w:sz="0" w:space="0" w:color="auto"/>
                <w:left w:val="none" w:sz="0" w:space="0" w:color="auto"/>
                <w:bottom w:val="none" w:sz="0" w:space="0" w:color="auto"/>
                <w:right w:val="none" w:sz="0" w:space="0" w:color="auto"/>
              </w:divBdr>
              <w:divsChild>
                <w:div w:id="44284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63226">
      <w:bodyDiv w:val="1"/>
      <w:marLeft w:val="0"/>
      <w:marRight w:val="0"/>
      <w:marTop w:val="0"/>
      <w:marBottom w:val="0"/>
      <w:divBdr>
        <w:top w:val="none" w:sz="0" w:space="0" w:color="auto"/>
        <w:left w:val="none" w:sz="0" w:space="0" w:color="auto"/>
        <w:bottom w:val="none" w:sz="0" w:space="0" w:color="auto"/>
        <w:right w:val="none" w:sz="0" w:space="0" w:color="auto"/>
      </w:divBdr>
    </w:div>
    <w:div w:id="1206136295">
      <w:bodyDiv w:val="1"/>
      <w:marLeft w:val="0"/>
      <w:marRight w:val="0"/>
      <w:marTop w:val="0"/>
      <w:marBottom w:val="0"/>
      <w:divBdr>
        <w:top w:val="none" w:sz="0" w:space="0" w:color="auto"/>
        <w:left w:val="none" w:sz="0" w:space="0" w:color="auto"/>
        <w:bottom w:val="none" w:sz="0" w:space="0" w:color="auto"/>
        <w:right w:val="none" w:sz="0" w:space="0" w:color="auto"/>
      </w:divBdr>
      <w:divsChild>
        <w:div w:id="1538277756">
          <w:marLeft w:val="0"/>
          <w:marRight w:val="0"/>
          <w:marTop w:val="34"/>
          <w:marBottom w:val="34"/>
          <w:divBdr>
            <w:top w:val="none" w:sz="0" w:space="0" w:color="auto"/>
            <w:left w:val="none" w:sz="0" w:space="0" w:color="auto"/>
            <w:bottom w:val="none" w:sz="0" w:space="0" w:color="auto"/>
            <w:right w:val="none" w:sz="0" w:space="0" w:color="auto"/>
          </w:divBdr>
        </w:div>
      </w:divsChild>
    </w:div>
    <w:div w:id="1392075070">
      <w:bodyDiv w:val="1"/>
      <w:marLeft w:val="0"/>
      <w:marRight w:val="0"/>
      <w:marTop w:val="0"/>
      <w:marBottom w:val="0"/>
      <w:divBdr>
        <w:top w:val="none" w:sz="0" w:space="0" w:color="auto"/>
        <w:left w:val="none" w:sz="0" w:space="0" w:color="auto"/>
        <w:bottom w:val="none" w:sz="0" w:space="0" w:color="auto"/>
        <w:right w:val="none" w:sz="0" w:space="0" w:color="auto"/>
      </w:divBdr>
    </w:div>
    <w:div w:id="1405758724">
      <w:bodyDiv w:val="1"/>
      <w:marLeft w:val="0"/>
      <w:marRight w:val="0"/>
      <w:marTop w:val="0"/>
      <w:marBottom w:val="0"/>
      <w:divBdr>
        <w:top w:val="none" w:sz="0" w:space="0" w:color="auto"/>
        <w:left w:val="none" w:sz="0" w:space="0" w:color="auto"/>
        <w:bottom w:val="none" w:sz="0" w:space="0" w:color="auto"/>
        <w:right w:val="none" w:sz="0" w:space="0" w:color="auto"/>
      </w:divBdr>
    </w:div>
    <w:div w:id="1413697854">
      <w:bodyDiv w:val="1"/>
      <w:marLeft w:val="0"/>
      <w:marRight w:val="0"/>
      <w:marTop w:val="0"/>
      <w:marBottom w:val="0"/>
      <w:divBdr>
        <w:top w:val="none" w:sz="0" w:space="0" w:color="auto"/>
        <w:left w:val="none" w:sz="0" w:space="0" w:color="auto"/>
        <w:bottom w:val="none" w:sz="0" w:space="0" w:color="auto"/>
        <w:right w:val="none" w:sz="0" w:space="0" w:color="auto"/>
      </w:divBdr>
    </w:div>
    <w:div w:id="1432966109">
      <w:bodyDiv w:val="1"/>
      <w:marLeft w:val="0"/>
      <w:marRight w:val="0"/>
      <w:marTop w:val="0"/>
      <w:marBottom w:val="0"/>
      <w:divBdr>
        <w:top w:val="none" w:sz="0" w:space="0" w:color="auto"/>
        <w:left w:val="none" w:sz="0" w:space="0" w:color="auto"/>
        <w:bottom w:val="none" w:sz="0" w:space="0" w:color="auto"/>
        <w:right w:val="none" w:sz="0" w:space="0" w:color="auto"/>
      </w:divBdr>
    </w:div>
    <w:div w:id="1482769207">
      <w:bodyDiv w:val="1"/>
      <w:marLeft w:val="0"/>
      <w:marRight w:val="0"/>
      <w:marTop w:val="0"/>
      <w:marBottom w:val="0"/>
      <w:divBdr>
        <w:top w:val="none" w:sz="0" w:space="0" w:color="auto"/>
        <w:left w:val="none" w:sz="0" w:space="0" w:color="auto"/>
        <w:bottom w:val="none" w:sz="0" w:space="0" w:color="auto"/>
        <w:right w:val="none" w:sz="0" w:space="0" w:color="auto"/>
      </w:divBdr>
    </w:div>
    <w:div w:id="1538079166">
      <w:bodyDiv w:val="1"/>
      <w:marLeft w:val="0"/>
      <w:marRight w:val="0"/>
      <w:marTop w:val="0"/>
      <w:marBottom w:val="0"/>
      <w:divBdr>
        <w:top w:val="none" w:sz="0" w:space="0" w:color="auto"/>
        <w:left w:val="none" w:sz="0" w:space="0" w:color="auto"/>
        <w:bottom w:val="none" w:sz="0" w:space="0" w:color="auto"/>
        <w:right w:val="none" w:sz="0" w:space="0" w:color="auto"/>
      </w:divBdr>
      <w:divsChild>
        <w:div w:id="2048528230">
          <w:marLeft w:val="446"/>
          <w:marRight w:val="0"/>
          <w:marTop w:val="0"/>
          <w:marBottom w:val="0"/>
          <w:divBdr>
            <w:top w:val="none" w:sz="0" w:space="0" w:color="auto"/>
            <w:left w:val="none" w:sz="0" w:space="0" w:color="auto"/>
            <w:bottom w:val="none" w:sz="0" w:space="0" w:color="auto"/>
            <w:right w:val="none" w:sz="0" w:space="0" w:color="auto"/>
          </w:divBdr>
        </w:div>
        <w:div w:id="721908716">
          <w:marLeft w:val="446"/>
          <w:marRight w:val="0"/>
          <w:marTop w:val="0"/>
          <w:marBottom w:val="0"/>
          <w:divBdr>
            <w:top w:val="none" w:sz="0" w:space="0" w:color="auto"/>
            <w:left w:val="none" w:sz="0" w:space="0" w:color="auto"/>
            <w:bottom w:val="none" w:sz="0" w:space="0" w:color="auto"/>
            <w:right w:val="none" w:sz="0" w:space="0" w:color="auto"/>
          </w:divBdr>
        </w:div>
      </w:divsChild>
    </w:div>
    <w:div w:id="1581938076">
      <w:bodyDiv w:val="1"/>
      <w:marLeft w:val="0"/>
      <w:marRight w:val="0"/>
      <w:marTop w:val="0"/>
      <w:marBottom w:val="0"/>
      <w:divBdr>
        <w:top w:val="none" w:sz="0" w:space="0" w:color="auto"/>
        <w:left w:val="none" w:sz="0" w:space="0" w:color="auto"/>
        <w:bottom w:val="none" w:sz="0" w:space="0" w:color="auto"/>
        <w:right w:val="none" w:sz="0" w:space="0" w:color="auto"/>
      </w:divBdr>
    </w:div>
    <w:div w:id="1589268029">
      <w:bodyDiv w:val="1"/>
      <w:marLeft w:val="0"/>
      <w:marRight w:val="0"/>
      <w:marTop w:val="0"/>
      <w:marBottom w:val="0"/>
      <w:divBdr>
        <w:top w:val="none" w:sz="0" w:space="0" w:color="auto"/>
        <w:left w:val="none" w:sz="0" w:space="0" w:color="auto"/>
        <w:bottom w:val="none" w:sz="0" w:space="0" w:color="auto"/>
        <w:right w:val="none" w:sz="0" w:space="0" w:color="auto"/>
      </w:divBdr>
      <w:divsChild>
        <w:div w:id="874536152">
          <w:marLeft w:val="0"/>
          <w:marRight w:val="0"/>
          <w:marTop w:val="34"/>
          <w:marBottom w:val="34"/>
          <w:divBdr>
            <w:top w:val="none" w:sz="0" w:space="0" w:color="auto"/>
            <w:left w:val="none" w:sz="0" w:space="0" w:color="auto"/>
            <w:bottom w:val="none" w:sz="0" w:space="0" w:color="auto"/>
            <w:right w:val="none" w:sz="0" w:space="0" w:color="auto"/>
          </w:divBdr>
        </w:div>
      </w:divsChild>
    </w:div>
    <w:div w:id="1623227905">
      <w:bodyDiv w:val="1"/>
      <w:marLeft w:val="0"/>
      <w:marRight w:val="0"/>
      <w:marTop w:val="0"/>
      <w:marBottom w:val="0"/>
      <w:divBdr>
        <w:top w:val="none" w:sz="0" w:space="0" w:color="auto"/>
        <w:left w:val="none" w:sz="0" w:space="0" w:color="auto"/>
        <w:bottom w:val="none" w:sz="0" w:space="0" w:color="auto"/>
        <w:right w:val="none" w:sz="0" w:space="0" w:color="auto"/>
      </w:divBdr>
      <w:divsChild>
        <w:div w:id="793714247">
          <w:marLeft w:val="446"/>
          <w:marRight w:val="0"/>
          <w:marTop w:val="0"/>
          <w:marBottom w:val="0"/>
          <w:divBdr>
            <w:top w:val="none" w:sz="0" w:space="0" w:color="auto"/>
            <w:left w:val="none" w:sz="0" w:space="0" w:color="auto"/>
            <w:bottom w:val="none" w:sz="0" w:space="0" w:color="auto"/>
            <w:right w:val="none" w:sz="0" w:space="0" w:color="auto"/>
          </w:divBdr>
        </w:div>
        <w:div w:id="131483014">
          <w:marLeft w:val="446"/>
          <w:marRight w:val="0"/>
          <w:marTop w:val="0"/>
          <w:marBottom w:val="0"/>
          <w:divBdr>
            <w:top w:val="none" w:sz="0" w:space="0" w:color="auto"/>
            <w:left w:val="none" w:sz="0" w:space="0" w:color="auto"/>
            <w:bottom w:val="none" w:sz="0" w:space="0" w:color="auto"/>
            <w:right w:val="none" w:sz="0" w:space="0" w:color="auto"/>
          </w:divBdr>
        </w:div>
        <w:div w:id="36703285">
          <w:marLeft w:val="446"/>
          <w:marRight w:val="0"/>
          <w:marTop w:val="0"/>
          <w:marBottom w:val="0"/>
          <w:divBdr>
            <w:top w:val="none" w:sz="0" w:space="0" w:color="auto"/>
            <w:left w:val="none" w:sz="0" w:space="0" w:color="auto"/>
            <w:bottom w:val="none" w:sz="0" w:space="0" w:color="auto"/>
            <w:right w:val="none" w:sz="0" w:space="0" w:color="auto"/>
          </w:divBdr>
        </w:div>
      </w:divsChild>
    </w:div>
    <w:div w:id="1705523234">
      <w:bodyDiv w:val="1"/>
      <w:marLeft w:val="0"/>
      <w:marRight w:val="0"/>
      <w:marTop w:val="0"/>
      <w:marBottom w:val="0"/>
      <w:divBdr>
        <w:top w:val="none" w:sz="0" w:space="0" w:color="auto"/>
        <w:left w:val="none" w:sz="0" w:space="0" w:color="auto"/>
        <w:bottom w:val="none" w:sz="0" w:space="0" w:color="auto"/>
        <w:right w:val="none" w:sz="0" w:space="0" w:color="auto"/>
      </w:divBdr>
    </w:div>
    <w:div w:id="1744715143">
      <w:bodyDiv w:val="1"/>
      <w:marLeft w:val="0"/>
      <w:marRight w:val="0"/>
      <w:marTop w:val="0"/>
      <w:marBottom w:val="0"/>
      <w:divBdr>
        <w:top w:val="none" w:sz="0" w:space="0" w:color="auto"/>
        <w:left w:val="none" w:sz="0" w:space="0" w:color="auto"/>
        <w:bottom w:val="none" w:sz="0" w:space="0" w:color="auto"/>
        <w:right w:val="none" w:sz="0" w:space="0" w:color="auto"/>
      </w:divBdr>
    </w:div>
    <w:div w:id="1753504635">
      <w:bodyDiv w:val="1"/>
      <w:marLeft w:val="0"/>
      <w:marRight w:val="0"/>
      <w:marTop w:val="0"/>
      <w:marBottom w:val="0"/>
      <w:divBdr>
        <w:top w:val="none" w:sz="0" w:space="0" w:color="auto"/>
        <w:left w:val="none" w:sz="0" w:space="0" w:color="auto"/>
        <w:bottom w:val="none" w:sz="0" w:space="0" w:color="auto"/>
        <w:right w:val="none" w:sz="0" w:space="0" w:color="auto"/>
      </w:divBdr>
    </w:div>
    <w:div w:id="1755785370">
      <w:bodyDiv w:val="1"/>
      <w:marLeft w:val="0"/>
      <w:marRight w:val="0"/>
      <w:marTop w:val="0"/>
      <w:marBottom w:val="0"/>
      <w:divBdr>
        <w:top w:val="none" w:sz="0" w:space="0" w:color="auto"/>
        <w:left w:val="none" w:sz="0" w:space="0" w:color="auto"/>
        <w:bottom w:val="none" w:sz="0" w:space="0" w:color="auto"/>
        <w:right w:val="none" w:sz="0" w:space="0" w:color="auto"/>
      </w:divBdr>
    </w:div>
    <w:div w:id="1925534222">
      <w:bodyDiv w:val="1"/>
      <w:marLeft w:val="0"/>
      <w:marRight w:val="0"/>
      <w:marTop w:val="0"/>
      <w:marBottom w:val="0"/>
      <w:divBdr>
        <w:top w:val="none" w:sz="0" w:space="0" w:color="auto"/>
        <w:left w:val="none" w:sz="0" w:space="0" w:color="auto"/>
        <w:bottom w:val="none" w:sz="0" w:space="0" w:color="auto"/>
        <w:right w:val="none" w:sz="0" w:space="0" w:color="auto"/>
      </w:divBdr>
    </w:div>
    <w:div w:id="1931623555">
      <w:bodyDiv w:val="1"/>
      <w:marLeft w:val="0"/>
      <w:marRight w:val="0"/>
      <w:marTop w:val="0"/>
      <w:marBottom w:val="0"/>
      <w:divBdr>
        <w:top w:val="none" w:sz="0" w:space="0" w:color="auto"/>
        <w:left w:val="none" w:sz="0" w:space="0" w:color="auto"/>
        <w:bottom w:val="none" w:sz="0" w:space="0" w:color="auto"/>
        <w:right w:val="none" w:sz="0" w:space="0" w:color="auto"/>
      </w:divBdr>
      <w:divsChild>
        <w:div w:id="105463645">
          <w:marLeft w:val="0"/>
          <w:marRight w:val="0"/>
          <w:marTop w:val="0"/>
          <w:marBottom w:val="0"/>
          <w:divBdr>
            <w:top w:val="none" w:sz="0" w:space="0" w:color="auto"/>
            <w:left w:val="none" w:sz="0" w:space="0" w:color="auto"/>
            <w:bottom w:val="none" w:sz="0" w:space="0" w:color="auto"/>
            <w:right w:val="none" w:sz="0" w:space="0" w:color="auto"/>
          </w:divBdr>
          <w:divsChild>
            <w:div w:id="386032197">
              <w:marLeft w:val="0"/>
              <w:marRight w:val="0"/>
              <w:marTop w:val="0"/>
              <w:marBottom w:val="0"/>
              <w:divBdr>
                <w:top w:val="none" w:sz="0" w:space="0" w:color="auto"/>
                <w:left w:val="none" w:sz="0" w:space="0" w:color="auto"/>
                <w:bottom w:val="none" w:sz="0" w:space="0" w:color="auto"/>
                <w:right w:val="none" w:sz="0" w:space="0" w:color="auto"/>
              </w:divBdr>
              <w:divsChild>
                <w:div w:id="26850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5307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urkova@rbht.nhs.uk"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elena.surkova.md@gmail.com"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F7954-A2C0-584A-B8CD-2BC96AFBD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25092</Words>
  <Characters>143025</Characters>
  <Application>Microsoft Office Word</Application>
  <DocSecurity>0</DocSecurity>
  <Lines>1191</Lines>
  <Paragraphs>335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167782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Surkova</dc:creator>
  <cp:keywords/>
  <dc:description/>
  <cp:lastModifiedBy>Constantine, Andrew</cp:lastModifiedBy>
  <cp:revision>2</cp:revision>
  <cp:lastPrinted>2022-10-25T19:00:00Z</cp:lastPrinted>
  <dcterms:created xsi:type="dcterms:W3CDTF">2023-07-17T09:30:00Z</dcterms:created>
  <dcterms:modified xsi:type="dcterms:W3CDTF">2023-07-17T09:30:00Z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6th edition</vt:lpwstr>
  </property>
  <property fmtid="{D5CDD505-2E9C-101B-9397-08002B2CF9AE}" pid="7" name="Mendeley Recent Style Id 2_1">
    <vt:lpwstr>http://www.zotero.org/styles/harvard-cite-them-right</vt:lpwstr>
  </property>
  <property fmtid="{D5CDD505-2E9C-101B-9397-08002B2CF9AE}" pid="8" name="Mendeley Recent Style Name 2_1">
    <vt:lpwstr>Cite Them Right 10th edition - Harvard</vt:lpwstr>
  </property>
  <property fmtid="{D5CDD505-2E9C-101B-9397-08002B2CF9AE}" pid="9" name="Mendeley Recent Style Id 3_1">
    <vt:lpwstr>http://www.zotero.org/styles/ieee</vt:lpwstr>
  </property>
  <property fmtid="{D5CDD505-2E9C-101B-9397-08002B2CF9AE}" pid="10" name="Mendeley Recent Style Name 3_1">
    <vt:lpwstr>IEEE</vt:lpwstr>
  </property>
  <property fmtid="{D5CDD505-2E9C-101B-9397-08002B2CF9AE}" pid="11" name="Mendeley Recent Style Id 4_1">
    <vt:lpwstr>http://www.zotero.org/styles/international-journal-of-cardiology</vt:lpwstr>
  </property>
  <property fmtid="{D5CDD505-2E9C-101B-9397-08002B2CF9AE}" pid="12" name="Mendeley Recent Style Name 4_1">
    <vt:lpwstr>International Journal of Cardiology</vt:lpwstr>
  </property>
  <property fmtid="{D5CDD505-2E9C-101B-9397-08002B2CF9AE}" pid="13" name="Mendeley Recent Style Id 5_1">
    <vt:lpwstr>http://www.zotero.org/styles/journal-of-the-american-society-of-echocardiography</vt:lpwstr>
  </property>
  <property fmtid="{D5CDD505-2E9C-101B-9397-08002B2CF9AE}" pid="14" name="Mendeley Recent Style Name 5_1">
    <vt:lpwstr>Journal of the American Society of Echocardiography</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3rd edition (note with bibliography)</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8th edition</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Unique User Id_1">
    <vt:lpwstr>cc13c1a1-f929-3580-beec-433ebdb599c5</vt:lpwstr>
  </property>
  <property fmtid="{D5CDD505-2E9C-101B-9397-08002B2CF9AE}" pid="24" name="Mendeley Citation Style_1">
    <vt:lpwstr>http://www.zotero.org/styles/journal-of-the-american-society-of-echocardiography</vt:lpwstr>
  </property>
</Properties>
</file>