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B20" w:rsidRDefault="00035259">
      <w:r>
        <w:t>Peer reviewed version of the manuscript published in final form at DOI:</w:t>
      </w:r>
      <w:r w:rsidR="00F1163F">
        <w:t xml:space="preserve"> </w:t>
      </w:r>
      <w:r w:rsidR="00F1163F" w:rsidRPr="00F1163F">
        <w:t>10.1109/JLT.2015.2448795</w:t>
      </w:r>
    </w:p>
    <w:p w:rsidR="00035259" w:rsidRPr="00A467EE" w:rsidRDefault="00035259" w:rsidP="00035259">
      <w:pPr>
        <w:rPr>
          <w:b/>
          <w:sz w:val="28"/>
        </w:rPr>
      </w:pPr>
      <w:r w:rsidRPr="00A467EE">
        <w:rPr>
          <w:b/>
          <w:sz w:val="28"/>
        </w:rPr>
        <w:t xml:space="preserve">Label-Free Detection of </w:t>
      </w:r>
      <w:proofErr w:type="spellStart"/>
      <w:r w:rsidRPr="00A467EE">
        <w:rPr>
          <w:b/>
          <w:sz w:val="28"/>
        </w:rPr>
        <w:t>Tumor</w:t>
      </w:r>
      <w:proofErr w:type="spellEnd"/>
      <w:r w:rsidRPr="00A467EE">
        <w:rPr>
          <w:b/>
          <w:sz w:val="28"/>
        </w:rPr>
        <w:t xml:space="preserve"> Angiogenesis Biomarker </w:t>
      </w:r>
      <w:proofErr w:type="spellStart"/>
      <w:r w:rsidRPr="00A467EE">
        <w:rPr>
          <w:b/>
          <w:sz w:val="28"/>
        </w:rPr>
        <w:t>Angiopoietin</w:t>
      </w:r>
      <w:proofErr w:type="spellEnd"/>
      <w:r w:rsidRPr="00A467EE">
        <w:rPr>
          <w:b/>
          <w:sz w:val="28"/>
        </w:rPr>
        <w:t xml:space="preserve"> 2 Using Bloch Surface Waves on One Dimensional Photonic Crystals</w:t>
      </w:r>
    </w:p>
    <w:p w:rsidR="00035259" w:rsidRDefault="00035259" w:rsidP="00035259">
      <w:r>
        <w:t xml:space="preserve">Alberto </w:t>
      </w:r>
      <w:proofErr w:type="spellStart"/>
      <w:r>
        <w:t>Sinibaldi</w:t>
      </w:r>
      <w:proofErr w:type="spellEnd"/>
      <w:r>
        <w:t xml:space="preserve">, Norbert </w:t>
      </w:r>
      <w:proofErr w:type="spellStart"/>
      <w:r>
        <w:t>Danz</w:t>
      </w:r>
      <w:proofErr w:type="spellEnd"/>
      <w:r>
        <w:t xml:space="preserve">, </w:t>
      </w:r>
      <w:proofErr w:type="spellStart"/>
      <w:r>
        <w:t>Aleksei</w:t>
      </w:r>
      <w:proofErr w:type="spellEnd"/>
      <w:r>
        <w:t xml:space="preserve"> </w:t>
      </w:r>
      <w:proofErr w:type="spellStart"/>
      <w:r>
        <w:t>Anopchenko</w:t>
      </w:r>
      <w:proofErr w:type="spellEnd"/>
      <w:r>
        <w:t xml:space="preserve">, Peter </w:t>
      </w:r>
      <w:proofErr w:type="spellStart"/>
      <w:r>
        <w:t>Munzert</w:t>
      </w:r>
      <w:proofErr w:type="spellEnd"/>
      <w:r>
        <w:t xml:space="preserve">, Stefan </w:t>
      </w:r>
      <w:proofErr w:type="spellStart"/>
      <w:r>
        <w:t>Schmieder</w:t>
      </w:r>
      <w:proofErr w:type="spellEnd"/>
      <w:r>
        <w:t xml:space="preserve">, Rona Chandrawati, Riccardo Rizzo, Subinoy Rana, Frank Sonntag, Agostino </w:t>
      </w:r>
      <w:proofErr w:type="spellStart"/>
      <w:r>
        <w:t>Occhicone</w:t>
      </w:r>
      <w:proofErr w:type="spellEnd"/>
      <w:r>
        <w:t xml:space="preserve">, Lucia </w:t>
      </w:r>
      <w:proofErr w:type="spellStart"/>
      <w:r>
        <w:t>Napione</w:t>
      </w:r>
      <w:proofErr w:type="spellEnd"/>
      <w:r>
        <w:t xml:space="preserve">, Simone De </w:t>
      </w:r>
      <w:proofErr w:type="spellStart"/>
      <w:r>
        <w:t>Panfilis</w:t>
      </w:r>
      <w:proofErr w:type="spellEnd"/>
      <w:r>
        <w:t xml:space="preserve">, Molly M. Stevens, and Francesco </w:t>
      </w:r>
      <w:proofErr w:type="spellStart"/>
      <w:r>
        <w:t>Michelotti</w:t>
      </w:r>
      <w:proofErr w:type="spellEnd"/>
    </w:p>
    <w:p w:rsidR="00A467EE" w:rsidRPr="00F1163F" w:rsidRDefault="00A467EE" w:rsidP="00A467EE">
      <w:pPr>
        <w:spacing w:after="0" w:line="240" w:lineRule="auto"/>
        <w:rPr>
          <w:sz w:val="20"/>
        </w:rPr>
      </w:pPr>
      <w:r w:rsidRPr="00F1163F">
        <w:rPr>
          <w:sz w:val="20"/>
        </w:rPr>
        <w:t xml:space="preserve">A. </w:t>
      </w:r>
      <w:proofErr w:type="spellStart"/>
      <w:r w:rsidRPr="00F1163F">
        <w:rPr>
          <w:sz w:val="20"/>
        </w:rPr>
        <w:t>Sinibaldi</w:t>
      </w:r>
      <w:proofErr w:type="spellEnd"/>
      <w:r w:rsidRPr="00F1163F">
        <w:rPr>
          <w:sz w:val="20"/>
        </w:rPr>
        <w:t xml:space="preserve">, A. </w:t>
      </w:r>
      <w:proofErr w:type="spellStart"/>
      <w:r w:rsidRPr="00F1163F">
        <w:rPr>
          <w:sz w:val="20"/>
        </w:rPr>
        <w:t>Anopchenko</w:t>
      </w:r>
      <w:proofErr w:type="spellEnd"/>
      <w:r w:rsidRPr="00F1163F">
        <w:rPr>
          <w:sz w:val="20"/>
        </w:rPr>
        <w:t xml:space="preserve">, A. </w:t>
      </w:r>
      <w:proofErr w:type="spellStart"/>
      <w:r w:rsidRPr="00F1163F">
        <w:rPr>
          <w:sz w:val="20"/>
        </w:rPr>
        <w:t>Occhicone</w:t>
      </w:r>
      <w:proofErr w:type="spellEnd"/>
      <w:r w:rsidRPr="00F1163F">
        <w:rPr>
          <w:sz w:val="20"/>
        </w:rPr>
        <w:t xml:space="preserve">, and F. </w:t>
      </w:r>
      <w:proofErr w:type="spellStart"/>
      <w:r w:rsidRPr="00F1163F">
        <w:rPr>
          <w:sz w:val="20"/>
        </w:rPr>
        <w:t>Michelotti</w:t>
      </w:r>
      <w:proofErr w:type="spellEnd"/>
      <w:r w:rsidRPr="00F1163F">
        <w:rPr>
          <w:sz w:val="20"/>
        </w:rPr>
        <w:t xml:space="preserve"> are with the</w:t>
      </w:r>
      <w:r w:rsidRPr="00F1163F">
        <w:rPr>
          <w:sz w:val="20"/>
        </w:rPr>
        <w:t xml:space="preserve"> </w:t>
      </w:r>
      <w:r w:rsidRPr="00F1163F">
        <w:rPr>
          <w:sz w:val="20"/>
        </w:rPr>
        <w:t xml:space="preserve">Department of Basic and Applied Sciences for Engineering, </w:t>
      </w:r>
      <w:proofErr w:type="spellStart"/>
      <w:r w:rsidRPr="00F1163F">
        <w:rPr>
          <w:sz w:val="20"/>
        </w:rPr>
        <w:t>Sapienza</w:t>
      </w:r>
      <w:proofErr w:type="spellEnd"/>
      <w:r w:rsidRPr="00F1163F">
        <w:rPr>
          <w:sz w:val="20"/>
        </w:rPr>
        <w:t xml:space="preserve"> University</w:t>
      </w:r>
      <w:r w:rsidRPr="00F1163F">
        <w:rPr>
          <w:sz w:val="20"/>
        </w:rPr>
        <w:t xml:space="preserve"> </w:t>
      </w:r>
      <w:r w:rsidRPr="00F1163F">
        <w:rPr>
          <w:sz w:val="20"/>
        </w:rPr>
        <w:t>of Rome, Roma 00185, Italy (e-mail: alberto.sinibaldi@uniroma1.it; oleksiy.anopchenko@uniroma1.it; agostino.occhicone@uniroma1.it; francesco.michelotti@uniroma1.it).</w:t>
      </w:r>
    </w:p>
    <w:p w:rsidR="00A467EE" w:rsidRPr="00F1163F" w:rsidRDefault="00A467EE" w:rsidP="00A467EE">
      <w:pPr>
        <w:spacing w:after="0" w:line="240" w:lineRule="auto"/>
        <w:rPr>
          <w:sz w:val="20"/>
        </w:rPr>
      </w:pPr>
      <w:r w:rsidRPr="00F1163F">
        <w:rPr>
          <w:sz w:val="20"/>
        </w:rPr>
        <w:t xml:space="preserve">N. </w:t>
      </w:r>
      <w:proofErr w:type="spellStart"/>
      <w:r w:rsidRPr="00F1163F">
        <w:rPr>
          <w:sz w:val="20"/>
        </w:rPr>
        <w:t>Danz</w:t>
      </w:r>
      <w:proofErr w:type="spellEnd"/>
      <w:r w:rsidRPr="00F1163F">
        <w:rPr>
          <w:sz w:val="20"/>
        </w:rPr>
        <w:t xml:space="preserve"> and P. </w:t>
      </w:r>
      <w:proofErr w:type="spellStart"/>
      <w:r w:rsidRPr="00F1163F">
        <w:rPr>
          <w:sz w:val="20"/>
        </w:rPr>
        <w:t>Munzert</w:t>
      </w:r>
      <w:proofErr w:type="spellEnd"/>
      <w:r w:rsidRPr="00F1163F">
        <w:rPr>
          <w:sz w:val="20"/>
        </w:rPr>
        <w:t xml:space="preserve"> are with the </w:t>
      </w:r>
      <w:proofErr w:type="spellStart"/>
      <w:r w:rsidRPr="00F1163F">
        <w:rPr>
          <w:sz w:val="20"/>
        </w:rPr>
        <w:t>Fraunhofer</w:t>
      </w:r>
      <w:proofErr w:type="spellEnd"/>
      <w:r w:rsidRPr="00F1163F">
        <w:rPr>
          <w:sz w:val="20"/>
        </w:rPr>
        <w:t xml:space="preserve"> Institute for Applied Optics</w:t>
      </w:r>
      <w:r w:rsidRPr="00F1163F">
        <w:rPr>
          <w:sz w:val="20"/>
        </w:rPr>
        <w:t xml:space="preserve"> </w:t>
      </w:r>
      <w:r w:rsidRPr="00F1163F">
        <w:rPr>
          <w:sz w:val="20"/>
        </w:rPr>
        <w:t>and Precision Engineering IOF, Jena 07745, Germany (e-mail: norbert.danz@iof.fraunhofer.de; peter.munzert@iof.fraunhofer.de).</w:t>
      </w:r>
    </w:p>
    <w:p w:rsidR="00A467EE" w:rsidRPr="00F1163F" w:rsidRDefault="00A467EE" w:rsidP="00A467EE">
      <w:pPr>
        <w:spacing w:after="0" w:line="240" w:lineRule="auto"/>
        <w:rPr>
          <w:sz w:val="20"/>
        </w:rPr>
      </w:pPr>
      <w:r w:rsidRPr="00F1163F">
        <w:rPr>
          <w:sz w:val="20"/>
        </w:rPr>
        <w:t xml:space="preserve">S. </w:t>
      </w:r>
      <w:proofErr w:type="spellStart"/>
      <w:r w:rsidRPr="00F1163F">
        <w:rPr>
          <w:sz w:val="20"/>
        </w:rPr>
        <w:t>Schmieder</w:t>
      </w:r>
      <w:proofErr w:type="spellEnd"/>
      <w:r w:rsidRPr="00F1163F">
        <w:rPr>
          <w:sz w:val="20"/>
        </w:rPr>
        <w:t xml:space="preserve"> and F. Sonntag are with the </w:t>
      </w:r>
      <w:proofErr w:type="spellStart"/>
      <w:r w:rsidRPr="00F1163F">
        <w:rPr>
          <w:sz w:val="20"/>
        </w:rPr>
        <w:t>Fraunhofer</w:t>
      </w:r>
      <w:proofErr w:type="spellEnd"/>
      <w:r w:rsidRPr="00F1163F">
        <w:rPr>
          <w:sz w:val="20"/>
        </w:rPr>
        <w:t xml:space="preserve"> Institute for Material</w:t>
      </w:r>
      <w:r w:rsidRPr="00F1163F">
        <w:rPr>
          <w:sz w:val="20"/>
        </w:rPr>
        <w:t xml:space="preserve"> </w:t>
      </w:r>
      <w:r w:rsidRPr="00F1163F">
        <w:rPr>
          <w:sz w:val="20"/>
        </w:rPr>
        <w:t>and Beam Technology IWS Dresden, Dresden 01277, Germany (e-mail:</w:t>
      </w:r>
      <w:r w:rsidRPr="00F1163F">
        <w:rPr>
          <w:sz w:val="20"/>
        </w:rPr>
        <w:t xml:space="preserve"> </w:t>
      </w:r>
      <w:r w:rsidRPr="00F1163F">
        <w:rPr>
          <w:sz w:val="20"/>
        </w:rPr>
        <w:t>stefan.schmieder@iws.fraunhofer.de; Frank.Sonntag@iws.fraunhofer.de).</w:t>
      </w:r>
    </w:p>
    <w:p w:rsidR="00A467EE" w:rsidRPr="00F1163F" w:rsidRDefault="00A467EE" w:rsidP="00A467EE">
      <w:pPr>
        <w:spacing w:after="0" w:line="240" w:lineRule="auto"/>
        <w:rPr>
          <w:sz w:val="20"/>
        </w:rPr>
      </w:pPr>
      <w:r w:rsidRPr="00F1163F">
        <w:rPr>
          <w:sz w:val="20"/>
        </w:rPr>
        <w:t>R. Chandrawati, S. Rana, and M. M. Stevens are with the Department</w:t>
      </w:r>
      <w:r w:rsidRPr="00F1163F">
        <w:rPr>
          <w:sz w:val="20"/>
        </w:rPr>
        <w:t xml:space="preserve"> </w:t>
      </w:r>
      <w:r w:rsidRPr="00F1163F">
        <w:rPr>
          <w:sz w:val="20"/>
        </w:rPr>
        <w:t xml:space="preserve">of Materials, Imperial College London, </w:t>
      </w:r>
      <w:proofErr w:type="gramStart"/>
      <w:r w:rsidRPr="00F1163F">
        <w:rPr>
          <w:sz w:val="20"/>
        </w:rPr>
        <w:t>London</w:t>
      </w:r>
      <w:proofErr w:type="gramEnd"/>
      <w:r w:rsidRPr="00F1163F">
        <w:rPr>
          <w:sz w:val="20"/>
        </w:rPr>
        <w:t xml:space="preserve"> SW7 2AZ, U.K. (e-mail:</w:t>
      </w:r>
      <w:r w:rsidRPr="00F1163F">
        <w:rPr>
          <w:sz w:val="20"/>
        </w:rPr>
        <w:t xml:space="preserve"> </w:t>
      </w:r>
      <w:r w:rsidRPr="00F1163F">
        <w:rPr>
          <w:sz w:val="20"/>
        </w:rPr>
        <w:t>r.chandrawati@imperial.ac.uk; s.rana@imperial.ac.uk; m.stevens@imperial.ac.uk).</w:t>
      </w:r>
    </w:p>
    <w:p w:rsidR="00A467EE" w:rsidRPr="00F1163F" w:rsidRDefault="00A467EE" w:rsidP="00A467EE">
      <w:pPr>
        <w:spacing w:after="0" w:line="240" w:lineRule="auto"/>
        <w:rPr>
          <w:sz w:val="20"/>
        </w:rPr>
      </w:pPr>
      <w:r w:rsidRPr="00F1163F">
        <w:rPr>
          <w:sz w:val="20"/>
        </w:rPr>
        <w:t xml:space="preserve">R. Rizzo was with the </w:t>
      </w:r>
      <w:proofErr w:type="spellStart"/>
      <w:r w:rsidRPr="00F1163F">
        <w:rPr>
          <w:sz w:val="20"/>
        </w:rPr>
        <w:t>Sapienza</w:t>
      </w:r>
      <w:proofErr w:type="spellEnd"/>
      <w:r w:rsidRPr="00F1163F">
        <w:rPr>
          <w:sz w:val="20"/>
        </w:rPr>
        <w:t xml:space="preserve"> University of Rome, Roma 00185, Italy, and</w:t>
      </w:r>
      <w:r w:rsidRPr="00F1163F">
        <w:rPr>
          <w:sz w:val="20"/>
        </w:rPr>
        <w:t xml:space="preserve"> </w:t>
      </w:r>
      <w:r w:rsidRPr="00F1163F">
        <w:rPr>
          <w:sz w:val="20"/>
        </w:rPr>
        <w:t xml:space="preserve">also with the </w:t>
      </w:r>
      <w:proofErr w:type="spellStart"/>
      <w:r w:rsidRPr="00F1163F">
        <w:rPr>
          <w:sz w:val="20"/>
        </w:rPr>
        <w:t>Fraunhofer</w:t>
      </w:r>
      <w:proofErr w:type="spellEnd"/>
      <w:r w:rsidRPr="00F1163F">
        <w:rPr>
          <w:sz w:val="20"/>
        </w:rPr>
        <w:t xml:space="preserve"> Institute for Applied Optics and Precision Engineering</w:t>
      </w:r>
      <w:r w:rsidRPr="00F1163F">
        <w:rPr>
          <w:sz w:val="20"/>
        </w:rPr>
        <w:t xml:space="preserve"> </w:t>
      </w:r>
      <w:r w:rsidRPr="00F1163F">
        <w:rPr>
          <w:sz w:val="20"/>
        </w:rPr>
        <w:t xml:space="preserve">IOF, Jena 07745, Germany. He is now with the </w:t>
      </w:r>
      <w:proofErr w:type="spellStart"/>
      <w:r w:rsidRPr="00F1163F">
        <w:rPr>
          <w:sz w:val="20"/>
        </w:rPr>
        <w:t>Politecnico</w:t>
      </w:r>
      <w:proofErr w:type="spellEnd"/>
      <w:r w:rsidRPr="00F1163F">
        <w:rPr>
          <w:sz w:val="20"/>
        </w:rPr>
        <w:t xml:space="preserve"> di Torino, Torino</w:t>
      </w:r>
      <w:r w:rsidRPr="00F1163F">
        <w:rPr>
          <w:sz w:val="20"/>
        </w:rPr>
        <w:t xml:space="preserve"> </w:t>
      </w:r>
      <w:r w:rsidRPr="00F1163F">
        <w:rPr>
          <w:sz w:val="20"/>
        </w:rPr>
        <w:t>10129, Italy (e-mail: ririzzo@yahoo.it).</w:t>
      </w:r>
    </w:p>
    <w:p w:rsidR="00A467EE" w:rsidRPr="00F1163F" w:rsidRDefault="00A467EE" w:rsidP="00A467EE">
      <w:pPr>
        <w:spacing w:after="0" w:line="240" w:lineRule="auto"/>
        <w:rPr>
          <w:sz w:val="20"/>
        </w:rPr>
      </w:pPr>
      <w:r w:rsidRPr="00F1163F">
        <w:rPr>
          <w:sz w:val="20"/>
        </w:rPr>
        <w:t xml:space="preserve">L. </w:t>
      </w:r>
      <w:proofErr w:type="spellStart"/>
      <w:r w:rsidRPr="00F1163F">
        <w:rPr>
          <w:sz w:val="20"/>
        </w:rPr>
        <w:t>Napione</w:t>
      </w:r>
      <w:proofErr w:type="spellEnd"/>
      <w:r w:rsidRPr="00F1163F">
        <w:rPr>
          <w:sz w:val="20"/>
        </w:rPr>
        <w:t xml:space="preserve"> is with the Department of Oncology and Cancer Institute of </w:t>
      </w:r>
      <w:proofErr w:type="spellStart"/>
      <w:r w:rsidRPr="00F1163F">
        <w:rPr>
          <w:sz w:val="20"/>
        </w:rPr>
        <w:t>Candiolo</w:t>
      </w:r>
      <w:proofErr w:type="spellEnd"/>
      <w:r w:rsidRPr="00F1163F">
        <w:rPr>
          <w:sz w:val="20"/>
        </w:rPr>
        <w:t>,</w:t>
      </w:r>
      <w:r w:rsidRPr="00F1163F">
        <w:rPr>
          <w:sz w:val="20"/>
        </w:rPr>
        <w:t xml:space="preserve"> </w:t>
      </w:r>
      <w:r w:rsidRPr="00F1163F">
        <w:rPr>
          <w:sz w:val="20"/>
        </w:rPr>
        <w:t>University of Torino, Torino 10060, Italy (e-mail: lucia.napione@ircc.it).</w:t>
      </w:r>
    </w:p>
    <w:p w:rsidR="00A467EE" w:rsidRPr="00F1163F" w:rsidRDefault="00A467EE" w:rsidP="00A467EE">
      <w:pPr>
        <w:spacing w:after="0" w:line="240" w:lineRule="auto"/>
        <w:rPr>
          <w:sz w:val="20"/>
        </w:rPr>
      </w:pPr>
      <w:r w:rsidRPr="00F1163F">
        <w:rPr>
          <w:sz w:val="20"/>
        </w:rPr>
        <w:t xml:space="preserve">S. De </w:t>
      </w:r>
      <w:proofErr w:type="spellStart"/>
      <w:r w:rsidRPr="00F1163F">
        <w:rPr>
          <w:sz w:val="20"/>
        </w:rPr>
        <w:t>Panfilis</w:t>
      </w:r>
      <w:proofErr w:type="spellEnd"/>
      <w:r w:rsidRPr="00F1163F">
        <w:rPr>
          <w:sz w:val="20"/>
        </w:rPr>
        <w:t xml:space="preserve"> is with the </w:t>
      </w:r>
      <w:proofErr w:type="spellStart"/>
      <w:r w:rsidRPr="00F1163F">
        <w:rPr>
          <w:sz w:val="20"/>
        </w:rPr>
        <w:t>Istituto</w:t>
      </w:r>
      <w:proofErr w:type="spellEnd"/>
      <w:r w:rsidRPr="00F1163F">
        <w:rPr>
          <w:sz w:val="20"/>
        </w:rPr>
        <w:t xml:space="preserve"> </w:t>
      </w:r>
      <w:proofErr w:type="spellStart"/>
      <w:r w:rsidRPr="00F1163F">
        <w:rPr>
          <w:sz w:val="20"/>
        </w:rPr>
        <w:t>Italiano</w:t>
      </w:r>
      <w:proofErr w:type="spellEnd"/>
      <w:r w:rsidRPr="00F1163F">
        <w:rPr>
          <w:sz w:val="20"/>
        </w:rPr>
        <w:t xml:space="preserve"> di </w:t>
      </w:r>
      <w:proofErr w:type="spellStart"/>
      <w:r w:rsidRPr="00F1163F">
        <w:rPr>
          <w:sz w:val="20"/>
        </w:rPr>
        <w:t>Tecnologia</w:t>
      </w:r>
      <w:proofErr w:type="spellEnd"/>
      <w:r w:rsidRPr="00F1163F">
        <w:rPr>
          <w:sz w:val="20"/>
        </w:rPr>
        <w:t xml:space="preserve">, Centre for </w:t>
      </w:r>
      <w:proofErr w:type="spellStart"/>
      <w:r w:rsidRPr="00F1163F">
        <w:rPr>
          <w:sz w:val="20"/>
        </w:rPr>
        <w:t>Nano</w:t>
      </w:r>
      <w:proofErr w:type="spellEnd"/>
      <w:r w:rsidRPr="00F1163F">
        <w:rPr>
          <w:sz w:val="20"/>
        </w:rPr>
        <w:t xml:space="preserve"> Life</w:t>
      </w:r>
      <w:r w:rsidRPr="00F1163F">
        <w:rPr>
          <w:sz w:val="20"/>
        </w:rPr>
        <w:t xml:space="preserve"> </w:t>
      </w:r>
      <w:r w:rsidRPr="00F1163F">
        <w:rPr>
          <w:sz w:val="20"/>
        </w:rPr>
        <w:t>Sciences, Roma 00161, Italy (e-mail: Simone.DePanfilis@iit.it).</w:t>
      </w:r>
    </w:p>
    <w:p w:rsidR="00A467EE" w:rsidRDefault="00A467EE" w:rsidP="00035259"/>
    <w:p w:rsidR="00035259" w:rsidRDefault="00035259" w:rsidP="00035259">
      <w:pPr>
        <w:spacing w:after="0" w:line="240" w:lineRule="auto"/>
      </w:pPr>
      <w:r w:rsidRPr="00A467EE">
        <w:rPr>
          <w:b/>
        </w:rPr>
        <w:t>Abstract—</w:t>
      </w:r>
      <w:proofErr w:type="gramStart"/>
      <w:r>
        <w:t>We</w:t>
      </w:r>
      <w:proofErr w:type="gramEnd"/>
      <w:r>
        <w:t xml:space="preserve"> describe the design and fabrication of biochips based on 1-D photonic crystals supporting Bloch surface waves for label-free optical </w:t>
      </w:r>
      <w:proofErr w:type="spellStart"/>
      <w:r>
        <w:t>biosensing</w:t>
      </w:r>
      <w:proofErr w:type="spellEnd"/>
      <w:r>
        <w:t xml:space="preserve">. The optical properties of Bloch surface waves are studied in relation to the geometry of the photonic crystals and on the properties of the dielectric materials used for the fabrication. The planar stacks of the biochips are composed of silica, </w:t>
      </w:r>
      <w:proofErr w:type="spellStart"/>
      <w:r>
        <w:t>tantala</w:t>
      </w:r>
      <w:proofErr w:type="spellEnd"/>
      <w:r>
        <w:t xml:space="preserve">, and </w:t>
      </w:r>
      <w:proofErr w:type="spellStart"/>
      <w:proofErr w:type="gramStart"/>
      <w:r>
        <w:t>titania</w:t>
      </w:r>
      <w:proofErr w:type="spellEnd"/>
      <w:proofErr w:type="gramEnd"/>
      <w:r>
        <w:t xml:space="preserve"> that were deposited using plasma-</w:t>
      </w:r>
      <w:proofErr w:type="spellStart"/>
      <w:r>
        <w:t>ionassisted</w:t>
      </w:r>
      <w:proofErr w:type="spellEnd"/>
      <w:r>
        <w:t xml:space="preserve"> evaporation under high-vacuum conditions. The biochip surfaces were functionalized by </w:t>
      </w:r>
      <w:proofErr w:type="spellStart"/>
      <w:r>
        <w:t>silanization</w:t>
      </w:r>
      <w:proofErr w:type="spellEnd"/>
      <w:r>
        <w:t xml:space="preserve">, and appropriate fluidic cells were designed to operate in an automated platform. An angularly resolved </w:t>
      </w:r>
      <w:proofErr w:type="spellStart"/>
      <w:r>
        <w:t>ellipsometric</w:t>
      </w:r>
      <w:proofErr w:type="spellEnd"/>
      <w:r>
        <w:t xml:space="preserve"> optical sensing apparatus was assembled to carry out the sensing studies. The angular operation is obtained by a focused laser beam at a fixed wavelength and detection of the angular reflectance spectrum by means of an array detector. The results of the experimental characterization of the physical properties of the fabricated biochips show that their characteristics, in terms of sensitivity and figure of merit, match those expected from the numerical simulations. Practical application of the sensor was demonstrated by detecting a specific glycoprotein, </w:t>
      </w:r>
      <w:proofErr w:type="spellStart"/>
      <w:r>
        <w:t>Angio-poietin</w:t>
      </w:r>
      <w:proofErr w:type="spellEnd"/>
      <w:r>
        <w:t xml:space="preserve"> 2, that is involved in angiogenesis and inflammation processes. The protocol used for the label-free detection of </w:t>
      </w:r>
      <w:proofErr w:type="spellStart"/>
      <w:r>
        <w:t>Angiopoietin</w:t>
      </w:r>
      <w:proofErr w:type="spellEnd"/>
      <w:r>
        <w:t xml:space="preserve"> 2 is described, and the results of an exemplary assay,</w:t>
      </w:r>
      <w:r w:rsidRPr="00035259">
        <w:t xml:space="preserve"> </w:t>
      </w:r>
      <w:r>
        <w:t xml:space="preserve">carried out at a relatively high concentration of 1 </w:t>
      </w:r>
      <w:proofErr w:type="spellStart"/>
      <w:r>
        <w:t>μg</w:t>
      </w:r>
      <w:proofErr w:type="spellEnd"/>
      <w:r>
        <w:t xml:space="preserve">/ml, are given and confirm that an efficient detection can be achieved. The limit of detection of the biochips for </w:t>
      </w:r>
      <w:proofErr w:type="spellStart"/>
      <w:r>
        <w:t>Angiopoietin</w:t>
      </w:r>
      <w:proofErr w:type="spellEnd"/>
      <w:r>
        <w:t xml:space="preserve"> 2, based on the protocol used, is 1.5 </w:t>
      </w:r>
      <w:proofErr w:type="spellStart"/>
      <w:r>
        <w:t>pg</w:t>
      </w:r>
      <w:proofErr w:type="spellEnd"/>
      <w:r>
        <w:t xml:space="preserve">/mm2 in buffer solution. The efficiency of the </w:t>
      </w:r>
      <w:proofErr w:type="spellStart"/>
      <w:r>
        <w:t>labelfree</w:t>
      </w:r>
      <w:proofErr w:type="spellEnd"/>
      <w:r>
        <w:t xml:space="preserve"> assay is confirmed by independent measurements carried out by means of confocal fluorescence microscopy.</w:t>
      </w:r>
    </w:p>
    <w:p w:rsidR="00035259" w:rsidRDefault="00035259" w:rsidP="00035259">
      <w:pPr>
        <w:spacing w:after="0" w:line="240" w:lineRule="auto"/>
      </w:pPr>
    </w:p>
    <w:p w:rsidR="00A467EE" w:rsidRDefault="00A467EE" w:rsidP="00035259">
      <w:pPr>
        <w:spacing w:after="0" w:line="240" w:lineRule="auto"/>
      </w:pPr>
    </w:p>
    <w:p w:rsidR="00035259" w:rsidRPr="00A467EE" w:rsidRDefault="00035259" w:rsidP="00035259">
      <w:pPr>
        <w:spacing w:after="0" w:line="240" w:lineRule="auto"/>
        <w:rPr>
          <w:b/>
        </w:rPr>
      </w:pPr>
      <w:r w:rsidRPr="00A467EE">
        <w:rPr>
          <w:b/>
        </w:rPr>
        <w:t>I. INTRODUCTION</w:t>
      </w:r>
    </w:p>
    <w:p w:rsidR="00035259" w:rsidRDefault="00035259" w:rsidP="00035259">
      <w:pPr>
        <w:spacing w:after="0" w:line="240" w:lineRule="auto"/>
      </w:pPr>
      <w:r>
        <w:t xml:space="preserve">The increasing demand for non-invasive early detection of diseases has pushed the scientific community to develop more and more sensitive techniques to detect disease biomarkers in extremely low concentrations [1], [2]. Among other techniques, optical label-free bio-sensing is </w:t>
      </w:r>
      <w:r>
        <w:lastRenderedPageBreak/>
        <w:t xml:space="preserve">considered to be the most promising tool for high throughput detection of biomolecules. Surface </w:t>
      </w:r>
      <w:proofErr w:type="spellStart"/>
      <w:r>
        <w:t>plasmon</w:t>
      </w:r>
      <w:proofErr w:type="spellEnd"/>
      <w:r>
        <w:t xml:space="preserve"> resonance (SPR), operating in a variety of configurations, is commonly used in biology and pharmaceutical laboratories [3]. Among other label-free optical approaches [4]–[6] those based on the excitation of electromagnetic modes (Bloch </w:t>
      </w:r>
      <w:proofErr w:type="spellStart"/>
      <w:r>
        <w:t>surfacewaves</w:t>
      </w:r>
      <w:proofErr w:type="spellEnd"/>
      <w:r>
        <w:t xml:space="preserve">—BSW)at the truncation edge of one dimensional photonic crystals (1-DPC) [7] were proposed and demonstrated as a practical route to enhanced resolution and constitute an attractive alternative to surface </w:t>
      </w:r>
      <w:proofErr w:type="spellStart"/>
      <w:r>
        <w:t>plasmon</w:t>
      </w:r>
      <w:proofErr w:type="spellEnd"/>
      <w:r>
        <w:t xml:space="preserve"> </w:t>
      </w:r>
      <w:proofErr w:type="spellStart"/>
      <w:r>
        <w:t>polaritons</w:t>
      </w:r>
      <w:proofErr w:type="spellEnd"/>
    </w:p>
    <w:p w:rsidR="00035259" w:rsidRDefault="00035259" w:rsidP="00035259">
      <w:pPr>
        <w:spacing w:after="0" w:line="240" w:lineRule="auto"/>
      </w:pPr>
      <w:r>
        <w:t>(SPP) [8]</w:t>
      </w:r>
      <w:proofErr w:type="gramStart"/>
      <w:r>
        <w:t>–[</w:t>
      </w:r>
      <w:proofErr w:type="gramEnd"/>
      <w:r>
        <w:t>12].</w:t>
      </w:r>
    </w:p>
    <w:p w:rsidR="00A467EE" w:rsidRDefault="00A467EE" w:rsidP="00035259">
      <w:pPr>
        <w:spacing w:after="0" w:line="240" w:lineRule="auto"/>
      </w:pPr>
    </w:p>
    <w:p w:rsidR="00035259" w:rsidRDefault="00035259" w:rsidP="00035259">
      <w:pPr>
        <w:spacing w:after="0" w:line="240" w:lineRule="auto"/>
      </w:pPr>
      <w:r>
        <w:t xml:space="preserve">With respect to SPP, the localization of BSW at the interface between a finite 1-DPC and an external medium is provided by Bragg reflection and total internal reflection on the two sides of the interface, respectively [9]. Similar to SPP, the excitation of a BSW at a given wavelength λ0 can be obtained by a prism coupler in the </w:t>
      </w:r>
      <w:proofErr w:type="spellStart"/>
      <w:r>
        <w:t>Kretschmann</w:t>
      </w:r>
      <w:proofErr w:type="spellEnd"/>
      <w:r>
        <w:t>–</w:t>
      </w:r>
      <w:proofErr w:type="spellStart"/>
      <w:r>
        <w:t>Raether</w:t>
      </w:r>
      <w:proofErr w:type="spellEnd"/>
      <w:r>
        <w:t xml:space="preserve"> configuration [13] and may appear as a dip in the angular reflectance spectrum. The angular position of such dip is very sensitive to perturbations of the refractive index at the interface and therefore can be used for bio-sensing.</w:t>
      </w:r>
    </w:p>
    <w:p w:rsidR="00035259" w:rsidRDefault="00035259" w:rsidP="00035259">
      <w:pPr>
        <w:spacing w:after="0" w:line="240" w:lineRule="auto"/>
      </w:pPr>
      <w:r>
        <w:t>The main advantages of BSW for bio-sensing, in comparison to SPR, lie in the favourable properties of the 1-DPC such as the small absorption of the dielectric materials and the tenability of the layer thicknesses to operate in any wavelength range.</w:t>
      </w:r>
    </w:p>
    <w:p w:rsidR="00A467EE" w:rsidRDefault="00A467EE" w:rsidP="00035259">
      <w:pPr>
        <w:spacing w:after="0" w:line="240" w:lineRule="auto"/>
      </w:pPr>
    </w:p>
    <w:p w:rsidR="00035259" w:rsidRDefault="00035259" w:rsidP="00035259">
      <w:pPr>
        <w:spacing w:after="0" w:line="240" w:lineRule="auto"/>
      </w:pPr>
      <w:r>
        <w:t>The small absorption gives rise to dips in the reflectance that are much narrower than those observed for SPP, leading to a potentially larger performance of a properly defined figure of merit (</w:t>
      </w:r>
      <w:proofErr w:type="spellStart"/>
      <w:r>
        <w:t>FoM</w:t>
      </w:r>
      <w:proofErr w:type="spellEnd"/>
      <w:r>
        <w:t>) and limit of detection (</w:t>
      </w:r>
      <w:proofErr w:type="spellStart"/>
      <w:r>
        <w:t>LoD</w:t>
      </w:r>
      <w:proofErr w:type="spellEnd"/>
      <w:r>
        <w:t xml:space="preserve">) [14]–[16]. Besides, the use of BSW in fluorescence-based bio-sensing does not suffer from quenching of the </w:t>
      </w:r>
      <w:proofErr w:type="spellStart"/>
      <w:r>
        <w:t>fluorophores</w:t>
      </w:r>
      <w:proofErr w:type="spellEnd"/>
      <w:r>
        <w:t xml:space="preserve"> emission at the 1-DPC surface [17], [18]. The possibility to fabricate 1-DPC by using either different </w:t>
      </w:r>
      <w:proofErr w:type="spellStart"/>
      <w:r>
        <w:t>dielectricmaterials</w:t>
      </w:r>
      <w:proofErr w:type="spellEnd"/>
      <w:r>
        <w:t xml:space="preserve"> or different geometries enables </w:t>
      </w:r>
      <w:proofErr w:type="spellStart"/>
      <w:r>
        <w:t>tunability</w:t>
      </w:r>
      <w:proofErr w:type="spellEnd"/>
      <w:r>
        <w:t xml:space="preserve"> of BSW biosensors to be developed in a wide range of wavelengths [10], [19]. Properly designing the 1-DPC geometry allows one to achieve both TE and TM polarized BSW, and their combined form [20], [21].</w:t>
      </w:r>
    </w:p>
    <w:p w:rsidR="00A467EE" w:rsidRDefault="00A467EE" w:rsidP="00035259">
      <w:pPr>
        <w:spacing w:after="0" w:line="240" w:lineRule="auto"/>
      </w:pPr>
    </w:p>
    <w:p w:rsidR="00035259" w:rsidRDefault="00035259" w:rsidP="00035259">
      <w:pPr>
        <w:spacing w:after="0" w:line="240" w:lineRule="auto"/>
      </w:pPr>
      <w:r>
        <w:t>In the present study, we report on the development of BSW biochips operating in an angular interrogation scheme where the reflectance of a focused laser beam at λ0 is monitored by a</w:t>
      </w:r>
    </w:p>
    <w:p w:rsidR="00035259" w:rsidRDefault="00035259" w:rsidP="00035259">
      <w:pPr>
        <w:spacing w:after="0" w:line="240" w:lineRule="auto"/>
      </w:pPr>
      <w:r>
        <w:t xml:space="preserve">CMOS array detector and demonstrate the BSW-based biosensor for the detection of a clinical biomarker related to angiogenesis and early cancer development, </w:t>
      </w:r>
      <w:proofErr w:type="spellStart"/>
      <w:r>
        <w:t>Angiopoietin</w:t>
      </w:r>
      <w:proofErr w:type="spellEnd"/>
      <w:r>
        <w:t xml:space="preserve"> 2 (</w:t>
      </w:r>
      <w:proofErr w:type="spellStart"/>
      <w:r>
        <w:t>Ang</w:t>
      </w:r>
      <w:proofErr w:type="spellEnd"/>
      <w:r>
        <w:t xml:space="preserve"> 2).</w:t>
      </w:r>
    </w:p>
    <w:p w:rsidR="00035259" w:rsidRDefault="00035259" w:rsidP="00035259">
      <w:pPr>
        <w:spacing w:after="0" w:line="240" w:lineRule="auto"/>
      </w:pPr>
      <w:r>
        <w:t>We first describe the design and fabrication of 1-DPC sustaining BSW at their truncation edge, followed by the layout of the optical setup used for the bio-sensing experiments. Surface functionalization and original methods for the effective immobilization of proteins on the 1-DPC sensing surface are discussed. The use of novel microfluidic cells is described. Experimental results based on the BSW technique are presented and the results of the assay are compared to measurements obtained by conventional confocal fluorescence microscopy.</w:t>
      </w:r>
    </w:p>
    <w:p w:rsidR="00035259" w:rsidRDefault="00035259" w:rsidP="00035259">
      <w:pPr>
        <w:spacing w:after="0" w:line="240" w:lineRule="auto"/>
      </w:pPr>
    </w:p>
    <w:p w:rsidR="00035259" w:rsidRPr="00A467EE" w:rsidRDefault="00035259" w:rsidP="00035259">
      <w:pPr>
        <w:spacing w:after="0" w:line="240" w:lineRule="auto"/>
        <w:rPr>
          <w:b/>
        </w:rPr>
      </w:pPr>
      <w:r w:rsidRPr="00A467EE">
        <w:rPr>
          <w:b/>
        </w:rPr>
        <w:t>II. DESIGN AND FABRICATION OF 1-DPC BIOCHIPS</w:t>
      </w:r>
    </w:p>
    <w:p w:rsidR="00035259" w:rsidRDefault="00035259" w:rsidP="00035259">
      <w:pPr>
        <w:spacing w:after="0" w:line="240" w:lineRule="auto"/>
      </w:pPr>
      <w:r>
        <w:t>A. One Dimensional Photonic Crystals</w:t>
      </w:r>
    </w:p>
    <w:p w:rsidR="00035259" w:rsidRDefault="00035259" w:rsidP="00035259">
      <w:pPr>
        <w:spacing w:after="0" w:line="240" w:lineRule="auto"/>
      </w:pPr>
      <w:r>
        <w:t>Fabrication Technology</w:t>
      </w:r>
    </w:p>
    <w:p w:rsidR="00A467EE" w:rsidRDefault="00A467EE" w:rsidP="00035259">
      <w:pPr>
        <w:spacing w:after="0" w:line="240" w:lineRule="auto"/>
      </w:pPr>
    </w:p>
    <w:p w:rsidR="00035259" w:rsidRDefault="00035259" w:rsidP="00035259">
      <w:pPr>
        <w:spacing w:after="0" w:line="240" w:lineRule="auto"/>
      </w:pPr>
      <w:r>
        <w:t>We selected plasma ion assisted evaporation of dielectric materials under high vacuum conditions for the fabrication of the 1-DPC biochips. Such a deposition technique enables the fabrication of dielectric multilayers with low absorption losses and the possibility to deposit on different substrates including plastics. We used SiO</w:t>
      </w:r>
      <w:r w:rsidRPr="00035259">
        <w:rPr>
          <w:vertAlign w:val="subscript"/>
        </w:rPr>
        <w:t>2</w:t>
      </w:r>
      <w:r>
        <w:t xml:space="preserve"> (silica), Ta</w:t>
      </w:r>
      <w:r w:rsidRPr="00035259">
        <w:rPr>
          <w:vertAlign w:val="subscript"/>
        </w:rPr>
        <w:t>2</w:t>
      </w:r>
      <w:r>
        <w:t>O</w:t>
      </w:r>
      <w:r w:rsidRPr="00035259">
        <w:rPr>
          <w:vertAlign w:val="subscript"/>
        </w:rPr>
        <w:t>5</w:t>
      </w:r>
      <w:r>
        <w:t xml:space="preserve"> (</w:t>
      </w:r>
      <w:proofErr w:type="spellStart"/>
      <w:r>
        <w:t>tantala</w:t>
      </w:r>
      <w:proofErr w:type="spellEnd"/>
      <w:r>
        <w:t>) and TiO</w:t>
      </w:r>
      <w:r w:rsidRPr="00035259">
        <w:rPr>
          <w:vertAlign w:val="subscript"/>
        </w:rPr>
        <w:t>2</w:t>
      </w:r>
      <w:r>
        <w:t xml:space="preserve"> (</w:t>
      </w:r>
      <w:proofErr w:type="spellStart"/>
      <w:proofErr w:type="gramStart"/>
      <w:r>
        <w:t>titania</w:t>
      </w:r>
      <w:proofErr w:type="spellEnd"/>
      <w:proofErr w:type="gramEnd"/>
      <w:r>
        <w:t>) as the dielectric multilayers. In the present work, the 1-DPC were deposited on standard microscope slides (</w:t>
      </w:r>
      <w:proofErr w:type="spellStart"/>
      <w:r>
        <w:t>Menzel</w:t>
      </w:r>
      <w:proofErr w:type="spellEnd"/>
      <w:r>
        <w:t xml:space="preserve">). The complex refractive indices of the dielectric materials were determined either by reflection/transmission spectroscopy on single supported thin films or by </w:t>
      </w:r>
      <w:proofErr w:type="spellStart"/>
      <w:r>
        <w:t>ellipsometry</w:t>
      </w:r>
      <w:proofErr w:type="spellEnd"/>
      <w:r>
        <w:t xml:space="preserve"> on test multilayers sustaining BSW to be nSiO</w:t>
      </w:r>
      <w:r w:rsidRPr="00035259">
        <w:rPr>
          <w:vertAlign w:val="subscript"/>
        </w:rPr>
        <w:t>2</w:t>
      </w:r>
      <w:r>
        <w:t xml:space="preserve"> = 1.474 + i5 × 10</w:t>
      </w:r>
      <w:r w:rsidRPr="00035259">
        <w:rPr>
          <w:vertAlign w:val="superscript"/>
        </w:rPr>
        <w:t>−6</w:t>
      </w:r>
      <w:r>
        <w:t xml:space="preserve"> , nTa</w:t>
      </w:r>
      <w:r w:rsidRPr="00035259">
        <w:rPr>
          <w:vertAlign w:val="subscript"/>
        </w:rPr>
        <w:t>2</w:t>
      </w:r>
      <w:r>
        <w:t>O</w:t>
      </w:r>
      <w:r w:rsidRPr="00035259">
        <w:rPr>
          <w:vertAlign w:val="subscript"/>
        </w:rPr>
        <w:t>5</w:t>
      </w:r>
      <w:r>
        <w:t xml:space="preserve"> =2.160 + i5 × 10</w:t>
      </w:r>
      <w:r w:rsidRPr="00035259">
        <w:rPr>
          <w:vertAlign w:val="superscript"/>
        </w:rPr>
        <w:t>−5</w:t>
      </w:r>
      <w:r>
        <w:t xml:space="preserve"> , and nTiO</w:t>
      </w:r>
      <w:r w:rsidRPr="00035259">
        <w:rPr>
          <w:vertAlign w:val="subscript"/>
        </w:rPr>
        <w:t>2</w:t>
      </w:r>
      <w:r>
        <w:t xml:space="preserve"> = 2.28 + i1.8 × 10</w:t>
      </w:r>
      <w:r w:rsidRPr="00035259">
        <w:rPr>
          <w:vertAlign w:val="superscript"/>
        </w:rPr>
        <w:t>−3</w:t>
      </w:r>
      <w:r>
        <w:t xml:space="preserve"> at the chosen wavelength of operation λ</w:t>
      </w:r>
      <w:r w:rsidRPr="00035259">
        <w:rPr>
          <w:vertAlign w:val="subscript"/>
        </w:rPr>
        <w:t>0</w:t>
      </w:r>
      <w:r>
        <w:t xml:space="preserve"> = 670 nm [12]. After cleaning, the </w:t>
      </w:r>
      <w:r>
        <w:lastRenderedPageBreak/>
        <w:t>microscope slides were preconditioned by plasma etching at low ion energies for 1 min before starting the deposition of the SiO</w:t>
      </w:r>
      <w:r w:rsidRPr="00035259">
        <w:rPr>
          <w:vertAlign w:val="subscript"/>
        </w:rPr>
        <w:t>2</w:t>
      </w:r>
      <w:r>
        <w:t>/Ta</w:t>
      </w:r>
      <w:r w:rsidRPr="00035259">
        <w:rPr>
          <w:vertAlign w:val="subscript"/>
        </w:rPr>
        <w:t>2</w:t>
      </w:r>
      <w:r>
        <w:t>O</w:t>
      </w:r>
      <w:r w:rsidRPr="00035259">
        <w:rPr>
          <w:vertAlign w:val="subscript"/>
        </w:rPr>
        <w:t>5</w:t>
      </w:r>
      <w:r>
        <w:t>/TiO</w:t>
      </w:r>
      <w:r w:rsidRPr="00035259">
        <w:rPr>
          <w:vertAlign w:val="subscript"/>
        </w:rPr>
        <w:t>2</w:t>
      </w:r>
      <w:r>
        <w:t xml:space="preserve"> 1-DPC, according to the optimized design. In order to achieve low absorption losses, a medium level argon ion assistance with ion energies of about</w:t>
      </w:r>
    </w:p>
    <w:p w:rsidR="00035259" w:rsidRDefault="00035259" w:rsidP="00035259">
      <w:pPr>
        <w:spacing w:after="0" w:line="240" w:lineRule="auto"/>
      </w:pPr>
      <w:r>
        <w:t>120 eV was applied [22]. Material evaporation was performed by an electron beam gun to obtain deposition rates of 0.5, 0.4, and 0.25 nm/s for SiO</w:t>
      </w:r>
      <w:r w:rsidRPr="00035259">
        <w:rPr>
          <w:vertAlign w:val="subscript"/>
        </w:rPr>
        <w:t>2</w:t>
      </w:r>
      <w:r>
        <w:t xml:space="preserve">, </w:t>
      </w:r>
      <w:proofErr w:type="gramStart"/>
      <w:r>
        <w:t>Ta</w:t>
      </w:r>
      <w:r w:rsidRPr="00035259">
        <w:rPr>
          <w:vertAlign w:val="subscript"/>
        </w:rPr>
        <w:t>2</w:t>
      </w:r>
      <w:r>
        <w:t>O</w:t>
      </w:r>
      <w:r w:rsidRPr="00035259">
        <w:rPr>
          <w:vertAlign w:val="subscript"/>
        </w:rPr>
        <w:t>5</w:t>
      </w:r>
      <w:r>
        <w:t xml:space="preserve"> ,</w:t>
      </w:r>
      <w:proofErr w:type="gramEnd"/>
      <w:r>
        <w:t xml:space="preserve"> and TiO</w:t>
      </w:r>
      <w:r w:rsidRPr="00035259">
        <w:rPr>
          <w:vertAlign w:val="subscript"/>
        </w:rPr>
        <w:t>2</w:t>
      </w:r>
      <w:r>
        <w:t xml:space="preserve"> layers, respectively.</w:t>
      </w:r>
    </w:p>
    <w:p w:rsidR="00035259" w:rsidRDefault="00035259" w:rsidP="00035259">
      <w:pPr>
        <w:spacing w:after="0" w:line="240" w:lineRule="auto"/>
      </w:pPr>
    </w:p>
    <w:p w:rsidR="00035259" w:rsidRDefault="00035259" w:rsidP="00035259">
      <w:pPr>
        <w:spacing w:after="0" w:line="240" w:lineRule="auto"/>
      </w:pPr>
      <w:r>
        <w:t>B. One Dimensional Photonic Crystals Design</w:t>
      </w:r>
    </w:p>
    <w:p w:rsidR="00A467EE" w:rsidRDefault="00A467EE" w:rsidP="00035259">
      <w:pPr>
        <w:spacing w:after="0" w:line="240" w:lineRule="auto"/>
      </w:pPr>
    </w:p>
    <w:p w:rsidR="00035259" w:rsidRDefault="00035259" w:rsidP="00035259">
      <w:pPr>
        <w:spacing w:after="0" w:line="240" w:lineRule="auto"/>
      </w:pPr>
      <w:r>
        <w:t xml:space="preserve">Based on the refractive indices of the selected materials at the wavelength of operation </w:t>
      </w:r>
      <w:proofErr w:type="gramStart"/>
      <w:r>
        <w:t>λ</w:t>
      </w:r>
      <w:r w:rsidRPr="00035259">
        <w:rPr>
          <w:vertAlign w:val="subscript"/>
        </w:rPr>
        <w:t>0</w:t>
      </w:r>
      <w:r>
        <w:t xml:space="preserve"> ,</w:t>
      </w:r>
      <w:proofErr w:type="gramEnd"/>
      <w:r>
        <w:t xml:space="preserve"> we designed 1DPC stacks according to the optimization procedures published elsewhere [23].</w:t>
      </w:r>
    </w:p>
    <w:p w:rsidR="00035259" w:rsidRDefault="00035259" w:rsidP="00035259">
      <w:pPr>
        <w:spacing w:after="0" w:line="240" w:lineRule="auto"/>
      </w:pPr>
      <w:r>
        <w:t xml:space="preserve">The optimization was carried out for TE polarized BSW; nevertheless in the following we also describe the TM polarized BSW sustained by the same biochip. The 1-DPC biochips were designed to operate in an external medium constituted by water with </w:t>
      </w:r>
      <w:proofErr w:type="spellStart"/>
      <w:proofErr w:type="gramStart"/>
      <w:r>
        <w:t>nW</w:t>
      </w:r>
      <w:proofErr w:type="spellEnd"/>
      <w:proofErr w:type="gramEnd"/>
      <w:r>
        <w:t xml:space="preserve"> = 1.33. The final structure of the 1-DPC is presented in Fig. 1(a).</w:t>
      </w:r>
    </w:p>
    <w:p w:rsidR="00A467EE" w:rsidRDefault="00A467EE" w:rsidP="00035259">
      <w:pPr>
        <w:spacing w:after="0" w:line="240" w:lineRule="auto"/>
      </w:pPr>
    </w:p>
    <w:p w:rsidR="00035259" w:rsidRDefault="00035259" w:rsidP="00035259">
      <w:pPr>
        <w:spacing w:after="0" w:line="240" w:lineRule="auto"/>
      </w:pPr>
      <w:r>
        <w:t>Starting from the substrate side, the 1-DPC is composed of a first SiO</w:t>
      </w:r>
      <w:r w:rsidRPr="00874083">
        <w:rPr>
          <w:vertAlign w:val="subscript"/>
        </w:rPr>
        <w:t>2</w:t>
      </w:r>
      <w:r>
        <w:t xml:space="preserve"> matching layer that is used to improve the reliability of the subsequent high index layer. Given the small difference of the refractive index with respect to the substrate, such a layer does not play any significant optical role. The core of the 1-DPC is a periodic structure with two Ta</w:t>
      </w:r>
      <w:r w:rsidRPr="00874083">
        <w:rPr>
          <w:vertAlign w:val="subscript"/>
        </w:rPr>
        <w:t>2</w:t>
      </w:r>
      <w:r>
        <w:t>O</w:t>
      </w:r>
      <w:r w:rsidRPr="00874083">
        <w:rPr>
          <w:vertAlign w:val="subscript"/>
        </w:rPr>
        <w:t>5</w:t>
      </w:r>
      <w:r>
        <w:t>/SiO</w:t>
      </w:r>
      <w:r w:rsidRPr="00874083">
        <w:rPr>
          <w:vertAlign w:val="subscript"/>
        </w:rPr>
        <w:t>2</w:t>
      </w:r>
      <w:r>
        <w:t xml:space="preserve"> bilayers with period Λ = dTa</w:t>
      </w:r>
      <w:r w:rsidRPr="00874083">
        <w:rPr>
          <w:vertAlign w:val="subscript"/>
        </w:rPr>
        <w:t>2</w:t>
      </w:r>
      <w:r>
        <w:t>O</w:t>
      </w:r>
      <w:r w:rsidRPr="00874083">
        <w:rPr>
          <w:vertAlign w:val="subscript"/>
        </w:rPr>
        <w:t>5</w:t>
      </w:r>
      <w:r>
        <w:t xml:space="preserve"> + dSiO</w:t>
      </w:r>
      <w:r w:rsidRPr="00874083">
        <w:rPr>
          <w:vertAlign w:val="subscript"/>
        </w:rPr>
        <w:t>2</w:t>
      </w:r>
      <w:r>
        <w:t>. The 1-DPC is then topped by a thin TiO</w:t>
      </w:r>
      <w:r w:rsidRPr="00874083">
        <w:rPr>
          <w:vertAlign w:val="subscript"/>
        </w:rPr>
        <w:t>2</w:t>
      </w:r>
      <w:r>
        <w:t>/SiO</w:t>
      </w:r>
      <w:r w:rsidRPr="00874083">
        <w:rPr>
          <w:vertAlign w:val="subscript"/>
        </w:rPr>
        <w:t>2</w:t>
      </w:r>
      <w:r>
        <w:t xml:space="preserve"> bilayer.</w:t>
      </w:r>
    </w:p>
    <w:p w:rsidR="00A467EE" w:rsidRDefault="00A467EE" w:rsidP="00035259">
      <w:pPr>
        <w:spacing w:after="0" w:line="240" w:lineRule="auto"/>
      </w:pPr>
    </w:p>
    <w:p w:rsidR="00035259" w:rsidRDefault="00035259" w:rsidP="00035259">
      <w:pPr>
        <w:spacing w:after="0" w:line="240" w:lineRule="auto"/>
      </w:pPr>
      <w:r>
        <w:t>First, we focus on the photonic properties of the core of the 1-DPC. In the case reported here the thicknesses used for the matching layer and the core of the 1-DPC are: dSiO</w:t>
      </w:r>
      <w:r w:rsidRPr="00874083">
        <w:rPr>
          <w:vertAlign w:val="subscript"/>
        </w:rPr>
        <w:t>2</w:t>
      </w:r>
      <w:r>
        <w:t xml:space="preserve"> =275 nm and dTa</w:t>
      </w:r>
      <w:r w:rsidRPr="00874083">
        <w:rPr>
          <w:vertAlign w:val="subscript"/>
        </w:rPr>
        <w:t>2</w:t>
      </w:r>
      <w:r>
        <w:t>O</w:t>
      </w:r>
      <w:r w:rsidRPr="00874083">
        <w:rPr>
          <w:vertAlign w:val="subscript"/>
        </w:rPr>
        <w:t>5</w:t>
      </w:r>
      <w:r>
        <w:t xml:space="preserve"> = 120 nm. In Fig. 2, where β is the transverse component of the </w:t>
      </w:r>
      <w:proofErr w:type="spellStart"/>
      <w:r>
        <w:t>wavevector</w:t>
      </w:r>
      <w:proofErr w:type="spellEnd"/>
      <w:r>
        <w:t xml:space="preserve"> and ω is the angular frequency, we show the calculated photonic band diagrams for an infinite 1-DPC with the same dTa</w:t>
      </w:r>
      <w:r w:rsidRPr="00874083">
        <w:rPr>
          <w:vertAlign w:val="subscript"/>
        </w:rPr>
        <w:t>2</w:t>
      </w:r>
      <w:r>
        <w:t>O</w:t>
      </w:r>
      <w:r w:rsidRPr="00874083">
        <w:rPr>
          <w:vertAlign w:val="subscript"/>
        </w:rPr>
        <w:t>5</w:t>
      </w:r>
      <w:r>
        <w:t xml:space="preserve"> and dSiO</w:t>
      </w:r>
      <w:r w:rsidRPr="00874083">
        <w:rPr>
          <w:vertAlign w:val="subscript"/>
        </w:rPr>
        <w:t>2</w:t>
      </w:r>
      <w:r>
        <w:t>. Such diagrams</w:t>
      </w:r>
      <w:r w:rsidR="00874083">
        <w:t xml:space="preserve"> </w:t>
      </w:r>
      <w:r>
        <w:t>are invariant with respect to Λ, provided the ratio dTa</w:t>
      </w:r>
      <w:r w:rsidRPr="00874083">
        <w:rPr>
          <w:vertAlign w:val="subscript"/>
        </w:rPr>
        <w:t>2</w:t>
      </w:r>
      <w:r>
        <w:t>O</w:t>
      </w:r>
      <w:r w:rsidRPr="00874083">
        <w:rPr>
          <w:vertAlign w:val="subscript"/>
        </w:rPr>
        <w:t>5</w:t>
      </w:r>
      <w:r>
        <w:t>/dSiO</w:t>
      </w:r>
      <w:r w:rsidRPr="00874083">
        <w:rPr>
          <w:vertAlign w:val="subscript"/>
        </w:rPr>
        <w:t>2</w:t>
      </w:r>
      <w:r w:rsidR="00874083">
        <w:t xml:space="preserve"> </w:t>
      </w:r>
      <w:r>
        <w:t>is constant. The permitted and forbidden bands are filled with</w:t>
      </w:r>
      <w:r w:rsidR="00874083">
        <w:t xml:space="preserve"> </w:t>
      </w:r>
      <w:r>
        <w:t xml:space="preserve">grey and white </w:t>
      </w:r>
      <w:proofErr w:type="spellStart"/>
      <w:r>
        <w:t>colors</w:t>
      </w:r>
      <w:proofErr w:type="spellEnd"/>
      <w:r>
        <w:t>, respectively, and the dispersion of light</w:t>
      </w:r>
      <w:r w:rsidR="00874083">
        <w:t xml:space="preserve"> </w:t>
      </w:r>
      <w:r>
        <w:t>in the external medium (LL) is plotted as a black dashed curve.</w:t>
      </w:r>
    </w:p>
    <w:p w:rsidR="00035259" w:rsidRDefault="00035259" w:rsidP="00035259">
      <w:pPr>
        <w:spacing w:after="0" w:line="240" w:lineRule="auto"/>
      </w:pPr>
      <w:r>
        <w:t>The diagrams were calculated by means of an iterative plane</w:t>
      </w:r>
      <w:r w:rsidR="00874083">
        <w:t xml:space="preserve"> </w:t>
      </w:r>
      <w:r>
        <w:t>wave Eigen–Solver method [24] for both the TE and the TM</w:t>
      </w:r>
      <w:r w:rsidR="00874083">
        <w:t xml:space="preserve"> </w:t>
      </w:r>
      <w:r>
        <w:t>polarizations.</w:t>
      </w:r>
    </w:p>
    <w:p w:rsidR="00874083" w:rsidRDefault="00874083" w:rsidP="00035259">
      <w:pPr>
        <w:spacing w:after="0" w:line="240" w:lineRule="auto"/>
      </w:pPr>
    </w:p>
    <w:p w:rsidR="00874083" w:rsidRDefault="00874083" w:rsidP="00035259">
      <w:pPr>
        <w:spacing w:after="0" w:line="240" w:lineRule="auto"/>
      </w:pPr>
      <w:r w:rsidRPr="00874083">
        <w:rPr>
          <w:noProof/>
          <w:lang w:eastAsia="en-GB"/>
        </w:rPr>
        <w:drawing>
          <wp:inline distT="0" distB="0" distL="0" distR="0">
            <wp:extent cx="2880000" cy="26908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0000" cy="2690882"/>
                    </a:xfrm>
                    <a:prstGeom prst="rect">
                      <a:avLst/>
                    </a:prstGeom>
                    <a:noFill/>
                    <a:ln>
                      <a:noFill/>
                    </a:ln>
                  </pic:spPr>
                </pic:pic>
              </a:graphicData>
            </a:graphic>
          </wp:inline>
        </w:drawing>
      </w:r>
    </w:p>
    <w:p w:rsidR="00874083" w:rsidRDefault="00874083" w:rsidP="00035259">
      <w:pPr>
        <w:spacing w:after="0" w:line="240" w:lineRule="auto"/>
      </w:pPr>
    </w:p>
    <w:p w:rsidR="00874083" w:rsidRPr="00A467EE" w:rsidRDefault="00874083" w:rsidP="00874083">
      <w:pPr>
        <w:spacing w:after="0" w:line="240" w:lineRule="auto"/>
        <w:rPr>
          <w:i/>
        </w:rPr>
      </w:pPr>
      <w:r w:rsidRPr="00A467EE">
        <w:rPr>
          <w:i/>
        </w:rPr>
        <w:t>Fig. 1. (a) Geometry of the 1-DPC. The thicknesses of the SiO</w:t>
      </w:r>
      <w:r w:rsidRPr="00A467EE">
        <w:rPr>
          <w:i/>
          <w:vertAlign w:val="subscript"/>
        </w:rPr>
        <w:t>2</w:t>
      </w:r>
      <w:r w:rsidRPr="00A467EE">
        <w:rPr>
          <w:i/>
        </w:rPr>
        <w:t xml:space="preserve"> and Ta</w:t>
      </w:r>
      <w:r w:rsidRPr="00A467EE">
        <w:rPr>
          <w:i/>
          <w:vertAlign w:val="subscript"/>
        </w:rPr>
        <w:t>2</w:t>
      </w:r>
      <w:r w:rsidRPr="00A467EE">
        <w:rPr>
          <w:i/>
        </w:rPr>
        <w:t>O</w:t>
      </w:r>
      <w:r w:rsidRPr="00A467EE">
        <w:rPr>
          <w:i/>
          <w:vertAlign w:val="subscript"/>
        </w:rPr>
        <w:t>5</w:t>
      </w:r>
      <w:r w:rsidRPr="00A467EE">
        <w:rPr>
          <w:i/>
        </w:rPr>
        <w:t xml:space="preserve"> layers in the periodic part are dSiO</w:t>
      </w:r>
      <w:r w:rsidRPr="00A467EE">
        <w:rPr>
          <w:i/>
          <w:vertAlign w:val="subscript"/>
        </w:rPr>
        <w:t>2</w:t>
      </w:r>
      <w:r w:rsidRPr="00A467EE">
        <w:rPr>
          <w:i/>
        </w:rPr>
        <w:t xml:space="preserve"> = 275 nm and dTa</w:t>
      </w:r>
      <w:r w:rsidRPr="00A467EE">
        <w:rPr>
          <w:i/>
          <w:vertAlign w:val="subscript"/>
        </w:rPr>
        <w:t>2</w:t>
      </w:r>
      <w:r w:rsidRPr="00A467EE">
        <w:rPr>
          <w:i/>
        </w:rPr>
        <w:t>O</w:t>
      </w:r>
      <w:r w:rsidRPr="00A467EE">
        <w:rPr>
          <w:i/>
          <w:vertAlign w:val="subscript"/>
        </w:rPr>
        <w:t>5</w:t>
      </w:r>
      <w:r w:rsidRPr="00A467EE">
        <w:rPr>
          <w:i/>
        </w:rPr>
        <w:t xml:space="preserve"> = 120 nm, respectively. The thicknesses of the two top layers are dTiO</w:t>
      </w:r>
      <w:r w:rsidRPr="00A467EE">
        <w:rPr>
          <w:i/>
          <w:vertAlign w:val="subscript"/>
        </w:rPr>
        <w:t>2</w:t>
      </w:r>
      <w:r w:rsidRPr="00A467EE">
        <w:rPr>
          <w:i/>
        </w:rPr>
        <w:t xml:space="preserve"> = 20 nm and dSiO</w:t>
      </w:r>
      <w:r w:rsidRPr="00A467EE">
        <w:rPr>
          <w:i/>
          <w:vertAlign w:val="subscript"/>
        </w:rPr>
        <w:t>2</w:t>
      </w:r>
      <w:r w:rsidRPr="00A467EE">
        <w:rPr>
          <w:i/>
        </w:rPr>
        <w:t xml:space="preserve">= 20 nm, respectively. (b) Numerically calculated transverse intensity distributions </w:t>
      </w:r>
      <w:r w:rsidRPr="00A467EE">
        <w:rPr>
          <w:i/>
        </w:rPr>
        <w:lastRenderedPageBreak/>
        <w:t>for the TE and TMBSW at λ</w:t>
      </w:r>
      <w:r w:rsidRPr="00A467EE">
        <w:rPr>
          <w:i/>
          <w:vertAlign w:val="subscript"/>
        </w:rPr>
        <w:t>0</w:t>
      </w:r>
      <w:r w:rsidRPr="00A467EE">
        <w:rPr>
          <w:i/>
        </w:rPr>
        <w:t xml:space="preserve"> = 670 nm. (c) </w:t>
      </w:r>
      <w:proofErr w:type="spellStart"/>
      <w:r w:rsidRPr="00A467EE">
        <w:rPr>
          <w:i/>
        </w:rPr>
        <w:t>Reflectances</w:t>
      </w:r>
      <w:proofErr w:type="spellEnd"/>
      <w:r w:rsidRPr="00A467EE">
        <w:rPr>
          <w:i/>
        </w:rPr>
        <w:t xml:space="preserve"> for the TE and TM polarization at λ</w:t>
      </w:r>
      <w:r w:rsidRPr="00A467EE">
        <w:rPr>
          <w:i/>
          <w:vertAlign w:val="subscript"/>
        </w:rPr>
        <w:t>0</w:t>
      </w:r>
      <w:r w:rsidRPr="00A467EE">
        <w:rPr>
          <w:i/>
        </w:rPr>
        <w:t xml:space="preserve"> = 670 nm calculated numerically, assuming the light is coming from the substrate side.</w:t>
      </w:r>
    </w:p>
    <w:p w:rsidR="00874083" w:rsidRDefault="00874083" w:rsidP="00035259">
      <w:pPr>
        <w:spacing w:after="0" w:line="240" w:lineRule="auto"/>
      </w:pPr>
    </w:p>
    <w:p w:rsidR="00874083" w:rsidRDefault="00035259" w:rsidP="00874083">
      <w:pPr>
        <w:spacing w:after="0" w:line="240" w:lineRule="auto"/>
      </w:pPr>
      <w:r>
        <w:t>The finite 1-DPC schematically presented in Fig. 1(a) can</w:t>
      </w:r>
      <w:r w:rsidR="00874083">
        <w:t xml:space="preserve"> </w:t>
      </w:r>
      <w:r>
        <w:t>sustain BSW confined at the truncation interface, between</w:t>
      </w:r>
      <w:r w:rsidR="00874083">
        <w:t xml:space="preserve"> </w:t>
      </w:r>
      <w:r>
        <w:t>the 1-DPC and the external medium, whose dispersion must</w:t>
      </w:r>
      <w:r w:rsidR="00874083">
        <w:t xml:space="preserve"> </w:t>
      </w:r>
      <w:r>
        <w:t>lay in a forbidden band of the 1-DPC [7]. In Fig. 2 (blue</w:t>
      </w:r>
      <w:r w:rsidR="00874083">
        <w:t xml:space="preserve"> </w:t>
      </w:r>
      <w:r>
        <w:t>curves), we show the numerically calculated dispersions of</w:t>
      </w:r>
      <w:r w:rsidR="00874083">
        <w:t xml:space="preserve"> </w:t>
      </w:r>
      <w:r>
        <w:t>such BSW when the top bilayer is absent, for both the TE and</w:t>
      </w:r>
      <w:r w:rsidR="00874083">
        <w:t xml:space="preserve"> TM polarizations. The dispersions are located beyond the LL, therefore the BSW can be excited only in a total internal reflection configuration. The curves were derived from the spectrally and angularly resolved reflectance, for excitation from the substrate side, calculated by means of a plane wave transfer matrix method [21]. </w:t>
      </w:r>
    </w:p>
    <w:p w:rsidR="00F1163F" w:rsidRDefault="00F1163F" w:rsidP="00874083">
      <w:pPr>
        <w:spacing w:after="0" w:line="240" w:lineRule="auto"/>
      </w:pPr>
    </w:p>
    <w:p w:rsidR="00874083" w:rsidRDefault="00874083" w:rsidP="00874083">
      <w:pPr>
        <w:spacing w:after="0" w:line="240" w:lineRule="auto"/>
      </w:pPr>
      <w:r w:rsidRPr="00874083">
        <w:rPr>
          <w:noProof/>
          <w:lang w:eastAsia="en-GB"/>
        </w:rPr>
        <w:drawing>
          <wp:inline distT="0" distB="0" distL="0" distR="0">
            <wp:extent cx="2880000" cy="5195520"/>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0000" cy="5195520"/>
                    </a:xfrm>
                    <a:prstGeom prst="rect">
                      <a:avLst/>
                    </a:prstGeom>
                    <a:noFill/>
                    <a:ln>
                      <a:noFill/>
                    </a:ln>
                  </pic:spPr>
                </pic:pic>
              </a:graphicData>
            </a:graphic>
          </wp:inline>
        </w:drawing>
      </w:r>
    </w:p>
    <w:p w:rsidR="00A467EE" w:rsidRDefault="00A467EE" w:rsidP="00874083">
      <w:pPr>
        <w:spacing w:after="0" w:line="240" w:lineRule="auto"/>
        <w:rPr>
          <w:i/>
        </w:rPr>
      </w:pPr>
    </w:p>
    <w:p w:rsidR="00874083" w:rsidRPr="00A467EE" w:rsidRDefault="00874083" w:rsidP="00874083">
      <w:pPr>
        <w:spacing w:after="0" w:line="240" w:lineRule="auto"/>
        <w:rPr>
          <w:i/>
        </w:rPr>
      </w:pPr>
      <w:r w:rsidRPr="00A467EE">
        <w:rPr>
          <w:i/>
        </w:rPr>
        <w:t>Fig. 2. Photonic bands for a periodic and infinite 1-DPC with dSiO</w:t>
      </w:r>
      <w:r w:rsidRPr="00A467EE">
        <w:rPr>
          <w:i/>
          <w:vertAlign w:val="subscript"/>
        </w:rPr>
        <w:t>2</w:t>
      </w:r>
      <w:r w:rsidRPr="00A467EE">
        <w:rPr>
          <w:i/>
        </w:rPr>
        <w:t xml:space="preserve"> = 275 nm and dTa</w:t>
      </w:r>
      <w:r w:rsidRPr="00A467EE">
        <w:rPr>
          <w:i/>
          <w:vertAlign w:val="subscript"/>
        </w:rPr>
        <w:t>2</w:t>
      </w:r>
      <w:r w:rsidRPr="00A467EE">
        <w:rPr>
          <w:i/>
        </w:rPr>
        <w:t>O</w:t>
      </w:r>
      <w:r w:rsidRPr="00A467EE">
        <w:rPr>
          <w:i/>
          <w:vertAlign w:val="subscript"/>
        </w:rPr>
        <w:t>5</w:t>
      </w:r>
      <w:r w:rsidRPr="00A467EE">
        <w:rPr>
          <w:i/>
        </w:rPr>
        <w:t xml:space="preserve"> = 120 nm, for the TE and TM polarizations. The permitted and forbidden bands are filled with grey and white </w:t>
      </w:r>
      <w:proofErr w:type="spellStart"/>
      <w:r w:rsidRPr="00A467EE">
        <w:rPr>
          <w:i/>
        </w:rPr>
        <w:t>colors</w:t>
      </w:r>
      <w:proofErr w:type="spellEnd"/>
      <w:r w:rsidRPr="00A467EE">
        <w:rPr>
          <w:i/>
        </w:rPr>
        <w:t>, respectively. The light line in the external medium (LL) is plotted with a black dashed line.</w:t>
      </w:r>
    </w:p>
    <w:p w:rsidR="00874083" w:rsidRPr="00A467EE" w:rsidRDefault="00874083" w:rsidP="00874083">
      <w:pPr>
        <w:spacing w:after="0" w:line="240" w:lineRule="auto"/>
        <w:rPr>
          <w:i/>
        </w:rPr>
      </w:pPr>
      <w:r w:rsidRPr="00A467EE">
        <w:rPr>
          <w:i/>
        </w:rPr>
        <w:t>The dispersion of the BSW for the finite 1-DPC shown in Fig. 1 (a), either without (blue) or with (red) the top layers are also plotted. The horizontal green dashed line corresponds to the wavelength used in the experiments λ</w:t>
      </w:r>
      <w:r w:rsidRPr="00A467EE">
        <w:rPr>
          <w:i/>
          <w:vertAlign w:val="subscript"/>
        </w:rPr>
        <w:t>0</w:t>
      </w:r>
      <w:r w:rsidRPr="00A467EE">
        <w:rPr>
          <w:i/>
        </w:rPr>
        <w:t xml:space="preserve"> = 670 nm.</w:t>
      </w:r>
    </w:p>
    <w:p w:rsidR="00874083" w:rsidRDefault="00874083" w:rsidP="00874083">
      <w:pPr>
        <w:spacing w:after="0" w:line="240" w:lineRule="auto"/>
      </w:pPr>
    </w:p>
    <w:p w:rsidR="00874083" w:rsidRDefault="00874083" w:rsidP="00874083">
      <w:pPr>
        <w:spacing w:after="0" w:line="240" w:lineRule="auto"/>
      </w:pPr>
      <w:r>
        <w:t>Fig. 2 (red curves) shows the dispersions of the BSW obtained when the top bilayer is present, calculated by the same method. The thicknesses of the two top layers are: dTiO</w:t>
      </w:r>
      <w:r w:rsidRPr="00874083">
        <w:rPr>
          <w:vertAlign w:val="subscript"/>
        </w:rPr>
        <w:t>2</w:t>
      </w:r>
      <w:r>
        <w:t xml:space="preserve"> =</w:t>
      </w:r>
    </w:p>
    <w:p w:rsidR="00874083" w:rsidRDefault="00874083" w:rsidP="00874083">
      <w:pPr>
        <w:spacing w:after="0" w:line="240" w:lineRule="auto"/>
      </w:pPr>
      <w:r>
        <w:lastRenderedPageBreak/>
        <w:t>20 nm and dSiO</w:t>
      </w:r>
      <w:r w:rsidRPr="00874083">
        <w:rPr>
          <w:vertAlign w:val="subscript"/>
        </w:rPr>
        <w:t>2</w:t>
      </w:r>
      <w:r>
        <w:t xml:space="preserve"> = 20 nm. The effect of the dielectric load of such TiO</w:t>
      </w:r>
      <w:r w:rsidRPr="00874083">
        <w:rPr>
          <w:vertAlign w:val="subscript"/>
        </w:rPr>
        <w:t>2</w:t>
      </w:r>
      <w:r>
        <w:t>/SiO</w:t>
      </w:r>
      <w:r w:rsidRPr="00874083">
        <w:rPr>
          <w:vertAlign w:val="subscript"/>
        </w:rPr>
        <w:t>2</w:t>
      </w:r>
      <w:r>
        <w:t xml:space="preserve"> bilayer is to shift the BSW dispersion towards larger β values. For the TE polarization, this has the effect to bring the dispersion at the centre of the forbidden band and far from the LL, increasing the field localization of the BSW at the truncation interface.</w:t>
      </w:r>
    </w:p>
    <w:p w:rsidR="00A467EE" w:rsidRDefault="00A467EE" w:rsidP="00874083">
      <w:pPr>
        <w:spacing w:after="0" w:line="240" w:lineRule="auto"/>
      </w:pPr>
    </w:p>
    <w:p w:rsidR="00874083" w:rsidRDefault="00874083" w:rsidP="00874083">
      <w:pPr>
        <w:spacing w:after="0" w:line="240" w:lineRule="auto"/>
      </w:pPr>
      <w:r>
        <w:t>At the chosen λ</w:t>
      </w:r>
      <w:r w:rsidRPr="00874083">
        <w:rPr>
          <w:vertAlign w:val="subscript"/>
        </w:rPr>
        <w:t>0</w:t>
      </w:r>
      <w:r>
        <w:t xml:space="preserve"> that is used in the experiments, whose corresponding normalized angular frequency is marked with a horizontal line in Fig. 2 (green dashed line), we therefore obtain two BSW, one TE and one TM.</w:t>
      </w:r>
    </w:p>
    <w:p w:rsidR="00A467EE" w:rsidRDefault="00A467EE" w:rsidP="00874083">
      <w:pPr>
        <w:spacing w:after="0" w:line="240" w:lineRule="auto"/>
      </w:pPr>
    </w:p>
    <w:p w:rsidR="00874083" w:rsidRDefault="00874083" w:rsidP="00874083">
      <w:pPr>
        <w:spacing w:after="0" w:line="240" w:lineRule="auto"/>
      </w:pPr>
      <w:r>
        <w:t>In Fig. 1(b) we show the normalized transverse intensity distributions of such BSW at λ</w:t>
      </w:r>
      <w:r w:rsidRPr="00874083">
        <w:rPr>
          <w:vertAlign w:val="subscript"/>
        </w:rPr>
        <w:t>0</w:t>
      </w:r>
      <w:r>
        <w:t>. The TE BSW is much localized at the interface, whereas the TM BSW extends down into the substrate. This makes that both BSW are leaky into the substrate but with a coupling coefficient that is small for TE and large for the TM polarization. Such coupling coefficient corresponds to radiation loss of the surface wave’s energy.</w:t>
      </w:r>
    </w:p>
    <w:p w:rsidR="00A467EE" w:rsidRDefault="00A467EE" w:rsidP="00874083">
      <w:pPr>
        <w:spacing w:after="0" w:line="240" w:lineRule="auto"/>
      </w:pPr>
    </w:p>
    <w:p w:rsidR="00874083" w:rsidRDefault="00874083" w:rsidP="00874083">
      <w:pPr>
        <w:spacing w:after="0" w:line="240" w:lineRule="auto"/>
      </w:pPr>
      <w:r>
        <w:t xml:space="preserve">In Fig. 1(c) we show the TE and TM angular </w:t>
      </w:r>
      <w:proofErr w:type="spellStart"/>
      <w:r>
        <w:t>reflectances</w:t>
      </w:r>
      <w:proofErr w:type="spellEnd"/>
      <w:r>
        <w:t xml:space="preserve"> of the 1-DPC biochip from the substrate side, calculated at λ</w:t>
      </w:r>
      <w:r w:rsidRPr="00874083">
        <w:rPr>
          <w:vertAlign w:val="subscript"/>
        </w:rPr>
        <w:t>0</w:t>
      </w:r>
      <w:r>
        <w:t>. The excitation of the TE BSW reveals as a narrow dip. The characteristics of such dip (depth, width) are the result of a balance between the radiation loss, which is related to the number of periods of the 1-DPC, and the absorption losses in the 1-DPC [21]. The thickness and absorption coefficient of the high index top layer can be tuned to optimize the position of the</w:t>
      </w:r>
    </w:p>
    <w:p w:rsidR="00874083" w:rsidRDefault="00874083" w:rsidP="00874083">
      <w:pPr>
        <w:spacing w:after="0" w:line="240" w:lineRule="auto"/>
      </w:pPr>
      <w:r>
        <w:t>BSW dispersion in the 1-DPC forbidden band and the depth of the resonance. This leads to the choice of TiO</w:t>
      </w:r>
      <w:r w:rsidRPr="00874083">
        <w:rPr>
          <w:vertAlign w:val="subscript"/>
        </w:rPr>
        <w:t>2</w:t>
      </w:r>
      <w:r>
        <w:t xml:space="preserve"> as high index layer with a thickness of 20 nm and an absorption coefficient that matches the need of balanced losses. Given its stronger coupling to the substrate, the TM BSW resonance is much broader and the depth of the resonance is limited to not more than 1%.</w:t>
      </w:r>
    </w:p>
    <w:p w:rsidR="00874083" w:rsidRDefault="00874083" w:rsidP="00874083">
      <w:pPr>
        <w:spacing w:after="0" w:line="240" w:lineRule="auto"/>
      </w:pPr>
      <w:r>
        <w:t>A last SiO</w:t>
      </w:r>
      <w:r w:rsidRPr="00874083">
        <w:rPr>
          <w:vertAlign w:val="subscript"/>
        </w:rPr>
        <w:t>2</w:t>
      </w:r>
      <w:r>
        <w:t xml:space="preserve"> top layer was introduced to provide a suitable surface for robust chemical functionalization method via </w:t>
      </w:r>
      <w:proofErr w:type="spellStart"/>
      <w:r>
        <w:t>silanization</w:t>
      </w:r>
      <w:proofErr w:type="spellEnd"/>
      <w:r>
        <w:t xml:space="preserve"> approach. The effect of both SiO</w:t>
      </w:r>
      <w:r w:rsidRPr="00874083">
        <w:rPr>
          <w:vertAlign w:val="subscript"/>
        </w:rPr>
        <w:t>2</w:t>
      </w:r>
      <w:r>
        <w:t xml:space="preserve"> and TiO</w:t>
      </w:r>
      <w:r w:rsidRPr="00874083">
        <w:rPr>
          <w:vertAlign w:val="subscript"/>
        </w:rPr>
        <w:t>2</w:t>
      </w:r>
      <w:r>
        <w:t xml:space="preserve"> top layers on the properties of the TE BSW was taken into account when designing the 1-DPC.</w:t>
      </w:r>
    </w:p>
    <w:p w:rsidR="00035259" w:rsidRDefault="00874083" w:rsidP="00874083">
      <w:pPr>
        <w:spacing w:after="0" w:line="240" w:lineRule="auto"/>
      </w:pPr>
      <w:r>
        <w:t xml:space="preserve">The optimization procedure used here to design the 1-DPC [23] maximizes the sensitivity S of the BSW resonance angle θ with respect to the change of the thickness h of a biological </w:t>
      </w:r>
      <w:proofErr w:type="spellStart"/>
      <w:r>
        <w:t>adlayer</w:t>
      </w:r>
      <w:proofErr w:type="spellEnd"/>
      <w:r>
        <w:t xml:space="preserve">, with </w:t>
      </w:r>
      <w:proofErr w:type="spellStart"/>
      <w:r>
        <w:t>nBIO</w:t>
      </w:r>
      <w:proofErr w:type="spellEnd"/>
      <w:r>
        <w:t xml:space="preserve"> = 1.42, bound at the biochip surface (S = </w:t>
      </w:r>
      <w:proofErr w:type="spellStart"/>
      <w:r>
        <w:t>dθ</w:t>
      </w:r>
      <w:proofErr w:type="spellEnd"/>
      <w:r>
        <w:t>/dh). The performance of the optimized biochips can be characterized by means of the figure of merit (</w:t>
      </w:r>
      <w:proofErr w:type="spellStart"/>
      <w:r>
        <w:t>FoM</w:t>
      </w:r>
      <w:proofErr w:type="spellEnd"/>
      <w:r>
        <w:t>) defined as [21]:</w:t>
      </w:r>
    </w:p>
    <w:p w:rsidR="00874083" w:rsidRPr="00874083" w:rsidRDefault="00874083" w:rsidP="00874083">
      <w:pPr>
        <w:spacing w:after="0" w:line="240" w:lineRule="auto"/>
        <w:rPr>
          <w:rFonts w:eastAsiaTheme="minorEastAsia"/>
        </w:rPr>
      </w:pPr>
      <m:oMathPara>
        <m:oMath>
          <m:r>
            <w:rPr>
              <w:rFonts w:ascii="Cambria Math" w:hAnsi="Cambria Math"/>
            </w:rPr>
            <m:t>FoM=S</m:t>
          </m:r>
          <m:f>
            <m:fPr>
              <m:ctrlPr>
                <w:rPr>
                  <w:rFonts w:ascii="Cambria Math" w:hAnsi="Cambria Math"/>
                  <w:i/>
                </w:rPr>
              </m:ctrlPr>
            </m:fPr>
            <m:num>
              <m:r>
                <w:rPr>
                  <w:rFonts w:ascii="Cambria Math" w:hAnsi="Cambria Math"/>
                </w:rPr>
                <m:t>D</m:t>
              </m:r>
            </m:num>
            <m:den>
              <m:r>
                <w:rPr>
                  <w:rFonts w:ascii="Cambria Math" w:hAnsi="Cambria Math"/>
                </w:rPr>
                <m:t>W</m:t>
              </m:r>
            </m:den>
          </m:f>
        </m:oMath>
      </m:oMathPara>
    </w:p>
    <w:p w:rsidR="00874083" w:rsidRDefault="00874083" w:rsidP="00874083">
      <w:pPr>
        <w:spacing w:after="0" w:line="240" w:lineRule="auto"/>
      </w:pPr>
      <w:proofErr w:type="gramStart"/>
      <w:r>
        <w:t>where</w:t>
      </w:r>
      <w:proofErr w:type="gramEnd"/>
      <w:r>
        <w:t xml:space="preserve"> W is the angular full width half maximum of the BSW resonance and D is the resonance depth, as shown in Fig. 1(c). Maximizing the </w:t>
      </w:r>
      <w:proofErr w:type="spellStart"/>
      <w:r>
        <w:t>FoM</w:t>
      </w:r>
      <w:proofErr w:type="spellEnd"/>
      <w:r>
        <w:t xml:space="preserve"> corresponds to minimizing the </w:t>
      </w:r>
      <w:proofErr w:type="spellStart"/>
      <w:r>
        <w:t>LoD</w:t>
      </w:r>
      <w:proofErr w:type="spellEnd"/>
      <w:r>
        <w:t xml:space="preserve"> of the biochips [23]. For the 1-DPC design sketched in Fig. 1(a), we numerically evaluated that, for the TE BSW, S = 0.037 </w:t>
      </w:r>
      <w:proofErr w:type="spellStart"/>
      <w:r>
        <w:t>deg</w:t>
      </w:r>
      <w:proofErr w:type="spellEnd"/>
      <w:r>
        <w:t xml:space="preserve">/nm, W = 0.14 </w:t>
      </w:r>
      <w:proofErr w:type="spellStart"/>
      <w:r>
        <w:t>deg</w:t>
      </w:r>
      <w:proofErr w:type="spellEnd"/>
      <w:r>
        <w:t xml:space="preserve">, D = 0.9. Therefore we have </w:t>
      </w:r>
      <w:proofErr w:type="spellStart"/>
      <w:r>
        <w:t>FoMBSW</w:t>
      </w:r>
      <w:proofErr w:type="spellEnd"/>
      <w:r>
        <w:t xml:space="preserve"> = 0.24 nm−1. This </w:t>
      </w:r>
      <w:proofErr w:type="spellStart"/>
      <w:r>
        <w:t>FoMBSW</w:t>
      </w:r>
      <w:proofErr w:type="spellEnd"/>
      <w:r>
        <w:t xml:space="preserve"> value is larger than the experimentally determined value for standard SPR biochips (</w:t>
      </w:r>
      <w:proofErr w:type="spellStart"/>
      <w:r>
        <w:t>FoMSPP</w:t>
      </w:r>
      <w:proofErr w:type="spellEnd"/>
      <w:r>
        <w:t xml:space="preserve"> = 0.05 nm−1), indicating that BSW biochips can provide a smaller </w:t>
      </w:r>
      <w:proofErr w:type="spellStart"/>
      <w:r>
        <w:t>LoD</w:t>
      </w:r>
      <w:proofErr w:type="spellEnd"/>
      <w:r>
        <w:t>, a highly crucial feature for bio-sensing applications.</w:t>
      </w:r>
    </w:p>
    <w:p w:rsidR="00874083" w:rsidRDefault="00874083" w:rsidP="00874083">
      <w:pPr>
        <w:spacing w:after="0" w:line="240" w:lineRule="auto"/>
      </w:pPr>
    </w:p>
    <w:p w:rsidR="00874083" w:rsidRDefault="00874083" w:rsidP="00874083">
      <w:pPr>
        <w:spacing w:after="0" w:line="240" w:lineRule="auto"/>
      </w:pPr>
      <w:r>
        <w:t xml:space="preserve">C. Surface Functionalization and </w:t>
      </w:r>
      <w:proofErr w:type="spellStart"/>
      <w:r>
        <w:t>Bioconjugation</w:t>
      </w:r>
      <w:proofErr w:type="spellEnd"/>
      <w:r>
        <w:t xml:space="preserve"> of Proteins onto 1-DPC Biochips</w:t>
      </w:r>
    </w:p>
    <w:p w:rsidR="00A467EE" w:rsidRDefault="00A467EE" w:rsidP="00874083">
      <w:pPr>
        <w:spacing w:after="0" w:line="240" w:lineRule="auto"/>
      </w:pPr>
    </w:p>
    <w:p w:rsidR="00874083" w:rsidRDefault="00874083" w:rsidP="00874083">
      <w:pPr>
        <w:spacing w:after="0" w:line="240" w:lineRule="auto"/>
      </w:pPr>
      <w:r>
        <w:t xml:space="preserve">The 1-DPC biochips were first cleaned in piranha solution (3:1 mixture of </w:t>
      </w:r>
      <w:proofErr w:type="spellStart"/>
      <w:r>
        <w:t>sulfuric</w:t>
      </w:r>
      <w:proofErr w:type="spellEnd"/>
      <w:r>
        <w:t xml:space="preserve"> acid and 30% hydrogen peroxide) for 10 min. The biochips were then rinsed thoroughly with deionized</w:t>
      </w:r>
    </w:p>
    <w:p w:rsidR="00874083" w:rsidRDefault="00874083" w:rsidP="00874083">
      <w:pPr>
        <w:spacing w:after="0" w:line="240" w:lineRule="auto"/>
      </w:pPr>
      <w:r>
        <w:t xml:space="preserve">(DI) water and dried under a stream of nitrogen gas. This procedure allows the removal of all organic contaminants and exposes hydroxyl groups for the following functionalization step. The cleaned biochips were immersed into a 2%solution of (3-aminopropyl) </w:t>
      </w:r>
      <w:proofErr w:type="spellStart"/>
      <w:r>
        <w:t>triethoxysilane</w:t>
      </w:r>
      <w:proofErr w:type="spellEnd"/>
      <w:r>
        <w:t xml:space="preserve"> (APTES from Sigma-Aldrich) in ethanol/water (95:5 v/v) mixture at room temperature (RT) for 1 h. The chips were then removed from the APTES solution, </w:t>
      </w:r>
      <w:proofErr w:type="spellStart"/>
      <w:r>
        <w:t>sonicated</w:t>
      </w:r>
      <w:proofErr w:type="spellEnd"/>
      <w:r>
        <w:t xml:space="preserve">, rinsed with ethanol and baked on a hot plate at 110 °C for 1 h. The APTES-modified chips were allowed to react with 1% (v/v) </w:t>
      </w:r>
      <w:proofErr w:type="spellStart"/>
      <w:r>
        <w:t>glutaraldehyde</w:t>
      </w:r>
      <w:proofErr w:type="spellEnd"/>
      <w:r>
        <w:t xml:space="preserve"> (Sigma-Aldrich) in 100 </w:t>
      </w:r>
      <w:proofErr w:type="spellStart"/>
      <w:r>
        <w:t>mM</w:t>
      </w:r>
      <w:proofErr w:type="spellEnd"/>
      <w:r>
        <w:t xml:space="preserve"> sodium bicarbonate buffer (pH 8.5) in the presence of 0.1 </w:t>
      </w:r>
      <w:proofErr w:type="spellStart"/>
      <w:r>
        <w:t>mM</w:t>
      </w:r>
      <w:proofErr w:type="spellEnd"/>
      <w:r>
        <w:t xml:space="preserve"> sodium </w:t>
      </w:r>
      <w:proofErr w:type="spellStart"/>
      <w:r>
        <w:lastRenderedPageBreak/>
        <w:t>cyanoborohydride</w:t>
      </w:r>
      <w:proofErr w:type="spellEnd"/>
      <w:r>
        <w:t xml:space="preserve"> (from Sigma-Aldrich) for 1 </w:t>
      </w:r>
      <w:proofErr w:type="spellStart"/>
      <w:r>
        <w:t>h at</w:t>
      </w:r>
      <w:proofErr w:type="spellEnd"/>
      <w:r>
        <w:t xml:space="preserve"> RT. A further sonication and rinsing in DI water was followed.</w:t>
      </w:r>
    </w:p>
    <w:p w:rsidR="00A467EE" w:rsidRDefault="00A467EE" w:rsidP="00874083">
      <w:pPr>
        <w:spacing w:after="0" w:line="240" w:lineRule="auto"/>
      </w:pPr>
    </w:p>
    <w:p w:rsidR="00874083" w:rsidRDefault="00874083" w:rsidP="00874083">
      <w:pPr>
        <w:spacing w:after="0" w:line="240" w:lineRule="auto"/>
      </w:pPr>
      <w:r>
        <w:t xml:space="preserve">The </w:t>
      </w:r>
      <w:proofErr w:type="spellStart"/>
      <w:r>
        <w:t>glutaraldehyde</w:t>
      </w:r>
      <w:proofErr w:type="spellEnd"/>
      <w:r>
        <w:t>-activated surface of the biochip was then divided into two regions, reference and signal regions, by means of a hydrophobic marker, as shown in Fig. 3. The signal and reference regions were incubated with Protein G (</w:t>
      </w:r>
      <w:proofErr w:type="spellStart"/>
      <w:r>
        <w:t>PtG</w:t>
      </w:r>
      <w:proofErr w:type="spellEnd"/>
      <w:r>
        <w:t>, 0.5 mg/ml, Thermo Scientific) in sodium bicarbonate</w:t>
      </w:r>
    </w:p>
    <w:p w:rsidR="00874083" w:rsidRDefault="00874083" w:rsidP="00874083">
      <w:pPr>
        <w:spacing w:after="0" w:line="240" w:lineRule="auto"/>
      </w:pPr>
      <w:proofErr w:type="gramStart"/>
      <w:r>
        <w:t>buffer</w:t>
      </w:r>
      <w:proofErr w:type="gramEnd"/>
      <w:r>
        <w:t xml:space="preserve"> or Bovine Serum Albumin (BSA, 10 mg/ml, Sigma-Aldrich) in D-PBS 1x, respectively, for 1 </w:t>
      </w:r>
      <w:proofErr w:type="spellStart"/>
      <w:r>
        <w:t>h at</w:t>
      </w:r>
      <w:proofErr w:type="spellEnd"/>
      <w:r>
        <w:t xml:space="preserve"> RT. Subsequently, the chip was immersed in a solution of BSA (10 mg/ml) in DPBS 1x to block the remaining reactive sites (overnight at 4 °C).</w:t>
      </w:r>
    </w:p>
    <w:p w:rsidR="00A467EE" w:rsidRDefault="00A467EE" w:rsidP="00874083">
      <w:pPr>
        <w:spacing w:after="0" w:line="240" w:lineRule="auto"/>
      </w:pPr>
    </w:p>
    <w:p w:rsidR="00874083" w:rsidRDefault="00874083" w:rsidP="00874083">
      <w:pPr>
        <w:spacing w:after="0" w:line="240" w:lineRule="auto"/>
      </w:pPr>
      <w:r>
        <w:t>At the end of such incubation steps, on the biochip surface there</w:t>
      </w:r>
      <w:r w:rsidR="00D76BA7">
        <w:t xml:space="preserve"> </w:t>
      </w:r>
      <w:r>
        <w:t>are a signal region (</w:t>
      </w:r>
      <w:proofErr w:type="spellStart"/>
      <w:r>
        <w:t>PtG</w:t>
      </w:r>
      <w:proofErr w:type="spellEnd"/>
      <w:r>
        <w:t>), which is capable to bind and orient</w:t>
      </w:r>
      <w:r w:rsidR="00D76BA7">
        <w:t xml:space="preserve"> </w:t>
      </w:r>
      <w:r>
        <w:t>the capture antibodies, and a reference region (BSA), which is</w:t>
      </w:r>
      <w:r w:rsidR="00D76BA7">
        <w:t xml:space="preserve"> </w:t>
      </w:r>
      <w:r>
        <w:t>biochemically inert.</w:t>
      </w:r>
      <w:r w:rsidR="00D76BA7">
        <w:t xml:space="preserve"> </w:t>
      </w:r>
      <w:r>
        <w:t>Immediately before their use in a detection assay, the surface</w:t>
      </w:r>
      <w:r w:rsidR="00D76BA7">
        <w:t xml:space="preserve"> </w:t>
      </w:r>
      <w:r>
        <w:t>of the biochips was treated with a regeneration solution made of</w:t>
      </w:r>
      <w:r w:rsidR="00D76BA7">
        <w:t xml:space="preserve"> </w:t>
      </w:r>
      <w:r>
        <w:t xml:space="preserve">glycine (20mM, Sigma-Aldrich) in DI water and </w:t>
      </w:r>
      <w:proofErr w:type="spellStart"/>
      <w:r>
        <w:t>HCl</w:t>
      </w:r>
      <w:proofErr w:type="spellEnd"/>
      <w:r>
        <w:t xml:space="preserve"> with a pH</w:t>
      </w:r>
      <w:r w:rsidR="00D76BA7">
        <w:t xml:space="preserve"> </w:t>
      </w:r>
      <w:r>
        <w:t xml:space="preserve">of 2.5 for 10 min at RT. This procedure removes any </w:t>
      </w:r>
      <w:proofErr w:type="spellStart"/>
      <w:r>
        <w:t>adlayers</w:t>
      </w:r>
      <w:proofErr w:type="spellEnd"/>
      <w:r w:rsidR="00D76BA7">
        <w:t xml:space="preserve"> </w:t>
      </w:r>
      <w:r>
        <w:t>formed on both the signal (</w:t>
      </w:r>
      <w:proofErr w:type="spellStart"/>
      <w:r>
        <w:t>PtG</w:t>
      </w:r>
      <w:proofErr w:type="spellEnd"/>
      <w:r>
        <w:t>) and reference (BSA) regions</w:t>
      </w:r>
      <w:r w:rsidR="00D76BA7">
        <w:t xml:space="preserve"> </w:t>
      </w:r>
      <w:r>
        <w:t>upon BSA blocking step. All other reagents such as ethanol</w:t>
      </w:r>
    </w:p>
    <w:p w:rsidR="00874083" w:rsidRDefault="00874083" w:rsidP="00874083">
      <w:pPr>
        <w:spacing w:after="0" w:line="240" w:lineRule="auto"/>
      </w:pPr>
      <w:r>
        <w:t xml:space="preserve">(99.8%), </w:t>
      </w:r>
      <w:proofErr w:type="spellStart"/>
      <w:r>
        <w:t>sulfuric</w:t>
      </w:r>
      <w:proofErr w:type="spellEnd"/>
      <w:r>
        <w:t xml:space="preserve"> acid (95%), 30% hydrogen peroxide solution</w:t>
      </w:r>
      <w:r w:rsidR="00D76BA7">
        <w:t xml:space="preserve"> </w:t>
      </w:r>
      <w:r>
        <w:t>and phosphate buffer saline (D-PBS, pH 7.4) were obtained</w:t>
      </w:r>
      <w:r w:rsidR="00D76BA7">
        <w:t xml:space="preserve"> </w:t>
      </w:r>
      <w:r>
        <w:t>from Sigma-Aldrich and were used as it is.</w:t>
      </w:r>
    </w:p>
    <w:p w:rsidR="00D76BA7" w:rsidRDefault="00D76BA7" w:rsidP="00874083">
      <w:pPr>
        <w:spacing w:after="0" w:line="240" w:lineRule="auto"/>
      </w:pPr>
    </w:p>
    <w:p w:rsidR="00D76BA7" w:rsidRDefault="00D76BA7" w:rsidP="00874083">
      <w:pPr>
        <w:spacing w:after="0" w:line="240" w:lineRule="auto"/>
      </w:pPr>
      <w:r w:rsidRPr="00D76BA7">
        <w:rPr>
          <w:noProof/>
          <w:lang w:eastAsia="en-GB"/>
        </w:rPr>
        <w:drawing>
          <wp:inline distT="0" distB="0" distL="0" distR="0">
            <wp:extent cx="2880000" cy="1481143"/>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0000" cy="1481143"/>
                    </a:xfrm>
                    <a:prstGeom prst="rect">
                      <a:avLst/>
                    </a:prstGeom>
                    <a:noFill/>
                    <a:ln>
                      <a:noFill/>
                    </a:ln>
                  </pic:spPr>
                </pic:pic>
              </a:graphicData>
            </a:graphic>
          </wp:inline>
        </w:drawing>
      </w:r>
    </w:p>
    <w:p w:rsidR="00D76BA7" w:rsidRPr="00A467EE" w:rsidRDefault="00D76BA7" w:rsidP="00D76BA7">
      <w:pPr>
        <w:spacing w:after="0" w:line="240" w:lineRule="auto"/>
        <w:rPr>
          <w:i/>
        </w:rPr>
      </w:pPr>
      <w:r w:rsidRPr="00A467EE">
        <w:rPr>
          <w:i/>
        </w:rPr>
        <w:t xml:space="preserve">Fig. 3. Schematic of the 1-DPC biochip and the fluidic cell. The microscope slide with four holes and the patterned adhesive tape is pressed on top of the 1-DPC biochip. Both fluidic channels contain a </w:t>
      </w:r>
      <w:proofErr w:type="spellStart"/>
      <w:r w:rsidRPr="00A467EE">
        <w:rPr>
          <w:i/>
        </w:rPr>
        <w:t>PtG</w:t>
      </w:r>
      <w:proofErr w:type="spellEnd"/>
      <w:r w:rsidRPr="00A467EE">
        <w:rPr>
          <w:i/>
        </w:rPr>
        <w:t xml:space="preserve"> and a BSW region. The coupling prism position is also shown; the prism is coupled to the biochip by means of a contact oil.</w:t>
      </w:r>
    </w:p>
    <w:p w:rsidR="00D76BA7" w:rsidRDefault="00D76BA7" w:rsidP="00D76BA7">
      <w:pPr>
        <w:spacing w:after="0" w:line="240" w:lineRule="auto"/>
      </w:pPr>
    </w:p>
    <w:p w:rsidR="00D76BA7" w:rsidRDefault="00D76BA7" w:rsidP="00D76BA7">
      <w:pPr>
        <w:spacing w:after="0" w:line="240" w:lineRule="auto"/>
      </w:pPr>
      <w:r>
        <w:t>D. Microfluidics</w:t>
      </w:r>
    </w:p>
    <w:p w:rsidR="00A467EE" w:rsidRDefault="00A467EE" w:rsidP="00D76BA7">
      <w:pPr>
        <w:spacing w:after="0" w:line="240" w:lineRule="auto"/>
      </w:pPr>
    </w:p>
    <w:p w:rsidR="00D76BA7" w:rsidRDefault="00D76BA7" w:rsidP="00D76BA7">
      <w:pPr>
        <w:spacing w:after="0" w:line="240" w:lineRule="auto"/>
      </w:pPr>
      <w:r>
        <w:t xml:space="preserve">After the </w:t>
      </w:r>
      <w:proofErr w:type="spellStart"/>
      <w:r>
        <w:t>bioconjugation</w:t>
      </w:r>
      <w:proofErr w:type="spellEnd"/>
      <w:r>
        <w:t xml:space="preserve"> steps, the biochips with the two different regions were attached with a microfluidic flow cell in a sandwich structure (see Fig. 3). As shown in Fig. 3, along each fluidic channel there are a </w:t>
      </w:r>
      <w:proofErr w:type="spellStart"/>
      <w:r>
        <w:t>PtG</w:t>
      </w:r>
      <w:proofErr w:type="spellEnd"/>
      <w:r>
        <w:t xml:space="preserve"> and a BSA region that can be used for self-referenced assays. Each of the fluidic channels was used in a separate assay.</w:t>
      </w:r>
    </w:p>
    <w:p w:rsidR="00A467EE" w:rsidRDefault="00A467EE" w:rsidP="00D76BA7">
      <w:pPr>
        <w:spacing w:after="0" w:line="240" w:lineRule="auto"/>
      </w:pPr>
    </w:p>
    <w:p w:rsidR="00D76BA7" w:rsidRDefault="00D76BA7" w:rsidP="00D76BA7">
      <w:pPr>
        <w:spacing w:after="0" w:line="240" w:lineRule="auto"/>
      </w:pPr>
      <w:r>
        <w:t>The flow cell is composed of a microscope glass slide with four connection holes and a structured adhesive spacer (</w:t>
      </w:r>
      <w:proofErr w:type="spellStart"/>
      <w:r>
        <w:t>Lohmann</w:t>
      </w:r>
      <w:proofErr w:type="spellEnd"/>
      <w:r>
        <w:t xml:space="preserve"> Adhesive Tape GL-187, thickness 200 </w:t>
      </w:r>
      <w:proofErr w:type="spellStart"/>
      <w:r>
        <w:t>μm</w:t>
      </w:r>
      <w:proofErr w:type="spellEnd"/>
      <w:r>
        <w:t xml:space="preserve">) to define two parallel channels. The two parallel parts of the channels are 18 mm long, 1 mm wide and 2 mm distant from each other. The surface and volume of each channel are 63.5 mm2 and 12.7 </w:t>
      </w:r>
      <w:proofErr w:type="spellStart"/>
      <w:r>
        <w:t>μL</w:t>
      </w:r>
      <w:proofErr w:type="spellEnd"/>
      <w:r>
        <w:t>, respectively.</w:t>
      </w:r>
    </w:p>
    <w:p w:rsidR="00A467EE" w:rsidRDefault="00A467EE" w:rsidP="00D76BA7">
      <w:pPr>
        <w:spacing w:after="0" w:line="240" w:lineRule="auto"/>
      </w:pPr>
    </w:p>
    <w:p w:rsidR="00D76BA7" w:rsidRDefault="00D76BA7" w:rsidP="00D76BA7">
      <w:pPr>
        <w:spacing w:after="0" w:line="240" w:lineRule="auto"/>
      </w:pPr>
      <w:r>
        <w:t xml:space="preserve">The glass slides and structured adhesive spacers are manufactured by laser-induced material ablation with a laser </w:t>
      </w:r>
      <w:proofErr w:type="spellStart"/>
      <w:r>
        <w:t>microstructuring</w:t>
      </w:r>
      <w:proofErr w:type="spellEnd"/>
      <w:r>
        <w:t xml:space="preserve"> device (3-D-MICROMAC, micro STRUCT </w:t>
      </w:r>
      <w:proofErr w:type="spellStart"/>
      <w:r>
        <w:t>vario</w:t>
      </w:r>
      <w:proofErr w:type="spellEnd"/>
      <w:r>
        <w:t xml:space="preserve">) and ultra-short-pulse lasers. The machining device is equipped with high precision linear axes as well as a galvanometer scanning head and additional complex measurement devices for analysis of the resulting microstructures. With this technology it is possible to generate and reproduce microstructures of approximately 5 </w:t>
      </w:r>
      <w:proofErr w:type="spellStart"/>
      <w:r>
        <w:t>μm</w:t>
      </w:r>
      <w:proofErr w:type="spellEnd"/>
      <w:r>
        <w:t>.</w:t>
      </w:r>
    </w:p>
    <w:p w:rsidR="00A467EE" w:rsidRDefault="00A467EE" w:rsidP="00D76BA7">
      <w:pPr>
        <w:spacing w:after="0" w:line="240" w:lineRule="auto"/>
      </w:pPr>
    </w:p>
    <w:p w:rsidR="00D76BA7" w:rsidRDefault="00D76BA7" w:rsidP="00D76BA7">
      <w:pPr>
        <w:spacing w:after="0" w:line="240" w:lineRule="auto"/>
      </w:pPr>
      <w:r>
        <w:lastRenderedPageBreak/>
        <w:t>For the structuring of the microscope glass slides with overall dimensions of 76 × 26 mm2 a wavelength of 355 nm, pulse duration of 30 ns and a repetition rate of 50 kHz (Coherent,</w:t>
      </w:r>
    </w:p>
    <w:p w:rsidR="00D76BA7" w:rsidRDefault="00D76BA7" w:rsidP="00D76BA7">
      <w:pPr>
        <w:spacing w:after="0" w:line="240" w:lineRule="auto"/>
      </w:pPr>
      <w:r>
        <w:t>AVIA 355-X) was used.</w:t>
      </w:r>
    </w:p>
    <w:p w:rsidR="00A467EE" w:rsidRDefault="00A467EE" w:rsidP="00D76BA7">
      <w:pPr>
        <w:spacing w:after="0" w:line="240" w:lineRule="auto"/>
      </w:pPr>
    </w:p>
    <w:p w:rsidR="00D76BA7" w:rsidRDefault="00D76BA7" w:rsidP="00D76BA7">
      <w:pPr>
        <w:spacing w:after="0" w:line="240" w:lineRule="auto"/>
      </w:pPr>
      <w:r>
        <w:t xml:space="preserve">The structuring of the adhesive spacer with overall dimensions of 76 × 26 mm2 was executed with a wavelength of 355 nm, pulse duration of 10 </w:t>
      </w:r>
      <w:proofErr w:type="spellStart"/>
      <w:r>
        <w:t>ps</w:t>
      </w:r>
      <w:proofErr w:type="spellEnd"/>
      <w:r>
        <w:t xml:space="preserve"> and a repetition rate of 66 kHz (Time-Bandwidth Products, FUEGO).</w:t>
      </w:r>
    </w:p>
    <w:p w:rsidR="00D76BA7" w:rsidRDefault="00D76BA7" w:rsidP="00D76BA7">
      <w:pPr>
        <w:spacing w:after="0" w:line="240" w:lineRule="auto"/>
      </w:pPr>
    </w:p>
    <w:p w:rsidR="00D76BA7" w:rsidRPr="00A467EE" w:rsidRDefault="00D76BA7" w:rsidP="00D76BA7">
      <w:pPr>
        <w:spacing w:after="0" w:line="240" w:lineRule="auto"/>
        <w:rPr>
          <w:b/>
        </w:rPr>
      </w:pPr>
      <w:r w:rsidRPr="00A467EE">
        <w:rPr>
          <w:b/>
        </w:rPr>
        <w:t>III. MEASUREMENT TECHNIQUES</w:t>
      </w:r>
    </w:p>
    <w:p w:rsidR="00D76BA7" w:rsidRDefault="00A467EE" w:rsidP="00A467EE">
      <w:pPr>
        <w:spacing w:after="0" w:line="240" w:lineRule="auto"/>
      </w:pPr>
      <w:r>
        <w:t xml:space="preserve">A. </w:t>
      </w:r>
      <w:r w:rsidR="00D76BA7">
        <w:t xml:space="preserve">Angularly Resolved </w:t>
      </w:r>
      <w:proofErr w:type="spellStart"/>
      <w:r w:rsidR="00D76BA7">
        <w:t>Ellipsometric</w:t>
      </w:r>
      <w:proofErr w:type="spellEnd"/>
      <w:r w:rsidR="00D76BA7">
        <w:t xml:space="preserve"> Optical Bio-Sensing</w:t>
      </w:r>
    </w:p>
    <w:p w:rsidR="00A467EE" w:rsidRDefault="00A467EE" w:rsidP="00D76BA7">
      <w:pPr>
        <w:spacing w:after="0" w:line="240" w:lineRule="auto"/>
      </w:pPr>
    </w:p>
    <w:p w:rsidR="00D76BA7" w:rsidRDefault="00D76BA7" w:rsidP="00D76BA7">
      <w:pPr>
        <w:spacing w:after="0" w:line="240" w:lineRule="auto"/>
      </w:pPr>
      <w:r>
        <w:t xml:space="preserve">The optical set-up used to perform the bio-sensing experiments is schematically presented in Fig. 4. The 1-DPC biochip is contacted to a BK7 prism coupler in </w:t>
      </w:r>
      <w:proofErr w:type="spellStart"/>
      <w:r>
        <w:t>theKretschmann-Raether</w:t>
      </w:r>
      <w:proofErr w:type="spellEnd"/>
      <w:r>
        <w:t xml:space="preserve"> configuration by means of a matching oil and is topped by an </w:t>
      </w:r>
      <w:proofErr w:type="spellStart"/>
      <w:r>
        <w:t>aluminum</w:t>
      </w:r>
      <w:proofErr w:type="spellEnd"/>
      <w:r>
        <w:t xml:space="preserve"> back plate with a PDMS contact layer that provides the fluidic connections.</w:t>
      </w:r>
    </w:p>
    <w:p w:rsidR="00A467EE" w:rsidRDefault="00A467EE" w:rsidP="00D76BA7">
      <w:pPr>
        <w:spacing w:after="0" w:line="240" w:lineRule="auto"/>
      </w:pPr>
    </w:p>
    <w:p w:rsidR="00D76BA7" w:rsidRDefault="00D76BA7" w:rsidP="00D76BA7">
      <w:pPr>
        <w:spacing w:after="0" w:line="240" w:lineRule="auto"/>
      </w:pPr>
      <w:r>
        <w:t>The light beam emitted by a temperature stabilized (±0.01°C) laser diode (LD) at λ = 670 nm (</w:t>
      </w:r>
      <w:proofErr w:type="spellStart"/>
      <w:r>
        <w:t>Thorlabs</w:t>
      </w:r>
      <w:proofErr w:type="spellEnd"/>
      <w:r>
        <w:t xml:space="preserve"> LPS-675-FC) is collimated and linearly polarized at 45 </w:t>
      </w:r>
      <w:proofErr w:type="spellStart"/>
      <w:r>
        <w:t>deg</w:t>
      </w:r>
      <w:proofErr w:type="spellEnd"/>
      <w:r>
        <w:t xml:space="preserve"> with respect to the incidence plane of the prism coupler by means a first polarizer.</w:t>
      </w:r>
    </w:p>
    <w:p w:rsidR="00A467EE" w:rsidRDefault="00A467EE" w:rsidP="00D76BA7">
      <w:pPr>
        <w:spacing w:after="0" w:line="240" w:lineRule="auto"/>
      </w:pPr>
    </w:p>
    <w:p w:rsidR="00D76BA7" w:rsidRDefault="00D76BA7" w:rsidP="00D76BA7">
      <w:pPr>
        <w:spacing w:after="0" w:line="240" w:lineRule="auto"/>
      </w:pPr>
      <w:r>
        <w:t xml:space="preserve">A liquid crystal phase retarder (LCR) (Newport 932-NIR) allows changing the phase Ψ between the TE and TM components in order to access any state of elliptical polarization. The laser beam is then expanded by means of a telescope and the central portion is selected by means of a circular aperture. A rotating </w:t>
      </w:r>
      <w:proofErr w:type="spellStart"/>
      <w:r>
        <w:t>scatterer</w:t>
      </w:r>
      <w:proofErr w:type="spellEnd"/>
      <w:r>
        <w:t xml:space="preserve"> in the telescope destroys the spatial coherence of the beam. The integration time of the array detector is set to integrate temporally the scattered light, thus ruling out the effect of speckles. We checked experimentally that the </w:t>
      </w:r>
      <w:proofErr w:type="spellStart"/>
      <w:r>
        <w:t>scatterer</w:t>
      </w:r>
      <w:proofErr w:type="spellEnd"/>
      <w:r>
        <w:t xml:space="preserve"> is not affecting the polarization of the probe beam.</w:t>
      </w:r>
    </w:p>
    <w:p w:rsidR="00A467EE" w:rsidRDefault="00A467EE" w:rsidP="00D76BA7">
      <w:pPr>
        <w:spacing w:after="0" w:line="240" w:lineRule="auto"/>
      </w:pPr>
    </w:p>
    <w:p w:rsidR="00A467EE" w:rsidRDefault="00A467EE" w:rsidP="00A467EE">
      <w:pPr>
        <w:spacing w:after="0" w:line="240" w:lineRule="auto"/>
      </w:pPr>
      <w:r>
        <w:t xml:space="preserve">The beam is then focused by means of a cylindrical lens (f1 = 100 mm) onto the coupling prism within an angular range </w:t>
      </w:r>
      <w:proofErr w:type="spellStart"/>
      <w:r>
        <w:t>Δθ</w:t>
      </w:r>
      <w:proofErr w:type="spellEnd"/>
      <w:r>
        <w:t xml:space="preserve"> </w:t>
      </w:r>
      <w:r>
        <w:rPr>
          <w:rFonts w:ascii="Cambria Math" w:hAnsi="Cambria Math" w:cs="Cambria Math"/>
        </w:rPr>
        <w:t>∼</w:t>
      </w:r>
      <w:r>
        <w:t>3.8</w:t>
      </w:r>
      <w:r>
        <w:rPr>
          <w:rFonts w:ascii="Calibri" w:hAnsi="Calibri" w:cs="Calibri"/>
        </w:rPr>
        <w:t>°</w:t>
      </w:r>
      <w:r>
        <w:t xml:space="preserve">. The </w:t>
      </w:r>
      <w:r>
        <w:rPr>
          <w:rFonts w:ascii="Calibri" w:hAnsi="Calibri" w:cs="Calibri"/>
        </w:rPr>
        <w:t>θ–</w:t>
      </w:r>
      <w:r>
        <w:t>2</w:t>
      </w:r>
      <w:r>
        <w:rPr>
          <w:rFonts w:ascii="Calibri" w:hAnsi="Calibri" w:cs="Calibri"/>
        </w:rPr>
        <w:t>θ</w:t>
      </w:r>
      <w:r>
        <w:t xml:space="preserve"> rotation stages are used to set the average incidence angle around the resonance to be tracked. The system is aligned in a way that the beam illuminates a sharp line at the biochip surface perpendicularly to the incidence plane and along one of the two fluidic channels of the biochip. In such a way it is possible to interrogate simultaneously several different regions along one fluidic channel, a feature that is necessary for referencing purposes as it will be shown below. By translating the biochip is also possible to illuminate the second fluidic channel and to perform another assay without un-mounting the biochip.</w:t>
      </w:r>
    </w:p>
    <w:p w:rsidR="00A467EE" w:rsidRDefault="00A467EE" w:rsidP="00D76BA7">
      <w:pPr>
        <w:spacing w:after="0" w:line="240" w:lineRule="auto"/>
      </w:pPr>
    </w:p>
    <w:p w:rsidR="00D76BA7" w:rsidRDefault="00D76BA7" w:rsidP="00D76BA7">
      <w:pPr>
        <w:spacing w:after="0" w:line="240" w:lineRule="auto"/>
      </w:pPr>
    </w:p>
    <w:p w:rsidR="00D76BA7" w:rsidRDefault="00D76BA7" w:rsidP="00D76BA7">
      <w:pPr>
        <w:spacing w:after="0" w:line="240" w:lineRule="auto"/>
      </w:pPr>
      <w:r w:rsidRPr="00D76BA7">
        <w:rPr>
          <w:noProof/>
          <w:lang w:eastAsia="en-GB"/>
        </w:rPr>
        <w:drawing>
          <wp:inline distT="0" distB="0" distL="0" distR="0">
            <wp:extent cx="4320000" cy="1962397"/>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0000" cy="1962397"/>
                    </a:xfrm>
                    <a:prstGeom prst="rect">
                      <a:avLst/>
                    </a:prstGeom>
                    <a:noFill/>
                    <a:ln>
                      <a:noFill/>
                    </a:ln>
                  </pic:spPr>
                </pic:pic>
              </a:graphicData>
            </a:graphic>
          </wp:inline>
        </w:drawing>
      </w:r>
    </w:p>
    <w:p w:rsidR="00A467EE" w:rsidRDefault="00A467EE" w:rsidP="00D76BA7">
      <w:pPr>
        <w:spacing w:after="0" w:line="240" w:lineRule="auto"/>
        <w:rPr>
          <w:i/>
        </w:rPr>
      </w:pPr>
    </w:p>
    <w:p w:rsidR="00D76BA7" w:rsidRPr="00A467EE" w:rsidRDefault="00D76BA7" w:rsidP="00D76BA7">
      <w:pPr>
        <w:spacing w:after="0" w:line="240" w:lineRule="auto"/>
        <w:rPr>
          <w:i/>
        </w:rPr>
      </w:pPr>
      <w:r w:rsidRPr="00A467EE">
        <w:rPr>
          <w:i/>
        </w:rPr>
        <w:lastRenderedPageBreak/>
        <w:t>Fig. 4. Experimental apparatus used in the bio-sensing experiments. The illumination beam is focused along a line at the biochip surface that is orthogonal with respect to the incidence plane (plane of the figure). The biochip can be translated and the illumination line can be positioned inside one of the two parallel fluidic channels. The two fluidic channels are perpendicular to the incidence plane.</w:t>
      </w:r>
    </w:p>
    <w:p w:rsidR="00D76BA7" w:rsidRDefault="00D76BA7" w:rsidP="00D76BA7">
      <w:pPr>
        <w:spacing w:after="0" w:line="240" w:lineRule="auto"/>
      </w:pPr>
    </w:p>
    <w:p w:rsidR="00D76BA7" w:rsidRDefault="00D76BA7" w:rsidP="00D76BA7">
      <w:pPr>
        <w:spacing w:after="0" w:line="240" w:lineRule="auto"/>
      </w:pPr>
      <w:r>
        <w:t xml:space="preserve">The reflected beam is collected by a second cylindrical lens (f2 = 150 mm) and </w:t>
      </w:r>
      <w:proofErr w:type="spellStart"/>
      <w:r>
        <w:t>analyzed</w:t>
      </w:r>
      <w:proofErr w:type="spellEnd"/>
      <w:r>
        <w:t xml:space="preserve"> by a polarizer crossed with respect to the input one. Such cylindrical lens is generating a Fourier image of the reflected light on the array detector; therefore each pixel of the detector rows, lying in the incidence plane, corresponds to an angular component of the reflected beam. A third cylindrical lens (f3 = 70 mm) oriented perpendicular to the previous one images the sensor surface on the array detector; therefore each pixel of the array columns corresponds to a position along the illuminated region. The array detector used here is an 8 bit CMOS array detector (</w:t>
      </w:r>
      <w:proofErr w:type="spellStart"/>
      <w:r>
        <w:t>Thorlabs</w:t>
      </w:r>
      <w:proofErr w:type="spellEnd"/>
      <w:r>
        <w:t xml:space="preserve"> DCC1645C).</w:t>
      </w:r>
    </w:p>
    <w:p w:rsidR="00D76BA7" w:rsidRDefault="00D76BA7" w:rsidP="00D76BA7">
      <w:pPr>
        <w:spacing w:after="0" w:line="240" w:lineRule="auto"/>
      </w:pPr>
      <w:r>
        <w:t xml:space="preserve">This optical configuration sets a width of the angular detection range of 1 </w:t>
      </w:r>
      <w:proofErr w:type="spellStart"/>
      <w:r>
        <w:t>deg</w:t>
      </w:r>
      <w:proofErr w:type="spellEnd"/>
      <w:r>
        <w:t xml:space="preserve"> along the largest dimension of the CMOS array (1280 pixel), therefore 1 pixel corresponds to an angular width of 0.775 </w:t>
      </w:r>
      <w:proofErr w:type="spellStart"/>
      <w:r>
        <w:t>mdeg</w:t>
      </w:r>
      <w:proofErr w:type="spellEnd"/>
      <w:r>
        <w:t>. Along the other axis of the CMOS array (1024 pixel) the position along the illumination strip is obtained, where the imaged region is 4 mm wide.</w:t>
      </w:r>
    </w:p>
    <w:p w:rsidR="00A467EE" w:rsidRDefault="00A467EE" w:rsidP="00D76BA7">
      <w:pPr>
        <w:spacing w:after="0" w:line="240" w:lineRule="auto"/>
      </w:pPr>
    </w:p>
    <w:p w:rsidR="00D76BA7" w:rsidRDefault="00D76BA7" w:rsidP="00D76BA7">
      <w:pPr>
        <w:spacing w:after="0" w:line="240" w:lineRule="auto"/>
      </w:pPr>
      <w:r>
        <w:t xml:space="preserve">The angular intensity distribution captured by the CMOS detector can show a dip, as found in the pure TE case, a peak, and all the intermediate conditions, depending on the value of Ψ [12], due to the 2π phase jump of the TE component when crossing the BSW resonance with respect to the phase of the TM component that remains almost constant. In 1-DPC with very small losses the TE resonance can be very shallow and the polarization sensitive scheme allows for a large contrast of the reflectance, permitting to efficiently track the resonance and to improve the </w:t>
      </w:r>
      <w:proofErr w:type="spellStart"/>
      <w:r>
        <w:t>LoD</w:t>
      </w:r>
      <w:proofErr w:type="spellEnd"/>
      <w:r>
        <w:t xml:space="preserve"> [21].</w:t>
      </w:r>
    </w:p>
    <w:p w:rsidR="00D76BA7" w:rsidRDefault="00D76BA7" w:rsidP="00D76BA7">
      <w:pPr>
        <w:spacing w:after="0" w:line="240" w:lineRule="auto"/>
      </w:pPr>
      <w:r>
        <w:t xml:space="preserve">In this work the characteristics of the 1-DPC biochips are such that the TE BSW resonance is deep enough to be efficiently detected and tracked. Therefore the measurements were carried out in a pure TE scheme, where the polarizer and </w:t>
      </w:r>
      <w:proofErr w:type="spellStart"/>
      <w:r>
        <w:t>analyzer</w:t>
      </w:r>
      <w:proofErr w:type="spellEnd"/>
      <w:r>
        <w:t xml:space="preserve"> are set along the TE direction and the LCR is removed from the optical path.</w:t>
      </w:r>
    </w:p>
    <w:p w:rsidR="00A467EE" w:rsidRDefault="00A467EE" w:rsidP="00D76BA7">
      <w:pPr>
        <w:spacing w:after="0" w:line="240" w:lineRule="auto"/>
      </w:pPr>
    </w:p>
    <w:p w:rsidR="00D76BA7" w:rsidRDefault="00D76BA7" w:rsidP="00D76BA7">
      <w:pPr>
        <w:spacing w:after="0" w:line="240" w:lineRule="auto"/>
      </w:pPr>
      <w:r>
        <w:t xml:space="preserve">In the experiments the </w:t>
      </w:r>
      <w:proofErr w:type="spellStart"/>
      <w:r>
        <w:t>analytes</w:t>
      </w:r>
      <w:proofErr w:type="spellEnd"/>
      <w:r>
        <w:t xml:space="preserve"> were injected in the fluidic channels by means of a computer controlled syringe pump (TECAN </w:t>
      </w:r>
      <w:proofErr w:type="spellStart"/>
      <w:r>
        <w:t>CavroCentris</w:t>
      </w:r>
      <w:proofErr w:type="spellEnd"/>
      <w:r>
        <w:t xml:space="preserve"> Pump). During the incubation phase the</w:t>
      </w:r>
    </w:p>
    <w:p w:rsidR="00D76BA7" w:rsidRDefault="00D76BA7" w:rsidP="00D76BA7">
      <w:pPr>
        <w:spacing w:after="0" w:line="240" w:lineRule="auto"/>
      </w:pPr>
      <w:proofErr w:type="spellStart"/>
      <w:proofErr w:type="gramStart"/>
      <w:r>
        <w:t>analytes</w:t>
      </w:r>
      <w:proofErr w:type="spellEnd"/>
      <w:proofErr w:type="gramEnd"/>
      <w:r>
        <w:t xml:space="preserve"> were recirculated by pumping back and forth a given volume of </w:t>
      </w:r>
      <w:proofErr w:type="spellStart"/>
      <w:r>
        <w:t>analyte</w:t>
      </w:r>
      <w:proofErr w:type="spellEnd"/>
      <w:r>
        <w:t>.</w:t>
      </w:r>
    </w:p>
    <w:p w:rsidR="00D76BA7" w:rsidRDefault="00D76BA7" w:rsidP="00D76BA7">
      <w:pPr>
        <w:spacing w:after="0" w:line="240" w:lineRule="auto"/>
      </w:pPr>
    </w:p>
    <w:p w:rsidR="00D76BA7" w:rsidRDefault="00D76BA7" w:rsidP="00D76BA7">
      <w:pPr>
        <w:spacing w:after="0" w:line="240" w:lineRule="auto"/>
      </w:pPr>
      <w:r>
        <w:t>B. Fluorescence Microscopy</w:t>
      </w:r>
    </w:p>
    <w:p w:rsidR="00A467EE" w:rsidRDefault="00A467EE" w:rsidP="00D76BA7">
      <w:pPr>
        <w:spacing w:after="0" w:line="240" w:lineRule="auto"/>
      </w:pPr>
    </w:p>
    <w:p w:rsidR="00D76BA7" w:rsidRDefault="00D76BA7" w:rsidP="00D76BA7">
      <w:pPr>
        <w:spacing w:after="0" w:line="240" w:lineRule="auto"/>
      </w:pPr>
      <w:r>
        <w:t xml:space="preserve">Fluorescence high-resolution images were acquired through an inverted Olympus IX83 microscope, equipped with an </w:t>
      </w:r>
      <w:proofErr w:type="spellStart"/>
      <w:r>
        <w:t>UPlanSApo</w:t>
      </w:r>
      <w:proofErr w:type="spellEnd"/>
      <w:r>
        <w:t xml:space="preserve"> 10X/0.40NAobjective. The light beam from a 635 nm, 20 </w:t>
      </w:r>
      <w:proofErr w:type="spellStart"/>
      <w:r>
        <w:t>mW</w:t>
      </w:r>
      <w:proofErr w:type="spellEnd"/>
      <w:r>
        <w:t xml:space="preserve"> laser diode was injected into the microscope via a FV1200 MPE laser scanning confocal device. A dichroic mirror plus band-pass filter (655–755 nm) deflected the fluorescence emitted radiation into a Hamamatsu R3896 photomultiplier detector for integrated light intensity measurements.</w:t>
      </w:r>
    </w:p>
    <w:p w:rsidR="00D76BA7" w:rsidRDefault="00D76BA7" w:rsidP="00D76BA7">
      <w:pPr>
        <w:spacing w:after="0" w:line="240" w:lineRule="auto"/>
      </w:pPr>
    </w:p>
    <w:p w:rsidR="00D76BA7" w:rsidRPr="00A467EE" w:rsidRDefault="00D76BA7" w:rsidP="00D76BA7">
      <w:pPr>
        <w:spacing w:after="0" w:line="240" w:lineRule="auto"/>
        <w:rPr>
          <w:b/>
        </w:rPr>
      </w:pPr>
      <w:r w:rsidRPr="00A467EE">
        <w:rPr>
          <w:b/>
        </w:rPr>
        <w:t>IV. RESULTS AND DISCUSSION</w:t>
      </w:r>
    </w:p>
    <w:p w:rsidR="00D76BA7" w:rsidRDefault="00D76BA7" w:rsidP="00D76BA7">
      <w:pPr>
        <w:spacing w:after="0" w:line="240" w:lineRule="auto"/>
      </w:pPr>
      <w:r>
        <w:t>A. Test of the 1-DPC Biochips</w:t>
      </w:r>
    </w:p>
    <w:p w:rsidR="00D76BA7" w:rsidRDefault="00D76BA7" w:rsidP="00D76BA7">
      <w:pPr>
        <w:spacing w:after="0" w:line="240" w:lineRule="auto"/>
      </w:pPr>
      <w:r>
        <w:t xml:space="preserve">The fabricated 1-DPC biochips were mounted on the optical apparatus and their physical properties tested before performing the biological assays. Preliminary tests were carried out with biochips without surface functionalization and with glucose solutions at several different concentrations in order to determine the sensitivity of the TE BSW resonance angle with respect to changes of the refractive index of the external medium, i.e. the volume sensitivity SV. We found SV = 31.8 </w:t>
      </w:r>
      <w:proofErr w:type="spellStart"/>
      <w:r>
        <w:t>deg</w:t>
      </w:r>
      <w:proofErr w:type="spellEnd"/>
      <w:r>
        <w:t>/RIU [12]. SV can be converted to the sensitivity defined above, which is related to surface changes, by means of the relation:</w:t>
      </w:r>
    </w:p>
    <w:p w:rsidR="00D76BA7" w:rsidRPr="00D76BA7" w:rsidRDefault="00D76BA7" w:rsidP="00D76BA7">
      <w:pPr>
        <w:spacing w:after="0" w:line="240" w:lineRule="auto"/>
        <w:rPr>
          <w:rFonts w:eastAsiaTheme="minorEastAsia"/>
        </w:rPr>
      </w:pPr>
      <m:oMathPara>
        <m:oMath>
          <m:r>
            <w:rPr>
              <w:rFonts w:ascii="Cambria Math" w:hAnsi="Cambria Math"/>
            </w:rPr>
            <m:t>S=</m:t>
          </m:r>
          <m:sSub>
            <m:sSubPr>
              <m:ctrlPr>
                <w:rPr>
                  <w:rFonts w:ascii="Cambria Math" w:hAnsi="Cambria Math"/>
                  <w:i/>
                </w:rPr>
              </m:ctrlPr>
            </m:sSubPr>
            <m:e>
              <m:r>
                <w:rPr>
                  <w:rFonts w:ascii="Cambria Math" w:hAnsi="Cambria Math"/>
                </w:rPr>
                <m:t>S</m:t>
              </m:r>
            </m:e>
            <m:sub>
              <m:r>
                <w:rPr>
                  <w:rFonts w:ascii="Cambria Math" w:hAnsi="Cambria Math"/>
                </w:rPr>
                <m:t>v</m:t>
              </m:r>
            </m:sub>
          </m:sSub>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BIO</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W</m:t>
                  </m:r>
                </m:sub>
              </m:sSub>
            </m:e>
          </m:d>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PEN</m:t>
              </m:r>
            </m:sub>
          </m:sSub>
        </m:oMath>
      </m:oMathPara>
    </w:p>
    <w:p w:rsidR="00D76BA7" w:rsidRDefault="00D76BA7" w:rsidP="00D76BA7">
      <w:pPr>
        <w:spacing w:after="0" w:line="240" w:lineRule="auto"/>
      </w:pPr>
      <w:proofErr w:type="gramStart"/>
      <w:r>
        <w:t>where</w:t>
      </w:r>
      <w:proofErr w:type="gramEnd"/>
      <w:r>
        <w:t xml:space="preserve"> LPEN is the penetration depth of the TE BSW evanescent tail in the external medium [12]. From the data shown in Fig. 1(b) we have LPEN = 114 nm and S = 0.026 </w:t>
      </w:r>
      <w:proofErr w:type="spellStart"/>
      <w:r>
        <w:t>deg</w:t>
      </w:r>
      <w:proofErr w:type="spellEnd"/>
      <w:r>
        <w:t xml:space="preserve">/nm. Such value is in </w:t>
      </w:r>
      <w:r>
        <w:lastRenderedPageBreak/>
        <w:t>good agreement with the design value reported above, demonstrating that the design performances can be achieved by the fabrication technology.</w:t>
      </w:r>
    </w:p>
    <w:p w:rsidR="00A467EE" w:rsidRDefault="00A467EE" w:rsidP="00D76BA7">
      <w:pPr>
        <w:spacing w:after="0" w:line="240" w:lineRule="auto"/>
      </w:pPr>
    </w:p>
    <w:p w:rsidR="00D76BA7" w:rsidRDefault="00D76BA7" w:rsidP="00D76BA7">
      <w:pPr>
        <w:spacing w:after="0" w:line="240" w:lineRule="auto"/>
      </w:pPr>
      <w:r>
        <w:t xml:space="preserve">In Fig. 5 we show the TE angular reflectance spectra for a biochip ready for an assay operating in D-PBS 1x. In the inset of Fig. 5 we show one CMOS array image. The BSW resonance appears as a vertical dark line that is interrupted where there is the marker that is separating the two regions where </w:t>
      </w:r>
      <w:proofErr w:type="spellStart"/>
      <w:r>
        <w:t>PtG</w:t>
      </w:r>
      <w:proofErr w:type="spellEnd"/>
      <w:r>
        <w:t xml:space="preserve"> and BSA are present. Each time a CCD image is read, information on the signal and reference regions can be simultaneously retrieved.</w:t>
      </w:r>
    </w:p>
    <w:p w:rsidR="00A467EE" w:rsidRDefault="00A467EE" w:rsidP="00D76BA7">
      <w:pPr>
        <w:spacing w:after="0" w:line="240" w:lineRule="auto"/>
      </w:pPr>
    </w:p>
    <w:p w:rsidR="00D76BA7" w:rsidRDefault="00D76BA7" w:rsidP="00D76BA7">
      <w:pPr>
        <w:spacing w:after="0" w:line="240" w:lineRule="auto"/>
      </w:pPr>
      <w:r>
        <w:t xml:space="preserve">The two curves in Fig. 5 were obtained by averaging 320 lines on the </w:t>
      </w:r>
      <w:proofErr w:type="spellStart"/>
      <w:r>
        <w:t>CMOSimage</w:t>
      </w:r>
      <w:proofErr w:type="spellEnd"/>
      <w:r>
        <w:t xml:space="preserve"> in the two regions. It could be observed that the BSW resonance is very narrow and deep. In the </w:t>
      </w:r>
      <w:proofErr w:type="spellStart"/>
      <w:r>
        <w:t>PtG</w:t>
      </w:r>
      <w:proofErr w:type="spellEnd"/>
      <w:r>
        <w:t xml:space="preserve"> region we found W = 116 </w:t>
      </w:r>
      <w:proofErr w:type="spellStart"/>
      <w:r>
        <w:t>pix</w:t>
      </w:r>
      <w:proofErr w:type="spellEnd"/>
      <w:r>
        <w:t xml:space="preserve"> = 0.088° and D = 0.72, that are in the range of what is expected from the design. The experimental value of the </w:t>
      </w:r>
      <w:proofErr w:type="spellStart"/>
      <w:r>
        <w:t>FoM</w:t>
      </w:r>
      <w:proofErr w:type="spellEnd"/>
      <w:r>
        <w:t xml:space="preserve"> is therefore </w:t>
      </w:r>
      <w:proofErr w:type="spellStart"/>
      <w:r>
        <w:t>FoMBSW</w:t>
      </w:r>
      <w:proofErr w:type="spellEnd"/>
      <w:r>
        <w:t xml:space="preserve"> = 0.21 nm</w:t>
      </w:r>
      <w:r w:rsidRPr="00D76BA7">
        <w:rPr>
          <w:vertAlign w:val="superscript"/>
        </w:rPr>
        <w:t>−1</w:t>
      </w:r>
      <w:r>
        <w:t>, in good agreement with the design value.</w:t>
      </w:r>
    </w:p>
    <w:p w:rsidR="00A467EE" w:rsidRDefault="00A467EE" w:rsidP="00D76BA7">
      <w:pPr>
        <w:spacing w:after="0" w:line="240" w:lineRule="auto"/>
      </w:pPr>
    </w:p>
    <w:p w:rsidR="00D76BA7" w:rsidRDefault="00D76BA7" w:rsidP="00D76BA7">
      <w:pPr>
        <w:spacing w:after="0" w:line="240" w:lineRule="auto"/>
      </w:pPr>
      <w:r>
        <w:t>The resonances in the two regions are shifted (</w:t>
      </w:r>
      <w:proofErr w:type="spellStart"/>
      <w:r>
        <w:t>Δθ</w:t>
      </w:r>
      <w:proofErr w:type="spellEnd"/>
      <w:r>
        <w:t xml:space="preserve"> =35 </w:t>
      </w:r>
      <w:proofErr w:type="spellStart"/>
      <w:r>
        <w:t>mdeg</w:t>
      </w:r>
      <w:proofErr w:type="spellEnd"/>
      <w:r>
        <w:t>), indicating a small difference of the thickness/refractive index of the immobilized protein layers.</w:t>
      </w:r>
    </w:p>
    <w:p w:rsidR="00D76BA7" w:rsidRDefault="00D76BA7" w:rsidP="00D76BA7">
      <w:pPr>
        <w:spacing w:after="0" w:line="240" w:lineRule="auto"/>
      </w:pPr>
    </w:p>
    <w:p w:rsidR="00D76BA7" w:rsidRDefault="00D76BA7" w:rsidP="00D76BA7">
      <w:pPr>
        <w:spacing w:after="0" w:line="240" w:lineRule="auto"/>
      </w:pPr>
      <w:r w:rsidRPr="00D76BA7">
        <w:rPr>
          <w:noProof/>
          <w:lang w:eastAsia="en-GB"/>
        </w:rPr>
        <w:drawing>
          <wp:inline distT="0" distB="0" distL="0" distR="0">
            <wp:extent cx="2880000" cy="2373120"/>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0000" cy="2373120"/>
                    </a:xfrm>
                    <a:prstGeom prst="rect">
                      <a:avLst/>
                    </a:prstGeom>
                    <a:noFill/>
                    <a:ln>
                      <a:noFill/>
                    </a:ln>
                  </pic:spPr>
                </pic:pic>
              </a:graphicData>
            </a:graphic>
          </wp:inline>
        </w:drawing>
      </w:r>
    </w:p>
    <w:p w:rsidR="00D76BA7" w:rsidRPr="00A467EE" w:rsidRDefault="00D76BA7" w:rsidP="00D76BA7">
      <w:pPr>
        <w:spacing w:after="0" w:line="240" w:lineRule="auto"/>
        <w:rPr>
          <w:i/>
        </w:rPr>
      </w:pPr>
      <w:r w:rsidRPr="00A467EE">
        <w:rPr>
          <w:i/>
        </w:rPr>
        <w:t>Fig. 5. Angular reflectance spectra for both signal (</w:t>
      </w:r>
      <w:proofErr w:type="spellStart"/>
      <w:r w:rsidRPr="00A467EE">
        <w:rPr>
          <w:i/>
        </w:rPr>
        <w:t>PtG</w:t>
      </w:r>
      <w:proofErr w:type="spellEnd"/>
      <w:r w:rsidRPr="00A467EE">
        <w:rPr>
          <w:i/>
        </w:rPr>
        <w:t xml:space="preserve">, red line) and reference (BSA, blue line) regions. The spectra were obtained averaging 320 lines of the CMOS array image. In the inset the CMOS image of both </w:t>
      </w:r>
      <w:proofErr w:type="spellStart"/>
      <w:r w:rsidRPr="00A467EE">
        <w:rPr>
          <w:i/>
        </w:rPr>
        <w:t>PtG</w:t>
      </w:r>
      <w:proofErr w:type="spellEnd"/>
      <w:r w:rsidRPr="00A467EE">
        <w:rPr>
          <w:i/>
        </w:rPr>
        <w:t xml:space="preserve"> and BSA regions.</w:t>
      </w:r>
    </w:p>
    <w:p w:rsidR="00D76BA7" w:rsidRDefault="00D76BA7" w:rsidP="00D76BA7">
      <w:pPr>
        <w:spacing w:after="0" w:line="240" w:lineRule="auto"/>
      </w:pPr>
    </w:p>
    <w:p w:rsidR="00D76BA7" w:rsidRDefault="00D76BA7" w:rsidP="00D76BA7">
      <w:pPr>
        <w:spacing w:after="0" w:line="240" w:lineRule="auto"/>
      </w:pPr>
      <w:r>
        <w:t>B. Cancer Biomarkers Label-Free Detection</w:t>
      </w:r>
    </w:p>
    <w:p w:rsidR="00A467EE" w:rsidRDefault="00A467EE" w:rsidP="00D76BA7">
      <w:pPr>
        <w:spacing w:after="0" w:line="240" w:lineRule="auto"/>
      </w:pPr>
    </w:p>
    <w:p w:rsidR="00D76BA7" w:rsidRDefault="00D76BA7" w:rsidP="00D76BA7">
      <w:pPr>
        <w:spacing w:after="0" w:line="240" w:lineRule="auto"/>
      </w:pPr>
      <w:r>
        <w:t xml:space="preserve">Biochips prepared according to the procedures reported above were used to carry out </w:t>
      </w:r>
      <w:proofErr w:type="spellStart"/>
      <w:r>
        <w:t>Ang</w:t>
      </w:r>
      <w:proofErr w:type="spellEnd"/>
      <w:r>
        <w:t xml:space="preserve"> 2 detection assays by means of the optical apparatus shown in Fig. 4.</w:t>
      </w:r>
      <w:r w:rsidR="00A467EE">
        <w:t xml:space="preserve"> </w:t>
      </w:r>
      <w:r>
        <w:t xml:space="preserve">In the assays we used </w:t>
      </w:r>
      <w:proofErr w:type="spellStart"/>
      <w:r>
        <w:t>Ang</w:t>
      </w:r>
      <w:proofErr w:type="spellEnd"/>
      <w:r>
        <w:t xml:space="preserve"> 2 (Recombinant Human </w:t>
      </w:r>
      <w:proofErr w:type="spellStart"/>
      <w:r>
        <w:t>Angiopoietin</w:t>
      </w:r>
      <w:proofErr w:type="spellEnd"/>
      <w:r w:rsidR="00901B20">
        <w:t xml:space="preserve"> </w:t>
      </w:r>
      <w:r>
        <w:t>2, P.N.623-</w:t>
      </w:r>
      <w:proofErr w:type="gramStart"/>
      <w:r>
        <w:t>AN</w:t>
      </w:r>
      <w:proofErr w:type="gramEnd"/>
      <w:r>
        <w:t xml:space="preserve"> from R&amp;D Systems) spiked in a D-PBS 1x</w:t>
      </w:r>
      <w:r w:rsidR="00901B20">
        <w:t xml:space="preserve"> </w:t>
      </w:r>
      <w:r>
        <w:t xml:space="preserve">+ 0.1 </w:t>
      </w:r>
      <w:proofErr w:type="spellStart"/>
      <w:r>
        <w:t>wt</w:t>
      </w:r>
      <w:proofErr w:type="spellEnd"/>
      <w:r>
        <w:t>% BSA buffer. Under these non-reducing conditions</w:t>
      </w:r>
      <w:r w:rsidR="00901B20">
        <w:t xml:space="preserve"> </w:t>
      </w:r>
      <w:r>
        <w:t xml:space="preserve">the </w:t>
      </w:r>
      <w:proofErr w:type="spellStart"/>
      <w:r>
        <w:t>Ang</w:t>
      </w:r>
      <w:proofErr w:type="spellEnd"/>
      <w:r>
        <w:t xml:space="preserve"> 2 molecules are mostly (90%) in a dimer form, with a</w:t>
      </w:r>
      <w:r w:rsidR="00901B20">
        <w:t xml:space="preserve"> </w:t>
      </w:r>
      <w:r>
        <w:t xml:space="preserve">small presence of </w:t>
      </w:r>
      <w:proofErr w:type="spellStart"/>
      <w:r>
        <w:t>trimers</w:t>
      </w:r>
      <w:proofErr w:type="spellEnd"/>
      <w:r>
        <w:t xml:space="preserve"> (9%) [25].</w:t>
      </w:r>
    </w:p>
    <w:p w:rsidR="00A467EE" w:rsidRDefault="00A467EE" w:rsidP="00D76BA7">
      <w:pPr>
        <w:spacing w:after="0" w:line="240" w:lineRule="auto"/>
      </w:pPr>
    </w:p>
    <w:p w:rsidR="00D76BA7" w:rsidRDefault="00D76BA7" w:rsidP="00D76BA7">
      <w:pPr>
        <w:spacing w:after="0" w:line="240" w:lineRule="auto"/>
      </w:pPr>
      <w:r>
        <w:t>At the beginning of the assay the buffer is injected in the</w:t>
      </w:r>
      <w:r w:rsidR="00901B20">
        <w:t xml:space="preserve"> </w:t>
      </w:r>
      <w:r>
        <w:t>fluidic channel and the BSW resonance is tracked until a stable</w:t>
      </w:r>
      <w:r w:rsidR="00901B20">
        <w:t xml:space="preserve"> </w:t>
      </w:r>
      <w:r>
        <w:t>baseline is obtained. In Fig. 6 we show the time traces of a</w:t>
      </w:r>
      <w:r w:rsidR="00901B20">
        <w:t xml:space="preserve"> </w:t>
      </w:r>
      <w:proofErr w:type="spellStart"/>
      <w:r>
        <w:t>sensorgram</w:t>
      </w:r>
      <w:proofErr w:type="spellEnd"/>
      <w:r>
        <w:t xml:space="preserve"> recorded during one exemplary </w:t>
      </w:r>
      <w:proofErr w:type="spellStart"/>
      <w:r>
        <w:t>Ang</w:t>
      </w:r>
      <w:proofErr w:type="spellEnd"/>
      <w:r>
        <w:t xml:space="preserve"> 2 detection assay.</w:t>
      </w:r>
      <w:r w:rsidR="00A467EE">
        <w:t xml:space="preserve"> </w:t>
      </w:r>
      <w:r>
        <w:t xml:space="preserve">The curves are related to the BSA reference (blue) and </w:t>
      </w:r>
      <w:proofErr w:type="spellStart"/>
      <w:r>
        <w:t>PtG</w:t>
      </w:r>
      <w:proofErr w:type="spellEnd"/>
      <w:r w:rsidR="00901B20">
        <w:t xml:space="preserve"> </w:t>
      </w:r>
      <w:r>
        <w:t>signal (red) regions, together with the difference signal (black).</w:t>
      </w:r>
      <w:r w:rsidR="00A467EE">
        <w:t xml:space="preserve"> </w:t>
      </w:r>
      <w:r>
        <w:t>The angular position of the BSW resonance is extracted from</w:t>
      </w:r>
      <w:r w:rsidR="00901B20">
        <w:t xml:space="preserve"> </w:t>
      </w:r>
      <w:r>
        <w:t>the CMOS array images in both the signal and reference regions,</w:t>
      </w:r>
      <w:r w:rsidR="00901B20">
        <w:t xml:space="preserve"> </w:t>
      </w:r>
      <w:r>
        <w:t xml:space="preserve">at the sampling rate </w:t>
      </w:r>
      <w:proofErr w:type="spellStart"/>
      <w:r>
        <w:t>fsamp</w:t>
      </w:r>
      <w:proofErr w:type="spellEnd"/>
      <w:r>
        <w:t xml:space="preserve"> = 12.5 Hz. BSW resonance</w:t>
      </w:r>
      <w:r w:rsidR="00901B20">
        <w:t xml:space="preserve"> </w:t>
      </w:r>
      <w:r>
        <w:t>curves similar to those shown in Fig. 5 are obtained by averaging</w:t>
      </w:r>
      <w:r w:rsidR="00901B20">
        <w:t xml:space="preserve"> </w:t>
      </w:r>
      <w:r>
        <w:t>64 lines of the CMOS image in each region, corresponding</w:t>
      </w:r>
      <w:r w:rsidR="00901B20">
        <w:t xml:space="preserve"> </w:t>
      </w:r>
      <w:r>
        <w:t>to 0.25 mm wide measurement spots. In each spot the angular</w:t>
      </w:r>
      <w:r w:rsidR="00901B20">
        <w:t xml:space="preserve"> </w:t>
      </w:r>
      <w:r>
        <w:t xml:space="preserve">position of the BSW resonances minima were </w:t>
      </w:r>
      <w:r>
        <w:lastRenderedPageBreak/>
        <w:t>found by fitting</w:t>
      </w:r>
      <w:r w:rsidR="00901B20">
        <w:t xml:space="preserve"> </w:t>
      </w:r>
      <w:r>
        <w:t>with a parabola the data in a range that is adapted to the resonance</w:t>
      </w:r>
      <w:r w:rsidR="00901B20">
        <w:t xml:space="preserve"> </w:t>
      </w:r>
      <w:r>
        <w:t xml:space="preserve">width, here ±50 </w:t>
      </w:r>
      <w:proofErr w:type="spellStart"/>
      <w:r>
        <w:t>pix</w:t>
      </w:r>
      <w:proofErr w:type="spellEnd"/>
      <w:r>
        <w:t xml:space="preserve">. Both BSA and </w:t>
      </w:r>
      <w:proofErr w:type="spellStart"/>
      <w:r>
        <w:t>PtG</w:t>
      </w:r>
      <w:proofErr w:type="spellEnd"/>
      <w:r>
        <w:t xml:space="preserve"> traces shown in</w:t>
      </w:r>
      <w:r w:rsidR="00901B20">
        <w:t xml:space="preserve"> </w:t>
      </w:r>
      <w:r>
        <w:t>Fig. 6 are the average of the traces measured in five different</w:t>
      </w:r>
      <w:r w:rsidR="00901B20">
        <w:t xml:space="preserve"> </w:t>
      </w:r>
      <w:r>
        <w:t>spots of the respective region.</w:t>
      </w:r>
    </w:p>
    <w:p w:rsidR="00A467EE" w:rsidRDefault="00A467EE" w:rsidP="00D76BA7">
      <w:pPr>
        <w:spacing w:after="0" w:line="240" w:lineRule="auto"/>
      </w:pPr>
    </w:p>
    <w:p w:rsidR="00901B20" w:rsidRDefault="00D76BA7" w:rsidP="00901B20">
      <w:pPr>
        <w:spacing w:after="0" w:line="240" w:lineRule="auto"/>
      </w:pPr>
      <w:r>
        <w:t xml:space="preserve">To specifically detect the presence of </w:t>
      </w:r>
      <w:proofErr w:type="spellStart"/>
      <w:r>
        <w:t>Ang</w:t>
      </w:r>
      <w:proofErr w:type="spellEnd"/>
      <w:r>
        <w:t xml:space="preserve"> 2, a monoclonal</w:t>
      </w:r>
      <w:r w:rsidR="00901B20">
        <w:t xml:space="preserve"> </w:t>
      </w:r>
      <w:r>
        <w:t xml:space="preserve">anti-human </w:t>
      </w:r>
      <w:proofErr w:type="spellStart"/>
      <w:r>
        <w:t>Ang</w:t>
      </w:r>
      <w:proofErr w:type="spellEnd"/>
      <w:r>
        <w:t xml:space="preserve"> 2 capture antibody was used in the present</w:t>
      </w:r>
      <w:r w:rsidR="00901B20">
        <w:t xml:space="preserve"> </w:t>
      </w:r>
      <w:r>
        <w:t>work (Anti-</w:t>
      </w:r>
      <w:proofErr w:type="spellStart"/>
      <w:r>
        <w:t>Ang</w:t>
      </w:r>
      <w:proofErr w:type="spellEnd"/>
      <w:r>
        <w:t xml:space="preserve"> 2</w:t>
      </w:r>
      <w:proofErr w:type="gramStart"/>
      <w:r>
        <w:t>,Monoclonal</w:t>
      </w:r>
      <w:proofErr w:type="gramEnd"/>
      <w:r>
        <w:t xml:space="preserve"> anti-human </w:t>
      </w:r>
      <w:proofErr w:type="spellStart"/>
      <w:r>
        <w:t>Angiopoietin</w:t>
      </w:r>
      <w:proofErr w:type="spellEnd"/>
      <w:r>
        <w:t xml:space="preserve"> 2 Antibody,</w:t>
      </w:r>
      <w:r w:rsidR="00901B20">
        <w:t xml:space="preserve"> </w:t>
      </w:r>
      <w:r>
        <w:t>P.N.MAB0983 from R&amp;D Systems). The Anti-</w:t>
      </w:r>
      <w:proofErr w:type="spellStart"/>
      <w:r>
        <w:t>Ang</w:t>
      </w:r>
      <w:proofErr w:type="spellEnd"/>
      <w:r>
        <w:t xml:space="preserve"> 2</w:t>
      </w:r>
      <w:r w:rsidR="00901B20">
        <w:t xml:space="preserve"> </w:t>
      </w:r>
      <w:r>
        <w:t>capture antibody was diluted in the buffer at the concentration</w:t>
      </w:r>
      <w:r w:rsidR="00901B20">
        <w:t xml:space="preserve"> </w:t>
      </w:r>
      <w:r>
        <w:t xml:space="preserve">of 2 </w:t>
      </w:r>
      <w:proofErr w:type="spellStart"/>
      <w:r>
        <w:t>μg</w:t>
      </w:r>
      <w:proofErr w:type="spellEnd"/>
      <w:r>
        <w:t>/ml. At the beginning of the assay (t = 3 min) a volume</w:t>
      </w:r>
      <w:r w:rsidR="00901B20">
        <w:t xml:space="preserve"> </w:t>
      </w:r>
      <w:r>
        <w:t xml:space="preserve">of 100 </w:t>
      </w:r>
      <w:proofErr w:type="spellStart"/>
      <w:r>
        <w:t>μl</w:t>
      </w:r>
      <w:proofErr w:type="spellEnd"/>
      <w:r>
        <w:t xml:space="preserve"> of the Anti-</w:t>
      </w:r>
      <w:proofErr w:type="spellStart"/>
      <w:r>
        <w:t>Ang</w:t>
      </w:r>
      <w:proofErr w:type="spellEnd"/>
      <w:r>
        <w:t xml:space="preserve"> 2 solution is directly injected in the</w:t>
      </w:r>
      <w:r w:rsidR="00901B20">
        <w:t xml:space="preserve"> fluidic channel at a rate of 4 </w:t>
      </w:r>
      <w:proofErr w:type="spellStart"/>
      <w:r w:rsidR="00901B20">
        <w:t>μl</w:t>
      </w:r>
      <w:proofErr w:type="spellEnd"/>
      <w:r w:rsidR="00901B20">
        <w:t xml:space="preserve">/s by means of the motorized syringe pump and incubated for 16 min. During the incubation a recirculation procedure is applied, in which a 27 </w:t>
      </w:r>
      <w:proofErr w:type="spellStart"/>
      <w:r w:rsidR="00901B20">
        <w:t>μl</w:t>
      </w:r>
      <w:proofErr w:type="spellEnd"/>
      <w:r w:rsidR="00901B20">
        <w:t xml:space="preserve"> volume of the Anti-</w:t>
      </w:r>
      <w:proofErr w:type="spellStart"/>
      <w:r w:rsidR="00901B20">
        <w:t>Ang</w:t>
      </w:r>
      <w:proofErr w:type="spellEnd"/>
      <w:r w:rsidR="00901B20">
        <w:t xml:space="preserve"> 2 solution is pushed back and forth through the channel at a rate 1 </w:t>
      </w:r>
      <w:proofErr w:type="spellStart"/>
      <w:r w:rsidR="00901B20">
        <w:t>μl</w:t>
      </w:r>
      <w:proofErr w:type="spellEnd"/>
      <w:r w:rsidR="00901B20">
        <w:t xml:space="preserve">/s. The recirculation gives rise to the oscillations observed in the curves due to pressure induced changes of the </w:t>
      </w:r>
      <w:proofErr w:type="spellStart"/>
      <w:r w:rsidR="00901B20">
        <w:t>analyte</w:t>
      </w:r>
      <w:proofErr w:type="spellEnd"/>
      <w:r w:rsidR="00901B20">
        <w:t xml:space="preserve"> refractive index.</w:t>
      </w:r>
    </w:p>
    <w:p w:rsidR="00A467EE" w:rsidRDefault="00A467EE" w:rsidP="00901B20">
      <w:pPr>
        <w:spacing w:after="0" w:line="240" w:lineRule="auto"/>
      </w:pPr>
    </w:p>
    <w:p w:rsidR="00901B20" w:rsidRDefault="00901B20" w:rsidP="00901B20">
      <w:pPr>
        <w:spacing w:after="0" w:line="240" w:lineRule="auto"/>
      </w:pPr>
      <w:r>
        <w:t xml:space="preserve">A clear binding curve is observed in the </w:t>
      </w:r>
      <w:proofErr w:type="spellStart"/>
      <w:r>
        <w:t>PtG</w:t>
      </w:r>
      <w:proofErr w:type="spellEnd"/>
      <w:r>
        <w:t xml:space="preserve"> signal region, whereas the BSA reference region shows a linear slope with steep changes, as a function of sample injections. While the slope is due to a </w:t>
      </w:r>
      <w:proofErr w:type="spellStart"/>
      <w:r>
        <w:t>slowtemperature</w:t>
      </w:r>
      <w:proofErr w:type="spellEnd"/>
      <w:r>
        <w:t xml:space="preserve"> drift, the steep changes should be the result of refractive index changes upon different </w:t>
      </w:r>
      <w:proofErr w:type="spellStart"/>
      <w:r>
        <w:t>analytes</w:t>
      </w:r>
      <w:proofErr w:type="spellEnd"/>
      <w:r>
        <w:t xml:space="preserve"> injection, and transient temperature and pressure effects. By subtracting the signal and reference curves one can rule out such parasitic drifts and recover the information related to the specifically binding of Anti-</w:t>
      </w:r>
      <w:proofErr w:type="spellStart"/>
      <w:r>
        <w:t>Ang</w:t>
      </w:r>
      <w:proofErr w:type="spellEnd"/>
      <w:r>
        <w:t xml:space="preserve"> 2 only.</w:t>
      </w:r>
    </w:p>
    <w:p w:rsidR="00A467EE" w:rsidRDefault="00A467EE" w:rsidP="00901B20">
      <w:pPr>
        <w:spacing w:after="0" w:line="240" w:lineRule="auto"/>
      </w:pPr>
      <w:bookmarkStart w:id="0" w:name="_GoBack"/>
      <w:bookmarkEnd w:id="0"/>
    </w:p>
    <w:p w:rsidR="00901B20" w:rsidRDefault="00901B20" w:rsidP="00901B20">
      <w:pPr>
        <w:spacing w:after="0" w:line="240" w:lineRule="auto"/>
      </w:pPr>
      <w:r w:rsidRPr="00901B20">
        <w:rPr>
          <w:noProof/>
          <w:lang w:eastAsia="en-GB"/>
        </w:rPr>
        <w:drawing>
          <wp:inline distT="0" distB="0" distL="0" distR="0">
            <wp:extent cx="2880000" cy="2147692"/>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0000" cy="2147692"/>
                    </a:xfrm>
                    <a:prstGeom prst="rect">
                      <a:avLst/>
                    </a:prstGeom>
                    <a:noFill/>
                    <a:ln>
                      <a:noFill/>
                    </a:ln>
                  </pic:spPr>
                </pic:pic>
              </a:graphicData>
            </a:graphic>
          </wp:inline>
        </w:drawing>
      </w:r>
    </w:p>
    <w:p w:rsidR="00901B20" w:rsidRPr="00A467EE" w:rsidRDefault="00901B20" w:rsidP="00901B20">
      <w:pPr>
        <w:spacing w:after="0" w:line="240" w:lineRule="auto"/>
        <w:rPr>
          <w:i/>
        </w:rPr>
      </w:pPr>
      <w:r w:rsidRPr="00A467EE">
        <w:rPr>
          <w:i/>
        </w:rPr>
        <w:t xml:space="preserve">Fig. 6. </w:t>
      </w:r>
      <w:proofErr w:type="spellStart"/>
      <w:r w:rsidRPr="00A467EE">
        <w:rPr>
          <w:i/>
        </w:rPr>
        <w:t>Sensorgrams</w:t>
      </w:r>
      <w:proofErr w:type="spellEnd"/>
      <w:r w:rsidRPr="00A467EE">
        <w:rPr>
          <w:i/>
        </w:rPr>
        <w:t xml:space="preserve"> recorded during the label-free </w:t>
      </w:r>
      <w:proofErr w:type="spellStart"/>
      <w:r w:rsidRPr="00A467EE">
        <w:rPr>
          <w:i/>
        </w:rPr>
        <w:t>Angiopoietin</w:t>
      </w:r>
      <w:proofErr w:type="spellEnd"/>
      <w:r w:rsidRPr="00A467EE">
        <w:rPr>
          <w:i/>
        </w:rPr>
        <w:t xml:space="preserve"> 2 detection assay in the </w:t>
      </w:r>
      <w:proofErr w:type="spellStart"/>
      <w:r w:rsidRPr="00A467EE">
        <w:rPr>
          <w:i/>
        </w:rPr>
        <w:t>PtG</w:t>
      </w:r>
      <w:proofErr w:type="spellEnd"/>
      <w:r w:rsidRPr="00A467EE">
        <w:rPr>
          <w:i/>
        </w:rPr>
        <w:t xml:space="preserve"> (red) and BSA (blue) regions. The black solid curve is the difference signal from which we extracted the relevant quantities reported in Table I.</w:t>
      </w:r>
    </w:p>
    <w:p w:rsidR="00901B20" w:rsidRDefault="00901B20" w:rsidP="00901B20">
      <w:pPr>
        <w:spacing w:after="0" w:line="240" w:lineRule="auto"/>
      </w:pPr>
    </w:p>
    <w:p w:rsidR="00901B20" w:rsidRDefault="00901B20" w:rsidP="00901B20">
      <w:pPr>
        <w:spacing w:after="0" w:line="240" w:lineRule="auto"/>
      </w:pPr>
      <w:r>
        <w:t>TABLE I</w:t>
      </w:r>
    </w:p>
    <w:p w:rsidR="00901B20" w:rsidRDefault="00901B20" w:rsidP="00901B20">
      <w:pPr>
        <w:spacing w:after="0" w:line="240" w:lineRule="auto"/>
      </w:pPr>
      <w:r>
        <w:t>DATA ON THE PROTEIN LAYERS IN THE LABEL-FREE ASSAY</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01B20" w:rsidTr="00901B20">
        <w:tc>
          <w:tcPr>
            <w:tcW w:w="1502" w:type="dxa"/>
          </w:tcPr>
          <w:p w:rsidR="00901B20" w:rsidRDefault="00901B20" w:rsidP="00901B20">
            <w:r>
              <w:t>Protein</w:t>
            </w:r>
          </w:p>
        </w:tc>
        <w:tc>
          <w:tcPr>
            <w:tcW w:w="1502" w:type="dxa"/>
          </w:tcPr>
          <w:p w:rsidR="00901B20" w:rsidRPr="00901B20" w:rsidRDefault="00901B20" w:rsidP="00901B20">
            <w:r>
              <w:t>M</w:t>
            </w:r>
            <w:r>
              <w:rPr>
                <w:vertAlign w:val="subscript"/>
              </w:rPr>
              <w:t>W</w:t>
            </w:r>
            <w:r>
              <w:t xml:space="preserve">  [</w:t>
            </w:r>
            <w:proofErr w:type="spellStart"/>
            <w:r>
              <w:t>kDa</w:t>
            </w:r>
            <w:proofErr w:type="spellEnd"/>
            <w:r>
              <w:t>]</w:t>
            </w:r>
          </w:p>
        </w:tc>
        <w:tc>
          <w:tcPr>
            <w:tcW w:w="1503" w:type="dxa"/>
          </w:tcPr>
          <w:p w:rsidR="00901B20" w:rsidRDefault="00901B20" w:rsidP="00901B20">
            <w:r>
              <w:t>C [µg/mL]</w:t>
            </w:r>
          </w:p>
        </w:tc>
        <w:tc>
          <w:tcPr>
            <w:tcW w:w="1503" w:type="dxa"/>
          </w:tcPr>
          <w:p w:rsidR="00901B20" w:rsidRDefault="00901B20" w:rsidP="00901B20">
            <w:proofErr w:type="spellStart"/>
            <w:r>
              <w:t>Δθ</w:t>
            </w:r>
            <w:proofErr w:type="spellEnd"/>
            <w:r>
              <w:t xml:space="preserve"> [</w:t>
            </w:r>
            <w:proofErr w:type="spellStart"/>
            <w:r>
              <w:t>mdeg</w:t>
            </w:r>
            <w:proofErr w:type="spellEnd"/>
            <w:r>
              <w:t>]</w:t>
            </w:r>
          </w:p>
        </w:tc>
        <w:tc>
          <w:tcPr>
            <w:tcW w:w="1503" w:type="dxa"/>
          </w:tcPr>
          <w:p w:rsidR="00901B20" w:rsidRPr="00901B20" w:rsidRDefault="00901B20" w:rsidP="00901B20">
            <w:r>
              <w:t>Γ [ng/cm</w:t>
            </w:r>
            <w:r>
              <w:rPr>
                <w:vertAlign w:val="superscript"/>
              </w:rPr>
              <w:t>2</w:t>
            </w:r>
            <w:r>
              <w:t>]</w:t>
            </w:r>
          </w:p>
        </w:tc>
        <w:tc>
          <w:tcPr>
            <w:tcW w:w="1503" w:type="dxa"/>
          </w:tcPr>
          <w:p w:rsidR="00901B20" w:rsidRPr="00901B20" w:rsidRDefault="00901B20" w:rsidP="00901B20">
            <w:r>
              <w:t>Σ [10</w:t>
            </w:r>
            <w:r>
              <w:rPr>
                <w:vertAlign w:val="superscript"/>
              </w:rPr>
              <w:t>12</w:t>
            </w:r>
            <w:r>
              <w:t>/cm</w:t>
            </w:r>
            <w:r>
              <w:rPr>
                <w:vertAlign w:val="superscript"/>
              </w:rPr>
              <w:t>2</w:t>
            </w:r>
            <w:r>
              <w:t>]</w:t>
            </w:r>
          </w:p>
        </w:tc>
      </w:tr>
      <w:tr w:rsidR="00901B20" w:rsidTr="00901B20">
        <w:tc>
          <w:tcPr>
            <w:tcW w:w="1502" w:type="dxa"/>
          </w:tcPr>
          <w:p w:rsidR="00901B20" w:rsidRDefault="00901B20" w:rsidP="00901B20">
            <w:r>
              <w:t>Anti-</w:t>
            </w:r>
            <w:proofErr w:type="spellStart"/>
            <w:r>
              <w:t>Ang</w:t>
            </w:r>
            <w:proofErr w:type="spellEnd"/>
            <w:r>
              <w:t xml:space="preserve"> 2</w:t>
            </w:r>
          </w:p>
        </w:tc>
        <w:tc>
          <w:tcPr>
            <w:tcW w:w="1502" w:type="dxa"/>
          </w:tcPr>
          <w:p w:rsidR="00901B20" w:rsidRDefault="00901B20" w:rsidP="00901B20">
            <w:r>
              <w:t>150</w:t>
            </w:r>
          </w:p>
        </w:tc>
        <w:tc>
          <w:tcPr>
            <w:tcW w:w="1503" w:type="dxa"/>
          </w:tcPr>
          <w:p w:rsidR="00901B20" w:rsidRDefault="00901B20" w:rsidP="00901B20">
            <w:r>
              <w:t>2</w:t>
            </w:r>
          </w:p>
        </w:tc>
        <w:tc>
          <w:tcPr>
            <w:tcW w:w="1503" w:type="dxa"/>
          </w:tcPr>
          <w:p w:rsidR="00901B20" w:rsidRDefault="00901B20" w:rsidP="00901B20">
            <w:r>
              <w:t>18.6 ± 3.8</w:t>
            </w:r>
          </w:p>
        </w:tc>
        <w:tc>
          <w:tcPr>
            <w:tcW w:w="1503" w:type="dxa"/>
          </w:tcPr>
          <w:p w:rsidR="00901B20" w:rsidRDefault="00901B20" w:rsidP="00901B20">
            <w:r>
              <w:t>35.1 ± 7.2</w:t>
            </w:r>
          </w:p>
        </w:tc>
        <w:tc>
          <w:tcPr>
            <w:tcW w:w="1503" w:type="dxa"/>
          </w:tcPr>
          <w:p w:rsidR="00901B20" w:rsidRDefault="00901B20" w:rsidP="00901B20">
            <w:r>
              <w:t>0.14 ± 0.03</w:t>
            </w:r>
          </w:p>
        </w:tc>
      </w:tr>
      <w:tr w:rsidR="00901B20" w:rsidTr="00901B20">
        <w:tc>
          <w:tcPr>
            <w:tcW w:w="1502" w:type="dxa"/>
          </w:tcPr>
          <w:p w:rsidR="00901B20" w:rsidRDefault="00901B20" w:rsidP="00901B20">
            <w:proofErr w:type="spellStart"/>
            <w:r>
              <w:t>Ang</w:t>
            </w:r>
            <w:proofErr w:type="spellEnd"/>
            <w:r>
              <w:t xml:space="preserve"> 2 (dimer)</w:t>
            </w:r>
          </w:p>
        </w:tc>
        <w:tc>
          <w:tcPr>
            <w:tcW w:w="1502" w:type="dxa"/>
          </w:tcPr>
          <w:p w:rsidR="00901B20" w:rsidRDefault="00901B20" w:rsidP="00901B20">
            <w:r>
              <w:t>140</w:t>
            </w:r>
          </w:p>
        </w:tc>
        <w:tc>
          <w:tcPr>
            <w:tcW w:w="1503" w:type="dxa"/>
          </w:tcPr>
          <w:p w:rsidR="00901B20" w:rsidRDefault="00901B20" w:rsidP="00901B20">
            <w:r>
              <w:t>1</w:t>
            </w:r>
          </w:p>
        </w:tc>
        <w:tc>
          <w:tcPr>
            <w:tcW w:w="1503" w:type="dxa"/>
          </w:tcPr>
          <w:p w:rsidR="00901B20" w:rsidRDefault="00901B20" w:rsidP="00901B20">
            <w:r>
              <w:t>12.4 ± 3.8</w:t>
            </w:r>
          </w:p>
        </w:tc>
        <w:tc>
          <w:tcPr>
            <w:tcW w:w="1503" w:type="dxa"/>
          </w:tcPr>
          <w:p w:rsidR="00901B20" w:rsidRDefault="00901B20" w:rsidP="00901B20">
            <w:r>
              <w:t>23.4 ± 7.2</w:t>
            </w:r>
          </w:p>
        </w:tc>
        <w:tc>
          <w:tcPr>
            <w:tcW w:w="1503" w:type="dxa"/>
          </w:tcPr>
          <w:p w:rsidR="00901B20" w:rsidRDefault="00901B20" w:rsidP="00901B20">
            <w:r>
              <w:t>0.10 ± 0.03</w:t>
            </w:r>
          </w:p>
        </w:tc>
      </w:tr>
    </w:tbl>
    <w:p w:rsidR="00901B20" w:rsidRDefault="00901B20" w:rsidP="00901B20">
      <w:pPr>
        <w:spacing w:after="0" w:line="240" w:lineRule="auto"/>
      </w:pPr>
    </w:p>
    <w:p w:rsidR="00901B20" w:rsidRDefault="00901B20" w:rsidP="00901B20">
      <w:pPr>
        <w:spacing w:after="0" w:line="240" w:lineRule="auto"/>
      </w:pPr>
      <w:r>
        <w:t xml:space="preserve">Fig. 6 demonstrates that the </w:t>
      </w:r>
      <w:proofErr w:type="spellStart"/>
      <w:r>
        <w:t>PtG</w:t>
      </w:r>
      <w:proofErr w:type="spellEnd"/>
      <w:r>
        <w:t xml:space="preserve"> layer in the signal region binds efficiently with the Anti-</w:t>
      </w:r>
      <w:proofErr w:type="spellStart"/>
      <w:r>
        <w:t>Ang</w:t>
      </w:r>
      <w:proofErr w:type="spellEnd"/>
      <w:r>
        <w:t xml:space="preserve"> 2 capture antibodies providing a proper orientation on the 1-DPC surface, maximizing the detection of the antigens. On the other hand, the BSA layer in the reference region effectively blocks non-specific adsorption on the 1-DPC surface.</w:t>
      </w:r>
    </w:p>
    <w:p w:rsidR="00A467EE" w:rsidRDefault="00A467EE" w:rsidP="00901B20">
      <w:pPr>
        <w:spacing w:after="0" w:line="240" w:lineRule="auto"/>
      </w:pPr>
    </w:p>
    <w:p w:rsidR="00901B20" w:rsidRDefault="00901B20" w:rsidP="00901B20">
      <w:pPr>
        <w:spacing w:after="0" w:line="240" w:lineRule="auto"/>
      </w:pPr>
      <w:r>
        <w:t>At the end of the Anti-</w:t>
      </w:r>
      <w:proofErr w:type="spellStart"/>
      <w:r>
        <w:t>Ang</w:t>
      </w:r>
      <w:proofErr w:type="spellEnd"/>
      <w:r>
        <w:t xml:space="preserve"> 2 incubation a 500 </w:t>
      </w:r>
      <w:proofErr w:type="spellStart"/>
      <w:r>
        <w:t>μl</w:t>
      </w:r>
      <w:proofErr w:type="spellEnd"/>
      <w:r>
        <w:t xml:space="preserve"> volume of buffer is injected in the channel at 4 </w:t>
      </w:r>
      <w:proofErr w:type="spellStart"/>
      <w:r>
        <w:t>μl</w:t>
      </w:r>
      <w:proofErr w:type="spellEnd"/>
      <w:r>
        <w:t>/s for washing. Dissociation of Anti-</w:t>
      </w:r>
      <w:proofErr w:type="spellStart"/>
      <w:r>
        <w:t>Ang</w:t>
      </w:r>
      <w:proofErr w:type="spellEnd"/>
      <w:r>
        <w:t xml:space="preserve"> 2 is observed as expected, due to the removal of excess non-</w:t>
      </w:r>
      <w:r>
        <w:lastRenderedPageBreak/>
        <w:t>specifically bound Anti-</w:t>
      </w:r>
      <w:proofErr w:type="spellStart"/>
      <w:r>
        <w:t>Ang</w:t>
      </w:r>
      <w:proofErr w:type="spellEnd"/>
      <w:r>
        <w:t xml:space="preserve"> 2. The total residual angular shift </w:t>
      </w:r>
      <w:proofErr w:type="spellStart"/>
      <w:r>
        <w:t>Δθ</w:t>
      </w:r>
      <w:proofErr w:type="spellEnd"/>
      <w:r>
        <w:t xml:space="preserve"> at the end of the washing step, that reflects Anti-</w:t>
      </w:r>
      <w:proofErr w:type="spellStart"/>
      <w:r>
        <w:t>Ang</w:t>
      </w:r>
      <w:proofErr w:type="spellEnd"/>
      <w:r>
        <w:t xml:space="preserve"> 2 binding to </w:t>
      </w:r>
      <w:proofErr w:type="spellStart"/>
      <w:r>
        <w:t>PtG</w:t>
      </w:r>
      <w:proofErr w:type="spellEnd"/>
      <w:r>
        <w:t>, is reported in Table I.</w:t>
      </w:r>
    </w:p>
    <w:p w:rsidR="00901B20" w:rsidRDefault="00901B20" w:rsidP="00901B20">
      <w:pPr>
        <w:spacing w:after="0" w:line="240" w:lineRule="auto"/>
      </w:pPr>
      <w:r>
        <w:t xml:space="preserve">Under the conditions reached at the end of the precedent steps the biochip is ready for the detection of the </w:t>
      </w:r>
      <w:proofErr w:type="spellStart"/>
      <w:r>
        <w:t>Ang</w:t>
      </w:r>
      <w:proofErr w:type="spellEnd"/>
      <w:r>
        <w:t xml:space="preserve"> 2 cancer biomarker. Upon injection of a 2 </w:t>
      </w:r>
      <w:proofErr w:type="spellStart"/>
      <w:r>
        <w:t>μg</w:t>
      </w:r>
      <w:proofErr w:type="spellEnd"/>
      <w:r>
        <w:t xml:space="preserve">/ml </w:t>
      </w:r>
      <w:proofErr w:type="spellStart"/>
      <w:r>
        <w:t>Ang</w:t>
      </w:r>
      <w:proofErr w:type="spellEnd"/>
      <w:r>
        <w:t xml:space="preserve"> 2 solution in the buffer (t = 24 min, injected volume 100 at 4 </w:t>
      </w:r>
      <w:proofErr w:type="spellStart"/>
      <w:r>
        <w:t>μl</w:t>
      </w:r>
      <w:proofErr w:type="spellEnd"/>
      <w:r>
        <w:t xml:space="preserve">/s, incubation for 20 min with recirculation of 27 at 1 </w:t>
      </w:r>
      <w:proofErr w:type="spellStart"/>
      <w:r>
        <w:t>μl</w:t>
      </w:r>
      <w:proofErr w:type="spellEnd"/>
      <w:r>
        <w:t>/s) again a clear binding curve is observed in the signal region with respect to the reference region. The difference-signal shows a well-defined exponential growth, indicating that indeed Anti-</w:t>
      </w:r>
      <w:proofErr w:type="spellStart"/>
      <w:r>
        <w:t>Ang</w:t>
      </w:r>
      <w:proofErr w:type="spellEnd"/>
      <w:r>
        <w:t xml:space="preserve"> 2 efficiently detects the </w:t>
      </w:r>
      <w:proofErr w:type="spellStart"/>
      <w:r>
        <w:t>Ang</w:t>
      </w:r>
      <w:proofErr w:type="spellEnd"/>
      <w:r>
        <w:t xml:space="preserve"> 2 antigens present in the test solution. At the end of the incubation the biochip is washed with 500 </w:t>
      </w:r>
      <w:proofErr w:type="spellStart"/>
      <w:r>
        <w:t>μl</w:t>
      </w:r>
      <w:proofErr w:type="spellEnd"/>
      <w:r>
        <w:t xml:space="preserve"> buffer injected at 4 </w:t>
      </w:r>
      <w:proofErr w:type="spellStart"/>
      <w:r>
        <w:t>μl</w:t>
      </w:r>
      <w:proofErr w:type="spellEnd"/>
      <w:r>
        <w:t xml:space="preserve">/s. The total residual angular shift </w:t>
      </w:r>
      <w:proofErr w:type="spellStart"/>
      <w:r>
        <w:t>Δθ</w:t>
      </w:r>
      <w:proofErr w:type="spellEnd"/>
      <w:r>
        <w:t>, due to</w:t>
      </w:r>
    </w:p>
    <w:p w:rsidR="00901B20" w:rsidRDefault="00901B20" w:rsidP="00901B20">
      <w:pPr>
        <w:spacing w:after="0" w:line="240" w:lineRule="auto"/>
      </w:pPr>
      <w:proofErr w:type="gramStart"/>
      <w:r>
        <w:t>the</w:t>
      </w:r>
      <w:proofErr w:type="gramEnd"/>
      <w:r>
        <w:t xml:space="preserve"> specific binding of </w:t>
      </w:r>
      <w:proofErr w:type="spellStart"/>
      <w:r>
        <w:t>Ang</w:t>
      </w:r>
      <w:proofErr w:type="spellEnd"/>
      <w:r>
        <w:t xml:space="preserve"> 2 to Anti-</w:t>
      </w:r>
      <w:proofErr w:type="spellStart"/>
      <w:r>
        <w:t>Ang</w:t>
      </w:r>
      <w:proofErr w:type="spellEnd"/>
      <w:r>
        <w:t xml:space="preserve"> 2, at the end of the washing step is reported in Table I.</w:t>
      </w:r>
    </w:p>
    <w:p w:rsidR="00D76BA7" w:rsidRDefault="00901B20" w:rsidP="00901B20">
      <w:pPr>
        <w:spacing w:after="0" w:line="240" w:lineRule="auto"/>
      </w:pPr>
      <w:r>
        <w:t xml:space="preserve">The angular shifts </w:t>
      </w:r>
      <w:proofErr w:type="spellStart"/>
      <w:r>
        <w:t>Δθ</w:t>
      </w:r>
      <w:proofErr w:type="spellEnd"/>
      <w:r>
        <w:t xml:space="preserve"> depend on the target (Anti-</w:t>
      </w:r>
      <w:proofErr w:type="spellStart"/>
      <w:r>
        <w:t>Ang</w:t>
      </w:r>
      <w:proofErr w:type="spellEnd"/>
      <w:r>
        <w:t xml:space="preserve"> 2 or </w:t>
      </w:r>
      <w:proofErr w:type="spellStart"/>
      <w:r>
        <w:t>Ang</w:t>
      </w:r>
      <w:proofErr w:type="spellEnd"/>
      <w:r>
        <w:t xml:space="preserve"> 2) concentration, on the surface concentration and affinity of the probe (</w:t>
      </w:r>
      <w:proofErr w:type="spellStart"/>
      <w:r>
        <w:t>PtG</w:t>
      </w:r>
      <w:proofErr w:type="spellEnd"/>
      <w:r>
        <w:t xml:space="preserve"> for Anti-</w:t>
      </w:r>
      <w:proofErr w:type="spellStart"/>
      <w:r>
        <w:t>Ang</w:t>
      </w:r>
      <w:proofErr w:type="spellEnd"/>
      <w:r>
        <w:t xml:space="preserve"> 2 or Anti-</w:t>
      </w:r>
      <w:proofErr w:type="spellStart"/>
      <w:r>
        <w:t>Ang</w:t>
      </w:r>
      <w:proofErr w:type="spellEnd"/>
      <w:r>
        <w:t xml:space="preserve"> 2 for </w:t>
      </w:r>
      <w:proofErr w:type="spellStart"/>
      <w:r>
        <w:t>Ang</w:t>
      </w:r>
      <w:proofErr w:type="spellEnd"/>
      <w:r>
        <w:t xml:space="preserve"> 2, respectively), and on the incubation time. From the experimental </w:t>
      </w:r>
      <w:proofErr w:type="spellStart"/>
      <w:r>
        <w:t>Δθ</w:t>
      </w:r>
      <w:proofErr w:type="spellEnd"/>
      <w:r>
        <w:t xml:space="preserve"> reported in Table I we can evaluate the mass surface coverage Γ </w:t>
      </w:r>
      <w:proofErr w:type="spellStart"/>
      <w:r>
        <w:t>forAnti-Ang</w:t>
      </w:r>
      <w:proofErr w:type="spellEnd"/>
      <w:r>
        <w:t xml:space="preserve"> 2 and </w:t>
      </w:r>
      <w:proofErr w:type="spellStart"/>
      <w:r>
        <w:t>Ang</w:t>
      </w:r>
      <w:proofErr w:type="spellEnd"/>
      <w:r>
        <w:t xml:space="preserve"> 2making use of the following formula [26] derived from the De </w:t>
      </w:r>
      <w:proofErr w:type="spellStart"/>
      <w:r>
        <w:t>Feijter</w:t>
      </w:r>
      <w:proofErr w:type="spellEnd"/>
      <w:r>
        <w:t xml:space="preserve"> formula [27]:</w:t>
      </w:r>
    </w:p>
    <w:p w:rsidR="00901B20" w:rsidRPr="00901B20" w:rsidRDefault="00901B20" w:rsidP="00901B20">
      <w:pPr>
        <w:spacing w:after="0" w:line="240" w:lineRule="auto"/>
        <w:rPr>
          <w:rFonts w:eastAsiaTheme="minorEastAsia"/>
        </w:rPr>
      </w:pPr>
      <m:oMathPara>
        <m:oMath>
          <m:r>
            <m:rPr>
              <m:sty m:val="p"/>
            </m:rPr>
            <w:rPr>
              <w:rFonts w:ascii="Cambria Math" w:hAnsi="Cambria Math"/>
            </w:rPr>
            <m:t>Γ</m:t>
          </m:r>
          <m:r>
            <w:rPr>
              <w:rFonts w:ascii="Cambria Math" w:hAnsi="Cambria Math"/>
            </w:rPr>
            <m:t>=</m:t>
          </m:r>
          <m:f>
            <m:fPr>
              <m:ctrlPr>
                <w:rPr>
                  <w:rFonts w:ascii="Cambria Math" w:hAnsi="Cambria Math"/>
                  <w:i/>
                </w:rPr>
              </m:ctrlPr>
            </m:fPr>
            <m:num>
              <m:r>
                <m:rPr>
                  <m:sty m:val="p"/>
                </m:rPr>
                <w:rPr>
                  <w:rFonts w:ascii="Cambria Math" w:hAnsi="Cambria Math"/>
                </w:rPr>
                <m:t>Δ</m:t>
              </m:r>
              <m:r>
                <w:rPr>
                  <w:rFonts w:ascii="Cambria Math" w:hAnsi="Cambria Math"/>
                </w:rPr>
                <m:t>θ∙</m:t>
              </m:r>
              <m:sSub>
                <m:sSubPr>
                  <m:ctrlPr>
                    <w:rPr>
                      <w:rFonts w:ascii="Cambria Math" w:hAnsi="Cambria Math"/>
                      <w:i/>
                    </w:rPr>
                  </m:ctrlPr>
                </m:sSubPr>
                <m:e>
                  <m:r>
                    <w:rPr>
                      <w:rFonts w:ascii="Cambria Math" w:hAnsi="Cambria Math"/>
                    </w:rPr>
                    <m:t>L</m:t>
                  </m:r>
                </m:e>
                <m:sub>
                  <m:r>
                    <w:rPr>
                      <w:rFonts w:ascii="Cambria Math" w:hAnsi="Cambria Math"/>
                    </w:rPr>
                    <m:t>PEN</m:t>
                  </m:r>
                </m:sub>
              </m:sSub>
            </m:num>
            <m:den>
              <m:sSub>
                <m:sSubPr>
                  <m:ctrlPr>
                    <w:rPr>
                      <w:rFonts w:ascii="Cambria Math" w:hAnsi="Cambria Math"/>
                      <w:i/>
                    </w:rPr>
                  </m:ctrlPr>
                </m:sSubPr>
                <m:e>
                  <m:r>
                    <w:rPr>
                      <w:rFonts w:ascii="Cambria Math" w:hAnsi="Cambria Math"/>
                    </w:rPr>
                    <m:t>S</m:t>
                  </m:r>
                </m:e>
                <m:sub>
                  <m:r>
                    <w:rPr>
                      <w:rFonts w:ascii="Cambria Math" w:hAnsi="Cambria Math"/>
                    </w:rPr>
                    <m:t>v</m:t>
                  </m:r>
                </m:sub>
              </m:sSub>
              <m:r>
                <w:rPr>
                  <w:rFonts w:ascii="Cambria Math" w:hAnsi="Cambria Math"/>
                </w:rPr>
                <m:t>∙∂n/∂C</m:t>
              </m:r>
            </m:den>
          </m:f>
        </m:oMath>
      </m:oMathPara>
    </w:p>
    <w:p w:rsidR="00901B20" w:rsidRDefault="00901B20" w:rsidP="00901B20">
      <w:pPr>
        <w:spacing w:after="0" w:line="240" w:lineRule="auto"/>
      </w:pPr>
      <w:proofErr w:type="gramStart"/>
      <w:r>
        <w:t>where</w:t>
      </w:r>
      <w:proofErr w:type="gramEnd"/>
      <w:r>
        <w:t xml:space="preserve"> ∂n/∂C is the refractive index increment of the molecules and ∂n/∂C = 0.19 cm3/g for most of proteins [27]. From Γ, we calculate the surface </w:t>
      </w:r>
      <w:proofErr w:type="spellStart"/>
      <w:r>
        <w:t>densityΣ</w:t>
      </w:r>
      <w:proofErr w:type="spellEnd"/>
      <w:r>
        <w:t xml:space="preserve"> = Γ/</w:t>
      </w:r>
      <w:proofErr w:type="gramStart"/>
      <w:r>
        <w:t>MW ,</w:t>
      </w:r>
      <w:proofErr w:type="gramEnd"/>
      <w:r>
        <w:t xml:space="preserve"> </w:t>
      </w:r>
      <w:proofErr w:type="spellStart"/>
      <w:r>
        <w:t>whereMW</w:t>
      </w:r>
      <w:proofErr w:type="spellEnd"/>
      <w:r>
        <w:t xml:space="preserve"> is the molecular weight.</w:t>
      </w:r>
    </w:p>
    <w:p w:rsidR="00901B20" w:rsidRDefault="00901B20" w:rsidP="00901B20">
      <w:pPr>
        <w:spacing w:after="0" w:line="240" w:lineRule="auto"/>
      </w:pPr>
      <w:r>
        <w:t xml:space="preserve">The analysis of the </w:t>
      </w:r>
      <w:proofErr w:type="spellStart"/>
      <w:r>
        <w:t>sensorgram</w:t>
      </w:r>
      <w:proofErr w:type="spellEnd"/>
      <w:r>
        <w:t xml:space="preserve"> confirms that the 1-DPC biochips can efficiently detect the presence of </w:t>
      </w:r>
      <w:proofErr w:type="spellStart"/>
      <w:r>
        <w:t>Ang</w:t>
      </w:r>
      <w:proofErr w:type="spellEnd"/>
      <w:r>
        <w:t xml:space="preserve"> 2 in a buffer solution. The experimental value of Σ for </w:t>
      </w:r>
      <w:proofErr w:type="spellStart"/>
      <w:r>
        <w:t>Ang</w:t>
      </w:r>
      <w:proofErr w:type="spellEnd"/>
      <w:r>
        <w:t xml:space="preserve"> 2 dimers is smaller than that found for Anti-</w:t>
      </w:r>
      <w:proofErr w:type="spellStart"/>
      <w:r>
        <w:t>Ang</w:t>
      </w:r>
      <w:proofErr w:type="spellEnd"/>
      <w:r>
        <w:t xml:space="preserve"> 2, as expected for Langmuir isotherm equilibrium far from saturation conditions [28].</w:t>
      </w:r>
    </w:p>
    <w:p w:rsidR="00901B20" w:rsidRDefault="00901B20" w:rsidP="00901B20">
      <w:pPr>
        <w:spacing w:after="0" w:line="240" w:lineRule="auto"/>
      </w:pPr>
      <w:r>
        <w:t xml:space="preserve">The </w:t>
      </w:r>
      <w:proofErr w:type="spellStart"/>
      <w:r>
        <w:t>Angiopoietin</w:t>
      </w:r>
      <w:proofErr w:type="spellEnd"/>
      <w:r>
        <w:t xml:space="preserve"> 2 concentration used here for the detection assay in a buffer (1μg/ml) is very large with respect the clinical values that are found for healthy and unhealthy people, that</w:t>
      </w:r>
      <w:r w:rsidR="00A467EE">
        <w:t xml:space="preserve"> </w:t>
      </w:r>
      <w:r>
        <w:t xml:space="preserve">are in the range of 1 to 2 ng / ml and up to 10 ng / ml, respectively [29]. Detection experiments carried out with smaller </w:t>
      </w:r>
      <w:proofErr w:type="spellStart"/>
      <w:r>
        <w:t>Angiopoietin</w:t>
      </w:r>
      <w:proofErr w:type="spellEnd"/>
      <w:r>
        <w:t xml:space="preserve"> 2 concentrations, aiming at the determination of the resolution of the biochips in terms of minimum detectable biomarker concentration, are on the way.</w:t>
      </w:r>
    </w:p>
    <w:p w:rsidR="00A467EE" w:rsidRDefault="00A467EE" w:rsidP="00901B20">
      <w:pPr>
        <w:spacing w:after="0" w:line="240" w:lineRule="auto"/>
      </w:pPr>
    </w:p>
    <w:p w:rsidR="00901B20" w:rsidRDefault="00901B20" w:rsidP="00901B20">
      <w:pPr>
        <w:spacing w:after="0" w:line="240" w:lineRule="auto"/>
      </w:pPr>
      <w:r>
        <w:t xml:space="preserve">It is nevertheless possible to estimate the minimum biomarkers surface concentration that can be detected by the BSW biochips prepared for </w:t>
      </w:r>
      <w:proofErr w:type="spellStart"/>
      <w:r>
        <w:t>Angiopotien</w:t>
      </w:r>
      <w:proofErr w:type="spellEnd"/>
      <w:r>
        <w:t xml:space="preserve"> 2 detection assay as described above. </w:t>
      </w:r>
      <w:proofErr w:type="spellStart"/>
      <w:r>
        <w:t>Analyzing</w:t>
      </w:r>
      <w:proofErr w:type="spellEnd"/>
      <w:r>
        <w:t xml:space="preserve"> the noise of the difference signal we find </w:t>
      </w:r>
      <w:proofErr w:type="spellStart"/>
      <w:r>
        <w:t>σNOISE</w:t>
      </w:r>
      <w:proofErr w:type="spellEnd"/>
      <w:r>
        <w:t xml:space="preserve"> = 0.1 </w:t>
      </w:r>
      <w:proofErr w:type="spellStart"/>
      <w:r>
        <w:t>pix</w:t>
      </w:r>
      <w:proofErr w:type="spellEnd"/>
      <w:r>
        <w:t xml:space="preserve">=7.75E–5 deg. From the Eq. (3), assuming that the minimum detectable resonance shift is </w:t>
      </w:r>
      <w:proofErr w:type="spellStart"/>
      <w:r>
        <w:t>σNOISE</w:t>
      </w:r>
      <w:proofErr w:type="spellEnd"/>
      <w:r>
        <w:t xml:space="preserve">, one can calculate the limit of the 1-DPC biochip for </w:t>
      </w:r>
      <w:proofErr w:type="spellStart"/>
      <w:r>
        <w:t>Ang</w:t>
      </w:r>
      <w:proofErr w:type="spellEnd"/>
      <w:r>
        <w:t xml:space="preserve"> 2 detection as </w:t>
      </w:r>
      <w:proofErr w:type="spellStart"/>
      <w:r>
        <w:t>ΓLoD</w:t>
      </w:r>
      <w:proofErr w:type="spellEnd"/>
      <w:r>
        <w:t xml:space="preserve"> = 1.5 </w:t>
      </w:r>
      <w:proofErr w:type="spellStart"/>
      <w:r>
        <w:t>pg</w:t>
      </w:r>
      <w:proofErr w:type="spellEnd"/>
      <w:r>
        <w:t xml:space="preserve">/mm2 at </w:t>
      </w:r>
      <w:proofErr w:type="spellStart"/>
      <w:r>
        <w:t>fSAMP</w:t>
      </w:r>
      <w:proofErr w:type="spellEnd"/>
      <w:r>
        <w:t xml:space="preserve"> = 12.5 Hz.</w:t>
      </w:r>
    </w:p>
    <w:p w:rsidR="00901B20" w:rsidRDefault="00901B20" w:rsidP="00901B20">
      <w:pPr>
        <w:spacing w:after="0" w:line="240" w:lineRule="auto"/>
      </w:pPr>
    </w:p>
    <w:p w:rsidR="00901B20" w:rsidRDefault="00901B20" w:rsidP="00901B20">
      <w:pPr>
        <w:spacing w:after="0" w:line="240" w:lineRule="auto"/>
      </w:pPr>
      <w:r>
        <w:t>C. Fluorescence Microscopy</w:t>
      </w:r>
    </w:p>
    <w:p w:rsidR="00A467EE" w:rsidRDefault="00A467EE" w:rsidP="00901B20">
      <w:pPr>
        <w:spacing w:after="0" w:line="240" w:lineRule="auto"/>
      </w:pPr>
    </w:p>
    <w:p w:rsidR="00901B20" w:rsidRDefault="00901B20" w:rsidP="00901B20">
      <w:pPr>
        <w:spacing w:after="0" w:line="240" w:lineRule="auto"/>
      </w:pPr>
      <w:r>
        <w:t xml:space="preserve">In order to confirm effective recognition of </w:t>
      </w:r>
      <w:proofErr w:type="spellStart"/>
      <w:r>
        <w:t>Ang</w:t>
      </w:r>
      <w:proofErr w:type="spellEnd"/>
      <w:r>
        <w:t xml:space="preserve"> 2 biomarkers by Anti-</w:t>
      </w:r>
      <w:proofErr w:type="spellStart"/>
      <w:r>
        <w:t>Ang</w:t>
      </w:r>
      <w:proofErr w:type="spellEnd"/>
      <w:r>
        <w:t xml:space="preserve"> 2 antibodies in the </w:t>
      </w:r>
      <w:proofErr w:type="spellStart"/>
      <w:r>
        <w:t>PtG</w:t>
      </w:r>
      <w:proofErr w:type="spellEnd"/>
      <w:r>
        <w:t xml:space="preserve"> signal region, we performed the assays by introducing fluorescent labels, similar to the standard enzyme linked fluorescence assays. This part of the assay was carried out without monitoring the label-free signal. A specific </w:t>
      </w:r>
      <w:proofErr w:type="spellStart"/>
      <w:r>
        <w:t>biotinylated</w:t>
      </w:r>
      <w:proofErr w:type="spellEnd"/>
      <w:r>
        <w:t>-detection Anti-</w:t>
      </w:r>
      <w:proofErr w:type="spellStart"/>
      <w:r>
        <w:t>Ang</w:t>
      </w:r>
      <w:proofErr w:type="spellEnd"/>
      <w:r>
        <w:t xml:space="preserve"> 2 antibody (Anti-</w:t>
      </w:r>
      <w:proofErr w:type="spellStart"/>
      <w:r>
        <w:t>Ang</w:t>
      </w:r>
      <w:proofErr w:type="spellEnd"/>
      <w:r>
        <w:t xml:space="preserve"> 2</w:t>
      </w:r>
      <w:r>
        <w:rPr>
          <w:rFonts w:ascii="Cambria Math" w:hAnsi="Cambria Math" w:cs="Cambria Math"/>
        </w:rPr>
        <w:t>∗</w:t>
      </w:r>
      <w:r>
        <w:t xml:space="preserve">, Polyclonal Human </w:t>
      </w:r>
      <w:proofErr w:type="spellStart"/>
      <w:r>
        <w:t>Angiopoietin</w:t>
      </w:r>
      <w:proofErr w:type="spellEnd"/>
      <w:r>
        <w:t xml:space="preserve"> 2 </w:t>
      </w:r>
      <w:proofErr w:type="spellStart"/>
      <w:r>
        <w:t>Biotinylated</w:t>
      </w:r>
      <w:proofErr w:type="spellEnd"/>
      <w:r>
        <w:t xml:space="preserve"> Antibody, P.N. BAF623 from R&amp;D Systems) was used to detect the presence of </w:t>
      </w:r>
      <w:proofErr w:type="spellStart"/>
      <w:r>
        <w:t>Ang</w:t>
      </w:r>
      <w:proofErr w:type="spellEnd"/>
      <w:r>
        <w:t xml:space="preserve"> 2 at the biochip surface. A 100 </w:t>
      </w:r>
      <w:proofErr w:type="spellStart"/>
      <w:r>
        <w:t>μl</w:t>
      </w:r>
      <w:proofErr w:type="spellEnd"/>
      <w:r>
        <w:t xml:space="preserve"> volume of a solution of Anti-</w:t>
      </w:r>
      <w:proofErr w:type="spellStart"/>
      <w:r>
        <w:t>Ang</w:t>
      </w:r>
      <w:proofErr w:type="spellEnd"/>
      <w:r>
        <w:t xml:space="preserve"> 2</w:t>
      </w:r>
      <w:r>
        <w:rPr>
          <w:rFonts w:ascii="Cambria Math" w:hAnsi="Cambria Math" w:cs="Cambria Math"/>
        </w:rPr>
        <w:t>∗</w:t>
      </w:r>
      <w:r>
        <w:t xml:space="preserve"> in the buffer at a concentration of 2 </w:t>
      </w:r>
      <w:proofErr w:type="spellStart"/>
      <w:r>
        <w:t>μg</w:t>
      </w:r>
      <w:proofErr w:type="spellEnd"/>
      <w:r>
        <w:t xml:space="preserve">/ml was injected in the fluidic channel at the rate of 4 </w:t>
      </w:r>
      <w:proofErr w:type="spellStart"/>
      <w:r>
        <w:t>μl</w:t>
      </w:r>
      <w:proofErr w:type="spellEnd"/>
      <w:r>
        <w:t>/s, incubated for 16 min adopting the same recirculation procedure shown above and washed with the buffer.</w:t>
      </w:r>
    </w:p>
    <w:p w:rsidR="00F1163F" w:rsidRDefault="00F1163F" w:rsidP="00901B20">
      <w:pPr>
        <w:spacing w:after="0" w:line="240" w:lineRule="auto"/>
      </w:pPr>
    </w:p>
    <w:p w:rsidR="00A467EE" w:rsidRDefault="00A467EE" w:rsidP="00901B20">
      <w:pPr>
        <w:spacing w:after="0" w:line="240" w:lineRule="auto"/>
      </w:pPr>
      <w:r w:rsidRPr="00A467EE">
        <w:rPr>
          <w:noProof/>
          <w:lang w:eastAsia="en-GB"/>
        </w:rPr>
        <w:lastRenderedPageBreak/>
        <w:drawing>
          <wp:inline distT="0" distB="0" distL="0" distR="0">
            <wp:extent cx="2880000" cy="152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0000" cy="1526400"/>
                    </a:xfrm>
                    <a:prstGeom prst="rect">
                      <a:avLst/>
                    </a:prstGeom>
                    <a:noFill/>
                    <a:ln>
                      <a:noFill/>
                    </a:ln>
                  </pic:spPr>
                </pic:pic>
              </a:graphicData>
            </a:graphic>
          </wp:inline>
        </w:drawing>
      </w:r>
    </w:p>
    <w:p w:rsidR="00A467EE" w:rsidRPr="00A467EE" w:rsidRDefault="00A467EE" w:rsidP="00A467EE">
      <w:pPr>
        <w:spacing w:after="0" w:line="240" w:lineRule="auto"/>
        <w:rPr>
          <w:i/>
        </w:rPr>
      </w:pPr>
      <w:r w:rsidRPr="00A467EE">
        <w:rPr>
          <w:i/>
        </w:rPr>
        <w:t>Fig. 7. (a) Confocal fluorescence microscopy image of the dry 1-DPC biochip</w:t>
      </w:r>
      <w:r w:rsidRPr="00A467EE">
        <w:rPr>
          <w:i/>
        </w:rPr>
        <w:t xml:space="preserve"> </w:t>
      </w:r>
      <w:r w:rsidRPr="00A467EE">
        <w:rPr>
          <w:i/>
        </w:rPr>
        <w:t xml:space="preserve">at the end of the complete </w:t>
      </w:r>
      <w:proofErr w:type="spellStart"/>
      <w:r w:rsidRPr="00A467EE">
        <w:rPr>
          <w:i/>
        </w:rPr>
        <w:t>Angiopoietin</w:t>
      </w:r>
      <w:proofErr w:type="spellEnd"/>
      <w:r w:rsidRPr="00A467EE">
        <w:rPr>
          <w:i/>
        </w:rPr>
        <w:t xml:space="preserve"> 2 detection assay. (b)Average intensities</w:t>
      </w:r>
      <w:r w:rsidRPr="00A467EE">
        <w:rPr>
          <w:i/>
        </w:rPr>
        <w:t xml:space="preserve"> </w:t>
      </w:r>
      <w:r w:rsidRPr="00A467EE">
        <w:rPr>
          <w:i/>
        </w:rPr>
        <w:t xml:space="preserve">in the </w:t>
      </w:r>
      <w:proofErr w:type="spellStart"/>
      <w:r w:rsidRPr="00A467EE">
        <w:rPr>
          <w:i/>
        </w:rPr>
        <w:t>PtG</w:t>
      </w:r>
      <w:proofErr w:type="spellEnd"/>
      <w:r w:rsidRPr="00A467EE">
        <w:rPr>
          <w:i/>
        </w:rPr>
        <w:t xml:space="preserve"> and BSA regions, confirming that efficient detection of </w:t>
      </w:r>
      <w:proofErr w:type="spellStart"/>
      <w:r w:rsidRPr="00A467EE">
        <w:rPr>
          <w:i/>
        </w:rPr>
        <w:t>Ang</w:t>
      </w:r>
      <w:proofErr w:type="spellEnd"/>
      <w:r w:rsidRPr="00A467EE">
        <w:rPr>
          <w:i/>
        </w:rPr>
        <w:t xml:space="preserve"> 2 was</w:t>
      </w:r>
      <w:r w:rsidRPr="00A467EE">
        <w:rPr>
          <w:i/>
        </w:rPr>
        <w:t xml:space="preserve"> </w:t>
      </w:r>
      <w:r w:rsidRPr="00A467EE">
        <w:rPr>
          <w:i/>
        </w:rPr>
        <w:t>achieved.</w:t>
      </w:r>
    </w:p>
    <w:p w:rsidR="00A467EE" w:rsidRDefault="00A467EE" w:rsidP="00901B20">
      <w:pPr>
        <w:spacing w:after="0" w:line="240" w:lineRule="auto"/>
      </w:pPr>
    </w:p>
    <w:p w:rsidR="00901B20" w:rsidRDefault="00901B20" w:rsidP="00901B20">
      <w:pPr>
        <w:spacing w:after="0" w:line="240" w:lineRule="auto"/>
      </w:pPr>
      <w:r>
        <w:t xml:space="preserve">Then, a solution of </w:t>
      </w:r>
      <w:proofErr w:type="spellStart"/>
      <w:r>
        <w:t>neutravidin</w:t>
      </w:r>
      <w:proofErr w:type="spellEnd"/>
      <w:r>
        <w:t xml:space="preserve"> </w:t>
      </w:r>
      <w:proofErr w:type="spellStart"/>
      <w:r>
        <w:t>labeled</w:t>
      </w:r>
      <w:proofErr w:type="spellEnd"/>
      <w:r>
        <w:t xml:space="preserve"> with </w:t>
      </w:r>
      <w:proofErr w:type="spellStart"/>
      <w:r>
        <w:t>fluorophores</w:t>
      </w:r>
      <w:proofErr w:type="spellEnd"/>
      <w:r>
        <w:t xml:space="preserve"> emitting at </w:t>
      </w:r>
      <w:proofErr w:type="spellStart"/>
      <w:r>
        <w:t>λMAX</w:t>
      </w:r>
      <w:proofErr w:type="spellEnd"/>
      <w:r>
        <w:t xml:space="preserve"> = 670 nm (NeutrAvidin650, </w:t>
      </w:r>
      <w:proofErr w:type="spellStart"/>
      <w:r>
        <w:t>DyLight</w:t>
      </w:r>
      <w:proofErr w:type="spellEnd"/>
      <w:r>
        <w:t xml:space="preserve"> 650 conjugated from </w:t>
      </w:r>
      <w:proofErr w:type="spellStart"/>
      <w:r>
        <w:t>ThermoScientific</w:t>
      </w:r>
      <w:proofErr w:type="spellEnd"/>
      <w:r>
        <w:t>) was injected in the channel.</w:t>
      </w:r>
    </w:p>
    <w:p w:rsidR="00901B20" w:rsidRDefault="00901B20" w:rsidP="00901B20">
      <w:pPr>
        <w:spacing w:after="0" w:line="240" w:lineRule="auto"/>
      </w:pPr>
      <w:proofErr w:type="spellStart"/>
      <w:r>
        <w:t>Neutravidin</w:t>
      </w:r>
      <w:proofErr w:type="spellEnd"/>
      <w:r>
        <w:t xml:space="preserve"> with very high affinity for biotin should enable detection of the Anti-</w:t>
      </w:r>
      <w:proofErr w:type="spellStart"/>
      <w:r>
        <w:t>Ang</w:t>
      </w:r>
      <w:proofErr w:type="spellEnd"/>
      <w:r>
        <w:t xml:space="preserve"> 2</w:t>
      </w:r>
      <w:r>
        <w:rPr>
          <w:rFonts w:ascii="Cambria Math" w:hAnsi="Cambria Math" w:cs="Cambria Math"/>
        </w:rPr>
        <w:t>∗</w:t>
      </w:r>
      <w:r>
        <w:t xml:space="preserve"> antibody. A 100 </w:t>
      </w:r>
      <w:proofErr w:type="spellStart"/>
      <w:r>
        <w:rPr>
          <w:rFonts w:ascii="Calibri" w:hAnsi="Calibri" w:cs="Calibri"/>
        </w:rPr>
        <w:t>μ</w:t>
      </w:r>
      <w:r>
        <w:t>l</w:t>
      </w:r>
      <w:proofErr w:type="spellEnd"/>
      <w:r>
        <w:t xml:space="preserve"> volume of a solution of NeutrAvidin650 in D-PBS 1x at a concentration of 10 </w:t>
      </w:r>
      <w:proofErr w:type="spellStart"/>
      <w:r>
        <w:t>μg</w:t>
      </w:r>
      <w:proofErr w:type="spellEnd"/>
      <w:r>
        <w:t xml:space="preserve">/ml was injected in the fluidic channel at the rate of 4 </w:t>
      </w:r>
      <w:proofErr w:type="spellStart"/>
      <w:r>
        <w:t>μl</w:t>
      </w:r>
      <w:proofErr w:type="spellEnd"/>
      <w:r>
        <w:t>/s, incubated for 16 min adopting the same recirculation procedure as above and washed with D-PBS 1x.</w:t>
      </w:r>
    </w:p>
    <w:p w:rsidR="00A467EE" w:rsidRDefault="00A467EE" w:rsidP="00901B20">
      <w:pPr>
        <w:spacing w:after="0" w:line="240" w:lineRule="auto"/>
      </w:pPr>
    </w:p>
    <w:p w:rsidR="00901B20" w:rsidRDefault="00901B20" w:rsidP="00901B20">
      <w:pPr>
        <w:spacing w:after="0" w:line="240" w:lineRule="auto"/>
      </w:pPr>
      <w:r>
        <w:t xml:space="preserve">At the end of this process, the biochip fluidic channel was emptied, dried and the biochip </w:t>
      </w:r>
      <w:proofErr w:type="spellStart"/>
      <w:r>
        <w:t>unmounted</w:t>
      </w:r>
      <w:proofErr w:type="spellEnd"/>
      <w:r>
        <w:t xml:space="preserve"> from the optical apparatus. It was immediately transferred to the confocal microscope to investigate the fluorescence emission in the two regions. The confocal fluorescence detection was performed exciting the dried biochips from the 1-DPC side. In Fig. 7(a) we show the confocal fluorescence image obtained when exciting at </w:t>
      </w:r>
      <w:proofErr w:type="spellStart"/>
      <w:r>
        <w:t>λEXC</w:t>
      </w:r>
      <w:proofErr w:type="spellEnd"/>
      <w:r>
        <w:t xml:space="preserve"> = 635 nm and detecting in the </w:t>
      </w:r>
      <w:proofErr w:type="spellStart"/>
      <w:r>
        <w:t>λEM</w:t>
      </w:r>
      <w:proofErr w:type="spellEnd"/>
      <w:r>
        <w:t xml:space="preserve"> ϵ [655, 755 nm]</w:t>
      </w:r>
      <w:r w:rsidR="00A467EE">
        <w:t xml:space="preserve"> </w:t>
      </w:r>
      <w:r>
        <w:t xml:space="preserve">window. The average </w:t>
      </w:r>
      <w:proofErr w:type="spellStart"/>
      <w:r>
        <w:t>intensitiesmeasured</w:t>
      </w:r>
      <w:proofErr w:type="spellEnd"/>
      <w:r>
        <w:t xml:space="preserve"> in the two regions are</w:t>
      </w:r>
      <w:r w:rsidR="00A467EE">
        <w:t xml:space="preserve"> </w:t>
      </w:r>
      <w:r>
        <w:t>shown in Fig. 7(b). The strong fluorescence contrast confirms</w:t>
      </w:r>
      <w:r w:rsidR="00A467EE">
        <w:t xml:space="preserve"> </w:t>
      </w:r>
      <w:r>
        <w:t xml:space="preserve">the efficient detection of </w:t>
      </w:r>
      <w:proofErr w:type="spellStart"/>
      <w:r>
        <w:t>Ang</w:t>
      </w:r>
      <w:proofErr w:type="spellEnd"/>
      <w:r>
        <w:t xml:space="preserve"> 2 in the </w:t>
      </w:r>
      <w:proofErr w:type="spellStart"/>
      <w:r>
        <w:t>PtG</w:t>
      </w:r>
      <w:proofErr w:type="spellEnd"/>
      <w:r>
        <w:t xml:space="preserve"> region.</w:t>
      </w:r>
    </w:p>
    <w:p w:rsidR="00A467EE" w:rsidRDefault="00A467EE" w:rsidP="00901B20">
      <w:pPr>
        <w:spacing w:after="0" w:line="240" w:lineRule="auto"/>
      </w:pPr>
    </w:p>
    <w:p w:rsidR="00901B20" w:rsidRPr="00A467EE" w:rsidRDefault="00901B20" w:rsidP="00901B20">
      <w:pPr>
        <w:spacing w:after="0" w:line="240" w:lineRule="auto"/>
        <w:rPr>
          <w:b/>
        </w:rPr>
      </w:pPr>
      <w:r w:rsidRPr="00A467EE">
        <w:rPr>
          <w:b/>
        </w:rPr>
        <w:t>V. CONCLUSION</w:t>
      </w:r>
    </w:p>
    <w:p w:rsidR="00901B20" w:rsidRDefault="00901B20" w:rsidP="00901B20">
      <w:pPr>
        <w:spacing w:after="0" w:line="240" w:lineRule="auto"/>
      </w:pPr>
      <w:r>
        <w:t>We have successfully demonstrated and achieved label-free</w:t>
      </w:r>
      <w:r w:rsidR="00A467EE">
        <w:t xml:space="preserve"> </w:t>
      </w:r>
      <w:r>
        <w:t xml:space="preserve">detection of cancer biomarker </w:t>
      </w:r>
      <w:proofErr w:type="spellStart"/>
      <w:r>
        <w:t>Ang</w:t>
      </w:r>
      <w:proofErr w:type="spellEnd"/>
      <w:r>
        <w:t xml:space="preserve"> 2 based on BSW on functionalized</w:t>
      </w:r>
      <w:r w:rsidR="00A467EE">
        <w:t xml:space="preserve"> </w:t>
      </w:r>
      <w:r>
        <w:t>1-DPC biochips. The biochips were designed and</w:t>
      </w:r>
      <w:r w:rsidR="00A467EE">
        <w:t xml:space="preserve"> </w:t>
      </w:r>
      <w:r>
        <w:t xml:space="preserve">fabricated with specific geometry to obtain maximum </w:t>
      </w:r>
      <w:proofErr w:type="spellStart"/>
      <w:r>
        <w:t>FoM</w:t>
      </w:r>
      <w:proofErr w:type="spellEnd"/>
      <w:r>
        <w:t xml:space="preserve"> and</w:t>
      </w:r>
      <w:r w:rsidR="00A467EE">
        <w:t xml:space="preserve"> </w:t>
      </w:r>
      <w:r>
        <w:t xml:space="preserve">minimum </w:t>
      </w:r>
      <w:proofErr w:type="spellStart"/>
      <w:r>
        <w:t>LoD</w:t>
      </w:r>
      <w:proofErr w:type="spellEnd"/>
      <w:r>
        <w:t xml:space="preserve">. The </w:t>
      </w:r>
      <w:proofErr w:type="spellStart"/>
      <w:r>
        <w:t>LoD</w:t>
      </w:r>
      <w:proofErr w:type="spellEnd"/>
      <w:r>
        <w:t xml:space="preserve"> for </w:t>
      </w:r>
      <w:proofErr w:type="spellStart"/>
      <w:r>
        <w:t>Ang</w:t>
      </w:r>
      <w:proofErr w:type="spellEnd"/>
      <w:r>
        <w:t xml:space="preserve"> 2 from the label-free </w:t>
      </w:r>
      <w:proofErr w:type="spellStart"/>
      <w:r>
        <w:t>BSWbased</w:t>
      </w:r>
      <w:proofErr w:type="spellEnd"/>
      <w:r w:rsidR="00A467EE">
        <w:t xml:space="preserve"> </w:t>
      </w:r>
      <w:r>
        <w:t xml:space="preserve">bio-sensing assay was determined to be 1.5 </w:t>
      </w:r>
      <w:proofErr w:type="spellStart"/>
      <w:r>
        <w:t>pg</w:t>
      </w:r>
      <w:proofErr w:type="spellEnd"/>
      <w:r>
        <w:t>/mm</w:t>
      </w:r>
      <w:r w:rsidRPr="00A467EE">
        <w:rPr>
          <w:vertAlign w:val="superscript"/>
        </w:rPr>
        <w:t>2</w:t>
      </w:r>
      <w:r>
        <w:t xml:space="preserve"> in</w:t>
      </w:r>
      <w:r w:rsidR="00A467EE">
        <w:t xml:space="preserve"> </w:t>
      </w:r>
      <w:r>
        <w:t>buffer solution. Fluorescence microscopy further confirmed the</w:t>
      </w:r>
      <w:r w:rsidR="00A467EE">
        <w:t xml:space="preserve"> </w:t>
      </w:r>
      <w:r>
        <w:t xml:space="preserve">specific detection of </w:t>
      </w:r>
      <w:proofErr w:type="spellStart"/>
      <w:r>
        <w:t>Ang</w:t>
      </w:r>
      <w:proofErr w:type="spellEnd"/>
      <w:r>
        <w:t xml:space="preserve"> 2 on the 1-DPC chips. The current assay</w:t>
      </w:r>
      <w:r w:rsidR="00A467EE">
        <w:t xml:space="preserve"> </w:t>
      </w:r>
      <w:r>
        <w:t>presents new and exciting opportunities for the development</w:t>
      </w:r>
      <w:r w:rsidR="00A467EE">
        <w:t xml:space="preserve"> </w:t>
      </w:r>
      <w:r>
        <w:t xml:space="preserve">of a diagnostic test for disease </w:t>
      </w:r>
      <w:r w:rsidR="00A467EE">
        <w:t>b</w:t>
      </w:r>
      <w:r>
        <w:t>iomarkers.</w:t>
      </w:r>
    </w:p>
    <w:p w:rsidR="00A467EE" w:rsidRDefault="00A467EE" w:rsidP="00901B20">
      <w:pPr>
        <w:spacing w:after="0" w:line="240" w:lineRule="auto"/>
      </w:pPr>
    </w:p>
    <w:p w:rsidR="00901B20" w:rsidRPr="00A467EE" w:rsidRDefault="00901B20" w:rsidP="00901B20">
      <w:pPr>
        <w:spacing w:after="0" w:line="240" w:lineRule="auto"/>
        <w:rPr>
          <w:b/>
        </w:rPr>
      </w:pPr>
      <w:r w:rsidRPr="00A467EE">
        <w:rPr>
          <w:b/>
        </w:rPr>
        <w:t>ACKNOWLEDGMENT</w:t>
      </w:r>
    </w:p>
    <w:p w:rsidR="00901B20" w:rsidRDefault="00A467EE" w:rsidP="00A467EE">
      <w:pPr>
        <w:spacing w:after="0" w:line="240" w:lineRule="auto"/>
      </w:pPr>
      <w:r>
        <w:t>This was supported in part by the European Commission under the Project</w:t>
      </w:r>
      <w:r>
        <w:t xml:space="preserve"> </w:t>
      </w:r>
      <w:r>
        <w:t>BILOBA Grant Agreement 318035.</w:t>
      </w:r>
      <w:r w:rsidR="00901B20">
        <w:t xml:space="preserve">The authors would like to thank </w:t>
      </w:r>
      <w:proofErr w:type="spellStart"/>
      <w:r w:rsidR="00901B20">
        <w:t>Dr.</w:t>
      </w:r>
      <w:proofErr w:type="spellEnd"/>
      <w:r w:rsidR="00901B20">
        <w:t xml:space="preserve"> E. </w:t>
      </w:r>
      <w:proofErr w:type="spellStart"/>
      <w:r w:rsidR="00901B20">
        <w:t>Maillart</w:t>
      </w:r>
      <w:proofErr w:type="spellEnd"/>
      <w:r w:rsidR="00901B20">
        <w:t xml:space="preserve"> from the</w:t>
      </w:r>
      <w:r>
        <w:t xml:space="preserve"> </w:t>
      </w:r>
      <w:r w:rsidR="00901B20">
        <w:t xml:space="preserve">Horiba </w:t>
      </w:r>
      <w:proofErr w:type="spellStart"/>
      <w:r w:rsidR="00901B20">
        <w:t>Jobin</w:t>
      </w:r>
      <w:proofErr w:type="spellEnd"/>
      <w:r w:rsidR="00901B20">
        <w:t xml:space="preserve"> </w:t>
      </w:r>
      <w:proofErr w:type="spellStart"/>
      <w:r w:rsidR="00901B20">
        <w:t>Yvon</w:t>
      </w:r>
      <w:proofErr w:type="spellEnd"/>
      <w:r w:rsidR="00901B20">
        <w:t xml:space="preserve">, France, and </w:t>
      </w:r>
      <w:proofErr w:type="spellStart"/>
      <w:r w:rsidR="00901B20">
        <w:t>Prof.</w:t>
      </w:r>
      <w:proofErr w:type="spellEnd"/>
      <w:r w:rsidR="00901B20">
        <w:t xml:space="preserve"> F. </w:t>
      </w:r>
      <w:proofErr w:type="spellStart"/>
      <w:r>
        <w:t>B</w:t>
      </w:r>
      <w:r w:rsidR="00901B20">
        <w:t>ussolino</w:t>
      </w:r>
      <w:proofErr w:type="spellEnd"/>
      <w:r w:rsidR="00901B20">
        <w:t xml:space="preserve"> from the</w:t>
      </w:r>
      <w:r>
        <w:t xml:space="preserve"> </w:t>
      </w:r>
      <w:r w:rsidR="00901B20">
        <w:t>University of Torino, Italy, for fruitful discussions.</w:t>
      </w:r>
    </w:p>
    <w:p w:rsidR="00A467EE" w:rsidRDefault="00A467EE" w:rsidP="00901B20">
      <w:pPr>
        <w:spacing w:after="0" w:line="240" w:lineRule="auto"/>
      </w:pPr>
    </w:p>
    <w:p w:rsidR="00A467EE" w:rsidRPr="00A467EE" w:rsidRDefault="00A467EE" w:rsidP="00A467EE">
      <w:pPr>
        <w:spacing w:after="0" w:line="240" w:lineRule="auto"/>
        <w:rPr>
          <w:b/>
        </w:rPr>
      </w:pPr>
      <w:r w:rsidRPr="00A467EE">
        <w:rPr>
          <w:b/>
        </w:rPr>
        <w:t>REFERENCES</w:t>
      </w:r>
    </w:p>
    <w:p w:rsidR="00A467EE" w:rsidRDefault="00A467EE" w:rsidP="00A467EE">
      <w:pPr>
        <w:spacing w:after="0" w:line="240" w:lineRule="auto"/>
      </w:pPr>
      <w:r>
        <w:t xml:space="preserve">[1] </w:t>
      </w:r>
      <w:proofErr w:type="spellStart"/>
      <w:r>
        <w:t>D.A.Giljohann</w:t>
      </w:r>
      <w:proofErr w:type="spellEnd"/>
      <w:r>
        <w:t xml:space="preserve"> </w:t>
      </w:r>
      <w:proofErr w:type="spellStart"/>
      <w:r>
        <w:t>andC.A.Mirkin</w:t>
      </w:r>
      <w:proofErr w:type="spellEnd"/>
      <w:r>
        <w:t xml:space="preserve">, “Drivers of </w:t>
      </w:r>
      <w:proofErr w:type="spellStart"/>
      <w:r>
        <w:t>biodiagnostic</w:t>
      </w:r>
      <w:proofErr w:type="spellEnd"/>
      <w:r>
        <w:t xml:space="preserve"> development,</w:t>
      </w:r>
      <w:proofErr w:type="gramStart"/>
      <w:r>
        <w:t>”</w:t>
      </w:r>
      <w:r>
        <w:t xml:space="preserve">  </w:t>
      </w:r>
      <w:r>
        <w:t>Nature</w:t>
      </w:r>
      <w:proofErr w:type="gramEnd"/>
      <w:r>
        <w:t>, vol. 462, pp. 461–464, Nov. 2009.</w:t>
      </w:r>
    </w:p>
    <w:p w:rsidR="00A467EE" w:rsidRDefault="00A467EE" w:rsidP="00A467EE">
      <w:pPr>
        <w:spacing w:after="0" w:line="240" w:lineRule="auto"/>
      </w:pPr>
      <w:r>
        <w:t xml:space="preserve">[2] P. D. </w:t>
      </w:r>
      <w:proofErr w:type="spellStart"/>
      <w:r>
        <w:t>Howes</w:t>
      </w:r>
      <w:proofErr w:type="spellEnd"/>
      <w:r>
        <w:t>, R. Chandrawati, and M. M. Stevens, “Colloidal nanoparticles</w:t>
      </w:r>
      <w:r>
        <w:t xml:space="preserve"> </w:t>
      </w:r>
      <w:r>
        <w:t>as advanced biological sensors,” Science, vol. 346, no. 6205,</w:t>
      </w:r>
      <w:r>
        <w:t xml:space="preserve"> </w:t>
      </w:r>
      <w:r>
        <w:t>pp. 1247390-1–1247390-10, Oct. 2014.</w:t>
      </w:r>
    </w:p>
    <w:p w:rsidR="00A467EE" w:rsidRDefault="00A467EE" w:rsidP="00A467EE">
      <w:pPr>
        <w:spacing w:after="0" w:line="240" w:lineRule="auto"/>
      </w:pPr>
      <w:r>
        <w:t xml:space="preserve">[3] O. S. </w:t>
      </w:r>
      <w:proofErr w:type="spellStart"/>
      <w:r>
        <w:t>Wolfbeis</w:t>
      </w:r>
      <w:proofErr w:type="spellEnd"/>
      <w:r>
        <w:t xml:space="preserve"> and J. </w:t>
      </w:r>
      <w:proofErr w:type="spellStart"/>
      <w:r>
        <w:t>Homola</w:t>
      </w:r>
      <w:proofErr w:type="spellEnd"/>
      <w:r>
        <w:t xml:space="preserve">, “Surface </w:t>
      </w:r>
      <w:proofErr w:type="spellStart"/>
      <w:r>
        <w:t>plasmon</w:t>
      </w:r>
      <w:proofErr w:type="spellEnd"/>
      <w:r>
        <w:t xml:space="preserve"> resonance based sensors,”</w:t>
      </w:r>
      <w:r>
        <w:t xml:space="preserve"> </w:t>
      </w:r>
      <w:r>
        <w:t>in Springer Series on Chemical Sensors and Biosensors, vol. 4, O.</w:t>
      </w:r>
      <w:r>
        <w:t xml:space="preserve"> </w:t>
      </w:r>
      <w:proofErr w:type="spellStart"/>
      <w:r>
        <w:t>Wolfbeis</w:t>
      </w:r>
      <w:proofErr w:type="spellEnd"/>
      <w:r>
        <w:t>, Ed. Berlin, Germany: Springer, 2006, p. 247.</w:t>
      </w:r>
    </w:p>
    <w:p w:rsidR="00A467EE" w:rsidRDefault="00A467EE" w:rsidP="00A467EE">
      <w:pPr>
        <w:spacing w:after="0" w:line="240" w:lineRule="auto"/>
      </w:pPr>
      <w:r>
        <w:t xml:space="preserve">[4] A. V. </w:t>
      </w:r>
      <w:proofErr w:type="spellStart"/>
      <w:r>
        <w:t>Kabashin</w:t>
      </w:r>
      <w:proofErr w:type="spellEnd"/>
      <w:r>
        <w:t xml:space="preserve">, P. Evans, S. </w:t>
      </w:r>
      <w:proofErr w:type="spellStart"/>
      <w:r>
        <w:t>Pastkovsky</w:t>
      </w:r>
      <w:proofErr w:type="spellEnd"/>
      <w:r>
        <w:t xml:space="preserve">, W. </w:t>
      </w:r>
      <w:proofErr w:type="spellStart"/>
      <w:r>
        <w:t>Hendren</w:t>
      </w:r>
      <w:proofErr w:type="spellEnd"/>
      <w:r>
        <w:t xml:space="preserve">, G. A. </w:t>
      </w:r>
      <w:proofErr w:type="spellStart"/>
      <w:r>
        <w:t>Wurtz</w:t>
      </w:r>
      <w:proofErr w:type="spellEnd"/>
      <w:r>
        <w:t>,</w:t>
      </w:r>
      <w:r>
        <w:t xml:space="preserve"> </w:t>
      </w:r>
      <w:r>
        <w:t xml:space="preserve">R. Atkinson, R. Pollard, V. A. </w:t>
      </w:r>
      <w:proofErr w:type="spellStart"/>
      <w:r>
        <w:t>Podolskiy</w:t>
      </w:r>
      <w:proofErr w:type="spellEnd"/>
      <w:r>
        <w:t xml:space="preserve">, and A. V. </w:t>
      </w:r>
      <w:proofErr w:type="spellStart"/>
      <w:r>
        <w:t>Zayats</w:t>
      </w:r>
      <w:proofErr w:type="spellEnd"/>
      <w:r>
        <w:t>, “</w:t>
      </w:r>
      <w:proofErr w:type="spellStart"/>
      <w:r>
        <w:t>Plasmonic</w:t>
      </w:r>
      <w:proofErr w:type="spellEnd"/>
      <w:r>
        <w:t xml:space="preserve"> </w:t>
      </w:r>
      <w:proofErr w:type="spellStart"/>
      <w:r>
        <w:t>nanorod</w:t>
      </w:r>
      <w:proofErr w:type="spellEnd"/>
      <w:r>
        <w:t xml:space="preserve"> </w:t>
      </w:r>
      <w:proofErr w:type="spellStart"/>
      <w:r>
        <w:t>metamaterials</w:t>
      </w:r>
      <w:proofErr w:type="spellEnd"/>
      <w:r>
        <w:t xml:space="preserve"> for bio-sensing,” Nature Mater., vol. 8,</w:t>
      </w:r>
      <w:r>
        <w:t xml:space="preserve"> </w:t>
      </w:r>
      <w:r>
        <w:t>pp. 867–871, Oct. 2009.</w:t>
      </w:r>
    </w:p>
    <w:p w:rsidR="00A467EE" w:rsidRDefault="00A467EE" w:rsidP="00A467EE">
      <w:pPr>
        <w:spacing w:after="0" w:line="240" w:lineRule="auto"/>
      </w:pPr>
      <w:r>
        <w:lastRenderedPageBreak/>
        <w:t xml:space="preserve">[5] F. Vollmer and S. Arnold, “Whispering-gallery-mode bio-sensing: </w:t>
      </w:r>
      <w:proofErr w:type="spellStart"/>
      <w:r>
        <w:t>Labelfree</w:t>
      </w:r>
      <w:proofErr w:type="spellEnd"/>
      <w:r>
        <w:t xml:space="preserve"> </w:t>
      </w:r>
      <w:r>
        <w:t>detection down to single molecules,” Nature Methods, vol. 5, no. 7,</w:t>
      </w:r>
      <w:r>
        <w:t xml:space="preserve"> </w:t>
      </w:r>
      <w:r>
        <w:t>pp. 591–596, Jul. 2008.</w:t>
      </w:r>
    </w:p>
    <w:p w:rsidR="00A467EE" w:rsidRDefault="00A467EE" w:rsidP="00A467EE">
      <w:pPr>
        <w:spacing w:after="0" w:line="240" w:lineRule="auto"/>
      </w:pPr>
      <w:r>
        <w:t xml:space="preserve">[6] H. </w:t>
      </w:r>
      <w:proofErr w:type="spellStart"/>
      <w:r>
        <w:t>Shafiee</w:t>
      </w:r>
      <w:proofErr w:type="spellEnd"/>
      <w:r>
        <w:t xml:space="preserve">, E. </w:t>
      </w:r>
      <w:proofErr w:type="spellStart"/>
      <w:r>
        <w:t>Lidstone,M</w:t>
      </w:r>
      <w:proofErr w:type="spellEnd"/>
      <w:r>
        <w:t xml:space="preserve">. Jahangir, F. </w:t>
      </w:r>
      <w:proofErr w:type="spellStart"/>
      <w:r>
        <w:t>Inci</w:t>
      </w:r>
      <w:proofErr w:type="spellEnd"/>
      <w:r>
        <w:t xml:space="preserve">, D. </w:t>
      </w:r>
      <w:proofErr w:type="spellStart"/>
      <w:r>
        <w:t>Kuritzkes</w:t>
      </w:r>
      <w:proofErr w:type="spellEnd"/>
      <w:r>
        <w:t>, B. T. Cunningham,</w:t>
      </w:r>
      <w:r>
        <w:t xml:space="preserve"> </w:t>
      </w:r>
      <w:r>
        <w:t xml:space="preserve">and U. </w:t>
      </w:r>
      <w:proofErr w:type="spellStart"/>
      <w:r>
        <w:t>Demirci</w:t>
      </w:r>
      <w:proofErr w:type="spellEnd"/>
      <w:r>
        <w:t>, “Nanostructured optical photonic crystal biosensor</w:t>
      </w:r>
      <w:r>
        <w:t xml:space="preserve"> </w:t>
      </w:r>
      <w:r>
        <w:t>for HIV viral load measurement,” Sci. Rep., vol. 4, pp. 041161–041167,</w:t>
      </w:r>
      <w:r>
        <w:t xml:space="preserve"> </w:t>
      </w:r>
      <w:r>
        <w:t>Feb. 2014.</w:t>
      </w:r>
    </w:p>
    <w:p w:rsidR="00A467EE" w:rsidRDefault="00A467EE" w:rsidP="00A467EE">
      <w:pPr>
        <w:spacing w:after="0" w:line="240" w:lineRule="auto"/>
      </w:pPr>
      <w:r>
        <w:t xml:space="preserve">[7] P. </w:t>
      </w:r>
      <w:proofErr w:type="spellStart"/>
      <w:r>
        <w:t>Yeh</w:t>
      </w:r>
      <w:proofErr w:type="spellEnd"/>
      <w:r>
        <w:t xml:space="preserve">, A. </w:t>
      </w:r>
      <w:proofErr w:type="spellStart"/>
      <w:r>
        <w:t>Yariv</w:t>
      </w:r>
      <w:proofErr w:type="spellEnd"/>
      <w:r>
        <w:t>, and C. S. Hon, “Electromagnetic propagation in periodic</w:t>
      </w:r>
      <w:r>
        <w:t xml:space="preserve"> </w:t>
      </w:r>
      <w:r>
        <w:t>stratified media. I. General theory,” J. Opt. Soc. Amer., vol. 67, no. 4,</w:t>
      </w:r>
      <w:r>
        <w:t xml:space="preserve"> </w:t>
      </w:r>
      <w:r>
        <w:t>pp. 423–438, Apr. 1977.</w:t>
      </w:r>
    </w:p>
    <w:p w:rsidR="00A467EE" w:rsidRDefault="00A467EE" w:rsidP="00A467EE">
      <w:pPr>
        <w:spacing w:after="0" w:line="240" w:lineRule="auto"/>
      </w:pPr>
      <w:r>
        <w:t xml:space="preserve">[8] M. Shinn and W. M. Robertson, “Surface </w:t>
      </w:r>
      <w:proofErr w:type="spellStart"/>
      <w:r>
        <w:t>plasmon</w:t>
      </w:r>
      <w:proofErr w:type="spellEnd"/>
      <w:r>
        <w:t>-like sensor based on</w:t>
      </w:r>
      <w:r>
        <w:t xml:space="preserve"> </w:t>
      </w:r>
      <w:r>
        <w:t>surface electromagnetic waves in a photonic band-gap material,” Sens.</w:t>
      </w:r>
      <w:r>
        <w:t xml:space="preserve"> </w:t>
      </w:r>
      <w:r>
        <w:t>Actuators B, vol. 105, no. 2, pp. 360–364, Mar. 2005.</w:t>
      </w:r>
    </w:p>
    <w:p w:rsidR="00A467EE" w:rsidRDefault="00A467EE" w:rsidP="00A467EE">
      <w:pPr>
        <w:spacing w:after="0" w:line="240" w:lineRule="auto"/>
      </w:pPr>
      <w:r>
        <w:t xml:space="preserve">[9] V. N. </w:t>
      </w:r>
      <w:proofErr w:type="spellStart"/>
      <w:r>
        <w:t>Konopsky</w:t>
      </w:r>
      <w:proofErr w:type="spellEnd"/>
      <w:r>
        <w:t xml:space="preserve"> and E. V. </w:t>
      </w:r>
      <w:proofErr w:type="spellStart"/>
      <w:r>
        <w:t>Alieva</w:t>
      </w:r>
      <w:proofErr w:type="spellEnd"/>
      <w:r>
        <w:t>, “Photonic crystal surface waves for</w:t>
      </w:r>
      <w:r>
        <w:t xml:space="preserve"> </w:t>
      </w:r>
      <w:r>
        <w:t>optical biosensors,” Anal. Chem., vol. 79, no. 12, pp. 4729–4735, Jun.</w:t>
      </w:r>
      <w:r>
        <w:t xml:space="preserve"> </w:t>
      </w:r>
      <w:r>
        <w:t>2007.</w:t>
      </w:r>
    </w:p>
    <w:p w:rsidR="00A467EE" w:rsidRDefault="00A467EE" w:rsidP="00A467EE">
      <w:pPr>
        <w:spacing w:after="0" w:line="240" w:lineRule="auto"/>
      </w:pPr>
      <w:r>
        <w:t xml:space="preserve">[10] F. </w:t>
      </w:r>
      <w:proofErr w:type="spellStart"/>
      <w:r>
        <w:t>Giorgis</w:t>
      </w:r>
      <w:proofErr w:type="spellEnd"/>
      <w:r>
        <w:t xml:space="preserve">, E. </w:t>
      </w:r>
      <w:proofErr w:type="spellStart"/>
      <w:r>
        <w:t>Descrovi</w:t>
      </w:r>
      <w:proofErr w:type="spellEnd"/>
      <w:r>
        <w:t xml:space="preserve">, C. </w:t>
      </w:r>
      <w:proofErr w:type="spellStart"/>
      <w:r>
        <w:t>Summonte</w:t>
      </w:r>
      <w:proofErr w:type="spellEnd"/>
      <w:r>
        <w:t xml:space="preserve">, L. </w:t>
      </w:r>
      <w:proofErr w:type="spellStart"/>
      <w:r>
        <w:t>Dominici</w:t>
      </w:r>
      <w:proofErr w:type="spellEnd"/>
      <w:r>
        <w:t xml:space="preserve">, and F. </w:t>
      </w:r>
      <w:proofErr w:type="spellStart"/>
      <w:r>
        <w:t>Michelotti</w:t>
      </w:r>
      <w:proofErr w:type="spellEnd"/>
      <w:r>
        <w:t>,</w:t>
      </w:r>
      <w:r>
        <w:t xml:space="preserve"> </w:t>
      </w:r>
      <w:r>
        <w:t>“Experimental determination of the sensitivity of Bloch surface wave</w:t>
      </w:r>
      <w:r>
        <w:t xml:space="preserve"> </w:t>
      </w:r>
      <w:r>
        <w:t>based sensors,” Opt. Express, vol. 18, no. 8, pp. 8087–8093, Apr. 2010.</w:t>
      </w:r>
    </w:p>
    <w:p w:rsidR="00A467EE" w:rsidRDefault="00A467EE" w:rsidP="00A467EE">
      <w:pPr>
        <w:spacing w:after="0" w:line="240" w:lineRule="auto"/>
      </w:pPr>
      <w:r>
        <w:t xml:space="preserve">[11] Y. </w:t>
      </w:r>
      <w:proofErr w:type="spellStart"/>
      <w:r>
        <w:t>Guo</w:t>
      </w:r>
      <w:proofErr w:type="spellEnd"/>
      <w:r>
        <w:t xml:space="preserve">, J. Y. Ye, C. </w:t>
      </w:r>
      <w:proofErr w:type="spellStart"/>
      <w:r>
        <w:t>Divin</w:t>
      </w:r>
      <w:proofErr w:type="spellEnd"/>
      <w:r>
        <w:t>, B. Huang, T. P. Thomas, J. R. Baker, and</w:t>
      </w:r>
      <w:r>
        <w:t xml:space="preserve"> </w:t>
      </w:r>
      <w:r>
        <w:t xml:space="preserve">T. B. Norris, “Real-time </w:t>
      </w:r>
      <w:proofErr w:type="spellStart"/>
      <w:r>
        <w:t>biomolecular</w:t>
      </w:r>
      <w:proofErr w:type="spellEnd"/>
      <w:r>
        <w:t xml:space="preserve"> binding detection using a sensitive</w:t>
      </w:r>
      <w:r>
        <w:t xml:space="preserve"> </w:t>
      </w:r>
      <w:r>
        <w:t>photonic crystal biosensor,” Anal. Chem., vol. 82, no. 12, pp. 5211–5218,</w:t>
      </w:r>
      <w:r>
        <w:t xml:space="preserve"> </w:t>
      </w:r>
      <w:r>
        <w:t>Jun. 2010.</w:t>
      </w:r>
    </w:p>
    <w:p w:rsidR="00A467EE" w:rsidRDefault="00A467EE" w:rsidP="00A467EE">
      <w:pPr>
        <w:spacing w:after="0" w:line="240" w:lineRule="auto"/>
      </w:pPr>
      <w:r>
        <w:t xml:space="preserve">[12] A. </w:t>
      </w:r>
      <w:proofErr w:type="spellStart"/>
      <w:r>
        <w:t>Sinibaldi</w:t>
      </w:r>
      <w:proofErr w:type="spellEnd"/>
      <w:r>
        <w:t xml:space="preserve">, A. </w:t>
      </w:r>
      <w:proofErr w:type="spellStart"/>
      <w:r>
        <w:t>Anopchenko</w:t>
      </w:r>
      <w:proofErr w:type="spellEnd"/>
      <w:r>
        <w:t xml:space="preserve">, R. Rizzo, N. </w:t>
      </w:r>
      <w:proofErr w:type="spellStart"/>
      <w:r>
        <w:t>Danz</w:t>
      </w:r>
      <w:proofErr w:type="spellEnd"/>
      <w:r>
        <w:t xml:space="preserve">, P. </w:t>
      </w:r>
      <w:proofErr w:type="spellStart"/>
      <w:r>
        <w:t>Munzert</w:t>
      </w:r>
      <w:proofErr w:type="spellEnd"/>
      <w:r>
        <w:t xml:space="preserve">, P. </w:t>
      </w:r>
      <w:proofErr w:type="spellStart"/>
      <w:r>
        <w:t>Rivolo</w:t>
      </w:r>
      <w:proofErr w:type="spellEnd"/>
      <w:r>
        <w:t>,</w:t>
      </w:r>
      <w:r>
        <w:t xml:space="preserve"> </w:t>
      </w:r>
      <w:r>
        <w:t xml:space="preserve">F. </w:t>
      </w:r>
      <w:proofErr w:type="spellStart"/>
      <w:r>
        <w:t>Frascella</w:t>
      </w:r>
      <w:proofErr w:type="spellEnd"/>
      <w:r>
        <w:t xml:space="preserve">, S. </w:t>
      </w:r>
      <w:proofErr w:type="spellStart"/>
      <w:r>
        <w:t>Ricciardi</w:t>
      </w:r>
      <w:proofErr w:type="spellEnd"/>
      <w:r>
        <w:t xml:space="preserve">, and F. </w:t>
      </w:r>
      <w:proofErr w:type="spellStart"/>
      <w:r>
        <w:t>Michelotti</w:t>
      </w:r>
      <w:proofErr w:type="spellEnd"/>
      <w:r>
        <w:t xml:space="preserve">, “Angularly resolved </w:t>
      </w:r>
      <w:proofErr w:type="spellStart"/>
      <w:r>
        <w:t>ellipsometric</w:t>
      </w:r>
      <w:proofErr w:type="spellEnd"/>
      <w:r>
        <w:t xml:space="preserve"> </w:t>
      </w:r>
      <w:r>
        <w:t>optical bio-sensing by means of Bloch surface waves,” Anal.</w:t>
      </w:r>
      <w:r>
        <w:t xml:space="preserve"> </w:t>
      </w:r>
      <w:proofErr w:type="spellStart"/>
      <w:r>
        <w:t>Bioanal</w:t>
      </w:r>
      <w:proofErr w:type="spellEnd"/>
      <w:r>
        <w:t>. Chem., vol. 407, pp. 3965–3974, May 2015.</w:t>
      </w:r>
    </w:p>
    <w:p w:rsidR="00A467EE" w:rsidRDefault="00A467EE" w:rsidP="00A467EE">
      <w:pPr>
        <w:spacing w:after="0" w:line="240" w:lineRule="auto"/>
      </w:pPr>
      <w:r>
        <w:t xml:space="preserve">[13] H. </w:t>
      </w:r>
      <w:proofErr w:type="spellStart"/>
      <w:r>
        <w:t>Raether</w:t>
      </w:r>
      <w:proofErr w:type="spellEnd"/>
      <w:r>
        <w:t xml:space="preserve">, “Surface </w:t>
      </w:r>
      <w:proofErr w:type="spellStart"/>
      <w:r>
        <w:t>plasmons</w:t>
      </w:r>
      <w:proofErr w:type="spellEnd"/>
      <w:r>
        <w:t xml:space="preserve"> on smooth and rough surfaces and on</w:t>
      </w:r>
      <w:r>
        <w:t xml:space="preserve"> </w:t>
      </w:r>
      <w:r>
        <w:t>gratings” in Springer Tracts in Modern Physics, vol. 111. Berlin,</w:t>
      </w:r>
      <w:r>
        <w:t xml:space="preserve"> </w:t>
      </w:r>
      <w:r>
        <w:t>Germany:</w:t>
      </w:r>
      <w:r>
        <w:t xml:space="preserve"> </w:t>
      </w:r>
      <w:r>
        <w:t>Springer-</w:t>
      </w:r>
      <w:proofErr w:type="spellStart"/>
      <w:r>
        <w:t>Verlag</w:t>
      </w:r>
      <w:proofErr w:type="spellEnd"/>
      <w:r>
        <w:t>, 1988.</w:t>
      </w:r>
    </w:p>
    <w:p w:rsidR="00A467EE" w:rsidRDefault="00A467EE" w:rsidP="00A467EE">
      <w:pPr>
        <w:spacing w:after="0" w:line="240" w:lineRule="auto"/>
      </w:pPr>
      <w:r>
        <w:t xml:space="preserve">[14] A. </w:t>
      </w:r>
      <w:proofErr w:type="spellStart"/>
      <w:r>
        <w:t>Shalabney</w:t>
      </w:r>
      <w:proofErr w:type="spellEnd"/>
      <w:r>
        <w:t xml:space="preserve"> and I. </w:t>
      </w:r>
      <w:proofErr w:type="spellStart"/>
      <w:r>
        <w:t>Abdulhalim</w:t>
      </w:r>
      <w:proofErr w:type="spellEnd"/>
      <w:r>
        <w:t>, “Figure-of-merit enhancement of surface</w:t>
      </w:r>
      <w:r>
        <w:t xml:space="preserve"> </w:t>
      </w:r>
      <w:proofErr w:type="spellStart"/>
      <w:r>
        <w:t>plasmon</w:t>
      </w:r>
      <w:proofErr w:type="spellEnd"/>
      <w:r>
        <w:t xml:space="preserve"> resonance sensors in the spectral interrogation,” Opt. </w:t>
      </w:r>
      <w:proofErr w:type="spellStart"/>
      <w:r>
        <w:t>Lett</w:t>
      </w:r>
      <w:proofErr w:type="spellEnd"/>
      <w:r>
        <w:t>.,</w:t>
      </w:r>
      <w:r>
        <w:t xml:space="preserve"> </w:t>
      </w:r>
      <w:r>
        <w:t>vol. 37, no. 7, pp. 1175–1177, Apr. 1, 2012.</w:t>
      </w:r>
    </w:p>
    <w:p w:rsidR="00A467EE" w:rsidRDefault="00A467EE" w:rsidP="00A467EE">
      <w:pPr>
        <w:spacing w:after="0" w:line="240" w:lineRule="auto"/>
      </w:pPr>
      <w:r>
        <w:t xml:space="preserve">[15] R. </w:t>
      </w:r>
      <w:proofErr w:type="spellStart"/>
      <w:r>
        <w:t>Ameling</w:t>
      </w:r>
      <w:proofErr w:type="spellEnd"/>
      <w:r>
        <w:t xml:space="preserve">, L. </w:t>
      </w:r>
      <w:proofErr w:type="spellStart"/>
      <w:r>
        <w:t>Langguth</w:t>
      </w:r>
      <w:proofErr w:type="spellEnd"/>
      <w:r>
        <w:t xml:space="preserve">, M. </w:t>
      </w:r>
      <w:proofErr w:type="spellStart"/>
      <w:r>
        <w:t>Hentschel</w:t>
      </w:r>
      <w:proofErr w:type="spellEnd"/>
      <w:r>
        <w:t xml:space="preserve">, M. </w:t>
      </w:r>
      <w:proofErr w:type="spellStart"/>
      <w:r>
        <w:t>Mesch</w:t>
      </w:r>
      <w:proofErr w:type="spellEnd"/>
      <w:r>
        <w:t>, V. Braun, and</w:t>
      </w:r>
      <w:r>
        <w:t xml:space="preserve"> </w:t>
      </w:r>
      <w:r>
        <w:t xml:space="preserve">P. H. Giessen, “Cavity enhanced localized </w:t>
      </w:r>
      <w:proofErr w:type="spellStart"/>
      <w:r>
        <w:t>plasmon</w:t>
      </w:r>
      <w:proofErr w:type="spellEnd"/>
      <w:r>
        <w:t xml:space="preserve"> resonance sensing,”</w:t>
      </w:r>
      <w:r>
        <w:t xml:space="preserve"> </w:t>
      </w:r>
      <w:r>
        <w:t xml:space="preserve">Appl. Phys. </w:t>
      </w:r>
      <w:proofErr w:type="spellStart"/>
      <w:r>
        <w:t>Lett</w:t>
      </w:r>
      <w:proofErr w:type="spellEnd"/>
      <w:r>
        <w:t>., vol. 97, no. 25, pp. 253116-1–253116-3, Dec. 2010.</w:t>
      </w:r>
    </w:p>
    <w:p w:rsidR="00A467EE" w:rsidRDefault="00A467EE" w:rsidP="00A467EE">
      <w:pPr>
        <w:spacing w:after="0" w:line="240" w:lineRule="auto"/>
      </w:pPr>
      <w:r>
        <w:t xml:space="preserve">[16] A. </w:t>
      </w:r>
      <w:proofErr w:type="spellStart"/>
      <w:r>
        <w:t>Sinibaldi</w:t>
      </w:r>
      <w:proofErr w:type="spellEnd"/>
      <w:r>
        <w:t xml:space="preserve">, N. </w:t>
      </w:r>
      <w:proofErr w:type="spellStart"/>
      <w:r>
        <w:t>Danz</w:t>
      </w:r>
      <w:proofErr w:type="spellEnd"/>
      <w:r>
        <w:t xml:space="preserve">, E. </w:t>
      </w:r>
      <w:proofErr w:type="spellStart"/>
      <w:r>
        <w:t>Descrovi</w:t>
      </w:r>
      <w:proofErr w:type="spellEnd"/>
      <w:r>
        <w:t xml:space="preserve">, P. </w:t>
      </w:r>
      <w:proofErr w:type="spellStart"/>
      <w:r>
        <w:t>Munzert</w:t>
      </w:r>
      <w:proofErr w:type="spellEnd"/>
      <w:r>
        <w:t>, U. Schulz, F. Sonntag,</w:t>
      </w:r>
      <w:r>
        <w:t xml:space="preserve"> </w:t>
      </w:r>
      <w:r>
        <w:t xml:space="preserve">L. </w:t>
      </w:r>
      <w:proofErr w:type="spellStart"/>
      <w:r>
        <w:t>Dominici</w:t>
      </w:r>
      <w:proofErr w:type="spellEnd"/>
      <w:r>
        <w:t xml:space="preserve">, and </w:t>
      </w:r>
      <w:proofErr w:type="spellStart"/>
      <w:r>
        <w:t>F.Michelotti</w:t>
      </w:r>
      <w:proofErr w:type="spellEnd"/>
      <w:r>
        <w:t>, “Direct comparison of the performance of</w:t>
      </w:r>
      <w:r>
        <w:t xml:space="preserve"> </w:t>
      </w:r>
      <w:r>
        <w:t xml:space="preserve">Bloch surface wave and surface </w:t>
      </w:r>
      <w:proofErr w:type="spellStart"/>
      <w:r>
        <w:t>plasmon</w:t>
      </w:r>
      <w:proofErr w:type="spellEnd"/>
      <w:r>
        <w:t xml:space="preserve"> </w:t>
      </w:r>
      <w:proofErr w:type="spellStart"/>
      <w:r>
        <w:t>polariton</w:t>
      </w:r>
      <w:proofErr w:type="spellEnd"/>
      <w:r>
        <w:t xml:space="preserve"> sensors,” Sens. Actuators</w:t>
      </w:r>
      <w:r>
        <w:t xml:space="preserve"> </w:t>
      </w:r>
      <w:r>
        <w:t>B, vol. 174, pp. 292–298, Nov. 2012.</w:t>
      </w:r>
    </w:p>
    <w:p w:rsidR="00A467EE" w:rsidRDefault="00A467EE" w:rsidP="00A467EE">
      <w:pPr>
        <w:spacing w:after="0" w:line="240" w:lineRule="auto"/>
      </w:pPr>
      <w:r>
        <w:t xml:space="preserve">[17] M. </w:t>
      </w:r>
      <w:proofErr w:type="spellStart"/>
      <w:r>
        <w:t>Ballarini</w:t>
      </w:r>
      <w:proofErr w:type="spellEnd"/>
      <w:r>
        <w:t xml:space="preserve">, F. </w:t>
      </w:r>
      <w:proofErr w:type="spellStart"/>
      <w:r>
        <w:t>Frascella</w:t>
      </w:r>
      <w:proofErr w:type="spellEnd"/>
      <w:r>
        <w:t xml:space="preserve">, F. </w:t>
      </w:r>
      <w:proofErr w:type="spellStart"/>
      <w:r>
        <w:t>Michelotti</w:t>
      </w:r>
      <w:proofErr w:type="spellEnd"/>
      <w:r>
        <w:t xml:space="preserve">, G. </w:t>
      </w:r>
      <w:proofErr w:type="spellStart"/>
      <w:r>
        <w:t>Digregorio</w:t>
      </w:r>
      <w:proofErr w:type="spellEnd"/>
      <w:r>
        <w:t xml:space="preserve">, P. </w:t>
      </w:r>
      <w:proofErr w:type="spellStart"/>
      <w:r>
        <w:t>Rivolo</w:t>
      </w:r>
      <w:proofErr w:type="spellEnd"/>
      <w:r>
        <w:t>,</w:t>
      </w:r>
      <w:r>
        <w:t xml:space="preserve"> </w:t>
      </w:r>
      <w:r>
        <w:t xml:space="preserve">V. </w:t>
      </w:r>
      <w:proofErr w:type="spellStart"/>
      <w:r>
        <w:t>Paeder</w:t>
      </w:r>
      <w:proofErr w:type="spellEnd"/>
      <w:r>
        <w:t xml:space="preserve">, V. </w:t>
      </w:r>
      <w:proofErr w:type="spellStart"/>
      <w:r>
        <w:t>Musi</w:t>
      </w:r>
      <w:proofErr w:type="spellEnd"/>
      <w:r>
        <w:t xml:space="preserve">, F. </w:t>
      </w:r>
      <w:proofErr w:type="spellStart"/>
      <w:r>
        <w:t>Giorgis</w:t>
      </w:r>
      <w:proofErr w:type="spellEnd"/>
      <w:r>
        <w:t xml:space="preserve">, and E. </w:t>
      </w:r>
      <w:proofErr w:type="spellStart"/>
      <w:r>
        <w:t>Descrovi</w:t>
      </w:r>
      <w:proofErr w:type="spellEnd"/>
      <w:r>
        <w:t xml:space="preserve">, “Bloch surface </w:t>
      </w:r>
      <w:proofErr w:type="spellStart"/>
      <w:r>
        <w:t>wavescontrolled</w:t>
      </w:r>
      <w:proofErr w:type="spellEnd"/>
      <w:r>
        <w:t xml:space="preserve"> </w:t>
      </w:r>
      <w:r>
        <w:t>emission of organic dyes grafted on a one-dimensional photonic</w:t>
      </w:r>
      <w:r>
        <w:t xml:space="preserve"> </w:t>
      </w:r>
      <w:r>
        <w:t xml:space="preserve">crystal,” Appl. Phys. </w:t>
      </w:r>
      <w:proofErr w:type="spellStart"/>
      <w:r>
        <w:t>Lett</w:t>
      </w:r>
      <w:proofErr w:type="spellEnd"/>
      <w:r>
        <w:t>., vol. 99, no.4, pp. 043302-1–043302-3,</w:t>
      </w:r>
      <w:r>
        <w:t xml:space="preserve"> </w:t>
      </w:r>
      <w:r>
        <w:t>Jul. 2011.</w:t>
      </w:r>
    </w:p>
    <w:p w:rsidR="00A467EE" w:rsidRDefault="00A467EE" w:rsidP="00A467EE">
      <w:pPr>
        <w:spacing w:after="0" w:line="240" w:lineRule="auto"/>
      </w:pPr>
      <w:r>
        <w:t xml:space="preserve">[18] M. </w:t>
      </w:r>
      <w:proofErr w:type="spellStart"/>
      <w:r>
        <w:t>Ballarini</w:t>
      </w:r>
      <w:proofErr w:type="spellEnd"/>
      <w:r>
        <w:t xml:space="preserve">, F. </w:t>
      </w:r>
      <w:proofErr w:type="spellStart"/>
      <w:r>
        <w:t>Frascella</w:t>
      </w:r>
      <w:proofErr w:type="spellEnd"/>
      <w:r>
        <w:t xml:space="preserve">, E. Enrico, P. </w:t>
      </w:r>
      <w:proofErr w:type="spellStart"/>
      <w:r>
        <w:t>Mandracci</w:t>
      </w:r>
      <w:proofErr w:type="spellEnd"/>
      <w:r>
        <w:t xml:space="preserve">, N. D. Leo, F. </w:t>
      </w:r>
      <w:proofErr w:type="spellStart"/>
      <w:r>
        <w:t>Michelotti</w:t>
      </w:r>
      <w:proofErr w:type="spellEnd"/>
      <w:r>
        <w:t>,</w:t>
      </w:r>
      <w:r>
        <w:t xml:space="preserve"> </w:t>
      </w:r>
      <w:r>
        <w:t xml:space="preserve">F. </w:t>
      </w:r>
      <w:proofErr w:type="spellStart"/>
      <w:r>
        <w:t>Giorgis</w:t>
      </w:r>
      <w:proofErr w:type="spellEnd"/>
      <w:r>
        <w:t xml:space="preserve">, and E. </w:t>
      </w:r>
      <w:proofErr w:type="spellStart"/>
      <w:r>
        <w:t>Descrovi</w:t>
      </w:r>
      <w:proofErr w:type="spellEnd"/>
      <w:r>
        <w:t>, “Bloch surface waves-controlled fluorescence</w:t>
      </w:r>
      <w:r>
        <w:t xml:space="preserve"> </w:t>
      </w:r>
      <w:r>
        <w:t xml:space="preserve">emission: Coupling into </w:t>
      </w:r>
      <w:proofErr w:type="spellStart"/>
      <w:r>
        <w:t>nanometer</w:t>
      </w:r>
      <w:proofErr w:type="spellEnd"/>
      <w:r>
        <w:t>-sized polymeric waveguides,” Appl.</w:t>
      </w:r>
      <w:r>
        <w:t xml:space="preserve"> </w:t>
      </w:r>
      <w:r>
        <w:t xml:space="preserve">Phys. </w:t>
      </w:r>
      <w:proofErr w:type="spellStart"/>
      <w:r>
        <w:t>Lett</w:t>
      </w:r>
      <w:proofErr w:type="spellEnd"/>
      <w:r>
        <w:t>., vol. 100, no. 6, pp. 063305-1–063305-3, Feb. 2012.</w:t>
      </w:r>
    </w:p>
    <w:p w:rsidR="00A467EE" w:rsidRDefault="00A467EE" w:rsidP="00A467EE">
      <w:pPr>
        <w:spacing w:after="0" w:line="240" w:lineRule="auto"/>
      </w:pPr>
      <w:r>
        <w:t xml:space="preserve">[19] A. Farmer, A. </w:t>
      </w:r>
      <w:proofErr w:type="spellStart"/>
      <w:r>
        <w:t>Friedli</w:t>
      </w:r>
      <w:proofErr w:type="spellEnd"/>
      <w:r>
        <w:t>, S. M. Wright, and W. M. Robertson, “Bio-sensing</w:t>
      </w:r>
      <w:r>
        <w:t xml:space="preserve"> </w:t>
      </w:r>
      <w:r>
        <w:t>using surface electromagnetic waves in photonic band gap multilayers,”</w:t>
      </w:r>
      <w:r>
        <w:t xml:space="preserve"> </w:t>
      </w:r>
      <w:r>
        <w:t>Sens. Actuators B, vol. 173, pp. 79–84, Oct. 2012.</w:t>
      </w:r>
    </w:p>
    <w:p w:rsidR="00A467EE" w:rsidRDefault="00A467EE" w:rsidP="00A467EE">
      <w:pPr>
        <w:spacing w:after="0" w:line="240" w:lineRule="auto"/>
      </w:pPr>
      <w:r>
        <w:t xml:space="preserve">[20] A. </w:t>
      </w:r>
      <w:proofErr w:type="spellStart"/>
      <w:r>
        <w:t>Sinibaldi</w:t>
      </w:r>
      <w:proofErr w:type="spellEnd"/>
      <w:r>
        <w:t xml:space="preserve">, A. </w:t>
      </w:r>
      <w:proofErr w:type="spellStart"/>
      <w:r>
        <w:t>Fieramosca</w:t>
      </w:r>
      <w:proofErr w:type="spellEnd"/>
      <w:r>
        <w:t xml:space="preserve">, R. Rizzo, A. </w:t>
      </w:r>
      <w:proofErr w:type="spellStart"/>
      <w:r>
        <w:t>Anopchenko</w:t>
      </w:r>
      <w:proofErr w:type="spellEnd"/>
      <w:r>
        <w:t xml:space="preserve">, N. </w:t>
      </w:r>
      <w:proofErr w:type="spellStart"/>
      <w:r>
        <w:t>Danz</w:t>
      </w:r>
      <w:proofErr w:type="spellEnd"/>
      <w:r>
        <w:t>,</w:t>
      </w:r>
      <w:r>
        <w:t xml:space="preserve"> </w:t>
      </w:r>
      <w:r>
        <w:t xml:space="preserve">P. </w:t>
      </w:r>
      <w:proofErr w:type="spellStart"/>
      <w:r>
        <w:t>Munzert</w:t>
      </w:r>
      <w:proofErr w:type="spellEnd"/>
      <w:r>
        <w:t xml:space="preserve">, C. </w:t>
      </w:r>
      <w:proofErr w:type="spellStart"/>
      <w:r>
        <w:t>Magistris</w:t>
      </w:r>
      <w:proofErr w:type="spellEnd"/>
      <w:r>
        <w:t xml:space="preserve">, C. Barolo, and F. </w:t>
      </w:r>
      <w:proofErr w:type="spellStart"/>
      <w:r>
        <w:t>Michelotti</w:t>
      </w:r>
      <w:proofErr w:type="spellEnd"/>
      <w:r>
        <w:t xml:space="preserve">, “Combining </w:t>
      </w:r>
      <w:proofErr w:type="spellStart"/>
      <w:r>
        <w:t>labelfree</w:t>
      </w:r>
      <w:proofErr w:type="spellEnd"/>
      <w:r>
        <w:t xml:space="preserve"> </w:t>
      </w:r>
      <w:r>
        <w:t>and fluorescence operation of Bloch surface wave optical sensors,”</w:t>
      </w:r>
      <w:r>
        <w:t xml:space="preserve"> </w:t>
      </w:r>
      <w:r>
        <w:t xml:space="preserve">Opt. </w:t>
      </w:r>
      <w:proofErr w:type="spellStart"/>
      <w:r>
        <w:t>Lett</w:t>
      </w:r>
      <w:proofErr w:type="spellEnd"/>
      <w:r>
        <w:t>., vol. 39, no. 10, pp. 2947–2950, May 2014.</w:t>
      </w:r>
    </w:p>
    <w:p w:rsidR="00A467EE" w:rsidRDefault="00A467EE" w:rsidP="00A467EE">
      <w:pPr>
        <w:spacing w:after="0" w:line="240" w:lineRule="auto"/>
      </w:pPr>
      <w:r>
        <w:t xml:space="preserve">[21] A. </w:t>
      </w:r>
      <w:proofErr w:type="spellStart"/>
      <w:r>
        <w:t>Sinibaldi</w:t>
      </w:r>
      <w:proofErr w:type="spellEnd"/>
      <w:r>
        <w:t xml:space="preserve">, R. Rizzo, G. </w:t>
      </w:r>
      <w:proofErr w:type="spellStart"/>
      <w:r>
        <w:t>Figliozzi</w:t>
      </w:r>
      <w:proofErr w:type="spellEnd"/>
      <w:r>
        <w:t xml:space="preserve">, E. </w:t>
      </w:r>
      <w:proofErr w:type="spellStart"/>
      <w:r>
        <w:t>Descrovi</w:t>
      </w:r>
      <w:proofErr w:type="spellEnd"/>
      <w:r>
        <w:t xml:space="preserve">, N. </w:t>
      </w:r>
      <w:proofErr w:type="spellStart"/>
      <w:r>
        <w:t>Danz</w:t>
      </w:r>
      <w:proofErr w:type="spellEnd"/>
      <w:r>
        <w:t xml:space="preserve">, P. </w:t>
      </w:r>
      <w:proofErr w:type="spellStart"/>
      <w:r>
        <w:t>Munzert</w:t>
      </w:r>
      <w:proofErr w:type="spellEnd"/>
      <w:r>
        <w:t>,</w:t>
      </w:r>
      <w:r>
        <w:t xml:space="preserve"> </w:t>
      </w:r>
      <w:r>
        <w:t xml:space="preserve">A. </w:t>
      </w:r>
      <w:proofErr w:type="spellStart"/>
      <w:r>
        <w:t>Anopchenko</w:t>
      </w:r>
      <w:proofErr w:type="spellEnd"/>
      <w:r>
        <w:t xml:space="preserve">, and </w:t>
      </w:r>
      <w:proofErr w:type="spellStart"/>
      <w:r>
        <w:t>F.Michelotti</w:t>
      </w:r>
      <w:proofErr w:type="spellEnd"/>
      <w:r>
        <w:t xml:space="preserve">, “Full </w:t>
      </w:r>
      <w:proofErr w:type="spellStart"/>
      <w:r>
        <w:t>ellipsometric</w:t>
      </w:r>
      <w:proofErr w:type="spellEnd"/>
      <w:r>
        <w:t xml:space="preserve"> approach to optical</w:t>
      </w:r>
      <w:r>
        <w:t xml:space="preserve"> </w:t>
      </w:r>
      <w:r>
        <w:t>sensing with Bloch surface waves on photonic crystals,” Opt. Express,</w:t>
      </w:r>
      <w:r>
        <w:t xml:space="preserve"> </w:t>
      </w:r>
      <w:r>
        <w:t>vol. 21, no. 20, pp. 23331–23344, Oct. 2013.</w:t>
      </w:r>
    </w:p>
    <w:p w:rsidR="00A467EE" w:rsidRDefault="00A467EE" w:rsidP="00A467EE">
      <w:pPr>
        <w:spacing w:after="0" w:line="240" w:lineRule="auto"/>
      </w:pPr>
      <w:r>
        <w:t xml:space="preserve">[22] P. </w:t>
      </w:r>
      <w:proofErr w:type="spellStart"/>
      <w:r>
        <w:t>Munzert</w:t>
      </w:r>
      <w:proofErr w:type="spellEnd"/>
      <w:r>
        <w:t>, U. Schulz, and N. Kaiser, “Transparent thermoplastic polymers</w:t>
      </w:r>
      <w:r>
        <w:t xml:space="preserve"> </w:t>
      </w:r>
      <w:r>
        <w:t>in plasma assisted coating processes,” Surf. Coat. Tech., vols.</w:t>
      </w:r>
      <w:r>
        <w:t xml:space="preserve"> </w:t>
      </w:r>
      <w:r>
        <w:t>174/175, pp. 1048–1052, Sep</w:t>
      </w:r>
      <w:proofErr w:type="gramStart"/>
      <w:r>
        <w:t>./</w:t>
      </w:r>
      <w:proofErr w:type="gramEnd"/>
      <w:r>
        <w:t>Oct. 2003.</w:t>
      </w:r>
    </w:p>
    <w:p w:rsidR="00A467EE" w:rsidRDefault="00A467EE" w:rsidP="00A467EE">
      <w:pPr>
        <w:spacing w:after="0" w:line="240" w:lineRule="auto"/>
      </w:pPr>
      <w:r>
        <w:t xml:space="preserve">[23] R. Rizzo, N. </w:t>
      </w:r>
      <w:proofErr w:type="spellStart"/>
      <w:r>
        <w:t>Danz</w:t>
      </w:r>
      <w:proofErr w:type="spellEnd"/>
      <w:r>
        <w:t xml:space="preserve">, F. </w:t>
      </w:r>
      <w:proofErr w:type="spellStart"/>
      <w:r>
        <w:t>Michelotti</w:t>
      </w:r>
      <w:proofErr w:type="spellEnd"/>
      <w:r>
        <w:t xml:space="preserve">, E. </w:t>
      </w:r>
      <w:proofErr w:type="spellStart"/>
      <w:r>
        <w:t>Maillart</w:t>
      </w:r>
      <w:proofErr w:type="spellEnd"/>
      <w:r>
        <w:t xml:space="preserve">, A. </w:t>
      </w:r>
      <w:proofErr w:type="spellStart"/>
      <w:r>
        <w:t>Anopchenko</w:t>
      </w:r>
      <w:proofErr w:type="spellEnd"/>
      <w:r>
        <w:t>, and</w:t>
      </w:r>
      <w:r>
        <w:t xml:space="preserve"> </w:t>
      </w:r>
      <w:r>
        <w:t xml:space="preserve">C. </w:t>
      </w:r>
      <w:proofErr w:type="spellStart"/>
      <w:r>
        <w:t>W¨achter</w:t>
      </w:r>
      <w:proofErr w:type="spellEnd"/>
      <w:r>
        <w:t>, “Optimization of angularly resolved Bloch surface wave</w:t>
      </w:r>
      <w:r>
        <w:t xml:space="preserve"> </w:t>
      </w:r>
      <w:r>
        <w:t>biosensors,” Opt. Express, vol. 22, no. 19, pp. 23202–23214, Sep. 2014.</w:t>
      </w:r>
    </w:p>
    <w:p w:rsidR="00A467EE" w:rsidRDefault="00A467EE" w:rsidP="00A467EE">
      <w:pPr>
        <w:spacing w:after="0" w:line="240" w:lineRule="auto"/>
      </w:pPr>
      <w:r>
        <w:t xml:space="preserve">[24] S. G. Johnson and J. D. </w:t>
      </w:r>
      <w:proofErr w:type="spellStart"/>
      <w:r>
        <w:t>Joannopoulos</w:t>
      </w:r>
      <w:proofErr w:type="spellEnd"/>
      <w:r>
        <w:t>, “Block-iterative frequency-domain</w:t>
      </w:r>
      <w:r>
        <w:t xml:space="preserve"> </w:t>
      </w:r>
    </w:p>
    <w:p w:rsidR="00A467EE" w:rsidRDefault="00A467EE" w:rsidP="00A467EE">
      <w:pPr>
        <w:spacing w:after="0" w:line="240" w:lineRule="auto"/>
      </w:pPr>
      <w:proofErr w:type="gramStart"/>
      <w:r>
        <w:lastRenderedPageBreak/>
        <w:t>methods</w:t>
      </w:r>
      <w:proofErr w:type="gramEnd"/>
      <w:r>
        <w:t xml:space="preserve"> for Maxwell’s equations in a plane wave basis,” Opt. Express,</w:t>
      </w:r>
      <w:r>
        <w:t xml:space="preserve"> </w:t>
      </w:r>
      <w:r>
        <w:t>vol. 8, no. 3, pp. 173–190, Jan. 2001.</w:t>
      </w:r>
    </w:p>
    <w:p w:rsidR="00A467EE" w:rsidRDefault="00A467EE" w:rsidP="00A467EE">
      <w:pPr>
        <w:spacing w:after="0" w:line="240" w:lineRule="auto"/>
      </w:pPr>
      <w:r>
        <w:t xml:space="preserve">[25] R&amp;D Systems, Recombinant Human </w:t>
      </w:r>
      <w:proofErr w:type="spellStart"/>
      <w:r>
        <w:t>Angiopoietin</w:t>
      </w:r>
      <w:proofErr w:type="spellEnd"/>
      <w:r>
        <w:t xml:space="preserve"> 2 Specifications,</w:t>
      </w:r>
      <w:r>
        <w:t xml:space="preserve"> </w:t>
      </w:r>
      <w:proofErr w:type="spellStart"/>
      <w:r>
        <w:t>Catalog</w:t>
      </w:r>
      <w:proofErr w:type="spellEnd"/>
      <w:r>
        <w:t xml:space="preserve"> Number 623-AN. [Online]. </w:t>
      </w:r>
      <w:proofErr w:type="spellStart"/>
      <w:r>
        <w:t>Avaliable</w:t>
      </w:r>
      <w:proofErr w:type="spellEnd"/>
      <w:r>
        <w:t xml:space="preserve">: http://www.rndsystems.com/Products/623-AN, </w:t>
      </w:r>
      <w:proofErr w:type="spellStart"/>
      <w:r>
        <w:t>Dr.</w:t>
      </w:r>
      <w:proofErr w:type="spellEnd"/>
      <w:r>
        <w:t xml:space="preserve"> </w:t>
      </w:r>
      <w:proofErr w:type="spellStart"/>
      <w:r>
        <w:t>Emanuela</w:t>
      </w:r>
      <w:proofErr w:type="spellEnd"/>
      <w:r>
        <w:t xml:space="preserve"> </w:t>
      </w:r>
      <w:proofErr w:type="spellStart"/>
      <w:r>
        <w:t>Fioravanti</w:t>
      </w:r>
      <w:proofErr w:type="spellEnd"/>
      <w:r>
        <w:t xml:space="preserve"> (R&amp;D Systems) direct</w:t>
      </w:r>
      <w:r>
        <w:t xml:space="preserve"> </w:t>
      </w:r>
      <w:r>
        <w:t>personal communication.</w:t>
      </w:r>
    </w:p>
    <w:p w:rsidR="00A467EE" w:rsidRDefault="00A467EE" w:rsidP="00A467EE">
      <w:pPr>
        <w:spacing w:after="0" w:line="240" w:lineRule="auto"/>
      </w:pPr>
      <w:r>
        <w:t xml:space="preserve">[26] E. </w:t>
      </w:r>
      <w:proofErr w:type="spellStart"/>
      <w:r>
        <w:t>Maillart</w:t>
      </w:r>
      <w:proofErr w:type="spellEnd"/>
      <w:r>
        <w:t>,“</w:t>
      </w:r>
      <w:proofErr w:type="spellStart"/>
      <w:r>
        <w:t>D´eveloppement</w:t>
      </w:r>
      <w:proofErr w:type="spellEnd"/>
      <w:r>
        <w:t xml:space="preserve"> d’un </w:t>
      </w:r>
      <w:proofErr w:type="spellStart"/>
      <w:r>
        <w:t>biocapteur</w:t>
      </w:r>
      <w:proofErr w:type="spellEnd"/>
      <w:r>
        <w:t xml:space="preserve"> par </w:t>
      </w:r>
      <w:proofErr w:type="spellStart"/>
      <w:r>
        <w:t>imagerie</w:t>
      </w:r>
      <w:proofErr w:type="spellEnd"/>
      <w:r>
        <w:t xml:space="preserve"> SPR,” Ph.D.</w:t>
      </w:r>
      <w:r>
        <w:t xml:space="preserve"> </w:t>
      </w:r>
      <w:r>
        <w:t xml:space="preserve">dissertation, </w:t>
      </w:r>
      <w:proofErr w:type="spellStart"/>
      <w:r>
        <w:t>Universit´e</w:t>
      </w:r>
      <w:proofErr w:type="spellEnd"/>
      <w:r>
        <w:t xml:space="preserve"> Paris XI, UFR </w:t>
      </w:r>
      <w:proofErr w:type="spellStart"/>
      <w:r>
        <w:t>Scientifique</w:t>
      </w:r>
      <w:proofErr w:type="spellEnd"/>
      <w:r>
        <w:t xml:space="preserve"> d’Orsay, </w:t>
      </w:r>
      <w:proofErr w:type="spellStart"/>
      <w:r>
        <w:t>Ecole</w:t>
      </w:r>
      <w:proofErr w:type="spellEnd"/>
      <w:r>
        <w:t xml:space="preserve"> </w:t>
      </w:r>
      <w:proofErr w:type="spellStart"/>
      <w:r>
        <w:t>Doctorale</w:t>
      </w:r>
      <w:proofErr w:type="spellEnd"/>
      <w:r>
        <w:t xml:space="preserve"> </w:t>
      </w:r>
      <w:proofErr w:type="spellStart"/>
      <w:r>
        <w:t>Onde</w:t>
      </w:r>
      <w:proofErr w:type="spellEnd"/>
      <w:r>
        <w:t xml:space="preserve"> et </w:t>
      </w:r>
      <w:proofErr w:type="spellStart"/>
      <w:r>
        <w:t>Mati`ere</w:t>
      </w:r>
      <w:proofErr w:type="spellEnd"/>
      <w:r>
        <w:t xml:space="preserve">, </w:t>
      </w:r>
      <w:proofErr w:type="spellStart"/>
      <w:r>
        <w:t>Laboratoire</w:t>
      </w:r>
      <w:proofErr w:type="spellEnd"/>
      <w:r>
        <w:t xml:space="preserve"> Charles </w:t>
      </w:r>
      <w:proofErr w:type="spellStart"/>
      <w:r>
        <w:t>Fabry</w:t>
      </w:r>
      <w:proofErr w:type="spellEnd"/>
      <w:r>
        <w:t xml:space="preserve"> de </w:t>
      </w:r>
      <w:proofErr w:type="spellStart"/>
      <w:r>
        <w:t>l’Institut</w:t>
      </w:r>
      <w:proofErr w:type="spellEnd"/>
      <w:r>
        <w:t xml:space="preserve"> </w:t>
      </w:r>
      <w:proofErr w:type="spellStart"/>
      <w:r>
        <w:t>d’Optique</w:t>
      </w:r>
      <w:proofErr w:type="spellEnd"/>
      <w:r>
        <w:t>"</w:t>
      </w:r>
      <w:r>
        <w:t xml:space="preserve"> </w:t>
      </w:r>
      <w:r>
        <w:t>Paris, France, 2004.</w:t>
      </w:r>
    </w:p>
    <w:p w:rsidR="00A467EE" w:rsidRDefault="00A467EE" w:rsidP="00A467EE">
      <w:pPr>
        <w:spacing w:after="0" w:line="240" w:lineRule="auto"/>
      </w:pPr>
      <w:r>
        <w:t xml:space="preserve">[27] J. </w:t>
      </w:r>
      <w:proofErr w:type="spellStart"/>
      <w:r>
        <w:t>Voros</w:t>
      </w:r>
      <w:proofErr w:type="spellEnd"/>
      <w:r>
        <w:t>, “The density and refractive index of absorbing protein layers,”</w:t>
      </w:r>
      <w:r>
        <w:t xml:space="preserve"> </w:t>
      </w:r>
      <w:proofErr w:type="spellStart"/>
      <w:r>
        <w:t>Biophys</w:t>
      </w:r>
      <w:proofErr w:type="spellEnd"/>
      <w:r>
        <w:t>. J., vol. 87, no. 1, pp. 553–561, Jul. 2004.</w:t>
      </w:r>
    </w:p>
    <w:p w:rsidR="00A467EE" w:rsidRDefault="00A467EE" w:rsidP="00A467EE">
      <w:pPr>
        <w:spacing w:after="0" w:line="240" w:lineRule="auto"/>
      </w:pPr>
      <w:r>
        <w:t xml:space="preserve">[28] (2012). </w:t>
      </w:r>
      <w:proofErr w:type="spellStart"/>
      <w:r>
        <w:t>Biacore</w:t>
      </w:r>
      <w:proofErr w:type="spellEnd"/>
      <w:r>
        <w:t xml:space="preserve"> Assay Handbook. [Online]. GE Healthcare Bio-Sciences</w:t>
      </w:r>
      <w:r>
        <w:t xml:space="preserve"> </w:t>
      </w:r>
      <w:r>
        <w:t>AB, Uppsala, Sweden. Available: http://www.gelifesciences.com</w:t>
      </w:r>
    </w:p>
    <w:p w:rsidR="00A467EE" w:rsidRDefault="00A467EE" w:rsidP="00A467EE">
      <w:pPr>
        <w:spacing w:after="0" w:line="240" w:lineRule="auto"/>
      </w:pPr>
      <w:r>
        <w:t xml:space="preserve">[29] V. </w:t>
      </w:r>
      <w:proofErr w:type="spellStart"/>
      <w:r>
        <w:t>Goede</w:t>
      </w:r>
      <w:proofErr w:type="spellEnd"/>
      <w:r>
        <w:t xml:space="preserve">, O. </w:t>
      </w:r>
      <w:proofErr w:type="spellStart"/>
      <w:r>
        <w:t>Coutelle</w:t>
      </w:r>
      <w:proofErr w:type="spellEnd"/>
      <w:r>
        <w:t xml:space="preserve">, J. </w:t>
      </w:r>
      <w:proofErr w:type="spellStart"/>
      <w:r>
        <w:t>Neuneier</w:t>
      </w:r>
      <w:proofErr w:type="spellEnd"/>
      <w:r>
        <w:t xml:space="preserve">, A. </w:t>
      </w:r>
      <w:proofErr w:type="spellStart"/>
      <w:r>
        <w:t>Reinacher</w:t>
      </w:r>
      <w:proofErr w:type="spellEnd"/>
      <w:r>
        <w:t>-Schick, R. Schnell, T.</w:t>
      </w:r>
      <w:r>
        <w:t xml:space="preserve"> </w:t>
      </w:r>
      <w:r>
        <w:t xml:space="preserve">C. </w:t>
      </w:r>
      <w:proofErr w:type="spellStart"/>
      <w:r>
        <w:t>Koslowsky</w:t>
      </w:r>
      <w:proofErr w:type="spellEnd"/>
      <w:r>
        <w:t xml:space="preserve">, M. </w:t>
      </w:r>
      <w:proofErr w:type="spellStart"/>
      <w:r>
        <w:t>R.Weihrauch</w:t>
      </w:r>
      <w:proofErr w:type="spellEnd"/>
      <w:r>
        <w:t xml:space="preserve">, B. Cremer, H. </w:t>
      </w:r>
      <w:proofErr w:type="spellStart"/>
      <w:r>
        <w:t>Kashkar</w:t>
      </w:r>
      <w:proofErr w:type="spellEnd"/>
      <w:r>
        <w:t xml:space="preserve">, M. </w:t>
      </w:r>
      <w:proofErr w:type="spellStart"/>
      <w:r>
        <w:t>Odenthal</w:t>
      </w:r>
      <w:proofErr w:type="spellEnd"/>
      <w:r>
        <w:t>, H.</w:t>
      </w:r>
      <w:r>
        <w:t xml:space="preserve"> </w:t>
      </w:r>
      <w:r>
        <w:t xml:space="preserve">G. Augustin, W. </w:t>
      </w:r>
      <w:proofErr w:type="spellStart"/>
      <w:r>
        <w:t>Schmiegel</w:t>
      </w:r>
      <w:proofErr w:type="spellEnd"/>
      <w:r>
        <w:t xml:space="preserve">, M. </w:t>
      </w:r>
      <w:proofErr w:type="spellStart"/>
      <w:r>
        <w:t>Hallek</w:t>
      </w:r>
      <w:proofErr w:type="spellEnd"/>
      <w:r>
        <w:t>, and U. T. Hacker, “Identification</w:t>
      </w:r>
      <w:r>
        <w:t xml:space="preserve"> </w:t>
      </w:r>
      <w:r>
        <w:t>of serum angiopoietin-2 as a biomarker for clinical outcome of colorectal</w:t>
      </w:r>
    </w:p>
    <w:p w:rsidR="00A467EE" w:rsidRDefault="00A467EE" w:rsidP="00A467EE">
      <w:pPr>
        <w:spacing w:after="0" w:line="240" w:lineRule="auto"/>
      </w:pPr>
      <w:proofErr w:type="gramStart"/>
      <w:r>
        <w:t>cancer</w:t>
      </w:r>
      <w:proofErr w:type="gramEnd"/>
      <w:r>
        <w:t xml:space="preserve"> patients treated with </w:t>
      </w:r>
      <w:proofErr w:type="spellStart"/>
      <w:r>
        <w:t>bevacizumab</w:t>
      </w:r>
      <w:proofErr w:type="spellEnd"/>
      <w:r>
        <w:t>-containing therapy,” Brit. J.</w:t>
      </w:r>
      <w:r>
        <w:t xml:space="preserve"> </w:t>
      </w:r>
      <w:r>
        <w:t>Cancer, vol. 103, pp. 1407–1414, 2010.</w:t>
      </w:r>
    </w:p>
    <w:sectPr w:rsidR="00A467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670B21"/>
    <w:multiLevelType w:val="hybridMultilevel"/>
    <w:tmpl w:val="8DC8B4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259"/>
    <w:rsid w:val="00035259"/>
    <w:rsid w:val="005333BD"/>
    <w:rsid w:val="00874083"/>
    <w:rsid w:val="00901B20"/>
    <w:rsid w:val="00A467EE"/>
    <w:rsid w:val="00D76BA7"/>
    <w:rsid w:val="00F1163F"/>
    <w:rsid w:val="00F35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973E06-E44E-460D-A2B3-C8A4138AB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4083"/>
    <w:rPr>
      <w:color w:val="808080"/>
    </w:rPr>
  </w:style>
  <w:style w:type="table" w:styleId="TableGrid">
    <w:name w:val="Table Grid"/>
    <w:basedOn w:val="TableNormal"/>
    <w:uiPriority w:val="39"/>
    <w:rsid w:val="00901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67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14</Pages>
  <Words>6445</Words>
  <Characters>36742</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43101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Nogiwa Valdez, Akemi A</dc:creator>
  <cp:keywords/>
  <dc:description/>
  <cp:lastModifiedBy>Nogiwa Valdez, Akemi A</cp:lastModifiedBy>
  <cp:revision>1</cp:revision>
  <dcterms:created xsi:type="dcterms:W3CDTF">2017-02-27T09:43:00Z</dcterms:created>
  <dcterms:modified xsi:type="dcterms:W3CDTF">2017-02-27T10:40:00Z</dcterms:modified>
</cp:coreProperties>
</file>